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C08A5" w14:textId="77777777" w:rsidR="00B970EF" w:rsidRPr="004C1439" w:rsidRDefault="00B970EF" w:rsidP="00B970EF">
      <w:pPr>
        <w:pStyle w:val="PartHeading"/>
      </w:pPr>
      <w:r w:rsidRPr="00D03FC2">
        <w:t>Australian Trade and Investment Commission</w:t>
      </w:r>
    </w:p>
    <w:p w14:paraId="70446872" w14:textId="77777777" w:rsidR="00B970EF" w:rsidRPr="004C1439" w:rsidRDefault="00B970EF" w:rsidP="00B970EF"/>
    <w:p w14:paraId="0B67DAB3" w14:textId="77777777" w:rsidR="00B970EF" w:rsidRPr="004C1439" w:rsidRDefault="00B970EF" w:rsidP="00B970EF">
      <w:pPr>
        <w:pStyle w:val="PartHeading-TOC"/>
      </w:pPr>
      <w:r w:rsidRPr="004C1439">
        <w:t>Entity resources and planned performance</w:t>
      </w:r>
    </w:p>
    <w:p w14:paraId="2A3DAD1E" w14:textId="77777777" w:rsidR="00B970EF" w:rsidRPr="004C1439" w:rsidRDefault="00B970EF" w:rsidP="00B970EF">
      <w:pPr>
        <w:sectPr w:rsidR="00B970EF" w:rsidRPr="004C1439" w:rsidSect="00B970EF">
          <w:headerReference w:type="even" r:id="rId7"/>
          <w:headerReference w:type="default" r:id="rId8"/>
          <w:footerReference w:type="even" r:id="rId9"/>
          <w:footerReference w:type="default" r:id="rId10"/>
          <w:headerReference w:type="first" r:id="rId11"/>
          <w:footerReference w:type="first" r:id="rId12"/>
          <w:pgSz w:w="11906" w:h="16838" w:code="9"/>
          <w:pgMar w:top="2835" w:right="2098" w:bottom="2466" w:left="2098" w:header="1814" w:footer="1814" w:gutter="0"/>
          <w:cols w:space="708"/>
          <w:vAlign w:val="center"/>
          <w:titlePg/>
          <w:docGrid w:linePitch="360"/>
        </w:sectPr>
      </w:pPr>
    </w:p>
    <w:p w14:paraId="1B271232" w14:textId="77777777" w:rsidR="00B970EF" w:rsidRPr="00E36F77" w:rsidRDefault="00B970EF" w:rsidP="00B970EF">
      <w:pPr>
        <w:pStyle w:val="ContentsHeading"/>
      </w:pPr>
      <w:r w:rsidRPr="007C08A3">
        <w:lastRenderedPageBreak/>
        <w:t>Australian Trade and Investment Commission</w:t>
      </w:r>
    </w:p>
    <w:p w14:paraId="44F1C7C7" w14:textId="77777777" w:rsidR="00B970EF" w:rsidRPr="001C6402" w:rsidRDefault="00B970EF" w:rsidP="00B970EF">
      <w:pPr>
        <w:pStyle w:val="TOC1"/>
        <w:rPr>
          <w:rFonts w:ascii="Book Antiqua" w:hAnsi="Book Antiqua"/>
          <w:b w:val="0"/>
          <w:caps/>
          <w:noProof/>
          <w:sz w:val="22"/>
          <w:szCs w:val="22"/>
        </w:rPr>
      </w:pPr>
      <w:r>
        <w:fldChar w:fldCharType="begin"/>
      </w:r>
      <w:r>
        <w:instrText xml:space="preserve"> TOC \h \z \t "Heading 2,1,Heading 3,2" </w:instrText>
      </w:r>
      <w:r>
        <w:fldChar w:fldCharType="separate"/>
      </w:r>
      <w:r w:rsidRPr="00A75284">
        <w:rPr>
          <w:noProof/>
        </w:rPr>
        <w:t>Section 1: Entity overview and resources</w:t>
      </w:r>
      <w:r>
        <w:rPr>
          <w:noProof/>
          <w:webHidden/>
        </w:rPr>
        <w:tab/>
        <w:t>77</w:t>
      </w:r>
    </w:p>
    <w:p w14:paraId="0A89FF4E" w14:textId="77777777" w:rsidR="00B970EF" w:rsidRPr="001C6402" w:rsidRDefault="00B970EF" w:rsidP="00B970EF">
      <w:pPr>
        <w:pStyle w:val="TOC2"/>
        <w:tabs>
          <w:tab w:val="left" w:pos="800"/>
        </w:tabs>
        <w:rPr>
          <w:rFonts w:ascii="Book Antiqua" w:hAnsi="Book Antiqua"/>
          <w:noProof/>
          <w:sz w:val="22"/>
          <w:szCs w:val="22"/>
        </w:rPr>
      </w:pPr>
      <w:r w:rsidRPr="00A75284">
        <w:rPr>
          <w:noProof/>
        </w:rPr>
        <w:t>1.1</w:t>
      </w:r>
      <w:r w:rsidRPr="001C6402">
        <w:rPr>
          <w:rFonts w:ascii="Book Antiqua" w:hAnsi="Book Antiqua"/>
          <w:noProof/>
          <w:sz w:val="22"/>
          <w:szCs w:val="22"/>
        </w:rPr>
        <w:tab/>
      </w:r>
      <w:r w:rsidRPr="00A75284">
        <w:rPr>
          <w:noProof/>
        </w:rPr>
        <w:t>Strategic direction statement</w:t>
      </w:r>
      <w:r>
        <w:rPr>
          <w:noProof/>
          <w:webHidden/>
        </w:rPr>
        <w:tab/>
        <w:t>77</w:t>
      </w:r>
    </w:p>
    <w:p w14:paraId="6B13F6ED" w14:textId="77777777" w:rsidR="00B970EF" w:rsidRPr="001C6402" w:rsidRDefault="00B970EF" w:rsidP="00B970EF">
      <w:pPr>
        <w:pStyle w:val="TOC2"/>
        <w:tabs>
          <w:tab w:val="left" w:pos="800"/>
        </w:tabs>
        <w:rPr>
          <w:rFonts w:ascii="Book Antiqua" w:hAnsi="Book Antiqua"/>
          <w:noProof/>
          <w:sz w:val="22"/>
          <w:szCs w:val="22"/>
        </w:rPr>
      </w:pPr>
      <w:r w:rsidRPr="00A75284">
        <w:rPr>
          <w:noProof/>
        </w:rPr>
        <w:t>1.2</w:t>
      </w:r>
      <w:r w:rsidRPr="001C6402">
        <w:rPr>
          <w:rFonts w:ascii="Book Antiqua" w:hAnsi="Book Antiqua"/>
          <w:noProof/>
          <w:sz w:val="22"/>
          <w:szCs w:val="22"/>
        </w:rPr>
        <w:tab/>
      </w:r>
      <w:r w:rsidRPr="00A75284">
        <w:rPr>
          <w:noProof/>
        </w:rPr>
        <w:t>Entity resource statement</w:t>
      </w:r>
      <w:r>
        <w:rPr>
          <w:noProof/>
          <w:webHidden/>
        </w:rPr>
        <w:tab/>
        <w:t>80</w:t>
      </w:r>
    </w:p>
    <w:p w14:paraId="77F4C6A6" w14:textId="77777777" w:rsidR="00B970EF" w:rsidRPr="001C6402" w:rsidRDefault="00B970EF" w:rsidP="00B970EF">
      <w:pPr>
        <w:pStyle w:val="TOC2"/>
        <w:tabs>
          <w:tab w:val="left" w:pos="800"/>
        </w:tabs>
        <w:rPr>
          <w:rFonts w:ascii="Book Antiqua" w:hAnsi="Book Antiqua"/>
          <w:noProof/>
          <w:sz w:val="22"/>
          <w:szCs w:val="22"/>
        </w:rPr>
      </w:pPr>
      <w:r w:rsidRPr="00A75284">
        <w:rPr>
          <w:noProof/>
        </w:rPr>
        <w:t>1.3</w:t>
      </w:r>
      <w:r w:rsidRPr="001C6402">
        <w:rPr>
          <w:rFonts w:ascii="Book Antiqua" w:hAnsi="Book Antiqua"/>
          <w:noProof/>
          <w:sz w:val="22"/>
          <w:szCs w:val="22"/>
        </w:rPr>
        <w:tab/>
      </w:r>
      <w:r w:rsidRPr="00A75284">
        <w:rPr>
          <w:noProof/>
        </w:rPr>
        <w:t>Budget measures</w:t>
      </w:r>
      <w:r>
        <w:rPr>
          <w:noProof/>
          <w:webHidden/>
        </w:rPr>
        <w:tab/>
        <w:t>82</w:t>
      </w:r>
    </w:p>
    <w:p w14:paraId="0475C585" w14:textId="77777777" w:rsidR="00B970EF" w:rsidRPr="001C6402" w:rsidRDefault="00B970EF" w:rsidP="00B970EF">
      <w:pPr>
        <w:pStyle w:val="TOC1"/>
        <w:rPr>
          <w:rFonts w:ascii="Book Antiqua" w:hAnsi="Book Antiqua"/>
          <w:b w:val="0"/>
          <w:caps/>
          <w:noProof/>
          <w:sz w:val="22"/>
          <w:szCs w:val="22"/>
        </w:rPr>
      </w:pPr>
      <w:r w:rsidRPr="00A75284">
        <w:rPr>
          <w:noProof/>
        </w:rPr>
        <w:t>Section 2: Outcomes and planned performance</w:t>
      </w:r>
      <w:r>
        <w:rPr>
          <w:noProof/>
          <w:webHidden/>
        </w:rPr>
        <w:tab/>
        <w:t>83</w:t>
      </w:r>
    </w:p>
    <w:p w14:paraId="3527327E" w14:textId="77777777" w:rsidR="00B970EF" w:rsidRDefault="00B970EF" w:rsidP="00B970EF">
      <w:pPr>
        <w:pStyle w:val="TOC2"/>
        <w:tabs>
          <w:tab w:val="left" w:pos="800"/>
        </w:tabs>
        <w:rPr>
          <w:noProof/>
          <w:webHidden/>
        </w:rPr>
      </w:pPr>
      <w:r w:rsidRPr="00A75284">
        <w:rPr>
          <w:noProof/>
        </w:rPr>
        <w:t xml:space="preserve">2.1 </w:t>
      </w:r>
      <w:r w:rsidRPr="001C6402">
        <w:rPr>
          <w:rFonts w:ascii="Book Antiqua" w:hAnsi="Book Antiqua"/>
          <w:noProof/>
          <w:sz w:val="22"/>
          <w:szCs w:val="22"/>
        </w:rPr>
        <w:tab/>
      </w:r>
      <w:r w:rsidRPr="00A75284">
        <w:rPr>
          <w:noProof/>
        </w:rPr>
        <w:t xml:space="preserve">Budgeted expenses and performance for Outcome </w:t>
      </w:r>
      <w:r>
        <w:rPr>
          <w:noProof/>
        </w:rPr>
        <w:t>1</w:t>
      </w:r>
      <w:r>
        <w:rPr>
          <w:noProof/>
          <w:webHidden/>
        </w:rPr>
        <w:tab/>
        <w:t>84</w:t>
      </w:r>
    </w:p>
    <w:p w14:paraId="3BC8E7F0" w14:textId="77777777" w:rsidR="00B970EF" w:rsidRPr="001C6402" w:rsidRDefault="00B970EF" w:rsidP="00B970EF">
      <w:pPr>
        <w:pStyle w:val="TOC2"/>
        <w:tabs>
          <w:tab w:val="left" w:pos="800"/>
        </w:tabs>
        <w:rPr>
          <w:rFonts w:ascii="Book Antiqua" w:hAnsi="Book Antiqua"/>
          <w:noProof/>
          <w:sz w:val="22"/>
          <w:szCs w:val="22"/>
        </w:rPr>
      </w:pPr>
      <w:r w:rsidRPr="00A75284">
        <w:rPr>
          <w:noProof/>
        </w:rPr>
        <w:t>2.</w:t>
      </w:r>
      <w:r>
        <w:rPr>
          <w:noProof/>
        </w:rPr>
        <w:t>2</w:t>
      </w:r>
      <w:r w:rsidRPr="00A75284">
        <w:rPr>
          <w:noProof/>
        </w:rPr>
        <w:t xml:space="preserve"> </w:t>
      </w:r>
      <w:r w:rsidRPr="001C6402">
        <w:rPr>
          <w:rFonts w:ascii="Book Antiqua" w:hAnsi="Book Antiqua"/>
          <w:noProof/>
          <w:sz w:val="22"/>
          <w:szCs w:val="22"/>
        </w:rPr>
        <w:tab/>
      </w:r>
      <w:r w:rsidRPr="00A75284">
        <w:rPr>
          <w:noProof/>
        </w:rPr>
        <w:t xml:space="preserve">Budgeted expenses and performance for Outcome </w:t>
      </w:r>
      <w:r>
        <w:rPr>
          <w:noProof/>
        </w:rPr>
        <w:t>2</w:t>
      </w:r>
      <w:r>
        <w:rPr>
          <w:noProof/>
          <w:webHidden/>
        </w:rPr>
        <w:tab/>
        <w:t>92</w:t>
      </w:r>
    </w:p>
    <w:p w14:paraId="2576A5B3" w14:textId="77777777" w:rsidR="00B970EF" w:rsidRPr="001C6402" w:rsidRDefault="00B970EF" w:rsidP="00B970EF">
      <w:pPr>
        <w:pStyle w:val="TOC1"/>
        <w:rPr>
          <w:rFonts w:ascii="Book Antiqua" w:hAnsi="Book Antiqua"/>
          <w:b w:val="0"/>
          <w:caps/>
          <w:noProof/>
          <w:sz w:val="22"/>
          <w:szCs w:val="22"/>
        </w:rPr>
      </w:pPr>
      <w:r w:rsidRPr="00A75284">
        <w:rPr>
          <w:noProof/>
        </w:rPr>
        <w:t>Section 3: Budgeted financial statements</w:t>
      </w:r>
      <w:r>
        <w:rPr>
          <w:noProof/>
          <w:webHidden/>
        </w:rPr>
        <w:tab/>
        <w:t>95</w:t>
      </w:r>
    </w:p>
    <w:p w14:paraId="53BF90C1" w14:textId="77777777" w:rsidR="00B970EF" w:rsidRPr="001C6402" w:rsidRDefault="00B970EF" w:rsidP="00B970EF">
      <w:pPr>
        <w:pStyle w:val="TOC2"/>
        <w:tabs>
          <w:tab w:val="left" w:pos="800"/>
        </w:tabs>
        <w:rPr>
          <w:rFonts w:ascii="Book Antiqua" w:hAnsi="Book Antiqua"/>
          <w:noProof/>
          <w:sz w:val="22"/>
          <w:szCs w:val="22"/>
        </w:rPr>
      </w:pPr>
      <w:r w:rsidRPr="00A75284">
        <w:rPr>
          <w:noProof/>
        </w:rPr>
        <w:t>3.1</w:t>
      </w:r>
      <w:r w:rsidRPr="001C6402">
        <w:rPr>
          <w:rFonts w:ascii="Book Antiqua" w:hAnsi="Book Antiqua"/>
          <w:noProof/>
          <w:sz w:val="22"/>
          <w:szCs w:val="22"/>
        </w:rPr>
        <w:tab/>
      </w:r>
      <w:r w:rsidRPr="00A75284">
        <w:rPr>
          <w:noProof/>
        </w:rPr>
        <w:t>Budgeted financial statements</w:t>
      </w:r>
      <w:r>
        <w:rPr>
          <w:noProof/>
          <w:webHidden/>
        </w:rPr>
        <w:tab/>
        <w:t>95</w:t>
      </w:r>
    </w:p>
    <w:p w14:paraId="772115F3" w14:textId="77777777" w:rsidR="00B970EF" w:rsidRDefault="00B970EF" w:rsidP="00B970EF">
      <w:r>
        <w:fldChar w:fldCharType="end"/>
      </w:r>
    </w:p>
    <w:p w14:paraId="4B540350" w14:textId="77777777" w:rsidR="00B970EF" w:rsidRDefault="00B970EF" w:rsidP="00B970EF"/>
    <w:p w14:paraId="710FED99" w14:textId="77777777" w:rsidR="00B970EF" w:rsidRDefault="00B970EF" w:rsidP="00B970EF">
      <w:pPr>
        <w:tabs>
          <w:tab w:val="left" w:pos="5697"/>
        </w:tabs>
      </w:pPr>
      <w:r>
        <w:tab/>
      </w:r>
    </w:p>
    <w:p w14:paraId="0B1B091C" w14:textId="77777777" w:rsidR="00B970EF" w:rsidRDefault="00B970EF" w:rsidP="00B970EF"/>
    <w:p w14:paraId="27393AD5" w14:textId="77777777" w:rsidR="00B970EF" w:rsidRPr="00930CC7" w:rsidRDefault="00B970EF" w:rsidP="00B970EF">
      <w:pPr>
        <w:sectPr w:rsidR="00B970EF" w:rsidRPr="00930CC7" w:rsidSect="00B970EF">
          <w:footerReference w:type="first" r:id="rId13"/>
          <w:type w:val="oddPage"/>
          <w:pgSz w:w="11906" w:h="16838" w:code="9"/>
          <w:pgMar w:top="2835" w:right="2098" w:bottom="2466" w:left="2098" w:header="1814" w:footer="1814" w:gutter="0"/>
          <w:cols w:space="708"/>
          <w:titlePg/>
          <w:docGrid w:linePitch="360"/>
        </w:sectPr>
      </w:pPr>
    </w:p>
    <w:p w14:paraId="5992D80A" w14:textId="77777777" w:rsidR="00B970EF" w:rsidRDefault="00B970EF" w:rsidP="00B970EF">
      <w:pPr>
        <w:pStyle w:val="Heading1"/>
      </w:pPr>
      <w:r w:rsidRPr="007C08A3">
        <w:lastRenderedPageBreak/>
        <w:t>Australian Trade and Investment Commission</w:t>
      </w:r>
    </w:p>
    <w:p w14:paraId="7176EF97" w14:textId="77777777" w:rsidR="00B970EF" w:rsidRPr="002C4D41" w:rsidRDefault="00B970EF" w:rsidP="00B970EF">
      <w:pPr>
        <w:pStyle w:val="Heading2"/>
      </w:pPr>
      <w:r w:rsidRPr="002C4D41">
        <w:t xml:space="preserve">Section 1: Entity overview and </w:t>
      </w:r>
      <w:r>
        <w:t>reso</w:t>
      </w:r>
      <w:r w:rsidRPr="002C4D41">
        <w:t>urces</w:t>
      </w:r>
    </w:p>
    <w:p w14:paraId="7AD26CA3" w14:textId="77777777" w:rsidR="00B970EF" w:rsidRDefault="00B970EF" w:rsidP="00B970EF">
      <w:pPr>
        <w:pStyle w:val="Heading3"/>
      </w:pPr>
      <w:r>
        <w:t>1.1</w:t>
      </w:r>
      <w:r>
        <w:tab/>
        <w:t>Strategic direction statement</w:t>
      </w:r>
    </w:p>
    <w:p w14:paraId="759EA1EC" w14:textId="77777777" w:rsidR="00B970EF" w:rsidRDefault="00B970EF" w:rsidP="00B970EF">
      <w:pPr>
        <w:spacing w:after="231" w:line="251" w:lineRule="auto"/>
        <w:ind w:left="-5" w:hanging="10"/>
      </w:pPr>
      <w:r>
        <w:rPr>
          <w:rFonts w:eastAsia="Book Antiqua" w:cs="Book Antiqua"/>
        </w:rPr>
        <w:t xml:space="preserve">The Australian Trade and Investment Commission (Austrade) is the Australian Government’s international trade and investment promotion agency. Austrade also has responsibility for national tourism policy and program delivery, including the publication of official tourism statistics. In some overseas locations, Austrade delivers consular and passport services on behalf of the Australian Government. Austrade operates as a statutory agency within the Foreign Affairs and Trade portfolio.  </w:t>
      </w:r>
    </w:p>
    <w:p w14:paraId="61B6CC8C" w14:textId="77777777" w:rsidR="00B970EF" w:rsidRDefault="00B970EF" w:rsidP="00B970EF">
      <w:pPr>
        <w:spacing w:after="233" w:line="251" w:lineRule="auto"/>
        <w:ind w:left="-5" w:hanging="10"/>
      </w:pPr>
      <w:r>
        <w:rPr>
          <w:rFonts w:eastAsia="Book Antiqua" w:cs="Book Antiqua"/>
        </w:rPr>
        <w:t xml:space="preserve">Austrade’s outcomes are: </w:t>
      </w:r>
    </w:p>
    <w:p w14:paraId="3CD213C4" w14:textId="77777777" w:rsidR="00B970EF" w:rsidRDefault="00B970EF" w:rsidP="00B970EF">
      <w:pPr>
        <w:numPr>
          <w:ilvl w:val="0"/>
          <w:numId w:val="10"/>
        </w:numPr>
        <w:spacing w:before="0" w:after="231" w:line="251" w:lineRule="auto"/>
      </w:pPr>
      <w:r>
        <w:rPr>
          <w:rFonts w:eastAsia="Book Antiqua" w:cs="Book Antiqua"/>
        </w:rPr>
        <w:t xml:space="preserve">To contribute to Australia’s economic prosperity by supporting Australian exporters to expand internationally, attracting productive international investment, and growing the visitor economy; and  </w:t>
      </w:r>
    </w:p>
    <w:p w14:paraId="624D182C" w14:textId="77777777" w:rsidR="00B970EF" w:rsidRDefault="00B970EF" w:rsidP="00B970EF">
      <w:pPr>
        <w:numPr>
          <w:ilvl w:val="0"/>
          <w:numId w:val="10"/>
        </w:numPr>
        <w:spacing w:before="0" w:after="231" w:line="251" w:lineRule="auto"/>
      </w:pPr>
      <w:r>
        <w:rPr>
          <w:rFonts w:eastAsia="Book Antiqua" w:cs="Book Antiqua"/>
        </w:rPr>
        <w:t xml:space="preserve">The protection and welfare of Australians abroad through timely and responsive consular and passport services in specific locations overseas. </w:t>
      </w:r>
    </w:p>
    <w:p w14:paraId="42A5453F" w14:textId="77777777" w:rsidR="00B970EF" w:rsidRPr="00AA753A" w:rsidRDefault="00B970EF" w:rsidP="00B970EF">
      <w:pPr>
        <w:spacing w:after="233" w:line="251" w:lineRule="auto"/>
        <w:ind w:left="-1"/>
        <w:rPr>
          <w:rFonts w:eastAsia="Book Antiqua" w:cs="Book Antiqua"/>
          <w:szCs w:val="19"/>
        </w:rPr>
      </w:pPr>
      <w:r w:rsidRPr="00AA753A">
        <w:rPr>
          <w:rFonts w:eastAsia="Book Antiqua" w:cs="Book Antiqua"/>
          <w:szCs w:val="19"/>
        </w:rPr>
        <w:t xml:space="preserve">Austrade delivers quality trade and investment services to businesses and policy advice to government to support the growth of Australia’s prosperity, including leading on national tourism policy. </w:t>
      </w:r>
    </w:p>
    <w:p w14:paraId="595E65FD" w14:textId="77777777" w:rsidR="00B970EF" w:rsidRPr="006D0AF6" w:rsidRDefault="00B970EF" w:rsidP="00B970EF">
      <w:pPr>
        <w:spacing w:after="231" w:line="251" w:lineRule="auto"/>
        <w:ind w:left="-5" w:hanging="10"/>
      </w:pPr>
      <w:r w:rsidRPr="7F298151">
        <w:rPr>
          <w:rFonts w:eastAsia="Book Antiqua" w:cs="Book Antiqua"/>
          <w:szCs w:val="19"/>
        </w:rPr>
        <w:t xml:space="preserve">Austrade operates internationally, with a presence </w:t>
      </w:r>
      <w:r w:rsidRPr="00970CCA">
        <w:rPr>
          <w:rFonts w:eastAsia="Book Antiqua" w:cs="Book Antiqua"/>
          <w:szCs w:val="19"/>
        </w:rPr>
        <w:t>in 60</w:t>
      </w:r>
      <w:r w:rsidRPr="7F298151">
        <w:rPr>
          <w:rFonts w:eastAsia="Book Antiqua" w:cs="Book Antiqua"/>
          <w:szCs w:val="19"/>
        </w:rPr>
        <w:t xml:space="preserve"> overseas locations. Austrade provides practical in-market support to clients, drawing on our commercial knowledge and international networks, and contributes policy advice to government, using our global and commercial perspectives. Austrade also provides consular and passport services to Australians in 11 overseas locations. </w:t>
      </w:r>
    </w:p>
    <w:p w14:paraId="157B8E87" w14:textId="77777777" w:rsidR="00B970EF" w:rsidRDefault="00B970EF" w:rsidP="00B970EF">
      <w:pPr>
        <w:spacing w:after="231" w:line="251" w:lineRule="auto"/>
        <w:ind w:left="-5" w:hanging="10"/>
      </w:pPr>
      <w:r w:rsidRPr="006D0AF6">
        <w:rPr>
          <w:rFonts w:eastAsia="Book Antiqua" w:cs="Book Antiqua"/>
        </w:rPr>
        <w:t xml:space="preserve">In Australia, Austrade operates in 8 locations. Austrade extends its support for Australian businesses via the </w:t>
      </w:r>
      <w:proofErr w:type="spellStart"/>
      <w:r w:rsidRPr="006D0AF6">
        <w:rPr>
          <w:rFonts w:eastAsia="Book Antiqua" w:cs="Book Antiqua"/>
        </w:rPr>
        <w:t>TradeStart</w:t>
      </w:r>
      <w:proofErr w:type="spellEnd"/>
      <w:r w:rsidRPr="006D0AF6">
        <w:rPr>
          <w:rFonts w:eastAsia="Book Antiqua" w:cs="Book Antiqua"/>
        </w:rPr>
        <w:t xml:space="preserve"> network, which is delivered in partnership with state, territory and local governments, as well as industry bodies, in 30 locations across Australia.</w:t>
      </w:r>
      <w:r>
        <w:rPr>
          <w:rFonts w:eastAsia="Book Antiqua" w:cs="Book Antiqua"/>
        </w:rPr>
        <w:t xml:space="preserve"> </w:t>
      </w:r>
    </w:p>
    <w:p w14:paraId="40178EEF" w14:textId="77777777" w:rsidR="00B970EF" w:rsidRDefault="00B970EF" w:rsidP="00B970EF">
      <w:pPr>
        <w:spacing w:after="231" w:line="251" w:lineRule="auto"/>
        <w:ind w:left="-5" w:hanging="10"/>
        <w:rPr>
          <w:rFonts w:eastAsia="Book Antiqua" w:cs="Book Antiqua"/>
          <w:szCs w:val="19"/>
        </w:rPr>
      </w:pPr>
      <w:r w:rsidRPr="7F298151">
        <w:rPr>
          <w:rFonts w:eastAsia="Book Antiqua" w:cs="Book Antiqua"/>
          <w:szCs w:val="19"/>
        </w:rPr>
        <w:t>In 2026</w:t>
      </w:r>
      <w:r>
        <w:rPr>
          <w:rFonts w:eastAsia="Book Antiqua" w:cs="Book Antiqua"/>
          <w:szCs w:val="19"/>
        </w:rPr>
        <w:t>–</w:t>
      </w:r>
      <w:r w:rsidRPr="7F298151">
        <w:rPr>
          <w:rFonts w:eastAsia="Book Antiqua" w:cs="Book Antiqua"/>
          <w:szCs w:val="19"/>
        </w:rPr>
        <w:t xml:space="preserve">27, Austrade will continue helping Australian businesses become export-ready, expand internationally and diversify through trade facilitation and program support. Austrade focuses its market activities to align with key government priorities. </w:t>
      </w:r>
    </w:p>
    <w:p w14:paraId="62D34203" w14:textId="77777777" w:rsidR="00B970EF" w:rsidRDefault="00B970EF" w:rsidP="00B970EF">
      <w:pPr>
        <w:spacing w:before="0" w:after="0" w:line="240" w:lineRule="auto"/>
        <w:rPr>
          <w:rFonts w:eastAsia="Book Antiqua" w:cs="Book Antiqua"/>
          <w:szCs w:val="19"/>
        </w:rPr>
      </w:pPr>
      <w:r>
        <w:rPr>
          <w:rFonts w:eastAsia="Book Antiqua" w:cs="Book Antiqua"/>
          <w:szCs w:val="19"/>
        </w:rPr>
        <w:br w:type="page"/>
      </w:r>
    </w:p>
    <w:p w14:paraId="5D98491A" w14:textId="77777777" w:rsidR="00B970EF" w:rsidRDefault="00B970EF" w:rsidP="00B970EF">
      <w:pPr>
        <w:spacing w:after="231" w:line="251" w:lineRule="auto"/>
        <w:ind w:left="-5" w:hanging="10"/>
        <w:rPr>
          <w:rFonts w:eastAsia="Book Antiqua" w:cs="Book Antiqua"/>
          <w:szCs w:val="19"/>
        </w:rPr>
      </w:pPr>
      <w:r w:rsidRPr="7F298151">
        <w:rPr>
          <w:rFonts w:eastAsia="Book Antiqua" w:cs="Book Antiqua"/>
          <w:szCs w:val="19"/>
        </w:rPr>
        <w:lastRenderedPageBreak/>
        <w:t xml:space="preserve">Austrade is supporting Australian businesses to navigate </w:t>
      </w:r>
      <w:r>
        <w:rPr>
          <w:rFonts w:eastAsia="Book Antiqua" w:cs="Book Antiqua"/>
          <w:szCs w:val="19"/>
        </w:rPr>
        <w:t>an</w:t>
      </w:r>
      <w:r w:rsidRPr="7F298151">
        <w:rPr>
          <w:rFonts w:eastAsia="Book Antiqua" w:cs="Book Antiqua"/>
          <w:szCs w:val="19"/>
        </w:rPr>
        <w:t xml:space="preserve"> increasingly uncertain</w:t>
      </w:r>
      <w:r>
        <w:rPr>
          <w:rFonts w:eastAsia="Book Antiqua" w:cs="Book Antiqua"/>
          <w:szCs w:val="19"/>
        </w:rPr>
        <w:t xml:space="preserve"> trading</w:t>
      </w:r>
      <w:r w:rsidRPr="7F298151">
        <w:rPr>
          <w:rFonts w:eastAsia="Book Antiqua" w:cs="Book Antiqua"/>
          <w:szCs w:val="19"/>
        </w:rPr>
        <w:t xml:space="preserve"> environment. Under the Accessing New Markets Initiative (ANMI), Austrade is working in close partnership with national peak industry bodies to assist Australian exporters to diversify into new markets, and to capitalise on growth opportunities in established markets.</w:t>
      </w:r>
      <w:r>
        <w:rPr>
          <w:rFonts w:eastAsia="Book Antiqua" w:cs="Book Antiqua"/>
          <w:szCs w:val="19"/>
        </w:rPr>
        <w:t xml:space="preserve"> </w:t>
      </w:r>
      <w:r w:rsidRPr="0081131A">
        <w:rPr>
          <w:rFonts w:eastAsia="Book Antiqua" w:cs="Book Antiqua"/>
          <w:szCs w:val="19"/>
        </w:rPr>
        <w:t>Austrade has also launched a Trade Resilience Service to support businesses impacted by current volatility in the Middle East</w:t>
      </w:r>
      <w:r>
        <w:rPr>
          <w:rFonts w:eastAsia="Book Antiqua" w:cs="Book Antiqua"/>
          <w:szCs w:val="19"/>
        </w:rPr>
        <w:t xml:space="preserve">. </w:t>
      </w:r>
    </w:p>
    <w:p w14:paraId="36394662" w14:textId="77777777" w:rsidR="00B970EF" w:rsidRDefault="00B970EF" w:rsidP="00B970EF">
      <w:pPr>
        <w:spacing w:after="231" w:line="251" w:lineRule="auto"/>
        <w:ind w:left="-5" w:hanging="10"/>
        <w:rPr>
          <w:rFonts w:eastAsia="Book Antiqua" w:cs="Book Antiqua"/>
          <w:szCs w:val="19"/>
        </w:rPr>
      </w:pPr>
      <w:r w:rsidRPr="6BF532A8">
        <w:rPr>
          <w:rFonts w:eastAsia="Book Antiqua" w:cs="Book Antiqua"/>
          <w:szCs w:val="19"/>
        </w:rPr>
        <w:t xml:space="preserve">ANMI </w:t>
      </w:r>
      <w:r w:rsidRPr="0081131A">
        <w:rPr>
          <w:rFonts w:eastAsia="Book Antiqua" w:cs="Book Antiqua"/>
          <w:szCs w:val="19"/>
        </w:rPr>
        <w:t xml:space="preserve">and the Trade Resilience Service </w:t>
      </w:r>
      <w:r w:rsidRPr="6BF532A8">
        <w:rPr>
          <w:rFonts w:eastAsia="Book Antiqua" w:cs="Book Antiqua"/>
          <w:szCs w:val="19"/>
        </w:rPr>
        <w:t xml:space="preserve">complement Austrade’s efforts to support Australian businesses </w:t>
      </w:r>
      <w:r>
        <w:rPr>
          <w:rFonts w:eastAsia="Book Antiqua" w:cs="Book Antiqua"/>
          <w:szCs w:val="19"/>
        </w:rPr>
        <w:t xml:space="preserve">to </w:t>
      </w:r>
      <w:r w:rsidRPr="6BF532A8">
        <w:rPr>
          <w:rFonts w:eastAsia="Book Antiqua" w:cs="Book Antiqua"/>
          <w:szCs w:val="19"/>
        </w:rPr>
        <w:t>diversify into new markets</w:t>
      </w:r>
      <w:r>
        <w:rPr>
          <w:rFonts w:eastAsia="Book Antiqua" w:cs="Book Antiqua"/>
          <w:szCs w:val="19"/>
        </w:rPr>
        <w:t>, including offering</w:t>
      </w:r>
      <w:r w:rsidRPr="6BF532A8">
        <w:rPr>
          <w:rFonts w:eastAsia="Book Antiqua" w:cs="Book Antiqua"/>
          <w:szCs w:val="19"/>
        </w:rPr>
        <w:t xml:space="preserve"> one-on-one support, trade missions and events, and digital trade services provided via the Go Global Toolkit.</w:t>
      </w:r>
    </w:p>
    <w:p w14:paraId="4E4DF292" w14:textId="77777777" w:rsidR="00B970EF" w:rsidRDefault="00B970EF" w:rsidP="00B970EF">
      <w:pPr>
        <w:spacing w:after="231" w:line="251" w:lineRule="auto"/>
        <w:ind w:left="-5" w:hanging="10"/>
        <w:rPr>
          <w:rFonts w:eastAsia="Book Antiqua" w:cs="Book Antiqua"/>
        </w:rPr>
      </w:pPr>
      <w:r>
        <w:rPr>
          <w:rFonts w:eastAsia="Book Antiqua" w:cs="Book Antiqua"/>
        </w:rPr>
        <w:t>Austrade will continue to support Australian exporters to diversify through the Southeast Asia Business Exchange (SEABX) and the South Asia Business Exchange (SABX), alongside targeted assistance to help Australian exporters realise the full benefits of free trade agreements, such as the Australia-European Union Free Trade Agreement (A-EU FTA) and the Australia-United Arab Emirates Comprehensive Economic Partnership Agreement (Australia-UAE CEPA).</w:t>
      </w:r>
    </w:p>
    <w:p w14:paraId="1F5FA422" w14:textId="77777777" w:rsidR="00B970EF" w:rsidRDefault="00B970EF" w:rsidP="00B970EF">
      <w:pPr>
        <w:spacing w:after="231" w:line="251" w:lineRule="auto"/>
        <w:ind w:left="-5" w:hanging="10"/>
        <w:rPr>
          <w:rFonts w:eastAsia="Book Antiqua" w:cs="Book Antiqua"/>
        </w:rPr>
      </w:pPr>
      <w:r w:rsidRPr="00572A54">
        <w:rPr>
          <w:rFonts w:eastAsia="Book Antiqua" w:cs="Book Antiqua"/>
        </w:rPr>
        <w:t xml:space="preserve">Austrade supports First Nations businesses to access international markets and embeds First Nations perspectives in our activities. </w:t>
      </w:r>
      <w:r>
        <w:rPr>
          <w:rFonts w:eastAsia="Book Antiqua" w:cs="Book Antiqua"/>
        </w:rPr>
        <w:t>Austrade also supports Australian businesses on their export journey by providing guidance and resources through the Go Global Toolkit and administering the Export Market Development Grants program.</w:t>
      </w:r>
    </w:p>
    <w:p w14:paraId="33285EB4" w14:textId="77777777" w:rsidR="00B970EF" w:rsidRDefault="00B970EF" w:rsidP="00B970EF">
      <w:pPr>
        <w:spacing w:after="231" w:line="251" w:lineRule="auto"/>
        <w:ind w:left="-5" w:hanging="10"/>
        <w:rPr>
          <w:rFonts w:eastAsia="Book Antiqua" w:cs="Book Antiqua"/>
          <w:szCs w:val="19"/>
        </w:rPr>
      </w:pPr>
      <w:r w:rsidRPr="22A9BE10">
        <w:rPr>
          <w:rFonts w:eastAsia="Book Antiqua" w:cs="Book Antiqua"/>
          <w:szCs w:val="19"/>
        </w:rPr>
        <w:t>As Australia's national foreign investment attraction and facilitation agency, Austrade supports Australia’s economic resilience, Australia’s energy transition and promotes Australia as a trusted partner in net zero transformation, driving outcomes that lower emissions and position Australia as a renewable energy superpower. In collaboration with state and territory governments, our focus in 2026</w:t>
      </w:r>
      <w:r>
        <w:rPr>
          <w:rFonts w:eastAsia="Book Antiqua" w:cs="Book Antiqua"/>
          <w:szCs w:val="19"/>
        </w:rPr>
        <w:t>–</w:t>
      </w:r>
      <w:r w:rsidRPr="22A9BE10">
        <w:rPr>
          <w:rFonts w:eastAsia="Book Antiqua" w:cs="Book Antiqua"/>
          <w:szCs w:val="19"/>
        </w:rPr>
        <w:t>27 is to attract investment that aligns with the ‘Future Made in Australia’ agenda to enhance Australia's economic competitiveness by fostering the growth of critical and emerging industries and technologies. This includes continuing to support the global net zero transformation through the growth of Australia’s critical minerals sector.</w:t>
      </w:r>
    </w:p>
    <w:p w14:paraId="2EC5FBA1" w14:textId="77777777" w:rsidR="00B970EF" w:rsidRDefault="00B970EF" w:rsidP="00B970EF">
      <w:pPr>
        <w:spacing w:after="231" w:line="251" w:lineRule="auto"/>
        <w:ind w:left="-5" w:hanging="10"/>
        <w:rPr>
          <w:rFonts w:eastAsia="Book Antiqua" w:cs="Book Antiqua"/>
          <w:szCs w:val="19"/>
        </w:rPr>
      </w:pPr>
      <w:r w:rsidRPr="7F298151">
        <w:rPr>
          <w:rFonts w:eastAsia="Book Antiqua" w:cs="Book Antiqua"/>
          <w:szCs w:val="19"/>
        </w:rPr>
        <w:t xml:space="preserve">Building on </w:t>
      </w:r>
      <w:r w:rsidRPr="7F298151">
        <w:rPr>
          <w:rFonts w:eastAsia="Book Antiqua" w:cs="Book Antiqua"/>
          <w:i/>
          <w:iCs/>
          <w:szCs w:val="19"/>
        </w:rPr>
        <w:t>Invested: Australia’s Southeast Asia Economic Strategy to 2040</w:t>
      </w:r>
      <w:r w:rsidRPr="7F298151">
        <w:rPr>
          <w:rFonts w:eastAsia="Book Antiqua" w:cs="Book Antiqua"/>
          <w:szCs w:val="19"/>
        </w:rPr>
        <w:t>, Austrade will continue to boost two-way trade and investment between Australia and Southeast Asia by delivering the Southeast Asia Investment Deal Teams Program</w:t>
      </w:r>
      <w:r>
        <w:rPr>
          <w:rFonts w:eastAsia="Book Antiqua" w:cs="Book Antiqua"/>
          <w:szCs w:val="19"/>
        </w:rPr>
        <w:t>. In collaboration with our partner agencies, Austrade will also continue to prioritise inbound tourism attraction, strengthening efforts to both attract and better service travellers, and drive growth across leisure, business and education travel.</w:t>
      </w:r>
    </w:p>
    <w:p w14:paraId="7C5319F7" w14:textId="77777777" w:rsidR="00B970EF" w:rsidRDefault="00B970EF" w:rsidP="00B970EF">
      <w:pPr>
        <w:spacing w:before="0" w:after="0" w:line="240" w:lineRule="auto"/>
        <w:rPr>
          <w:rFonts w:eastAsia="Book Antiqua" w:cs="Book Antiqua"/>
          <w:szCs w:val="19"/>
        </w:rPr>
      </w:pPr>
      <w:r>
        <w:rPr>
          <w:rFonts w:eastAsia="Book Antiqua" w:cs="Book Antiqua"/>
          <w:szCs w:val="19"/>
        </w:rPr>
        <w:br w:type="page"/>
      </w:r>
    </w:p>
    <w:p w14:paraId="1B1807B4" w14:textId="77777777" w:rsidR="00B970EF" w:rsidRDefault="00B970EF" w:rsidP="00B970EF">
      <w:pPr>
        <w:spacing w:after="231" w:line="251" w:lineRule="auto"/>
        <w:ind w:left="-5" w:hanging="10"/>
        <w:rPr>
          <w:rFonts w:eastAsia="Book Antiqua" w:cs="Book Antiqua"/>
          <w:szCs w:val="19"/>
          <w:highlight w:val="cyan"/>
        </w:rPr>
      </w:pPr>
      <w:r w:rsidRPr="7F298151">
        <w:rPr>
          <w:rFonts w:eastAsia="Book Antiqua" w:cs="Book Antiqua"/>
          <w:szCs w:val="19"/>
        </w:rPr>
        <w:lastRenderedPageBreak/>
        <w:t xml:space="preserve">Leadership of tourism policy and the visitor economy </w:t>
      </w:r>
      <w:proofErr w:type="gramStart"/>
      <w:r w:rsidRPr="7F298151">
        <w:rPr>
          <w:rFonts w:eastAsia="Book Antiqua" w:cs="Book Antiqua"/>
          <w:szCs w:val="19"/>
        </w:rPr>
        <w:t>remains</w:t>
      </w:r>
      <w:proofErr w:type="gramEnd"/>
      <w:r w:rsidRPr="7F298151">
        <w:rPr>
          <w:rFonts w:eastAsia="Book Antiqua" w:cs="Book Antiqua"/>
          <w:szCs w:val="19"/>
        </w:rPr>
        <w:t xml:space="preserve"> a priority for Austrade. Austrade is responsible for the national THRIVE 2030 (The Re-Imagined Visitor Economy) strategy, which charts a course for the recovery and sustainable growth of Australia as a domestic and international tourism destination. THRIVE 2030 is focused on diversifying markets, modernising the visitor economy workforce, infrastructure and business practices, and improving collaboration across industry and governments. This includes developing high-quality visitor economy data and insights via Tourism Research Australia. Austrade continues to deliver a range of grant programs that support the recovery and sustainable growth of Australia’s visitor economy, such as</w:t>
      </w:r>
      <w:r>
        <w:rPr>
          <w:rFonts w:eastAsia="Book Antiqua" w:cs="Book Antiqua"/>
          <w:szCs w:val="19"/>
        </w:rPr>
        <w:t xml:space="preserve"> in</w:t>
      </w:r>
      <w:r w:rsidRPr="7F298151">
        <w:rPr>
          <w:rFonts w:eastAsia="Book Antiqua" w:cs="Book Antiqua"/>
          <w:szCs w:val="19"/>
        </w:rPr>
        <w:t xml:space="preserve"> the</w:t>
      </w:r>
      <w:r>
        <w:rPr>
          <w:rFonts w:eastAsia="Book Antiqua" w:cs="Book Antiqua"/>
          <w:szCs w:val="19"/>
        </w:rPr>
        <w:t xml:space="preserve"> Great Barrier Reef and Central Australia</w:t>
      </w:r>
      <w:r w:rsidRPr="7F298151">
        <w:rPr>
          <w:rFonts w:eastAsia="Book Antiqua" w:cs="Book Antiqua"/>
          <w:szCs w:val="19"/>
        </w:rPr>
        <w:t>.</w:t>
      </w:r>
    </w:p>
    <w:p w14:paraId="03EC3852" w14:textId="77777777" w:rsidR="00B970EF" w:rsidRDefault="00B970EF" w:rsidP="00B970EF">
      <w:pPr>
        <w:spacing w:after="231" w:line="251" w:lineRule="auto"/>
        <w:ind w:left="-5" w:hanging="10"/>
      </w:pPr>
      <w:r>
        <w:rPr>
          <w:rFonts w:eastAsia="Book Antiqua" w:cs="Book Antiqua"/>
        </w:rPr>
        <w:t xml:space="preserve">A more detailed description of Austrade’s activities will be provided in Austrade’s Corporate Plan 2026–27. Progress against our performance measures is detailed in our Annual Performance Statements, contained in the Austrade Annual Report. </w:t>
      </w:r>
    </w:p>
    <w:p w14:paraId="1839508C" w14:textId="77777777" w:rsidR="00B970EF" w:rsidRDefault="00B970EF" w:rsidP="00B970EF">
      <w:pPr>
        <w:pStyle w:val="Heading3"/>
      </w:pPr>
      <w:r w:rsidRPr="0079797F">
        <w:br w:type="page"/>
      </w:r>
      <w:r>
        <w:lastRenderedPageBreak/>
        <w:t>1.2</w:t>
      </w:r>
      <w:r>
        <w:tab/>
        <w:t>Entity resource statement</w:t>
      </w:r>
    </w:p>
    <w:p w14:paraId="69D3CB85" w14:textId="77777777" w:rsidR="00B970EF" w:rsidRDefault="00B970EF" w:rsidP="00B970EF">
      <w:r>
        <w:t>Table 1.1 shows the total resourcing from all sources available to the entity for its operations and to deliver programs and services on behalf of the Government.</w:t>
      </w:r>
    </w:p>
    <w:p w14:paraId="7D33A426" w14:textId="77777777" w:rsidR="00B970EF" w:rsidRDefault="00B970EF" w:rsidP="00B970EF">
      <w:r>
        <w:t>The table summarises how resources will be applied by outcome (government strategic policy objectives) and by administered (on behalf of the Government or the public) and departmental (for the entity’s operations) classification.</w:t>
      </w:r>
    </w:p>
    <w:p w14:paraId="412D4927" w14:textId="77777777" w:rsidR="00B970EF" w:rsidRDefault="00B970EF" w:rsidP="00B970EF">
      <w:r>
        <w:t xml:space="preserve">For more detailed information on special accounts and special appropriations, please refer to the </w:t>
      </w:r>
      <w:r w:rsidRPr="00412C0B">
        <w:rPr>
          <w:i/>
        </w:rPr>
        <w:t>Budget Paper No. 4 – Agency Resourcing</w:t>
      </w:r>
      <w:r>
        <w:t xml:space="preserve">. </w:t>
      </w:r>
    </w:p>
    <w:p w14:paraId="015C470C" w14:textId="77777777" w:rsidR="00B970EF" w:rsidRDefault="00B970EF" w:rsidP="00B970EF">
      <w:r>
        <w:t>Information in this table is presented on a resourcing (that is, appropriations/cash available) basis, whilst the ‘Budgeted expenses by Outcome’ tables in Section 2 and the financial statements in Section 3 are presented on an accrual basis. Amounts presented below are consistent with amounts presented in the Appropriation Bills themselves.</w:t>
      </w:r>
    </w:p>
    <w:p w14:paraId="4C1E3DB9" w14:textId="77777777" w:rsidR="00B970EF" w:rsidRDefault="00B970EF" w:rsidP="00B970EF">
      <w:pPr>
        <w:pStyle w:val="TableHeading"/>
      </w:pPr>
      <w:r>
        <w:br w:type="page"/>
      </w:r>
      <w:r w:rsidRPr="00D44150">
        <w:lastRenderedPageBreak/>
        <w:t xml:space="preserve">Table 1.1: </w:t>
      </w:r>
      <w:r w:rsidRPr="006E063E">
        <w:t>Australian Trade and Investment Commission</w:t>
      </w:r>
      <w:r>
        <w:t xml:space="preserve"> </w:t>
      </w:r>
      <w:r w:rsidRPr="00D44150">
        <w:t>resource statement</w:t>
      </w:r>
      <w:r>
        <w:t xml:space="preserve"> – Budget estimates for 2026–27 </w:t>
      </w:r>
      <w:r w:rsidRPr="00D44150">
        <w:t xml:space="preserve">as at Budget </w:t>
      </w:r>
      <w:r>
        <w:t>May 2026</w:t>
      </w:r>
    </w:p>
    <w:p w14:paraId="3F32BC0C" w14:textId="77777777" w:rsidR="00B970EF" w:rsidRDefault="00B970EF" w:rsidP="00B970EF">
      <w:pPr>
        <w:spacing w:before="0" w:after="0" w:line="240" w:lineRule="auto"/>
      </w:pPr>
      <w:r w:rsidRPr="002102CE">
        <w:rPr>
          <w:noProof/>
        </w:rPr>
        <w:drawing>
          <wp:inline distT="0" distB="0" distL="0" distR="0" wp14:anchorId="03B34501" wp14:editId="0F6AFB8D">
            <wp:extent cx="4563745" cy="3498850"/>
            <wp:effectExtent l="0" t="0" r="8255" b="6350"/>
            <wp:docPr id="457003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63745" cy="3498850"/>
                    </a:xfrm>
                    <a:prstGeom prst="rect">
                      <a:avLst/>
                    </a:prstGeom>
                    <a:noFill/>
                    <a:ln>
                      <a:noFill/>
                    </a:ln>
                  </pic:spPr>
                </pic:pic>
              </a:graphicData>
            </a:graphic>
          </wp:inline>
        </w:drawing>
      </w:r>
    </w:p>
    <w:p w14:paraId="1864F57F" w14:textId="77777777" w:rsidR="00B970EF" w:rsidRDefault="00B970EF" w:rsidP="00B970EF">
      <w:pPr>
        <w:pStyle w:val="ChartandTableFootnote"/>
      </w:pPr>
      <w:r w:rsidRPr="00AF0A7A">
        <w:t>Prepared on a resourcing (that is, appropriations available) basis.</w:t>
      </w:r>
    </w:p>
    <w:p w14:paraId="742ADA82" w14:textId="77777777" w:rsidR="00B970EF" w:rsidRPr="00AF0A7A" w:rsidRDefault="00B970EF" w:rsidP="00B970EF">
      <w:pPr>
        <w:pStyle w:val="ChartandTableFootnote"/>
      </w:pPr>
      <w:r w:rsidRPr="00AF0A7A">
        <w:t>All figures shown above are GST exclusive – these may not match figures in the cash flow statement.</w:t>
      </w:r>
    </w:p>
    <w:p w14:paraId="2B0D911C" w14:textId="77777777" w:rsidR="00B970EF" w:rsidRPr="00AF0A7A" w:rsidRDefault="00B970EF" w:rsidP="00B970EF">
      <w:pPr>
        <w:pStyle w:val="ChartandTableFootnoteAlpha"/>
        <w:numPr>
          <w:ilvl w:val="0"/>
          <w:numId w:val="13"/>
        </w:numPr>
      </w:pPr>
      <w:r w:rsidRPr="00934891">
        <w:rPr>
          <w:i/>
          <w:iCs/>
        </w:rPr>
        <w:t>Appropriation Bill (No. 1) 2026–2027</w:t>
      </w:r>
      <w:r w:rsidRPr="00AF0A7A">
        <w:t>.</w:t>
      </w:r>
    </w:p>
    <w:p w14:paraId="42849798" w14:textId="77777777" w:rsidR="00B970EF" w:rsidRPr="00AF0A7A" w:rsidRDefault="00B970EF" w:rsidP="00B970EF">
      <w:pPr>
        <w:pStyle w:val="ChartandTableFootnoteAlpha"/>
        <w:numPr>
          <w:ilvl w:val="0"/>
          <w:numId w:val="6"/>
        </w:numPr>
      </w:pPr>
      <w:r w:rsidRPr="00AF0A7A">
        <w:t>Excludes departmental capital budget (DCB).</w:t>
      </w:r>
    </w:p>
    <w:p w14:paraId="73B87370" w14:textId="77777777" w:rsidR="00B970EF" w:rsidRPr="00AF0A7A" w:rsidRDefault="00B970EF" w:rsidP="00B970EF">
      <w:pPr>
        <w:pStyle w:val="ChartandTableFootnoteAlpha"/>
        <w:numPr>
          <w:ilvl w:val="0"/>
          <w:numId w:val="6"/>
        </w:numPr>
      </w:pPr>
      <w:r w:rsidRPr="00AF0A7A">
        <w:t xml:space="preserve">Estimated External Revenue receipts under section 74 of the </w:t>
      </w:r>
      <w:r w:rsidRPr="00934891">
        <w:rPr>
          <w:i/>
          <w:iCs/>
        </w:rPr>
        <w:t>Public Governance, Performance and Accountability Act 2013</w:t>
      </w:r>
      <w:r w:rsidRPr="00934891">
        <w:t xml:space="preserve"> (PGPA Act)</w:t>
      </w:r>
      <w:r w:rsidRPr="00AF0A7A">
        <w:t>.</w:t>
      </w:r>
    </w:p>
    <w:p w14:paraId="06318BFF" w14:textId="77777777" w:rsidR="00B970EF" w:rsidRPr="00AF0A7A" w:rsidRDefault="00B970EF" w:rsidP="00B970EF">
      <w:pPr>
        <w:pStyle w:val="ChartandTableFootnoteAlpha"/>
        <w:numPr>
          <w:ilvl w:val="0"/>
          <w:numId w:val="6"/>
        </w:numPr>
      </w:pPr>
      <w:r w:rsidRPr="00AF0A7A">
        <w:t>Departmental capital budgets are not separately identified in Appropriation Bill (No. 1) and form part of ordinary annual services items. Please refer to Table 3.5 for further details. For accounting purposes, this amount has been designated as a ‘contribution by owner’.</w:t>
      </w:r>
    </w:p>
    <w:p w14:paraId="35D4764D" w14:textId="77777777" w:rsidR="00B970EF" w:rsidRPr="00AF0A7A" w:rsidRDefault="00B970EF" w:rsidP="00B970EF">
      <w:pPr>
        <w:pStyle w:val="ChartandTableFootnoteAlpha"/>
        <w:numPr>
          <w:ilvl w:val="0"/>
          <w:numId w:val="6"/>
        </w:numPr>
      </w:pPr>
      <w:r w:rsidRPr="00934891">
        <w:rPr>
          <w:i/>
          <w:iCs/>
        </w:rPr>
        <w:t>Appropriation Bill (No. 2) 2026–2027</w:t>
      </w:r>
      <w:r w:rsidRPr="00AF0A7A">
        <w:t>.</w:t>
      </w:r>
    </w:p>
    <w:p w14:paraId="32CB3872" w14:textId="77777777" w:rsidR="00B970EF" w:rsidRPr="00133BCE" w:rsidRDefault="00B970EF" w:rsidP="00B970EF">
      <w:pPr>
        <w:spacing w:before="0" w:after="0" w:line="240" w:lineRule="auto"/>
      </w:pPr>
      <w:r>
        <w:br w:type="page"/>
      </w:r>
    </w:p>
    <w:p w14:paraId="39414A67" w14:textId="77777777" w:rsidR="00B970EF" w:rsidRPr="005A7C0B" w:rsidRDefault="00B970EF" w:rsidP="00B970EF">
      <w:pPr>
        <w:pStyle w:val="Heading3"/>
      </w:pPr>
      <w:r w:rsidRPr="005A7C0B">
        <w:lastRenderedPageBreak/>
        <w:t>1.3</w:t>
      </w:r>
      <w:r w:rsidRPr="005A7C0B">
        <w:tab/>
        <w:t>Budget measures</w:t>
      </w:r>
    </w:p>
    <w:p w14:paraId="18D014DB" w14:textId="77777777" w:rsidR="00B970EF" w:rsidRDefault="00B970EF" w:rsidP="00B970EF">
      <w:r w:rsidRPr="00DC32EC">
        <w:t xml:space="preserve">Budget measures </w:t>
      </w:r>
      <w:r>
        <w:t xml:space="preserve">in Part 1 </w:t>
      </w:r>
      <w:r w:rsidRPr="00DC32EC">
        <w:t>relating to</w:t>
      </w:r>
      <w:r>
        <w:t xml:space="preserve"> </w:t>
      </w:r>
      <w:r w:rsidRPr="006E063E">
        <w:t xml:space="preserve">the Australian Trade and Investment Commission </w:t>
      </w:r>
      <w:r w:rsidRPr="00DC32EC">
        <w:t>a</w:t>
      </w:r>
      <w:r>
        <w:t>re detailed in the Budget Paper No. </w:t>
      </w:r>
      <w:r w:rsidRPr="00DC32EC">
        <w:t>2</w:t>
      </w:r>
      <w:r>
        <w:t xml:space="preserve"> and are summarised below.</w:t>
      </w:r>
    </w:p>
    <w:p w14:paraId="01BCDB52" w14:textId="77777777" w:rsidR="00B970EF" w:rsidRPr="009A40DD" w:rsidRDefault="00B970EF" w:rsidP="00B970EF">
      <w:pPr>
        <w:pStyle w:val="TableHeading"/>
      </w:pPr>
      <w:r w:rsidRPr="009A40DD">
        <w:t>Table 1.2: Entity</w:t>
      </w:r>
      <w:r>
        <w:t xml:space="preserve"> 2026–27 </w:t>
      </w:r>
      <w:r w:rsidRPr="009A40DD">
        <w:t>Budget measures</w:t>
      </w:r>
    </w:p>
    <w:p w14:paraId="45369063" w14:textId="77777777" w:rsidR="00B970EF" w:rsidRPr="00422CB4" w:rsidRDefault="00B970EF" w:rsidP="00B970EF">
      <w:pPr>
        <w:pStyle w:val="TableHeading"/>
        <w:rPr>
          <w:rFonts w:ascii="Times New Roman" w:hAnsi="Times New Roman"/>
        </w:rPr>
      </w:pPr>
      <w:r>
        <w:rPr>
          <w:rFonts w:ascii="Arial Bold" w:hAnsi="Arial Bold"/>
        </w:rPr>
        <w:t xml:space="preserve">Part 1: </w:t>
      </w:r>
      <w:r w:rsidRPr="007F6CAD">
        <w:rPr>
          <w:rFonts w:ascii="Arial Bold" w:hAnsi="Arial Bold"/>
        </w:rPr>
        <w:t xml:space="preserve">Measures announced </w:t>
      </w:r>
      <w:r>
        <w:rPr>
          <w:rFonts w:ascii="Arial Bold" w:hAnsi="Arial Bold"/>
        </w:rPr>
        <w:t>since</w:t>
      </w:r>
      <w:r w:rsidRPr="007F6CAD">
        <w:rPr>
          <w:rFonts w:ascii="Arial Bold" w:hAnsi="Arial Bold"/>
        </w:rPr>
        <w:t xml:space="preserve"> the</w:t>
      </w:r>
      <w:r>
        <w:rPr>
          <w:rFonts w:ascii="Arial Bold" w:hAnsi="Arial Bold"/>
        </w:rPr>
        <w:t xml:space="preserve"> 2025–26 Mid-Year Economic and Fiscal Outlook (MYEFO)</w:t>
      </w:r>
      <w:r>
        <w:rPr>
          <w:rFonts w:ascii="Book Antiqua" w:hAnsi="Book Antiqua"/>
        </w:rPr>
        <w:fldChar w:fldCharType="begin" w:fldLock="1"/>
      </w:r>
      <w:r>
        <w:instrText xml:space="preserve"> LINK Excel.Sheet.12 "\\\\fs10\\csg_h$\\MCD\\Publishing\\Graphic Design Services Team\\Projects\\2025\\Budget 2025-26\\04 PBS 2025-26\\1. PBS 2025-26 TEMPLATES + SHELLS\\Supplied\\EM 2025-XX - Attachment B - 2025-26 PBS Excel Tables.xlsx" "Table 1.2!R3C1:R21C7" \a \f 4 \h  \* MERGEFORMAT </w:instrText>
      </w:r>
      <w:r>
        <w:rPr>
          <w:rFonts w:ascii="Book Antiqua" w:hAnsi="Book Antiqua"/>
        </w:rPr>
        <w:fldChar w:fldCharType="separate"/>
      </w:r>
      <w:r>
        <w:rPr>
          <w:rFonts w:ascii="Arial Bold" w:hAnsi="Arial Bold"/>
        </w:rPr>
        <w:fldChar w:fldCharType="end"/>
      </w:r>
    </w:p>
    <w:p w14:paraId="594DF743" w14:textId="77777777" w:rsidR="00B970EF" w:rsidRDefault="00B970EF" w:rsidP="00B970EF">
      <w:pPr>
        <w:pStyle w:val="TableGraphic"/>
        <w:rPr>
          <w:rFonts w:ascii="Arial Bold" w:hAnsi="Arial Bold"/>
          <w:b/>
        </w:rPr>
      </w:pPr>
      <w:r w:rsidRPr="00B87AA1">
        <w:rPr>
          <w:noProof/>
        </w:rPr>
        <w:drawing>
          <wp:inline distT="0" distB="0" distL="0" distR="0" wp14:anchorId="16410EF1" wp14:editId="58E6E84D">
            <wp:extent cx="4659630" cy="2727325"/>
            <wp:effectExtent l="0" t="0" r="7620" b="0"/>
            <wp:docPr id="618489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59630" cy="2727325"/>
                    </a:xfrm>
                    <a:prstGeom prst="rect">
                      <a:avLst/>
                    </a:prstGeom>
                    <a:noFill/>
                    <a:ln>
                      <a:noFill/>
                    </a:ln>
                  </pic:spPr>
                </pic:pic>
              </a:graphicData>
            </a:graphic>
          </wp:inline>
        </w:drawing>
      </w:r>
    </w:p>
    <w:p w14:paraId="1F13B942" w14:textId="77777777" w:rsidR="00B970EF" w:rsidRPr="00704BB6" w:rsidRDefault="00B970EF" w:rsidP="00B970EF">
      <w:pPr>
        <w:pStyle w:val="ChartandTableFootnote"/>
      </w:pPr>
      <w:r w:rsidRPr="00704BB6">
        <w:t xml:space="preserve">Prepared on a Government </w:t>
      </w:r>
      <w:r w:rsidRPr="001A3FDA">
        <w:t>Finance</w:t>
      </w:r>
      <w:r w:rsidRPr="00704BB6">
        <w:t xml:space="preserve"> Statistics (Underlying Cash) basis. Figures displayed as a negative (</w:t>
      </w:r>
      <w:r>
        <w:noBreakHyphen/>
      </w:r>
      <w:r w:rsidRPr="00704BB6">
        <w:t xml:space="preserve">) represent a </w:t>
      </w:r>
      <w:r w:rsidRPr="00116C76">
        <w:t>decrease</w:t>
      </w:r>
      <w:r w:rsidRPr="00704BB6">
        <w:t xml:space="preserve"> in funds and a positive (+) represent an increase in funds.</w:t>
      </w:r>
    </w:p>
    <w:p w14:paraId="52B6CC60" w14:textId="77777777" w:rsidR="00B970EF" w:rsidRDefault="00B970EF" w:rsidP="00B970EF">
      <w:pPr>
        <w:pStyle w:val="ChartandTableFootnoteAlpha"/>
        <w:numPr>
          <w:ilvl w:val="0"/>
          <w:numId w:val="12"/>
        </w:numPr>
      </w:pPr>
      <w:r>
        <w:t xml:space="preserve">The full measure description and package details appear in Budget Paper No. 2 under the Foreign Affairs and Trade portfolio. </w:t>
      </w:r>
    </w:p>
    <w:p w14:paraId="49CB6FF1" w14:textId="77777777" w:rsidR="00B970EF" w:rsidRDefault="00B970EF" w:rsidP="00B970EF">
      <w:pPr>
        <w:pStyle w:val="ChartandTableFootnoteAlpha"/>
        <w:numPr>
          <w:ilvl w:val="0"/>
          <w:numId w:val="12"/>
        </w:numPr>
      </w:pPr>
      <w:r w:rsidRPr="00A7264B">
        <w:t>Includes capital funding of $1.981 million in 2026-27 and $1.956 million in 2027-28.</w:t>
      </w:r>
    </w:p>
    <w:p w14:paraId="1C924E10" w14:textId="77777777" w:rsidR="00B970EF" w:rsidRDefault="00B970EF" w:rsidP="00B970EF">
      <w:pPr>
        <w:pStyle w:val="ChartandTableFootnoteAlpha"/>
        <w:numPr>
          <w:ilvl w:val="0"/>
          <w:numId w:val="12"/>
        </w:numPr>
      </w:pPr>
      <w:r w:rsidRPr="00A7264B">
        <w:t>Includes costs of $1.1 million over 2 years that will be fully absorbed by Austrade.</w:t>
      </w:r>
    </w:p>
    <w:p w14:paraId="33C989AA" w14:textId="77777777" w:rsidR="00B970EF" w:rsidRPr="00116C76" w:rsidRDefault="00B970EF" w:rsidP="00B970EF">
      <w:pPr>
        <w:pStyle w:val="ChartandTableFootnoteAlpha"/>
        <w:numPr>
          <w:ilvl w:val="0"/>
          <w:numId w:val="12"/>
        </w:numPr>
      </w:pPr>
      <w:r w:rsidRPr="00116C76">
        <w:t xml:space="preserve">The </w:t>
      </w:r>
      <w:r w:rsidRPr="00207964">
        <w:t>full measure description and package details appear in Budget Paper No. 2 under</w:t>
      </w:r>
      <w:r>
        <w:t xml:space="preserve"> Cross Portfolio</w:t>
      </w:r>
      <w:r w:rsidRPr="00116C76">
        <w:t>.</w:t>
      </w:r>
    </w:p>
    <w:p w14:paraId="55B30E08" w14:textId="77777777" w:rsidR="00B970EF" w:rsidRDefault="00B970EF" w:rsidP="00B970EF">
      <w:pPr>
        <w:spacing w:before="0" w:after="0" w:line="240" w:lineRule="auto"/>
      </w:pPr>
      <w:r>
        <w:br w:type="page"/>
      </w:r>
    </w:p>
    <w:p w14:paraId="512E297D" w14:textId="77777777" w:rsidR="00B970EF" w:rsidRPr="00810C6A" w:rsidRDefault="00B970EF" w:rsidP="00B970EF">
      <w:pPr>
        <w:pStyle w:val="Heading2"/>
      </w:pPr>
      <w:r w:rsidRPr="00810C6A">
        <w:lastRenderedPageBreak/>
        <w:t>Section 2: Outcomes and planned performance</w:t>
      </w:r>
    </w:p>
    <w:p w14:paraId="72FA7F6B" w14:textId="77777777" w:rsidR="00B970EF" w:rsidRPr="005E6F2B" w:rsidRDefault="00B970EF" w:rsidP="00B970EF">
      <w:r w:rsidRPr="005E6F2B">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0EF71200" w14:textId="77777777" w:rsidR="00B970EF" w:rsidRPr="0068433C" w:rsidRDefault="00B970EF" w:rsidP="00B970EF">
      <w:pPr>
        <w:rPr>
          <w:iCs/>
        </w:rPr>
      </w:pPr>
      <w:r w:rsidRPr="005E6F2B">
        <w:t xml:space="preserve">Each outcome is described below together with its related programs. The following provides detailed information on expenses for each outcome and program, further broken down by funding source.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00"/>
      </w:tblGrid>
      <w:tr w:rsidR="00B970EF" w:rsidRPr="001C6402" w14:paraId="20187A65" w14:textId="77777777" w:rsidTr="001744D0">
        <w:tc>
          <w:tcPr>
            <w:tcW w:w="7700" w:type="dxa"/>
          </w:tcPr>
          <w:p w14:paraId="377A53A8" w14:textId="77777777" w:rsidR="00B970EF" w:rsidRPr="001C6402" w:rsidRDefault="00B970EF" w:rsidP="001744D0">
            <w:pPr>
              <w:spacing w:before="120" w:after="120" w:line="240" w:lineRule="auto"/>
              <w:jc w:val="both"/>
              <w:rPr>
                <w:b/>
              </w:rPr>
            </w:pPr>
            <w:r w:rsidRPr="001C6402">
              <w:rPr>
                <w:b/>
              </w:rPr>
              <w:t>Note:</w:t>
            </w:r>
          </w:p>
          <w:p w14:paraId="6AE81CB6" w14:textId="77777777" w:rsidR="00B970EF" w:rsidRPr="001C6402" w:rsidRDefault="00B970EF" w:rsidP="001744D0">
            <w:r w:rsidRPr="001C6402">
              <w:t xml:space="preserve">Performance reporting requirements in the Portfolio Budget Statements are part of the Commonwealth performance framework established by the </w:t>
            </w:r>
            <w:r w:rsidRPr="001C6402">
              <w:rPr>
                <w:i/>
              </w:rPr>
              <w:t>Public Governance, Performance and Accountability Act 2013</w:t>
            </w:r>
            <w:r w:rsidRPr="001C6402">
              <w:t>. It is anticipated that the performance measure described in Portfolio Budget Statements will be read with broader information provided in an entity</w:t>
            </w:r>
            <w:r>
              <w:t>’</w:t>
            </w:r>
            <w:r w:rsidRPr="001C6402">
              <w:t>s corporate plans and annual performance statements – included in Annual Reports</w:t>
            </w:r>
            <w:r>
              <w:t xml:space="preserve"> – </w:t>
            </w:r>
            <w:r w:rsidRPr="001C6402">
              <w:t>to provide a complete picture of an entity</w:t>
            </w:r>
            <w:r>
              <w:t>’</w:t>
            </w:r>
            <w:r w:rsidRPr="001C6402">
              <w:t>s planned and actual performance.</w:t>
            </w:r>
          </w:p>
          <w:p w14:paraId="65A2534C" w14:textId="77777777" w:rsidR="00B970EF" w:rsidRPr="001C6402" w:rsidRDefault="00B970EF" w:rsidP="001744D0">
            <w:r w:rsidRPr="001C6402">
              <w:t xml:space="preserve">The most recent corporate plan for </w:t>
            </w:r>
            <w:r w:rsidRPr="0068433C">
              <w:t xml:space="preserve">Austrade </w:t>
            </w:r>
            <w:r w:rsidRPr="001C6402">
              <w:t xml:space="preserve">can be found at: </w:t>
            </w:r>
            <w:hyperlink r:id="rId16" w:history="1">
              <w:r w:rsidRPr="0068433C">
                <w:rPr>
                  <w:rStyle w:val="Hyperlink"/>
                </w:rPr>
                <w:t>https://www.austrade.gov.au/en/about-austrade/governance/corporate-plan</w:t>
              </w:r>
            </w:hyperlink>
            <w:r w:rsidRPr="001C6402">
              <w:t>.</w:t>
            </w:r>
          </w:p>
          <w:p w14:paraId="1F627B14" w14:textId="77777777" w:rsidR="00B970EF" w:rsidRPr="001C6402" w:rsidRDefault="00B970EF" w:rsidP="001744D0">
            <w:r w:rsidRPr="001C6402">
              <w:t xml:space="preserve">The most recent annual performance statement can be found at: </w:t>
            </w:r>
            <w:hyperlink r:id="rId17" w:history="1">
              <w:r w:rsidRPr="0068433C">
                <w:rPr>
                  <w:rStyle w:val="Hyperlink"/>
                </w:rPr>
                <w:t>https://www.austrade.gov.au/en/about-austrade/governance/annual-report</w:t>
              </w:r>
            </w:hyperlink>
            <w:r w:rsidRPr="001C6402">
              <w:t>.</w:t>
            </w:r>
          </w:p>
        </w:tc>
      </w:tr>
    </w:tbl>
    <w:p w14:paraId="661C3D25" w14:textId="77777777" w:rsidR="00B970EF" w:rsidRDefault="00B970EF" w:rsidP="00B970EF">
      <w:pPr>
        <w:spacing w:before="0" w:after="0" w:line="240" w:lineRule="auto"/>
        <w:rPr>
          <w:rFonts w:ascii="Arial Bold" w:hAnsi="Arial Bold"/>
          <w:b/>
          <w:sz w:val="22"/>
        </w:rPr>
      </w:pPr>
      <w:r>
        <w:br w:type="page"/>
      </w:r>
    </w:p>
    <w:p w14:paraId="6462A714" w14:textId="77777777" w:rsidR="00B970EF" w:rsidRPr="00F743D8" w:rsidRDefault="00B970EF" w:rsidP="00B970EF">
      <w:pPr>
        <w:pStyle w:val="Heading3"/>
      </w:pPr>
      <w:r>
        <w:lastRenderedPageBreak/>
        <w:t>2.1</w:t>
      </w:r>
      <w:r w:rsidRPr="00F743D8">
        <w:t xml:space="preserve"> </w:t>
      </w:r>
      <w:r w:rsidRPr="00F743D8">
        <w:tab/>
        <w:t xml:space="preserve">Budgeted expenses and performance for Outcome </w:t>
      </w:r>
      <w:r>
        <w:t>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020"/>
      </w:tblGrid>
      <w:tr w:rsidR="00B970EF" w:rsidRPr="0069545F" w14:paraId="0F045538" w14:textId="77777777" w:rsidTr="001744D0">
        <w:tc>
          <w:tcPr>
            <w:tcW w:w="7704" w:type="dxa"/>
            <w:shd w:val="clear" w:color="auto" w:fill="E6E6E6"/>
          </w:tcPr>
          <w:p w14:paraId="37B0A706" w14:textId="77777777" w:rsidR="00B970EF" w:rsidRPr="0069545F" w:rsidRDefault="00B970EF" w:rsidP="001744D0">
            <w:pPr>
              <w:pStyle w:val="TableColumnHeadingLeft"/>
            </w:pPr>
            <w:r w:rsidRPr="0069545F">
              <w:t xml:space="preserve">Outcome </w:t>
            </w:r>
            <w:r>
              <w:t>1</w:t>
            </w:r>
            <w:r w:rsidRPr="0069545F">
              <w:t xml:space="preserve">: </w:t>
            </w:r>
            <w:r w:rsidRPr="00BE246B">
              <w:t>To contribute to Australia’s economic prosperity by supporting Australian exporters to expand internationally, attracting productive international investment, and growing the visitor economy</w:t>
            </w:r>
            <w:r>
              <w:t xml:space="preserve">. </w:t>
            </w:r>
          </w:p>
        </w:tc>
      </w:tr>
    </w:tbl>
    <w:p w14:paraId="3445F620" w14:textId="77777777" w:rsidR="00B970EF" w:rsidRPr="0069545F" w:rsidRDefault="00B970EF" w:rsidP="00B970EF">
      <w:pPr>
        <w:pStyle w:val="SingleParagraph"/>
      </w:pPr>
    </w:p>
    <w:p w14:paraId="7AFFE69D" w14:textId="77777777" w:rsidR="00B970EF" w:rsidRPr="00133BCE" w:rsidRDefault="00B970EF" w:rsidP="00B970EF">
      <w:pPr>
        <w:pStyle w:val="Heading4"/>
      </w:pPr>
      <w:r w:rsidRPr="0069545F">
        <w:t xml:space="preserve">Linked programs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B970EF" w:rsidRPr="00A238FC" w14:paraId="7C49E079" w14:textId="77777777" w:rsidTr="001744D0">
        <w:trPr>
          <w:trHeight w:val="113"/>
          <w:tblHeader/>
        </w:trPr>
        <w:tc>
          <w:tcPr>
            <w:tcW w:w="7700" w:type="dxa"/>
            <w:tcBorders>
              <w:bottom w:val="dotted" w:sz="4" w:space="0" w:color="auto"/>
            </w:tcBorders>
          </w:tcPr>
          <w:p w14:paraId="463F0FB1" w14:textId="77777777" w:rsidR="00B970EF" w:rsidRPr="00A238FC" w:rsidRDefault="00B970EF" w:rsidP="001744D0">
            <w:pPr>
              <w:spacing w:before="40" w:after="60" w:line="240" w:lineRule="auto"/>
              <w:rPr>
                <w:rFonts w:ascii="Arial" w:hAnsi="Arial" w:cs="Arial"/>
                <w:b/>
                <w:sz w:val="16"/>
              </w:rPr>
            </w:pPr>
            <w:r w:rsidRPr="00A238FC">
              <w:rPr>
                <w:rFonts w:ascii="Arial" w:hAnsi="Arial" w:cs="Arial"/>
                <w:b/>
                <w:sz w:val="16"/>
              </w:rPr>
              <w:t>Department of Infrastructure, Transport, Regional Development, Communications, Sports and the Arts</w:t>
            </w:r>
          </w:p>
        </w:tc>
      </w:tr>
      <w:tr w:rsidR="00B970EF" w:rsidRPr="00A238FC" w14:paraId="724E3F65" w14:textId="77777777" w:rsidTr="001744D0">
        <w:trPr>
          <w:trHeight w:val="113"/>
          <w:tblHeader/>
        </w:trPr>
        <w:tc>
          <w:tcPr>
            <w:tcW w:w="7700" w:type="dxa"/>
            <w:tcBorders>
              <w:top w:val="dotted" w:sz="4" w:space="0" w:color="auto"/>
              <w:bottom w:val="single" w:sz="4" w:space="0" w:color="auto"/>
            </w:tcBorders>
          </w:tcPr>
          <w:p w14:paraId="393586BB" w14:textId="77777777" w:rsidR="00B970EF" w:rsidRPr="00A238FC" w:rsidRDefault="00B970EF" w:rsidP="001744D0">
            <w:pPr>
              <w:pStyle w:val="TableTextLeft"/>
              <w:spacing w:after="60"/>
              <w:rPr>
                <w:rFonts w:cs="Arial"/>
                <w:b/>
                <w:bCs/>
              </w:rPr>
            </w:pPr>
            <w:r w:rsidRPr="00A238FC">
              <w:rPr>
                <w:rFonts w:cs="Arial"/>
                <w:b/>
                <w:bCs/>
              </w:rPr>
              <w:t>Programs</w:t>
            </w:r>
          </w:p>
          <w:p w14:paraId="557E88AD" w14:textId="77777777" w:rsidR="00B970EF" w:rsidRPr="00A238FC" w:rsidRDefault="00B970EF" w:rsidP="001744D0">
            <w:pPr>
              <w:pStyle w:val="TableTextBullet"/>
              <w:spacing w:after="120"/>
              <w:rPr>
                <w:rFonts w:cs="Arial"/>
              </w:rPr>
            </w:pPr>
            <w:r w:rsidRPr="00A238FC">
              <w:rPr>
                <w:rFonts w:cs="Arial"/>
              </w:rPr>
              <w:t xml:space="preserve">Program 3.1 – Regional Development </w:t>
            </w:r>
          </w:p>
        </w:tc>
      </w:tr>
      <w:tr w:rsidR="00B970EF" w:rsidRPr="00A238FC" w14:paraId="40BA6220" w14:textId="77777777" w:rsidTr="001744D0">
        <w:trPr>
          <w:trHeight w:val="113"/>
          <w:tblHeader/>
        </w:trPr>
        <w:tc>
          <w:tcPr>
            <w:tcW w:w="7700" w:type="dxa"/>
            <w:tcBorders>
              <w:top w:val="dotted" w:sz="4" w:space="0" w:color="auto"/>
              <w:bottom w:val="single" w:sz="4" w:space="0" w:color="auto"/>
            </w:tcBorders>
          </w:tcPr>
          <w:p w14:paraId="3EE2EAC5" w14:textId="77777777" w:rsidR="00B970EF" w:rsidRPr="00A238FC" w:rsidRDefault="00B970EF" w:rsidP="001744D0">
            <w:pPr>
              <w:spacing w:before="60" w:after="60" w:line="240" w:lineRule="auto"/>
              <w:rPr>
                <w:rFonts w:ascii="Arial" w:hAnsi="Arial" w:cs="Arial"/>
                <w:b/>
                <w:sz w:val="16"/>
              </w:rPr>
            </w:pPr>
            <w:r w:rsidRPr="00A238FC">
              <w:rPr>
                <w:rFonts w:ascii="Arial" w:hAnsi="Arial" w:cs="Arial"/>
                <w:b/>
                <w:sz w:val="16"/>
              </w:rPr>
              <w:t>Contribution to Outcome 1 made by linked programs</w:t>
            </w:r>
          </w:p>
          <w:p w14:paraId="225562C2" w14:textId="77777777" w:rsidR="00B970EF" w:rsidRPr="00A238FC" w:rsidRDefault="00B970EF" w:rsidP="001744D0">
            <w:pPr>
              <w:pStyle w:val="TableTextLeft"/>
              <w:spacing w:after="60"/>
              <w:rPr>
                <w:rFonts w:cs="Arial"/>
                <w:b/>
                <w:bCs/>
              </w:rPr>
            </w:pPr>
            <w:r w:rsidRPr="00A238FC">
              <w:rPr>
                <w:rFonts w:cs="Arial"/>
              </w:rPr>
              <w:t xml:space="preserve">The Department of Infrastructure, Transport, Regional Development, Communications, Sport and the Arts </w:t>
            </w:r>
            <w:proofErr w:type="gramStart"/>
            <w:r w:rsidRPr="00A238FC">
              <w:rPr>
                <w:rFonts w:cs="Arial"/>
              </w:rPr>
              <w:t>supports</w:t>
            </w:r>
            <w:proofErr w:type="gramEnd"/>
            <w:r w:rsidRPr="00A238FC">
              <w:rPr>
                <w:rFonts w:cs="Arial"/>
              </w:rPr>
              <w:t xml:space="preserve"> tourism demand-driving infrastructure, arts and culture in Australia’s regions through regional programs and as part of its role in THRIVE 2030.</w:t>
            </w:r>
          </w:p>
        </w:tc>
      </w:tr>
      <w:tr w:rsidR="00B970EF" w:rsidRPr="00A238FC" w14:paraId="1A070649" w14:textId="77777777" w:rsidTr="001744D0">
        <w:trPr>
          <w:trHeight w:val="113"/>
        </w:trPr>
        <w:tc>
          <w:tcPr>
            <w:tcW w:w="7700" w:type="dxa"/>
            <w:tcBorders>
              <w:bottom w:val="dotted" w:sz="4" w:space="0" w:color="auto"/>
            </w:tcBorders>
          </w:tcPr>
          <w:p w14:paraId="49534190" w14:textId="77777777" w:rsidR="00B970EF" w:rsidRPr="00A238FC" w:rsidRDefault="00B970EF" w:rsidP="001744D0">
            <w:pPr>
              <w:spacing w:before="40" w:after="60" w:line="240" w:lineRule="auto"/>
              <w:rPr>
                <w:rFonts w:ascii="Arial" w:hAnsi="Arial" w:cs="Arial"/>
              </w:rPr>
            </w:pPr>
            <w:r w:rsidRPr="00A238FC">
              <w:rPr>
                <w:rFonts w:ascii="Arial" w:hAnsi="Arial" w:cs="Arial"/>
                <w:b/>
                <w:sz w:val="16"/>
              </w:rPr>
              <w:t>Department of Education</w:t>
            </w:r>
          </w:p>
        </w:tc>
      </w:tr>
      <w:tr w:rsidR="00B970EF" w:rsidRPr="00A238FC" w14:paraId="07CB8E30" w14:textId="77777777" w:rsidTr="001744D0">
        <w:trPr>
          <w:trHeight w:val="113"/>
        </w:trPr>
        <w:tc>
          <w:tcPr>
            <w:tcW w:w="7700" w:type="dxa"/>
            <w:tcBorders>
              <w:top w:val="dotted" w:sz="4" w:space="0" w:color="auto"/>
              <w:bottom w:val="single" w:sz="4" w:space="0" w:color="auto"/>
            </w:tcBorders>
          </w:tcPr>
          <w:p w14:paraId="1A88D140" w14:textId="77777777" w:rsidR="00B970EF" w:rsidRPr="00A238FC" w:rsidRDefault="00B970EF" w:rsidP="001744D0">
            <w:pPr>
              <w:pStyle w:val="TableTextLeft"/>
              <w:spacing w:after="60"/>
              <w:rPr>
                <w:rFonts w:cs="Arial"/>
                <w:b/>
                <w:bCs/>
              </w:rPr>
            </w:pPr>
            <w:r w:rsidRPr="00A238FC">
              <w:rPr>
                <w:rFonts w:cs="Arial"/>
                <w:b/>
                <w:bCs/>
              </w:rPr>
              <w:t>Programs</w:t>
            </w:r>
          </w:p>
          <w:p w14:paraId="0DD0369B" w14:textId="77777777" w:rsidR="00B970EF" w:rsidRPr="00A238FC" w:rsidRDefault="00B970EF" w:rsidP="001744D0">
            <w:pPr>
              <w:pStyle w:val="TableTextBullet"/>
              <w:spacing w:after="120"/>
              <w:rPr>
                <w:rFonts w:cs="Arial"/>
              </w:rPr>
            </w:pPr>
            <w:r w:rsidRPr="00A238FC">
              <w:rPr>
                <w:rFonts w:cs="Arial"/>
              </w:rPr>
              <w:t>Program 2.7 – International Education Support</w:t>
            </w:r>
          </w:p>
        </w:tc>
      </w:tr>
      <w:tr w:rsidR="00B970EF" w:rsidRPr="00A238FC" w14:paraId="0E910505" w14:textId="77777777" w:rsidTr="001744D0">
        <w:trPr>
          <w:trHeight w:val="113"/>
        </w:trPr>
        <w:tc>
          <w:tcPr>
            <w:tcW w:w="7700" w:type="dxa"/>
            <w:tcBorders>
              <w:bottom w:val="single" w:sz="4" w:space="0" w:color="auto"/>
            </w:tcBorders>
          </w:tcPr>
          <w:p w14:paraId="271A6B8E" w14:textId="77777777" w:rsidR="00B970EF" w:rsidRPr="00A238FC" w:rsidRDefault="00B970EF" w:rsidP="001744D0">
            <w:pPr>
              <w:pStyle w:val="TableColumnHeadingLeft"/>
              <w:rPr>
                <w:rFonts w:ascii="Arial" w:hAnsi="Arial" w:cs="Arial"/>
              </w:rPr>
            </w:pPr>
            <w:r w:rsidRPr="00A238FC">
              <w:rPr>
                <w:rFonts w:ascii="Arial" w:hAnsi="Arial" w:cs="Arial"/>
              </w:rPr>
              <w:t>Contribution to Outcome 1</w:t>
            </w:r>
            <w:r w:rsidRPr="00A238FC">
              <w:rPr>
                <w:rFonts w:ascii="Arial" w:hAnsi="Arial" w:cs="Arial"/>
                <w:color w:val="FF0000"/>
              </w:rPr>
              <w:t xml:space="preserve"> </w:t>
            </w:r>
            <w:r w:rsidRPr="00A238FC">
              <w:rPr>
                <w:rFonts w:ascii="Arial" w:hAnsi="Arial" w:cs="Arial"/>
              </w:rPr>
              <w:t>made by linked programs</w:t>
            </w:r>
          </w:p>
          <w:p w14:paraId="3B9CEF31" w14:textId="77777777" w:rsidR="00B970EF" w:rsidRPr="00A238FC" w:rsidRDefault="00B970EF" w:rsidP="001744D0">
            <w:pPr>
              <w:pStyle w:val="TableTextLeft"/>
              <w:spacing w:after="60"/>
              <w:rPr>
                <w:rFonts w:cs="Arial"/>
              </w:rPr>
            </w:pPr>
            <w:r w:rsidRPr="00A238FC">
              <w:rPr>
                <w:rFonts w:cs="Arial"/>
              </w:rPr>
              <w:t>Program 2.7 contributes to partnerships with foreign governments to advance Australia’s education sector and reputation. The Program also ensures policy and legislation protects and enhances Australia’s reputation for quality education, consumer protections, and system integrity. The Department of Education and Austrade collaborate to align policy and program delivery to improve Australia’s quality international education sector, complementing Austrade’s focus on enabling a sustainable, diverse and high-quality international education sector.</w:t>
            </w:r>
          </w:p>
        </w:tc>
      </w:tr>
    </w:tbl>
    <w:p w14:paraId="6C7A389A" w14:textId="77777777" w:rsidR="00B970EF" w:rsidRPr="0069545F" w:rsidRDefault="00B970EF" w:rsidP="00B970EF">
      <w:pPr>
        <w:pStyle w:val="ChartandTableFootnoteAlpha"/>
        <w:numPr>
          <w:ilvl w:val="0"/>
          <w:numId w:val="0"/>
        </w:numPr>
        <w:ind w:left="284" w:hanging="284"/>
      </w:pPr>
      <w:r w:rsidRPr="00DD1807">
        <w:rPr>
          <w:rFonts w:cs="Arial"/>
          <w:szCs w:val="16"/>
        </w:rPr>
        <w:t xml:space="preserve">Table </w:t>
      </w:r>
      <w:proofErr w:type="gramStart"/>
      <w:r w:rsidRPr="00DD1807">
        <w:rPr>
          <w:rFonts w:cs="Arial"/>
          <w:szCs w:val="16"/>
        </w:rPr>
        <w:t>continued on</w:t>
      </w:r>
      <w:proofErr w:type="gramEnd"/>
      <w:r w:rsidRPr="00DD1807">
        <w:rPr>
          <w:rFonts w:cs="Arial"/>
          <w:szCs w:val="16"/>
        </w:rPr>
        <w:t xml:space="preserve"> the next page</w:t>
      </w:r>
      <w:r w:rsidRPr="0069545F">
        <w:t>.</w:t>
      </w:r>
    </w:p>
    <w:p w14:paraId="27DA5718" w14:textId="77777777" w:rsidR="00B970EF" w:rsidRDefault="00B970EF" w:rsidP="00B970EF"/>
    <w:p w14:paraId="7E4C03F7" w14:textId="77777777" w:rsidR="00B970EF" w:rsidRDefault="00B970EF" w:rsidP="00B970EF">
      <w:pPr>
        <w:spacing w:before="0" w:after="0" w:line="240" w:lineRule="auto"/>
      </w:pPr>
      <w:r>
        <w:br w:type="page"/>
      </w:r>
    </w:p>
    <w:p w14:paraId="4541092D" w14:textId="77777777" w:rsidR="00B970EF" w:rsidRDefault="00B970EF" w:rsidP="00B970EF">
      <w:pPr>
        <w:pStyle w:val="Heading4"/>
      </w:pPr>
      <w:r w:rsidRPr="005E6F2B">
        <w:lastRenderedPageBreak/>
        <w:t>Linked programs</w:t>
      </w:r>
      <w:r>
        <w:t xml:space="preserve">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B970EF" w:rsidRPr="00A238FC" w14:paraId="72FBDD2D" w14:textId="77777777" w:rsidTr="001744D0">
        <w:trPr>
          <w:trHeight w:val="113"/>
          <w:tblHeader/>
        </w:trPr>
        <w:tc>
          <w:tcPr>
            <w:tcW w:w="7700" w:type="dxa"/>
            <w:tcBorders>
              <w:bottom w:val="dotted" w:sz="4" w:space="0" w:color="auto"/>
            </w:tcBorders>
          </w:tcPr>
          <w:p w14:paraId="6B09D34B" w14:textId="77777777" w:rsidR="00B970EF" w:rsidRPr="00A238FC" w:rsidRDefault="00B970EF" w:rsidP="001744D0">
            <w:pPr>
              <w:spacing w:before="40" w:after="60" w:line="240" w:lineRule="auto"/>
              <w:rPr>
                <w:rFonts w:ascii="Arial" w:hAnsi="Arial" w:cs="Arial"/>
                <w:b/>
                <w:sz w:val="16"/>
              </w:rPr>
            </w:pPr>
            <w:r w:rsidRPr="00A238FC">
              <w:rPr>
                <w:rFonts w:ascii="Arial" w:hAnsi="Arial" w:cs="Arial"/>
                <w:b/>
                <w:sz w:val="16"/>
              </w:rPr>
              <w:t>Department of Agriculture, Fisheries and Forestry</w:t>
            </w:r>
          </w:p>
        </w:tc>
      </w:tr>
      <w:tr w:rsidR="00B970EF" w:rsidRPr="00A238FC" w14:paraId="5AB1853D" w14:textId="77777777" w:rsidTr="001744D0">
        <w:trPr>
          <w:trHeight w:val="113"/>
          <w:tblHeader/>
        </w:trPr>
        <w:tc>
          <w:tcPr>
            <w:tcW w:w="7700" w:type="dxa"/>
            <w:tcBorders>
              <w:top w:val="dotted" w:sz="4" w:space="0" w:color="auto"/>
              <w:bottom w:val="single" w:sz="4" w:space="0" w:color="auto"/>
            </w:tcBorders>
          </w:tcPr>
          <w:p w14:paraId="43610E25" w14:textId="77777777" w:rsidR="00B970EF" w:rsidRPr="00A238FC" w:rsidRDefault="00B970EF" w:rsidP="001744D0">
            <w:pPr>
              <w:pStyle w:val="TableTextLeft"/>
              <w:spacing w:after="60"/>
              <w:rPr>
                <w:rFonts w:cs="Arial"/>
                <w:b/>
                <w:bCs/>
              </w:rPr>
            </w:pPr>
            <w:r w:rsidRPr="00A238FC">
              <w:rPr>
                <w:rFonts w:cs="Arial"/>
                <w:b/>
                <w:bCs/>
              </w:rPr>
              <w:t>Programs</w:t>
            </w:r>
          </w:p>
          <w:p w14:paraId="7D687296" w14:textId="77777777" w:rsidR="00B970EF" w:rsidRPr="00A238FC" w:rsidRDefault="00B970EF" w:rsidP="001744D0">
            <w:pPr>
              <w:pStyle w:val="TableTextBullet"/>
              <w:spacing w:after="120"/>
              <w:rPr>
                <w:rFonts w:cs="Arial"/>
              </w:rPr>
            </w:pPr>
            <w:r w:rsidRPr="00A238FC">
              <w:rPr>
                <w:rFonts w:cs="Arial"/>
              </w:rPr>
              <w:t>Program 1.13 – International Market Access</w:t>
            </w:r>
          </w:p>
          <w:p w14:paraId="2B00D9D5" w14:textId="77777777" w:rsidR="00B970EF" w:rsidRPr="00A238FC" w:rsidRDefault="00B970EF" w:rsidP="001744D0">
            <w:pPr>
              <w:pStyle w:val="TableTextBullet"/>
              <w:spacing w:after="120"/>
              <w:rPr>
                <w:rFonts w:cs="Arial"/>
              </w:rPr>
            </w:pPr>
            <w:r w:rsidRPr="00A238FC">
              <w:rPr>
                <w:rFonts w:cs="Arial"/>
              </w:rPr>
              <w:t>Program 2.01 – Biosecurity and Export Services</w:t>
            </w:r>
          </w:p>
        </w:tc>
      </w:tr>
      <w:tr w:rsidR="00B970EF" w:rsidRPr="00A238FC" w14:paraId="7CD145EA" w14:textId="77777777" w:rsidTr="001744D0">
        <w:trPr>
          <w:trHeight w:val="113"/>
          <w:tblHeader/>
        </w:trPr>
        <w:tc>
          <w:tcPr>
            <w:tcW w:w="7700" w:type="dxa"/>
            <w:tcBorders>
              <w:top w:val="dotted" w:sz="4" w:space="0" w:color="auto"/>
              <w:bottom w:val="single" w:sz="4" w:space="0" w:color="auto"/>
            </w:tcBorders>
          </w:tcPr>
          <w:p w14:paraId="67514C3A" w14:textId="77777777" w:rsidR="00B970EF" w:rsidRPr="00A238FC" w:rsidRDefault="00B970EF" w:rsidP="001744D0">
            <w:pPr>
              <w:spacing w:before="60" w:after="60" w:line="240" w:lineRule="auto"/>
              <w:rPr>
                <w:rFonts w:ascii="Arial" w:hAnsi="Arial" w:cs="Arial"/>
                <w:b/>
                <w:sz w:val="16"/>
              </w:rPr>
            </w:pPr>
            <w:r w:rsidRPr="00A238FC">
              <w:rPr>
                <w:rFonts w:ascii="Arial" w:hAnsi="Arial" w:cs="Arial"/>
                <w:b/>
                <w:sz w:val="16"/>
              </w:rPr>
              <w:t>Contribution to Outcome 1 made by linked programs</w:t>
            </w:r>
          </w:p>
          <w:p w14:paraId="34E62975" w14:textId="77777777" w:rsidR="00B970EF" w:rsidRPr="00A238FC" w:rsidRDefault="00B970EF" w:rsidP="001744D0">
            <w:pPr>
              <w:pStyle w:val="TableTextLeft"/>
              <w:spacing w:after="120"/>
              <w:rPr>
                <w:rFonts w:cs="Arial"/>
                <w:b/>
                <w:bCs/>
              </w:rPr>
            </w:pPr>
            <w:r w:rsidRPr="00A238FC">
              <w:rPr>
                <w:rFonts w:cs="Arial"/>
              </w:rPr>
              <w:t>The Department of Agriculture, Fisheries and Forestry and Austrade work together to achieve the best outcomes for Australian agricultural, fisheries and forestry exporters, including through improved market access and supporting the transition plan to phase out live sheep exports by sea. The department also undertakes activities to preserve Australia’s favourable animal and plant health status, helping maintain overseas markets.</w:t>
            </w:r>
          </w:p>
        </w:tc>
      </w:tr>
      <w:tr w:rsidR="00B970EF" w:rsidRPr="00A238FC" w14:paraId="1B3FAD1F" w14:textId="77777777" w:rsidTr="001744D0">
        <w:trPr>
          <w:trHeight w:val="113"/>
        </w:trPr>
        <w:tc>
          <w:tcPr>
            <w:tcW w:w="7700" w:type="dxa"/>
            <w:tcBorders>
              <w:bottom w:val="dotted" w:sz="4" w:space="0" w:color="auto"/>
            </w:tcBorders>
          </w:tcPr>
          <w:p w14:paraId="03742F1A" w14:textId="77777777" w:rsidR="00B970EF" w:rsidRPr="00A238FC" w:rsidRDefault="00B970EF" w:rsidP="001744D0">
            <w:pPr>
              <w:spacing w:before="40" w:after="60" w:line="240" w:lineRule="auto"/>
              <w:rPr>
                <w:rFonts w:ascii="Arial" w:hAnsi="Arial" w:cs="Arial"/>
              </w:rPr>
            </w:pPr>
            <w:r w:rsidRPr="00A238FC">
              <w:rPr>
                <w:rFonts w:ascii="Arial" w:hAnsi="Arial" w:cs="Arial"/>
                <w:b/>
                <w:sz w:val="16"/>
              </w:rPr>
              <w:t>Department of Foreign Affairs and Trade</w:t>
            </w:r>
          </w:p>
        </w:tc>
      </w:tr>
      <w:tr w:rsidR="00B970EF" w:rsidRPr="00A238FC" w14:paraId="1504FA88" w14:textId="77777777" w:rsidTr="001744D0">
        <w:trPr>
          <w:trHeight w:val="113"/>
        </w:trPr>
        <w:tc>
          <w:tcPr>
            <w:tcW w:w="7700" w:type="dxa"/>
            <w:tcBorders>
              <w:top w:val="dotted" w:sz="4" w:space="0" w:color="auto"/>
              <w:bottom w:val="single" w:sz="4" w:space="0" w:color="auto"/>
            </w:tcBorders>
          </w:tcPr>
          <w:p w14:paraId="74E14C56" w14:textId="77777777" w:rsidR="00B970EF" w:rsidRPr="00A238FC" w:rsidRDefault="00B970EF" w:rsidP="001744D0">
            <w:pPr>
              <w:pStyle w:val="TableTextLeft"/>
              <w:spacing w:after="60"/>
              <w:rPr>
                <w:rFonts w:cs="Arial"/>
                <w:b/>
                <w:bCs/>
              </w:rPr>
            </w:pPr>
            <w:r w:rsidRPr="00A238FC">
              <w:rPr>
                <w:rFonts w:cs="Arial"/>
                <w:b/>
                <w:bCs/>
              </w:rPr>
              <w:t>Programs</w:t>
            </w:r>
          </w:p>
          <w:p w14:paraId="023A636D" w14:textId="77777777" w:rsidR="00B970EF" w:rsidRPr="00A238FC" w:rsidRDefault="00B970EF" w:rsidP="001744D0">
            <w:pPr>
              <w:pStyle w:val="TableTextBullet"/>
              <w:spacing w:after="120"/>
              <w:rPr>
                <w:rFonts w:cs="Arial"/>
              </w:rPr>
            </w:pPr>
            <w:r w:rsidRPr="00A238FC">
              <w:rPr>
                <w:rFonts w:cs="Arial"/>
              </w:rPr>
              <w:t>Program 1.1 – Foreign Affairs and Trade Operations</w:t>
            </w:r>
          </w:p>
        </w:tc>
      </w:tr>
      <w:tr w:rsidR="00B970EF" w:rsidRPr="00A238FC" w14:paraId="2A615D6A" w14:textId="77777777" w:rsidTr="001744D0">
        <w:trPr>
          <w:trHeight w:val="113"/>
        </w:trPr>
        <w:tc>
          <w:tcPr>
            <w:tcW w:w="7700" w:type="dxa"/>
            <w:tcBorders>
              <w:bottom w:val="single" w:sz="4" w:space="0" w:color="auto"/>
            </w:tcBorders>
          </w:tcPr>
          <w:p w14:paraId="7B0BF425" w14:textId="77777777" w:rsidR="00B970EF" w:rsidRPr="00A238FC" w:rsidRDefault="00B970EF" w:rsidP="001744D0">
            <w:pPr>
              <w:pStyle w:val="TableColumnHeadingLeft"/>
              <w:spacing w:after="60"/>
              <w:rPr>
                <w:rFonts w:ascii="Arial" w:hAnsi="Arial" w:cs="Arial"/>
              </w:rPr>
            </w:pPr>
            <w:r w:rsidRPr="00A238FC">
              <w:rPr>
                <w:rFonts w:ascii="Arial" w:hAnsi="Arial" w:cs="Arial"/>
              </w:rPr>
              <w:t>Contribution to Outcome 1</w:t>
            </w:r>
            <w:r w:rsidRPr="00A238FC">
              <w:rPr>
                <w:rFonts w:ascii="Arial" w:hAnsi="Arial" w:cs="Arial"/>
                <w:color w:val="FF0000"/>
              </w:rPr>
              <w:t xml:space="preserve"> </w:t>
            </w:r>
            <w:r w:rsidRPr="00A238FC">
              <w:rPr>
                <w:rFonts w:ascii="Arial" w:hAnsi="Arial" w:cs="Arial"/>
              </w:rPr>
              <w:t>made by linked programs</w:t>
            </w:r>
          </w:p>
          <w:p w14:paraId="14A21DE4" w14:textId="77777777" w:rsidR="00B970EF" w:rsidRPr="00A238FC" w:rsidRDefault="00B970EF" w:rsidP="001744D0">
            <w:pPr>
              <w:pStyle w:val="TableTextLeft"/>
              <w:spacing w:after="120"/>
              <w:rPr>
                <w:rFonts w:cs="Arial"/>
              </w:rPr>
            </w:pPr>
            <w:r w:rsidRPr="00A238FC">
              <w:rPr>
                <w:rFonts w:cs="Arial"/>
              </w:rPr>
              <w:t xml:space="preserve">The Department of Foreign Affairs and Trade (DFAT) and Austrade work closely across </w:t>
            </w:r>
            <w:proofErr w:type="gramStart"/>
            <w:r w:rsidRPr="00A238FC">
              <w:rPr>
                <w:rFonts w:cs="Arial"/>
              </w:rPr>
              <w:t>a number of</w:t>
            </w:r>
            <w:proofErr w:type="gramEnd"/>
            <w:r w:rsidRPr="00A238FC">
              <w:rPr>
                <w:rFonts w:cs="Arial"/>
              </w:rPr>
              <w:t xml:space="preserve"> areas to promote trade and investment; address non-tariff barriers to trade; support and facilitate businesses to engage in trade; advocate to uphold the global rules-based trading system; and advance First Nations Foreign Policy. DFAT and Austrade work closely on advancing trade diversification and strengthening economic bilateral relationships, such as activities connected to implementing recommendations of Invested: Australia’s Southeast Asia Economic Strategy to 2040 and supporting Australia’s critical minerals sector. This cooperation results in more economic opportunities and contributes to the projection of a positive image of Australia as a favourable destination to undertake business, investment, tourism and study.</w:t>
            </w:r>
          </w:p>
        </w:tc>
      </w:tr>
    </w:tbl>
    <w:p w14:paraId="74497E13" w14:textId="77777777" w:rsidR="00B970EF" w:rsidRDefault="00B970EF" w:rsidP="00B970EF">
      <w:pPr>
        <w:pStyle w:val="ChartandTableFootnoteAlpha"/>
        <w:numPr>
          <w:ilvl w:val="0"/>
          <w:numId w:val="0"/>
        </w:numPr>
        <w:ind w:left="284" w:hanging="284"/>
      </w:pPr>
      <w:r w:rsidRPr="00DD1807">
        <w:rPr>
          <w:rFonts w:cs="Arial"/>
          <w:szCs w:val="16"/>
        </w:rPr>
        <w:t xml:space="preserve">Table </w:t>
      </w:r>
      <w:proofErr w:type="gramStart"/>
      <w:r w:rsidRPr="00DD1807">
        <w:rPr>
          <w:rFonts w:cs="Arial"/>
          <w:szCs w:val="16"/>
        </w:rPr>
        <w:t>continued on</w:t>
      </w:r>
      <w:proofErr w:type="gramEnd"/>
      <w:r w:rsidRPr="00DD1807">
        <w:rPr>
          <w:rFonts w:cs="Arial"/>
          <w:szCs w:val="16"/>
        </w:rPr>
        <w:t xml:space="preserve"> the next page</w:t>
      </w:r>
      <w:r w:rsidRPr="0069545F">
        <w:t>.</w:t>
      </w:r>
    </w:p>
    <w:p w14:paraId="4276A58C" w14:textId="77777777" w:rsidR="00B970EF" w:rsidRDefault="00B970EF" w:rsidP="00B970EF">
      <w:pPr>
        <w:spacing w:before="0" w:after="0" w:line="240" w:lineRule="auto"/>
      </w:pPr>
      <w:r>
        <w:br w:type="page"/>
      </w:r>
    </w:p>
    <w:p w14:paraId="5CB9D56F" w14:textId="77777777" w:rsidR="00B970EF" w:rsidRDefault="00B970EF" w:rsidP="00B970EF">
      <w:pPr>
        <w:pStyle w:val="Heading4"/>
      </w:pPr>
      <w:r w:rsidRPr="005E6F2B">
        <w:lastRenderedPageBreak/>
        <w:t>Linked programs</w:t>
      </w:r>
      <w:r>
        <w:t xml:space="preserve">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B970EF" w:rsidRPr="000C0FE9" w14:paraId="3FF5CA75" w14:textId="77777777" w:rsidTr="001744D0">
        <w:trPr>
          <w:trHeight w:val="113"/>
          <w:tblHeader/>
        </w:trPr>
        <w:tc>
          <w:tcPr>
            <w:tcW w:w="7700" w:type="dxa"/>
            <w:tcBorders>
              <w:bottom w:val="dotted" w:sz="4" w:space="0" w:color="auto"/>
            </w:tcBorders>
          </w:tcPr>
          <w:p w14:paraId="603DDA8A" w14:textId="77777777" w:rsidR="00B970EF" w:rsidRPr="000C0FE9" w:rsidRDefault="00B970EF" w:rsidP="001744D0">
            <w:pPr>
              <w:spacing w:before="40" w:after="60" w:line="240" w:lineRule="auto"/>
              <w:rPr>
                <w:rFonts w:ascii="Arial" w:hAnsi="Arial" w:cs="Arial"/>
                <w:b/>
                <w:sz w:val="16"/>
              </w:rPr>
            </w:pPr>
            <w:r w:rsidRPr="000C0FE9">
              <w:rPr>
                <w:rFonts w:ascii="Arial" w:hAnsi="Arial" w:cs="Arial"/>
                <w:b/>
                <w:sz w:val="16"/>
              </w:rPr>
              <w:t>Department of Industry, Science and Resources</w:t>
            </w:r>
          </w:p>
        </w:tc>
      </w:tr>
      <w:tr w:rsidR="00B970EF" w:rsidRPr="000C0FE9" w14:paraId="7B9D6729" w14:textId="77777777" w:rsidTr="001744D0">
        <w:trPr>
          <w:trHeight w:val="113"/>
          <w:tblHeader/>
        </w:trPr>
        <w:tc>
          <w:tcPr>
            <w:tcW w:w="7700" w:type="dxa"/>
            <w:tcBorders>
              <w:top w:val="dotted" w:sz="4" w:space="0" w:color="auto"/>
              <w:bottom w:val="single" w:sz="4" w:space="0" w:color="auto"/>
            </w:tcBorders>
          </w:tcPr>
          <w:p w14:paraId="5364BAAD" w14:textId="77777777" w:rsidR="00B970EF" w:rsidRPr="000C0FE9" w:rsidRDefault="00B970EF" w:rsidP="001744D0">
            <w:pPr>
              <w:pStyle w:val="TableTextLeft"/>
              <w:spacing w:after="60"/>
              <w:rPr>
                <w:rFonts w:cs="Arial"/>
                <w:b/>
                <w:bCs/>
              </w:rPr>
            </w:pPr>
            <w:r w:rsidRPr="000C0FE9">
              <w:rPr>
                <w:rFonts w:cs="Arial"/>
                <w:b/>
                <w:bCs/>
              </w:rPr>
              <w:t>Programs</w:t>
            </w:r>
          </w:p>
          <w:p w14:paraId="5A5A6653" w14:textId="77777777" w:rsidR="00B970EF" w:rsidRPr="000C0FE9" w:rsidRDefault="00B970EF" w:rsidP="001744D0">
            <w:pPr>
              <w:pStyle w:val="TableTextBullet"/>
              <w:spacing w:after="120"/>
              <w:rPr>
                <w:rFonts w:cs="Arial"/>
              </w:rPr>
            </w:pPr>
            <w:r w:rsidRPr="000C0FE9">
              <w:rPr>
                <w:rFonts w:cs="Arial"/>
              </w:rPr>
              <w:t>Program 1.2 – Investing in science, technology and commercialisation</w:t>
            </w:r>
          </w:p>
          <w:p w14:paraId="59145212" w14:textId="77777777" w:rsidR="00B970EF" w:rsidRPr="000C0FE9" w:rsidRDefault="00B970EF" w:rsidP="001744D0">
            <w:pPr>
              <w:pStyle w:val="TableTextBullet"/>
              <w:spacing w:after="120"/>
              <w:rPr>
                <w:rFonts w:cs="Arial"/>
              </w:rPr>
            </w:pPr>
            <w:r w:rsidRPr="000C0FE9">
              <w:rPr>
                <w:rFonts w:cs="Arial"/>
              </w:rPr>
              <w:t>Program 1.3 – Supporting a strong resources sector</w:t>
            </w:r>
          </w:p>
        </w:tc>
      </w:tr>
      <w:tr w:rsidR="00B970EF" w:rsidRPr="000C0FE9" w14:paraId="4C7AA0A8" w14:textId="77777777" w:rsidTr="001744D0">
        <w:trPr>
          <w:trHeight w:val="113"/>
          <w:tblHeader/>
        </w:trPr>
        <w:tc>
          <w:tcPr>
            <w:tcW w:w="7700" w:type="dxa"/>
            <w:tcBorders>
              <w:top w:val="dotted" w:sz="4" w:space="0" w:color="auto"/>
              <w:bottom w:val="single" w:sz="4" w:space="0" w:color="auto"/>
            </w:tcBorders>
          </w:tcPr>
          <w:p w14:paraId="608B7BF1" w14:textId="77777777" w:rsidR="00B970EF" w:rsidRPr="000C0FE9" w:rsidRDefault="00B970EF" w:rsidP="001744D0">
            <w:pPr>
              <w:spacing w:before="60" w:after="60" w:line="240" w:lineRule="auto"/>
              <w:rPr>
                <w:rFonts w:ascii="Arial" w:hAnsi="Arial" w:cs="Arial"/>
                <w:b/>
                <w:sz w:val="16"/>
              </w:rPr>
            </w:pPr>
            <w:r w:rsidRPr="000C0FE9">
              <w:rPr>
                <w:rFonts w:ascii="Arial" w:hAnsi="Arial" w:cs="Arial"/>
                <w:b/>
                <w:sz w:val="16"/>
              </w:rPr>
              <w:t>Contribution to Outcome 1 made by linked programs</w:t>
            </w:r>
          </w:p>
          <w:p w14:paraId="621EA3B1" w14:textId="77777777" w:rsidR="00B970EF" w:rsidRPr="000C0FE9" w:rsidRDefault="00B970EF" w:rsidP="001744D0">
            <w:pPr>
              <w:pStyle w:val="TableTextLeft"/>
              <w:spacing w:after="120"/>
              <w:rPr>
                <w:rFonts w:cs="Arial"/>
                <w:b/>
                <w:bCs/>
              </w:rPr>
            </w:pPr>
            <w:r w:rsidRPr="000C0FE9">
              <w:rPr>
                <w:rFonts w:cs="Arial"/>
              </w:rPr>
              <w:t xml:space="preserve">The Department of Industry, Science and Resources works with Austrade to build global networks, develop resilient supply chains, attract international investment to Australia and identify and capitalise on opportunities in priority areas such as critical minerals, critical technologies, and manufacturing. By improving Australia’s industrial capability and competitiveness through the National Reconstruction Fund, the Department of Industry, Science and Resources will indirectly support Australian exporters and attract foreign investment. The Department of Industry, Science and Resources works with Austrade to support the aims of the department funded </w:t>
            </w:r>
            <w:proofErr w:type="spellStart"/>
            <w:r w:rsidRPr="000C0FE9">
              <w:rPr>
                <w:rFonts w:cs="Arial"/>
              </w:rPr>
              <w:t>Asialink</w:t>
            </w:r>
            <w:proofErr w:type="spellEnd"/>
            <w:r w:rsidRPr="000C0FE9">
              <w:rPr>
                <w:rFonts w:cs="Arial"/>
              </w:rPr>
              <w:t xml:space="preserve"> Business Program to enhance Asia capability and readiness across business and industry. </w:t>
            </w:r>
            <w:proofErr w:type="spellStart"/>
            <w:r w:rsidRPr="000C0FE9">
              <w:rPr>
                <w:rFonts w:cs="Arial"/>
              </w:rPr>
              <w:t>Asialink</w:t>
            </w:r>
            <w:proofErr w:type="spellEnd"/>
            <w:r w:rsidRPr="000C0FE9">
              <w:rPr>
                <w:rFonts w:cs="Arial"/>
              </w:rPr>
              <w:t xml:space="preserve"> Business has signed an MOU with Austrade to formalise a strategic partnership and shared commitment to boost capabilities of Australian businesses seeking to expand into Asian markets, with enhanced support to enter and succeed.</w:t>
            </w:r>
          </w:p>
        </w:tc>
      </w:tr>
      <w:tr w:rsidR="00B970EF" w:rsidRPr="000C0FE9" w14:paraId="10755442" w14:textId="77777777" w:rsidTr="001744D0">
        <w:trPr>
          <w:trHeight w:val="113"/>
        </w:trPr>
        <w:tc>
          <w:tcPr>
            <w:tcW w:w="7700" w:type="dxa"/>
            <w:tcBorders>
              <w:bottom w:val="dotted" w:sz="4" w:space="0" w:color="auto"/>
            </w:tcBorders>
          </w:tcPr>
          <w:p w14:paraId="17722154" w14:textId="77777777" w:rsidR="00B970EF" w:rsidRPr="000C0FE9" w:rsidRDefault="00B970EF" w:rsidP="001744D0">
            <w:pPr>
              <w:spacing w:before="40" w:after="60" w:line="240" w:lineRule="auto"/>
              <w:rPr>
                <w:rFonts w:ascii="Arial" w:hAnsi="Arial" w:cs="Arial"/>
              </w:rPr>
            </w:pPr>
            <w:r w:rsidRPr="000C0FE9">
              <w:rPr>
                <w:rFonts w:ascii="Arial" w:hAnsi="Arial" w:cs="Arial"/>
                <w:b/>
                <w:sz w:val="16"/>
              </w:rPr>
              <w:t>Department of Defence</w:t>
            </w:r>
          </w:p>
        </w:tc>
      </w:tr>
      <w:tr w:rsidR="00B970EF" w:rsidRPr="000C0FE9" w14:paraId="7B0B8273" w14:textId="77777777" w:rsidTr="001744D0">
        <w:trPr>
          <w:trHeight w:val="113"/>
        </w:trPr>
        <w:tc>
          <w:tcPr>
            <w:tcW w:w="7700" w:type="dxa"/>
            <w:tcBorders>
              <w:top w:val="dotted" w:sz="4" w:space="0" w:color="auto"/>
              <w:bottom w:val="single" w:sz="4" w:space="0" w:color="auto"/>
            </w:tcBorders>
          </w:tcPr>
          <w:p w14:paraId="002E190F" w14:textId="77777777" w:rsidR="00B970EF" w:rsidRPr="000C0FE9" w:rsidRDefault="00B970EF" w:rsidP="001744D0">
            <w:pPr>
              <w:pStyle w:val="TableTextLeft"/>
              <w:spacing w:after="60"/>
              <w:rPr>
                <w:rFonts w:cs="Arial"/>
                <w:b/>
                <w:bCs/>
              </w:rPr>
            </w:pPr>
            <w:r w:rsidRPr="000C0FE9">
              <w:rPr>
                <w:rFonts w:cs="Arial"/>
                <w:b/>
                <w:bCs/>
              </w:rPr>
              <w:t>Programs</w:t>
            </w:r>
          </w:p>
          <w:p w14:paraId="038406F4" w14:textId="77777777" w:rsidR="00B970EF" w:rsidRPr="000C0FE9" w:rsidRDefault="00B970EF" w:rsidP="001744D0">
            <w:pPr>
              <w:pStyle w:val="TableTextBullet"/>
              <w:spacing w:after="120"/>
              <w:rPr>
                <w:rFonts w:cs="Arial"/>
              </w:rPr>
            </w:pPr>
            <w:r w:rsidRPr="000C0FE9">
              <w:rPr>
                <w:rFonts w:cs="Arial"/>
              </w:rPr>
              <w:t>Program 2.9 – Capability Acquisition and Sustainment</w:t>
            </w:r>
          </w:p>
        </w:tc>
      </w:tr>
      <w:tr w:rsidR="00B970EF" w:rsidRPr="000C0FE9" w14:paraId="146A8B5C" w14:textId="77777777" w:rsidTr="001744D0">
        <w:trPr>
          <w:trHeight w:val="113"/>
        </w:trPr>
        <w:tc>
          <w:tcPr>
            <w:tcW w:w="7700" w:type="dxa"/>
          </w:tcPr>
          <w:p w14:paraId="03986CC1" w14:textId="77777777" w:rsidR="00B970EF" w:rsidRPr="000C0FE9" w:rsidRDefault="00B970EF" w:rsidP="001744D0">
            <w:pPr>
              <w:pStyle w:val="TableColumnHeadingLeft"/>
              <w:spacing w:after="60"/>
              <w:rPr>
                <w:rFonts w:ascii="Arial" w:hAnsi="Arial" w:cs="Arial"/>
              </w:rPr>
            </w:pPr>
            <w:r w:rsidRPr="000C0FE9">
              <w:rPr>
                <w:rFonts w:ascii="Arial" w:hAnsi="Arial" w:cs="Arial"/>
              </w:rPr>
              <w:t>Contribution to Outcome 1 made by linked programs</w:t>
            </w:r>
          </w:p>
          <w:p w14:paraId="0990D5E6" w14:textId="77777777" w:rsidR="00B970EF" w:rsidRPr="000C0FE9" w:rsidRDefault="00B970EF" w:rsidP="001744D0">
            <w:pPr>
              <w:pStyle w:val="TableTextLeft"/>
              <w:spacing w:after="120"/>
              <w:rPr>
                <w:rFonts w:cs="Arial"/>
              </w:rPr>
            </w:pPr>
            <w:r w:rsidRPr="000C0FE9">
              <w:rPr>
                <w:rFonts w:cs="Arial"/>
              </w:rPr>
              <w:t>Implementation of the Government’s Defence Industry Development Strategy is led by Defence. The partnership with Austrade is focused on growing exports to bring scale, competitiveness, and sustainability to Australia’s defence industrial base.</w:t>
            </w:r>
          </w:p>
        </w:tc>
      </w:tr>
      <w:tr w:rsidR="00B970EF" w:rsidRPr="000C0FE9" w14:paraId="485CAE24" w14:textId="77777777" w:rsidTr="001744D0">
        <w:trPr>
          <w:trHeight w:val="113"/>
        </w:trPr>
        <w:tc>
          <w:tcPr>
            <w:tcW w:w="7700" w:type="dxa"/>
            <w:tcBorders>
              <w:bottom w:val="dotted" w:sz="4" w:space="0" w:color="auto"/>
            </w:tcBorders>
          </w:tcPr>
          <w:p w14:paraId="567101BE" w14:textId="77777777" w:rsidR="00B970EF" w:rsidRPr="00A238FC" w:rsidRDefault="00B970EF" w:rsidP="001744D0">
            <w:pPr>
              <w:pStyle w:val="TableColumnHeadingLeft"/>
              <w:spacing w:after="60"/>
              <w:rPr>
                <w:rFonts w:ascii="Arial" w:hAnsi="Arial" w:cs="Arial"/>
                <w:bCs/>
              </w:rPr>
            </w:pPr>
            <w:r w:rsidRPr="00A238FC">
              <w:rPr>
                <w:rFonts w:ascii="Arial" w:hAnsi="Arial" w:cs="Arial"/>
                <w:bCs/>
              </w:rPr>
              <w:t>Tourism Australia</w:t>
            </w:r>
          </w:p>
        </w:tc>
      </w:tr>
      <w:tr w:rsidR="00B970EF" w:rsidRPr="000C0FE9" w14:paraId="2CAD1E41" w14:textId="77777777" w:rsidTr="001744D0">
        <w:trPr>
          <w:trHeight w:val="113"/>
        </w:trPr>
        <w:tc>
          <w:tcPr>
            <w:tcW w:w="7700" w:type="dxa"/>
            <w:tcBorders>
              <w:top w:val="dotted" w:sz="4" w:space="0" w:color="auto"/>
            </w:tcBorders>
          </w:tcPr>
          <w:p w14:paraId="269165EF" w14:textId="77777777" w:rsidR="00B970EF" w:rsidRPr="000C0FE9" w:rsidRDefault="00B970EF" w:rsidP="001744D0">
            <w:pPr>
              <w:pStyle w:val="TableTextLeft"/>
              <w:spacing w:after="60"/>
              <w:rPr>
                <w:rFonts w:cs="Arial"/>
                <w:b/>
                <w:bCs/>
              </w:rPr>
            </w:pPr>
            <w:r w:rsidRPr="000C0FE9">
              <w:rPr>
                <w:rFonts w:cs="Arial"/>
                <w:b/>
                <w:bCs/>
              </w:rPr>
              <w:t>Programs</w:t>
            </w:r>
          </w:p>
          <w:p w14:paraId="330046E9" w14:textId="77777777" w:rsidR="00B970EF" w:rsidRPr="000C0FE9" w:rsidRDefault="00B970EF" w:rsidP="001744D0">
            <w:pPr>
              <w:pStyle w:val="TableTextBullet"/>
              <w:spacing w:after="120"/>
              <w:rPr>
                <w:rFonts w:cs="Arial"/>
              </w:rPr>
            </w:pPr>
            <w:r w:rsidRPr="000C0FE9">
              <w:rPr>
                <w:rFonts w:cs="Arial"/>
              </w:rPr>
              <w:t>Program 1.1 – Grow demand and foster a competitive and sustainable Australian tourism industry through partnership marketing to targeted global consumers in key markets</w:t>
            </w:r>
          </w:p>
        </w:tc>
      </w:tr>
      <w:tr w:rsidR="00B970EF" w:rsidRPr="000C0FE9" w14:paraId="76B78146" w14:textId="77777777" w:rsidTr="001744D0">
        <w:trPr>
          <w:trHeight w:val="113"/>
        </w:trPr>
        <w:tc>
          <w:tcPr>
            <w:tcW w:w="7700" w:type="dxa"/>
            <w:tcBorders>
              <w:bottom w:val="single" w:sz="4" w:space="0" w:color="auto"/>
            </w:tcBorders>
          </w:tcPr>
          <w:p w14:paraId="086E73A4" w14:textId="77777777" w:rsidR="00B970EF" w:rsidRPr="000C0FE9" w:rsidRDefault="00B970EF" w:rsidP="001744D0">
            <w:pPr>
              <w:pStyle w:val="TableColumnHeadingLeft"/>
              <w:spacing w:after="60"/>
              <w:rPr>
                <w:rFonts w:ascii="Arial" w:hAnsi="Arial" w:cs="Arial"/>
              </w:rPr>
            </w:pPr>
            <w:r w:rsidRPr="000C0FE9">
              <w:rPr>
                <w:rFonts w:ascii="Arial" w:hAnsi="Arial" w:cs="Arial"/>
              </w:rPr>
              <w:t>Contribution to Outcome 1 made by linked programs</w:t>
            </w:r>
          </w:p>
          <w:p w14:paraId="10570DC2" w14:textId="77777777" w:rsidR="00B970EF" w:rsidRPr="000C0FE9" w:rsidRDefault="00B970EF" w:rsidP="001744D0">
            <w:pPr>
              <w:pStyle w:val="TableColumnHeadingLeft"/>
              <w:spacing w:after="60"/>
              <w:rPr>
                <w:rFonts w:ascii="Arial" w:hAnsi="Arial" w:cs="Arial"/>
                <w:b w:val="0"/>
                <w:bCs/>
              </w:rPr>
            </w:pPr>
            <w:r w:rsidRPr="000C0FE9">
              <w:rPr>
                <w:rFonts w:ascii="Arial" w:hAnsi="Arial" w:cs="Arial"/>
                <w:b w:val="0"/>
                <w:bCs/>
              </w:rPr>
              <w:t>Austrade provides research and policy support to Tourism Australia’s activities of promoting the export of Australian tourism services. These exports contribute to Australia’s prosperity.</w:t>
            </w:r>
            <w:r w:rsidRPr="000C0FE9">
              <w:rPr>
                <w:rFonts w:ascii="Arial" w:eastAsia="Book Antiqua" w:hAnsi="Arial" w:cs="Arial"/>
                <w:sz w:val="19"/>
              </w:rPr>
              <w:t xml:space="preserve">  </w:t>
            </w:r>
          </w:p>
        </w:tc>
      </w:tr>
    </w:tbl>
    <w:p w14:paraId="78E7444D" w14:textId="77777777" w:rsidR="00B970EF" w:rsidRPr="00F5556B" w:rsidRDefault="00B970EF" w:rsidP="00B970EF"/>
    <w:p w14:paraId="5B343123" w14:textId="77777777" w:rsidR="00B970EF" w:rsidRPr="00FA45B0" w:rsidRDefault="00B970EF" w:rsidP="00B970EF"/>
    <w:p w14:paraId="7C4DEC98" w14:textId="77777777" w:rsidR="00B970EF" w:rsidRPr="0069545F" w:rsidRDefault="00B970EF" w:rsidP="00B970EF">
      <w:r w:rsidRPr="0069545F">
        <w:br w:type="page"/>
      </w:r>
    </w:p>
    <w:p w14:paraId="547A7E1A" w14:textId="77777777" w:rsidR="00B970EF" w:rsidRPr="00446612" w:rsidRDefault="00B970EF" w:rsidP="00B970EF">
      <w:pPr>
        <w:pStyle w:val="Heading4"/>
      </w:pPr>
      <w:r w:rsidRPr="00446612">
        <w:lastRenderedPageBreak/>
        <w:t xml:space="preserve">Budgeted expenses for Outcome </w:t>
      </w:r>
      <w:r>
        <w:t>1</w:t>
      </w:r>
    </w:p>
    <w:p w14:paraId="7A448116" w14:textId="77777777" w:rsidR="00B970EF" w:rsidRDefault="00B970EF" w:rsidP="00B970EF">
      <w:r w:rsidRPr="00950281">
        <w:t>This table shows how much the entity intends to spend (on an accrual basis) on achieving the outcome, broken down by program, as well as by Administered an</w:t>
      </w:r>
      <w:r>
        <w:t>d Departmental funding sources.</w:t>
      </w:r>
    </w:p>
    <w:p w14:paraId="31191A6F" w14:textId="77777777" w:rsidR="00B970EF" w:rsidRDefault="00B970EF" w:rsidP="00B970EF">
      <w:pPr>
        <w:pStyle w:val="TableHeading"/>
      </w:pPr>
      <w:r w:rsidRPr="006E4DF1">
        <w:t>Table 2.</w:t>
      </w:r>
      <w:r>
        <w:t>1</w:t>
      </w:r>
      <w:r w:rsidRPr="006E4DF1">
        <w:t xml:space="preserve">.1: Budgeted expenses for Outcome </w:t>
      </w:r>
      <w:r>
        <w:t>1</w:t>
      </w:r>
    </w:p>
    <w:p w14:paraId="2B17EE77" w14:textId="77777777" w:rsidR="00B970EF" w:rsidRPr="00DC1ADC" w:rsidRDefault="00B970EF" w:rsidP="00B970EF">
      <w:pPr>
        <w:pStyle w:val="TableGraphic"/>
      </w:pPr>
      <w:r w:rsidRPr="00095230">
        <w:rPr>
          <w:noProof/>
        </w:rPr>
        <w:drawing>
          <wp:inline distT="0" distB="0" distL="0" distR="0" wp14:anchorId="2D6AA705" wp14:editId="6F962482">
            <wp:extent cx="4818380" cy="5295265"/>
            <wp:effectExtent l="0" t="0" r="1270" b="635"/>
            <wp:docPr id="9600214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18380" cy="5295265"/>
                    </a:xfrm>
                    <a:prstGeom prst="rect">
                      <a:avLst/>
                    </a:prstGeom>
                    <a:noFill/>
                    <a:ln>
                      <a:noFill/>
                    </a:ln>
                  </pic:spPr>
                </pic:pic>
              </a:graphicData>
            </a:graphic>
          </wp:inline>
        </w:drawing>
      </w:r>
    </w:p>
    <w:p w14:paraId="50241269" w14:textId="77777777" w:rsidR="00B970EF" w:rsidRPr="00B325CF" w:rsidRDefault="00B970EF" w:rsidP="00B970EF">
      <w:pPr>
        <w:spacing w:before="0" w:after="0" w:line="240" w:lineRule="auto"/>
        <w:rPr>
          <w:rFonts w:ascii="Arial" w:hAnsi="Arial" w:cs="Arial"/>
          <w:sz w:val="16"/>
          <w:szCs w:val="16"/>
        </w:rPr>
      </w:pPr>
      <w:r w:rsidRPr="00B325CF">
        <w:rPr>
          <w:rFonts w:ascii="Arial" w:hAnsi="Arial" w:cs="Arial"/>
          <w:sz w:val="16"/>
          <w:szCs w:val="16"/>
        </w:rPr>
        <w:t xml:space="preserve">Table </w:t>
      </w:r>
      <w:proofErr w:type="gramStart"/>
      <w:r w:rsidRPr="00B325CF">
        <w:rPr>
          <w:rFonts w:ascii="Arial" w:hAnsi="Arial" w:cs="Arial"/>
          <w:sz w:val="16"/>
          <w:szCs w:val="16"/>
        </w:rPr>
        <w:t>continued on</w:t>
      </w:r>
      <w:proofErr w:type="gramEnd"/>
      <w:r w:rsidRPr="00B325CF">
        <w:rPr>
          <w:rFonts w:ascii="Arial" w:hAnsi="Arial" w:cs="Arial"/>
          <w:sz w:val="16"/>
          <w:szCs w:val="16"/>
        </w:rPr>
        <w:t xml:space="preserve"> the next page.</w:t>
      </w:r>
    </w:p>
    <w:p w14:paraId="12E3356B" w14:textId="77777777" w:rsidR="00B970EF" w:rsidRDefault="00B970EF" w:rsidP="00B970EF">
      <w:pPr>
        <w:spacing w:before="0" w:after="0" w:line="240" w:lineRule="auto"/>
      </w:pPr>
    </w:p>
    <w:p w14:paraId="3184F33C" w14:textId="77777777" w:rsidR="00B970EF" w:rsidRDefault="00B970EF" w:rsidP="00B970EF">
      <w:pPr>
        <w:spacing w:before="0" w:after="0" w:line="240" w:lineRule="auto"/>
      </w:pPr>
      <w:r>
        <w:br w:type="page"/>
      </w:r>
    </w:p>
    <w:p w14:paraId="54740276" w14:textId="77777777" w:rsidR="00B970EF" w:rsidRPr="000F4FFC" w:rsidRDefault="00B970EF" w:rsidP="00B970EF">
      <w:pPr>
        <w:pStyle w:val="TableHeadingcontinued"/>
      </w:pPr>
      <w:r w:rsidRPr="00AD42E2">
        <w:lastRenderedPageBreak/>
        <w:t>Table 2.</w:t>
      </w:r>
      <w:r>
        <w:t>1</w:t>
      </w:r>
      <w:r w:rsidRPr="00AD42E2">
        <w:t xml:space="preserve">.1: Budgeted expenses for Outcome </w:t>
      </w:r>
      <w:r>
        <w:t>1 (continued)</w:t>
      </w:r>
    </w:p>
    <w:p w14:paraId="018F5584" w14:textId="77777777" w:rsidR="00B970EF" w:rsidRDefault="00B970EF" w:rsidP="00B970EF">
      <w:pPr>
        <w:pStyle w:val="TableGraphic"/>
      </w:pPr>
      <w:r w:rsidRPr="00F86160">
        <w:rPr>
          <w:noProof/>
        </w:rPr>
        <w:drawing>
          <wp:inline distT="0" distB="0" distL="0" distR="0" wp14:anchorId="6E038A2E" wp14:editId="18D909C3">
            <wp:extent cx="4820920" cy="1492250"/>
            <wp:effectExtent l="0" t="0" r="0" b="0"/>
            <wp:docPr id="1338611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20920" cy="1492250"/>
                    </a:xfrm>
                    <a:prstGeom prst="rect">
                      <a:avLst/>
                    </a:prstGeom>
                    <a:noFill/>
                    <a:ln>
                      <a:noFill/>
                    </a:ln>
                  </pic:spPr>
                </pic:pic>
              </a:graphicData>
            </a:graphic>
          </wp:inline>
        </w:drawing>
      </w:r>
    </w:p>
    <w:p w14:paraId="72D06AF6" w14:textId="77777777" w:rsidR="00B970EF" w:rsidRPr="00446EE2" w:rsidRDefault="00B970EF" w:rsidP="00B970EF">
      <w:pPr>
        <w:pStyle w:val="ChartandTableFootnoteAlpha"/>
        <w:numPr>
          <w:ilvl w:val="0"/>
          <w:numId w:val="14"/>
        </w:numPr>
      </w:pPr>
      <w:r w:rsidRPr="008F61A7">
        <w:t>Estimated expenses incurred in relation to receipts retained under section 74 of the PGPA Act</w:t>
      </w:r>
      <w:r w:rsidRPr="00446EE2">
        <w:t>.</w:t>
      </w:r>
    </w:p>
    <w:p w14:paraId="40A4608C" w14:textId="77777777" w:rsidR="00B970EF" w:rsidRDefault="00B970EF" w:rsidP="00B970EF">
      <w:pPr>
        <w:pStyle w:val="ChartandTableFootnoteAlpha"/>
        <w:numPr>
          <w:ilvl w:val="0"/>
          <w:numId w:val="5"/>
        </w:numPr>
      </w:pPr>
      <w:r w:rsidRPr="008F61A7">
        <w:t>Expenses not requiring appropriation in the Budget year are made up of depreciation expenses, amortisation expenses, make good expenses, audit fees</w:t>
      </w:r>
      <w:r w:rsidRPr="007379EF">
        <w:t>.</w:t>
      </w:r>
    </w:p>
    <w:p w14:paraId="7D189F91" w14:textId="77777777" w:rsidR="00B970EF" w:rsidRPr="00446EE2" w:rsidRDefault="00B970EF" w:rsidP="00B970EF">
      <w:pPr>
        <w:pStyle w:val="ChartandTableFootnoteAlpha"/>
        <w:numPr>
          <w:ilvl w:val="0"/>
          <w:numId w:val="5"/>
        </w:numPr>
      </w:pPr>
      <w:r w:rsidRPr="00446EE2">
        <w:t>Figures displayed as a negative (</w:t>
      </w:r>
      <w:r>
        <w:noBreakHyphen/>
      </w:r>
      <w:r w:rsidRPr="00446EE2">
        <w:t>) represent a decrease in funds and a positive (+) represent an increase in funds.</w:t>
      </w:r>
    </w:p>
    <w:p w14:paraId="34AE6D2C" w14:textId="77777777" w:rsidR="00B970EF" w:rsidRPr="00446612" w:rsidRDefault="00B970EF" w:rsidP="00B970EF">
      <w:pPr>
        <w:pStyle w:val="ChartandTableFootnote"/>
      </w:pPr>
      <w:r w:rsidRPr="00446612">
        <w:t xml:space="preserve">Note: Departmental appropriation splits and totals are indicative estimates and may change </w:t>
      </w:r>
      <w:proofErr w:type="gramStart"/>
      <w:r w:rsidRPr="00446612">
        <w:t>in the course of</w:t>
      </w:r>
      <w:proofErr w:type="gramEnd"/>
      <w:r w:rsidRPr="00446612">
        <w:t xml:space="preserve"> the budget year as government priorities change.</w:t>
      </w:r>
    </w:p>
    <w:p w14:paraId="229EEF40" w14:textId="77777777" w:rsidR="00B970EF" w:rsidRDefault="00B970EF" w:rsidP="00B970EF">
      <w:pPr>
        <w:spacing w:before="0" w:after="0" w:line="240" w:lineRule="auto"/>
        <w:rPr>
          <w:highlight w:val="green"/>
        </w:rPr>
      </w:pPr>
      <w:r>
        <w:rPr>
          <w:highlight w:val="green"/>
        </w:rPr>
        <w:br w:type="page"/>
      </w:r>
    </w:p>
    <w:p w14:paraId="464D41EB" w14:textId="77777777" w:rsidR="00B970EF" w:rsidRPr="00283EC4" w:rsidRDefault="00B970EF" w:rsidP="00B970EF">
      <w:pPr>
        <w:spacing w:after="0"/>
        <w:rPr>
          <w:rFonts w:ascii="Arial" w:hAnsi="Arial"/>
          <w:b/>
        </w:rPr>
      </w:pPr>
      <w:r w:rsidRPr="00B166C6">
        <w:rPr>
          <w:rStyle w:val="TableHeadingChar"/>
        </w:rPr>
        <w:lastRenderedPageBreak/>
        <w:t>Table 2.</w:t>
      </w:r>
      <w:r>
        <w:rPr>
          <w:rStyle w:val="TableHeadingChar"/>
        </w:rPr>
        <w:t>1</w:t>
      </w:r>
      <w:r w:rsidRPr="00B166C6">
        <w:rPr>
          <w:rStyle w:val="TableHeadingChar"/>
        </w:rPr>
        <w:t xml:space="preserve">.2: Program components of Outcome </w:t>
      </w:r>
      <w:r>
        <w:rPr>
          <w:rStyle w:val="TableHeadingChar"/>
        </w:rPr>
        <w:t>1</w:t>
      </w:r>
    </w:p>
    <w:p w14:paraId="1CE69BC8" w14:textId="77777777" w:rsidR="00B970EF" w:rsidRPr="00FA45B0" w:rsidRDefault="00B970EF" w:rsidP="00B970EF">
      <w:pPr>
        <w:pStyle w:val="TableGraphic"/>
      </w:pPr>
      <w:r w:rsidRPr="00283EC4">
        <w:rPr>
          <w:noProof/>
        </w:rPr>
        <w:drawing>
          <wp:inline distT="0" distB="0" distL="0" distR="0" wp14:anchorId="59584BD7" wp14:editId="2B625451">
            <wp:extent cx="4820920" cy="4293870"/>
            <wp:effectExtent l="0" t="0" r="0" b="0"/>
            <wp:docPr id="119696813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20920" cy="4293870"/>
                    </a:xfrm>
                    <a:prstGeom prst="rect">
                      <a:avLst/>
                    </a:prstGeom>
                    <a:noFill/>
                    <a:ln>
                      <a:noFill/>
                    </a:ln>
                  </pic:spPr>
                </pic:pic>
              </a:graphicData>
            </a:graphic>
          </wp:inline>
        </w:drawing>
      </w:r>
    </w:p>
    <w:p w14:paraId="55F2FF1A" w14:textId="77777777" w:rsidR="00B970EF" w:rsidRDefault="00B970EF" w:rsidP="00B970EF">
      <w:pPr>
        <w:spacing w:before="0" w:after="0" w:line="240" w:lineRule="auto"/>
        <w:rPr>
          <w:highlight w:val="green"/>
        </w:rPr>
      </w:pPr>
      <w:r>
        <w:rPr>
          <w:highlight w:val="green"/>
        </w:rPr>
        <w:br w:type="page"/>
      </w:r>
    </w:p>
    <w:p w14:paraId="6631722B" w14:textId="77777777" w:rsidR="00B970EF" w:rsidRPr="00F71634" w:rsidRDefault="00B970EF" w:rsidP="00B970EF">
      <w:pPr>
        <w:pStyle w:val="Heading4"/>
      </w:pPr>
      <w:r w:rsidRPr="00250122">
        <w:lastRenderedPageBreak/>
        <w:t>Performance</w:t>
      </w:r>
      <w:r w:rsidRPr="00F71634">
        <w:t xml:space="preserve"> </w:t>
      </w:r>
      <w:r>
        <w:t>measures</w:t>
      </w:r>
      <w:r w:rsidRPr="00F71634">
        <w:t xml:space="preserve"> for Outcome </w:t>
      </w:r>
      <w:r>
        <w:t>1</w:t>
      </w:r>
    </w:p>
    <w:p w14:paraId="11F5C0C7" w14:textId="77777777" w:rsidR="00B970EF" w:rsidRDefault="00B970EF" w:rsidP="00B970EF">
      <w:r w:rsidRPr="005D4B9C">
        <w:t>Table 2.</w:t>
      </w:r>
      <w:r>
        <w:t>1</w:t>
      </w:r>
      <w:r w:rsidRPr="005D4B9C">
        <w:t xml:space="preserve">.3 details the performance measures for each program associated with Outcome </w:t>
      </w:r>
      <w:r>
        <w:t>1</w:t>
      </w:r>
      <w:r w:rsidRPr="005D4B9C">
        <w:t xml:space="preserve">. It is used by </w:t>
      </w:r>
      <w:r w:rsidRPr="00250122">
        <w:t>entities</w:t>
      </w:r>
      <w:r w:rsidRPr="005D4B9C">
        <w:t xml:space="preserve"> to describe the results they plan to achieve and the related key activities, as detailed in the current corporate plan</w:t>
      </w:r>
      <w:r>
        <w:t xml:space="preserve"> (i.e. 2025–26)</w:t>
      </w:r>
      <w:r w:rsidRPr="005D4B9C">
        <w:t xml:space="preserve">, the context in which these activities are delivered, and how the performance of these activities will be measured. Where relevant, details of the </w:t>
      </w:r>
      <w:r>
        <w:t>2026–27</w:t>
      </w:r>
      <w:r w:rsidRPr="005D4B9C">
        <w:t xml:space="preserve"> Budget measures that have created new programs or materially changed existing programs are </w:t>
      </w:r>
      <w:r>
        <w:t xml:space="preserve">to be </w:t>
      </w:r>
      <w:r w:rsidRPr="005D4B9C">
        <w:t>provided.</w:t>
      </w:r>
    </w:p>
    <w:p w14:paraId="1BF14E03" w14:textId="77777777" w:rsidR="00B970EF" w:rsidRDefault="00B970EF" w:rsidP="00B970EF">
      <w:pPr>
        <w:pStyle w:val="TableHeading"/>
      </w:pPr>
      <w:r w:rsidRPr="00E6464E">
        <w:t>Table 2.</w:t>
      </w:r>
      <w:r>
        <w:t>1</w:t>
      </w:r>
      <w:r w:rsidRPr="00E6464E">
        <w:t xml:space="preserve">.3: Performance measures for Outcome </w:t>
      </w:r>
      <w:r>
        <w:t>1</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3603"/>
        <w:gridCol w:w="3603"/>
      </w:tblGrid>
      <w:tr w:rsidR="00B970EF" w:rsidRPr="00B20411" w14:paraId="30034586" w14:textId="77777777" w:rsidTr="001744D0">
        <w:trPr>
          <w:cantSplit/>
          <w:trHeight w:val="261"/>
          <w:tblHeader/>
        </w:trPr>
        <w:tc>
          <w:tcPr>
            <w:tcW w:w="7700" w:type="dxa"/>
            <w:gridSpan w:val="3"/>
            <w:shd w:val="clear" w:color="auto" w:fill="F2F2F2"/>
          </w:tcPr>
          <w:p w14:paraId="134A9A04" w14:textId="77777777" w:rsidR="00B970EF" w:rsidRPr="00B20411" w:rsidRDefault="00B970EF" w:rsidP="001744D0">
            <w:pPr>
              <w:pStyle w:val="TableColumnHeadingLeft"/>
              <w:rPr>
                <w:rFonts w:ascii="Arial" w:hAnsi="Arial" w:cs="Arial"/>
                <w:bCs/>
              </w:rPr>
            </w:pPr>
            <w:r w:rsidRPr="00B20411">
              <w:rPr>
                <w:rFonts w:ascii="Arial" w:eastAsia="Arial" w:hAnsi="Arial" w:cs="Arial"/>
              </w:rPr>
              <w:t>Outcome 1 – To contribute to Australia’s economic prosperity by supporting Australian exporters to expand internationally, attracting productive international investment, and growing the visitor economy.</w:t>
            </w:r>
          </w:p>
        </w:tc>
      </w:tr>
      <w:tr w:rsidR="00B970EF" w:rsidRPr="00B20411" w14:paraId="6F9D121E" w14:textId="77777777" w:rsidTr="001744D0">
        <w:trPr>
          <w:cantSplit/>
          <w:trHeight w:val="489"/>
          <w:tblHeader/>
        </w:trPr>
        <w:tc>
          <w:tcPr>
            <w:tcW w:w="7700" w:type="dxa"/>
            <w:gridSpan w:val="3"/>
            <w:shd w:val="clear" w:color="auto" w:fill="F2F2F2"/>
          </w:tcPr>
          <w:p w14:paraId="088EF6C1" w14:textId="77777777" w:rsidR="00B970EF" w:rsidRPr="00B20411" w:rsidRDefault="00B970EF" w:rsidP="001744D0">
            <w:pPr>
              <w:pStyle w:val="TableTextLeft"/>
              <w:rPr>
                <w:rFonts w:cs="Arial"/>
              </w:rPr>
            </w:pPr>
            <w:r w:rsidRPr="00B20411">
              <w:rPr>
                <w:rFonts w:eastAsia="Arial" w:cs="Arial"/>
                <w:b/>
              </w:rPr>
              <w:t>Program 1.1 – Supporting Australian exporters to expand internationally, attracting productive international investment, and growing the visitor economy</w:t>
            </w:r>
          </w:p>
        </w:tc>
      </w:tr>
      <w:tr w:rsidR="00B970EF" w:rsidRPr="00B20411" w14:paraId="6410DFF9" w14:textId="77777777" w:rsidTr="001744D0">
        <w:trPr>
          <w:cantSplit/>
          <w:trHeight w:val="261"/>
        </w:trPr>
        <w:tc>
          <w:tcPr>
            <w:tcW w:w="1546" w:type="dxa"/>
            <w:tcBorders>
              <w:bottom w:val="double" w:sz="4" w:space="0" w:color="auto"/>
            </w:tcBorders>
          </w:tcPr>
          <w:p w14:paraId="77CCF817" w14:textId="77777777" w:rsidR="00B970EF" w:rsidRPr="00B20411" w:rsidRDefault="00B970EF" w:rsidP="001744D0">
            <w:pPr>
              <w:pStyle w:val="TableColumnHeadingLeft"/>
              <w:rPr>
                <w:rFonts w:ascii="Arial" w:hAnsi="Arial" w:cs="Arial"/>
              </w:rPr>
            </w:pPr>
            <w:r w:rsidRPr="00B20411">
              <w:rPr>
                <w:rFonts w:ascii="Arial" w:hAnsi="Arial" w:cs="Arial"/>
              </w:rPr>
              <w:t xml:space="preserve">Key activities </w:t>
            </w:r>
          </w:p>
        </w:tc>
        <w:tc>
          <w:tcPr>
            <w:tcW w:w="6154" w:type="dxa"/>
            <w:gridSpan w:val="2"/>
            <w:tcBorders>
              <w:bottom w:val="double" w:sz="4" w:space="0" w:color="auto"/>
            </w:tcBorders>
          </w:tcPr>
          <w:p w14:paraId="0D56797A" w14:textId="77777777" w:rsidR="00B970EF" w:rsidRPr="00B20411" w:rsidRDefault="00B970EF" w:rsidP="001744D0">
            <w:pPr>
              <w:spacing w:before="60" w:after="60"/>
              <w:ind w:left="2"/>
              <w:rPr>
                <w:rFonts w:ascii="Arial" w:eastAsia="Arial" w:hAnsi="Arial" w:cs="Arial"/>
                <w:sz w:val="16"/>
              </w:rPr>
            </w:pPr>
            <w:r w:rsidRPr="00B20411">
              <w:rPr>
                <w:rFonts w:ascii="Arial" w:eastAsia="Arial" w:hAnsi="Arial" w:cs="Arial"/>
                <w:sz w:val="16"/>
              </w:rPr>
              <w:t xml:space="preserve">Austrade: </w:t>
            </w:r>
          </w:p>
          <w:p w14:paraId="497EFF2F" w14:textId="77777777" w:rsidR="00B970EF" w:rsidRPr="00950D1F" w:rsidRDefault="00B970EF" w:rsidP="001744D0">
            <w:pPr>
              <w:pStyle w:val="ListParagraph"/>
              <w:numPr>
                <w:ilvl w:val="0"/>
                <w:numId w:val="11"/>
              </w:numPr>
              <w:spacing w:before="0" w:after="120" w:line="240" w:lineRule="auto"/>
              <w:ind w:left="714" w:hanging="357"/>
              <w:contextualSpacing w:val="0"/>
              <w:rPr>
                <w:rFonts w:ascii="Arial" w:eastAsia="Arial" w:hAnsi="Arial" w:cs="Arial"/>
                <w:sz w:val="16"/>
                <w:szCs w:val="16"/>
              </w:rPr>
            </w:pPr>
            <w:r w:rsidRPr="00950D1F">
              <w:rPr>
                <w:rFonts w:ascii="Arial" w:eastAsia="Arial" w:hAnsi="Arial" w:cs="Arial"/>
                <w:sz w:val="16"/>
                <w:szCs w:val="16"/>
              </w:rPr>
              <w:t xml:space="preserve">supports Australian businesses to establish, expand and diversify international markets through trade advice, connections, and </w:t>
            </w:r>
            <w:proofErr w:type="gramStart"/>
            <w:r w:rsidRPr="00950D1F">
              <w:rPr>
                <w:rFonts w:ascii="Arial" w:eastAsia="Arial" w:hAnsi="Arial" w:cs="Arial"/>
                <w:sz w:val="16"/>
                <w:szCs w:val="16"/>
              </w:rPr>
              <w:t>support;</w:t>
            </w:r>
            <w:proofErr w:type="gramEnd"/>
            <w:r w:rsidRPr="00950D1F">
              <w:rPr>
                <w:rFonts w:ascii="Arial" w:eastAsia="Arial" w:hAnsi="Arial" w:cs="Arial"/>
                <w:sz w:val="16"/>
                <w:szCs w:val="16"/>
              </w:rPr>
              <w:t xml:space="preserve"> </w:t>
            </w:r>
          </w:p>
          <w:p w14:paraId="28107AF4" w14:textId="77777777" w:rsidR="00B970EF" w:rsidRPr="00950D1F" w:rsidRDefault="00B970EF" w:rsidP="001744D0">
            <w:pPr>
              <w:pStyle w:val="ListParagraph"/>
              <w:numPr>
                <w:ilvl w:val="0"/>
                <w:numId w:val="11"/>
              </w:numPr>
              <w:spacing w:before="0" w:after="120" w:line="240" w:lineRule="auto"/>
              <w:ind w:left="714" w:hanging="357"/>
              <w:contextualSpacing w:val="0"/>
              <w:rPr>
                <w:rFonts w:ascii="Arial" w:eastAsia="Arial" w:hAnsi="Arial" w:cs="Arial"/>
                <w:sz w:val="16"/>
                <w:szCs w:val="16"/>
              </w:rPr>
            </w:pPr>
            <w:r w:rsidRPr="00950D1F">
              <w:rPr>
                <w:rFonts w:ascii="Arial" w:eastAsia="Arial" w:hAnsi="Arial" w:cs="Arial"/>
                <w:sz w:val="16"/>
                <w:szCs w:val="16"/>
              </w:rPr>
              <w:t xml:space="preserve">proactively targets and attracts inwards foreign investment and outward investment, including via the Southeast Asia Investment Deal </w:t>
            </w:r>
            <w:proofErr w:type="gramStart"/>
            <w:r w:rsidRPr="00950D1F">
              <w:rPr>
                <w:rFonts w:ascii="Arial" w:eastAsia="Arial" w:hAnsi="Arial" w:cs="Arial"/>
                <w:sz w:val="16"/>
                <w:szCs w:val="16"/>
              </w:rPr>
              <w:t>Teams;</w:t>
            </w:r>
            <w:proofErr w:type="gramEnd"/>
            <w:r w:rsidRPr="00950D1F">
              <w:rPr>
                <w:rFonts w:ascii="Arial" w:eastAsia="Arial" w:hAnsi="Arial" w:cs="Arial"/>
                <w:sz w:val="16"/>
                <w:szCs w:val="16"/>
              </w:rPr>
              <w:t xml:space="preserve">  </w:t>
            </w:r>
          </w:p>
          <w:p w14:paraId="1B49A40E" w14:textId="77777777" w:rsidR="00B970EF" w:rsidRPr="00950D1F" w:rsidRDefault="00B970EF" w:rsidP="001744D0">
            <w:pPr>
              <w:pStyle w:val="ListParagraph"/>
              <w:numPr>
                <w:ilvl w:val="0"/>
                <w:numId w:val="11"/>
              </w:numPr>
              <w:spacing w:before="0" w:after="120" w:line="240" w:lineRule="auto"/>
              <w:ind w:left="714" w:hanging="357"/>
              <w:contextualSpacing w:val="0"/>
              <w:rPr>
                <w:rFonts w:ascii="Arial" w:eastAsia="Arial" w:hAnsi="Arial" w:cs="Arial"/>
                <w:sz w:val="16"/>
                <w:szCs w:val="16"/>
              </w:rPr>
            </w:pPr>
            <w:r w:rsidRPr="00950D1F">
              <w:rPr>
                <w:rFonts w:ascii="Arial" w:eastAsia="Arial" w:hAnsi="Arial" w:cs="Arial"/>
                <w:sz w:val="16"/>
                <w:szCs w:val="16"/>
              </w:rPr>
              <w:t xml:space="preserve">contributes to, and informs, the strategic direction of Australia’s trade and investment, including through supporting the building of national capability, partnering with industry and sharing market </w:t>
            </w:r>
            <w:proofErr w:type="gramStart"/>
            <w:r w:rsidRPr="00950D1F">
              <w:rPr>
                <w:rFonts w:ascii="Arial" w:eastAsia="Arial" w:hAnsi="Arial" w:cs="Arial"/>
                <w:sz w:val="16"/>
                <w:szCs w:val="16"/>
              </w:rPr>
              <w:t>insights;</w:t>
            </w:r>
            <w:proofErr w:type="gramEnd"/>
          </w:p>
          <w:p w14:paraId="73277683" w14:textId="77777777" w:rsidR="00B970EF" w:rsidRPr="00950D1F" w:rsidRDefault="00B970EF" w:rsidP="001744D0">
            <w:pPr>
              <w:pStyle w:val="ListParagraph"/>
              <w:numPr>
                <w:ilvl w:val="0"/>
                <w:numId w:val="11"/>
              </w:numPr>
              <w:spacing w:before="0" w:after="120" w:line="240" w:lineRule="auto"/>
              <w:ind w:left="714" w:hanging="357"/>
              <w:contextualSpacing w:val="0"/>
              <w:rPr>
                <w:rFonts w:ascii="Arial" w:eastAsia="Arial" w:hAnsi="Arial" w:cs="Arial"/>
                <w:sz w:val="16"/>
                <w:szCs w:val="16"/>
              </w:rPr>
            </w:pPr>
            <w:r w:rsidRPr="00950D1F">
              <w:rPr>
                <w:rFonts w:ascii="Arial" w:eastAsia="Arial" w:hAnsi="Arial" w:cs="Arial"/>
                <w:sz w:val="16"/>
                <w:szCs w:val="16"/>
              </w:rPr>
              <w:t xml:space="preserve">conducts global marketing and promotion to create awareness of Australia’s nation brand, generate demand for Australian products and support conversion of leads for trade and investment; and </w:t>
            </w:r>
          </w:p>
          <w:p w14:paraId="4BFA8017" w14:textId="77777777" w:rsidR="00B970EF" w:rsidRPr="00950D1F" w:rsidRDefault="00B970EF" w:rsidP="001744D0">
            <w:pPr>
              <w:pStyle w:val="ListParagraph"/>
              <w:numPr>
                <w:ilvl w:val="0"/>
                <w:numId w:val="11"/>
              </w:numPr>
              <w:spacing w:before="60" w:after="60" w:line="240" w:lineRule="auto"/>
              <w:contextualSpacing w:val="0"/>
              <w:rPr>
                <w:rFonts w:ascii="Arial" w:eastAsia="Arial" w:hAnsi="Arial" w:cs="Arial"/>
                <w:sz w:val="16"/>
                <w:szCs w:val="16"/>
              </w:rPr>
            </w:pPr>
            <w:r w:rsidRPr="00950D1F">
              <w:rPr>
                <w:rFonts w:ascii="Arial" w:eastAsia="Arial" w:hAnsi="Arial" w:cs="Arial"/>
                <w:sz w:val="16"/>
                <w:szCs w:val="16"/>
              </w:rPr>
              <w:t>leads national visitor economy policy development and implementation, supported by the publication of official tourism statistics through Tourism Research Australia.</w:t>
            </w:r>
          </w:p>
        </w:tc>
      </w:tr>
      <w:tr w:rsidR="00B970EF" w:rsidRPr="00B20411" w14:paraId="39541ACE" w14:textId="77777777" w:rsidTr="001744D0">
        <w:trPr>
          <w:cantSplit/>
          <w:trHeight w:val="258"/>
        </w:trPr>
        <w:tc>
          <w:tcPr>
            <w:tcW w:w="1546" w:type="dxa"/>
            <w:tcBorders>
              <w:top w:val="double" w:sz="4" w:space="0" w:color="auto"/>
              <w:bottom w:val="single" w:sz="4" w:space="0" w:color="auto"/>
              <w:right w:val="single" w:sz="4" w:space="0" w:color="auto"/>
            </w:tcBorders>
          </w:tcPr>
          <w:p w14:paraId="766D49B1" w14:textId="77777777" w:rsidR="00B970EF" w:rsidRPr="00B20411" w:rsidRDefault="00B970EF" w:rsidP="001744D0">
            <w:pPr>
              <w:pStyle w:val="TableColumnHeadingLeft"/>
              <w:rPr>
                <w:rFonts w:ascii="Arial" w:hAnsi="Arial" w:cs="Arial"/>
              </w:rPr>
            </w:pPr>
            <w:r w:rsidRPr="00B20411">
              <w:rPr>
                <w:rFonts w:ascii="Arial" w:hAnsi="Arial" w:cs="Arial"/>
              </w:rPr>
              <w:t>Year</w:t>
            </w:r>
          </w:p>
        </w:tc>
        <w:tc>
          <w:tcPr>
            <w:tcW w:w="3077" w:type="dxa"/>
            <w:tcBorders>
              <w:top w:val="double" w:sz="4" w:space="0" w:color="auto"/>
              <w:left w:val="single" w:sz="4" w:space="0" w:color="auto"/>
              <w:bottom w:val="single" w:sz="4" w:space="0" w:color="auto"/>
              <w:right w:val="single" w:sz="4" w:space="0" w:color="auto"/>
            </w:tcBorders>
          </w:tcPr>
          <w:p w14:paraId="59B0FD44" w14:textId="77777777" w:rsidR="00B970EF" w:rsidRPr="00B20411" w:rsidRDefault="00B970EF" w:rsidP="001744D0">
            <w:pPr>
              <w:pStyle w:val="TableColumnHeadingLeft"/>
              <w:rPr>
                <w:rFonts w:ascii="Arial" w:hAnsi="Arial" w:cs="Arial"/>
              </w:rPr>
            </w:pPr>
            <w:r w:rsidRPr="00B20411">
              <w:rPr>
                <w:rFonts w:ascii="Arial" w:hAnsi="Arial" w:cs="Arial"/>
              </w:rPr>
              <w:t>Performance measures</w:t>
            </w:r>
          </w:p>
        </w:tc>
        <w:tc>
          <w:tcPr>
            <w:tcW w:w="3077" w:type="dxa"/>
            <w:tcBorders>
              <w:top w:val="double" w:sz="4" w:space="0" w:color="auto"/>
              <w:left w:val="single" w:sz="4" w:space="0" w:color="auto"/>
              <w:bottom w:val="single" w:sz="4" w:space="0" w:color="auto"/>
            </w:tcBorders>
          </w:tcPr>
          <w:p w14:paraId="75F0FE2E" w14:textId="77777777" w:rsidR="00B970EF" w:rsidRPr="00B20411" w:rsidRDefault="00B970EF" w:rsidP="001744D0">
            <w:pPr>
              <w:pStyle w:val="TableColumnHeadingLeft"/>
              <w:rPr>
                <w:rFonts w:ascii="Arial" w:hAnsi="Arial" w:cs="Arial"/>
              </w:rPr>
            </w:pPr>
            <w:r w:rsidRPr="00B20411">
              <w:rPr>
                <w:rFonts w:ascii="Arial" w:hAnsi="Arial" w:cs="Arial"/>
              </w:rPr>
              <w:t>Expected performance results</w:t>
            </w:r>
          </w:p>
        </w:tc>
      </w:tr>
      <w:tr w:rsidR="00B970EF" w:rsidRPr="00B20411" w14:paraId="06F836A1" w14:textId="77777777" w:rsidTr="001744D0">
        <w:trPr>
          <w:cantSplit/>
          <w:trHeight w:val="642"/>
        </w:trPr>
        <w:tc>
          <w:tcPr>
            <w:tcW w:w="1546" w:type="dxa"/>
            <w:tcBorders>
              <w:top w:val="single" w:sz="4" w:space="0" w:color="auto"/>
              <w:bottom w:val="dotted" w:sz="4" w:space="0" w:color="auto"/>
              <w:right w:val="single" w:sz="4" w:space="0" w:color="auto"/>
            </w:tcBorders>
          </w:tcPr>
          <w:p w14:paraId="6A95207C" w14:textId="77777777" w:rsidR="00B970EF" w:rsidRPr="00B20411" w:rsidRDefault="00B970EF" w:rsidP="001744D0">
            <w:pPr>
              <w:pStyle w:val="TableTextLeft"/>
              <w:rPr>
                <w:rFonts w:cs="Arial"/>
              </w:rPr>
            </w:pPr>
            <w:r w:rsidRPr="00B20411">
              <w:rPr>
                <w:rFonts w:cs="Arial"/>
              </w:rPr>
              <w:t xml:space="preserve">Current Year </w:t>
            </w:r>
          </w:p>
          <w:p w14:paraId="760C121B" w14:textId="77777777" w:rsidR="00B970EF" w:rsidRPr="00B20411" w:rsidRDefault="00B970EF" w:rsidP="001744D0">
            <w:pPr>
              <w:pStyle w:val="TableTextLeft"/>
              <w:rPr>
                <w:rFonts w:cs="Arial"/>
              </w:rPr>
            </w:pPr>
            <w:r w:rsidRPr="00B20411">
              <w:rPr>
                <w:rFonts w:cs="Arial"/>
              </w:rPr>
              <w:t>2025–26</w:t>
            </w:r>
          </w:p>
        </w:tc>
        <w:tc>
          <w:tcPr>
            <w:tcW w:w="3077" w:type="dxa"/>
            <w:tcBorders>
              <w:top w:val="single" w:sz="4" w:space="0" w:color="auto"/>
              <w:left w:val="single" w:sz="4" w:space="0" w:color="auto"/>
              <w:bottom w:val="dotted" w:sz="4" w:space="0" w:color="auto"/>
              <w:right w:val="single" w:sz="4" w:space="0" w:color="auto"/>
            </w:tcBorders>
          </w:tcPr>
          <w:p w14:paraId="481F8693" w14:textId="77777777" w:rsidR="00B970EF" w:rsidRPr="00B20411" w:rsidRDefault="00B970EF" w:rsidP="001744D0">
            <w:pPr>
              <w:pStyle w:val="TableTextLeft"/>
              <w:rPr>
                <w:rFonts w:cs="Arial"/>
              </w:rPr>
            </w:pPr>
            <w:r w:rsidRPr="00B20411">
              <w:rPr>
                <w:rFonts w:eastAsia="Arial" w:cs="Arial"/>
              </w:rPr>
              <w:t xml:space="preserve">High level of satisfaction for Austrade’s clients with Austrade’s services. </w:t>
            </w:r>
          </w:p>
        </w:tc>
        <w:tc>
          <w:tcPr>
            <w:tcW w:w="3077" w:type="dxa"/>
            <w:tcBorders>
              <w:top w:val="single" w:sz="4" w:space="0" w:color="auto"/>
              <w:left w:val="single" w:sz="4" w:space="0" w:color="auto"/>
              <w:bottom w:val="dotted" w:sz="4" w:space="0" w:color="auto"/>
            </w:tcBorders>
          </w:tcPr>
          <w:p w14:paraId="7C7A9D79" w14:textId="77777777" w:rsidR="00B970EF" w:rsidRPr="00B20411" w:rsidRDefault="00B970EF" w:rsidP="001744D0">
            <w:pPr>
              <w:pStyle w:val="TableTextLeft"/>
              <w:rPr>
                <w:rFonts w:cs="Arial"/>
              </w:rPr>
            </w:pPr>
            <w:r w:rsidRPr="00B20411">
              <w:rPr>
                <w:rFonts w:eastAsia="Arial" w:cs="Arial"/>
              </w:rPr>
              <w:t xml:space="preserve">At least 85 per cent. </w:t>
            </w:r>
          </w:p>
        </w:tc>
      </w:tr>
      <w:tr w:rsidR="00B970EF" w:rsidRPr="00B20411" w14:paraId="72138171" w14:textId="77777777" w:rsidTr="001744D0">
        <w:trPr>
          <w:cantSplit/>
          <w:trHeight w:val="100"/>
        </w:trPr>
        <w:tc>
          <w:tcPr>
            <w:tcW w:w="1546" w:type="dxa"/>
            <w:tcBorders>
              <w:top w:val="single" w:sz="4" w:space="0" w:color="auto"/>
              <w:bottom w:val="dotted" w:sz="4" w:space="0" w:color="auto"/>
              <w:right w:val="single" w:sz="4" w:space="0" w:color="auto"/>
            </w:tcBorders>
          </w:tcPr>
          <w:p w14:paraId="7B5461C7" w14:textId="77777777" w:rsidR="00B970EF" w:rsidRPr="00B20411" w:rsidRDefault="00B970EF" w:rsidP="001744D0">
            <w:pPr>
              <w:pStyle w:val="TableColumnHeadingLeft"/>
              <w:rPr>
                <w:rFonts w:ascii="Arial" w:hAnsi="Arial" w:cs="Arial"/>
              </w:rPr>
            </w:pPr>
            <w:r w:rsidRPr="00B20411">
              <w:rPr>
                <w:rFonts w:ascii="Arial" w:hAnsi="Arial" w:cs="Arial"/>
              </w:rPr>
              <w:t>Year</w:t>
            </w:r>
          </w:p>
        </w:tc>
        <w:tc>
          <w:tcPr>
            <w:tcW w:w="3077" w:type="dxa"/>
            <w:tcBorders>
              <w:top w:val="single" w:sz="4" w:space="0" w:color="auto"/>
              <w:left w:val="single" w:sz="4" w:space="0" w:color="auto"/>
              <w:bottom w:val="dotted" w:sz="4" w:space="0" w:color="auto"/>
              <w:right w:val="single" w:sz="4" w:space="0" w:color="auto"/>
            </w:tcBorders>
          </w:tcPr>
          <w:p w14:paraId="6F37FE56" w14:textId="77777777" w:rsidR="00B970EF" w:rsidRPr="00B20411" w:rsidRDefault="00B970EF" w:rsidP="001744D0">
            <w:pPr>
              <w:pStyle w:val="TableColumnHeadingLeft"/>
              <w:rPr>
                <w:rFonts w:ascii="Arial" w:hAnsi="Arial" w:cs="Arial"/>
              </w:rPr>
            </w:pPr>
            <w:r w:rsidRPr="00B20411">
              <w:rPr>
                <w:rFonts w:ascii="Arial" w:hAnsi="Arial" w:cs="Arial"/>
              </w:rPr>
              <w:t>Performance measures</w:t>
            </w:r>
          </w:p>
        </w:tc>
        <w:tc>
          <w:tcPr>
            <w:tcW w:w="3077" w:type="dxa"/>
            <w:tcBorders>
              <w:top w:val="single" w:sz="4" w:space="0" w:color="auto"/>
              <w:left w:val="single" w:sz="4" w:space="0" w:color="auto"/>
              <w:bottom w:val="dotted" w:sz="4" w:space="0" w:color="auto"/>
            </w:tcBorders>
          </w:tcPr>
          <w:p w14:paraId="52250A93" w14:textId="77777777" w:rsidR="00B970EF" w:rsidRPr="00B20411" w:rsidRDefault="00B970EF" w:rsidP="001744D0">
            <w:pPr>
              <w:pStyle w:val="TableColumnHeadingLeft"/>
              <w:rPr>
                <w:rFonts w:ascii="Arial" w:hAnsi="Arial" w:cs="Arial"/>
              </w:rPr>
            </w:pPr>
            <w:r w:rsidRPr="00B20411">
              <w:rPr>
                <w:rFonts w:ascii="Arial" w:hAnsi="Arial" w:cs="Arial"/>
              </w:rPr>
              <w:t>Planned performance results</w:t>
            </w:r>
          </w:p>
        </w:tc>
      </w:tr>
      <w:tr w:rsidR="00B970EF" w:rsidRPr="00B20411" w14:paraId="6B3AC1F1" w14:textId="77777777" w:rsidTr="001744D0">
        <w:trPr>
          <w:cantSplit/>
          <w:trHeight w:val="782"/>
        </w:trPr>
        <w:tc>
          <w:tcPr>
            <w:tcW w:w="1546" w:type="dxa"/>
            <w:tcBorders>
              <w:top w:val="single" w:sz="4" w:space="0" w:color="auto"/>
              <w:bottom w:val="dotted" w:sz="4" w:space="0" w:color="auto"/>
              <w:right w:val="single" w:sz="4" w:space="0" w:color="auto"/>
            </w:tcBorders>
          </w:tcPr>
          <w:p w14:paraId="7159B64C" w14:textId="77777777" w:rsidR="00B970EF" w:rsidRPr="00B20411" w:rsidRDefault="00B970EF" w:rsidP="001744D0">
            <w:pPr>
              <w:pStyle w:val="TableTextLeft"/>
              <w:rPr>
                <w:rFonts w:cs="Arial"/>
              </w:rPr>
            </w:pPr>
            <w:r w:rsidRPr="00B20411">
              <w:rPr>
                <w:rFonts w:cs="Arial"/>
              </w:rPr>
              <w:t xml:space="preserve">Budget Year </w:t>
            </w:r>
          </w:p>
          <w:p w14:paraId="19B37155" w14:textId="77777777" w:rsidR="00B970EF" w:rsidRPr="00B20411" w:rsidRDefault="00B970EF" w:rsidP="001744D0">
            <w:pPr>
              <w:pStyle w:val="TableTextLeft"/>
              <w:rPr>
                <w:rFonts w:cs="Arial"/>
              </w:rPr>
            </w:pPr>
            <w:r w:rsidRPr="00B20411">
              <w:rPr>
                <w:rFonts w:cs="Arial"/>
              </w:rPr>
              <w:t>2026–27</w:t>
            </w:r>
          </w:p>
        </w:tc>
        <w:tc>
          <w:tcPr>
            <w:tcW w:w="3077" w:type="dxa"/>
            <w:tcBorders>
              <w:top w:val="single" w:sz="4" w:space="0" w:color="auto"/>
              <w:left w:val="single" w:sz="4" w:space="0" w:color="auto"/>
              <w:bottom w:val="dotted" w:sz="4" w:space="0" w:color="auto"/>
              <w:right w:val="single" w:sz="4" w:space="0" w:color="auto"/>
            </w:tcBorders>
          </w:tcPr>
          <w:p w14:paraId="140F76C4" w14:textId="77777777" w:rsidR="00B970EF" w:rsidRPr="00B20411" w:rsidRDefault="00B970EF" w:rsidP="001744D0">
            <w:pPr>
              <w:pStyle w:val="TableTextLeft"/>
              <w:rPr>
                <w:rFonts w:cs="Arial"/>
              </w:rPr>
            </w:pPr>
            <w:r w:rsidRPr="00B20411">
              <w:rPr>
                <w:rFonts w:eastAsia="Arial" w:cs="Arial"/>
              </w:rPr>
              <w:t xml:space="preserve">High level of satisfaction for Austrade’s clients with Austrade’s services. </w:t>
            </w:r>
          </w:p>
        </w:tc>
        <w:tc>
          <w:tcPr>
            <w:tcW w:w="3077" w:type="dxa"/>
            <w:tcBorders>
              <w:top w:val="single" w:sz="4" w:space="0" w:color="auto"/>
              <w:left w:val="single" w:sz="4" w:space="0" w:color="auto"/>
              <w:bottom w:val="dotted" w:sz="4" w:space="0" w:color="auto"/>
            </w:tcBorders>
          </w:tcPr>
          <w:p w14:paraId="304BE91D" w14:textId="77777777" w:rsidR="00B970EF" w:rsidRPr="00B20411" w:rsidRDefault="00B970EF" w:rsidP="001744D0">
            <w:pPr>
              <w:pStyle w:val="TableTextLeft"/>
              <w:rPr>
                <w:rFonts w:cs="Arial"/>
              </w:rPr>
            </w:pPr>
            <w:r w:rsidRPr="00B20411">
              <w:rPr>
                <w:rFonts w:eastAsia="Arial" w:cs="Arial"/>
              </w:rPr>
              <w:t xml:space="preserve">Maintained or improved compared to the previous year. </w:t>
            </w:r>
          </w:p>
        </w:tc>
      </w:tr>
      <w:tr w:rsidR="00B970EF" w:rsidRPr="00B20411" w14:paraId="3A0119A3" w14:textId="77777777" w:rsidTr="001744D0">
        <w:trPr>
          <w:cantSplit/>
          <w:trHeight w:val="491"/>
        </w:trPr>
        <w:tc>
          <w:tcPr>
            <w:tcW w:w="1546" w:type="dxa"/>
            <w:tcBorders>
              <w:top w:val="dotted" w:sz="4" w:space="0" w:color="auto"/>
              <w:bottom w:val="dotted" w:sz="4" w:space="0" w:color="auto"/>
              <w:right w:val="single" w:sz="4" w:space="0" w:color="auto"/>
            </w:tcBorders>
          </w:tcPr>
          <w:p w14:paraId="482F3489" w14:textId="77777777" w:rsidR="00B970EF" w:rsidRPr="00B20411" w:rsidRDefault="00B970EF" w:rsidP="001744D0">
            <w:pPr>
              <w:pStyle w:val="TableTextLeft"/>
              <w:rPr>
                <w:rFonts w:cs="Arial"/>
              </w:rPr>
            </w:pPr>
            <w:r w:rsidRPr="00B20411">
              <w:rPr>
                <w:rFonts w:cs="Arial"/>
              </w:rPr>
              <w:t xml:space="preserve">Forward Estimates </w:t>
            </w:r>
          </w:p>
          <w:p w14:paraId="55FF3A85" w14:textId="77777777" w:rsidR="00B970EF" w:rsidRPr="00B20411" w:rsidRDefault="00B970EF" w:rsidP="001744D0">
            <w:pPr>
              <w:pStyle w:val="TableTextLeft"/>
              <w:rPr>
                <w:rFonts w:cs="Arial"/>
                <w:b/>
              </w:rPr>
            </w:pPr>
            <w:r w:rsidRPr="00B20411">
              <w:rPr>
                <w:rFonts w:cs="Arial"/>
              </w:rPr>
              <w:t>2027–30</w:t>
            </w:r>
          </w:p>
        </w:tc>
        <w:tc>
          <w:tcPr>
            <w:tcW w:w="3077" w:type="dxa"/>
            <w:tcBorders>
              <w:top w:val="dotted" w:sz="4" w:space="0" w:color="auto"/>
              <w:left w:val="single" w:sz="4" w:space="0" w:color="auto"/>
              <w:bottom w:val="dotted" w:sz="4" w:space="0" w:color="auto"/>
              <w:right w:val="single" w:sz="4" w:space="0" w:color="auto"/>
            </w:tcBorders>
          </w:tcPr>
          <w:p w14:paraId="3B74D67C" w14:textId="77777777" w:rsidR="00B970EF" w:rsidRPr="00B20411" w:rsidRDefault="00B970EF" w:rsidP="001744D0">
            <w:pPr>
              <w:pStyle w:val="TableTextLeft"/>
              <w:rPr>
                <w:rFonts w:cs="Arial"/>
                <w:b/>
              </w:rPr>
            </w:pPr>
            <w:r w:rsidRPr="00B20411">
              <w:rPr>
                <w:rFonts w:eastAsia="Arial" w:cs="Arial"/>
              </w:rPr>
              <w:t>As per 2026</w:t>
            </w:r>
            <w:r w:rsidRPr="003A00DB">
              <w:rPr>
                <w:rFonts w:cs="Arial"/>
              </w:rPr>
              <w:t>–</w:t>
            </w:r>
            <w:r w:rsidRPr="00B20411">
              <w:rPr>
                <w:rFonts w:eastAsia="Arial" w:cs="Arial"/>
              </w:rPr>
              <w:t>27</w:t>
            </w:r>
            <w:r w:rsidRPr="00B20411">
              <w:rPr>
                <w:rFonts w:eastAsia="Arial" w:cs="Arial"/>
                <w:b/>
              </w:rPr>
              <w:t xml:space="preserve"> </w:t>
            </w:r>
          </w:p>
        </w:tc>
        <w:tc>
          <w:tcPr>
            <w:tcW w:w="3077" w:type="dxa"/>
            <w:tcBorders>
              <w:top w:val="dotted" w:sz="4" w:space="0" w:color="auto"/>
              <w:left w:val="single" w:sz="4" w:space="0" w:color="auto"/>
              <w:bottom w:val="dotted" w:sz="4" w:space="0" w:color="auto"/>
            </w:tcBorders>
          </w:tcPr>
          <w:p w14:paraId="0C55288B" w14:textId="77777777" w:rsidR="00B970EF" w:rsidRPr="00B20411" w:rsidRDefault="00B970EF" w:rsidP="001744D0">
            <w:pPr>
              <w:pStyle w:val="TableTextLeft"/>
              <w:rPr>
                <w:rFonts w:cs="Arial"/>
                <w:b/>
              </w:rPr>
            </w:pPr>
            <w:r w:rsidRPr="00B20411">
              <w:rPr>
                <w:rFonts w:eastAsia="Arial" w:cs="Arial"/>
              </w:rPr>
              <w:t>As per 2026</w:t>
            </w:r>
            <w:r w:rsidRPr="003A00DB">
              <w:rPr>
                <w:rFonts w:cs="Arial"/>
              </w:rPr>
              <w:t>–</w:t>
            </w:r>
            <w:r w:rsidRPr="00B20411">
              <w:rPr>
                <w:rFonts w:eastAsia="Arial" w:cs="Arial"/>
              </w:rPr>
              <w:t>27</w:t>
            </w:r>
            <w:r w:rsidRPr="00B20411">
              <w:rPr>
                <w:rFonts w:eastAsia="Arial" w:cs="Arial"/>
                <w:b/>
              </w:rPr>
              <w:t xml:space="preserve"> </w:t>
            </w:r>
          </w:p>
        </w:tc>
      </w:tr>
      <w:tr w:rsidR="00B970EF" w:rsidRPr="00B20411" w14:paraId="02B74847" w14:textId="77777777" w:rsidTr="001744D0">
        <w:trPr>
          <w:cantSplit/>
          <w:trHeight w:val="261"/>
        </w:trPr>
        <w:tc>
          <w:tcPr>
            <w:tcW w:w="7700" w:type="dxa"/>
            <w:gridSpan w:val="3"/>
          </w:tcPr>
          <w:p w14:paraId="57416472" w14:textId="77777777" w:rsidR="00B970EF" w:rsidRPr="00B20411" w:rsidRDefault="00B970EF" w:rsidP="001744D0">
            <w:pPr>
              <w:pStyle w:val="TableTextLeft"/>
              <w:rPr>
                <w:rFonts w:eastAsia="Cambria" w:cs="Arial"/>
                <w:spacing w:val="-6"/>
              </w:rPr>
            </w:pPr>
            <w:r w:rsidRPr="00B20411">
              <w:rPr>
                <w:rFonts w:cs="Arial"/>
              </w:rPr>
              <w:t>Material changes to Program 1.1 resulting from 2026–27 Budget Measures: Nil</w:t>
            </w:r>
          </w:p>
        </w:tc>
      </w:tr>
    </w:tbl>
    <w:p w14:paraId="4C5C7D9F" w14:textId="77777777" w:rsidR="00B970EF" w:rsidRDefault="00B970EF" w:rsidP="00B970EF">
      <w:pPr>
        <w:spacing w:before="0" w:after="0" w:line="240" w:lineRule="auto"/>
      </w:pPr>
    </w:p>
    <w:p w14:paraId="134C0E97" w14:textId="77777777" w:rsidR="00B970EF" w:rsidRDefault="00B970EF" w:rsidP="00B970EF">
      <w:pPr>
        <w:spacing w:before="0" w:after="0" w:line="240" w:lineRule="auto"/>
      </w:pPr>
      <w:r>
        <w:br w:type="page"/>
      </w:r>
    </w:p>
    <w:p w14:paraId="67D86875" w14:textId="77777777" w:rsidR="00B970EF" w:rsidRDefault="00B970EF" w:rsidP="00B970EF">
      <w:pPr>
        <w:pStyle w:val="TableHeading"/>
      </w:pPr>
      <w:r w:rsidRPr="00E6464E">
        <w:lastRenderedPageBreak/>
        <w:t>Table 2.</w:t>
      </w:r>
      <w:r>
        <w:t>1</w:t>
      </w:r>
      <w:r w:rsidRPr="00E6464E">
        <w:t xml:space="preserve">.3: Performance measures for Outcome </w:t>
      </w:r>
      <w:r>
        <w:t>1 (continued)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3603"/>
        <w:gridCol w:w="3603"/>
      </w:tblGrid>
      <w:tr w:rsidR="00B970EF" w:rsidRPr="00CF67C1" w14:paraId="5ECB7358" w14:textId="77777777" w:rsidTr="001744D0">
        <w:trPr>
          <w:cantSplit/>
          <w:trHeight w:val="489"/>
          <w:tblHeader/>
        </w:trPr>
        <w:tc>
          <w:tcPr>
            <w:tcW w:w="7700" w:type="dxa"/>
            <w:gridSpan w:val="3"/>
            <w:shd w:val="clear" w:color="auto" w:fill="F2F2F2"/>
          </w:tcPr>
          <w:p w14:paraId="742C33C8" w14:textId="77777777" w:rsidR="00B970EF" w:rsidRPr="00CF67C1" w:rsidRDefault="00B970EF" w:rsidP="001744D0">
            <w:pPr>
              <w:pStyle w:val="TableTextLeft"/>
              <w:rPr>
                <w:rFonts w:cs="Arial"/>
              </w:rPr>
            </w:pPr>
            <w:r w:rsidRPr="00CF67C1">
              <w:rPr>
                <w:rFonts w:eastAsia="Arial" w:cs="Arial"/>
                <w:b/>
              </w:rPr>
              <w:t>Program 1.2 – Programs to support Australian exporters to expand internationally, attract productive international investment, and grow the visitor economy</w:t>
            </w:r>
          </w:p>
        </w:tc>
      </w:tr>
      <w:tr w:rsidR="00B970EF" w:rsidRPr="00CF67C1" w14:paraId="37964909" w14:textId="77777777" w:rsidTr="001744D0">
        <w:trPr>
          <w:cantSplit/>
          <w:trHeight w:val="261"/>
        </w:trPr>
        <w:tc>
          <w:tcPr>
            <w:tcW w:w="1546" w:type="dxa"/>
            <w:tcBorders>
              <w:bottom w:val="double" w:sz="4" w:space="0" w:color="auto"/>
            </w:tcBorders>
          </w:tcPr>
          <w:p w14:paraId="3E14E231" w14:textId="77777777" w:rsidR="00B970EF" w:rsidRPr="00CF67C1" w:rsidRDefault="00B970EF" w:rsidP="001744D0">
            <w:pPr>
              <w:pStyle w:val="TableColumnHeadingLeft"/>
              <w:rPr>
                <w:rFonts w:ascii="Arial" w:hAnsi="Arial" w:cs="Arial"/>
              </w:rPr>
            </w:pPr>
            <w:r w:rsidRPr="00CF67C1">
              <w:rPr>
                <w:rFonts w:ascii="Arial" w:hAnsi="Arial" w:cs="Arial"/>
              </w:rPr>
              <w:t xml:space="preserve">Key activities </w:t>
            </w:r>
          </w:p>
        </w:tc>
        <w:tc>
          <w:tcPr>
            <w:tcW w:w="6154" w:type="dxa"/>
            <w:gridSpan w:val="2"/>
            <w:tcBorders>
              <w:bottom w:val="double" w:sz="4" w:space="0" w:color="auto"/>
            </w:tcBorders>
          </w:tcPr>
          <w:p w14:paraId="423648DE" w14:textId="77777777" w:rsidR="00B970EF" w:rsidRPr="00CF67C1" w:rsidRDefault="00B970EF" w:rsidP="001744D0">
            <w:pPr>
              <w:spacing w:before="60" w:after="60" w:line="240" w:lineRule="auto"/>
              <w:rPr>
                <w:rFonts w:ascii="Arial" w:eastAsia="Arial" w:hAnsi="Arial" w:cs="Arial"/>
                <w:sz w:val="16"/>
              </w:rPr>
            </w:pPr>
            <w:r w:rsidRPr="00CF67C1">
              <w:rPr>
                <w:rFonts w:ascii="Arial" w:eastAsia="Arial" w:hAnsi="Arial" w:cs="Arial"/>
                <w:sz w:val="16"/>
              </w:rPr>
              <w:t>Austrade supports Australian businesses to expand internationally through program support, including through the Export Market Development Grants (EMDG) Scheme.</w:t>
            </w:r>
          </w:p>
        </w:tc>
      </w:tr>
      <w:tr w:rsidR="00B970EF" w:rsidRPr="00CF67C1" w14:paraId="1FDCC04C" w14:textId="77777777" w:rsidTr="001744D0">
        <w:trPr>
          <w:cantSplit/>
          <w:trHeight w:val="258"/>
        </w:trPr>
        <w:tc>
          <w:tcPr>
            <w:tcW w:w="1546" w:type="dxa"/>
            <w:tcBorders>
              <w:top w:val="double" w:sz="4" w:space="0" w:color="auto"/>
              <w:bottom w:val="single" w:sz="4" w:space="0" w:color="auto"/>
              <w:right w:val="single" w:sz="4" w:space="0" w:color="auto"/>
            </w:tcBorders>
          </w:tcPr>
          <w:p w14:paraId="1B7CB6B0" w14:textId="77777777" w:rsidR="00B970EF" w:rsidRPr="00CF67C1" w:rsidRDefault="00B970EF" w:rsidP="001744D0">
            <w:pPr>
              <w:pStyle w:val="TableColumnHeadingLeft"/>
              <w:rPr>
                <w:rFonts w:ascii="Arial" w:hAnsi="Arial" w:cs="Arial"/>
              </w:rPr>
            </w:pPr>
            <w:r w:rsidRPr="00CF67C1">
              <w:rPr>
                <w:rFonts w:ascii="Arial" w:hAnsi="Arial" w:cs="Arial"/>
              </w:rPr>
              <w:t>Year</w:t>
            </w:r>
          </w:p>
        </w:tc>
        <w:tc>
          <w:tcPr>
            <w:tcW w:w="3077" w:type="dxa"/>
            <w:tcBorders>
              <w:top w:val="double" w:sz="4" w:space="0" w:color="auto"/>
              <w:left w:val="single" w:sz="4" w:space="0" w:color="auto"/>
              <w:bottom w:val="single" w:sz="4" w:space="0" w:color="auto"/>
              <w:right w:val="single" w:sz="4" w:space="0" w:color="auto"/>
            </w:tcBorders>
          </w:tcPr>
          <w:p w14:paraId="1A793E4E" w14:textId="77777777" w:rsidR="00B970EF" w:rsidRPr="00CF67C1" w:rsidRDefault="00B970EF" w:rsidP="001744D0">
            <w:pPr>
              <w:pStyle w:val="TableColumnHeadingLeft"/>
              <w:rPr>
                <w:rFonts w:ascii="Arial" w:hAnsi="Arial" w:cs="Arial"/>
              </w:rPr>
            </w:pPr>
            <w:r w:rsidRPr="00CF67C1">
              <w:rPr>
                <w:rFonts w:ascii="Arial" w:hAnsi="Arial" w:cs="Arial"/>
              </w:rPr>
              <w:t>Performance measures</w:t>
            </w:r>
          </w:p>
        </w:tc>
        <w:tc>
          <w:tcPr>
            <w:tcW w:w="3077" w:type="dxa"/>
            <w:tcBorders>
              <w:top w:val="double" w:sz="4" w:space="0" w:color="auto"/>
              <w:left w:val="single" w:sz="4" w:space="0" w:color="auto"/>
              <w:bottom w:val="single" w:sz="4" w:space="0" w:color="auto"/>
            </w:tcBorders>
          </w:tcPr>
          <w:p w14:paraId="3857EAF0" w14:textId="77777777" w:rsidR="00B970EF" w:rsidRPr="00CF67C1" w:rsidRDefault="00B970EF" w:rsidP="001744D0">
            <w:pPr>
              <w:pStyle w:val="TableColumnHeadingLeft"/>
              <w:rPr>
                <w:rFonts w:ascii="Arial" w:hAnsi="Arial" w:cs="Arial"/>
              </w:rPr>
            </w:pPr>
            <w:r w:rsidRPr="00CF67C1">
              <w:rPr>
                <w:rFonts w:ascii="Arial" w:hAnsi="Arial" w:cs="Arial"/>
              </w:rPr>
              <w:t>Expected performance results</w:t>
            </w:r>
          </w:p>
        </w:tc>
      </w:tr>
      <w:tr w:rsidR="00B970EF" w:rsidRPr="00CF67C1" w14:paraId="77EF89C3" w14:textId="77777777" w:rsidTr="001744D0">
        <w:trPr>
          <w:cantSplit/>
          <w:trHeight w:val="642"/>
        </w:trPr>
        <w:tc>
          <w:tcPr>
            <w:tcW w:w="1546" w:type="dxa"/>
            <w:tcBorders>
              <w:top w:val="single" w:sz="4" w:space="0" w:color="auto"/>
              <w:bottom w:val="dotted" w:sz="4" w:space="0" w:color="auto"/>
              <w:right w:val="single" w:sz="4" w:space="0" w:color="auto"/>
            </w:tcBorders>
          </w:tcPr>
          <w:p w14:paraId="72C9E58B" w14:textId="77777777" w:rsidR="00B970EF" w:rsidRPr="00CF67C1" w:rsidRDefault="00B970EF" w:rsidP="001744D0">
            <w:pPr>
              <w:pStyle w:val="TableTextLeft"/>
              <w:rPr>
                <w:rFonts w:cs="Arial"/>
              </w:rPr>
            </w:pPr>
            <w:r w:rsidRPr="00CF67C1">
              <w:rPr>
                <w:rFonts w:cs="Arial"/>
              </w:rPr>
              <w:t xml:space="preserve">Current Year </w:t>
            </w:r>
          </w:p>
          <w:p w14:paraId="4677FFB4" w14:textId="77777777" w:rsidR="00B970EF" w:rsidRPr="00CF67C1" w:rsidRDefault="00B970EF" w:rsidP="001744D0">
            <w:pPr>
              <w:pStyle w:val="TableTextLeft"/>
              <w:rPr>
                <w:rFonts w:cs="Arial"/>
              </w:rPr>
            </w:pPr>
            <w:r w:rsidRPr="00CF67C1">
              <w:rPr>
                <w:rFonts w:cs="Arial"/>
              </w:rPr>
              <w:t>2025–26</w:t>
            </w:r>
          </w:p>
        </w:tc>
        <w:tc>
          <w:tcPr>
            <w:tcW w:w="3077" w:type="dxa"/>
            <w:tcBorders>
              <w:top w:val="single" w:sz="4" w:space="0" w:color="auto"/>
              <w:left w:val="single" w:sz="4" w:space="0" w:color="auto"/>
              <w:bottom w:val="dotted" w:sz="4" w:space="0" w:color="auto"/>
              <w:right w:val="single" w:sz="4" w:space="0" w:color="auto"/>
            </w:tcBorders>
          </w:tcPr>
          <w:p w14:paraId="04998020" w14:textId="77777777" w:rsidR="00B970EF" w:rsidRPr="00CF67C1" w:rsidRDefault="00B970EF" w:rsidP="001744D0">
            <w:pPr>
              <w:pStyle w:val="TableTextLeft"/>
              <w:rPr>
                <w:rFonts w:cs="Arial"/>
              </w:rPr>
            </w:pPr>
            <w:r w:rsidRPr="00CF67C1">
              <w:rPr>
                <w:rFonts w:eastAsia="Arial" w:cs="Arial"/>
              </w:rPr>
              <w:t xml:space="preserve">EMDG recipients report that the receipt of a grant encouraged them to increase their export promotion activities. </w:t>
            </w:r>
          </w:p>
        </w:tc>
        <w:tc>
          <w:tcPr>
            <w:tcW w:w="3077" w:type="dxa"/>
            <w:tcBorders>
              <w:top w:val="single" w:sz="4" w:space="0" w:color="auto"/>
              <w:left w:val="single" w:sz="4" w:space="0" w:color="auto"/>
              <w:bottom w:val="dotted" w:sz="4" w:space="0" w:color="auto"/>
            </w:tcBorders>
          </w:tcPr>
          <w:p w14:paraId="0FD4F60A" w14:textId="77777777" w:rsidR="00B970EF" w:rsidRPr="00CF67C1" w:rsidRDefault="00B970EF" w:rsidP="001744D0">
            <w:pPr>
              <w:pStyle w:val="TableTextLeft"/>
              <w:rPr>
                <w:rFonts w:cs="Arial"/>
              </w:rPr>
            </w:pPr>
            <w:r w:rsidRPr="00CF67C1">
              <w:rPr>
                <w:rFonts w:eastAsia="Arial" w:cs="Arial"/>
              </w:rPr>
              <w:t xml:space="preserve">At least 70 per cent. </w:t>
            </w:r>
          </w:p>
        </w:tc>
      </w:tr>
      <w:tr w:rsidR="00B970EF" w:rsidRPr="00CF67C1" w14:paraId="3639988C" w14:textId="77777777" w:rsidTr="001744D0">
        <w:trPr>
          <w:cantSplit/>
          <w:trHeight w:val="100"/>
        </w:trPr>
        <w:tc>
          <w:tcPr>
            <w:tcW w:w="1546" w:type="dxa"/>
            <w:tcBorders>
              <w:top w:val="single" w:sz="4" w:space="0" w:color="auto"/>
              <w:bottom w:val="dotted" w:sz="4" w:space="0" w:color="auto"/>
              <w:right w:val="single" w:sz="4" w:space="0" w:color="auto"/>
            </w:tcBorders>
          </w:tcPr>
          <w:p w14:paraId="3B84FD85" w14:textId="77777777" w:rsidR="00B970EF" w:rsidRPr="00CF67C1" w:rsidRDefault="00B970EF" w:rsidP="001744D0">
            <w:pPr>
              <w:pStyle w:val="TableColumnHeadingLeft"/>
              <w:rPr>
                <w:rFonts w:ascii="Arial" w:hAnsi="Arial" w:cs="Arial"/>
              </w:rPr>
            </w:pPr>
            <w:r w:rsidRPr="00CF67C1">
              <w:rPr>
                <w:rFonts w:ascii="Arial" w:hAnsi="Arial" w:cs="Arial"/>
              </w:rPr>
              <w:t>Year</w:t>
            </w:r>
          </w:p>
        </w:tc>
        <w:tc>
          <w:tcPr>
            <w:tcW w:w="3077" w:type="dxa"/>
            <w:tcBorders>
              <w:top w:val="single" w:sz="4" w:space="0" w:color="auto"/>
              <w:left w:val="single" w:sz="4" w:space="0" w:color="auto"/>
              <w:bottom w:val="dotted" w:sz="4" w:space="0" w:color="auto"/>
              <w:right w:val="single" w:sz="4" w:space="0" w:color="auto"/>
            </w:tcBorders>
          </w:tcPr>
          <w:p w14:paraId="77FE9E92" w14:textId="77777777" w:rsidR="00B970EF" w:rsidRPr="00CF67C1" w:rsidRDefault="00B970EF" w:rsidP="001744D0">
            <w:pPr>
              <w:pStyle w:val="TableColumnHeadingLeft"/>
              <w:rPr>
                <w:rFonts w:ascii="Arial" w:hAnsi="Arial" w:cs="Arial"/>
              </w:rPr>
            </w:pPr>
            <w:r w:rsidRPr="00CF67C1">
              <w:rPr>
                <w:rFonts w:ascii="Arial" w:hAnsi="Arial" w:cs="Arial"/>
              </w:rPr>
              <w:t>Performance measures</w:t>
            </w:r>
          </w:p>
        </w:tc>
        <w:tc>
          <w:tcPr>
            <w:tcW w:w="3077" w:type="dxa"/>
            <w:tcBorders>
              <w:top w:val="single" w:sz="4" w:space="0" w:color="auto"/>
              <w:left w:val="single" w:sz="4" w:space="0" w:color="auto"/>
              <w:bottom w:val="dotted" w:sz="4" w:space="0" w:color="auto"/>
            </w:tcBorders>
          </w:tcPr>
          <w:p w14:paraId="7E163D46" w14:textId="77777777" w:rsidR="00B970EF" w:rsidRPr="00CF67C1" w:rsidRDefault="00B970EF" w:rsidP="001744D0">
            <w:pPr>
              <w:pStyle w:val="TableColumnHeadingLeft"/>
              <w:rPr>
                <w:rFonts w:ascii="Arial" w:hAnsi="Arial" w:cs="Arial"/>
              </w:rPr>
            </w:pPr>
            <w:r w:rsidRPr="00CF67C1">
              <w:rPr>
                <w:rFonts w:ascii="Arial" w:hAnsi="Arial" w:cs="Arial"/>
              </w:rPr>
              <w:t>Planned performance results</w:t>
            </w:r>
          </w:p>
        </w:tc>
      </w:tr>
      <w:tr w:rsidR="00B970EF" w:rsidRPr="00CF67C1" w14:paraId="26C0C5D0" w14:textId="77777777" w:rsidTr="001744D0">
        <w:trPr>
          <w:cantSplit/>
          <w:trHeight w:val="782"/>
        </w:trPr>
        <w:tc>
          <w:tcPr>
            <w:tcW w:w="1546" w:type="dxa"/>
            <w:tcBorders>
              <w:top w:val="single" w:sz="4" w:space="0" w:color="auto"/>
              <w:bottom w:val="dotted" w:sz="4" w:space="0" w:color="auto"/>
              <w:right w:val="single" w:sz="4" w:space="0" w:color="auto"/>
            </w:tcBorders>
          </w:tcPr>
          <w:p w14:paraId="5A9DFEE9" w14:textId="77777777" w:rsidR="00B970EF" w:rsidRPr="00CF67C1" w:rsidRDefault="00B970EF" w:rsidP="001744D0">
            <w:pPr>
              <w:pStyle w:val="TableTextLeft"/>
              <w:rPr>
                <w:rFonts w:cs="Arial"/>
              </w:rPr>
            </w:pPr>
            <w:r w:rsidRPr="00CF67C1">
              <w:rPr>
                <w:rFonts w:cs="Arial"/>
              </w:rPr>
              <w:t xml:space="preserve">Budget Year </w:t>
            </w:r>
          </w:p>
          <w:p w14:paraId="7A49187E" w14:textId="77777777" w:rsidR="00B970EF" w:rsidRPr="00CF67C1" w:rsidRDefault="00B970EF" w:rsidP="001744D0">
            <w:pPr>
              <w:pStyle w:val="TableTextLeft"/>
              <w:rPr>
                <w:rFonts w:cs="Arial"/>
              </w:rPr>
            </w:pPr>
            <w:r w:rsidRPr="00CF67C1">
              <w:rPr>
                <w:rFonts w:cs="Arial"/>
              </w:rPr>
              <w:t>2026–27</w:t>
            </w:r>
          </w:p>
        </w:tc>
        <w:tc>
          <w:tcPr>
            <w:tcW w:w="3077" w:type="dxa"/>
            <w:tcBorders>
              <w:top w:val="single" w:sz="4" w:space="0" w:color="auto"/>
              <w:left w:val="single" w:sz="4" w:space="0" w:color="auto"/>
              <w:bottom w:val="dotted" w:sz="4" w:space="0" w:color="auto"/>
              <w:right w:val="single" w:sz="4" w:space="0" w:color="auto"/>
            </w:tcBorders>
          </w:tcPr>
          <w:p w14:paraId="613D9088" w14:textId="77777777" w:rsidR="00B970EF" w:rsidRPr="00CF67C1" w:rsidRDefault="00B970EF" w:rsidP="001744D0">
            <w:pPr>
              <w:pStyle w:val="TableTextLeft"/>
              <w:rPr>
                <w:rFonts w:cs="Arial"/>
              </w:rPr>
            </w:pPr>
            <w:r w:rsidRPr="00CF67C1">
              <w:rPr>
                <w:rFonts w:eastAsia="Arial" w:cs="Arial"/>
              </w:rPr>
              <w:t xml:space="preserve">EMDG recipients report that the receipt of a grant encouraged them to increase their export promotion activities. </w:t>
            </w:r>
          </w:p>
        </w:tc>
        <w:tc>
          <w:tcPr>
            <w:tcW w:w="3077" w:type="dxa"/>
            <w:tcBorders>
              <w:top w:val="single" w:sz="4" w:space="0" w:color="auto"/>
              <w:left w:val="single" w:sz="4" w:space="0" w:color="auto"/>
              <w:bottom w:val="dotted" w:sz="4" w:space="0" w:color="auto"/>
            </w:tcBorders>
          </w:tcPr>
          <w:p w14:paraId="11DEADDE" w14:textId="77777777" w:rsidR="00B970EF" w:rsidRPr="00CF67C1" w:rsidRDefault="00B970EF" w:rsidP="001744D0">
            <w:pPr>
              <w:pStyle w:val="TableTextLeft"/>
              <w:rPr>
                <w:rFonts w:cs="Arial"/>
              </w:rPr>
            </w:pPr>
            <w:r w:rsidRPr="00CF67C1">
              <w:rPr>
                <w:rFonts w:eastAsia="Arial" w:cs="Arial"/>
              </w:rPr>
              <w:t xml:space="preserve">Maintained or improved compared to the previous year. </w:t>
            </w:r>
          </w:p>
        </w:tc>
      </w:tr>
      <w:tr w:rsidR="00B970EF" w:rsidRPr="00CF67C1" w14:paraId="66DF98C1" w14:textId="77777777" w:rsidTr="001744D0">
        <w:trPr>
          <w:cantSplit/>
          <w:trHeight w:val="491"/>
        </w:trPr>
        <w:tc>
          <w:tcPr>
            <w:tcW w:w="1546" w:type="dxa"/>
            <w:tcBorders>
              <w:top w:val="dotted" w:sz="4" w:space="0" w:color="auto"/>
              <w:bottom w:val="dotted" w:sz="4" w:space="0" w:color="auto"/>
              <w:right w:val="single" w:sz="4" w:space="0" w:color="auto"/>
            </w:tcBorders>
          </w:tcPr>
          <w:p w14:paraId="4C717DD3" w14:textId="77777777" w:rsidR="00B970EF" w:rsidRPr="00CF67C1" w:rsidRDefault="00B970EF" w:rsidP="001744D0">
            <w:pPr>
              <w:pStyle w:val="TableTextLeft"/>
              <w:rPr>
                <w:rFonts w:cs="Arial"/>
              </w:rPr>
            </w:pPr>
            <w:r w:rsidRPr="00CF67C1">
              <w:rPr>
                <w:rFonts w:cs="Arial"/>
              </w:rPr>
              <w:t xml:space="preserve">Forward Estimates </w:t>
            </w:r>
          </w:p>
          <w:p w14:paraId="38F4E982" w14:textId="77777777" w:rsidR="00B970EF" w:rsidRPr="00CF67C1" w:rsidRDefault="00B970EF" w:rsidP="001744D0">
            <w:pPr>
              <w:pStyle w:val="TableTextLeft"/>
              <w:rPr>
                <w:rFonts w:cs="Arial"/>
                <w:b/>
              </w:rPr>
            </w:pPr>
            <w:r w:rsidRPr="00CF67C1">
              <w:rPr>
                <w:rFonts w:cs="Arial"/>
              </w:rPr>
              <w:t>2027–30</w:t>
            </w:r>
          </w:p>
        </w:tc>
        <w:tc>
          <w:tcPr>
            <w:tcW w:w="3077" w:type="dxa"/>
            <w:tcBorders>
              <w:top w:val="dotted" w:sz="4" w:space="0" w:color="auto"/>
              <w:left w:val="single" w:sz="4" w:space="0" w:color="auto"/>
              <w:bottom w:val="dotted" w:sz="4" w:space="0" w:color="auto"/>
              <w:right w:val="single" w:sz="4" w:space="0" w:color="auto"/>
            </w:tcBorders>
          </w:tcPr>
          <w:p w14:paraId="26AF029C" w14:textId="77777777" w:rsidR="00B970EF" w:rsidRPr="00CF67C1" w:rsidRDefault="00B970EF" w:rsidP="001744D0">
            <w:pPr>
              <w:pStyle w:val="TableTextLeft"/>
              <w:rPr>
                <w:rFonts w:cs="Arial"/>
                <w:b/>
              </w:rPr>
            </w:pPr>
            <w:r w:rsidRPr="00CF67C1">
              <w:rPr>
                <w:rFonts w:eastAsia="Arial" w:cs="Arial"/>
              </w:rPr>
              <w:t>As per 2026</w:t>
            </w:r>
            <w:r w:rsidRPr="003A00DB">
              <w:rPr>
                <w:rFonts w:cs="Arial"/>
              </w:rPr>
              <w:t>–</w:t>
            </w:r>
            <w:r w:rsidRPr="00CF67C1">
              <w:rPr>
                <w:rFonts w:eastAsia="Arial" w:cs="Arial"/>
              </w:rPr>
              <w:t>27</w:t>
            </w:r>
            <w:r w:rsidRPr="00CF67C1">
              <w:rPr>
                <w:rFonts w:eastAsia="Arial" w:cs="Arial"/>
                <w:b/>
              </w:rPr>
              <w:t xml:space="preserve"> </w:t>
            </w:r>
          </w:p>
        </w:tc>
        <w:tc>
          <w:tcPr>
            <w:tcW w:w="3077" w:type="dxa"/>
            <w:tcBorders>
              <w:top w:val="dotted" w:sz="4" w:space="0" w:color="auto"/>
              <w:left w:val="single" w:sz="4" w:space="0" w:color="auto"/>
              <w:bottom w:val="dotted" w:sz="4" w:space="0" w:color="auto"/>
            </w:tcBorders>
          </w:tcPr>
          <w:p w14:paraId="2303E11B" w14:textId="77777777" w:rsidR="00B970EF" w:rsidRPr="00CF67C1" w:rsidRDefault="00B970EF" w:rsidP="001744D0">
            <w:pPr>
              <w:pStyle w:val="TableTextLeft"/>
              <w:rPr>
                <w:rFonts w:cs="Arial"/>
                <w:b/>
              </w:rPr>
            </w:pPr>
            <w:r w:rsidRPr="00CF67C1">
              <w:rPr>
                <w:rFonts w:eastAsia="Arial" w:cs="Arial"/>
              </w:rPr>
              <w:t>As per 2026</w:t>
            </w:r>
            <w:r w:rsidRPr="003A00DB">
              <w:rPr>
                <w:rFonts w:cs="Arial"/>
              </w:rPr>
              <w:t>–</w:t>
            </w:r>
            <w:r w:rsidRPr="00CF67C1">
              <w:rPr>
                <w:rFonts w:eastAsia="Arial" w:cs="Arial"/>
              </w:rPr>
              <w:t>27</w:t>
            </w:r>
            <w:r w:rsidRPr="00CF67C1">
              <w:rPr>
                <w:rFonts w:eastAsia="Arial" w:cs="Arial"/>
                <w:b/>
              </w:rPr>
              <w:t xml:space="preserve"> </w:t>
            </w:r>
          </w:p>
        </w:tc>
      </w:tr>
      <w:tr w:rsidR="00B970EF" w:rsidRPr="00CF67C1" w14:paraId="720B35A4" w14:textId="77777777" w:rsidTr="001744D0">
        <w:trPr>
          <w:cantSplit/>
          <w:trHeight w:val="261"/>
        </w:trPr>
        <w:tc>
          <w:tcPr>
            <w:tcW w:w="7700" w:type="dxa"/>
            <w:gridSpan w:val="3"/>
          </w:tcPr>
          <w:p w14:paraId="2AF41D0D" w14:textId="77777777" w:rsidR="00B970EF" w:rsidRPr="00CF67C1" w:rsidRDefault="00B970EF" w:rsidP="001744D0">
            <w:pPr>
              <w:pStyle w:val="TableTextLeft"/>
              <w:rPr>
                <w:rFonts w:eastAsia="Cambria" w:cs="Arial"/>
                <w:spacing w:val="-6"/>
              </w:rPr>
            </w:pPr>
            <w:r w:rsidRPr="00CF67C1">
              <w:rPr>
                <w:rFonts w:cs="Arial"/>
              </w:rPr>
              <w:t>Material changes to Program 1.2 resulting from 2026–27 Budget Measures: Nil</w:t>
            </w:r>
          </w:p>
        </w:tc>
      </w:tr>
    </w:tbl>
    <w:p w14:paraId="3315BE14" w14:textId="77777777" w:rsidR="00B970EF" w:rsidRDefault="00B970EF" w:rsidP="00B970EF">
      <w:pPr>
        <w:spacing w:before="0" w:after="0" w:line="240" w:lineRule="auto"/>
      </w:pPr>
      <w:r>
        <w:br w:type="page"/>
      </w:r>
    </w:p>
    <w:p w14:paraId="6429D583" w14:textId="77777777" w:rsidR="00B970EF" w:rsidRPr="00F743D8" w:rsidRDefault="00B970EF" w:rsidP="00B970EF">
      <w:pPr>
        <w:pStyle w:val="Heading3"/>
      </w:pPr>
      <w:r>
        <w:lastRenderedPageBreak/>
        <w:t>2.1</w:t>
      </w:r>
      <w:r w:rsidRPr="00F743D8">
        <w:t xml:space="preserve"> </w:t>
      </w:r>
      <w:r w:rsidRPr="00F743D8">
        <w:tab/>
        <w:t xml:space="preserve">Budgeted expenses and performance for Outcome </w:t>
      </w:r>
      <w:r>
        <w:t>2</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020"/>
      </w:tblGrid>
      <w:tr w:rsidR="00B970EF" w:rsidRPr="0069545F" w14:paraId="3D5BB612" w14:textId="77777777" w:rsidTr="001744D0">
        <w:tc>
          <w:tcPr>
            <w:tcW w:w="7704" w:type="dxa"/>
            <w:shd w:val="clear" w:color="auto" w:fill="E6E6E6"/>
          </w:tcPr>
          <w:p w14:paraId="33F0F109" w14:textId="77777777" w:rsidR="00B970EF" w:rsidRPr="0069545F" w:rsidRDefault="00B970EF" w:rsidP="001744D0">
            <w:pPr>
              <w:pStyle w:val="TableColumnHeadingLeft"/>
            </w:pPr>
            <w:r w:rsidRPr="0069545F">
              <w:t xml:space="preserve">Outcome </w:t>
            </w:r>
            <w:r>
              <w:t>2</w:t>
            </w:r>
            <w:r w:rsidRPr="0069545F">
              <w:t xml:space="preserve">: </w:t>
            </w:r>
            <w:r w:rsidRPr="00FA45B0">
              <w:t>The protection and welfare of Australians abroad though timely and responsive consular and passport services in specific locations overseas</w:t>
            </w:r>
            <w:r>
              <w:t xml:space="preserve">. </w:t>
            </w:r>
          </w:p>
        </w:tc>
      </w:tr>
    </w:tbl>
    <w:p w14:paraId="0264952D" w14:textId="77777777" w:rsidR="00B970EF" w:rsidRPr="0069545F" w:rsidRDefault="00B970EF" w:rsidP="00B970EF">
      <w:pPr>
        <w:pStyle w:val="SingleParagraph"/>
      </w:pPr>
    </w:p>
    <w:p w14:paraId="67BBA182" w14:textId="77777777" w:rsidR="00B970EF" w:rsidRPr="00133BCE" w:rsidRDefault="00B970EF" w:rsidP="00B970EF">
      <w:pPr>
        <w:pStyle w:val="Heading4"/>
      </w:pPr>
      <w:r w:rsidRPr="0069545F">
        <w:t xml:space="preserve">Linked programs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B970EF" w:rsidRPr="00CF67C1" w14:paraId="5BD6C51D" w14:textId="77777777" w:rsidTr="001744D0">
        <w:trPr>
          <w:trHeight w:val="113"/>
          <w:tblHeader/>
        </w:trPr>
        <w:tc>
          <w:tcPr>
            <w:tcW w:w="7700" w:type="dxa"/>
            <w:tcBorders>
              <w:bottom w:val="dotted" w:sz="4" w:space="0" w:color="auto"/>
            </w:tcBorders>
          </w:tcPr>
          <w:p w14:paraId="242FE0FB" w14:textId="77777777" w:rsidR="00B970EF" w:rsidRPr="00CF67C1" w:rsidRDefault="00B970EF" w:rsidP="001744D0">
            <w:pPr>
              <w:spacing w:before="40" w:after="60" w:line="240" w:lineRule="auto"/>
              <w:rPr>
                <w:rFonts w:ascii="Arial" w:hAnsi="Arial" w:cs="Arial"/>
                <w:b/>
                <w:sz w:val="16"/>
              </w:rPr>
            </w:pPr>
            <w:r w:rsidRPr="00CF67C1">
              <w:rPr>
                <w:rFonts w:ascii="Arial" w:hAnsi="Arial" w:cs="Arial"/>
                <w:b/>
                <w:sz w:val="16"/>
              </w:rPr>
              <w:t xml:space="preserve">Department of Foreign Affairs and Trade </w:t>
            </w:r>
          </w:p>
        </w:tc>
      </w:tr>
      <w:tr w:rsidR="00B970EF" w:rsidRPr="00CF67C1" w14:paraId="3DC4F6EC" w14:textId="77777777" w:rsidTr="001744D0">
        <w:trPr>
          <w:trHeight w:val="113"/>
          <w:tblHeader/>
        </w:trPr>
        <w:tc>
          <w:tcPr>
            <w:tcW w:w="7700" w:type="dxa"/>
            <w:tcBorders>
              <w:top w:val="dotted" w:sz="4" w:space="0" w:color="auto"/>
              <w:bottom w:val="single" w:sz="4" w:space="0" w:color="auto"/>
            </w:tcBorders>
          </w:tcPr>
          <w:p w14:paraId="5954D1C2" w14:textId="77777777" w:rsidR="00B970EF" w:rsidRPr="00CF67C1" w:rsidRDefault="00B970EF" w:rsidP="001744D0">
            <w:pPr>
              <w:pStyle w:val="TableTextLeft"/>
              <w:spacing w:before="60" w:after="60"/>
              <w:rPr>
                <w:rFonts w:cs="Arial"/>
                <w:b/>
                <w:bCs/>
              </w:rPr>
            </w:pPr>
            <w:r w:rsidRPr="00CF67C1">
              <w:rPr>
                <w:rFonts w:cs="Arial"/>
                <w:b/>
                <w:bCs/>
              </w:rPr>
              <w:t>Programs</w:t>
            </w:r>
          </w:p>
          <w:p w14:paraId="25FFF2B8" w14:textId="77777777" w:rsidR="00B970EF" w:rsidRPr="00CF67C1" w:rsidRDefault="00B970EF" w:rsidP="001744D0">
            <w:pPr>
              <w:pStyle w:val="TableTextBullet"/>
              <w:spacing w:before="60" w:after="60"/>
              <w:rPr>
                <w:rFonts w:cs="Arial"/>
              </w:rPr>
            </w:pPr>
            <w:r w:rsidRPr="00CF67C1">
              <w:rPr>
                <w:rFonts w:cs="Arial"/>
              </w:rPr>
              <w:t>Program 1.1 – Foreign Affairs and Trade</w:t>
            </w:r>
          </w:p>
          <w:p w14:paraId="670F3E41" w14:textId="77777777" w:rsidR="00B970EF" w:rsidRPr="00CF67C1" w:rsidRDefault="00B970EF" w:rsidP="001744D0">
            <w:pPr>
              <w:pStyle w:val="TableTextBullet"/>
              <w:spacing w:before="60" w:after="60"/>
              <w:rPr>
                <w:rFonts w:cs="Arial"/>
              </w:rPr>
            </w:pPr>
            <w:r w:rsidRPr="00CF67C1">
              <w:rPr>
                <w:rFonts w:cs="Arial"/>
              </w:rPr>
              <w:t>Program 2.1 – Consular Services</w:t>
            </w:r>
          </w:p>
          <w:p w14:paraId="4ED43368" w14:textId="77777777" w:rsidR="00B970EF" w:rsidRPr="00CF67C1" w:rsidRDefault="00B970EF" w:rsidP="001744D0">
            <w:pPr>
              <w:pStyle w:val="TableTextBullet"/>
              <w:spacing w:before="60" w:after="60"/>
              <w:rPr>
                <w:rFonts w:cs="Arial"/>
              </w:rPr>
            </w:pPr>
            <w:r w:rsidRPr="00CF67C1">
              <w:rPr>
                <w:rFonts w:cs="Arial"/>
              </w:rPr>
              <w:t>Program 2.2 – Passport Services</w:t>
            </w:r>
          </w:p>
        </w:tc>
      </w:tr>
      <w:tr w:rsidR="00B970EF" w:rsidRPr="00CF67C1" w14:paraId="31F08585" w14:textId="77777777" w:rsidTr="001744D0">
        <w:trPr>
          <w:trHeight w:val="113"/>
        </w:trPr>
        <w:tc>
          <w:tcPr>
            <w:tcW w:w="7700" w:type="dxa"/>
            <w:tcBorders>
              <w:bottom w:val="single" w:sz="4" w:space="0" w:color="auto"/>
            </w:tcBorders>
          </w:tcPr>
          <w:p w14:paraId="484182EB" w14:textId="77777777" w:rsidR="00B970EF" w:rsidRPr="00CF67C1" w:rsidRDefault="00B970EF" w:rsidP="001744D0">
            <w:pPr>
              <w:pStyle w:val="TableColumnHeadingLeft"/>
              <w:spacing w:after="60"/>
              <w:rPr>
                <w:rFonts w:ascii="Arial" w:hAnsi="Arial" w:cs="Arial"/>
              </w:rPr>
            </w:pPr>
            <w:r w:rsidRPr="00CF67C1">
              <w:rPr>
                <w:rFonts w:ascii="Arial" w:hAnsi="Arial" w:cs="Arial"/>
              </w:rPr>
              <w:t>Contribution to Outcome 2 made by linked programs</w:t>
            </w:r>
          </w:p>
          <w:p w14:paraId="14483A48" w14:textId="77777777" w:rsidR="00B970EF" w:rsidRPr="00CF67C1" w:rsidRDefault="00B970EF" w:rsidP="001744D0">
            <w:pPr>
              <w:pStyle w:val="TableTextLeft"/>
              <w:spacing w:after="60"/>
              <w:rPr>
                <w:rFonts w:cs="Arial"/>
              </w:rPr>
            </w:pPr>
            <w:r w:rsidRPr="00CF67C1">
              <w:rPr>
                <w:rFonts w:cs="Arial"/>
              </w:rPr>
              <w:t>Austrade delivers consular and passport services on behalf of the Australian Government in 11 locations.</w:t>
            </w:r>
          </w:p>
        </w:tc>
      </w:tr>
    </w:tbl>
    <w:p w14:paraId="733EFCFB" w14:textId="77777777" w:rsidR="00B970EF" w:rsidRPr="0069545F" w:rsidRDefault="00B970EF" w:rsidP="00B970EF">
      <w:pPr>
        <w:pStyle w:val="ChartandTableFootnoteAlpha"/>
        <w:numPr>
          <w:ilvl w:val="0"/>
          <w:numId w:val="0"/>
        </w:numPr>
        <w:ind w:left="284" w:hanging="284"/>
      </w:pPr>
    </w:p>
    <w:p w14:paraId="527C15D4" w14:textId="77777777" w:rsidR="00B970EF" w:rsidRPr="0069545F" w:rsidRDefault="00B970EF" w:rsidP="00B970EF">
      <w:r w:rsidRPr="0069545F">
        <w:br w:type="page"/>
      </w:r>
    </w:p>
    <w:p w14:paraId="7D5E4E8A" w14:textId="77777777" w:rsidR="00B970EF" w:rsidRPr="00446612" w:rsidRDefault="00B970EF" w:rsidP="00B970EF">
      <w:pPr>
        <w:pStyle w:val="Heading4"/>
      </w:pPr>
      <w:r w:rsidRPr="00446612">
        <w:lastRenderedPageBreak/>
        <w:t xml:space="preserve">Budgeted expenses for Outcome </w:t>
      </w:r>
      <w:r>
        <w:t>2</w:t>
      </w:r>
    </w:p>
    <w:p w14:paraId="25F7ECE2" w14:textId="77777777" w:rsidR="00B970EF" w:rsidRDefault="00B970EF" w:rsidP="00B970EF">
      <w:r w:rsidRPr="00950281">
        <w:t>This table shows how much the entity intends to spend (on an accrual basis) on achieving the outcome, broken down by program, as well as by Administered an</w:t>
      </w:r>
      <w:r>
        <w:t>d Departmental funding sources.</w:t>
      </w:r>
    </w:p>
    <w:p w14:paraId="3347718B" w14:textId="77777777" w:rsidR="00B970EF" w:rsidRDefault="00B970EF" w:rsidP="00B970EF">
      <w:pPr>
        <w:pStyle w:val="TableHeading"/>
      </w:pPr>
      <w:r w:rsidRPr="006E4DF1">
        <w:t>Table 2.</w:t>
      </w:r>
      <w:r>
        <w:t>2</w:t>
      </w:r>
      <w:r w:rsidRPr="006E4DF1">
        <w:t xml:space="preserve">.1: Budgeted expenses for Outcome </w:t>
      </w:r>
      <w:r>
        <w:t xml:space="preserve">2 </w:t>
      </w:r>
    </w:p>
    <w:p w14:paraId="56DBBA5C" w14:textId="77777777" w:rsidR="00B970EF" w:rsidRDefault="00B970EF" w:rsidP="00B970EF">
      <w:pPr>
        <w:pStyle w:val="TableGraphic"/>
      </w:pPr>
      <w:r w:rsidRPr="00DF53AC">
        <w:rPr>
          <w:noProof/>
        </w:rPr>
        <w:drawing>
          <wp:inline distT="0" distB="0" distL="0" distR="0" wp14:anchorId="76497FC3" wp14:editId="7CB761F5">
            <wp:extent cx="4563745" cy="2926080"/>
            <wp:effectExtent l="0" t="0" r="8255" b="7620"/>
            <wp:docPr id="19308265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63745" cy="2926080"/>
                    </a:xfrm>
                    <a:prstGeom prst="rect">
                      <a:avLst/>
                    </a:prstGeom>
                    <a:noFill/>
                    <a:ln>
                      <a:noFill/>
                    </a:ln>
                  </pic:spPr>
                </pic:pic>
              </a:graphicData>
            </a:graphic>
          </wp:inline>
        </w:drawing>
      </w:r>
    </w:p>
    <w:p w14:paraId="46894598" w14:textId="77777777" w:rsidR="00B970EF" w:rsidRDefault="00B970EF" w:rsidP="00B970EF">
      <w:pPr>
        <w:pStyle w:val="ChartandTableFootnoteAlpha"/>
        <w:numPr>
          <w:ilvl w:val="0"/>
          <w:numId w:val="15"/>
        </w:numPr>
      </w:pPr>
      <w:r w:rsidRPr="007379EF">
        <w:t>Estimated expenses incurred in relation to receipts retained under section 74 of the PGPA Act.</w:t>
      </w:r>
    </w:p>
    <w:p w14:paraId="1B3FC0D2" w14:textId="77777777" w:rsidR="00B970EF" w:rsidRPr="00446612" w:rsidRDefault="00B970EF" w:rsidP="00B970EF">
      <w:pPr>
        <w:pStyle w:val="ChartandTableFootnote"/>
      </w:pPr>
      <w:r w:rsidRPr="00446612">
        <w:t xml:space="preserve">Note: Departmental appropriation splits and totals are indicative estimates and may change </w:t>
      </w:r>
      <w:proofErr w:type="gramStart"/>
      <w:r w:rsidRPr="00446612">
        <w:t>in the course of</w:t>
      </w:r>
      <w:proofErr w:type="gramEnd"/>
      <w:r w:rsidRPr="00446612">
        <w:t xml:space="preserve"> the budget year as government priorities change.</w:t>
      </w:r>
    </w:p>
    <w:p w14:paraId="77D501A4" w14:textId="77777777" w:rsidR="00B970EF" w:rsidRDefault="00B970EF" w:rsidP="00B970EF">
      <w:pPr>
        <w:spacing w:before="0" w:after="0" w:line="240" w:lineRule="auto"/>
        <w:rPr>
          <w:highlight w:val="green"/>
        </w:rPr>
      </w:pPr>
      <w:r>
        <w:rPr>
          <w:highlight w:val="green"/>
        </w:rPr>
        <w:br w:type="page"/>
      </w:r>
    </w:p>
    <w:p w14:paraId="41ACEA1D" w14:textId="77777777" w:rsidR="00B970EF" w:rsidRPr="00F71634" w:rsidRDefault="00B970EF" w:rsidP="00B970EF">
      <w:pPr>
        <w:pStyle w:val="Heading4"/>
      </w:pPr>
      <w:r w:rsidRPr="00250122">
        <w:lastRenderedPageBreak/>
        <w:t>Performance</w:t>
      </w:r>
      <w:r w:rsidRPr="00F71634">
        <w:t xml:space="preserve"> </w:t>
      </w:r>
      <w:r>
        <w:t>measures</w:t>
      </w:r>
      <w:r w:rsidRPr="00F71634">
        <w:t xml:space="preserve"> for Outcome </w:t>
      </w:r>
      <w:r>
        <w:t>2</w:t>
      </w:r>
    </w:p>
    <w:p w14:paraId="219E25FD" w14:textId="77777777" w:rsidR="00B970EF" w:rsidRDefault="00B970EF" w:rsidP="00B970EF">
      <w:r w:rsidRPr="005D4B9C">
        <w:t>Table 2.</w:t>
      </w:r>
      <w:r>
        <w:t>2</w:t>
      </w:r>
      <w:r w:rsidRPr="005D4B9C">
        <w:t>.</w:t>
      </w:r>
      <w:r>
        <w:t>2</w:t>
      </w:r>
      <w:r w:rsidRPr="005D4B9C">
        <w:t xml:space="preserve"> details the performance measures for each program associated with Outcome </w:t>
      </w:r>
      <w:r>
        <w:t>2</w:t>
      </w:r>
      <w:r w:rsidRPr="005D4B9C">
        <w:t xml:space="preserve">. It is used by </w:t>
      </w:r>
      <w:r w:rsidRPr="00250122">
        <w:t>entities</w:t>
      </w:r>
      <w:r w:rsidRPr="005D4B9C">
        <w:t xml:space="preserve"> to describe the results they plan to achieve and the related key activities, as detailed in the current corporate plan</w:t>
      </w:r>
      <w:r>
        <w:t xml:space="preserve"> (i.e. 2025–26)</w:t>
      </w:r>
      <w:r w:rsidRPr="005D4B9C">
        <w:t xml:space="preserve">, the context in which these activities are delivered, and how the performance of these activities will be measured. Where relevant, details of the </w:t>
      </w:r>
      <w:r>
        <w:t>2026–27</w:t>
      </w:r>
      <w:r w:rsidRPr="005D4B9C">
        <w:t xml:space="preserve"> Budget measures that have created new programs or materially changed existing programs are </w:t>
      </w:r>
      <w:r>
        <w:t xml:space="preserve">to be </w:t>
      </w:r>
      <w:r w:rsidRPr="005D4B9C">
        <w:t>provided.</w:t>
      </w:r>
    </w:p>
    <w:p w14:paraId="4B243161" w14:textId="77777777" w:rsidR="00B970EF" w:rsidRDefault="00B970EF" w:rsidP="00B970EF">
      <w:pPr>
        <w:pStyle w:val="TableHeading"/>
      </w:pPr>
      <w:r w:rsidRPr="00E6464E">
        <w:t>Table 2.</w:t>
      </w:r>
      <w:r>
        <w:t>2.2</w:t>
      </w:r>
      <w:r w:rsidRPr="00E6464E">
        <w:t xml:space="preserve">: Performance measures for Outcome </w:t>
      </w:r>
      <w:r>
        <w:t>2</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3603"/>
        <w:gridCol w:w="3603"/>
      </w:tblGrid>
      <w:tr w:rsidR="00B970EF" w:rsidRPr="0080564B" w14:paraId="49131A8B" w14:textId="77777777" w:rsidTr="001744D0">
        <w:trPr>
          <w:cantSplit/>
          <w:trHeight w:val="261"/>
          <w:tblHeader/>
        </w:trPr>
        <w:tc>
          <w:tcPr>
            <w:tcW w:w="7700" w:type="dxa"/>
            <w:gridSpan w:val="3"/>
            <w:shd w:val="clear" w:color="auto" w:fill="F2F2F2"/>
          </w:tcPr>
          <w:p w14:paraId="4687213E" w14:textId="77777777" w:rsidR="00B970EF" w:rsidRPr="0080564B" w:rsidRDefault="00B970EF" w:rsidP="001744D0">
            <w:pPr>
              <w:pStyle w:val="TableColumnHeadingLeft"/>
              <w:rPr>
                <w:rFonts w:ascii="Arial" w:hAnsi="Arial" w:cs="Arial"/>
                <w:bCs/>
              </w:rPr>
            </w:pPr>
            <w:r w:rsidRPr="0080564B">
              <w:rPr>
                <w:rFonts w:ascii="Arial" w:eastAsia="Arial" w:hAnsi="Arial" w:cs="Arial"/>
              </w:rPr>
              <w:t>Outcome 2 – The protection and welfare of Australians abroad through timely and responsive consular and passport services in specific locations overseas.</w:t>
            </w:r>
          </w:p>
        </w:tc>
      </w:tr>
      <w:tr w:rsidR="00B970EF" w:rsidRPr="0080564B" w14:paraId="57D6C3D8" w14:textId="77777777" w:rsidTr="001744D0">
        <w:trPr>
          <w:cantSplit/>
          <w:trHeight w:val="246"/>
          <w:tblHeader/>
        </w:trPr>
        <w:tc>
          <w:tcPr>
            <w:tcW w:w="7700" w:type="dxa"/>
            <w:gridSpan w:val="3"/>
            <w:shd w:val="clear" w:color="auto" w:fill="F2F2F2"/>
          </w:tcPr>
          <w:p w14:paraId="7CEE2A39" w14:textId="77777777" w:rsidR="00B970EF" w:rsidRPr="0080564B" w:rsidRDefault="00B970EF" w:rsidP="001744D0">
            <w:pPr>
              <w:pStyle w:val="TableTextLeft"/>
              <w:rPr>
                <w:rFonts w:cs="Arial"/>
              </w:rPr>
            </w:pPr>
            <w:r w:rsidRPr="0080564B">
              <w:rPr>
                <w:rFonts w:eastAsia="Arial" w:cs="Arial"/>
                <w:b/>
              </w:rPr>
              <w:t>Program 2.1 – Consular and Passport Services</w:t>
            </w:r>
          </w:p>
        </w:tc>
      </w:tr>
      <w:tr w:rsidR="00B970EF" w:rsidRPr="0080564B" w14:paraId="7AFB2F65" w14:textId="77777777" w:rsidTr="001744D0">
        <w:trPr>
          <w:cantSplit/>
          <w:trHeight w:val="261"/>
        </w:trPr>
        <w:tc>
          <w:tcPr>
            <w:tcW w:w="1546" w:type="dxa"/>
            <w:tcBorders>
              <w:bottom w:val="double" w:sz="4" w:space="0" w:color="auto"/>
            </w:tcBorders>
          </w:tcPr>
          <w:p w14:paraId="6524081D" w14:textId="77777777" w:rsidR="00B970EF" w:rsidRPr="0080564B" w:rsidRDefault="00B970EF" w:rsidP="001744D0">
            <w:pPr>
              <w:pStyle w:val="TableColumnHeadingLeft"/>
              <w:rPr>
                <w:rFonts w:ascii="Arial" w:hAnsi="Arial" w:cs="Arial"/>
              </w:rPr>
            </w:pPr>
            <w:r w:rsidRPr="0080564B">
              <w:rPr>
                <w:rFonts w:ascii="Arial" w:hAnsi="Arial" w:cs="Arial"/>
              </w:rPr>
              <w:t xml:space="preserve">Key activities </w:t>
            </w:r>
          </w:p>
        </w:tc>
        <w:tc>
          <w:tcPr>
            <w:tcW w:w="6154" w:type="dxa"/>
            <w:gridSpan w:val="2"/>
            <w:tcBorders>
              <w:bottom w:val="double" w:sz="4" w:space="0" w:color="auto"/>
            </w:tcBorders>
          </w:tcPr>
          <w:p w14:paraId="325827CA" w14:textId="77777777" w:rsidR="00B970EF" w:rsidRPr="0080564B" w:rsidRDefault="00B970EF" w:rsidP="001744D0">
            <w:pPr>
              <w:pStyle w:val="TableTextLeft"/>
              <w:rPr>
                <w:rFonts w:cs="Arial"/>
              </w:rPr>
            </w:pPr>
            <w:r w:rsidRPr="00CF484F">
              <w:rPr>
                <w:rFonts w:eastAsia="Arial" w:cs="Arial"/>
              </w:rPr>
              <w:t>Austrade helps Australians overseas through the delivery of effective consular services, efficient passport services and practical contingency planning in designated locations, in accordance with DFAT’s Consular Services and Passports Client Services Charter.</w:t>
            </w:r>
          </w:p>
        </w:tc>
      </w:tr>
      <w:tr w:rsidR="00B970EF" w:rsidRPr="0080564B" w14:paraId="190BA823" w14:textId="77777777" w:rsidTr="001744D0">
        <w:trPr>
          <w:cantSplit/>
          <w:trHeight w:val="258"/>
        </w:trPr>
        <w:tc>
          <w:tcPr>
            <w:tcW w:w="1546" w:type="dxa"/>
            <w:tcBorders>
              <w:top w:val="double" w:sz="4" w:space="0" w:color="auto"/>
              <w:bottom w:val="single" w:sz="4" w:space="0" w:color="auto"/>
              <w:right w:val="single" w:sz="4" w:space="0" w:color="auto"/>
            </w:tcBorders>
          </w:tcPr>
          <w:p w14:paraId="11562CAE" w14:textId="77777777" w:rsidR="00B970EF" w:rsidRPr="0080564B" w:rsidRDefault="00B970EF" w:rsidP="001744D0">
            <w:pPr>
              <w:pStyle w:val="TableColumnHeadingLeft"/>
              <w:rPr>
                <w:rFonts w:ascii="Arial" w:hAnsi="Arial" w:cs="Arial"/>
              </w:rPr>
            </w:pPr>
            <w:r w:rsidRPr="0080564B">
              <w:rPr>
                <w:rFonts w:ascii="Arial" w:hAnsi="Arial" w:cs="Arial"/>
              </w:rPr>
              <w:t>Year</w:t>
            </w:r>
          </w:p>
        </w:tc>
        <w:tc>
          <w:tcPr>
            <w:tcW w:w="3077" w:type="dxa"/>
            <w:tcBorders>
              <w:top w:val="double" w:sz="4" w:space="0" w:color="auto"/>
              <w:left w:val="single" w:sz="4" w:space="0" w:color="auto"/>
              <w:bottom w:val="single" w:sz="4" w:space="0" w:color="auto"/>
              <w:right w:val="single" w:sz="4" w:space="0" w:color="auto"/>
            </w:tcBorders>
          </w:tcPr>
          <w:p w14:paraId="31FCD3C6" w14:textId="77777777" w:rsidR="00B970EF" w:rsidRPr="0080564B" w:rsidRDefault="00B970EF" w:rsidP="001744D0">
            <w:pPr>
              <w:pStyle w:val="TableColumnHeadingLeft"/>
              <w:rPr>
                <w:rFonts w:ascii="Arial" w:hAnsi="Arial" w:cs="Arial"/>
              </w:rPr>
            </w:pPr>
            <w:r w:rsidRPr="0080564B">
              <w:rPr>
                <w:rFonts w:ascii="Arial" w:hAnsi="Arial" w:cs="Arial"/>
              </w:rPr>
              <w:t>Performance measures</w:t>
            </w:r>
          </w:p>
        </w:tc>
        <w:tc>
          <w:tcPr>
            <w:tcW w:w="3077" w:type="dxa"/>
            <w:tcBorders>
              <w:top w:val="double" w:sz="4" w:space="0" w:color="auto"/>
              <w:left w:val="single" w:sz="4" w:space="0" w:color="auto"/>
              <w:bottom w:val="single" w:sz="4" w:space="0" w:color="auto"/>
            </w:tcBorders>
          </w:tcPr>
          <w:p w14:paraId="4B550E1F" w14:textId="77777777" w:rsidR="00B970EF" w:rsidRPr="0080564B" w:rsidRDefault="00B970EF" w:rsidP="001744D0">
            <w:pPr>
              <w:pStyle w:val="TableColumnHeadingLeft"/>
              <w:rPr>
                <w:rFonts w:ascii="Arial" w:hAnsi="Arial" w:cs="Arial"/>
              </w:rPr>
            </w:pPr>
            <w:r w:rsidRPr="0080564B">
              <w:rPr>
                <w:rFonts w:ascii="Arial" w:hAnsi="Arial" w:cs="Arial"/>
              </w:rPr>
              <w:t>Expected performance results</w:t>
            </w:r>
          </w:p>
        </w:tc>
      </w:tr>
      <w:tr w:rsidR="00B970EF" w:rsidRPr="0080564B" w14:paraId="43FCE234" w14:textId="77777777" w:rsidTr="001744D0">
        <w:trPr>
          <w:cantSplit/>
          <w:trHeight w:val="642"/>
        </w:trPr>
        <w:tc>
          <w:tcPr>
            <w:tcW w:w="1546" w:type="dxa"/>
            <w:tcBorders>
              <w:top w:val="single" w:sz="4" w:space="0" w:color="auto"/>
              <w:bottom w:val="dotted" w:sz="4" w:space="0" w:color="auto"/>
              <w:right w:val="single" w:sz="4" w:space="0" w:color="auto"/>
            </w:tcBorders>
          </w:tcPr>
          <w:p w14:paraId="6F3DF744" w14:textId="77777777" w:rsidR="00B970EF" w:rsidRPr="0080564B" w:rsidRDefault="00B970EF" w:rsidP="001744D0">
            <w:pPr>
              <w:pStyle w:val="TableTextLeft"/>
              <w:rPr>
                <w:rFonts w:cs="Arial"/>
              </w:rPr>
            </w:pPr>
            <w:r w:rsidRPr="0080564B">
              <w:rPr>
                <w:rFonts w:cs="Arial"/>
              </w:rPr>
              <w:t xml:space="preserve">Current Year </w:t>
            </w:r>
          </w:p>
          <w:p w14:paraId="3743E084" w14:textId="77777777" w:rsidR="00B970EF" w:rsidRPr="0080564B" w:rsidRDefault="00B970EF" w:rsidP="001744D0">
            <w:pPr>
              <w:pStyle w:val="TableTextLeft"/>
              <w:rPr>
                <w:rFonts w:cs="Arial"/>
              </w:rPr>
            </w:pPr>
            <w:r w:rsidRPr="0080564B">
              <w:rPr>
                <w:rFonts w:cs="Arial"/>
              </w:rPr>
              <w:t>2025–26</w:t>
            </w:r>
          </w:p>
        </w:tc>
        <w:tc>
          <w:tcPr>
            <w:tcW w:w="3077" w:type="dxa"/>
            <w:tcBorders>
              <w:top w:val="single" w:sz="4" w:space="0" w:color="auto"/>
              <w:left w:val="single" w:sz="4" w:space="0" w:color="auto"/>
              <w:bottom w:val="dotted" w:sz="4" w:space="0" w:color="auto"/>
              <w:right w:val="single" w:sz="4" w:space="0" w:color="auto"/>
            </w:tcBorders>
          </w:tcPr>
          <w:p w14:paraId="420908B0" w14:textId="77777777" w:rsidR="00B970EF" w:rsidRPr="0080564B" w:rsidRDefault="00B970EF" w:rsidP="001744D0">
            <w:pPr>
              <w:pStyle w:val="TableTextLeft"/>
              <w:rPr>
                <w:rFonts w:cs="Arial"/>
              </w:rPr>
            </w:pPr>
            <w:r w:rsidRPr="0080564B">
              <w:rPr>
                <w:rFonts w:eastAsia="Arial" w:cs="Arial"/>
              </w:rPr>
              <w:t xml:space="preserve">Effective delivery of consular and passport services to Australians overseas. </w:t>
            </w:r>
          </w:p>
        </w:tc>
        <w:tc>
          <w:tcPr>
            <w:tcW w:w="3077" w:type="dxa"/>
            <w:tcBorders>
              <w:top w:val="single" w:sz="4" w:space="0" w:color="auto"/>
              <w:left w:val="single" w:sz="4" w:space="0" w:color="auto"/>
              <w:bottom w:val="dotted" w:sz="4" w:space="0" w:color="auto"/>
            </w:tcBorders>
          </w:tcPr>
          <w:p w14:paraId="6F9F0E84" w14:textId="77777777" w:rsidR="00B970EF" w:rsidRPr="0080564B" w:rsidRDefault="00B970EF" w:rsidP="001744D0">
            <w:pPr>
              <w:pStyle w:val="TableTextLeft"/>
              <w:rPr>
                <w:rFonts w:cs="Arial"/>
              </w:rPr>
            </w:pPr>
            <w:r w:rsidRPr="0080564B">
              <w:rPr>
                <w:rFonts w:eastAsia="Arial" w:cs="Arial"/>
              </w:rPr>
              <w:t xml:space="preserve">At least 97 per cent of passports processed by Austrade are without administrative errors. </w:t>
            </w:r>
          </w:p>
        </w:tc>
      </w:tr>
      <w:tr w:rsidR="00B970EF" w:rsidRPr="0080564B" w14:paraId="6161837B" w14:textId="77777777" w:rsidTr="001744D0">
        <w:trPr>
          <w:cantSplit/>
          <w:trHeight w:val="100"/>
        </w:trPr>
        <w:tc>
          <w:tcPr>
            <w:tcW w:w="1546" w:type="dxa"/>
            <w:tcBorders>
              <w:top w:val="single" w:sz="4" w:space="0" w:color="auto"/>
              <w:bottom w:val="dotted" w:sz="4" w:space="0" w:color="auto"/>
              <w:right w:val="single" w:sz="4" w:space="0" w:color="auto"/>
            </w:tcBorders>
          </w:tcPr>
          <w:p w14:paraId="577EAF4B" w14:textId="77777777" w:rsidR="00B970EF" w:rsidRPr="0080564B" w:rsidRDefault="00B970EF" w:rsidP="001744D0">
            <w:pPr>
              <w:pStyle w:val="TableColumnHeadingLeft"/>
              <w:rPr>
                <w:rFonts w:ascii="Arial" w:hAnsi="Arial" w:cs="Arial"/>
              </w:rPr>
            </w:pPr>
            <w:r w:rsidRPr="0080564B">
              <w:rPr>
                <w:rFonts w:ascii="Arial" w:hAnsi="Arial" w:cs="Arial"/>
              </w:rPr>
              <w:t>Year</w:t>
            </w:r>
          </w:p>
        </w:tc>
        <w:tc>
          <w:tcPr>
            <w:tcW w:w="3077" w:type="dxa"/>
            <w:tcBorders>
              <w:top w:val="single" w:sz="4" w:space="0" w:color="auto"/>
              <w:left w:val="single" w:sz="4" w:space="0" w:color="auto"/>
              <w:bottom w:val="dotted" w:sz="4" w:space="0" w:color="auto"/>
              <w:right w:val="single" w:sz="4" w:space="0" w:color="auto"/>
            </w:tcBorders>
          </w:tcPr>
          <w:p w14:paraId="3217B83F" w14:textId="77777777" w:rsidR="00B970EF" w:rsidRPr="0080564B" w:rsidRDefault="00B970EF" w:rsidP="001744D0">
            <w:pPr>
              <w:pStyle w:val="TableColumnHeadingLeft"/>
              <w:rPr>
                <w:rFonts w:ascii="Arial" w:hAnsi="Arial" w:cs="Arial"/>
              </w:rPr>
            </w:pPr>
            <w:r w:rsidRPr="0080564B">
              <w:rPr>
                <w:rFonts w:ascii="Arial" w:hAnsi="Arial" w:cs="Arial"/>
              </w:rPr>
              <w:t>Performance measures</w:t>
            </w:r>
          </w:p>
        </w:tc>
        <w:tc>
          <w:tcPr>
            <w:tcW w:w="3077" w:type="dxa"/>
            <w:tcBorders>
              <w:top w:val="single" w:sz="4" w:space="0" w:color="auto"/>
              <w:left w:val="single" w:sz="4" w:space="0" w:color="auto"/>
              <w:bottom w:val="dotted" w:sz="4" w:space="0" w:color="auto"/>
            </w:tcBorders>
          </w:tcPr>
          <w:p w14:paraId="53042738" w14:textId="77777777" w:rsidR="00B970EF" w:rsidRPr="0080564B" w:rsidRDefault="00B970EF" w:rsidP="001744D0">
            <w:pPr>
              <w:pStyle w:val="TableColumnHeadingLeft"/>
              <w:rPr>
                <w:rFonts w:ascii="Arial" w:hAnsi="Arial" w:cs="Arial"/>
              </w:rPr>
            </w:pPr>
            <w:r w:rsidRPr="0080564B">
              <w:rPr>
                <w:rFonts w:ascii="Arial" w:hAnsi="Arial" w:cs="Arial"/>
              </w:rPr>
              <w:t>Planned performance results</w:t>
            </w:r>
          </w:p>
        </w:tc>
      </w:tr>
      <w:tr w:rsidR="00B970EF" w:rsidRPr="0080564B" w14:paraId="3EF095AD" w14:textId="77777777" w:rsidTr="001744D0">
        <w:trPr>
          <w:cantSplit/>
          <w:trHeight w:val="782"/>
        </w:trPr>
        <w:tc>
          <w:tcPr>
            <w:tcW w:w="1546" w:type="dxa"/>
            <w:tcBorders>
              <w:top w:val="single" w:sz="4" w:space="0" w:color="auto"/>
              <w:bottom w:val="dotted" w:sz="4" w:space="0" w:color="auto"/>
              <w:right w:val="single" w:sz="4" w:space="0" w:color="auto"/>
            </w:tcBorders>
          </w:tcPr>
          <w:p w14:paraId="74FDF45A" w14:textId="77777777" w:rsidR="00B970EF" w:rsidRPr="0080564B" w:rsidRDefault="00B970EF" w:rsidP="001744D0">
            <w:pPr>
              <w:pStyle w:val="TableTextLeft"/>
              <w:rPr>
                <w:rFonts w:cs="Arial"/>
              </w:rPr>
            </w:pPr>
            <w:r w:rsidRPr="0080564B">
              <w:rPr>
                <w:rFonts w:cs="Arial"/>
              </w:rPr>
              <w:t xml:space="preserve">Budget Year </w:t>
            </w:r>
          </w:p>
          <w:p w14:paraId="4D940566" w14:textId="77777777" w:rsidR="00B970EF" w:rsidRPr="0080564B" w:rsidRDefault="00B970EF" w:rsidP="001744D0">
            <w:pPr>
              <w:pStyle w:val="TableTextLeft"/>
              <w:rPr>
                <w:rFonts w:cs="Arial"/>
              </w:rPr>
            </w:pPr>
            <w:r w:rsidRPr="0080564B">
              <w:rPr>
                <w:rFonts w:cs="Arial"/>
              </w:rPr>
              <w:t>2026–27</w:t>
            </w:r>
          </w:p>
        </w:tc>
        <w:tc>
          <w:tcPr>
            <w:tcW w:w="3077" w:type="dxa"/>
            <w:tcBorders>
              <w:top w:val="single" w:sz="4" w:space="0" w:color="auto"/>
              <w:left w:val="single" w:sz="4" w:space="0" w:color="auto"/>
              <w:bottom w:val="dotted" w:sz="4" w:space="0" w:color="auto"/>
              <w:right w:val="single" w:sz="4" w:space="0" w:color="auto"/>
            </w:tcBorders>
          </w:tcPr>
          <w:p w14:paraId="429FF8B0" w14:textId="77777777" w:rsidR="00B970EF" w:rsidRPr="0080564B" w:rsidRDefault="00B970EF" w:rsidP="001744D0">
            <w:pPr>
              <w:pStyle w:val="TableTextLeft"/>
              <w:rPr>
                <w:rFonts w:cs="Arial"/>
              </w:rPr>
            </w:pPr>
            <w:r w:rsidRPr="0080564B">
              <w:rPr>
                <w:rFonts w:eastAsia="Arial" w:cs="Arial"/>
              </w:rPr>
              <w:t xml:space="preserve">Effective delivery of consular and passport services to Australians overseas. </w:t>
            </w:r>
          </w:p>
        </w:tc>
        <w:tc>
          <w:tcPr>
            <w:tcW w:w="3077" w:type="dxa"/>
            <w:tcBorders>
              <w:top w:val="single" w:sz="4" w:space="0" w:color="auto"/>
              <w:left w:val="single" w:sz="4" w:space="0" w:color="auto"/>
              <w:bottom w:val="dotted" w:sz="4" w:space="0" w:color="auto"/>
            </w:tcBorders>
          </w:tcPr>
          <w:p w14:paraId="0E146197" w14:textId="77777777" w:rsidR="00B970EF" w:rsidRPr="0080564B" w:rsidRDefault="00B970EF" w:rsidP="001744D0">
            <w:pPr>
              <w:pStyle w:val="TableTextLeft"/>
              <w:rPr>
                <w:rFonts w:cs="Arial"/>
              </w:rPr>
            </w:pPr>
            <w:r w:rsidRPr="0080564B">
              <w:rPr>
                <w:rFonts w:eastAsia="Arial" w:cs="Arial"/>
              </w:rPr>
              <w:t xml:space="preserve">Maintained or improved compared to the previous year. </w:t>
            </w:r>
          </w:p>
        </w:tc>
      </w:tr>
      <w:tr w:rsidR="00B970EF" w:rsidRPr="0080564B" w14:paraId="10C3D504" w14:textId="77777777" w:rsidTr="001744D0">
        <w:trPr>
          <w:cantSplit/>
          <w:trHeight w:val="491"/>
        </w:trPr>
        <w:tc>
          <w:tcPr>
            <w:tcW w:w="1546" w:type="dxa"/>
            <w:tcBorders>
              <w:top w:val="dotted" w:sz="4" w:space="0" w:color="auto"/>
              <w:bottom w:val="dotted" w:sz="4" w:space="0" w:color="auto"/>
              <w:right w:val="single" w:sz="4" w:space="0" w:color="auto"/>
            </w:tcBorders>
          </w:tcPr>
          <w:p w14:paraId="2EAAF40D" w14:textId="77777777" w:rsidR="00B970EF" w:rsidRPr="0080564B" w:rsidRDefault="00B970EF" w:rsidP="001744D0">
            <w:pPr>
              <w:pStyle w:val="TableTextLeft"/>
              <w:rPr>
                <w:rFonts w:cs="Arial"/>
              </w:rPr>
            </w:pPr>
            <w:r w:rsidRPr="0080564B">
              <w:rPr>
                <w:rFonts w:cs="Arial"/>
              </w:rPr>
              <w:t xml:space="preserve">Forward Estimates </w:t>
            </w:r>
          </w:p>
          <w:p w14:paraId="6F616745" w14:textId="77777777" w:rsidR="00B970EF" w:rsidRPr="0080564B" w:rsidRDefault="00B970EF" w:rsidP="001744D0">
            <w:pPr>
              <w:pStyle w:val="TableTextLeft"/>
              <w:rPr>
                <w:rFonts w:cs="Arial"/>
                <w:b/>
              </w:rPr>
            </w:pPr>
            <w:r w:rsidRPr="0080564B">
              <w:rPr>
                <w:rFonts w:cs="Arial"/>
              </w:rPr>
              <w:t>2027–30</w:t>
            </w:r>
          </w:p>
        </w:tc>
        <w:tc>
          <w:tcPr>
            <w:tcW w:w="3077" w:type="dxa"/>
            <w:tcBorders>
              <w:top w:val="dotted" w:sz="4" w:space="0" w:color="auto"/>
              <w:left w:val="single" w:sz="4" w:space="0" w:color="auto"/>
              <w:bottom w:val="dotted" w:sz="4" w:space="0" w:color="auto"/>
              <w:right w:val="single" w:sz="4" w:space="0" w:color="auto"/>
            </w:tcBorders>
          </w:tcPr>
          <w:p w14:paraId="06C3A606" w14:textId="77777777" w:rsidR="00B970EF" w:rsidRPr="0080564B" w:rsidRDefault="00B970EF" w:rsidP="001744D0">
            <w:pPr>
              <w:pStyle w:val="TableTextLeft"/>
              <w:rPr>
                <w:rFonts w:cs="Arial"/>
                <w:b/>
              </w:rPr>
            </w:pPr>
            <w:r w:rsidRPr="0080564B">
              <w:rPr>
                <w:rFonts w:eastAsia="Arial" w:cs="Arial"/>
              </w:rPr>
              <w:t>As per 2026</w:t>
            </w:r>
            <w:r w:rsidRPr="003A00DB">
              <w:rPr>
                <w:rFonts w:cs="Arial"/>
              </w:rPr>
              <w:t>–</w:t>
            </w:r>
            <w:r w:rsidRPr="0080564B">
              <w:rPr>
                <w:rFonts w:eastAsia="Arial" w:cs="Arial"/>
              </w:rPr>
              <w:t>27</w:t>
            </w:r>
            <w:r w:rsidRPr="0080564B">
              <w:rPr>
                <w:rFonts w:eastAsia="Arial" w:cs="Arial"/>
                <w:b/>
              </w:rPr>
              <w:t xml:space="preserve"> </w:t>
            </w:r>
          </w:p>
        </w:tc>
        <w:tc>
          <w:tcPr>
            <w:tcW w:w="3077" w:type="dxa"/>
            <w:tcBorders>
              <w:top w:val="dotted" w:sz="4" w:space="0" w:color="auto"/>
              <w:left w:val="single" w:sz="4" w:space="0" w:color="auto"/>
              <w:bottom w:val="dotted" w:sz="4" w:space="0" w:color="auto"/>
            </w:tcBorders>
          </w:tcPr>
          <w:p w14:paraId="1AC4F3A6" w14:textId="77777777" w:rsidR="00B970EF" w:rsidRPr="0080564B" w:rsidRDefault="00B970EF" w:rsidP="001744D0">
            <w:pPr>
              <w:pStyle w:val="TableTextLeft"/>
              <w:rPr>
                <w:rFonts w:cs="Arial"/>
                <w:b/>
              </w:rPr>
            </w:pPr>
            <w:r w:rsidRPr="0080564B">
              <w:rPr>
                <w:rFonts w:eastAsia="Arial" w:cs="Arial"/>
              </w:rPr>
              <w:t>As per 2026</w:t>
            </w:r>
            <w:r w:rsidRPr="003A00DB">
              <w:rPr>
                <w:rFonts w:cs="Arial"/>
              </w:rPr>
              <w:t>–</w:t>
            </w:r>
            <w:r w:rsidRPr="0080564B">
              <w:rPr>
                <w:rFonts w:eastAsia="Arial" w:cs="Arial"/>
              </w:rPr>
              <w:t>27</w:t>
            </w:r>
            <w:r w:rsidRPr="0080564B">
              <w:rPr>
                <w:rFonts w:eastAsia="Arial" w:cs="Arial"/>
                <w:b/>
              </w:rPr>
              <w:t xml:space="preserve"> </w:t>
            </w:r>
          </w:p>
        </w:tc>
      </w:tr>
      <w:tr w:rsidR="00B970EF" w:rsidRPr="0080564B" w14:paraId="102B2254" w14:textId="77777777" w:rsidTr="001744D0">
        <w:trPr>
          <w:cantSplit/>
          <w:trHeight w:val="261"/>
        </w:trPr>
        <w:tc>
          <w:tcPr>
            <w:tcW w:w="7700" w:type="dxa"/>
            <w:gridSpan w:val="3"/>
          </w:tcPr>
          <w:p w14:paraId="43CFA649" w14:textId="77777777" w:rsidR="00B970EF" w:rsidRPr="0080564B" w:rsidRDefault="00B970EF" w:rsidP="001744D0">
            <w:pPr>
              <w:pStyle w:val="TableTextLeft"/>
              <w:rPr>
                <w:rFonts w:eastAsia="Cambria" w:cs="Arial"/>
                <w:spacing w:val="-6"/>
              </w:rPr>
            </w:pPr>
            <w:r w:rsidRPr="0080564B">
              <w:rPr>
                <w:rFonts w:cs="Arial"/>
              </w:rPr>
              <w:t>Material changes to Program 2.1 resulting from 2026–27 Budget Measures:</w:t>
            </w:r>
            <w:r w:rsidRPr="0080564B">
              <w:rPr>
                <w:rFonts w:eastAsia="Cambria" w:cs="Arial"/>
                <w:spacing w:val="-6"/>
                <w:lang w:eastAsia="en-US"/>
              </w:rPr>
              <w:t xml:space="preserve"> Nil</w:t>
            </w:r>
          </w:p>
        </w:tc>
      </w:tr>
    </w:tbl>
    <w:p w14:paraId="61D0A1E4" w14:textId="77777777" w:rsidR="00B970EF" w:rsidRPr="00FA45B0" w:rsidRDefault="00B970EF" w:rsidP="00B970EF">
      <w:pPr>
        <w:spacing w:before="0" w:after="0" w:line="240" w:lineRule="auto"/>
      </w:pPr>
      <w:r>
        <w:br w:type="page"/>
      </w:r>
    </w:p>
    <w:p w14:paraId="1BDF9C92" w14:textId="77777777" w:rsidR="00B970EF" w:rsidRPr="006913EB" w:rsidRDefault="00B970EF" w:rsidP="00B970EF">
      <w:pPr>
        <w:pStyle w:val="Heading2"/>
      </w:pPr>
      <w:r w:rsidRPr="006913EB">
        <w:lastRenderedPageBreak/>
        <w:t>Section 3: Budgeted financial statements</w:t>
      </w:r>
    </w:p>
    <w:p w14:paraId="6C86405D" w14:textId="77777777" w:rsidR="00B970EF" w:rsidRDefault="00B970EF" w:rsidP="00B970EF">
      <w:r>
        <w:t>Section 3 presents budgeted financial statements which provide a comprehensive snapshot of entity finances for the 2026–27</w:t>
      </w:r>
      <w:r>
        <w:rPr>
          <w:color w:val="00B050"/>
        </w:rPr>
        <w:t xml:space="preserve"> </w:t>
      </w:r>
      <w:r>
        <w:t>budget year, including the impact of budget measures and resourcing on financial statements.</w:t>
      </w:r>
    </w:p>
    <w:p w14:paraId="756019E1" w14:textId="77777777" w:rsidR="00B970EF" w:rsidRPr="005328A9" w:rsidRDefault="00B970EF" w:rsidP="00B970EF">
      <w:pPr>
        <w:pStyle w:val="Heading3"/>
      </w:pPr>
      <w:r w:rsidRPr="005328A9">
        <w:t>3.1</w:t>
      </w:r>
      <w:r w:rsidRPr="005328A9">
        <w:tab/>
        <w:t>Budgeted financial statements</w:t>
      </w:r>
    </w:p>
    <w:p w14:paraId="02CDD4BD" w14:textId="77777777" w:rsidR="00B970EF" w:rsidRDefault="00B970EF" w:rsidP="00B970EF">
      <w:pPr>
        <w:pStyle w:val="Heading4"/>
      </w:pPr>
      <w:r>
        <w:t>3.1.1</w:t>
      </w:r>
      <w:r>
        <w:tab/>
        <w:t>Explanatory notes and analysis of budgeted financial statements</w:t>
      </w:r>
    </w:p>
    <w:p w14:paraId="2D66FDD9" w14:textId="77777777" w:rsidR="00B970EF" w:rsidRDefault="00B970EF" w:rsidP="00B970EF">
      <w:pPr>
        <w:pStyle w:val="ExampleText"/>
        <w:spacing w:after="160"/>
        <w:rPr>
          <w:i w:val="0"/>
          <w:iCs/>
          <w:color w:val="auto"/>
        </w:rPr>
      </w:pPr>
      <w:r w:rsidRPr="002F7C97">
        <w:rPr>
          <w:i w:val="0"/>
          <w:iCs/>
          <w:color w:val="auto"/>
        </w:rPr>
        <w:t>An analysis of Austrade’s budgeted financial statements, as reflected in the departmental financial statements and administered schedules, is provided below. </w:t>
      </w:r>
    </w:p>
    <w:p w14:paraId="63254799" w14:textId="77777777" w:rsidR="00B970EF" w:rsidRPr="00A76734" w:rsidRDefault="00B970EF" w:rsidP="00B970EF">
      <w:pPr>
        <w:pStyle w:val="Heading4"/>
        <w:rPr>
          <w:color w:val="000000" w:themeColor="text1"/>
        </w:rPr>
      </w:pPr>
      <w:r>
        <w:rPr>
          <w:color w:val="000000" w:themeColor="text1"/>
        </w:rPr>
        <w:t xml:space="preserve">Departmental financial statements </w:t>
      </w:r>
    </w:p>
    <w:p w14:paraId="28389A4A" w14:textId="77777777" w:rsidR="00B970EF" w:rsidRDefault="00B970EF" w:rsidP="00B970EF">
      <w:pPr>
        <w:pStyle w:val="ExampleText"/>
        <w:spacing w:after="160"/>
        <w:rPr>
          <w:i w:val="0"/>
          <w:iCs/>
          <w:color w:val="auto"/>
        </w:rPr>
      </w:pPr>
      <w:r w:rsidRPr="00D76990">
        <w:rPr>
          <w:i w:val="0"/>
          <w:iCs/>
          <w:color w:val="auto"/>
        </w:rPr>
        <w:t>The Departmental financial statements represent the assets, liabilities, revenues, and expenses which are controlled by Austrade. Departmental expenses include employee and supplier expenses and other administrative costs which are incurred by Austrade in undertaking its operations. </w:t>
      </w:r>
    </w:p>
    <w:p w14:paraId="1E83DD54" w14:textId="77777777" w:rsidR="00B970EF" w:rsidRPr="00A76734" w:rsidRDefault="00B970EF" w:rsidP="00B970EF">
      <w:pPr>
        <w:pStyle w:val="Heading4"/>
        <w:rPr>
          <w:color w:val="000000" w:themeColor="text1"/>
        </w:rPr>
      </w:pPr>
      <w:r>
        <w:rPr>
          <w:color w:val="000000" w:themeColor="text1"/>
        </w:rPr>
        <w:t>Budgeted departmental comprehensive income statement</w:t>
      </w:r>
    </w:p>
    <w:p w14:paraId="43CEAE31" w14:textId="77777777" w:rsidR="00B970EF" w:rsidRPr="00AF60DC" w:rsidRDefault="00B970EF" w:rsidP="00B970EF">
      <w:pPr>
        <w:pStyle w:val="ExampleText"/>
        <w:spacing w:after="160"/>
        <w:rPr>
          <w:i w:val="0"/>
          <w:iCs/>
          <w:color w:val="auto"/>
        </w:rPr>
      </w:pPr>
      <w:r w:rsidRPr="00AF60DC">
        <w:rPr>
          <w:i w:val="0"/>
          <w:iCs/>
          <w:color w:val="auto"/>
        </w:rPr>
        <w:t>This statement provides estimated actual financial results for 2025</w:t>
      </w:r>
      <w:r>
        <w:rPr>
          <w:i w:val="0"/>
          <w:iCs/>
          <w:color w:val="auto"/>
        </w:rPr>
        <w:t>–</w:t>
      </w:r>
      <w:r w:rsidRPr="00AF60DC">
        <w:rPr>
          <w:i w:val="0"/>
          <w:iCs/>
          <w:color w:val="auto"/>
        </w:rPr>
        <w:t>26 and the estimated revenue and expenses for 2026</w:t>
      </w:r>
      <w:r>
        <w:rPr>
          <w:i w:val="0"/>
          <w:iCs/>
          <w:color w:val="auto"/>
        </w:rPr>
        <w:t>–</w:t>
      </w:r>
      <w:r w:rsidRPr="00AF60DC">
        <w:rPr>
          <w:i w:val="0"/>
          <w:iCs/>
          <w:color w:val="auto"/>
        </w:rPr>
        <w:t>27 and forward years.  </w:t>
      </w:r>
    </w:p>
    <w:p w14:paraId="6AFD5CFF" w14:textId="77777777" w:rsidR="00B970EF" w:rsidRPr="00AF60DC" w:rsidRDefault="00B970EF" w:rsidP="00B970EF">
      <w:pPr>
        <w:pStyle w:val="ExampleText"/>
        <w:spacing w:after="160"/>
        <w:rPr>
          <w:i w:val="0"/>
          <w:iCs/>
          <w:color w:val="auto"/>
        </w:rPr>
      </w:pPr>
      <w:r w:rsidRPr="00AF60DC">
        <w:rPr>
          <w:i w:val="0"/>
          <w:iCs/>
          <w:color w:val="auto"/>
        </w:rPr>
        <w:t>Total income in 2026</w:t>
      </w:r>
      <w:r>
        <w:rPr>
          <w:i w:val="0"/>
          <w:iCs/>
          <w:color w:val="auto"/>
        </w:rPr>
        <w:t>–</w:t>
      </w:r>
      <w:r w:rsidRPr="00AF60DC">
        <w:rPr>
          <w:i w:val="0"/>
          <w:iCs/>
          <w:color w:val="auto"/>
        </w:rPr>
        <w:t>27 is estimated to be $305.8 million, a decrease of $3.1 million from  </w:t>
      </w:r>
      <w:r w:rsidRPr="00AF60DC">
        <w:rPr>
          <w:i w:val="0"/>
          <w:iCs/>
          <w:color w:val="auto"/>
        </w:rPr>
        <w:br/>
        <w:t>2025</w:t>
      </w:r>
      <w:r>
        <w:rPr>
          <w:i w:val="0"/>
          <w:iCs/>
          <w:color w:val="auto"/>
        </w:rPr>
        <w:t>–</w:t>
      </w:r>
      <w:r w:rsidRPr="00AF60DC">
        <w:rPr>
          <w:i w:val="0"/>
          <w:iCs/>
          <w:color w:val="auto"/>
        </w:rPr>
        <w:t>26. Total estimated expenses for 2026</w:t>
      </w:r>
      <w:r>
        <w:rPr>
          <w:i w:val="0"/>
          <w:iCs/>
          <w:color w:val="auto"/>
        </w:rPr>
        <w:t>–</w:t>
      </w:r>
      <w:r w:rsidRPr="00AF60DC">
        <w:rPr>
          <w:i w:val="0"/>
          <w:iCs/>
          <w:color w:val="auto"/>
        </w:rPr>
        <w:t>27 decrease commensurately. </w:t>
      </w:r>
    </w:p>
    <w:p w14:paraId="14E5A29E" w14:textId="77777777" w:rsidR="00B970EF" w:rsidRPr="00A76734" w:rsidRDefault="00B970EF" w:rsidP="00B970EF">
      <w:pPr>
        <w:pStyle w:val="Heading4"/>
        <w:rPr>
          <w:color w:val="000000" w:themeColor="text1"/>
        </w:rPr>
      </w:pPr>
      <w:r>
        <w:rPr>
          <w:color w:val="000000" w:themeColor="text1"/>
        </w:rPr>
        <w:t>Budgeted departmental balance sheet</w:t>
      </w:r>
    </w:p>
    <w:p w14:paraId="489C442A" w14:textId="77777777" w:rsidR="00B970EF" w:rsidRDefault="00B970EF" w:rsidP="00B970EF">
      <w:pPr>
        <w:pStyle w:val="ExampleText"/>
        <w:spacing w:after="160"/>
        <w:rPr>
          <w:i w:val="0"/>
          <w:iCs/>
          <w:color w:val="auto"/>
        </w:rPr>
      </w:pPr>
      <w:r w:rsidRPr="00AF60DC">
        <w:rPr>
          <w:i w:val="0"/>
          <w:iCs/>
          <w:color w:val="auto"/>
        </w:rPr>
        <w:t>This statement discloses the estimated end of year financial position for Austrade. Austrade’s budgeted net asset position at the end of 2026</w:t>
      </w:r>
      <w:r>
        <w:rPr>
          <w:i w:val="0"/>
          <w:iCs/>
          <w:color w:val="auto"/>
        </w:rPr>
        <w:t>–</w:t>
      </w:r>
      <w:r w:rsidRPr="00AF60DC">
        <w:rPr>
          <w:i w:val="0"/>
          <w:iCs/>
          <w:color w:val="auto"/>
        </w:rPr>
        <w:t>27 is $47.9 million, representing a slight increase from the net asset position at the end of the 2025</w:t>
      </w:r>
      <w:r>
        <w:rPr>
          <w:i w:val="0"/>
          <w:iCs/>
          <w:color w:val="auto"/>
        </w:rPr>
        <w:t>–</w:t>
      </w:r>
      <w:r w:rsidRPr="00AF60DC">
        <w:rPr>
          <w:i w:val="0"/>
          <w:iCs/>
          <w:color w:val="auto"/>
        </w:rPr>
        <w:t>26 financial year.  </w:t>
      </w:r>
    </w:p>
    <w:p w14:paraId="2DEFE503" w14:textId="77777777" w:rsidR="00B970EF" w:rsidRPr="00A76734" w:rsidRDefault="00B970EF" w:rsidP="00B970EF">
      <w:pPr>
        <w:pStyle w:val="Heading4"/>
        <w:rPr>
          <w:color w:val="000000" w:themeColor="text1"/>
        </w:rPr>
      </w:pPr>
      <w:r>
        <w:rPr>
          <w:color w:val="000000" w:themeColor="text1"/>
        </w:rPr>
        <w:t>Departmental capital budget statement</w:t>
      </w:r>
    </w:p>
    <w:p w14:paraId="67317130" w14:textId="77777777" w:rsidR="00B970EF" w:rsidRDefault="00B970EF" w:rsidP="00B970EF">
      <w:pPr>
        <w:pStyle w:val="ExampleText"/>
        <w:spacing w:after="160"/>
        <w:rPr>
          <w:i w:val="0"/>
          <w:iCs/>
          <w:color w:val="auto"/>
        </w:rPr>
      </w:pPr>
      <w:r w:rsidRPr="00AF60DC">
        <w:rPr>
          <w:i w:val="0"/>
          <w:iCs/>
          <w:color w:val="auto"/>
        </w:rPr>
        <w:t>This statement shows all planned departmental capital expenditure on non-financial assets, whether funded through capital appropriations, equity injections, borrowings, or funds from internal sources. </w:t>
      </w:r>
    </w:p>
    <w:p w14:paraId="6ED03B1E" w14:textId="77777777" w:rsidR="00B970EF" w:rsidRDefault="00B970EF" w:rsidP="00B970EF">
      <w:pPr>
        <w:pStyle w:val="Heading4"/>
        <w:rPr>
          <w:color w:val="000000" w:themeColor="text1"/>
        </w:rPr>
      </w:pPr>
      <w:r>
        <w:rPr>
          <w:color w:val="000000" w:themeColor="text1"/>
        </w:rPr>
        <w:t>Departmental statement of asset movements</w:t>
      </w:r>
    </w:p>
    <w:p w14:paraId="4578D154" w14:textId="77777777" w:rsidR="00B970EF" w:rsidRDefault="00B970EF" w:rsidP="00B970EF">
      <w:r w:rsidRPr="00AF60DC">
        <w:t>This statement shows budgeted acquisitions and disposals of non-financial assets during the budget year. </w:t>
      </w:r>
    </w:p>
    <w:p w14:paraId="47035EDA" w14:textId="77777777" w:rsidR="00B970EF" w:rsidRDefault="00B970EF" w:rsidP="00B970EF">
      <w:pPr>
        <w:pStyle w:val="Heading4"/>
        <w:rPr>
          <w:color w:val="000000" w:themeColor="text1"/>
        </w:rPr>
      </w:pPr>
      <w:r>
        <w:rPr>
          <w:color w:val="000000" w:themeColor="text1"/>
        </w:rPr>
        <w:t>Schedule of administered activity</w:t>
      </w:r>
    </w:p>
    <w:p w14:paraId="675ABB24" w14:textId="77777777" w:rsidR="00B970EF" w:rsidRPr="00AF60DC" w:rsidRDefault="00B970EF" w:rsidP="00B970EF">
      <w:r w:rsidRPr="005F08BD">
        <w:t>Details of transactions administered by Austrade on behalf of the Government are shown in the following schedules to the financial statements. </w:t>
      </w:r>
    </w:p>
    <w:p w14:paraId="1ECA4E23" w14:textId="77777777" w:rsidR="00B970EF" w:rsidRDefault="00B970EF" w:rsidP="00B970EF">
      <w:pPr>
        <w:pStyle w:val="Heading4"/>
        <w:rPr>
          <w:color w:val="000000" w:themeColor="text1"/>
        </w:rPr>
      </w:pPr>
      <w:r>
        <w:rPr>
          <w:color w:val="000000" w:themeColor="text1"/>
        </w:rPr>
        <w:t>Schedule of budgeted income and expenses administered on behalf of Government</w:t>
      </w:r>
    </w:p>
    <w:p w14:paraId="52246A6F" w14:textId="77777777" w:rsidR="00B970EF" w:rsidRPr="00331666" w:rsidRDefault="00B970EF" w:rsidP="00B970EF">
      <w:r w:rsidRPr="00331666">
        <w:t>This schedule discloses revenue and expenses administered on behalf of the Government. </w:t>
      </w:r>
    </w:p>
    <w:p w14:paraId="5A13F65F" w14:textId="77777777" w:rsidR="00B970EF" w:rsidRPr="00331666" w:rsidRDefault="00B970EF" w:rsidP="00B970EF">
      <w:r w:rsidRPr="00331666">
        <w:t>Administered expenses of $120.9 million for 2026</w:t>
      </w:r>
      <w:r>
        <w:t>–</w:t>
      </w:r>
      <w:r w:rsidRPr="00331666">
        <w:t>27 financial year relate to the Export Market Development Grants (EMDG) program ($110</w:t>
      </w:r>
      <w:r>
        <w:t>.0</w:t>
      </w:r>
      <w:r w:rsidRPr="00331666">
        <w:t> million), Sculpture by the Sea program ($0.</w:t>
      </w:r>
      <w:r>
        <w:t>45</w:t>
      </w:r>
      <w:r w:rsidRPr="00331666">
        <w:t> million), Supporting Australian Tourism and Travel program ($1.5 million), Supporting Australian Tourism and Travel Extension ($1</w:t>
      </w:r>
      <w:r>
        <w:t>.0</w:t>
      </w:r>
      <w:r w:rsidRPr="00331666">
        <w:t xml:space="preserve"> million) and Supporting Australia’s Trade and Tourism Industries programs ($</w:t>
      </w:r>
      <w:r>
        <w:t>7.95</w:t>
      </w:r>
      <w:r w:rsidRPr="00331666">
        <w:t> million). </w:t>
      </w:r>
    </w:p>
    <w:p w14:paraId="4ADF7061" w14:textId="77777777" w:rsidR="00B970EF" w:rsidRPr="00331666" w:rsidRDefault="00B970EF" w:rsidP="00B970EF">
      <w:r w:rsidRPr="00331666">
        <w:t>Administered expenditure in 2026</w:t>
      </w:r>
      <w:r>
        <w:t>–</w:t>
      </w:r>
      <w:r w:rsidRPr="00331666">
        <w:t>27 is estimated to be $2</w:t>
      </w:r>
      <w:r>
        <w:t>.0</w:t>
      </w:r>
      <w:r w:rsidRPr="00331666">
        <w:t xml:space="preserve"> million greater than administered resourcing provided through Appropriation Bill 1 in 2026</w:t>
      </w:r>
      <w:r>
        <w:t>–</w:t>
      </w:r>
      <w:r w:rsidRPr="00331666">
        <w:t>27. Austrade was appropriated for this expenditure in 2025</w:t>
      </w:r>
      <w:r>
        <w:t>–</w:t>
      </w:r>
      <w:r w:rsidRPr="00331666">
        <w:t>26. </w:t>
      </w:r>
    </w:p>
    <w:p w14:paraId="78E71938" w14:textId="77777777" w:rsidR="00B970EF" w:rsidRDefault="00B970EF" w:rsidP="00B970EF">
      <w:pPr>
        <w:pStyle w:val="Heading4"/>
        <w:rPr>
          <w:color w:val="000000" w:themeColor="text1"/>
        </w:rPr>
      </w:pPr>
      <w:r>
        <w:rPr>
          <w:color w:val="000000" w:themeColor="text1"/>
        </w:rPr>
        <w:lastRenderedPageBreak/>
        <w:t>Schedule of budgeted assets and liabilities administered on behalf of Government</w:t>
      </w:r>
    </w:p>
    <w:p w14:paraId="54BF6D55" w14:textId="77777777" w:rsidR="00B970EF" w:rsidRPr="00331666" w:rsidRDefault="00B970EF" w:rsidP="00B970EF">
      <w:pPr>
        <w:rPr>
          <w:lang w:val="en-US"/>
        </w:rPr>
      </w:pPr>
      <w:r w:rsidRPr="00331666">
        <w:t>This schedule identifies the assets and liabilities administered on behalf of the Government.</w:t>
      </w:r>
      <w:r w:rsidRPr="00331666">
        <w:rPr>
          <w:lang w:val="en-US"/>
        </w:rPr>
        <w:t> </w:t>
      </w:r>
    </w:p>
    <w:p w14:paraId="4ED2369C" w14:textId="77777777" w:rsidR="00B970EF" w:rsidRPr="00331666" w:rsidRDefault="00B970EF" w:rsidP="00B970EF">
      <w:pPr>
        <w:rPr>
          <w:lang w:val="en-US"/>
        </w:rPr>
      </w:pPr>
      <w:r w:rsidRPr="00331666">
        <w:t>Total administered assets and liabilities for 2025</w:t>
      </w:r>
      <w:r>
        <w:t>–</w:t>
      </w:r>
      <w:r w:rsidRPr="00331666">
        <w:t>26 are estimated at $0.9 million and $15.9</w:t>
      </w:r>
      <w:r>
        <w:t> </w:t>
      </w:r>
      <w:r w:rsidRPr="00331666">
        <w:t>million respectively. Liabilities administered on behalf of Government relate to provisions recognised for grant payments from the EMDG program where the timing of those payments is uncertain.</w:t>
      </w:r>
      <w:r w:rsidRPr="00331666">
        <w:rPr>
          <w:lang w:val="en-US"/>
        </w:rPr>
        <w:t> </w:t>
      </w:r>
    </w:p>
    <w:p w14:paraId="7185EB9D" w14:textId="77777777" w:rsidR="00B970EF" w:rsidRDefault="00B970EF" w:rsidP="00B970EF">
      <w:pPr>
        <w:pStyle w:val="Heading4"/>
        <w:rPr>
          <w:color w:val="000000" w:themeColor="text1"/>
        </w:rPr>
      </w:pPr>
      <w:r>
        <w:rPr>
          <w:color w:val="000000" w:themeColor="text1"/>
        </w:rPr>
        <w:t>Schedule budgeted administered cash flows</w:t>
      </w:r>
    </w:p>
    <w:p w14:paraId="39ACEA49" w14:textId="77777777" w:rsidR="00B970EF" w:rsidRPr="00331666" w:rsidRDefault="00B970EF" w:rsidP="00B970EF">
      <w:r w:rsidRPr="00331666">
        <w:t>This schedule shows cash flows administered on behalf of the Government. All cash received is expected to be expended on the relevant programs. </w:t>
      </w:r>
    </w:p>
    <w:p w14:paraId="39A4BCED" w14:textId="77777777" w:rsidR="00B970EF" w:rsidRPr="00E36F77" w:rsidRDefault="00B970EF" w:rsidP="00B970EF">
      <w:pPr>
        <w:pStyle w:val="Heading4"/>
        <w:rPr>
          <w:rStyle w:val="TableHeadingChar"/>
          <w:rFonts w:ascii="Arial Bold" w:eastAsiaTheme="majorEastAsia" w:hAnsi="Arial Bold"/>
          <w:b w:val="0"/>
          <w:bCs/>
        </w:rPr>
      </w:pPr>
      <w:r>
        <w:br w:type="page"/>
      </w:r>
      <w:r w:rsidRPr="029FCC3C">
        <w:rPr>
          <w:rStyle w:val="TableHeadingChar"/>
          <w:rFonts w:ascii="Arial Bold" w:eastAsiaTheme="majorEastAsia" w:hAnsi="Arial Bold"/>
          <w:b w:val="0"/>
          <w:bCs/>
        </w:rPr>
        <w:lastRenderedPageBreak/>
        <w:t>3.2.</w:t>
      </w:r>
      <w:r>
        <w:tab/>
      </w:r>
      <w:r w:rsidRPr="029FCC3C">
        <w:rPr>
          <w:rStyle w:val="TableHeadingChar"/>
          <w:rFonts w:ascii="Arial Bold" w:eastAsiaTheme="majorEastAsia" w:hAnsi="Arial Bold"/>
          <w:b w:val="0"/>
          <w:bCs/>
        </w:rPr>
        <w:t>Budgeted financial statements tables</w:t>
      </w:r>
    </w:p>
    <w:p w14:paraId="7FF091BB" w14:textId="77777777" w:rsidR="00B970EF" w:rsidRPr="00960553" w:rsidRDefault="00B970EF" w:rsidP="00B970EF">
      <w:pPr>
        <w:pStyle w:val="TableHeading"/>
        <w:rPr>
          <w:b w:val="0"/>
        </w:rPr>
      </w:pPr>
      <w:r w:rsidRPr="00E855E0">
        <w:t>Table</w:t>
      </w:r>
      <w:r>
        <w:t xml:space="preserve"> 3.</w:t>
      </w:r>
      <w:r w:rsidRPr="00E855E0">
        <w:t>1</w:t>
      </w:r>
      <w:r>
        <w:t>:</w:t>
      </w:r>
      <w:r w:rsidRPr="00E855E0">
        <w:t xml:space="preserve"> Comprehensive income statement (showing net cost of services)</w:t>
      </w:r>
      <w:r>
        <w:t xml:space="preserve"> </w:t>
      </w:r>
      <w:r>
        <w:rPr>
          <w:snapToGrid w:val="0"/>
        </w:rPr>
        <w:t>for the period ended 30 June</w:t>
      </w:r>
    </w:p>
    <w:p w14:paraId="4B13B7A2" w14:textId="77777777" w:rsidR="00B970EF" w:rsidRDefault="00B970EF" w:rsidP="00B970EF">
      <w:pPr>
        <w:pStyle w:val="TableGraphic"/>
        <w:rPr>
          <w:noProof/>
        </w:rPr>
      </w:pPr>
      <w:r w:rsidRPr="00623E35">
        <w:rPr>
          <w:noProof/>
        </w:rPr>
        <w:drawing>
          <wp:inline distT="0" distB="0" distL="0" distR="0" wp14:anchorId="2235F99A" wp14:editId="0BB55DB1">
            <wp:extent cx="4820920" cy="4008755"/>
            <wp:effectExtent l="0" t="0" r="0" b="0"/>
            <wp:docPr id="181210800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20920" cy="4008755"/>
                    </a:xfrm>
                    <a:prstGeom prst="rect">
                      <a:avLst/>
                    </a:prstGeom>
                    <a:noFill/>
                    <a:ln>
                      <a:noFill/>
                    </a:ln>
                  </pic:spPr>
                </pic:pic>
              </a:graphicData>
            </a:graphic>
          </wp:inline>
        </w:drawing>
      </w:r>
    </w:p>
    <w:p w14:paraId="4E788FB4" w14:textId="77777777" w:rsidR="00B970EF" w:rsidRPr="00B325CF" w:rsidRDefault="00B970EF" w:rsidP="00B970EF">
      <w:pPr>
        <w:spacing w:before="0" w:after="0" w:line="240" w:lineRule="auto"/>
        <w:rPr>
          <w:rFonts w:ascii="Arial" w:hAnsi="Arial" w:cs="Arial"/>
          <w:sz w:val="16"/>
          <w:szCs w:val="16"/>
        </w:rPr>
      </w:pPr>
      <w:r w:rsidRPr="00B325CF">
        <w:rPr>
          <w:rFonts w:ascii="Arial" w:hAnsi="Arial" w:cs="Arial"/>
          <w:sz w:val="16"/>
          <w:szCs w:val="16"/>
        </w:rPr>
        <w:t xml:space="preserve">Table </w:t>
      </w:r>
      <w:proofErr w:type="gramStart"/>
      <w:r w:rsidRPr="00B325CF">
        <w:rPr>
          <w:rFonts w:ascii="Arial" w:hAnsi="Arial" w:cs="Arial"/>
          <w:sz w:val="16"/>
          <w:szCs w:val="16"/>
        </w:rPr>
        <w:t>continued on</w:t>
      </w:r>
      <w:proofErr w:type="gramEnd"/>
      <w:r w:rsidRPr="00B325CF">
        <w:rPr>
          <w:rFonts w:ascii="Arial" w:hAnsi="Arial" w:cs="Arial"/>
          <w:sz w:val="16"/>
          <w:szCs w:val="16"/>
        </w:rPr>
        <w:t xml:space="preserve"> the next page.</w:t>
      </w:r>
    </w:p>
    <w:p w14:paraId="022DBBAB" w14:textId="77777777" w:rsidR="00B970EF" w:rsidRDefault="00B970EF" w:rsidP="00B970EF">
      <w:pPr>
        <w:spacing w:before="0" w:after="0" w:line="240" w:lineRule="auto"/>
      </w:pPr>
    </w:p>
    <w:p w14:paraId="2F854957" w14:textId="77777777" w:rsidR="00B970EF" w:rsidRDefault="00B970EF" w:rsidP="00B970EF">
      <w:pPr>
        <w:spacing w:before="0" w:after="0" w:line="240" w:lineRule="auto"/>
      </w:pPr>
      <w:r w:rsidRPr="001D3237">
        <w:br w:type="page"/>
      </w:r>
    </w:p>
    <w:p w14:paraId="275B6D9E" w14:textId="77777777" w:rsidR="00B970EF" w:rsidRPr="00AB4CF9" w:rsidRDefault="00B970EF" w:rsidP="00B970EF">
      <w:pPr>
        <w:pStyle w:val="TableHeadingcontinued"/>
        <w:rPr>
          <w:snapToGrid w:val="0"/>
        </w:rPr>
      </w:pPr>
      <w:r w:rsidRPr="00AB4CF9">
        <w:lastRenderedPageBreak/>
        <w:t xml:space="preserve">Table 3.1: Comprehensive income statement (showing net cost of services) </w:t>
      </w:r>
      <w:r w:rsidRPr="00AB4CF9">
        <w:rPr>
          <w:snapToGrid w:val="0"/>
        </w:rPr>
        <w:t>for the period ended 30 June (continued)</w:t>
      </w:r>
    </w:p>
    <w:p w14:paraId="79891D2A" w14:textId="77777777" w:rsidR="00B970EF" w:rsidRPr="00C557C1" w:rsidRDefault="00B970EF" w:rsidP="00B970EF">
      <w:pPr>
        <w:pStyle w:val="TableGraphic"/>
        <w:rPr>
          <w:snapToGrid w:val="0"/>
        </w:rPr>
      </w:pPr>
    </w:p>
    <w:p w14:paraId="1C30BB23" w14:textId="77777777" w:rsidR="00B970EF" w:rsidRDefault="00B970EF" w:rsidP="00B970EF">
      <w:pPr>
        <w:pStyle w:val="TableHeading"/>
      </w:pPr>
      <w:r w:rsidRPr="003819E1">
        <w:t>Note: Impact of net cash appropriation arrangements</w:t>
      </w:r>
    </w:p>
    <w:p w14:paraId="1487F054" w14:textId="77777777" w:rsidR="00B970EF" w:rsidRDefault="00B970EF" w:rsidP="00B970EF">
      <w:pPr>
        <w:pStyle w:val="TableGraphic"/>
      </w:pPr>
      <w:r w:rsidRPr="00754DCA">
        <w:rPr>
          <w:noProof/>
        </w:rPr>
        <w:drawing>
          <wp:inline distT="0" distB="0" distL="0" distR="0" wp14:anchorId="47D8137C" wp14:editId="47706120">
            <wp:extent cx="4820920" cy="2150745"/>
            <wp:effectExtent l="0" t="0" r="0" b="1905"/>
            <wp:docPr id="22309585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20920" cy="2150745"/>
                    </a:xfrm>
                    <a:prstGeom prst="rect">
                      <a:avLst/>
                    </a:prstGeom>
                    <a:noFill/>
                    <a:ln>
                      <a:noFill/>
                    </a:ln>
                  </pic:spPr>
                </pic:pic>
              </a:graphicData>
            </a:graphic>
          </wp:inline>
        </w:drawing>
      </w:r>
    </w:p>
    <w:p w14:paraId="3E1B8C59" w14:textId="77777777" w:rsidR="00B970EF" w:rsidRPr="009D54F3" w:rsidRDefault="00B970EF" w:rsidP="00B970EF">
      <w:pPr>
        <w:pStyle w:val="ChartandTableFootnote"/>
        <w:rPr>
          <w:rFonts w:cs="Arial"/>
        </w:rPr>
      </w:pPr>
      <w:r>
        <w:t>Prepared on Australian Accounting Standards basis.</w:t>
      </w:r>
    </w:p>
    <w:p w14:paraId="41E41743" w14:textId="77777777" w:rsidR="00B970EF" w:rsidRPr="00A71243" w:rsidRDefault="00B970EF" w:rsidP="00B970EF">
      <w:pPr>
        <w:pStyle w:val="ChartandTableFootnoteAlpha"/>
        <w:numPr>
          <w:ilvl w:val="0"/>
          <w:numId w:val="7"/>
        </w:numPr>
        <w:spacing w:line="259" w:lineRule="auto"/>
        <w:rPr>
          <w:rFonts w:cs="Arial"/>
          <w:color w:val="auto"/>
          <w:szCs w:val="16"/>
        </w:rPr>
      </w:pPr>
      <w:r w:rsidRPr="00A71243">
        <w:rPr>
          <w:rFonts w:cs="Arial"/>
        </w:rPr>
        <w:t>From 2010</w:t>
      </w:r>
      <w:r>
        <w:rPr>
          <w:rFonts w:cs="Arial"/>
        </w:rPr>
        <w:t>–</w:t>
      </w:r>
      <w:r w:rsidRPr="00A71243">
        <w:rPr>
          <w:rFonts w:cs="Arial"/>
        </w:rPr>
        <w:t>11, the Government introduced net cash appropriation arrangements that provided non</w:t>
      </w:r>
      <w:r w:rsidRPr="00A71243">
        <w:rPr>
          <w:rFonts w:ascii="Cambria Math" w:hAnsi="Cambria Math" w:cs="Cambria Math"/>
        </w:rPr>
        <w:t>‑</w:t>
      </w:r>
      <w:r w:rsidRPr="00A71243">
        <w:rPr>
          <w:rFonts w:cs="Arial"/>
        </w:rPr>
        <w:t>corporate Commonwealth entities with a separate Departmental Capital Budget (DCB) under Appropriation Bill (No. 1). This replaced revenue appropriations provided under Appropriation Bill (No. 1) used for the depreciation/amortisation expenses. For information regarding DCBs, please refer to Table 3.5 Departmental Capital Budget Statement.</w:t>
      </w:r>
    </w:p>
    <w:p w14:paraId="665D3284" w14:textId="77777777" w:rsidR="00B970EF" w:rsidRDefault="00B970EF" w:rsidP="00B970EF">
      <w:pPr>
        <w:pStyle w:val="ChartandTableFootnoteAlpha"/>
        <w:numPr>
          <w:ilvl w:val="0"/>
          <w:numId w:val="4"/>
        </w:numPr>
      </w:pPr>
      <w:r>
        <w:t>Applies leases under AASB 16 Leases.</w:t>
      </w:r>
    </w:p>
    <w:p w14:paraId="2067CF3E" w14:textId="77777777" w:rsidR="00B970EF" w:rsidRDefault="00B970EF" w:rsidP="00B970EF">
      <w:pPr>
        <w:spacing w:before="0" w:after="0" w:line="240" w:lineRule="auto"/>
        <w:rPr>
          <w:highlight w:val="cyan"/>
        </w:rPr>
      </w:pPr>
      <w:r>
        <w:rPr>
          <w:highlight w:val="cyan"/>
        </w:rPr>
        <w:br w:type="page"/>
      </w:r>
    </w:p>
    <w:p w14:paraId="49863678" w14:textId="77777777" w:rsidR="00B970EF" w:rsidRPr="00960553" w:rsidRDefault="00B970EF" w:rsidP="00B970EF">
      <w:pPr>
        <w:pStyle w:val="TableHeading"/>
        <w:rPr>
          <w:rFonts w:ascii="Times New Roman" w:hAnsi="Times New Roman"/>
        </w:rPr>
      </w:pPr>
      <w:r w:rsidRPr="00E4582E">
        <w:lastRenderedPageBreak/>
        <w:t>Table</w:t>
      </w:r>
      <w:r>
        <w:t xml:space="preserve"> 3.</w:t>
      </w:r>
      <w:r w:rsidRPr="00E4582E">
        <w:t>2: Budg</w:t>
      </w:r>
      <w:r>
        <w:t xml:space="preserve">eted departmental balance sheet </w:t>
      </w:r>
      <w:r w:rsidRPr="00E4582E">
        <w:t xml:space="preserve">(as </w:t>
      </w:r>
      <w:proofErr w:type="gramStart"/>
      <w:r w:rsidRPr="00E4582E">
        <w:t>at</w:t>
      </w:r>
      <w:proofErr w:type="gramEnd"/>
      <w:r w:rsidRPr="00E4582E">
        <w:t xml:space="preserve"> 30 June)</w:t>
      </w:r>
    </w:p>
    <w:p w14:paraId="3CE4753B" w14:textId="77777777" w:rsidR="00B970EF" w:rsidRDefault="00B970EF" w:rsidP="00B970EF">
      <w:pPr>
        <w:pStyle w:val="TableGraphic"/>
      </w:pPr>
      <w:r w:rsidRPr="00754DCA">
        <w:rPr>
          <w:noProof/>
        </w:rPr>
        <w:drawing>
          <wp:inline distT="0" distB="0" distL="0" distR="0" wp14:anchorId="3D4AE3BD" wp14:editId="7D0F9EB3">
            <wp:extent cx="4820920" cy="5427980"/>
            <wp:effectExtent l="0" t="0" r="0" b="1270"/>
            <wp:docPr id="23168932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20920" cy="5427980"/>
                    </a:xfrm>
                    <a:prstGeom prst="rect">
                      <a:avLst/>
                    </a:prstGeom>
                    <a:noFill/>
                    <a:ln>
                      <a:noFill/>
                    </a:ln>
                  </pic:spPr>
                </pic:pic>
              </a:graphicData>
            </a:graphic>
          </wp:inline>
        </w:drawing>
      </w:r>
    </w:p>
    <w:p w14:paraId="237237E5" w14:textId="77777777" w:rsidR="00B970EF" w:rsidRPr="00132F9E" w:rsidRDefault="00B970EF" w:rsidP="00B970EF">
      <w:pPr>
        <w:pStyle w:val="ChartandTableFootnote"/>
      </w:pPr>
      <w:r w:rsidRPr="00132F9E">
        <w:t xml:space="preserve">Prepared on </w:t>
      </w:r>
      <w:r w:rsidRPr="00446EE2">
        <w:rPr>
          <w:rStyle w:val="ChartandTableFootnoteChar"/>
        </w:rPr>
        <w:t>Australian</w:t>
      </w:r>
      <w:r w:rsidRPr="00132F9E">
        <w:t xml:space="preserve"> Accounting Standards basis.</w:t>
      </w:r>
    </w:p>
    <w:p w14:paraId="6FD70F66" w14:textId="77777777" w:rsidR="00B970EF" w:rsidRPr="0082593D" w:rsidRDefault="00B970EF" w:rsidP="00B970EF">
      <w:pPr>
        <w:pStyle w:val="ChartandTableFootnote"/>
      </w:pPr>
      <w:r w:rsidRPr="00132F9E">
        <w:rPr>
          <w:rFonts w:cs="Arial"/>
        </w:rPr>
        <w:t>*</w:t>
      </w:r>
      <w:r>
        <w:rPr>
          <w:rFonts w:cs="Arial"/>
        </w:rPr>
        <w:t>’</w:t>
      </w:r>
      <w:r w:rsidRPr="00132F9E">
        <w:rPr>
          <w:rFonts w:cs="Arial"/>
        </w:rPr>
        <w:t>Equity</w:t>
      </w:r>
      <w:r>
        <w:rPr>
          <w:rFonts w:cs="Arial"/>
        </w:rPr>
        <w:t>’</w:t>
      </w:r>
      <w:r w:rsidRPr="00132F9E">
        <w:rPr>
          <w:rFonts w:cs="Arial"/>
        </w:rPr>
        <w:t xml:space="preserve"> is the residual interest in assets after deduction of liabilities.</w:t>
      </w:r>
    </w:p>
    <w:p w14:paraId="2876B9A3" w14:textId="77777777" w:rsidR="00B970EF" w:rsidRDefault="00B970EF" w:rsidP="00B970EF">
      <w:pPr>
        <w:spacing w:before="0" w:after="0" w:line="240" w:lineRule="auto"/>
        <w:rPr>
          <w:highlight w:val="green"/>
        </w:rPr>
      </w:pPr>
      <w:r>
        <w:rPr>
          <w:highlight w:val="green"/>
        </w:rPr>
        <w:br w:type="page"/>
      </w:r>
    </w:p>
    <w:p w14:paraId="6DBC662C" w14:textId="77777777" w:rsidR="00B970EF" w:rsidRPr="00960553" w:rsidRDefault="00B970EF" w:rsidP="00B970EF">
      <w:pPr>
        <w:pStyle w:val="TableHeading"/>
        <w:rPr>
          <w:rFonts w:ascii="Times New Roman" w:hAnsi="Times New Roman"/>
        </w:rPr>
      </w:pPr>
      <w:r w:rsidRPr="00AD42E2">
        <w:lastRenderedPageBreak/>
        <w:t>Table 3.3: Departmental statement of changes in equity</w:t>
      </w:r>
      <w:r>
        <w:t xml:space="preserve"> – </w:t>
      </w:r>
      <w:r w:rsidRPr="00AD42E2">
        <w:t>summary of</w:t>
      </w:r>
      <w:r>
        <w:t xml:space="preserve"> movement (Budget year 2026–27</w:t>
      </w:r>
      <w:r w:rsidRPr="00D30CBA">
        <w:t>)</w:t>
      </w:r>
    </w:p>
    <w:p w14:paraId="6FA89C85" w14:textId="77777777" w:rsidR="00B970EF" w:rsidRPr="00D606C2" w:rsidRDefault="00B970EF" w:rsidP="00B970EF">
      <w:pPr>
        <w:pStyle w:val="TableGraphic"/>
      </w:pPr>
      <w:r w:rsidRPr="00EC48E2">
        <w:rPr>
          <w:noProof/>
        </w:rPr>
        <w:drawing>
          <wp:inline distT="0" distB="0" distL="0" distR="0" wp14:anchorId="5B483F73" wp14:editId="7DB6F385">
            <wp:extent cx="4389120" cy="3299460"/>
            <wp:effectExtent l="0" t="0" r="0" b="0"/>
            <wp:docPr id="57304792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89120" cy="3299460"/>
                    </a:xfrm>
                    <a:prstGeom prst="rect">
                      <a:avLst/>
                    </a:prstGeom>
                    <a:noFill/>
                    <a:ln>
                      <a:noFill/>
                    </a:ln>
                  </pic:spPr>
                </pic:pic>
              </a:graphicData>
            </a:graphic>
          </wp:inline>
        </w:drawing>
      </w:r>
    </w:p>
    <w:p w14:paraId="328981F2" w14:textId="77777777" w:rsidR="00B970EF" w:rsidRPr="00132F9E" w:rsidRDefault="00B970EF" w:rsidP="00B970EF">
      <w:pPr>
        <w:pStyle w:val="ChartandTableFootnote"/>
        <w:rPr>
          <w:szCs w:val="16"/>
        </w:rPr>
      </w:pPr>
      <w:r w:rsidRPr="00D606C2">
        <w:t>Prepared on Australian Accounting Standards basis</w:t>
      </w:r>
      <w:r>
        <w:t xml:space="preserve">. </w:t>
      </w:r>
    </w:p>
    <w:p w14:paraId="604ADC7B" w14:textId="77777777" w:rsidR="00B970EF" w:rsidRDefault="00B970EF" w:rsidP="00B970EF">
      <w:r w:rsidRPr="001D3237">
        <w:br w:type="page"/>
      </w:r>
    </w:p>
    <w:p w14:paraId="32F94409" w14:textId="77777777" w:rsidR="00B970EF" w:rsidRPr="00960553" w:rsidRDefault="00B970EF" w:rsidP="00B970EF">
      <w:pPr>
        <w:pStyle w:val="TableHeading"/>
        <w:rPr>
          <w:rFonts w:ascii="Times New Roman" w:hAnsi="Times New Roman"/>
        </w:rPr>
      </w:pPr>
      <w:r>
        <w:lastRenderedPageBreak/>
        <w:t xml:space="preserve">Table 3.4: </w:t>
      </w:r>
      <w:r w:rsidRPr="00D30CBA">
        <w:t xml:space="preserve">Budgeted </w:t>
      </w:r>
      <w:r>
        <w:t>d</w:t>
      </w:r>
      <w:r w:rsidRPr="00D30CBA">
        <w:t>epar</w:t>
      </w:r>
      <w:r>
        <w:t xml:space="preserve">tmental statement of cash flows </w:t>
      </w:r>
      <w:r w:rsidRPr="00D30CBA">
        <w:t>(</w:t>
      </w:r>
      <w:r>
        <w:t>for the period ended</w:t>
      </w:r>
      <w:r w:rsidRPr="00D30CBA">
        <w:t xml:space="preserve"> 30 June)</w:t>
      </w:r>
    </w:p>
    <w:p w14:paraId="1FB3CF95" w14:textId="77777777" w:rsidR="00B970EF" w:rsidRPr="00A00283" w:rsidRDefault="00B970EF" w:rsidP="00B970EF">
      <w:pPr>
        <w:pStyle w:val="TableGraphic"/>
      </w:pPr>
      <w:r w:rsidRPr="00623E35">
        <w:rPr>
          <w:noProof/>
        </w:rPr>
        <w:drawing>
          <wp:inline distT="0" distB="0" distL="0" distR="0" wp14:anchorId="6EA91FDD" wp14:editId="69384683">
            <wp:extent cx="4820920" cy="5713095"/>
            <wp:effectExtent l="0" t="0" r="0" b="1905"/>
            <wp:docPr id="3785696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20920" cy="5713095"/>
                    </a:xfrm>
                    <a:prstGeom prst="rect">
                      <a:avLst/>
                    </a:prstGeom>
                    <a:noFill/>
                    <a:ln>
                      <a:noFill/>
                    </a:ln>
                  </pic:spPr>
                </pic:pic>
              </a:graphicData>
            </a:graphic>
          </wp:inline>
        </w:drawing>
      </w:r>
    </w:p>
    <w:p w14:paraId="502F5774" w14:textId="77777777" w:rsidR="00B970EF" w:rsidRDefault="00B970EF" w:rsidP="00B970EF">
      <w:pPr>
        <w:pStyle w:val="ChartandTableFootnote"/>
      </w:pPr>
      <w:r w:rsidRPr="00132F9E">
        <w:t>Prepared on Australian Accounting Standards basis.</w:t>
      </w:r>
    </w:p>
    <w:p w14:paraId="433ACC31" w14:textId="77777777" w:rsidR="00B970EF" w:rsidRDefault="00B970EF" w:rsidP="00B970EF">
      <w:r w:rsidRPr="00A9767E">
        <w:br w:type="page"/>
      </w:r>
    </w:p>
    <w:p w14:paraId="41B83F7B" w14:textId="77777777" w:rsidR="00B970EF" w:rsidRPr="00960553" w:rsidRDefault="00B970EF" w:rsidP="00B970EF">
      <w:pPr>
        <w:pStyle w:val="TableHeading"/>
        <w:rPr>
          <w:rFonts w:ascii="Times New Roman" w:hAnsi="Times New Roman"/>
        </w:rPr>
      </w:pPr>
      <w:r w:rsidRPr="00D30CBA">
        <w:lastRenderedPageBreak/>
        <w:t>Table</w:t>
      </w:r>
      <w:r>
        <w:t xml:space="preserve"> 3.5</w:t>
      </w:r>
      <w:r w:rsidRPr="00D30CBA">
        <w:t xml:space="preserve">: </w:t>
      </w:r>
      <w:r>
        <w:t>Departmental capital budget statement (for the period ended 30 June)</w:t>
      </w:r>
    </w:p>
    <w:p w14:paraId="546816B1" w14:textId="77777777" w:rsidR="00B970EF" w:rsidRPr="0043795A" w:rsidRDefault="00B970EF" w:rsidP="00B970EF">
      <w:pPr>
        <w:pStyle w:val="TableGraphic"/>
      </w:pPr>
      <w:r w:rsidRPr="0041789E">
        <w:rPr>
          <w:noProof/>
        </w:rPr>
        <w:drawing>
          <wp:inline distT="0" distB="0" distL="0" distR="0" wp14:anchorId="2EF5F8B7" wp14:editId="2D535840">
            <wp:extent cx="4820920" cy="3255010"/>
            <wp:effectExtent l="0" t="0" r="0" b="2540"/>
            <wp:docPr id="116163818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20920" cy="3255010"/>
                    </a:xfrm>
                    <a:prstGeom prst="rect">
                      <a:avLst/>
                    </a:prstGeom>
                    <a:noFill/>
                    <a:ln>
                      <a:noFill/>
                    </a:ln>
                  </pic:spPr>
                </pic:pic>
              </a:graphicData>
            </a:graphic>
          </wp:inline>
        </w:drawing>
      </w:r>
    </w:p>
    <w:p w14:paraId="383B694E" w14:textId="77777777" w:rsidR="00B970EF" w:rsidRDefault="00B970EF" w:rsidP="00B970EF">
      <w:pPr>
        <w:pStyle w:val="ChartandTableFootnote"/>
      </w:pPr>
      <w:r>
        <w:t>P</w:t>
      </w:r>
      <w:r w:rsidRPr="00132F9E">
        <w:t>repared on Australian Accounting Standards basis.</w:t>
      </w:r>
    </w:p>
    <w:p w14:paraId="5A43A97B" w14:textId="77777777" w:rsidR="00B970EF" w:rsidRPr="00A71243" w:rsidRDefault="00B970EF" w:rsidP="00B970EF">
      <w:pPr>
        <w:pStyle w:val="ChartandTableFootnoteAlpha"/>
        <w:numPr>
          <w:ilvl w:val="0"/>
          <w:numId w:val="8"/>
        </w:numPr>
        <w:rPr>
          <w:rFonts w:cs="Arial"/>
        </w:rPr>
      </w:pPr>
      <w:r w:rsidRPr="00A71243">
        <w:rPr>
          <w:rFonts w:cs="Arial"/>
        </w:rPr>
        <w:t>Includes both current Appropriation Bill (No. 2) and prior Appropriation Act (No. 2/4/6).</w:t>
      </w:r>
    </w:p>
    <w:p w14:paraId="70C9ACD8" w14:textId="77777777" w:rsidR="00B970EF" w:rsidRPr="00132F9E" w:rsidRDefault="00B970EF" w:rsidP="00B970EF">
      <w:pPr>
        <w:pStyle w:val="ChartandTableFootnoteAlpha"/>
        <w:spacing w:line="259" w:lineRule="auto"/>
        <w:rPr>
          <w:rFonts w:cs="Arial"/>
          <w:color w:val="000000" w:themeColor="text1"/>
          <w:szCs w:val="16"/>
        </w:rPr>
      </w:pPr>
      <w:r w:rsidRPr="5D51FF8B">
        <w:rPr>
          <w:rFonts w:cs="Arial"/>
        </w:rPr>
        <w:t>Includes purchases from current and previous years</w:t>
      </w:r>
      <w:r>
        <w:rPr>
          <w:rFonts w:cs="Arial"/>
        </w:rPr>
        <w:t>’</w:t>
      </w:r>
      <w:r w:rsidRPr="5D51FF8B">
        <w:rPr>
          <w:rFonts w:cs="Arial"/>
        </w:rPr>
        <w:t xml:space="preserve"> Departmental Capital Budgets (DCBs).</w:t>
      </w:r>
    </w:p>
    <w:p w14:paraId="03F8E085" w14:textId="77777777" w:rsidR="00B970EF" w:rsidRDefault="00B970EF" w:rsidP="00B970EF">
      <w:pPr>
        <w:pStyle w:val="ChartandTableFootnote-Dash"/>
        <w:ind w:left="0" w:firstLine="0"/>
      </w:pPr>
    </w:p>
    <w:p w14:paraId="7DCA0024" w14:textId="77777777" w:rsidR="00B970EF" w:rsidRDefault="00B970EF" w:rsidP="00B970EF">
      <w:pPr>
        <w:spacing w:before="0" w:after="0" w:line="240" w:lineRule="auto"/>
        <w:rPr>
          <w:rFonts w:ascii="Arial" w:hAnsi="Arial"/>
          <w:sz w:val="16"/>
        </w:rPr>
      </w:pPr>
      <w:r>
        <w:br w:type="page"/>
      </w:r>
    </w:p>
    <w:p w14:paraId="49745D43" w14:textId="77777777" w:rsidR="00B970EF" w:rsidRPr="00960553" w:rsidRDefault="00B970EF" w:rsidP="00B970EF">
      <w:pPr>
        <w:pStyle w:val="TableHeadingcontinued"/>
      </w:pPr>
      <w:r w:rsidRPr="00D30CBA">
        <w:lastRenderedPageBreak/>
        <w:t>Table</w:t>
      </w:r>
      <w:r>
        <w:t xml:space="preserve"> 3.6</w:t>
      </w:r>
      <w:r w:rsidRPr="00D30CBA">
        <w:t xml:space="preserve">: </w:t>
      </w:r>
      <w:r>
        <w:t xml:space="preserve">Statement of departmental asset movements (Budget year 2026–27) </w:t>
      </w:r>
    </w:p>
    <w:p w14:paraId="102ABAAB" w14:textId="77777777" w:rsidR="00B970EF" w:rsidRDefault="00B970EF" w:rsidP="00B970EF">
      <w:pPr>
        <w:pStyle w:val="ChartandTableFootnote"/>
      </w:pPr>
      <w:r w:rsidRPr="00114803">
        <w:rPr>
          <w:noProof/>
        </w:rPr>
        <w:drawing>
          <wp:inline distT="0" distB="0" distL="0" distR="0" wp14:anchorId="716D6BEF" wp14:editId="0DD2A41E">
            <wp:extent cx="4549775" cy="4915535"/>
            <wp:effectExtent l="0" t="0" r="3175" b="0"/>
            <wp:docPr id="100037364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49775" cy="4915535"/>
                    </a:xfrm>
                    <a:prstGeom prst="rect">
                      <a:avLst/>
                    </a:prstGeom>
                    <a:noFill/>
                    <a:ln>
                      <a:noFill/>
                    </a:ln>
                  </pic:spPr>
                </pic:pic>
              </a:graphicData>
            </a:graphic>
          </wp:inline>
        </w:drawing>
      </w:r>
    </w:p>
    <w:p w14:paraId="5247F81A" w14:textId="77777777" w:rsidR="00B970EF" w:rsidRDefault="00B970EF" w:rsidP="00B970EF">
      <w:pPr>
        <w:pStyle w:val="ChartandTableFootnote"/>
      </w:pPr>
      <w:r w:rsidRPr="00132F9E">
        <w:t>Prepared on Australian Accounting Standards basis.</w:t>
      </w:r>
    </w:p>
    <w:p w14:paraId="2E05F050" w14:textId="77777777" w:rsidR="00B970EF" w:rsidRPr="00A71243" w:rsidRDefault="00B970EF" w:rsidP="00B970EF">
      <w:pPr>
        <w:pStyle w:val="ChartandTableFootnoteAlpha"/>
        <w:numPr>
          <w:ilvl w:val="0"/>
          <w:numId w:val="9"/>
        </w:numPr>
        <w:spacing w:line="259" w:lineRule="auto"/>
        <w:rPr>
          <w:rFonts w:cs="Arial"/>
          <w:color w:val="000000" w:themeColor="text1"/>
        </w:rPr>
      </w:pPr>
      <w:r w:rsidRPr="00A71243">
        <w:rPr>
          <w:rFonts w:cs="Arial"/>
        </w:rPr>
        <w:t xml:space="preserve">‘Appropriation equity’ refers to equity injection appropriations provided through </w:t>
      </w:r>
      <w:r w:rsidRPr="00114803">
        <w:rPr>
          <w:rFonts w:cs="Arial"/>
          <w:i/>
          <w:iCs/>
        </w:rPr>
        <w:t>Appropriation Bill (No. 2) 2026–2027</w:t>
      </w:r>
      <w:r>
        <w:rPr>
          <w:rFonts w:cs="Arial"/>
        </w:rPr>
        <w:t xml:space="preserve">. </w:t>
      </w:r>
    </w:p>
    <w:p w14:paraId="34E0F1FF" w14:textId="77777777" w:rsidR="00B970EF" w:rsidRPr="00AF0A7A" w:rsidRDefault="00B970EF" w:rsidP="00B970EF">
      <w:pPr>
        <w:pStyle w:val="ChartandTableFootnoteAlpha"/>
        <w:numPr>
          <w:ilvl w:val="0"/>
          <w:numId w:val="3"/>
        </w:numPr>
        <w:spacing w:line="259" w:lineRule="auto"/>
        <w:rPr>
          <w:rFonts w:cs="Arial"/>
          <w:color w:val="000000" w:themeColor="text1"/>
        </w:rPr>
      </w:pPr>
      <w:r w:rsidRPr="00AF0A7A">
        <w:rPr>
          <w:rFonts w:cs="Arial"/>
        </w:rPr>
        <w:t xml:space="preserve">‘Appropriation ordinary annual services’ refers to funding provided through </w:t>
      </w:r>
      <w:r w:rsidRPr="00114803">
        <w:rPr>
          <w:rFonts w:cs="Arial"/>
          <w:i/>
          <w:iCs/>
        </w:rPr>
        <w:t>Appropriation Bill (No. 1) 2026–2027</w:t>
      </w:r>
      <w:r w:rsidRPr="00AF0A7A">
        <w:rPr>
          <w:rFonts w:cs="Arial"/>
        </w:rPr>
        <w:t xml:space="preserve"> for depreciation/amortisation expenses, DCBs or other operational expenses.</w:t>
      </w:r>
    </w:p>
    <w:p w14:paraId="34B0A1AC" w14:textId="77777777" w:rsidR="00B970EF" w:rsidRDefault="00B970EF" w:rsidP="00B970EF">
      <w:pPr>
        <w:spacing w:before="0" w:after="0" w:line="240" w:lineRule="auto"/>
        <w:rPr>
          <w:rFonts w:ascii="Arial" w:hAnsi="Arial"/>
          <w:sz w:val="16"/>
        </w:rPr>
      </w:pPr>
      <w:r>
        <w:br w:type="page"/>
      </w:r>
    </w:p>
    <w:p w14:paraId="77371BBF" w14:textId="77777777" w:rsidR="00B970EF" w:rsidRDefault="00B970EF" w:rsidP="00B970EF">
      <w:pPr>
        <w:pStyle w:val="TableHeading"/>
        <w:rPr>
          <w:b w:val="0"/>
        </w:rPr>
      </w:pPr>
      <w:r w:rsidRPr="00D30CBA">
        <w:lastRenderedPageBreak/>
        <w:t>Table</w:t>
      </w:r>
      <w:r>
        <w:t xml:space="preserve"> 3.7</w:t>
      </w:r>
      <w:r w:rsidRPr="00D30CBA">
        <w:t xml:space="preserve">: Schedule of </w:t>
      </w:r>
      <w:r>
        <w:t>b</w:t>
      </w:r>
      <w:r w:rsidRPr="00D30CBA">
        <w:t xml:space="preserve">udgeted </w:t>
      </w:r>
      <w:r>
        <w:t>i</w:t>
      </w:r>
      <w:r w:rsidRPr="00D30CBA">
        <w:t xml:space="preserve">ncome and </w:t>
      </w:r>
      <w:r>
        <w:t>e</w:t>
      </w:r>
      <w:r w:rsidRPr="00D30CBA">
        <w:t>xpe</w:t>
      </w:r>
      <w:r>
        <w:t>nses administered on behalf of G</w:t>
      </w:r>
      <w:r w:rsidRPr="00D30CBA">
        <w:t>ove</w:t>
      </w:r>
      <w:r>
        <w:t>rnment (for the period ended 30 </w:t>
      </w:r>
      <w:r w:rsidRPr="00D30CBA">
        <w:t>June)</w:t>
      </w:r>
    </w:p>
    <w:p w14:paraId="18306D8B" w14:textId="77777777" w:rsidR="00B970EF" w:rsidRDefault="00B970EF" w:rsidP="00B970EF">
      <w:pPr>
        <w:pStyle w:val="ChartandTableFootnote"/>
      </w:pPr>
      <w:r w:rsidRPr="009C55C9">
        <w:rPr>
          <w:noProof/>
        </w:rPr>
        <w:drawing>
          <wp:inline distT="0" distB="0" distL="0" distR="0" wp14:anchorId="64EEC2C7" wp14:editId="36B328C1">
            <wp:extent cx="4820920" cy="1726565"/>
            <wp:effectExtent l="0" t="0" r="0" b="6985"/>
            <wp:docPr id="104043660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20920" cy="1726565"/>
                    </a:xfrm>
                    <a:prstGeom prst="rect">
                      <a:avLst/>
                    </a:prstGeom>
                    <a:noFill/>
                    <a:ln>
                      <a:noFill/>
                    </a:ln>
                  </pic:spPr>
                </pic:pic>
              </a:graphicData>
            </a:graphic>
          </wp:inline>
        </w:drawing>
      </w:r>
    </w:p>
    <w:p w14:paraId="14E72A6A" w14:textId="77777777" w:rsidR="00B970EF" w:rsidRPr="00933A7D" w:rsidRDefault="00B970EF" w:rsidP="00B970EF">
      <w:pPr>
        <w:pStyle w:val="ChartandTableFootnote"/>
      </w:pPr>
      <w:r w:rsidRPr="00E4582E">
        <w:t>Prepared on Australian Accounting Standards basis</w:t>
      </w:r>
      <w:r>
        <w:t>.</w:t>
      </w:r>
    </w:p>
    <w:p w14:paraId="0352F1D6" w14:textId="77777777" w:rsidR="00B970EF" w:rsidRDefault="00B970EF" w:rsidP="00B970EF">
      <w:pPr>
        <w:pStyle w:val="ChartandTableFootnote-Dash"/>
        <w:ind w:left="0" w:firstLine="0"/>
      </w:pPr>
    </w:p>
    <w:p w14:paraId="2014639B" w14:textId="77777777" w:rsidR="00B970EF" w:rsidRDefault="00B970EF" w:rsidP="00B970EF">
      <w:pPr>
        <w:pStyle w:val="ChartandTableFootnote-Dash"/>
        <w:ind w:left="0" w:firstLine="0"/>
      </w:pPr>
    </w:p>
    <w:p w14:paraId="493DE204" w14:textId="77777777" w:rsidR="00B970EF" w:rsidRDefault="00B970EF" w:rsidP="00B970EF">
      <w:pPr>
        <w:spacing w:before="0" w:after="0" w:line="240" w:lineRule="auto"/>
        <w:rPr>
          <w:rFonts w:ascii="Arial" w:hAnsi="Arial"/>
          <w:sz w:val="16"/>
        </w:rPr>
      </w:pPr>
      <w:r>
        <w:br w:type="page"/>
      </w:r>
    </w:p>
    <w:p w14:paraId="6614807A" w14:textId="77777777" w:rsidR="00B970EF" w:rsidRPr="00F807F1" w:rsidRDefault="00B970EF" w:rsidP="00B970EF">
      <w:pPr>
        <w:pStyle w:val="TableHeading"/>
        <w:rPr>
          <w:rFonts w:ascii="Times New Roman" w:hAnsi="Times New Roman"/>
        </w:rPr>
      </w:pPr>
      <w:r w:rsidRPr="00D30CBA">
        <w:lastRenderedPageBreak/>
        <w:t>Table</w:t>
      </w:r>
      <w:r>
        <w:t xml:space="preserve"> 3.8</w:t>
      </w:r>
      <w:r w:rsidRPr="00D30CBA">
        <w:t xml:space="preserve">: Schedule of </w:t>
      </w:r>
      <w:r>
        <w:t>b</w:t>
      </w:r>
      <w:r w:rsidRPr="00D30CBA">
        <w:t xml:space="preserve">udgeted </w:t>
      </w:r>
      <w:r>
        <w:t>a</w:t>
      </w:r>
      <w:r w:rsidRPr="00D30CBA">
        <w:t xml:space="preserve">ssets and </w:t>
      </w:r>
      <w:r>
        <w:t>l</w:t>
      </w:r>
      <w:r w:rsidRPr="00D30CBA">
        <w:t xml:space="preserve">iabilities </w:t>
      </w:r>
      <w:r>
        <w:t>a</w:t>
      </w:r>
      <w:r w:rsidRPr="00D30CBA">
        <w:t>dministered o</w:t>
      </w:r>
      <w:r>
        <w:t>n behalf of G</w:t>
      </w:r>
      <w:r w:rsidRPr="00D30CBA">
        <w:t xml:space="preserve">overnment (as </w:t>
      </w:r>
      <w:proofErr w:type="gramStart"/>
      <w:r w:rsidRPr="00D30CBA">
        <w:t>at</w:t>
      </w:r>
      <w:proofErr w:type="gramEnd"/>
      <w:r w:rsidRPr="00D30CBA">
        <w:t xml:space="preserve"> 30 June)</w:t>
      </w:r>
    </w:p>
    <w:p w14:paraId="3B91BE09" w14:textId="77777777" w:rsidR="00B970EF" w:rsidRDefault="00B970EF" w:rsidP="00B970EF">
      <w:pPr>
        <w:pStyle w:val="TableGraphic"/>
        <w:rPr>
          <w:noProof/>
        </w:rPr>
      </w:pPr>
      <w:r w:rsidRPr="00BB3D07">
        <w:rPr>
          <w:noProof/>
        </w:rPr>
        <w:drawing>
          <wp:inline distT="0" distB="0" distL="0" distR="0" wp14:anchorId="122F5380" wp14:editId="3CA311BE">
            <wp:extent cx="4820920" cy="2867660"/>
            <wp:effectExtent l="0" t="0" r="0" b="8890"/>
            <wp:docPr id="64922742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20920" cy="2867660"/>
                    </a:xfrm>
                    <a:prstGeom prst="rect">
                      <a:avLst/>
                    </a:prstGeom>
                    <a:noFill/>
                    <a:ln>
                      <a:noFill/>
                    </a:ln>
                  </pic:spPr>
                </pic:pic>
              </a:graphicData>
            </a:graphic>
          </wp:inline>
        </w:drawing>
      </w:r>
    </w:p>
    <w:p w14:paraId="61342075" w14:textId="77777777" w:rsidR="00B970EF" w:rsidRPr="00B7521F" w:rsidRDefault="00B970EF" w:rsidP="00B970EF">
      <w:pPr>
        <w:pStyle w:val="ChartandTableFootnote"/>
      </w:pPr>
      <w:r w:rsidRPr="00B7521F">
        <w:t>Prepared on Australian Accounting Standards basis.</w:t>
      </w:r>
    </w:p>
    <w:p w14:paraId="27CE0365" w14:textId="77777777" w:rsidR="00B970EF" w:rsidRDefault="00B970EF" w:rsidP="00B970EF">
      <w:pPr>
        <w:pStyle w:val="ChartandTableFootnote-Dash"/>
        <w:ind w:left="0" w:firstLine="0"/>
      </w:pPr>
    </w:p>
    <w:p w14:paraId="2564F9D5" w14:textId="77777777" w:rsidR="00B970EF" w:rsidRDefault="00B970EF" w:rsidP="00B970EF">
      <w:pPr>
        <w:pStyle w:val="ChartandTableFootnote-Dash"/>
        <w:ind w:left="0" w:firstLine="0"/>
      </w:pPr>
    </w:p>
    <w:p w14:paraId="2DD12670" w14:textId="77777777" w:rsidR="00B970EF" w:rsidRDefault="00B970EF" w:rsidP="00B970EF">
      <w:pPr>
        <w:spacing w:before="0" w:after="0" w:line="240" w:lineRule="auto"/>
        <w:rPr>
          <w:rFonts w:ascii="Arial" w:hAnsi="Arial"/>
          <w:sz w:val="16"/>
        </w:rPr>
      </w:pPr>
      <w:r>
        <w:br w:type="page"/>
      </w:r>
    </w:p>
    <w:p w14:paraId="4BBC6A28" w14:textId="77777777" w:rsidR="00B970EF" w:rsidRPr="00F807F1" w:rsidRDefault="00B970EF" w:rsidP="00B970EF">
      <w:pPr>
        <w:pStyle w:val="TableHeading"/>
        <w:rPr>
          <w:rFonts w:ascii="Times New Roman" w:hAnsi="Times New Roman"/>
        </w:rPr>
      </w:pPr>
      <w:r>
        <w:lastRenderedPageBreak/>
        <w:t xml:space="preserve">Table 3.9: </w:t>
      </w:r>
      <w:r w:rsidRPr="00C41D55">
        <w:t xml:space="preserve">Schedule of </w:t>
      </w:r>
      <w:r>
        <w:t xml:space="preserve">budgeted administered cash flows </w:t>
      </w:r>
      <w:r w:rsidRPr="00C41D55">
        <w:t>(for</w:t>
      </w:r>
      <w:r>
        <w:t> the </w:t>
      </w:r>
      <w:r w:rsidRPr="00C41D55">
        <w:t>period ended 30 June)</w:t>
      </w:r>
      <w:r w:rsidRPr="00BD252D">
        <w:rPr>
          <w:b w:val="0"/>
        </w:rPr>
        <w:t xml:space="preserve"> </w:t>
      </w:r>
    </w:p>
    <w:p w14:paraId="164167B6" w14:textId="77777777" w:rsidR="00B970EF" w:rsidRDefault="00B970EF" w:rsidP="00B970EF">
      <w:pPr>
        <w:pStyle w:val="TableGraphic"/>
      </w:pPr>
      <w:r w:rsidRPr="00C8301A">
        <w:rPr>
          <w:noProof/>
        </w:rPr>
        <w:drawing>
          <wp:inline distT="0" distB="0" distL="0" distR="0" wp14:anchorId="56EC815C" wp14:editId="4A2B905F">
            <wp:extent cx="4820920" cy="2574925"/>
            <wp:effectExtent l="0" t="0" r="0" b="0"/>
            <wp:docPr id="183007124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20920" cy="2574925"/>
                    </a:xfrm>
                    <a:prstGeom prst="rect">
                      <a:avLst/>
                    </a:prstGeom>
                    <a:noFill/>
                    <a:ln>
                      <a:noFill/>
                    </a:ln>
                  </pic:spPr>
                </pic:pic>
              </a:graphicData>
            </a:graphic>
          </wp:inline>
        </w:drawing>
      </w:r>
    </w:p>
    <w:p w14:paraId="66346929" w14:textId="77777777" w:rsidR="00B970EF" w:rsidRDefault="00B970EF" w:rsidP="00B970EF">
      <w:pPr>
        <w:pStyle w:val="ChartandTableFootnote"/>
      </w:pPr>
      <w:r w:rsidRPr="000B200F">
        <w:t>Prepared on Australian Accounting Standards basis.</w:t>
      </w:r>
    </w:p>
    <w:p w14:paraId="2E6947B0" w14:textId="77777777" w:rsidR="007D0BAE" w:rsidRDefault="007D0BAE"/>
    <w:sectPr w:rsidR="007D0B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4DE8A" w14:textId="77777777" w:rsidR="00B970EF" w:rsidRDefault="00B970EF" w:rsidP="00B970EF">
      <w:pPr>
        <w:spacing w:before="0" w:after="0" w:line="240" w:lineRule="auto"/>
      </w:pPr>
      <w:r>
        <w:separator/>
      </w:r>
    </w:p>
  </w:endnote>
  <w:endnote w:type="continuationSeparator" w:id="0">
    <w:p w14:paraId="54356D8E" w14:textId="77777777" w:rsidR="00B970EF" w:rsidRDefault="00B970EF" w:rsidP="00B970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B84E0" w14:textId="27288C9C" w:rsidR="00B970EF" w:rsidRDefault="00B970EF">
    <w:pPr>
      <w:pStyle w:val="Footer"/>
    </w:pPr>
    <w:r>
      <w:rPr>
        <w:noProof/>
        <w14:ligatures w14:val="standardContextual"/>
      </w:rPr>
      <mc:AlternateContent>
        <mc:Choice Requires="wps">
          <w:drawing>
            <wp:anchor distT="0" distB="0" distL="0" distR="0" simplePos="0" relativeHeight="251665408" behindDoc="0" locked="0" layoutInCell="1" allowOverlap="1" wp14:anchorId="59A6FAB6" wp14:editId="2ECEE700">
              <wp:simplePos x="635" y="635"/>
              <wp:positionH relativeFrom="page">
                <wp:align>center</wp:align>
              </wp:positionH>
              <wp:positionV relativeFrom="page">
                <wp:align>bottom</wp:align>
              </wp:positionV>
              <wp:extent cx="622300" cy="495300"/>
              <wp:effectExtent l="0" t="0" r="6350" b="0"/>
              <wp:wrapNone/>
              <wp:docPr id="98906091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95300"/>
                      </a:xfrm>
                      <a:prstGeom prst="rect">
                        <a:avLst/>
                      </a:prstGeom>
                      <a:noFill/>
                      <a:ln>
                        <a:noFill/>
                      </a:ln>
                    </wps:spPr>
                    <wps:txbx>
                      <w:txbxContent>
                        <w:p w14:paraId="220EB77B" w14:textId="29A1B73C" w:rsidR="00B970EF" w:rsidRPr="00B970EF" w:rsidRDefault="00B970EF" w:rsidP="00B970EF">
                          <w:pPr>
                            <w:spacing w:after="0"/>
                            <w:rPr>
                              <w:rFonts w:ascii="Aptos" w:eastAsia="Aptos" w:hAnsi="Aptos" w:cs="Aptos"/>
                              <w:noProof/>
                              <w:color w:val="FF0000"/>
                              <w:sz w:val="24"/>
                              <w:szCs w:val="24"/>
                            </w:rPr>
                          </w:pPr>
                          <w:r w:rsidRPr="00B970E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A6FAB6" id="_x0000_t202" coordsize="21600,21600" o:spt="202" path="m,l,21600r21600,l21600,xe">
              <v:stroke joinstyle="miter"/>
              <v:path gradientshapeok="t" o:connecttype="rect"/>
            </v:shapetype>
            <v:shape id="Text Box 5" o:spid="_x0000_s1028" type="#_x0000_t202" alt="OFFICIAL" style="position:absolute;margin-left:0;margin-top:0;width:49pt;height:39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WdpCgIAABwEAAAOAAAAZHJzL2Uyb0RvYy54bWysU01v2zAMvQ/YfxB0X+xka7EacYqsRYYB&#10;QVsgHXpWZCk2IIsCpcTOfv0oOU7abqdhF/mZpPjx+DS/7VvDDgp9A7bk00nOmbISqsbuSv7zefXp&#10;K2c+CFsJA1aV/Kg8v118/DDvXKFmUIOpFDJKYn3RuZLXIbgiy7ysVSv8BJyy5NSArQj0i7usQtFR&#10;9tZkszy/zjrAyiFI5T1Z7wcnX6T8WisZHrX2KjBTcuotpBPTuY1ntpiLYofC1Y08tSH+oYtWNJaK&#10;nlPdiyDYHps/UrWNRPCgw0RCm4HWjVRpBppmmr+bZlMLp9IsRI53Z5r8/0srHw4b94Qs9N+gpwVG&#10;QjrnC0/GOE+vsY1f6pSRnyg8nmlTfWCSjNez2eecPJJcX26uIqYs2eWyQx++K2hZBCVH2koiSxzW&#10;PgyhY0isZWHVGJM2Y+wbA+WMluzSYUSh3/asqV51v4XqSEMhDPv2Tq4aKr0WPjwJpAVTtyTa8EiH&#10;NtCVHE6Isxrw19/sMZ54Jy9nHQmm5JYUzZn5YWkfUVsjwBFsE5je5FeRHrtv74BkOKUX4WSCZMVg&#10;RqgR2heS8zIWIpewksqVfDvCuzAol56DVMtlCiIZORHWduNkTB3pilw+9y8C3YnwQJt6gFFNonjH&#10;+xAbb3q33AdiPy0lUjsQeWKcJJjWenouUeOv/1PU5VEvfgMAAP//AwBQSwMEFAAGAAgAAAAhAPs0&#10;Li3ZAAAAAwEAAA8AAABkcnMvZG93bnJldi54bWxMj0FPwzAMhe9I/IfISNxYyiZg65pOaBKnIaRt&#10;XLhlidcWGqdq3K379xgucLH19Kzn7xWrMbTqhH1qIhm4n2SgkFz0DVUG3vcvd3NQiS1520ZCAxdM&#10;sCqvrwqb+3imLZ52XCkJoZRbAzVzl2udXI3BpknskMQ7xj5YFtlX2vf2LOGh1dMse9TBNiQfatvh&#10;ukb3tRuCgYctvw5vtJ99jNPL56Zbu9lx44y5vRmfl6AYR/47hh98QYdSmA5xIJ9Ua0CK8O8UbzEX&#10;dTDwJFuXhf7PXn4DAAD//wMAUEsBAi0AFAAGAAgAAAAhALaDOJL+AAAA4QEAABMAAAAAAAAAAAAA&#10;AAAAAAAAAFtDb250ZW50X1R5cGVzXS54bWxQSwECLQAUAAYACAAAACEAOP0h/9YAAACUAQAACwAA&#10;AAAAAAAAAAAAAAAvAQAAX3JlbHMvLnJlbHNQSwECLQAUAAYACAAAACEA+4FnaQoCAAAcBAAADgAA&#10;AAAAAAAAAAAAAAAuAgAAZHJzL2Uyb0RvYy54bWxQSwECLQAUAAYACAAAACEA+zQuLdkAAAADAQAA&#10;DwAAAAAAAAAAAAAAAABkBAAAZHJzL2Rvd25yZXYueG1sUEsFBgAAAAAEAAQA8wAAAGoFAAAAAA==&#10;" filled="f" stroked="f">
              <v:fill o:detectmouseclick="t"/>
              <v:textbox style="mso-fit-shape-to-text:t" inset="0,0,0,15pt">
                <w:txbxContent>
                  <w:p w14:paraId="220EB77B" w14:textId="29A1B73C" w:rsidR="00B970EF" w:rsidRPr="00B970EF" w:rsidRDefault="00B970EF" w:rsidP="00B970EF">
                    <w:pPr>
                      <w:spacing w:after="0"/>
                      <w:rPr>
                        <w:rFonts w:ascii="Aptos" w:eastAsia="Aptos" w:hAnsi="Aptos" w:cs="Aptos"/>
                        <w:noProof/>
                        <w:color w:val="FF0000"/>
                        <w:sz w:val="24"/>
                        <w:szCs w:val="24"/>
                      </w:rPr>
                    </w:pPr>
                    <w:r w:rsidRPr="00B970EF">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E173" w14:textId="31D294DB" w:rsidR="00B970EF" w:rsidRDefault="00B970EF">
    <w:pPr>
      <w:pStyle w:val="Footer"/>
    </w:pPr>
    <w:r>
      <w:rPr>
        <w:noProof/>
        <w14:ligatures w14:val="standardContextual"/>
      </w:rPr>
      <mc:AlternateContent>
        <mc:Choice Requires="wps">
          <w:drawing>
            <wp:anchor distT="0" distB="0" distL="0" distR="0" simplePos="0" relativeHeight="251666432" behindDoc="0" locked="0" layoutInCell="1" allowOverlap="1" wp14:anchorId="76A55F23" wp14:editId="7EEE9156">
              <wp:simplePos x="635" y="635"/>
              <wp:positionH relativeFrom="page">
                <wp:align>center</wp:align>
              </wp:positionH>
              <wp:positionV relativeFrom="page">
                <wp:align>bottom</wp:align>
              </wp:positionV>
              <wp:extent cx="622300" cy="495300"/>
              <wp:effectExtent l="0" t="0" r="6350" b="0"/>
              <wp:wrapNone/>
              <wp:docPr id="87711583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95300"/>
                      </a:xfrm>
                      <a:prstGeom prst="rect">
                        <a:avLst/>
                      </a:prstGeom>
                      <a:noFill/>
                      <a:ln>
                        <a:noFill/>
                      </a:ln>
                    </wps:spPr>
                    <wps:txbx>
                      <w:txbxContent>
                        <w:p w14:paraId="33D4FC77" w14:textId="0CE625CB" w:rsidR="00B970EF" w:rsidRPr="00B970EF" w:rsidRDefault="00B970EF" w:rsidP="00B970EF">
                          <w:pPr>
                            <w:spacing w:after="0"/>
                            <w:rPr>
                              <w:rFonts w:ascii="Aptos" w:eastAsia="Aptos" w:hAnsi="Aptos" w:cs="Aptos"/>
                              <w:noProof/>
                              <w:color w:val="FF0000"/>
                              <w:sz w:val="24"/>
                              <w:szCs w:val="24"/>
                            </w:rPr>
                          </w:pPr>
                          <w:r w:rsidRPr="00B970E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A55F23" id="_x0000_t202" coordsize="21600,21600" o:spt="202" path="m,l,21600r21600,l21600,xe">
              <v:stroke joinstyle="miter"/>
              <v:path gradientshapeok="t" o:connecttype="rect"/>
            </v:shapetype>
            <v:shape id="Text Box 6" o:spid="_x0000_s1029" type="#_x0000_t202" alt="OFFICIAL" style="position:absolute;margin-left:0;margin-top:0;width:49pt;height:39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K2fDAIAABwEAAAOAAAAZHJzL2Uyb0RvYy54bWysU01v2zAMvQ/YfxB0X+xkS7EacYqsRYYB&#10;QVsgHXpWZCk2YIkCpcTOfv0oOU62bqdhF/mZpPjx+LS4603Ljgp9A7bk00nOmbISqsbuS/79Zf3h&#10;M2c+CFuJFqwq+Ul5frd8/27RuULNoIa2UsgoifVF50peh+CKLPOyVkb4CThlyakBjQj0i/usQtFR&#10;dtNmszy/yTrAyiFI5T1ZHwYnX6b8WisZnrT2KrC25NRbSCemcxfPbLkQxR6Fqxt5bkP8QxdGNJaK&#10;XlI9iCDYAZs/UplGInjQYSLBZKB1I1WagaaZ5m+m2dbCqTQLkePdhSb//9LKx+PWPSML/RfoaYGR&#10;kM75wpMxztNrNPFLnTLyE4WnC22qD0yS8WY2+5iTR5Lr0+08YsqSXS879OGrAsMiKDnSVhJZ4rjx&#10;YQgdQ2ItC+umbdNmWvubgXJGS3btMKLQ73rWVCWfj93voDrRUAjDvr2T64ZKb4QPzwJpwdQtiTY8&#10;0aFb6EoOZ8RZDfjjb/YYT7yTl7OOBFNyS4rmrP1maR9RWyPAEewSmN7m80iPPZh7IBlO6UU4mSBZ&#10;MbQj1AjmleS8ioXIJaykciXfjfA+DMql5yDVapWCSEZOhI3dOhlTR7oily/9q0B3JjzQph5hVJMo&#10;3vA+xMab3q0OgdhPS4nUDkSeGScJprWen0vU+K//Ker6qJc/AQAA//8DAFBLAwQUAAYACAAAACEA&#10;+zQuLdkAAAADAQAADwAAAGRycy9kb3ducmV2LnhtbEyPQU/DMAyF70j8h8hI3FjKJmDrmk5oEqch&#10;pG1cuGWJ1xYap2rcrfv3GC5wsfX0rOfvFasxtOqEfWoiGbifZKCQXPQNVQbe9y93c1CJLXnbRkID&#10;F0ywKq+vCpv7eKYtnnZcKQmhlFsDNXOXa51cjcGmSeyQxDvGPlgW2Vfa9/Ys4aHV0yx71ME2JB9q&#10;2+G6Rve1G4KBhy2/Dm+0n32M08vnplu72XHjjLm9GZ+XoBhH/juGH3xBh1KYDnEgn1RrQIrw7xRv&#10;MRd1MPAkW5eF/s9efgMAAP//AwBQSwECLQAUAAYACAAAACEAtoM4kv4AAADhAQAAEwAAAAAAAAAA&#10;AAAAAAAAAAAAW0NvbnRlbnRfVHlwZXNdLnhtbFBLAQItABQABgAIAAAAIQA4/SH/1gAAAJQBAAAL&#10;AAAAAAAAAAAAAAAAAC8BAABfcmVscy8ucmVsc1BLAQItABQABgAIAAAAIQBPfK2fDAIAABwEAAAO&#10;AAAAAAAAAAAAAAAAAC4CAABkcnMvZTJvRG9jLnhtbFBLAQItABQABgAIAAAAIQD7NC4t2QAAAAMB&#10;AAAPAAAAAAAAAAAAAAAAAGYEAABkcnMvZG93bnJldi54bWxQSwUGAAAAAAQABADzAAAAbAUAAAAA&#10;" filled="f" stroked="f">
              <v:fill o:detectmouseclick="t"/>
              <v:textbox style="mso-fit-shape-to-text:t" inset="0,0,0,15pt">
                <w:txbxContent>
                  <w:p w14:paraId="33D4FC77" w14:textId="0CE625CB" w:rsidR="00B970EF" w:rsidRPr="00B970EF" w:rsidRDefault="00B970EF" w:rsidP="00B970EF">
                    <w:pPr>
                      <w:spacing w:after="0"/>
                      <w:rPr>
                        <w:rFonts w:ascii="Aptos" w:eastAsia="Aptos" w:hAnsi="Aptos" w:cs="Aptos"/>
                        <w:noProof/>
                        <w:color w:val="FF0000"/>
                        <w:sz w:val="24"/>
                        <w:szCs w:val="24"/>
                      </w:rPr>
                    </w:pPr>
                    <w:r w:rsidRPr="00B970EF">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17EA" w14:textId="68B89A96" w:rsidR="00B970EF" w:rsidRPr="001808A4" w:rsidRDefault="00B970EF" w:rsidP="0049200C">
    <w:pPr>
      <w:pStyle w:val="FooterBase"/>
    </w:pPr>
    <w:r>
      <w:rPr>
        <w:noProof/>
        <w14:ligatures w14:val="standardContextual"/>
      </w:rPr>
      <mc:AlternateContent>
        <mc:Choice Requires="wps">
          <w:drawing>
            <wp:anchor distT="0" distB="0" distL="0" distR="0" simplePos="0" relativeHeight="251664384" behindDoc="0" locked="0" layoutInCell="1" allowOverlap="1" wp14:anchorId="0D0F5984" wp14:editId="2368A855">
              <wp:simplePos x="635" y="635"/>
              <wp:positionH relativeFrom="page">
                <wp:align>center</wp:align>
              </wp:positionH>
              <wp:positionV relativeFrom="page">
                <wp:align>bottom</wp:align>
              </wp:positionV>
              <wp:extent cx="622300" cy="495300"/>
              <wp:effectExtent l="0" t="0" r="6350" b="0"/>
              <wp:wrapNone/>
              <wp:docPr id="39315250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95300"/>
                      </a:xfrm>
                      <a:prstGeom prst="rect">
                        <a:avLst/>
                      </a:prstGeom>
                      <a:noFill/>
                      <a:ln>
                        <a:noFill/>
                      </a:ln>
                    </wps:spPr>
                    <wps:txbx>
                      <w:txbxContent>
                        <w:p w14:paraId="46946A9F" w14:textId="46CB372B" w:rsidR="00B970EF" w:rsidRPr="00B970EF" w:rsidRDefault="00B970EF" w:rsidP="00B970EF">
                          <w:pPr>
                            <w:spacing w:after="0"/>
                            <w:rPr>
                              <w:rFonts w:ascii="Aptos" w:eastAsia="Aptos" w:hAnsi="Aptos" w:cs="Aptos"/>
                              <w:noProof/>
                              <w:color w:val="FF0000"/>
                              <w:sz w:val="24"/>
                              <w:szCs w:val="24"/>
                            </w:rPr>
                          </w:pPr>
                          <w:r w:rsidRPr="00B970E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0F5984"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39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9tGCAIAABUEAAAOAAAAZHJzL2Uyb0RvYy54bWysU01v2zAMvQ/YfxB0X+xka7EacYqsRYYB&#10;RVsgHXpWZDk2IIkCpcTOfv0o2U62bqdhF/mZpPjx+LS87Y1mR4W+BVvy+SznTFkJVWv3Jf/+svnw&#10;mTMfhK2EBqtKflKe367ev1t2rlALaEBXChklsb7oXMmbEFyRZV42ygg/A6csOWtAIwL94j6rUHSU&#10;3ehskefXWQdYOQSpvCfr/eDkq5S/rpUMT3XtVWC65NRbSCemcxfPbLUUxR6Fa1o5tiH+oQsjWktF&#10;z6nuRRDsgO0fqUwrETzUYSbBZFDXrVRpBppmnr+ZZtsIp9IsRI53Z5r8/0srH49b94ws9F+gpwVG&#10;QjrnC0/GOE9fo4lf6pSRnyg8nWlTfWCSjNeLxcecPJJcn26uIqYs2eWyQx++KjAsgpIjbSWRJY4P&#10;PgyhU0isZWHTap02o+1vBsoZLdmlw4hCv+vHtndQnWgahGHR3slNSzUfhA/PAmmz1CapNTzRUWvo&#10;Sg4j4qwB/PE3e4wnwsnLWUdKKbklKXOmv1laRBTVBHACuwTmN/lV5MUezB2Q/ub0FJxMkKwY9ARr&#10;BPNKOl7HQuQSVlK5ku8meBcGydI7kGq9TkGkHyfCg906GVNHniKJL/2rQDcyHWhFjzDJSBRvCB9i&#10;403v1odAtKdtRE4HIkeqSXtpn+M7ieL+9T9FXV7z6icAAAD//wMAUEsDBBQABgAIAAAAIQD7NC4t&#10;2QAAAAMBAAAPAAAAZHJzL2Rvd25yZXYueG1sTI9BT8MwDIXvSPyHyEjcWMomYOuaTmgSpyGkbVy4&#10;ZYnXFhqnatyt+/cYLnCx9fSs5+8VqzG06oR9aiIZuJ9koJBc9A1VBt73L3dzUIktedtGQgMXTLAq&#10;r68Km/t4pi2edlwpCaGUWwM1c5drnVyNwaZJ7JDEO8Y+WBbZV9r39izhodXTLHvUwTYkH2rb4bpG&#10;97UbgoGHLb8Ob7SffYzTy+emW7vZceOMub0Zn5egGEf+O4YffEGHUpgOcSCfVGtAivDvFG8xF3Uw&#10;8CRbl4X+z15+AwAA//8DAFBLAQItABQABgAIAAAAIQC2gziS/gAAAOEBAAATAAAAAAAAAAAAAAAA&#10;AAAAAABbQ29udGVudF9UeXBlc10ueG1sUEsBAi0AFAAGAAgAAAAhADj9If/WAAAAlAEAAAsAAAAA&#10;AAAAAAAAAAAALwEAAF9yZWxzLy5yZWxzUEsBAi0AFAAGAAgAAAAhAOPL20YIAgAAFQQAAA4AAAAA&#10;AAAAAAAAAAAALgIAAGRycy9lMm9Eb2MueG1sUEsBAi0AFAAGAAgAAAAhAPs0Li3ZAAAAAwEAAA8A&#10;AAAAAAAAAAAAAAAAYgQAAGRycy9kb3ducmV2LnhtbFBLBQYAAAAABAAEAPMAAABoBQAAAAA=&#10;" filled="f" stroked="f">
              <v:fill o:detectmouseclick="t"/>
              <v:textbox style="mso-fit-shape-to-text:t" inset="0,0,0,15pt">
                <w:txbxContent>
                  <w:p w14:paraId="46946A9F" w14:textId="46CB372B" w:rsidR="00B970EF" w:rsidRPr="00B970EF" w:rsidRDefault="00B970EF" w:rsidP="00B970EF">
                    <w:pPr>
                      <w:spacing w:after="0"/>
                      <w:rPr>
                        <w:rFonts w:ascii="Aptos" w:eastAsia="Aptos" w:hAnsi="Aptos" w:cs="Aptos"/>
                        <w:noProof/>
                        <w:color w:val="FF0000"/>
                        <w:sz w:val="24"/>
                        <w:szCs w:val="24"/>
                      </w:rPr>
                    </w:pPr>
                    <w:r w:rsidRPr="00B970EF">
                      <w:rPr>
                        <w:rFonts w:ascii="Aptos" w:eastAsia="Aptos" w:hAnsi="Aptos" w:cs="Aptos"/>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09A5F" w14:textId="4ACFCB9D" w:rsidR="00B970EF" w:rsidRPr="001808A4" w:rsidRDefault="00B970EF" w:rsidP="004C1439">
    <w:pPr>
      <w:pStyle w:val="FooterOdd"/>
    </w:pPr>
    <w:r>
      <w:rPr>
        <w:noProof/>
        <w14:ligatures w14:val="standardContextual"/>
      </w:rPr>
      <mc:AlternateContent>
        <mc:Choice Requires="wps">
          <w:drawing>
            <wp:anchor distT="0" distB="0" distL="0" distR="0" simplePos="0" relativeHeight="251667456" behindDoc="0" locked="0" layoutInCell="1" allowOverlap="1" wp14:anchorId="3A22A579" wp14:editId="00629EFB">
              <wp:simplePos x="635" y="635"/>
              <wp:positionH relativeFrom="page">
                <wp:align>center</wp:align>
              </wp:positionH>
              <wp:positionV relativeFrom="page">
                <wp:align>bottom</wp:align>
              </wp:positionV>
              <wp:extent cx="622300" cy="495300"/>
              <wp:effectExtent l="0" t="0" r="6350" b="0"/>
              <wp:wrapNone/>
              <wp:docPr id="127093208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95300"/>
                      </a:xfrm>
                      <a:prstGeom prst="rect">
                        <a:avLst/>
                      </a:prstGeom>
                      <a:noFill/>
                      <a:ln>
                        <a:noFill/>
                      </a:ln>
                    </wps:spPr>
                    <wps:txbx>
                      <w:txbxContent>
                        <w:p w14:paraId="2058721D" w14:textId="7C1E8FDC" w:rsidR="00B970EF" w:rsidRPr="00B970EF" w:rsidRDefault="00B970EF" w:rsidP="00B970EF">
                          <w:pPr>
                            <w:spacing w:after="0"/>
                            <w:rPr>
                              <w:rFonts w:ascii="Aptos" w:eastAsia="Aptos" w:hAnsi="Aptos" w:cs="Aptos"/>
                              <w:noProof/>
                              <w:color w:val="FF0000"/>
                              <w:sz w:val="24"/>
                              <w:szCs w:val="24"/>
                            </w:rPr>
                          </w:pPr>
                          <w:r w:rsidRPr="00B970E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22A579" id="_x0000_t202" coordsize="21600,21600" o:spt="202" path="m,l,21600r21600,l21600,xe">
              <v:stroke joinstyle="miter"/>
              <v:path gradientshapeok="t" o:connecttype="rect"/>
            </v:shapetype>
            <v:shape id="Text Box 7" o:spid="_x0000_s1032" type="#_x0000_t202" alt="OFFICIAL" style="position:absolute;left:0;text-align:left;margin-left:0;margin-top:0;width:49pt;height:39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XrZCwIAABwEAAAOAAAAZHJzL2Uyb0RvYy54bWysU01v2zAMvQ/YfxB0X+xka7EacYqsRYYB&#10;QVsgHXpWZDk2IIkCpcTOfv0oOU62rqdiF/mZpPjx+DS/7Y1mB4W+BVvy6STnTFkJVWt3Jf/5vPr0&#10;lTMfhK2EBqtKflSe3y4+fph3rlAzaEBXChklsb7oXMmbEFyRZV42ygg/AacsOWtAIwL94i6rUHSU&#10;3ehslufXWQdYOQSpvCfr/eDki5S/rpUMj3XtVWC65NRbSCemcxvPbDEXxQ6Fa1p5akO8owsjWktF&#10;z6nuRRBsj+0/qUwrETzUYSLBZFDXrVRpBppmmr+aZtMIp9IsRI53Z5r8/0srHw4b94Qs9N+gpwVG&#10;QjrnC0/GOE9fo4lf6pSRnyg8nmlTfWCSjNez2eecPJJcX26uIqYs2eWyQx++KzAsgpIjbSWRJQ5r&#10;H4bQMSTWsrBqtU6b0fYvA+WMluzSYUSh3/asraiRsfstVEcaCmHYt3dy1VLptfDhSSAtmLol0YZH&#10;OmoNXcnhhDhrAH+9ZY/xxDt5OetIMCW3pGjO9A9L+4jaGgGOYJvA9Ca/ivTYvbkDkuGUXoSTCZIV&#10;gx5hjWBeSM7LWIhcwkoqV/LtCO/CoFx6DlItlymIZOREWNuNkzF1pCty+dy/CHQnwgNt6gFGNYni&#10;Fe9DbLzp3XIfiP20lEjtQOSJcZJgWuvpuUSN//mfoi6PevEbAAD//wMAUEsDBBQABgAIAAAAIQD7&#10;NC4t2QAAAAMBAAAPAAAAZHJzL2Rvd25yZXYueG1sTI9BT8MwDIXvSPyHyEjcWMomYOuaTmgSpyGk&#10;bVy4ZYnXFhqnatyt+/cYLnCx9fSs5+8VqzG06oR9aiIZuJ9koJBc9A1VBt73L3dzUIktedtGQgMX&#10;TLAqr68Km/t4pi2edlwpCaGUWwM1c5drnVyNwaZJ7JDEO8Y+WBbZV9r39izhodXTLHvUwTYkH2rb&#10;4bpG97UbgoGHLb8Ob7SffYzTy+emW7vZceOMub0Zn5egGEf+O4YffEGHUpgOcSCfVGtAivDvFG8x&#10;F3Uw8CRbl4X+z15+AwAA//8DAFBLAQItABQABgAIAAAAIQC2gziS/gAAAOEBAAATAAAAAAAAAAAA&#10;AAAAAAAAAABbQ29udGVudF9UeXBlc10ueG1sUEsBAi0AFAAGAAgAAAAhADj9If/WAAAAlAEAAAsA&#10;AAAAAAAAAAAAAAAALwEAAF9yZWxzLy5yZWxzUEsBAi0AFAAGAAgAAAAhAPi9etkLAgAAHAQAAA4A&#10;AAAAAAAAAAAAAAAALgIAAGRycy9lMm9Eb2MueG1sUEsBAi0AFAAGAAgAAAAhAPs0Li3ZAAAAAwEA&#10;AA8AAAAAAAAAAAAAAAAAZQQAAGRycy9kb3ducmV2LnhtbFBLBQYAAAAABAAEAPMAAABrBQAAAAA=&#10;" filled="f" stroked="f">
              <v:fill o:detectmouseclick="t"/>
              <v:textbox style="mso-fit-shape-to-text:t" inset="0,0,0,15pt">
                <w:txbxContent>
                  <w:p w14:paraId="2058721D" w14:textId="7C1E8FDC" w:rsidR="00B970EF" w:rsidRPr="00B970EF" w:rsidRDefault="00B970EF" w:rsidP="00B970EF">
                    <w:pPr>
                      <w:spacing w:after="0"/>
                      <w:rPr>
                        <w:rFonts w:ascii="Aptos" w:eastAsia="Aptos" w:hAnsi="Aptos" w:cs="Aptos"/>
                        <w:noProof/>
                        <w:color w:val="FF0000"/>
                        <w:sz w:val="24"/>
                        <w:szCs w:val="24"/>
                      </w:rPr>
                    </w:pPr>
                    <w:r w:rsidRPr="00B970EF">
                      <w:rPr>
                        <w:rFonts w:ascii="Aptos" w:eastAsia="Aptos" w:hAnsi="Aptos" w:cs="Aptos"/>
                        <w:noProof/>
                        <w:color w:val="FF0000"/>
                        <w:sz w:val="24"/>
                        <w:szCs w:val="24"/>
                      </w:rPr>
                      <w:t>OFFICIAL</w:t>
                    </w:r>
                  </w:p>
                </w:txbxContent>
              </v:textbox>
              <w10:wrap anchorx="page" anchory="page"/>
            </v:shape>
          </w:pict>
        </mc:Fallback>
      </mc:AlternateContent>
    </w:r>
    <w:r>
      <w:fldChar w:fldCharType="begin"/>
    </w:r>
    <w:r>
      <w:instrText>STYLEREF  "Part Heading"  \* MERGEFORMAT</w:instrText>
    </w:r>
    <w:r>
      <w:fldChar w:fldCharType="separate"/>
    </w:r>
    <w:r>
      <w:rPr>
        <w:noProof/>
      </w:rPr>
      <w:t>Australian Trade and Investment Commission</w:t>
    </w:r>
    <w:r>
      <w:rPr>
        <w:noProof/>
      </w:rPr>
      <w:fldChar w:fldCharType="end"/>
    </w:r>
    <w:r w:rsidRPr="0066112F">
      <w:t> | </w:t>
    </w:r>
    <w:r w:rsidRPr="0066112F">
      <w:rPr>
        <w:rStyle w:val="PageNumber"/>
        <w:b/>
        <w:bCs/>
      </w:rPr>
      <w:t xml:space="preserve">Page </w:t>
    </w:r>
    <w:r w:rsidRPr="0066112F">
      <w:rPr>
        <w:rStyle w:val="PageNumber"/>
        <w:b/>
        <w:bCs/>
      </w:rPr>
      <w:fldChar w:fldCharType="begin"/>
    </w:r>
    <w:r w:rsidRPr="0066112F">
      <w:rPr>
        <w:rStyle w:val="PageNumber"/>
        <w:b/>
        <w:bCs/>
      </w:rPr>
      <w:instrText xml:space="preserve"> PAGE  \* Arabic </w:instrText>
    </w:r>
    <w:r w:rsidRPr="0066112F">
      <w:rPr>
        <w:rStyle w:val="PageNumber"/>
        <w:b/>
        <w:bCs/>
      </w:rPr>
      <w:fldChar w:fldCharType="separate"/>
    </w:r>
    <w:r w:rsidRPr="0066112F">
      <w:rPr>
        <w:rStyle w:val="PageNumber"/>
        <w:b/>
        <w:bCs/>
      </w:rPr>
      <w:t>1</w:t>
    </w:r>
    <w:r w:rsidRPr="0066112F">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0A153" w14:textId="77777777" w:rsidR="00B970EF" w:rsidRDefault="00B970EF" w:rsidP="00B970EF">
      <w:pPr>
        <w:spacing w:before="0" w:after="0" w:line="240" w:lineRule="auto"/>
      </w:pPr>
      <w:r>
        <w:separator/>
      </w:r>
    </w:p>
  </w:footnote>
  <w:footnote w:type="continuationSeparator" w:id="0">
    <w:p w14:paraId="569B6937" w14:textId="77777777" w:rsidR="00B970EF" w:rsidRDefault="00B970EF" w:rsidP="00B970E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4A6A1" w14:textId="28217FA7" w:rsidR="00B970EF" w:rsidRDefault="00B970EF">
    <w:pPr>
      <w:pStyle w:val="Header"/>
    </w:pPr>
    <w:r>
      <w:rPr>
        <w:noProof/>
        <w14:ligatures w14:val="standardContextual"/>
      </w:rPr>
      <mc:AlternateContent>
        <mc:Choice Requires="wps">
          <w:drawing>
            <wp:anchor distT="0" distB="0" distL="0" distR="0" simplePos="0" relativeHeight="251662336" behindDoc="0" locked="0" layoutInCell="1" allowOverlap="1" wp14:anchorId="282AE77C" wp14:editId="68C818DC">
              <wp:simplePos x="635" y="635"/>
              <wp:positionH relativeFrom="page">
                <wp:align>center</wp:align>
              </wp:positionH>
              <wp:positionV relativeFrom="page">
                <wp:align>top</wp:align>
              </wp:positionV>
              <wp:extent cx="622300" cy="495300"/>
              <wp:effectExtent l="0" t="0" r="6350" b="0"/>
              <wp:wrapNone/>
              <wp:docPr id="41715358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5300"/>
                      </a:xfrm>
                      <a:prstGeom prst="rect">
                        <a:avLst/>
                      </a:prstGeom>
                      <a:noFill/>
                      <a:ln>
                        <a:noFill/>
                      </a:ln>
                    </wps:spPr>
                    <wps:txbx>
                      <w:txbxContent>
                        <w:p w14:paraId="646AB14D" w14:textId="6C20D5D3" w:rsidR="00B970EF" w:rsidRPr="00B970EF" w:rsidRDefault="00B970EF" w:rsidP="00B970EF">
                          <w:pPr>
                            <w:spacing w:after="0"/>
                            <w:rPr>
                              <w:rFonts w:ascii="Aptos" w:eastAsia="Aptos" w:hAnsi="Aptos" w:cs="Aptos"/>
                              <w:noProof/>
                              <w:color w:val="FF0000"/>
                              <w:sz w:val="24"/>
                              <w:szCs w:val="24"/>
                            </w:rPr>
                          </w:pPr>
                          <w:r w:rsidRPr="00B970E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2AE77C" id="_x0000_t202" coordsize="21600,21600" o:spt="202" path="m,l,21600r21600,l21600,xe">
              <v:stroke joinstyle="miter"/>
              <v:path gradientshapeok="t" o:connecttype="rect"/>
            </v:shapetype>
            <v:shape id="Text Box 2" o:spid="_x0000_s1026" type="#_x0000_t202" alt="OFFICIAL" style="position:absolute;margin-left:0;margin-top:0;width:49pt;height:39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OmDAIAABwEAAAOAAAAZHJzL2Uyb0RvYy54bWysU8Fu2zAMvQ/YPwi6L3bStViNOEXWIsOA&#10;oC2QDj0rshQbkEVBYmJnXz9KjpOu22nYRaZJ6pF8fJrf9a1hB+VDA7bk00nOmbISqsbuSv7jZfXp&#10;C2cBha2EAatKflSB3y0+fph3rlAzqMFUyjMCsaHoXMlrRFdkWZC1akWYgFOWghp8K5B+/S6rvOgI&#10;vTXZLM9vsg585TxIFQJ5H4YgXyR8rZXEJ62DQmZKTr1hOn06t/HMFnNR7LxwdSNPbYh/6KIVjaWi&#10;Z6gHgYLtffMHVNtIDwE0TiS0GWjdSJVmoGmm+btpNrVwKs1C5AR3pin8P1j5eNi4Z8+w/wo9LTAS&#10;0rlQBHLGeXrt2/ilThnFicLjmTbVI5PkvJnNrnKKSAp9vr2ONqFkl8vOB/ymoGXRKLmnrSSyxGEd&#10;cEgdU2ItC6vGmLQZY39zEGb0ZJcOo4X9tmdNVfKrsfstVEcaysOw7+DkqqHSaxHwWXhaMHVLosUn&#10;OrSBruRwsjirwf/8mz/mE+8U5awjwZTckqI5M98t7SNqKxnT2/w6kuFH93Y07L69B5LhlF6Ek8mM&#10;eWhGU3toX0nOy1iIQsJKKldyHM17HJRLz0Gq5TIlkYycwLXdOBmhI12Ry5f+VXh3IhxpU48wqkkU&#10;73gfcuPN4JZ7JPbTUiK1A5EnxkmCaa2n5xI1/vY/ZV0e9eIXAAAA//8DAFBLAwQUAAYACAAAACEA&#10;GMfyktgAAAADAQAADwAAAGRycy9kb3ducmV2LnhtbEyPQU/CQBCF7yT8h82YeJNtTVCs3RJCwoEb&#10;InpeukNb7M423QEqv97Ri1xm8vImb76XzwffqjP2sQlkIJ0koJDK4BqqDOzeVw8zUJEtOdsGQgPf&#10;GGFejEe5zVy40Buet1wpCaGYWQM1c5dpHcsavY2T0CGJdwi9tyyyr7Tr7UXCfasfk+RJe9uQfKht&#10;h8say6/tyRtopovAKX6sV8dPn4b0ullPrxtj7u+GxSsoxoH/j+EXX9ChEKZ9OJGLqjUgRfhvivcy&#10;E7U38CxbF7m+ZS9+AAAA//8DAFBLAQItABQABgAIAAAAIQC2gziS/gAAAOEBAAATAAAAAAAAAAAA&#10;AAAAAAAAAABbQ29udGVudF9UeXBlc10ueG1sUEsBAi0AFAAGAAgAAAAhADj9If/WAAAAlAEAAAsA&#10;AAAAAAAAAAAAAAAALwEAAF9yZWxzLy5yZWxzUEsBAi0AFAAGAAgAAAAhAL84U6YMAgAAHAQAAA4A&#10;AAAAAAAAAAAAAAAALgIAAGRycy9lMm9Eb2MueG1sUEsBAi0AFAAGAAgAAAAhABjH8pLYAAAAAwEA&#10;AA8AAAAAAAAAAAAAAAAAZgQAAGRycy9kb3ducmV2LnhtbFBLBQYAAAAABAAEAPMAAABrBQAAAAA=&#10;" filled="f" stroked="f">
              <v:fill o:detectmouseclick="t"/>
              <v:textbox style="mso-fit-shape-to-text:t" inset="0,15pt,0,0">
                <w:txbxContent>
                  <w:p w14:paraId="646AB14D" w14:textId="6C20D5D3" w:rsidR="00B970EF" w:rsidRPr="00B970EF" w:rsidRDefault="00B970EF" w:rsidP="00B970EF">
                    <w:pPr>
                      <w:spacing w:after="0"/>
                      <w:rPr>
                        <w:rFonts w:ascii="Aptos" w:eastAsia="Aptos" w:hAnsi="Aptos" w:cs="Aptos"/>
                        <w:noProof/>
                        <w:color w:val="FF0000"/>
                        <w:sz w:val="24"/>
                        <w:szCs w:val="24"/>
                      </w:rPr>
                    </w:pPr>
                    <w:r w:rsidRPr="00B970EF">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CBB96" w14:textId="2F5CE75E" w:rsidR="00B970EF" w:rsidRDefault="00B970EF">
    <w:pPr>
      <w:pStyle w:val="Header"/>
    </w:pPr>
    <w:r>
      <w:rPr>
        <w:noProof/>
        <w14:ligatures w14:val="standardContextual"/>
      </w:rPr>
      <mc:AlternateContent>
        <mc:Choice Requires="wps">
          <w:drawing>
            <wp:anchor distT="0" distB="0" distL="0" distR="0" simplePos="0" relativeHeight="251663360" behindDoc="0" locked="0" layoutInCell="1" allowOverlap="1" wp14:anchorId="1A24BD18" wp14:editId="59CF8A28">
              <wp:simplePos x="635" y="635"/>
              <wp:positionH relativeFrom="page">
                <wp:align>center</wp:align>
              </wp:positionH>
              <wp:positionV relativeFrom="page">
                <wp:align>top</wp:align>
              </wp:positionV>
              <wp:extent cx="622300" cy="495300"/>
              <wp:effectExtent l="0" t="0" r="6350" b="0"/>
              <wp:wrapNone/>
              <wp:docPr id="178171901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5300"/>
                      </a:xfrm>
                      <a:prstGeom prst="rect">
                        <a:avLst/>
                      </a:prstGeom>
                      <a:noFill/>
                      <a:ln>
                        <a:noFill/>
                      </a:ln>
                    </wps:spPr>
                    <wps:txbx>
                      <w:txbxContent>
                        <w:p w14:paraId="5A9129A3" w14:textId="0DF73606" w:rsidR="00B970EF" w:rsidRPr="00B970EF" w:rsidRDefault="00B970EF" w:rsidP="00B970EF">
                          <w:pPr>
                            <w:spacing w:after="0"/>
                            <w:rPr>
                              <w:rFonts w:ascii="Aptos" w:eastAsia="Aptos" w:hAnsi="Aptos" w:cs="Aptos"/>
                              <w:noProof/>
                              <w:color w:val="FF0000"/>
                              <w:sz w:val="24"/>
                              <w:szCs w:val="24"/>
                            </w:rPr>
                          </w:pPr>
                          <w:r w:rsidRPr="00B970E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24BD18" id="_x0000_t202" coordsize="21600,21600" o:spt="202" path="m,l,21600r21600,l21600,xe">
              <v:stroke joinstyle="miter"/>
              <v:path gradientshapeok="t" o:connecttype="rect"/>
            </v:shapetype>
            <v:shape id="Text Box 3" o:spid="_x0000_s1027" type="#_x0000_t202" alt="OFFICIAL" style="position:absolute;margin-left:0;margin-top:0;width:49pt;height:39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E4WCwIAABwEAAAOAAAAZHJzL2Uyb0RvYy54bWysU8Fu2zAMvQ/YPwi6L3aytViNOEXWIsOA&#10;oC2QDj0rshwbkERBYmJnXz9KjpOt66nYRaZJ6pF8fJrf9kazg/KhBVvy6STnTFkJVWt3Jf/5vPr0&#10;lbOAwlZCg1UlP6rAbxcfP8w7V6gZNKAr5RmB2FB0ruQNoiuyLMhGGREm4JSlYA3eCKRfv8sqLzpC&#10;Nzqb5fl11oGvnAepQiDv/RDki4Rf10riY10HhUyXnHrDdPp0buOZLeai2Hnhmlae2hDv6MKI1lLR&#10;M9S9QMH2vv0HyrTSQ4AaJxJMBnXdSpVmoGmm+atpNo1wKs1C5AR3pin8P1j5cNi4J8+w/wY9LTAS&#10;0rlQBHLGefram/ilThnFicLjmTbVI5PkvJ7NPucUkRT6cnMVbULJLpedD/hdgWHRKLmnrSSyxGEd&#10;cEgdU2ItC6tW67QZbf9yEGb0ZJcOo4X9tmdtRcXH7rdQHWkoD8O+g5OrlkqvRcAn4WnB1C2JFh/p&#10;qDV0JYeTxVkD/tdb/phPvFOUs44EU3JLiuZM/7C0j6itZExv8qtIhh/d29Gwe3MHJMMpvQgnkxnz&#10;UI9m7cG8kJyXsRCFhJVUruQ4mnc4KJeeg1TLZUoiGTmBa7txMkJHuiKXz/2L8O5EONKmHmBUkyhe&#10;8T7kxpvBLfdI7KelRGoHIk+MkwTTWk/PJWr8z/+UdXnUi98AAAD//wMAUEsDBBQABgAIAAAAIQAY&#10;x/KS2AAAAAMBAAAPAAAAZHJzL2Rvd25yZXYueG1sTI9BT8JAEIXvJPyHzZh4k21NUKzdEkLCgRsi&#10;el66Q1vszjbdASq/3tGLXGby8iZvvpfPB9+qM/axCWQgnSSgkMrgGqoM7N5XDzNQkS052wZCA98Y&#10;YV6MR7nNXLjQG563XCkJoZhZAzVzl2kdyxq9jZPQIYl3CL23LLKvtOvtRcJ9qx+T5El725B8qG2H&#10;yxrLr+3JG2imi8ApfqxXx0+fhvS6WU+vG2Pu74bFKyjGgf+P4Rdf0KEQpn04kYuqNSBF+G+K9zIT&#10;tTfwLFsXub5lL34AAAD//wMAUEsBAi0AFAAGAAgAAAAhALaDOJL+AAAA4QEAABMAAAAAAAAAAAAA&#10;AAAAAAAAAFtDb250ZW50X1R5cGVzXS54bWxQSwECLQAUAAYACAAAACEAOP0h/9YAAACUAQAACwAA&#10;AAAAAAAAAAAAAAAvAQAAX3JlbHMvLnJlbHNQSwECLQAUAAYACAAAACEAvAROFgsCAAAcBAAADgAA&#10;AAAAAAAAAAAAAAAuAgAAZHJzL2Uyb0RvYy54bWxQSwECLQAUAAYACAAAACEAGMfyktgAAAADAQAA&#10;DwAAAAAAAAAAAAAAAABlBAAAZHJzL2Rvd25yZXYueG1sUEsFBgAAAAAEAAQA8wAAAGoFAAAAAA==&#10;" filled="f" stroked="f">
              <v:fill o:detectmouseclick="t"/>
              <v:textbox style="mso-fit-shape-to-text:t" inset="0,15pt,0,0">
                <w:txbxContent>
                  <w:p w14:paraId="5A9129A3" w14:textId="0DF73606" w:rsidR="00B970EF" w:rsidRPr="00B970EF" w:rsidRDefault="00B970EF" w:rsidP="00B970EF">
                    <w:pPr>
                      <w:spacing w:after="0"/>
                      <w:rPr>
                        <w:rFonts w:ascii="Aptos" w:eastAsia="Aptos" w:hAnsi="Aptos" w:cs="Aptos"/>
                        <w:noProof/>
                        <w:color w:val="FF0000"/>
                        <w:sz w:val="24"/>
                        <w:szCs w:val="24"/>
                      </w:rPr>
                    </w:pPr>
                    <w:r w:rsidRPr="00B970EF">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9A59C" w14:textId="4E0E9F07" w:rsidR="00B970EF" w:rsidRDefault="00B970EF">
    <w:pPr>
      <w:pStyle w:val="Header"/>
    </w:pPr>
    <w:r>
      <w:rPr>
        <w:noProof/>
        <w14:ligatures w14:val="standardContextual"/>
      </w:rPr>
      <mc:AlternateContent>
        <mc:Choice Requires="wps">
          <w:drawing>
            <wp:anchor distT="0" distB="0" distL="0" distR="0" simplePos="0" relativeHeight="251661312" behindDoc="0" locked="0" layoutInCell="1" allowOverlap="1" wp14:anchorId="21F7AF27" wp14:editId="523A2FE9">
              <wp:simplePos x="635" y="635"/>
              <wp:positionH relativeFrom="page">
                <wp:align>center</wp:align>
              </wp:positionH>
              <wp:positionV relativeFrom="page">
                <wp:align>top</wp:align>
              </wp:positionV>
              <wp:extent cx="622300" cy="495300"/>
              <wp:effectExtent l="0" t="0" r="6350" b="0"/>
              <wp:wrapNone/>
              <wp:docPr id="25729297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5300"/>
                      </a:xfrm>
                      <a:prstGeom prst="rect">
                        <a:avLst/>
                      </a:prstGeom>
                      <a:noFill/>
                      <a:ln>
                        <a:noFill/>
                      </a:ln>
                    </wps:spPr>
                    <wps:txbx>
                      <w:txbxContent>
                        <w:p w14:paraId="2E123A21" w14:textId="0C4CCD1F" w:rsidR="00B970EF" w:rsidRPr="00B970EF" w:rsidRDefault="00B970EF" w:rsidP="00B970EF">
                          <w:pPr>
                            <w:spacing w:after="0"/>
                            <w:rPr>
                              <w:rFonts w:ascii="Aptos" w:eastAsia="Aptos" w:hAnsi="Aptos" w:cs="Aptos"/>
                              <w:noProof/>
                              <w:color w:val="FF0000"/>
                              <w:sz w:val="24"/>
                              <w:szCs w:val="24"/>
                            </w:rPr>
                          </w:pPr>
                          <w:r w:rsidRPr="00B970E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F7AF27" id="_x0000_t202" coordsize="21600,21600" o:spt="202" path="m,l,21600r21600,l21600,xe">
              <v:stroke joinstyle="miter"/>
              <v:path gradientshapeok="t" o:connecttype="rect"/>
            </v:shapetype>
            <v:shape id="Text Box 1" o:spid="_x0000_s1030" type="#_x0000_t202" alt="OFFICIAL" style="position:absolute;margin-left:0;margin-top:0;width:49pt;height:39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GbCwIAABwEAAAOAAAAZHJzL2Uyb0RvYy54bWysU8Fu2zAMvQ/YPwi6L3aytViNOEXWIsOA&#10;oC2QDj0rshwbkERBYmJnXz9KjpOt66nYRaZJ6pF8fJrf9kazg/KhBVvy6STnTFkJVWt3Jf/5vPr0&#10;lbOAwlZCg1UlP6rAbxcfP8w7V6gZNKAr5RmB2FB0ruQNoiuyLMhGGREm4JSlYA3eCKRfv8sqLzpC&#10;Nzqb5fl11oGvnAepQiDv/RDki4Rf10riY10HhUyXnHrDdPp0buOZLeai2Hnhmlae2hDv6MKI1lLR&#10;M9S9QMH2vv0HyrTSQ4AaJxJMBnXdSpVmoGmm+atpNo1wKs1C5AR3pin8P1j5cNi4J8+w/wY9LTAS&#10;0rlQBHLGefram/ilThnFicLjmTbVI5PkvJ7NPucUkRT6cnMVbULJLpedD/hdgWHRKLmnrSSyxGEd&#10;cEgdU2ItC6tW67QZbf9yEGb0ZJcOo4X9tmdtVfLZ2P0WqiMN5WHYd3By1VLptQj4JDwtmLol0eIj&#10;HbWGruRwsjhrwP96yx/ziXeKctaRYEpuSdGc6R+W9hG1lYzpTX4VyfCjezsadm/ugGQ4pRfhZDJj&#10;HurRrD2YF5LzMhaikLCSypUcR/MOB+XSc5BquUxJJCMncG03TkboSFfk8rl/Ed6dCEfa1AOMahLF&#10;K96H3HgzuOUeif20lEjtQOSJcZJgWuvpuUSN//mfsi6PevEbAAD//wMAUEsDBBQABgAIAAAAIQAY&#10;x/KS2AAAAAMBAAAPAAAAZHJzL2Rvd25yZXYueG1sTI9BT8JAEIXvJPyHzZh4k21NUKzdEkLCgRsi&#10;el66Q1vszjbdASq/3tGLXGby8iZvvpfPB9+qM/axCWQgnSSgkMrgGqoM7N5XDzNQkS052wZCA98Y&#10;YV6MR7nNXLjQG563XCkJoZhZAzVzl2kdyxq9jZPQIYl3CL23LLKvtOvtRcJ9qx+T5El725B8qG2H&#10;yxrLr+3JG2imi8ApfqxXx0+fhvS6WU+vG2Pu74bFKyjGgf+P4Rdf0KEQpn04kYuqNSBF+G+K9zIT&#10;tTfwLFsXub5lL34AAAD//wMAUEsBAi0AFAAGAAgAAAAhALaDOJL+AAAA4QEAABMAAAAAAAAAAAAA&#10;AAAAAAAAAFtDb250ZW50X1R5cGVzXS54bWxQSwECLQAUAAYACAAAACEAOP0h/9YAAACUAQAACwAA&#10;AAAAAAAAAAAAAAAvAQAAX3JlbHMvLnJlbHNQSwECLQAUAAYACAAAACEA0ofhmwsCAAAcBAAADgAA&#10;AAAAAAAAAAAAAAAuAgAAZHJzL2Uyb0RvYy54bWxQSwECLQAUAAYACAAAACEAGMfyktgAAAADAQAA&#10;DwAAAAAAAAAAAAAAAABlBAAAZHJzL2Rvd25yZXYueG1sUEsFBgAAAAAEAAQA8wAAAGoFAAAAAA==&#10;" filled="f" stroked="f">
              <v:fill o:detectmouseclick="t"/>
              <v:textbox style="mso-fit-shape-to-text:t" inset="0,15pt,0,0">
                <w:txbxContent>
                  <w:p w14:paraId="2E123A21" w14:textId="0C4CCD1F" w:rsidR="00B970EF" w:rsidRPr="00B970EF" w:rsidRDefault="00B970EF" w:rsidP="00B970EF">
                    <w:pPr>
                      <w:spacing w:after="0"/>
                      <w:rPr>
                        <w:rFonts w:ascii="Aptos" w:eastAsia="Aptos" w:hAnsi="Aptos" w:cs="Aptos"/>
                        <w:noProof/>
                        <w:color w:val="FF0000"/>
                        <w:sz w:val="24"/>
                        <w:szCs w:val="24"/>
                      </w:rPr>
                    </w:pPr>
                    <w:r w:rsidRPr="00B970EF">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85843"/>
    <w:multiLevelType w:val="multilevel"/>
    <w:tmpl w:val="9F449486"/>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7C27E5E"/>
    <w:multiLevelType w:val="hybridMultilevel"/>
    <w:tmpl w:val="6D68D15C"/>
    <w:lvl w:ilvl="0" w:tplc="460CC8FC">
      <w:start w:val="1"/>
      <w:numFmt w:val="decimal"/>
      <w:lvlText w:val="%1."/>
      <w:lvlJc w:val="left"/>
      <w:pPr>
        <w:ind w:left="566"/>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1" w:tplc="F36E5A80">
      <w:start w:val="1"/>
      <w:numFmt w:val="lowerLetter"/>
      <w:lvlText w:val="%2"/>
      <w:lvlJc w:val="left"/>
      <w:pPr>
        <w:ind w:left="1080"/>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2" w:tplc="6938F09E">
      <w:start w:val="1"/>
      <w:numFmt w:val="lowerRoman"/>
      <w:lvlText w:val="%3"/>
      <w:lvlJc w:val="left"/>
      <w:pPr>
        <w:ind w:left="1800"/>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3" w:tplc="685C0DAA">
      <w:start w:val="1"/>
      <w:numFmt w:val="decimal"/>
      <w:lvlText w:val="%4"/>
      <w:lvlJc w:val="left"/>
      <w:pPr>
        <w:ind w:left="2520"/>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4" w:tplc="B76C3574">
      <w:start w:val="1"/>
      <w:numFmt w:val="lowerLetter"/>
      <w:lvlText w:val="%5"/>
      <w:lvlJc w:val="left"/>
      <w:pPr>
        <w:ind w:left="3240"/>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5" w:tplc="2336165C">
      <w:start w:val="1"/>
      <w:numFmt w:val="lowerRoman"/>
      <w:lvlText w:val="%6"/>
      <w:lvlJc w:val="left"/>
      <w:pPr>
        <w:ind w:left="3960"/>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6" w:tplc="0686BAFA">
      <w:start w:val="1"/>
      <w:numFmt w:val="decimal"/>
      <w:lvlText w:val="%7"/>
      <w:lvlJc w:val="left"/>
      <w:pPr>
        <w:ind w:left="4680"/>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7" w:tplc="974EFC38">
      <w:start w:val="1"/>
      <w:numFmt w:val="lowerLetter"/>
      <w:lvlText w:val="%8"/>
      <w:lvlJc w:val="left"/>
      <w:pPr>
        <w:ind w:left="5400"/>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lvl w:ilvl="8" w:tplc="8BBC2058">
      <w:start w:val="1"/>
      <w:numFmt w:val="lowerRoman"/>
      <w:lvlText w:val="%9"/>
      <w:lvlJc w:val="left"/>
      <w:pPr>
        <w:ind w:left="6120"/>
      </w:pPr>
      <w:rPr>
        <w:rFonts w:ascii="Book Antiqua" w:eastAsia="Book Antiqua" w:hAnsi="Book Antiqua" w:cs="Book Antiqua"/>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 w15:restartNumberingAfterBreak="0">
    <w:nsid w:val="53022F3B"/>
    <w:multiLevelType w:val="hybridMultilevel"/>
    <w:tmpl w:val="5D5CE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87671259">
    <w:abstractNumId w:val="2"/>
  </w:num>
  <w:num w:numId="2" w16cid:durableId="1597788870">
    <w:abstractNumId w:val="0"/>
    <w:lvlOverride w:ilvl="0">
      <w:startOverride w:val="1"/>
    </w:lvlOverride>
  </w:num>
  <w:num w:numId="3" w16cid:durableId="1013149554">
    <w:abstractNumId w:val="0"/>
    <w:lvlOverride w:ilvl="0">
      <w:startOverride w:val="1"/>
    </w:lvlOverride>
  </w:num>
  <w:num w:numId="4" w16cid:durableId="548541650">
    <w:abstractNumId w:val="0"/>
    <w:lvlOverride w:ilvl="0">
      <w:startOverride w:val="1"/>
    </w:lvlOverride>
  </w:num>
  <w:num w:numId="5" w16cid:durableId="811142526">
    <w:abstractNumId w:val="0"/>
    <w:lvlOverride w:ilvl="0">
      <w:startOverride w:val="1"/>
    </w:lvlOverride>
  </w:num>
  <w:num w:numId="6" w16cid:durableId="316081104">
    <w:abstractNumId w:val="0"/>
  </w:num>
  <w:num w:numId="7" w16cid:durableId="1469446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7050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14071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0178043">
    <w:abstractNumId w:val="1"/>
  </w:num>
  <w:num w:numId="11" w16cid:durableId="96607078">
    <w:abstractNumId w:val="3"/>
  </w:num>
  <w:num w:numId="12" w16cid:durableId="283318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53729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20708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24105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0EF"/>
    <w:rsid w:val="001A717F"/>
    <w:rsid w:val="00542BC1"/>
    <w:rsid w:val="007D0BAE"/>
    <w:rsid w:val="008C274F"/>
    <w:rsid w:val="00B970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1CEBEF"/>
  <w15:chartTrackingRefBased/>
  <w15:docId w15:val="{B42AC93E-D300-468D-A2EB-29A2EAAC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 w:unhideWhenUsed="1"/>
    <w:lsdException w:name="toc 2" w:semiHidden="1" w:uiPriority="2"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0EF"/>
    <w:pPr>
      <w:spacing w:before="240" w:after="240" w:line="240" w:lineRule="exact"/>
    </w:pPr>
    <w:rPr>
      <w:rFonts w:ascii="Book Antiqua" w:eastAsia="Times New Roman" w:hAnsi="Book Antiqua" w:cs="Times New Roman"/>
      <w:kern w:val="0"/>
      <w:sz w:val="19"/>
      <w:szCs w:val="20"/>
      <w:lang w:eastAsia="en-AU"/>
      <w14:ligatures w14:val="none"/>
    </w:rPr>
  </w:style>
  <w:style w:type="paragraph" w:styleId="Heading1">
    <w:name w:val="heading 1"/>
    <w:basedOn w:val="Normal"/>
    <w:next w:val="Normal"/>
    <w:link w:val="Heading1Char"/>
    <w:qFormat/>
    <w:rsid w:val="00B970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970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970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B970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0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0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0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0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0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70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970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B970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B970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0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0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0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0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0EF"/>
    <w:rPr>
      <w:rFonts w:eastAsiaTheme="majorEastAsia" w:cstheme="majorBidi"/>
      <w:color w:val="272727" w:themeColor="text1" w:themeTint="D8"/>
    </w:rPr>
  </w:style>
  <w:style w:type="paragraph" w:styleId="Title">
    <w:name w:val="Title"/>
    <w:basedOn w:val="Normal"/>
    <w:next w:val="Normal"/>
    <w:link w:val="TitleChar"/>
    <w:uiPriority w:val="10"/>
    <w:qFormat/>
    <w:rsid w:val="00B970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0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0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0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0EF"/>
    <w:pPr>
      <w:spacing w:before="160"/>
      <w:jc w:val="center"/>
    </w:pPr>
    <w:rPr>
      <w:i/>
      <w:iCs/>
      <w:color w:val="404040" w:themeColor="text1" w:themeTint="BF"/>
    </w:rPr>
  </w:style>
  <w:style w:type="character" w:customStyle="1" w:styleId="QuoteChar">
    <w:name w:val="Quote Char"/>
    <w:basedOn w:val="DefaultParagraphFont"/>
    <w:link w:val="Quote"/>
    <w:uiPriority w:val="29"/>
    <w:rsid w:val="00B970EF"/>
    <w:rPr>
      <w:i/>
      <w:iCs/>
      <w:color w:val="404040" w:themeColor="text1" w:themeTint="BF"/>
    </w:rPr>
  </w:style>
  <w:style w:type="paragraph" w:styleId="ListParagraph">
    <w:name w:val="List Paragraph"/>
    <w:aliases w:val="Recommendation,List Paragraph1,Bulleted Para,NFP GP Bulleted List,bullet point list,List Paragraph11,L,Bullet points,Content descriptions,Bullet Point,DDM Gen Text,CV text,Table text,F5 List Paragraph,Dot pt,List Paragraph111,FooterText,列"/>
    <w:basedOn w:val="Normal"/>
    <w:link w:val="ListParagraphChar"/>
    <w:uiPriority w:val="34"/>
    <w:qFormat/>
    <w:rsid w:val="00B970EF"/>
    <w:pPr>
      <w:ind w:left="720"/>
      <w:contextualSpacing/>
    </w:pPr>
  </w:style>
  <w:style w:type="character" w:styleId="IntenseEmphasis">
    <w:name w:val="Intense Emphasis"/>
    <w:basedOn w:val="DefaultParagraphFont"/>
    <w:uiPriority w:val="21"/>
    <w:qFormat/>
    <w:rsid w:val="00B970EF"/>
    <w:rPr>
      <w:i/>
      <w:iCs/>
      <w:color w:val="0F4761" w:themeColor="accent1" w:themeShade="BF"/>
    </w:rPr>
  </w:style>
  <w:style w:type="paragraph" w:styleId="IntenseQuote">
    <w:name w:val="Intense Quote"/>
    <w:basedOn w:val="Normal"/>
    <w:next w:val="Normal"/>
    <w:link w:val="IntenseQuoteChar"/>
    <w:uiPriority w:val="30"/>
    <w:qFormat/>
    <w:rsid w:val="00B970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0EF"/>
    <w:rPr>
      <w:i/>
      <w:iCs/>
      <w:color w:val="0F4761" w:themeColor="accent1" w:themeShade="BF"/>
    </w:rPr>
  </w:style>
  <w:style w:type="character" w:styleId="IntenseReference">
    <w:name w:val="Intense Reference"/>
    <w:basedOn w:val="DefaultParagraphFont"/>
    <w:uiPriority w:val="32"/>
    <w:qFormat/>
    <w:rsid w:val="00B970EF"/>
    <w:rPr>
      <w:b/>
      <w:bCs/>
      <w:smallCaps/>
      <w:color w:val="0F4761" w:themeColor="accent1" w:themeShade="BF"/>
      <w:spacing w:val="5"/>
    </w:rPr>
  </w:style>
  <w:style w:type="paragraph" w:customStyle="1" w:styleId="SingleParagraph">
    <w:name w:val="Single Paragraph"/>
    <w:basedOn w:val="Normal"/>
    <w:rsid w:val="00B970EF"/>
    <w:pPr>
      <w:spacing w:before="0" w:after="0" w:line="240" w:lineRule="auto"/>
    </w:pPr>
  </w:style>
  <w:style w:type="paragraph" w:customStyle="1" w:styleId="TableHeading">
    <w:name w:val="Table Heading"/>
    <w:basedOn w:val="Normal"/>
    <w:next w:val="TableGraphic"/>
    <w:link w:val="TableHeadingChar"/>
    <w:qFormat/>
    <w:rsid w:val="00B970EF"/>
    <w:pPr>
      <w:keepNext/>
      <w:spacing w:before="120" w:after="20" w:line="240" w:lineRule="auto"/>
    </w:pPr>
    <w:rPr>
      <w:rFonts w:ascii="Arial" w:hAnsi="Arial"/>
      <w:b/>
      <w:sz w:val="20"/>
    </w:rPr>
  </w:style>
  <w:style w:type="paragraph" w:customStyle="1" w:styleId="ChartandTableFootnoteAlpha">
    <w:name w:val="Chart and Table Footnote Alpha"/>
    <w:basedOn w:val="Normal"/>
    <w:next w:val="Normal"/>
    <w:rsid w:val="00B970EF"/>
    <w:pPr>
      <w:numPr>
        <w:numId w:val="2"/>
      </w:numPr>
      <w:spacing w:before="30" w:after="0" w:line="240" w:lineRule="auto"/>
    </w:pPr>
    <w:rPr>
      <w:rFonts w:ascii="Arial" w:hAnsi="Arial"/>
      <w:color w:val="000000"/>
      <w:sz w:val="16"/>
    </w:rPr>
  </w:style>
  <w:style w:type="paragraph" w:customStyle="1" w:styleId="ChartandTableFootnote">
    <w:name w:val="Chart and Table Footnote"/>
    <w:basedOn w:val="Normal"/>
    <w:next w:val="Normal"/>
    <w:link w:val="ChartandTableFootnoteChar"/>
    <w:rsid w:val="00B970EF"/>
    <w:pPr>
      <w:tabs>
        <w:tab w:val="left" w:pos="709"/>
      </w:tabs>
      <w:spacing w:before="30" w:after="0" w:line="240" w:lineRule="auto"/>
    </w:pPr>
    <w:rPr>
      <w:rFonts w:ascii="Arial" w:hAnsi="Arial"/>
      <w:color w:val="000000"/>
      <w:sz w:val="16"/>
    </w:rPr>
  </w:style>
  <w:style w:type="paragraph" w:customStyle="1" w:styleId="ContentsHeading">
    <w:name w:val="Contents Heading"/>
    <w:basedOn w:val="Normal"/>
    <w:next w:val="Normal"/>
    <w:rsid w:val="00B970EF"/>
    <w:pPr>
      <w:keepNext/>
      <w:spacing w:before="0" w:after="720" w:line="240" w:lineRule="auto"/>
    </w:pPr>
    <w:rPr>
      <w:rFonts w:ascii="Arial" w:hAnsi="Arial"/>
      <w:b/>
      <w:bCs/>
      <w:sz w:val="36"/>
    </w:rPr>
  </w:style>
  <w:style w:type="paragraph" w:customStyle="1" w:styleId="TableGraphic">
    <w:name w:val="Table Graphic"/>
    <w:basedOn w:val="Normal"/>
    <w:next w:val="Normal"/>
    <w:rsid w:val="00B970EF"/>
    <w:pPr>
      <w:spacing w:before="0" w:after="0" w:line="240" w:lineRule="auto"/>
      <w:ind w:right="-113"/>
    </w:pPr>
  </w:style>
  <w:style w:type="paragraph" w:customStyle="1" w:styleId="TableTextLeft">
    <w:name w:val="Table Text Left"/>
    <w:basedOn w:val="Normal"/>
    <w:link w:val="TableTextLeftChar"/>
    <w:rsid w:val="00B970EF"/>
    <w:pPr>
      <w:spacing w:before="20" w:after="20" w:line="240" w:lineRule="auto"/>
    </w:pPr>
    <w:rPr>
      <w:rFonts w:ascii="Arial" w:hAnsi="Arial"/>
      <w:sz w:val="16"/>
    </w:rPr>
  </w:style>
  <w:style w:type="paragraph" w:customStyle="1" w:styleId="TableColumnHeadingLeft">
    <w:name w:val="Table Column Heading Left"/>
    <w:basedOn w:val="Normal"/>
    <w:next w:val="Normal"/>
    <w:rsid w:val="00B970EF"/>
    <w:pPr>
      <w:spacing w:before="40" w:after="40" w:line="240" w:lineRule="auto"/>
    </w:pPr>
    <w:rPr>
      <w:rFonts w:ascii="Arial Bold" w:hAnsi="Arial Bold"/>
      <w:b/>
      <w:sz w:val="16"/>
    </w:rPr>
  </w:style>
  <w:style w:type="paragraph" w:customStyle="1" w:styleId="TableHeadingcontinued">
    <w:name w:val="Table Heading continued"/>
    <w:basedOn w:val="Normal"/>
    <w:next w:val="TableGraphic"/>
    <w:rsid w:val="00B970EF"/>
    <w:pPr>
      <w:keepNext/>
      <w:spacing w:before="120" w:after="20" w:line="240" w:lineRule="auto"/>
    </w:pPr>
    <w:rPr>
      <w:rFonts w:ascii="Arial Bold" w:hAnsi="Arial Bold"/>
      <w:b/>
      <w:sz w:val="20"/>
    </w:rPr>
  </w:style>
  <w:style w:type="paragraph" w:customStyle="1" w:styleId="FooterBase">
    <w:name w:val="Footer Base"/>
    <w:rsid w:val="00B970EF"/>
    <w:pPr>
      <w:spacing w:after="0" w:line="240" w:lineRule="auto"/>
      <w:jc w:val="center"/>
    </w:pPr>
    <w:rPr>
      <w:rFonts w:ascii="Arial" w:eastAsia="Times New Roman" w:hAnsi="Arial" w:cs="Times New Roman"/>
      <w:color w:val="000000" w:themeColor="text1"/>
      <w:kern w:val="0"/>
      <w:sz w:val="20"/>
      <w:szCs w:val="20"/>
      <w:lang w:eastAsia="en-AU"/>
      <w14:ligatures w14:val="none"/>
    </w:rPr>
  </w:style>
  <w:style w:type="paragraph" w:styleId="TOC1">
    <w:name w:val="toc 1"/>
    <w:basedOn w:val="Normal"/>
    <w:next w:val="Normal"/>
    <w:uiPriority w:val="2"/>
    <w:rsid w:val="00B970EF"/>
    <w:pPr>
      <w:keepNext/>
      <w:tabs>
        <w:tab w:val="right" w:leader="dot" w:pos="7700"/>
      </w:tabs>
      <w:spacing w:after="0" w:line="240" w:lineRule="auto"/>
      <w:ind w:right="851"/>
    </w:pPr>
    <w:rPr>
      <w:rFonts w:ascii="Arial Bold" w:hAnsi="Arial Bold"/>
      <w:b/>
      <w:position w:val="-1"/>
      <w:sz w:val="20"/>
    </w:rPr>
  </w:style>
  <w:style w:type="paragraph" w:styleId="TOC2">
    <w:name w:val="toc 2"/>
    <w:basedOn w:val="Normal"/>
    <w:next w:val="Normal"/>
    <w:uiPriority w:val="2"/>
    <w:rsid w:val="00B970EF"/>
    <w:pPr>
      <w:tabs>
        <w:tab w:val="left" w:pos="992"/>
        <w:tab w:val="right" w:leader="dot" w:pos="7700"/>
      </w:tabs>
      <w:spacing w:before="60" w:after="60" w:line="240" w:lineRule="auto"/>
      <w:ind w:left="851" w:right="851" w:hanging="851"/>
    </w:pPr>
    <w:rPr>
      <w:rFonts w:ascii="Arial" w:hAnsi="Arial"/>
      <w:sz w:val="18"/>
    </w:rPr>
  </w:style>
  <w:style w:type="character" w:styleId="PageNumber">
    <w:name w:val="page number"/>
    <w:basedOn w:val="DefaultParagraphFont"/>
    <w:rsid w:val="00B970EF"/>
    <w:rPr>
      <w:rFonts w:ascii="Arial" w:hAnsi="Arial" w:cs="Arial"/>
      <w:color w:val="auto"/>
    </w:rPr>
  </w:style>
  <w:style w:type="character" w:styleId="Hyperlink">
    <w:name w:val="Hyperlink"/>
    <w:basedOn w:val="DefaultParagraphFont"/>
    <w:uiPriority w:val="99"/>
    <w:unhideWhenUsed/>
    <w:rsid w:val="00B970EF"/>
    <w:rPr>
      <w:color w:val="auto"/>
      <w:u w:val="single"/>
    </w:rPr>
  </w:style>
  <w:style w:type="paragraph" w:customStyle="1" w:styleId="TableTextBullet">
    <w:name w:val="Table Text Bullet"/>
    <w:basedOn w:val="Normal"/>
    <w:rsid w:val="00B970EF"/>
    <w:pPr>
      <w:numPr>
        <w:numId w:val="1"/>
      </w:numPr>
      <w:spacing w:before="20" w:after="20" w:line="240" w:lineRule="auto"/>
    </w:pPr>
    <w:rPr>
      <w:rFonts w:ascii="Arial" w:hAnsi="Arial"/>
      <w:sz w:val="16"/>
    </w:rPr>
  </w:style>
  <w:style w:type="character" w:customStyle="1" w:styleId="TableHeadingChar">
    <w:name w:val="Table Heading Char"/>
    <w:link w:val="TableHeading"/>
    <w:rsid w:val="00B970EF"/>
    <w:rPr>
      <w:rFonts w:ascii="Arial" w:eastAsia="Times New Roman" w:hAnsi="Arial" w:cs="Times New Roman"/>
      <w:b/>
      <w:kern w:val="0"/>
      <w:sz w:val="20"/>
      <w:szCs w:val="20"/>
      <w:lang w:eastAsia="en-AU"/>
      <w14:ligatures w14:val="none"/>
    </w:rPr>
  </w:style>
  <w:style w:type="character" w:customStyle="1" w:styleId="TableTextLeftChar">
    <w:name w:val="Table Text Left Char"/>
    <w:link w:val="TableTextLeft"/>
    <w:rsid w:val="00B970EF"/>
    <w:rPr>
      <w:rFonts w:ascii="Arial" w:eastAsia="Times New Roman" w:hAnsi="Arial" w:cs="Times New Roman"/>
      <w:kern w:val="0"/>
      <w:sz w:val="16"/>
      <w:szCs w:val="20"/>
      <w:lang w:eastAsia="en-AU"/>
      <w14:ligatures w14:val="none"/>
    </w:rPr>
  </w:style>
  <w:style w:type="paragraph" w:customStyle="1" w:styleId="TableTextDash">
    <w:name w:val="Table Text Dash"/>
    <w:basedOn w:val="Normal"/>
    <w:rsid w:val="00B970EF"/>
    <w:pPr>
      <w:numPr>
        <w:ilvl w:val="1"/>
        <w:numId w:val="1"/>
      </w:numPr>
      <w:spacing w:before="20" w:after="20" w:line="240" w:lineRule="auto"/>
    </w:pPr>
    <w:rPr>
      <w:rFonts w:ascii="Arial" w:hAnsi="Arial"/>
      <w:sz w:val="16"/>
    </w:rPr>
  </w:style>
  <w:style w:type="character" w:customStyle="1" w:styleId="ChartandTableFootnoteChar">
    <w:name w:val="Chart and Table Footnote Char"/>
    <w:link w:val="ChartandTableFootnote"/>
    <w:rsid w:val="00B970EF"/>
    <w:rPr>
      <w:rFonts w:ascii="Arial" w:eastAsia="Times New Roman" w:hAnsi="Arial" w:cs="Times New Roman"/>
      <w:color w:val="000000"/>
      <w:kern w:val="0"/>
      <w:sz w:val="16"/>
      <w:szCs w:val="20"/>
      <w:lang w:eastAsia="en-AU"/>
      <w14:ligatures w14:val="none"/>
    </w:rPr>
  </w:style>
  <w:style w:type="paragraph" w:customStyle="1" w:styleId="PartHeading">
    <w:name w:val="Part Heading"/>
    <w:basedOn w:val="Normal"/>
    <w:next w:val="Normal"/>
    <w:rsid w:val="00B970EF"/>
    <w:pPr>
      <w:spacing w:after="480" w:line="240" w:lineRule="auto"/>
      <w:jc w:val="center"/>
    </w:pPr>
    <w:rPr>
      <w:rFonts w:ascii="Arial Bold" w:hAnsi="Arial Bold" w:cs="Arial"/>
      <w:b/>
      <w:bCs/>
      <w:kern w:val="28"/>
      <w:sz w:val="52"/>
      <w:szCs w:val="32"/>
    </w:rPr>
  </w:style>
  <w:style w:type="paragraph" w:customStyle="1" w:styleId="ExampleText">
    <w:name w:val="Example Text"/>
    <w:basedOn w:val="Normal"/>
    <w:rsid w:val="00B970EF"/>
    <w:rPr>
      <w:i/>
      <w:color w:val="FF0000"/>
    </w:rPr>
  </w:style>
  <w:style w:type="paragraph" w:customStyle="1" w:styleId="PartHeading-TOC">
    <w:name w:val="Part Heading - TOC"/>
    <w:basedOn w:val="PartHeading"/>
    <w:rsid w:val="00B970EF"/>
  </w:style>
  <w:style w:type="paragraph" w:customStyle="1" w:styleId="ChartandTableFootnote-Dash">
    <w:name w:val="Chart and Table Footnote - Dash"/>
    <w:basedOn w:val="Normal"/>
    <w:rsid w:val="00B970EF"/>
    <w:pPr>
      <w:tabs>
        <w:tab w:val="left" w:pos="680"/>
      </w:tabs>
      <w:spacing w:before="0" w:after="0" w:line="240" w:lineRule="auto"/>
      <w:ind w:left="681" w:hanging="397"/>
    </w:pPr>
    <w:rPr>
      <w:rFonts w:ascii="Arial" w:hAnsi="Arial"/>
      <w:sz w:val="16"/>
    </w:rPr>
  </w:style>
  <w:style w:type="paragraph" w:customStyle="1" w:styleId="FooterOdd">
    <w:name w:val="Footer Odd"/>
    <w:basedOn w:val="Footer"/>
    <w:qFormat/>
    <w:rsid w:val="00B970EF"/>
    <w:pPr>
      <w:pBdr>
        <w:top w:val="single" w:sz="4" w:space="10" w:color="000000" w:themeColor="text1"/>
      </w:pBdr>
      <w:tabs>
        <w:tab w:val="clear" w:pos="4513"/>
        <w:tab w:val="clear" w:pos="9026"/>
        <w:tab w:val="center" w:pos="4153"/>
        <w:tab w:val="right" w:pos="8306"/>
      </w:tabs>
      <w:jc w:val="right"/>
    </w:pPr>
    <w:rPr>
      <w:rFonts w:ascii="Arial" w:hAnsi="Arial"/>
      <w:color w:val="000000" w:themeColor="text1"/>
      <w:sz w:val="18"/>
    </w:rPr>
  </w:style>
  <w:style w:type="character" w:customStyle="1" w:styleId="ListParagraphChar">
    <w:name w:val="List Paragraph Char"/>
    <w:aliases w:val="Recommendation Char,List Paragraph1 Char,Bulleted Para Char,NFP GP Bulleted List Char,bullet point list Char,List Paragraph11 Char,L Char,Bullet points Char,Content descriptions Char,Bullet Point Char,DDM Gen Text Char,CV text Char"/>
    <w:link w:val="ListParagraph"/>
    <w:uiPriority w:val="34"/>
    <w:qFormat/>
    <w:locked/>
    <w:rsid w:val="00B970EF"/>
  </w:style>
  <w:style w:type="paragraph" w:styleId="Footer">
    <w:name w:val="footer"/>
    <w:basedOn w:val="Normal"/>
    <w:link w:val="FooterChar"/>
    <w:uiPriority w:val="99"/>
    <w:unhideWhenUsed/>
    <w:rsid w:val="00B970E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970EF"/>
    <w:rPr>
      <w:rFonts w:ascii="Book Antiqua" w:eastAsia="Times New Roman" w:hAnsi="Book Antiqua" w:cs="Times New Roman"/>
      <w:kern w:val="0"/>
      <w:sz w:val="19"/>
      <w:szCs w:val="20"/>
      <w:lang w:eastAsia="en-AU"/>
      <w14:ligatures w14:val="none"/>
    </w:rPr>
  </w:style>
  <w:style w:type="paragraph" w:styleId="Header">
    <w:name w:val="header"/>
    <w:basedOn w:val="Normal"/>
    <w:link w:val="HeaderChar"/>
    <w:uiPriority w:val="99"/>
    <w:unhideWhenUsed/>
    <w:rsid w:val="00B970E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970EF"/>
    <w:rPr>
      <w:rFonts w:ascii="Book Antiqua" w:eastAsia="Times New Roman" w:hAnsi="Book Antiqua" w:cs="Times New Roman"/>
      <w:kern w:val="0"/>
      <w:sz w:val="19"/>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3.emf"/><Relationship Id="rId26" Type="http://schemas.openxmlformats.org/officeDocument/2006/relationships/image" Target="media/image11.emf"/><Relationship Id="rId3" Type="http://schemas.openxmlformats.org/officeDocument/2006/relationships/settings" Target="settings.xml"/><Relationship Id="rId21" Type="http://schemas.openxmlformats.org/officeDocument/2006/relationships/image" Target="media/image6.emf"/><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austrade.gov.au/en/about-austrade/governance/annual-report" TargetMode="External"/><Relationship Id="rId25" Type="http://schemas.openxmlformats.org/officeDocument/2006/relationships/image" Target="media/image10.e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ustrade.gov.au/en/about-austrade/governance/corporate-plan" TargetMode="External"/><Relationship Id="rId20" Type="http://schemas.openxmlformats.org/officeDocument/2006/relationships/image" Target="media/image5.emf"/><Relationship Id="rId29"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9.e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image" Target="media/image8.emf"/><Relationship Id="rId28" Type="http://schemas.openxmlformats.org/officeDocument/2006/relationships/image" Target="media/image13.emf"/><Relationship Id="rId10" Type="http://schemas.openxmlformats.org/officeDocument/2006/relationships/footer" Target="footer2.xml"/><Relationship Id="rId19" Type="http://schemas.openxmlformats.org/officeDocument/2006/relationships/image" Target="media/image4.emf"/><Relationship Id="rId31" Type="http://schemas.openxmlformats.org/officeDocument/2006/relationships/image" Target="media/image16.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emf"/><Relationship Id="rId22" Type="http://schemas.openxmlformats.org/officeDocument/2006/relationships/image" Target="media/image7.emf"/><Relationship Id="rId27" Type="http://schemas.openxmlformats.org/officeDocument/2006/relationships/image" Target="media/image12.emf"/><Relationship Id="rId30" Type="http://schemas.openxmlformats.org/officeDocument/2006/relationships/image" Target="media/image15.emf"/><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4115</Words>
  <Characters>25147</Characters>
  <Application>Microsoft Office Word</Application>
  <DocSecurity>0</DocSecurity>
  <Lines>661</Lines>
  <Paragraphs>348</Paragraphs>
  <ScaleCrop>false</ScaleCrop>
  <Company/>
  <LinksUpToDate>false</LinksUpToDate>
  <CharactersWithSpaces>28914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Esther-Yam [Canberra]</dc:creator>
  <cp:keywords/>
  <dc:description/>
  <cp:lastModifiedBy>Esther-Yam [Canberra]</cp:lastModifiedBy>
  <cp:revision>1</cp:revision>
  <dcterms:created xsi:type="dcterms:W3CDTF">2026-05-12T23:54:00Z</dcterms:created>
  <dcterms:modified xsi:type="dcterms:W3CDTF">2026-05-12T23:55:00Z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f55faaa,18dd4235,6a32dfe4</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176f07fb,3af3df32,3447b9bb,4bc0e276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2160a83-df68-4146-9dd5-ccaae79426db_Enabled">
    <vt:lpwstr>true</vt:lpwstr>
  </property>
  <property fmtid="{D5CDD505-2E9C-101B-9397-08002B2CF9AE}" pid="9" name="MSIP_Label_72160a83-df68-4146-9dd5-ccaae79426db_SetDate">
    <vt:lpwstr>2026-05-12T23:55:42Z</vt:lpwstr>
  </property>
  <property fmtid="{D5CDD505-2E9C-101B-9397-08002B2CF9AE}" pid="10" name="MSIP_Label_72160a83-df68-4146-9dd5-ccaae79426db_Method">
    <vt:lpwstr>Privileged</vt:lpwstr>
  </property>
  <property fmtid="{D5CDD505-2E9C-101B-9397-08002B2CF9AE}" pid="11" name="MSIP_Label_72160a83-df68-4146-9dd5-ccaae79426db_Name">
    <vt:lpwstr>OFFICIAL</vt:lpwstr>
  </property>
  <property fmtid="{D5CDD505-2E9C-101B-9397-08002B2CF9AE}" pid="12" name="MSIP_Label_72160a83-df68-4146-9dd5-ccaae79426db_SiteId">
    <vt:lpwstr>c6ba7d27-a97a-40a4-82e4-4d23131de9f4</vt:lpwstr>
  </property>
  <property fmtid="{D5CDD505-2E9C-101B-9397-08002B2CF9AE}" pid="13" name="MSIP_Label_72160a83-df68-4146-9dd5-ccaae79426db_ActionId">
    <vt:lpwstr>a498732f-13cf-4d51-bd07-a7cb8f9a1c73</vt:lpwstr>
  </property>
  <property fmtid="{D5CDD505-2E9C-101B-9397-08002B2CF9AE}" pid="14" name="MSIP_Label_72160a83-df68-4146-9dd5-ccaae79426db_ContentBits">
    <vt:lpwstr>3</vt:lpwstr>
  </property>
  <property fmtid="{D5CDD505-2E9C-101B-9397-08002B2CF9AE}" pid="15" name="MSIP_Label_72160a83-df68-4146-9dd5-ccaae79426db_Tag">
    <vt:lpwstr>10, 0, 1, 1</vt:lpwstr>
  </property>
</Properties>
</file>