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2A14" w14:textId="72099C34" w:rsidR="00955559" w:rsidRPr="00A76734" w:rsidRDefault="00EC6751" w:rsidP="00955559">
      <w:pPr>
        <w:pStyle w:val="PartHeading"/>
        <w:rPr>
          <w:color w:val="000000" w:themeColor="text1"/>
        </w:rPr>
      </w:pPr>
      <w:bookmarkStart w:id="0" w:name="_Toc190766151"/>
      <w:bookmarkStart w:id="1" w:name="_Toc444523519"/>
      <w:bookmarkStart w:id="2" w:name="_Toc65243503"/>
      <w:r w:rsidRPr="00A76734">
        <w:rPr>
          <w:color w:val="000000" w:themeColor="text1"/>
        </w:rPr>
        <w:t>Australian Trade and Investment Commission</w:t>
      </w:r>
    </w:p>
    <w:p w14:paraId="0A7FEE14" w14:textId="77777777" w:rsidR="00955559" w:rsidRPr="00A76734" w:rsidRDefault="00955559" w:rsidP="00955559">
      <w:pPr>
        <w:pStyle w:val="PartHeading"/>
        <w:rPr>
          <w:color w:val="000000" w:themeColor="text1"/>
        </w:rPr>
      </w:pPr>
    </w:p>
    <w:p w14:paraId="68DD1A34" w14:textId="77777777" w:rsidR="00955559" w:rsidRPr="00A76734" w:rsidRDefault="00955559" w:rsidP="00955559">
      <w:pPr>
        <w:pStyle w:val="PartHeading-TOC"/>
        <w:rPr>
          <w:color w:val="000000" w:themeColor="text1"/>
        </w:rPr>
      </w:pPr>
      <w:bookmarkStart w:id="3" w:name="_Toc164870421"/>
      <w:r w:rsidRPr="00A76734">
        <w:rPr>
          <w:color w:val="000000" w:themeColor="text1"/>
        </w:rPr>
        <w:t>Entity resources and planned performance</w:t>
      </w:r>
      <w:bookmarkEnd w:id="3"/>
    </w:p>
    <w:p w14:paraId="05432BCA" w14:textId="77777777" w:rsidR="00955559" w:rsidRPr="00A76734" w:rsidRDefault="00955559" w:rsidP="00955559">
      <w:pPr>
        <w:pStyle w:val="PartHeading"/>
        <w:rPr>
          <w:color w:val="000000" w:themeColor="text1"/>
        </w:rPr>
        <w:sectPr w:rsidR="00955559" w:rsidRPr="00A76734" w:rsidSect="00887C46">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cols w:space="708"/>
          <w:vAlign w:val="center"/>
          <w:titlePg/>
          <w:docGrid w:linePitch="360"/>
        </w:sectPr>
      </w:pPr>
    </w:p>
    <w:p w14:paraId="7CF39143" w14:textId="7A3F22BA" w:rsidR="00955559" w:rsidRPr="00A76734" w:rsidRDefault="00EC6751" w:rsidP="00955559">
      <w:pPr>
        <w:pStyle w:val="ContentsHeading"/>
        <w:rPr>
          <w:color w:val="000000" w:themeColor="text1"/>
        </w:rPr>
      </w:pPr>
      <w:r w:rsidRPr="00A76734">
        <w:rPr>
          <w:color w:val="000000" w:themeColor="text1"/>
        </w:rPr>
        <w:lastRenderedPageBreak/>
        <w:t>Australian Trade and Investment Commission</w:t>
      </w:r>
    </w:p>
    <w:p w14:paraId="2718AFFA" w14:textId="6334EDFD" w:rsidR="00955559" w:rsidRPr="00A76734" w:rsidRDefault="00955559" w:rsidP="00955559">
      <w:pPr>
        <w:pStyle w:val="TOC1"/>
        <w:rPr>
          <w:rFonts w:ascii="Book Antiqua" w:hAnsi="Book Antiqua"/>
          <w:b w:val="0"/>
          <w:caps/>
          <w:noProof/>
          <w:color w:val="000000" w:themeColor="text1"/>
          <w:sz w:val="22"/>
          <w:szCs w:val="22"/>
        </w:rPr>
      </w:pPr>
      <w:r w:rsidRPr="00A76734">
        <w:rPr>
          <w:color w:val="000000" w:themeColor="text1"/>
        </w:rPr>
        <w:fldChar w:fldCharType="begin"/>
      </w:r>
      <w:r w:rsidRPr="00A76734">
        <w:rPr>
          <w:color w:val="000000" w:themeColor="text1"/>
        </w:rPr>
        <w:instrText xml:space="preserve"> TOC \h \z \t "Heading 2,1,Heading 3,2" </w:instrText>
      </w:r>
      <w:r w:rsidRPr="00A76734">
        <w:rPr>
          <w:color w:val="000000" w:themeColor="text1"/>
        </w:rPr>
        <w:fldChar w:fldCharType="separate"/>
      </w:r>
      <w:hyperlink w:anchor="_Toc65243505" w:history="1">
        <w:r w:rsidRPr="00A76734">
          <w:rPr>
            <w:rStyle w:val="Hyperlink"/>
            <w:noProof/>
            <w:color w:val="000000" w:themeColor="text1"/>
          </w:rPr>
          <w:t>Section 1: Entity overview and resources</w:t>
        </w:r>
        <w:r w:rsidRPr="00A76734">
          <w:rPr>
            <w:noProof/>
            <w:webHidden/>
            <w:color w:val="000000" w:themeColor="text1"/>
          </w:rPr>
          <w:tab/>
        </w:r>
        <w:r w:rsidR="00355530">
          <w:rPr>
            <w:noProof/>
            <w:webHidden/>
            <w:color w:val="000000" w:themeColor="text1"/>
          </w:rPr>
          <w:t>67</w:t>
        </w:r>
      </w:hyperlink>
    </w:p>
    <w:p w14:paraId="7923CE60" w14:textId="0B8F4222" w:rsidR="00955559" w:rsidRPr="00A76734" w:rsidRDefault="00347239" w:rsidP="00955559">
      <w:pPr>
        <w:pStyle w:val="TOC2"/>
        <w:tabs>
          <w:tab w:val="left" w:pos="800"/>
        </w:tabs>
        <w:rPr>
          <w:rFonts w:ascii="Book Antiqua" w:hAnsi="Book Antiqua"/>
          <w:noProof/>
          <w:color w:val="000000" w:themeColor="text1"/>
          <w:sz w:val="22"/>
          <w:szCs w:val="22"/>
        </w:rPr>
      </w:pPr>
      <w:hyperlink w:anchor="_Toc65243506" w:history="1">
        <w:r w:rsidR="00955559" w:rsidRPr="00A76734">
          <w:rPr>
            <w:rStyle w:val="Hyperlink"/>
            <w:noProof/>
            <w:color w:val="000000" w:themeColor="text1"/>
          </w:rPr>
          <w:t>1.1</w:t>
        </w:r>
        <w:r w:rsidR="00955559" w:rsidRPr="00A76734">
          <w:rPr>
            <w:rFonts w:ascii="Book Antiqua" w:hAnsi="Book Antiqua"/>
            <w:noProof/>
            <w:color w:val="000000" w:themeColor="text1"/>
            <w:sz w:val="22"/>
            <w:szCs w:val="22"/>
          </w:rPr>
          <w:tab/>
        </w:r>
        <w:r w:rsidR="00955559" w:rsidRPr="00A76734">
          <w:rPr>
            <w:rStyle w:val="Hyperlink"/>
            <w:noProof/>
            <w:color w:val="000000" w:themeColor="text1"/>
          </w:rPr>
          <w:t>Strategic direction statement</w:t>
        </w:r>
        <w:r w:rsidR="00955559" w:rsidRPr="00A76734">
          <w:rPr>
            <w:noProof/>
            <w:webHidden/>
            <w:color w:val="000000" w:themeColor="text1"/>
          </w:rPr>
          <w:tab/>
        </w:r>
        <w:r w:rsidR="00355530">
          <w:rPr>
            <w:noProof/>
            <w:webHidden/>
            <w:color w:val="000000" w:themeColor="text1"/>
          </w:rPr>
          <w:t>67</w:t>
        </w:r>
      </w:hyperlink>
    </w:p>
    <w:p w14:paraId="6DB140CB" w14:textId="726771CF" w:rsidR="00955559" w:rsidRPr="00A76734" w:rsidRDefault="00347239" w:rsidP="00955559">
      <w:pPr>
        <w:pStyle w:val="TOC2"/>
        <w:tabs>
          <w:tab w:val="left" w:pos="800"/>
        </w:tabs>
        <w:rPr>
          <w:rFonts w:ascii="Book Antiqua" w:hAnsi="Book Antiqua"/>
          <w:noProof/>
          <w:color w:val="000000" w:themeColor="text1"/>
          <w:sz w:val="22"/>
          <w:szCs w:val="22"/>
        </w:rPr>
      </w:pPr>
      <w:hyperlink w:anchor="_Toc65243507" w:history="1">
        <w:r w:rsidR="00955559" w:rsidRPr="00A76734">
          <w:rPr>
            <w:rStyle w:val="Hyperlink"/>
            <w:noProof/>
            <w:color w:val="000000" w:themeColor="text1"/>
          </w:rPr>
          <w:t>1.2</w:t>
        </w:r>
        <w:r w:rsidR="00955559" w:rsidRPr="00A76734">
          <w:rPr>
            <w:rFonts w:ascii="Book Antiqua" w:hAnsi="Book Antiqua"/>
            <w:noProof/>
            <w:color w:val="000000" w:themeColor="text1"/>
            <w:sz w:val="22"/>
            <w:szCs w:val="22"/>
          </w:rPr>
          <w:tab/>
        </w:r>
        <w:r w:rsidR="00955559" w:rsidRPr="00A76734">
          <w:rPr>
            <w:rStyle w:val="Hyperlink"/>
            <w:noProof/>
            <w:color w:val="000000" w:themeColor="text1"/>
          </w:rPr>
          <w:t>Entity resource statement</w:t>
        </w:r>
        <w:r w:rsidR="00955559" w:rsidRPr="00A76734">
          <w:rPr>
            <w:noProof/>
            <w:webHidden/>
            <w:color w:val="000000" w:themeColor="text1"/>
          </w:rPr>
          <w:tab/>
        </w:r>
        <w:r w:rsidR="00355530">
          <w:rPr>
            <w:noProof/>
            <w:webHidden/>
            <w:color w:val="000000" w:themeColor="text1"/>
          </w:rPr>
          <w:t>70</w:t>
        </w:r>
      </w:hyperlink>
    </w:p>
    <w:p w14:paraId="440F98C4" w14:textId="47F94F56" w:rsidR="00955559" w:rsidRPr="00A76734" w:rsidRDefault="00347239" w:rsidP="00955559">
      <w:pPr>
        <w:pStyle w:val="TOC2"/>
        <w:tabs>
          <w:tab w:val="left" w:pos="800"/>
        </w:tabs>
        <w:rPr>
          <w:rFonts w:ascii="Book Antiqua" w:hAnsi="Book Antiqua"/>
          <w:noProof/>
          <w:color w:val="000000" w:themeColor="text1"/>
          <w:sz w:val="22"/>
          <w:szCs w:val="22"/>
        </w:rPr>
      </w:pPr>
      <w:hyperlink w:anchor="_Toc65243508" w:history="1">
        <w:r w:rsidR="00955559" w:rsidRPr="00A76734">
          <w:rPr>
            <w:rStyle w:val="Hyperlink"/>
            <w:noProof/>
            <w:color w:val="000000" w:themeColor="text1"/>
          </w:rPr>
          <w:t>1.3</w:t>
        </w:r>
        <w:r w:rsidR="00955559" w:rsidRPr="00A76734">
          <w:rPr>
            <w:rFonts w:ascii="Book Antiqua" w:hAnsi="Book Antiqua"/>
            <w:noProof/>
            <w:color w:val="000000" w:themeColor="text1"/>
            <w:sz w:val="22"/>
            <w:szCs w:val="22"/>
          </w:rPr>
          <w:tab/>
        </w:r>
        <w:r w:rsidR="00955559" w:rsidRPr="00A76734">
          <w:rPr>
            <w:rStyle w:val="Hyperlink"/>
            <w:noProof/>
            <w:color w:val="000000" w:themeColor="text1"/>
          </w:rPr>
          <w:t>Budget measures</w:t>
        </w:r>
        <w:r w:rsidR="00955559" w:rsidRPr="00A76734">
          <w:rPr>
            <w:noProof/>
            <w:webHidden/>
            <w:color w:val="000000" w:themeColor="text1"/>
          </w:rPr>
          <w:tab/>
        </w:r>
        <w:r w:rsidR="00355530">
          <w:rPr>
            <w:noProof/>
            <w:webHidden/>
            <w:color w:val="000000" w:themeColor="text1"/>
          </w:rPr>
          <w:t>72</w:t>
        </w:r>
      </w:hyperlink>
    </w:p>
    <w:p w14:paraId="25647C22" w14:textId="2B09C0FE" w:rsidR="00955559" w:rsidRPr="00A76734" w:rsidRDefault="00347239" w:rsidP="00955559">
      <w:pPr>
        <w:pStyle w:val="TOC1"/>
        <w:rPr>
          <w:rFonts w:ascii="Book Antiqua" w:hAnsi="Book Antiqua"/>
          <w:b w:val="0"/>
          <w:caps/>
          <w:noProof/>
          <w:color w:val="000000" w:themeColor="text1"/>
          <w:sz w:val="22"/>
          <w:szCs w:val="22"/>
        </w:rPr>
      </w:pPr>
      <w:hyperlink w:anchor="_Toc65243509" w:history="1">
        <w:r w:rsidR="00955559" w:rsidRPr="00A76734">
          <w:rPr>
            <w:rStyle w:val="Hyperlink"/>
            <w:noProof/>
            <w:color w:val="000000" w:themeColor="text1"/>
          </w:rPr>
          <w:t>Section 2: Outcomes and planned performance</w:t>
        </w:r>
        <w:r w:rsidR="00955559" w:rsidRPr="00A76734">
          <w:rPr>
            <w:noProof/>
            <w:webHidden/>
            <w:color w:val="000000" w:themeColor="text1"/>
          </w:rPr>
          <w:tab/>
        </w:r>
        <w:r w:rsidR="00355530">
          <w:rPr>
            <w:noProof/>
            <w:webHidden/>
            <w:color w:val="000000" w:themeColor="text1"/>
          </w:rPr>
          <w:t>73</w:t>
        </w:r>
      </w:hyperlink>
    </w:p>
    <w:p w14:paraId="1AFAF188" w14:textId="6CD587F3" w:rsidR="00955559" w:rsidRPr="00A76734" w:rsidRDefault="00347239" w:rsidP="00955559">
      <w:pPr>
        <w:pStyle w:val="TOC2"/>
        <w:tabs>
          <w:tab w:val="left" w:pos="800"/>
        </w:tabs>
        <w:rPr>
          <w:noProof/>
          <w:color w:val="000000" w:themeColor="text1"/>
        </w:rPr>
      </w:pPr>
      <w:hyperlink w:anchor="_Toc65243510" w:history="1">
        <w:r w:rsidR="00955559" w:rsidRPr="00A76734">
          <w:rPr>
            <w:rStyle w:val="Hyperlink"/>
            <w:noProof/>
            <w:color w:val="000000" w:themeColor="text1"/>
          </w:rPr>
          <w:t xml:space="preserve">2.1 </w:t>
        </w:r>
        <w:r w:rsidR="00955559" w:rsidRPr="00A76734">
          <w:rPr>
            <w:rFonts w:ascii="Book Antiqua" w:hAnsi="Book Antiqua"/>
            <w:noProof/>
            <w:color w:val="000000" w:themeColor="text1"/>
            <w:sz w:val="22"/>
            <w:szCs w:val="22"/>
          </w:rPr>
          <w:tab/>
        </w:r>
        <w:r w:rsidR="00955559" w:rsidRPr="00A76734">
          <w:rPr>
            <w:rStyle w:val="Hyperlink"/>
            <w:noProof/>
            <w:color w:val="000000" w:themeColor="text1"/>
          </w:rPr>
          <w:t xml:space="preserve">Budgeted expenses and performance for Outcome </w:t>
        </w:r>
        <w:r w:rsidR="006907C2" w:rsidRPr="00A76734">
          <w:rPr>
            <w:rStyle w:val="Hyperlink"/>
            <w:noProof/>
            <w:color w:val="000000" w:themeColor="text1"/>
          </w:rPr>
          <w:t>1</w:t>
        </w:r>
        <w:r w:rsidR="00955559" w:rsidRPr="00A76734">
          <w:rPr>
            <w:noProof/>
            <w:webHidden/>
            <w:color w:val="000000" w:themeColor="text1"/>
          </w:rPr>
          <w:tab/>
        </w:r>
        <w:r w:rsidR="00355530">
          <w:rPr>
            <w:noProof/>
            <w:webHidden/>
            <w:color w:val="000000" w:themeColor="text1"/>
          </w:rPr>
          <w:t>74</w:t>
        </w:r>
      </w:hyperlink>
    </w:p>
    <w:p w14:paraId="07E30978" w14:textId="26F49143" w:rsidR="006907C2" w:rsidRPr="00A76734" w:rsidRDefault="00347239" w:rsidP="006907C2">
      <w:pPr>
        <w:pStyle w:val="TOC2"/>
        <w:tabs>
          <w:tab w:val="left" w:pos="800"/>
        </w:tabs>
        <w:rPr>
          <w:rFonts w:ascii="Book Antiqua" w:hAnsi="Book Antiqua"/>
          <w:noProof/>
          <w:color w:val="000000" w:themeColor="text1"/>
          <w:sz w:val="22"/>
          <w:szCs w:val="22"/>
        </w:rPr>
      </w:pPr>
      <w:hyperlink w:anchor="_Toc65243510" w:history="1">
        <w:r w:rsidR="006907C2" w:rsidRPr="00A76734">
          <w:rPr>
            <w:rStyle w:val="Hyperlink"/>
            <w:noProof/>
            <w:color w:val="000000" w:themeColor="text1"/>
          </w:rPr>
          <w:t>2.</w:t>
        </w:r>
        <w:r w:rsidR="00E90201">
          <w:rPr>
            <w:rStyle w:val="Hyperlink"/>
            <w:noProof/>
            <w:color w:val="000000" w:themeColor="text1"/>
          </w:rPr>
          <w:t>2</w:t>
        </w:r>
        <w:r w:rsidR="006907C2" w:rsidRPr="00A76734">
          <w:rPr>
            <w:rStyle w:val="Hyperlink"/>
            <w:noProof/>
            <w:color w:val="000000" w:themeColor="text1"/>
          </w:rPr>
          <w:t xml:space="preserve"> </w:t>
        </w:r>
        <w:r w:rsidR="006907C2" w:rsidRPr="00A76734">
          <w:rPr>
            <w:rFonts w:ascii="Book Antiqua" w:hAnsi="Book Antiqua"/>
            <w:noProof/>
            <w:color w:val="000000" w:themeColor="text1"/>
            <w:sz w:val="22"/>
            <w:szCs w:val="22"/>
          </w:rPr>
          <w:tab/>
        </w:r>
        <w:r w:rsidR="006907C2" w:rsidRPr="00A76734">
          <w:rPr>
            <w:rStyle w:val="Hyperlink"/>
            <w:noProof/>
            <w:color w:val="000000" w:themeColor="text1"/>
          </w:rPr>
          <w:t>Budgeted expenses and performance for Outcome 2</w:t>
        </w:r>
        <w:r w:rsidR="006907C2" w:rsidRPr="00A76734">
          <w:rPr>
            <w:noProof/>
            <w:webHidden/>
            <w:color w:val="000000" w:themeColor="text1"/>
          </w:rPr>
          <w:tab/>
        </w:r>
        <w:r w:rsidR="00355530">
          <w:rPr>
            <w:noProof/>
            <w:webHidden/>
            <w:color w:val="000000" w:themeColor="text1"/>
          </w:rPr>
          <w:t>82</w:t>
        </w:r>
      </w:hyperlink>
    </w:p>
    <w:p w14:paraId="2810A555" w14:textId="23EA69B8" w:rsidR="00955559" w:rsidRPr="00A76734" w:rsidRDefault="00347239" w:rsidP="00955559">
      <w:pPr>
        <w:pStyle w:val="TOC1"/>
        <w:rPr>
          <w:rFonts w:ascii="Book Antiqua" w:hAnsi="Book Antiqua"/>
          <w:b w:val="0"/>
          <w:caps/>
          <w:noProof/>
          <w:color w:val="000000" w:themeColor="text1"/>
          <w:sz w:val="22"/>
          <w:szCs w:val="22"/>
        </w:rPr>
      </w:pPr>
      <w:hyperlink w:anchor="_Toc65243511" w:history="1">
        <w:r w:rsidR="00955559" w:rsidRPr="00A76734">
          <w:rPr>
            <w:rStyle w:val="Hyperlink"/>
            <w:noProof/>
            <w:color w:val="000000" w:themeColor="text1"/>
          </w:rPr>
          <w:t>Section 3: Budgeted financial statements</w:t>
        </w:r>
        <w:r w:rsidR="00955559" w:rsidRPr="00A76734">
          <w:rPr>
            <w:noProof/>
            <w:webHidden/>
            <w:color w:val="000000" w:themeColor="text1"/>
          </w:rPr>
          <w:tab/>
        </w:r>
        <w:r w:rsidR="00355530">
          <w:rPr>
            <w:noProof/>
            <w:webHidden/>
            <w:color w:val="000000" w:themeColor="text1"/>
          </w:rPr>
          <w:t>85</w:t>
        </w:r>
      </w:hyperlink>
    </w:p>
    <w:p w14:paraId="21A366D4" w14:textId="6C773221" w:rsidR="00955559" w:rsidRPr="00A76734" w:rsidRDefault="00347239" w:rsidP="00955559">
      <w:pPr>
        <w:pStyle w:val="TOC2"/>
        <w:tabs>
          <w:tab w:val="left" w:pos="800"/>
        </w:tabs>
        <w:rPr>
          <w:rFonts w:ascii="Book Antiqua" w:hAnsi="Book Antiqua"/>
          <w:noProof/>
          <w:color w:val="000000" w:themeColor="text1"/>
          <w:sz w:val="22"/>
          <w:szCs w:val="22"/>
        </w:rPr>
      </w:pPr>
      <w:hyperlink w:anchor="_Toc65243512" w:history="1">
        <w:r w:rsidR="00955559" w:rsidRPr="00A76734">
          <w:rPr>
            <w:rStyle w:val="Hyperlink"/>
            <w:noProof/>
            <w:color w:val="000000" w:themeColor="text1"/>
          </w:rPr>
          <w:t>3.1</w:t>
        </w:r>
        <w:r w:rsidR="00955559" w:rsidRPr="00A76734">
          <w:rPr>
            <w:rFonts w:ascii="Book Antiqua" w:hAnsi="Book Antiqua"/>
            <w:noProof/>
            <w:color w:val="000000" w:themeColor="text1"/>
            <w:sz w:val="22"/>
            <w:szCs w:val="22"/>
          </w:rPr>
          <w:tab/>
        </w:r>
        <w:r w:rsidR="00955559" w:rsidRPr="00A76734">
          <w:rPr>
            <w:rStyle w:val="Hyperlink"/>
            <w:noProof/>
            <w:color w:val="000000" w:themeColor="text1"/>
          </w:rPr>
          <w:t>Budgeted financial statements</w:t>
        </w:r>
        <w:r w:rsidR="00955559" w:rsidRPr="00A76734">
          <w:rPr>
            <w:noProof/>
            <w:webHidden/>
            <w:color w:val="000000" w:themeColor="text1"/>
          </w:rPr>
          <w:tab/>
        </w:r>
        <w:r w:rsidR="00355530">
          <w:rPr>
            <w:noProof/>
            <w:webHidden/>
            <w:color w:val="000000" w:themeColor="text1"/>
          </w:rPr>
          <w:t>85</w:t>
        </w:r>
      </w:hyperlink>
    </w:p>
    <w:p w14:paraId="14AC884B" w14:textId="77777777" w:rsidR="00955559" w:rsidRPr="00A76734" w:rsidRDefault="00955559" w:rsidP="00955559">
      <w:pPr>
        <w:pStyle w:val="TOC1"/>
        <w:rPr>
          <w:color w:val="000000" w:themeColor="text1"/>
        </w:rPr>
      </w:pPr>
      <w:r w:rsidRPr="00A76734">
        <w:rPr>
          <w:color w:val="000000" w:themeColor="text1"/>
        </w:rPr>
        <w:fldChar w:fldCharType="end"/>
      </w:r>
    </w:p>
    <w:p w14:paraId="39F55E58" w14:textId="77777777" w:rsidR="00955559" w:rsidRPr="00A76734" w:rsidRDefault="00955559" w:rsidP="00955559">
      <w:pPr>
        <w:rPr>
          <w:color w:val="000000" w:themeColor="text1"/>
        </w:rPr>
      </w:pPr>
    </w:p>
    <w:p w14:paraId="1531192F" w14:textId="77777777" w:rsidR="00955559" w:rsidRPr="00A76734" w:rsidRDefault="00955559" w:rsidP="00955559">
      <w:pPr>
        <w:rPr>
          <w:color w:val="000000" w:themeColor="text1"/>
        </w:rPr>
        <w:sectPr w:rsidR="00955559" w:rsidRPr="00A76734" w:rsidSect="00887C46">
          <w:footerReference w:type="first" r:id="rId18"/>
          <w:type w:val="oddPage"/>
          <w:pgSz w:w="11906" w:h="16838" w:code="9"/>
          <w:pgMar w:top="2835" w:right="2098" w:bottom="2466" w:left="2098" w:header="1814" w:footer="1814" w:gutter="0"/>
          <w:pgNumType w:start="65"/>
          <w:cols w:space="708"/>
          <w:titlePg/>
          <w:docGrid w:linePitch="360"/>
        </w:sectPr>
      </w:pPr>
    </w:p>
    <w:p w14:paraId="179FD0EE" w14:textId="5EEE4FD2" w:rsidR="00955559" w:rsidRPr="00A76734" w:rsidRDefault="006907C2" w:rsidP="00955559">
      <w:pPr>
        <w:pStyle w:val="Heading1"/>
        <w:rPr>
          <w:color w:val="000000" w:themeColor="text1"/>
        </w:rPr>
      </w:pPr>
      <w:bookmarkStart w:id="4" w:name="_Toc164870422"/>
      <w:r w:rsidRPr="00A76734">
        <w:rPr>
          <w:color w:val="000000" w:themeColor="text1"/>
        </w:rPr>
        <w:lastRenderedPageBreak/>
        <w:t>Australian Trade and Investment Commission</w:t>
      </w:r>
      <w:bookmarkEnd w:id="4"/>
    </w:p>
    <w:p w14:paraId="691EFE6B" w14:textId="77777777" w:rsidR="00955559" w:rsidRPr="00A76734" w:rsidRDefault="00955559" w:rsidP="00955559">
      <w:pPr>
        <w:pStyle w:val="Heading2"/>
        <w:rPr>
          <w:color w:val="000000" w:themeColor="text1"/>
        </w:rPr>
      </w:pPr>
      <w:r w:rsidRPr="00A76734">
        <w:rPr>
          <w:color w:val="000000" w:themeColor="text1"/>
        </w:rPr>
        <w:t>Section 1: Entity overview and resources</w:t>
      </w:r>
    </w:p>
    <w:p w14:paraId="65134568" w14:textId="77777777" w:rsidR="00955559" w:rsidRPr="00A76734" w:rsidRDefault="00955559" w:rsidP="00955559">
      <w:pPr>
        <w:pStyle w:val="Heading3"/>
        <w:rPr>
          <w:color w:val="000000" w:themeColor="text1"/>
        </w:rPr>
      </w:pPr>
      <w:r w:rsidRPr="00A76734">
        <w:rPr>
          <w:color w:val="000000" w:themeColor="text1"/>
        </w:rPr>
        <w:t>1.1</w:t>
      </w:r>
      <w:r w:rsidRPr="00A76734">
        <w:rPr>
          <w:color w:val="000000" w:themeColor="text1"/>
        </w:rPr>
        <w:tab/>
        <w:t>Strategic direction statement</w:t>
      </w:r>
    </w:p>
    <w:p w14:paraId="1D8E3EF2" w14:textId="2EF4CEA3" w:rsidR="009152E8" w:rsidRPr="00A76734" w:rsidRDefault="009152E8" w:rsidP="009152E8">
      <w:pPr>
        <w:pStyle w:val="Exampletext"/>
        <w:rPr>
          <w:rFonts w:eastAsia="Book Antiqua" w:cs="Book Antiqua"/>
          <w:i w:val="0"/>
          <w:iCs/>
          <w:color w:val="000000" w:themeColor="text1"/>
          <w:szCs w:val="19"/>
        </w:rPr>
      </w:pPr>
      <w:r w:rsidRPr="00A76734">
        <w:rPr>
          <w:rFonts w:eastAsia="Book Antiqua" w:cs="Book Antiqua"/>
          <w:i w:val="0"/>
          <w:iCs/>
          <w:color w:val="000000" w:themeColor="text1"/>
          <w:szCs w:val="19"/>
        </w:rPr>
        <w:t>The Australian Trade and Investment Commission (Austrade) is the</w:t>
      </w:r>
      <w:r w:rsidR="00AA3509">
        <w:rPr>
          <w:rFonts w:eastAsia="Book Antiqua" w:cs="Book Antiqua"/>
          <w:i w:val="0"/>
          <w:iCs/>
          <w:color w:val="000000" w:themeColor="text1"/>
          <w:szCs w:val="19"/>
          <w:lang w:val="en-AU"/>
        </w:rPr>
        <w:t xml:space="preserve"> </w:t>
      </w:r>
      <w:r w:rsidRPr="00A76734">
        <w:rPr>
          <w:i w:val="0"/>
          <w:iCs/>
          <w:color w:val="000000" w:themeColor="text1"/>
        </w:rPr>
        <w:t>Australian</w:t>
      </w:r>
      <w:r w:rsidR="00AA3509">
        <w:rPr>
          <w:rFonts w:eastAsia="Book Antiqua" w:cs="Book Antiqua"/>
          <w:i w:val="0"/>
          <w:iCs/>
          <w:color w:val="000000" w:themeColor="text1"/>
          <w:szCs w:val="19"/>
          <w:lang w:val="en-AU"/>
        </w:rPr>
        <w:t xml:space="preserve"> </w:t>
      </w:r>
      <w:r w:rsidRPr="00A76734">
        <w:rPr>
          <w:rFonts w:eastAsia="Book Antiqua" w:cs="Book Antiqua"/>
          <w:i w:val="0"/>
          <w:iCs/>
          <w:color w:val="000000" w:themeColor="text1"/>
          <w:szCs w:val="19"/>
        </w:rPr>
        <w:t xml:space="preserve">Government’s international trade and investment promotion agency. </w:t>
      </w:r>
      <w:r w:rsidR="002D509F" w:rsidRPr="00A76734">
        <w:rPr>
          <w:rFonts w:eastAsia="Book Antiqua" w:cs="Book Antiqua"/>
          <w:i w:val="0"/>
          <w:iCs/>
          <w:color w:val="000000" w:themeColor="text1"/>
          <w:szCs w:val="19"/>
          <w:lang w:val="en-AU"/>
        </w:rPr>
        <w:t>We</w:t>
      </w:r>
      <w:r w:rsidRPr="00A76734">
        <w:rPr>
          <w:rFonts w:eastAsia="Book Antiqua" w:cs="Book Antiqua"/>
          <w:i w:val="0"/>
          <w:iCs/>
          <w:color w:val="000000" w:themeColor="text1"/>
          <w:szCs w:val="19"/>
        </w:rPr>
        <w:t xml:space="preserve"> also ha</w:t>
      </w:r>
      <w:r w:rsidR="002D509F" w:rsidRPr="00A76734">
        <w:rPr>
          <w:rFonts w:eastAsia="Book Antiqua" w:cs="Book Antiqua"/>
          <w:i w:val="0"/>
          <w:iCs/>
          <w:color w:val="000000" w:themeColor="text1"/>
          <w:szCs w:val="19"/>
          <w:lang w:val="en-AU"/>
        </w:rPr>
        <w:t>ve</w:t>
      </w:r>
      <w:r w:rsidRPr="00A76734">
        <w:rPr>
          <w:rFonts w:eastAsia="Book Antiqua" w:cs="Book Antiqua"/>
          <w:i w:val="0"/>
          <w:iCs/>
          <w:color w:val="000000" w:themeColor="text1"/>
          <w:szCs w:val="19"/>
        </w:rPr>
        <w:t xml:space="preserve"> responsibility for domestic tourism policy</w:t>
      </w:r>
      <w:r w:rsidR="001A4299">
        <w:rPr>
          <w:rFonts w:eastAsia="Book Antiqua" w:cs="Book Antiqua"/>
          <w:i w:val="0"/>
          <w:iCs/>
          <w:color w:val="000000" w:themeColor="text1"/>
          <w:szCs w:val="19"/>
          <w:lang w:val="en-AU"/>
        </w:rPr>
        <w:t xml:space="preserve"> and program delivery</w:t>
      </w:r>
      <w:r w:rsidRPr="00A76734">
        <w:rPr>
          <w:rFonts w:eastAsia="Book Antiqua" w:cs="Book Antiqua"/>
          <w:i w:val="0"/>
          <w:iCs/>
          <w:color w:val="000000" w:themeColor="text1"/>
          <w:szCs w:val="19"/>
        </w:rPr>
        <w:t>, including the publication of official tourism statistics. In some overseas locations, Austrade delivers consular and passport services on behalf of the Australian Government. Austrade operates as a statutory agency within the Foreign Affairs and Trade portfolio.</w:t>
      </w:r>
      <w:r w:rsidR="006E3755">
        <w:rPr>
          <w:rFonts w:eastAsia="Book Antiqua" w:cs="Book Antiqua"/>
          <w:i w:val="0"/>
          <w:iCs/>
          <w:color w:val="000000" w:themeColor="text1"/>
          <w:szCs w:val="19"/>
          <w:lang w:val="en-AU"/>
        </w:rPr>
        <w:t xml:space="preserve"> </w:t>
      </w:r>
      <w:r w:rsidRPr="00A76734">
        <w:rPr>
          <w:rFonts w:eastAsia="Book Antiqua" w:cs="Book Antiqua"/>
          <w:i w:val="0"/>
          <w:iCs/>
          <w:color w:val="000000" w:themeColor="text1"/>
          <w:szCs w:val="19"/>
        </w:rPr>
        <w:t>Austrade’s purpose is to deliver quality trade and investment services to businesses and policy advice to government to grow Australia’s prosperity</w:t>
      </w:r>
      <w:r w:rsidR="009D3326">
        <w:rPr>
          <w:rFonts w:eastAsia="Book Antiqua" w:cs="Book Antiqua"/>
          <w:i w:val="0"/>
          <w:iCs/>
          <w:color w:val="000000" w:themeColor="text1"/>
          <w:szCs w:val="19"/>
          <w:lang w:val="en-AU"/>
        </w:rPr>
        <w:t xml:space="preserve">, including </w:t>
      </w:r>
      <w:r w:rsidR="00ED336B">
        <w:rPr>
          <w:rFonts w:eastAsia="Book Antiqua" w:cs="Book Antiqua"/>
          <w:i w:val="0"/>
          <w:iCs/>
          <w:color w:val="000000" w:themeColor="text1"/>
          <w:szCs w:val="19"/>
          <w:lang w:val="en-AU"/>
        </w:rPr>
        <w:t>leading on national tourism policy</w:t>
      </w:r>
      <w:r w:rsidRPr="00A76734">
        <w:rPr>
          <w:rFonts w:eastAsia="Book Antiqua" w:cs="Book Antiqua"/>
          <w:i w:val="0"/>
          <w:iCs/>
          <w:color w:val="000000" w:themeColor="text1"/>
          <w:szCs w:val="19"/>
        </w:rPr>
        <w:t>.</w:t>
      </w:r>
      <w:r w:rsidR="00BC5EEA">
        <w:rPr>
          <w:rFonts w:eastAsia="Book Antiqua" w:cs="Book Antiqua"/>
          <w:i w:val="0"/>
          <w:iCs/>
          <w:color w:val="000000" w:themeColor="text1"/>
          <w:szCs w:val="19"/>
          <w:lang w:val="en-AU"/>
        </w:rPr>
        <w:t xml:space="preserve"> </w:t>
      </w:r>
      <w:r w:rsidRPr="00A76734">
        <w:rPr>
          <w:rFonts w:eastAsia="Book Antiqua" w:cs="Book Antiqua"/>
          <w:i w:val="0"/>
          <w:iCs/>
          <w:color w:val="000000" w:themeColor="text1"/>
          <w:szCs w:val="19"/>
        </w:rPr>
        <w:t>Our outcomes are:</w:t>
      </w:r>
    </w:p>
    <w:p w14:paraId="751186C1" w14:textId="77777777" w:rsidR="009152E8" w:rsidRPr="00A76734" w:rsidRDefault="009152E8" w:rsidP="00934C8F">
      <w:pPr>
        <w:pStyle w:val="Exampletextbullet"/>
        <w:numPr>
          <w:ilvl w:val="0"/>
          <w:numId w:val="38"/>
        </w:numPr>
        <w:rPr>
          <w:rFonts w:eastAsia="Book Antiqua" w:cs="Book Antiqua"/>
          <w:i w:val="0"/>
          <w:iCs/>
          <w:color w:val="000000" w:themeColor="text1"/>
          <w:szCs w:val="19"/>
          <w:lang w:val="en-US" w:eastAsia="en-US"/>
        </w:rPr>
      </w:pPr>
      <w:r w:rsidRPr="00A76734">
        <w:rPr>
          <w:rFonts w:eastAsia="Book Antiqua" w:cs="Book Antiqua"/>
          <w:i w:val="0"/>
          <w:iCs/>
          <w:color w:val="000000" w:themeColor="text1"/>
          <w:szCs w:val="19"/>
          <w:lang w:val="en-US" w:eastAsia="en-US"/>
        </w:rPr>
        <w:t>to contribute to Australia’s economic prosperity by supporting Australian exporters to expand internationally, attracting productive international investment, and growing the visitor economy; and</w:t>
      </w:r>
    </w:p>
    <w:p w14:paraId="3C6B86D6" w14:textId="537AB84D" w:rsidR="009152E8" w:rsidRPr="00A76734" w:rsidRDefault="009152E8" w:rsidP="00934C8F">
      <w:pPr>
        <w:pStyle w:val="Exampletextbullet"/>
        <w:numPr>
          <w:ilvl w:val="0"/>
          <w:numId w:val="38"/>
        </w:numPr>
        <w:rPr>
          <w:rFonts w:eastAsia="Book Antiqua" w:cs="Book Antiqua"/>
          <w:i w:val="0"/>
          <w:iCs/>
          <w:color w:val="000000" w:themeColor="text1"/>
          <w:szCs w:val="19"/>
          <w:lang w:val="en-US" w:eastAsia="en-US"/>
        </w:rPr>
      </w:pPr>
      <w:r w:rsidRPr="00A76734">
        <w:rPr>
          <w:rFonts w:eastAsia="Book Antiqua" w:cs="Book Antiqua"/>
          <w:i w:val="0"/>
          <w:iCs/>
          <w:color w:val="000000" w:themeColor="text1"/>
          <w:szCs w:val="19"/>
          <w:lang w:val="en-US" w:eastAsia="en-US"/>
        </w:rPr>
        <w:t>the protection and welfare of Australians abroad through timely and responsive consular and passport services in specific locations overseas.</w:t>
      </w:r>
    </w:p>
    <w:p w14:paraId="042088CD" w14:textId="4F9AD55D" w:rsidR="009152E8" w:rsidRPr="00A76734" w:rsidRDefault="009152E8" w:rsidP="009152E8">
      <w:pPr>
        <w:pStyle w:val="Exampletext"/>
        <w:rPr>
          <w:rFonts w:eastAsia="Book Antiqua" w:cs="Book Antiqua"/>
          <w:i w:val="0"/>
          <w:iCs/>
          <w:color w:val="000000" w:themeColor="text1"/>
          <w:szCs w:val="19"/>
        </w:rPr>
      </w:pPr>
      <w:r w:rsidRPr="00A76734">
        <w:rPr>
          <w:rFonts w:eastAsia="Book Antiqua" w:cs="Book Antiqua"/>
          <w:i w:val="0"/>
          <w:iCs/>
          <w:color w:val="000000" w:themeColor="text1"/>
          <w:szCs w:val="19"/>
        </w:rPr>
        <w:t xml:space="preserve">Austrade contributes to advancing Australia’s economic prosperity and security by providing support to Australian businesses, educational institutions, associations and government. Our clients include exporters, investors, and businesses in the visitor economy. We assist our clients to: </w:t>
      </w:r>
    </w:p>
    <w:p w14:paraId="6F2CD7C4" w14:textId="77777777" w:rsidR="009152E8" w:rsidRPr="00A76734" w:rsidRDefault="009152E8" w:rsidP="00934C8F">
      <w:pPr>
        <w:pStyle w:val="Exampletextbullet"/>
        <w:numPr>
          <w:ilvl w:val="0"/>
          <w:numId w:val="29"/>
        </w:numPr>
        <w:spacing w:before="60" w:after="60" w:line="240" w:lineRule="auto"/>
        <w:rPr>
          <w:rFonts w:eastAsia="Book Antiqua" w:cs="Book Antiqua"/>
          <w:i w:val="0"/>
          <w:iCs/>
          <w:color w:val="000000" w:themeColor="text1"/>
          <w:szCs w:val="19"/>
          <w:lang w:val="en-US" w:eastAsia="en-US"/>
        </w:rPr>
      </w:pPr>
      <w:r w:rsidRPr="00A76734">
        <w:rPr>
          <w:rFonts w:eastAsia="Book Antiqua" w:cs="Book Antiqua"/>
          <w:i w:val="0"/>
          <w:iCs/>
          <w:color w:val="000000" w:themeColor="text1"/>
          <w:szCs w:val="19"/>
          <w:lang w:val="en-US" w:eastAsia="en-US"/>
        </w:rPr>
        <w:t>develop international markets;</w:t>
      </w:r>
    </w:p>
    <w:p w14:paraId="265E7C5B" w14:textId="01F82708" w:rsidR="009152E8" w:rsidRPr="00A76734" w:rsidRDefault="00054F8D" w:rsidP="00934C8F">
      <w:pPr>
        <w:pStyle w:val="Exampletextbullet"/>
        <w:numPr>
          <w:ilvl w:val="0"/>
          <w:numId w:val="29"/>
        </w:numPr>
        <w:spacing w:before="60" w:after="60" w:line="240" w:lineRule="auto"/>
        <w:rPr>
          <w:rFonts w:eastAsia="Book Antiqua" w:cs="Book Antiqua"/>
          <w:i w:val="0"/>
          <w:iCs/>
          <w:color w:val="000000" w:themeColor="text1"/>
          <w:szCs w:val="19"/>
          <w:lang w:val="en-US" w:eastAsia="en-US"/>
        </w:rPr>
      </w:pPr>
      <w:r>
        <w:rPr>
          <w:rFonts w:eastAsia="Book Antiqua" w:cs="Book Antiqua"/>
          <w:i w:val="0"/>
          <w:iCs/>
          <w:color w:val="000000" w:themeColor="text1"/>
          <w:szCs w:val="19"/>
          <w:lang w:val="en-US" w:eastAsia="en-US"/>
        </w:rPr>
        <w:t>attract productive Foreign Direct Investment (FDI)</w:t>
      </w:r>
      <w:r w:rsidR="009152E8" w:rsidRPr="00A76734">
        <w:rPr>
          <w:rFonts w:eastAsia="Book Antiqua" w:cs="Book Antiqua"/>
          <w:i w:val="0"/>
          <w:iCs/>
          <w:color w:val="000000" w:themeColor="text1"/>
          <w:szCs w:val="19"/>
          <w:lang w:val="en-US" w:eastAsia="en-US"/>
        </w:rPr>
        <w:t>;</w:t>
      </w:r>
    </w:p>
    <w:p w14:paraId="11D5762B" w14:textId="77777777" w:rsidR="009152E8" w:rsidRPr="00A76734" w:rsidRDefault="009152E8" w:rsidP="00934C8F">
      <w:pPr>
        <w:pStyle w:val="Exampletextbullet"/>
        <w:numPr>
          <w:ilvl w:val="0"/>
          <w:numId w:val="29"/>
        </w:numPr>
        <w:spacing w:before="60" w:after="60" w:line="240" w:lineRule="auto"/>
        <w:rPr>
          <w:rFonts w:eastAsia="Book Antiqua" w:cs="Book Antiqua"/>
          <w:i w:val="0"/>
          <w:iCs/>
          <w:color w:val="000000" w:themeColor="text1"/>
          <w:szCs w:val="19"/>
          <w:lang w:val="en-US" w:eastAsia="en-US"/>
        </w:rPr>
      </w:pPr>
      <w:r w:rsidRPr="00A76734">
        <w:rPr>
          <w:rFonts w:eastAsia="Book Antiqua" w:cs="Book Antiqua"/>
          <w:i w:val="0"/>
          <w:iCs/>
          <w:color w:val="000000" w:themeColor="text1"/>
          <w:szCs w:val="19"/>
          <w:lang w:val="en-US" w:eastAsia="en-US"/>
        </w:rPr>
        <w:t xml:space="preserve">promote Australian education for international students; and </w:t>
      </w:r>
    </w:p>
    <w:p w14:paraId="4523118F" w14:textId="77777777" w:rsidR="009152E8" w:rsidRPr="00A76734" w:rsidRDefault="009152E8" w:rsidP="00934C8F">
      <w:pPr>
        <w:pStyle w:val="Exampletextbullet"/>
        <w:numPr>
          <w:ilvl w:val="0"/>
          <w:numId w:val="29"/>
        </w:numPr>
        <w:spacing w:before="60" w:after="60" w:line="240" w:lineRule="auto"/>
        <w:rPr>
          <w:rFonts w:eastAsia="Book Antiqua" w:cs="Book Antiqua"/>
          <w:i w:val="0"/>
          <w:iCs/>
          <w:color w:val="000000" w:themeColor="text1"/>
          <w:szCs w:val="19"/>
          <w:lang w:val="en-US" w:eastAsia="en-US"/>
        </w:rPr>
      </w:pPr>
      <w:r w:rsidRPr="00A76734">
        <w:rPr>
          <w:rFonts w:eastAsia="Book Antiqua" w:cs="Book Antiqua"/>
          <w:i w:val="0"/>
          <w:iCs/>
          <w:color w:val="000000" w:themeColor="text1"/>
          <w:szCs w:val="19"/>
          <w:lang w:val="en-US" w:eastAsia="en-US"/>
        </w:rPr>
        <w:t xml:space="preserve">develop tourism products and services, capability and capacity to strengthen the industry. </w:t>
      </w:r>
    </w:p>
    <w:p w14:paraId="6D656ECB" w14:textId="7E5F91E8" w:rsidR="009152E8" w:rsidRPr="00A76734" w:rsidRDefault="005F0699" w:rsidP="009152E8">
      <w:pPr>
        <w:pStyle w:val="Exampletext"/>
        <w:rPr>
          <w:rFonts w:eastAsia="Book Antiqua" w:cs="Book Antiqua"/>
          <w:i w:val="0"/>
          <w:iCs/>
          <w:color w:val="000000" w:themeColor="text1"/>
          <w:szCs w:val="19"/>
        </w:rPr>
      </w:pPr>
      <w:r w:rsidRPr="005F0699">
        <w:rPr>
          <w:rFonts w:eastAsia="Book Antiqua" w:cs="Book Antiqua"/>
          <w:i w:val="0"/>
          <w:iCs/>
          <w:color w:val="000000" w:themeColor="text1"/>
          <w:szCs w:val="19"/>
        </w:rPr>
        <w:t>Austrade’s international trade and investment network includes our own representatives in 61 overseas locations. Austrade continues to provide consular and passport services to Australians in 11 of these overseas locations, extending the reach of Australia’s consular network.</w:t>
      </w:r>
      <w:r w:rsidR="009152E8" w:rsidRPr="00A76734">
        <w:rPr>
          <w:rFonts w:eastAsia="Book Antiqua" w:cs="Book Antiqua"/>
          <w:i w:val="0"/>
          <w:iCs/>
          <w:color w:val="000000" w:themeColor="text1"/>
          <w:szCs w:val="19"/>
        </w:rPr>
        <w:t xml:space="preserve">  </w:t>
      </w:r>
    </w:p>
    <w:p w14:paraId="191C3704" w14:textId="77777777" w:rsidR="00C970E6" w:rsidRPr="00C970E6" w:rsidRDefault="00C970E6" w:rsidP="00C970E6">
      <w:pPr>
        <w:pStyle w:val="Exampletext"/>
        <w:rPr>
          <w:rFonts w:eastAsia="Book Antiqua" w:cs="Book Antiqua"/>
          <w:i w:val="0"/>
          <w:iCs/>
          <w:color w:val="000000" w:themeColor="text1"/>
          <w:szCs w:val="19"/>
        </w:rPr>
      </w:pPr>
      <w:r w:rsidRPr="00C970E6">
        <w:rPr>
          <w:rFonts w:eastAsia="Book Antiqua" w:cs="Book Antiqua"/>
          <w:i w:val="0"/>
          <w:iCs/>
          <w:color w:val="000000" w:themeColor="text1"/>
          <w:szCs w:val="19"/>
        </w:rPr>
        <w:t xml:space="preserve">Within Australia, Austrade operates in 10 locations. Our reach is extended through the TradeStart Network, which operates across regional and metropolitan Australia. This network is managed and co-funded in partnership with State, Territory and local governments and industry bodies. We also partner with other Australian Government </w:t>
      </w:r>
      <w:r w:rsidRPr="00C970E6">
        <w:rPr>
          <w:rFonts w:eastAsia="Book Antiqua" w:cs="Book Antiqua"/>
          <w:i w:val="0"/>
          <w:iCs/>
          <w:color w:val="000000" w:themeColor="text1"/>
          <w:szCs w:val="19"/>
        </w:rPr>
        <w:lastRenderedPageBreak/>
        <w:t xml:space="preserve">departments and agencies, businesses, industries, and peak bodies to deliver economic benefits. </w:t>
      </w:r>
    </w:p>
    <w:p w14:paraId="6A77630D" w14:textId="2D5B4FA2" w:rsidR="00C970E6" w:rsidRPr="00C970E6" w:rsidRDefault="00C970E6" w:rsidP="00C970E6">
      <w:pPr>
        <w:pStyle w:val="Exampletext"/>
        <w:rPr>
          <w:rFonts w:eastAsia="Book Antiqua" w:cs="Book Antiqua"/>
          <w:i w:val="0"/>
          <w:iCs/>
          <w:color w:val="000000" w:themeColor="text1"/>
          <w:szCs w:val="19"/>
        </w:rPr>
      </w:pPr>
      <w:r w:rsidRPr="00C970E6">
        <w:rPr>
          <w:rFonts w:eastAsia="Book Antiqua" w:cs="Book Antiqua"/>
          <w:i w:val="0"/>
          <w:iCs/>
          <w:color w:val="000000" w:themeColor="text1"/>
          <w:szCs w:val="19"/>
        </w:rPr>
        <w:t xml:space="preserve">Drawing on our commercial knowledge, international networks, relationships and connections with international customers, investors and decision makers, Austrade provides practical in-market support to our clients around the world. We also use our </w:t>
      </w:r>
      <w:r w:rsidR="0038547F">
        <w:rPr>
          <w:rFonts w:eastAsia="Book Antiqua" w:cs="Book Antiqua"/>
          <w:i w:val="0"/>
          <w:iCs/>
          <w:color w:val="000000" w:themeColor="text1"/>
          <w:szCs w:val="19"/>
          <w:lang w:val="en-AU"/>
        </w:rPr>
        <w:t xml:space="preserve">business connections and </w:t>
      </w:r>
      <w:r w:rsidRPr="00C970E6">
        <w:rPr>
          <w:rFonts w:eastAsia="Book Antiqua" w:cs="Book Antiqua"/>
          <w:i w:val="0"/>
          <w:iCs/>
          <w:color w:val="000000" w:themeColor="text1"/>
          <w:szCs w:val="19"/>
        </w:rPr>
        <w:t xml:space="preserve">global and commercial perspectives to contribute to policy advice to government. </w:t>
      </w:r>
    </w:p>
    <w:p w14:paraId="011FD852" w14:textId="61D31D26" w:rsidR="00C970E6" w:rsidRPr="00C970E6" w:rsidRDefault="00C970E6" w:rsidP="00C970E6">
      <w:pPr>
        <w:pStyle w:val="Exampletext"/>
        <w:rPr>
          <w:rFonts w:eastAsia="Book Antiqua" w:cs="Book Antiqua"/>
          <w:i w:val="0"/>
          <w:iCs/>
          <w:color w:val="000000" w:themeColor="text1"/>
          <w:szCs w:val="19"/>
        </w:rPr>
      </w:pPr>
      <w:r w:rsidRPr="00C970E6">
        <w:rPr>
          <w:rFonts w:eastAsia="Book Antiqua" w:cs="Book Antiqua"/>
          <w:i w:val="0"/>
          <w:iCs/>
          <w:color w:val="000000" w:themeColor="text1"/>
          <w:szCs w:val="19"/>
        </w:rPr>
        <w:t>In 2024-25, Austrade will continue to assist Australian busines</w:t>
      </w:r>
      <w:r w:rsidR="009044D7">
        <w:rPr>
          <w:rFonts w:eastAsia="Book Antiqua" w:cs="Book Antiqua"/>
          <w:i w:val="0"/>
          <w:iCs/>
          <w:color w:val="000000" w:themeColor="text1"/>
          <w:szCs w:val="19"/>
          <w:lang w:val="en-AU"/>
        </w:rPr>
        <w:t>ses</w:t>
      </w:r>
      <w:r w:rsidR="00CB6054">
        <w:rPr>
          <w:rFonts w:eastAsia="Book Antiqua" w:cs="Book Antiqua"/>
          <w:i w:val="0"/>
          <w:iCs/>
          <w:color w:val="000000" w:themeColor="text1"/>
          <w:szCs w:val="19"/>
          <w:lang w:val="en-AU"/>
        </w:rPr>
        <w:t xml:space="preserve"> to become </w:t>
      </w:r>
      <w:r w:rsidR="000471A7">
        <w:rPr>
          <w:rFonts w:eastAsia="Book Antiqua" w:cs="Book Antiqua"/>
          <w:i w:val="0"/>
          <w:iCs/>
          <w:color w:val="000000" w:themeColor="text1"/>
          <w:szCs w:val="19"/>
          <w:lang w:val="en-AU"/>
        </w:rPr>
        <w:t xml:space="preserve">export ready, </w:t>
      </w:r>
      <w:r w:rsidRPr="00C970E6">
        <w:rPr>
          <w:rFonts w:eastAsia="Book Antiqua" w:cs="Book Antiqua"/>
          <w:i w:val="0"/>
          <w:iCs/>
          <w:color w:val="000000" w:themeColor="text1"/>
          <w:szCs w:val="19"/>
        </w:rPr>
        <w:t xml:space="preserve">expand internationally and to diversify through trade facilitation, program support and the promotion of Australian capabilities. Austrade’s strategy is to </w:t>
      </w:r>
      <w:r w:rsidR="002D2D12">
        <w:rPr>
          <w:rFonts w:eastAsia="Book Antiqua" w:cs="Book Antiqua"/>
          <w:i w:val="0"/>
          <w:iCs/>
          <w:color w:val="000000" w:themeColor="text1"/>
          <w:szCs w:val="19"/>
          <w:lang w:val="en-AU"/>
        </w:rPr>
        <w:t xml:space="preserve">target </w:t>
      </w:r>
      <w:r w:rsidRPr="00C970E6">
        <w:rPr>
          <w:rFonts w:eastAsia="Book Antiqua" w:cs="Book Antiqua"/>
          <w:i w:val="0"/>
          <w:iCs/>
          <w:color w:val="000000" w:themeColor="text1"/>
          <w:szCs w:val="19"/>
        </w:rPr>
        <w:t>activities in markets where we can have the biggest impact</w:t>
      </w:r>
      <w:r w:rsidR="00FC4CF8">
        <w:rPr>
          <w:rFonts w:eastAsia="Book Antiqua" w:cs="Book Antiqua"/>
          <w:i w:val="0"/>
          <w:iCs/>
          <w:color w:val="000000" w:themeColor="text1"/>
          <w:szCs w:val="19"/>
          <w:lang w:val="en-AU"/>
        </w:rPr>
        <w:t xml:space="preserve"> to</w:t>
      </w:r>
      <w:r w:rsidRPr="00C970E6">
        <w:rPr>
          <w:rFonts w:eastAsia="Book Antiqua" w:cs="Book Antiqua"/>
          <w:i w:val="0"/>
          <w:iCs/>
          <w:color w:val="000000" w:themeColor="text1"/>
          <w:szCs w:val="19"/>
        </w:rPr>
        <w:t xml:space="preserve"> deliver the Australian Government’s economic security, net zero, and trade diversification objectives, </w:t>
      </w:r>
      <w:r w:rsidR="003E7866">
        <w:rPr>
          <w:rFonts w:eastAsia="Book Antiqua" w:cs="Book Antiqua"/>
          <w:i w:val="0"/>
          <w:iCs/>
          <w:color w:val="000000" w:themeColor="text1"/>
          <w:szCs w:val="19"/>
          <w:lang w:val="en-AU"/>
        </w:rPr>
        <w:t xml:space="preserve">as well as </w:t>
      </w:r>
      <w:r w:rsidR="00796261">
        <w:rPr>
          <w:rFonts w:eastAsia="Book Antiqua" w:cs="Book Antiqua"/>
          <w:i w:val="0"/>
          <w:iCs/>
          <w:color w:val="000000" w:themeColor="text1"/>
          <w:szCs w:val="19"/>
          <w:lang w:val="en-AU"/>
        </w:rPr>
        <w:t xml:space="preserve">a </w:t>
      </w:r>
      <w:r w:rsidR="00055682">
        <w:rPr>
          <w:rFonts w:eastAsia="Book Antiqua" w:cs="Book Antiqua"/>
          <w:i w:val="0"/>
          <w:iCs/>
          <w:color w:val="000000" w:themeColor="text1"/>
          <w:szCs w:val="19"/>
          <w:lang w:val="en-AU"/>
        </w:rPr>
        <w:t>F</w:t>
      </w:r>
      <w:r w:rsidR="00796261">
        <w:rPr>
          <w:rFonts w:eastAsia="Book Antiqua" w:cs="Book Antiqua"/>
          <w:i w:val="0"/>
          <w:iCs/>
          <w:color w:val="000000" w:themeColor="text1"/>
          <w:szCs w:val="19"/>
          <w:lang w:val="en-AU"/>
        </w:rPr>
        <w:t>uture Made in Australia</w:t>
      </w:r>
      <w:r w:rsidRPr="00C970E6">
        <w:rPr>
          <w:rFonts w:eastAsia="Book Antiqua" w:cs="Book Antiqua"/>
          <w:i w:val="0"/>
          <w:iCs/>
          <w:color w:val="000000" w:themeColor="text1"/>
          <w:szCs w:val="19"/>
        </w:rPr>
        <w:t>.</w:t>
      </w:r>
    </w:p>
    <w:p w14:paraId="7B3C3FB5" w14:textId="3A85BDBC" w:rsidR="00C25331" w:rsidRPr="00141C58" w:rsidRDefault="00C25331" w:rsidP="00C25331">
      <w:pPr>
        <w:pStyle w:val="Heading3"/>
        <w:rPr>
          <w:rFonts w:ascii="Book Antiqua" w:eastAsia="Book Antiqua" w:hAnsi="Book Antiqua" w:cs="Book Antiqua"/>
          <w:b w:val="0"/>
          <w:iCs/>
          <w:color w:val="000000" w:themeColor="text1"/>
          <w:sz w:val="19"/>
          <w:szCs w:val="19"/>
          <w:lang w:val="x-none" w:eastAsia="x-none"/>
        </w:rPr>
      </w:pPr>
      <w:r w:rsidRPr="00141C58">
        <w:rPr>
          <w:rFonts w:ascii="Book Antiqua" w:eastAsia="Book Antiqua" w:hAnsi="Book Antiqua" w:cs="Book Antiqua"/>
          <w:b w:val="0"/>
          <w:iCs/>
          <w:color w:val="000000" w:themeColor="text1"/>
          <w:sz w:val="19"/>
          <w:szCs w:val="19"/>
          <w:lang w:val="x-none" w:eastAsia="x-none"/>
        </w:rPr>
        <w:t xml:space="preserve">In particular, Austrade will enhance the Go Global Toolkit to </w:t>
      </w:r>
      <w:r w:rsidR="005B284D" w:rsidRPr="00141C58">
        <w:rPr>
          <w:rFonts w:ascii="Book Antiqua" w:eastAsia="Book Antiqua" w:hAnsi="Book Antiqua" w:cs="Book Antiqua"/>
          <w:b w:val="0"/>
          <w:iCs/>
          <w:color w:val="000000" w:themeColor="text1"/>
          <w:sz w:val="19"/>
          <w:szCs w:val="19"/>
          <w:lang w:eastAsia="x-none"/>
        </w:rPr>
        <w:t xml:space="preserve">continue </w:t>
      </w:r>
      <w:r w:rsidRPr="00141C58">
        <w:rPr>
          <w:rFonts w:ascii="Book Antiqua" w:eastAsia="Book Antiqua" w:hAnsi="Book Antiqua" w:cs="Book Antiqua"/>
          <w:b w:val="0"/>
          <w:iCs/>
          <w:color w:val="000000" w:themeColor="text1"/>
          <w:sz w:val="19"/>
          <w:szCs w:val="19"/>
          <w:lang w:val="x-none" w:eastAsia="x-none"/>
        </w:rPr>
        <w:t>support</w:t>
      </w:r>
      <w:r w:rsidR="005B284D" w:rsidRPr="00141C58">
        <w:rPr>
          <w:rFonts w:ascii="Book Antiqua" w:eastAsia="Book Antiqua" w:hAnsi="Book Antiqua" w:cs="Book Antiqua"/>
          <w:b w:val="0"/>
          <w:iCs/>
          <w:color w:val="000000" w:themeColor="text1"/>
          <w:sz w:val="19"/>
          <w:szCs w:val="19"/>
          <w:lang w:eastAsia="x-none"/>
        </w:rPr>
        <w:t>ing</w:t>
      </w:r>
      <w:r w:rsidRPr="00141C58">
        <w:rPr>
          <w:rFonts w:ascii="Book Antiqua" w:eastAsia="Book Antiqua" w:hAnsi="Book Antiqua" w:cs="Book Antiqua"/>
          <w:b w:val="0"/>
          <w:iCs/>
          <w:color w:val="000000" w:themeColor="text1"/>
          <w:sz w:val="19"/>
          <w:szCs w:val="19"/>
          <w:lang w:val="x-none" w:eastAsia="x-none"/>
        </w:rPr>
        <w:t xml:space="preserve"> all Australian businesses to export goods and services. Austrade will also continue to administer the Export Market Development Grants (EMDG) program, with a focus on better aligning the program with government priorities</w:t>
      </w:r>
      <w:r w:rsidR="005F2770">
        <w:rPr>
          <w:rFonts w:ascii="Book Antiqua" w:eastAsia="Book Antiqua" w:hAnsi="Book Antiqua" w:cs="Book Antiqua"/>
          <w:b w:val="0"/>
          <w:iCs/>
          <w:color w:val="000000" w:themeColor="text1"/>
          <w:sz w:val="19"/>
          <w:szCs w:val="19"/>
          <w:lang w:eastAsia="x-none"/>
        </w:rPr>
        <w:t>,</w:t>
      </w:r>
      <w:r w:rsidRPr="00141C58">
        <w:rPr>
          <w:rFonts w:ascii="Book Antiqua" w:eastAsia="Book Antiqua" w:hAnsi="Book Antiqua" w:cs="Book Antiqua"/>
          <w:b w:val="0"/>
          <w:iCs/>
          <w:color w:val="000000" w:themeColor="text1"/>
          <w:sz w:val="19"/>
          <w:szCs w:val="19"/>
          <w:lang w:val="x-none" w:eastAsia="x-none"/>
        </w:rPr>
        <w:t xml:space="preserve"> improving </w:t>
      </w:r>
      <w:r w:rsidR="005B284D" w:rsidRPr="00141C58">
        <w:rPr>
          <w:rFonts w:ascii="Book Antiqua" w:eastAsia="Book Antiqua" w:hAnsi="Book Antiqua" w:cs="Book Antiqua"/>
          <w:b w:val="0"/>
          <w:iCs/>
          <w:color w:val="000000" w:themeColor="text1"/>
          <w:sz w:val="19"/>
          <w:szCs w:val="19"/>
          <w:lang w:eastAsia="x-none"/>
        </w:rPr>
        <w:t>grant sizes and export readiness</w:t>
      </w:r>
      <w:r w:rsidRPr="00141C58">
        <w:rPr>
          <w:rFonts w:ascii="Book Antiqua" w:eastAsia="Book Antiqua" w:hAnsi="Book Antiqua" w:cs="Book Antiqua"/>
          <w:b w:val="0"/>
          <w:iCs/>
          <w:color w:val="000000" w:themeColor="text1"/>
          <w:sz w:val="19"/>
          <w:szCs w:val="19"/>
          <w:lang w:val="x-none" w:eastAsia="x-none"/>
        </w:rPr>
        <w:t>. Through the EMDG program, Austrade supports Australian small and medium enterprises to commence, expand and diversify export promotional activity.</w:t>
      </w:r>
    </w:p>
    <w:p w14:paraId="2C517BEF" w14:textId="063D9B1A" w:rsidR="00D27D27" w:rsidRPr="00141C58" w:rsidRDefault="00C25331" w:rsidP="00C25331">
      <w:pPr>
        <w:pStyle w:val="Heading3"/>
        <w:rPr>
          <w:rFonts w:ascii="Book Antiqua" w:eastAsia="Book Antiqua" w:hAnsi="Book Antiqua" w:cs="Book Antiqua"/>
          <w:b w:val="0"/>
          <w:iCs/>
          <w:color w:val="000000" w:themeColor="text1"/>
          <w:sz w:val="19"/>
          <w:szCs w:val="19"/>
          <w:lang w:val="x-none" w:eastAsia="x-none"/>
        </w:rPr>
      </w:pPr>
      <w:r w:rsidRPr="00141C58">
        <w:rPr>
          <w:rFonts w:ascii="Book Antiqua" w:eastAsia="Book Antiqua" w:hAnsi="Book Antiqua" w:cs="Book Antiqua"/>
          <w:b w:val="0"/>
          <w:iCs/>
          <w:color w:val="000000" w:themeColor="text1"/>
          <w:sz w:val="19"/>
          <w:szCs w:val="19"/>
          <w:lang w:val="x-none" w:eastAsia="x-none"/>
        </w:rPr>
        <w:t xml:space="preserve">Austrade is a key contributor to </w:t>
      </w:r>
      <w:r w:rsidRPr="00CA41DA">
        <w:rPr>
          <w:rFonts w:ascii="Book Antiqua" w:eastAsia="Book Antiqua" w:hAnsi="Book Antiqua" w:cs="Book Antiqua"/>
          <w:b w:val="0"/>
          <w:i/>
          <w:color w:val="000000" w:themeColor="text1"/>
          <w:sz w:val="19"/>
          <w:szCs w:val="19"/>
          <w:lang w:val="x-none" w:eastAsia="x-none"/>
        </w:rPr>
        <w:t>implementing Invested: Australia’s Southeast Asia Economic Strategy to 2040</w:t>
      </w:r>
      <w:r w:rsidRPr="00141C58">
        <w:rPr>
          <w:rFonts w:ascii="Book Antiqua" w:eastAsia="Book Antiqua" w:hAnsi="Book Antiqua" w:cs="Book Antiqua"/>
          <w:b w:val="0"/>
          <w:iCs/>
          <w:color w:val="000000" w:themeColor="text1"/>
          <w:sz w:val="19"/>
          <w:szCs w:val="19"/>
          <w:lang w:val="x-none" w:eastAsia="x-none"/>
        </w:rPr>
        <w:t>, which sets out a practical pathway to increase Australia’s two-way trade with the region. Key initiatives that we contribute to</w:t>
      </w:r>
      <w:r w:rsidR="002F7DBD">
        <w:rPr>
          <w:rFonts w:ascii="Book Antiqua" w:eastAsia="Book Antiqua" w:hAnsi="Book Antiqua" w:cs="Book Antiqua"/>
          <w:b w:val="0"/>
          <w:iCs/>
          <w:color w:val="000000" w:themeColor="text1"/>
          <w:sz w:val="19"/>
          <w:szCs w:val="19"/>
          <w:lang w:eastAsia="x-none"/>
        </w:rPr>
        <w:t xml:space="preserve"> are</w:t>
      </w:r>
      <w:r w:rsidRPr="00141C58">
        <w:rPr>
          <w:rFonts w:ascii="Book Antiqua" w:eastAsia="Book Antiqua" w:hAnsi="Book Antiqua" w:cs="Book Antiqua"/>
          <w:b w:val="0"/>
          <w:iCs/>
          <w:color w:val="000000" w:themeColor="text1"/>
          <w:sz w:val="19"/>
          <w:szCs w:val="19"/>
          <w:lang w:val="x-none" w:eastAsia="x-none"/>
        </w:rPr>
        <w:t xml:space="preserve"> </w:t>
      </w:r>
      <w:r w:rsidR="00AA367B" w:rsidRPr="00141C58">
        <w:rPr>
          <w:rFonts w:ascii="Book Antiqua" w:eastAsia="Book Antiqua" w:hAnsi="Book Antiqua" w:cs="Book Antiqua"/>
          <w:b w:val="0"/>
          <w:iCs/>
          <w:color w:val="000000" w:themeColor="text1"/>
          <w:sz w:val="19"/>
          <w:szCs w:val="19"/>
          <w:lang w:eastAsia="x-none"/>
        </w:rPr>
        <w:t xml:space="preserve">the Australia </w:t>
      </w:r>
      <w:r w:rsidRPr="00141C58">
        <w:rPr>
          <w:rFonts w:ascii="Book Antiqua" w:eastAsia="Book Antiqua" w:hAnsi="Book Antiqua" w:cs="Book Antiqua"/>
          <w:b w:val="0"/>
          <w:iCs/>
          <w:color w:val="000000" w:themeColor="text1"/>
          <w:sz w:val="19"/>
          <w:szCs w:val="19"/>
          <w:lang w:val="x-none" w:eastAsia="x-none"/>
        </w:rPr>
        <w:t xml:space="preserve">Southeast Asia Business Exchange (SEABX), Southeast Asia Investment Deal Teams, and our technology Landing Pad program locations in Ho Chi Minh City, Jakarta and Singapore.  </w:t>
      </w:r>
    </w:p>
    <w:p w14:paraId="51650B46" w14:textId="2D318EC4" w:rsidR="00C25331" w:rsidRPr="00C25331" w:rsidRDefault="00C25331" w:rsidP="00C25331">
      <w:pPr>
        <w:pStyle w:val="Heading3"/>
        <w:rPr>
          <w:rFonts w:ascii="Book Antiqua" w:eastAsia="Book Antiqua" w:hAnsi="Book Antiqua" w:cs="Book Antiqua"/>
          <w:b w:val="0"/>
          <w:iCs/>
          <w:color w:val="000000" w:themeColor="text1"/>
          <w:sz w:val="19"/>
          <w:szCs w:val="19"/>
          <w:lang w:val="x-none" w:eastAsia="x-none"/>
        </w:rPr>
      </w:pPr>
      <w:r w:rsidRPr="00141C58">
        <w:rPr>
          <w:rFonts w:ascii="Book Antiqua" w:eastAsia="Book Antiqua" w:hAnsi="Book Antiqua" w:cs="Book Antiqua"/>
          <w:b w:val="0"/>
          <w:iCs/>
          <w:color w:val="000000" w:themeColor="text1"/>
          <w:sz w:val="19"/>
          <w:szCs w:val="19"/>
          <w:lang w:val="x-none" w:eastAsia="x-none"/>
        </w:rPr>
        <w:t xml:space="preserve">Building on the successes of the Australia-India Business Exchange (AIBX) program, Austrade will continue to have a key focus on supporting Australian businesses to </w:t>
      </w:r>
      <w:r w:rsidR="00AA367B" w:rsidRPr="00141C58">
        <w:rPr>
          <w:rFonts w:ascii="Book Antiqua" w:eastAsia="Book Antiqua" w:hAnsi="Book Antiqua" w:cs="Book Antiqua"/>
          <w:b w:val="0"/>
          <w:iCs/>
          <w:color w:val="000000" w:themeColor="text1"/>
          <w:sz w:val="19"/>
          <w:szCs w:val="19"/>
          <w:lang w:eastAsia="x-none"/>
        </w:rPr>
        <w:t>build trade and investment</w:t>
      </w:r>
      <w:r w:rsidR="00141C58" w:rsidRPr="00141C58">
        <w:rPr>
          <w:rFonts w:ascii="Book Antiqua" w:eastAsia="Book Antiqua" w:hAnsi="Book Antiqua" w:cs="Book Antiqua"/>
          <w:b w:val="0"/>
          <w:iCs/>
          <w:color w:val="000000" w:themeColor="text1"/>
          <w:sz w:val="19"/>
          <w:szCs w:val="19"/>
          <w:lang w:eastAsia="x-none"/>
        </w:rPr>
        <w:t xml:space="preserve"> ties with India and the South Asian region.</w:t>
      </w:r>
      <w:r w:rsidR="00941F99">
        <w:rPr>
          <w:rFonts w:ascii="Book Antiqua" w:eastAsia="Book Antiqua" w:hAnsi="Book Antiqua" w:cs="Book Antiqua"/>
          <w:b w:val="0"/>
          <w:iCs/>
          <w:color w:val="000000" w:themeColor="text1"/>
          <w:sz w:val="19"/>
          <w:szCs w:val="19"/>
          <w:lang w:eastAsia="x-none"/>
        </w:rPr>
        <w:t xml:space="preserve"> Austrade will also </w:t>
      </w:r>
      <w:r w:rsidR="006E4B20">
        <w:rPr>
          <w:rFonts w:ascii="Book Antiqua" w:eastAsia="Book Antiqua" w:hAnsi="Book Antiqua" w:cs="Book Antiqua"/>
          <w:b w:val="0"/>
          <w:iCs/>
          <w:color w:val="000000" w:themeColor="text1"/>
          <w:sz w:val="19"/>
          <w:szCs w:val="19"/>
          <w:lang w:eastAsia="x-none"/>
        </w:rPr>
        <w:t xml:space="preserve">provide additional support for Australian agricultural exporters as they re-enter the China market, while continuing to support </w:t>
      </w:r>
      <w:r w:rsidR="00ED5B3C">
        <w:rPr>
          <w:rFonts w:ascii="Book Antiqua" w:eastAsia="Book Antiqua" w:hAnsi="Book Antiqua" w:cs="Book Antiqua"/>
          <w:b w:val="0"/>
          <w:iCs/>
          <w:color w:val="000000" w:themeColor="text1"/>
          <w:sz w:val="19"/>
          <w:szCs w:val="19"/>
          <w:lang w:eastAsia="x-none"/>
        </w:rPr>
        <w:t xml:space="preserve">broader </w:t>
      </w:r>
      <w:r w:rsidR="00524C33">
        <w:rPr>
          <w:rFonts w:ascii="Book Antiqua" w:eastAsia="Book Antiqua" w:hAnsi="Book Antiqua" w:cs="Book Antiqua"/>
          <w:b w:val="0"/>
          <w:iCs/>
          <w:color w:val="000000" w:themeColor="text1"/>
          <w:sz w:val="19"/>
          <w:szCs w:val="19"/>
          <w:lang w:eastAsia="x-none"/>
        </w:rPr>
        <w:t>market expansion and diversification.</w:t>
      </w:r>
    </w:p>
    <w:p w14:paraId="2C6E5479" w14:textId="2CF0A88C" w:rsidR="00C25331" w:rsidRPr="00C25331" w:rsidRDefault="00C25331" w:rsidP="00C25331">
      <w:pPr>
        <w:pStyle w:val="Heading3"/>
        <w:rPr>
          <w:rFonts w:ascii="Book Antiqua" w:eastAsia="Book Antiqua" w:hAnsi="Book Antiqua" w:cs="Book Antiqua"/>
          <w:b w:val="0"/>
          <w:iCs/>
          <w:color w:val="000000" w:themeColor="text1"/>
          <w:sz w:val="19"/>
          <w:szCs w:val="19"/>
          <w:lang w:val="x-none" w:eastAsia="x-none"/>
        </w:rPr>
      </w:pPr>
      <w:r w:rsidRPr="00C25331">
        <w:rPr>
          <w:rFonts w:ascii="Book Antiqua" w:eastAsia="Book Antiqua" w:hAnsi="Book Antiqua" w:cs="Book Antiqua"/>
          <w:b w:val="0"/>
          <w:iCs/>
          <w:color w:val="000000" w:themeColor="text1"/>
          <w:sz w:val="19"/>
          <w:szCs w:val="19"/>
          <w:lang w:val="x-none" w:eastAsia="x-none"/>
        </w:rPr>
        <w:t xml:space="preserve">Austrade is also committed to supporting First Nations businesses to find international markets, grow their exports and achieve global success, as well as embedding First Nations perspectives, experiences, and interests in all of our activities. This includes contributing to </w:t>
      </w:r>
      <w:r w:rsidR="00861CAB">
        <w:rPr>
          <w:rFonts w:ascii="Book Antiqua" w:eastAsia="Book Antiqua" w:hAnsi="Book Antiqua" w:cs="Book Antiqua"/>
          <w:b w:val="0"/>
          <w:iCs/>
          <w:color w:val="000000" w:themeColor="text1"/>
          <w:sz w:val="19"/>
          <w:szCs w:val="19"/>
          <w:lang w:eastAsia="x-none"/>
        </w:rPr>
        <w:t xml:space="preserve">the Government’s </w:t>
      </w:r>
      <w:r w:rsidR="00557D3F">
        <w:rPr>
          <w:rFonts w:ascii="Book Antiqua" w:eastAsia="Book Antiqua" w:hAnsi="Book Antiqua" w:cs="Book Antiqua"/>
          <w:b w:val="0"/>
          <w:iCs/>
          <w:color w:val="000000" w:themeColor="text1"/>
          <w:sz w:val="19"/>
          <w:szCs w:val="19"/>
          <w:lang w:eastAsia="x-none"/>
        </w:rPr>
        <w:t xml:space="preserve">First Nations Foreign Policy </w:t>
      </w:r>
      <w:r w:rsidRPr="00C25331">
        <w:rPr>
          <w:rFonts w:ascii="Book Antiqua" w:eastAsia="Book Antiqua" w:hAnsi="Book Antiqua" w:cs="Book Antiqua"/>
          <w:b w:val="0"/>
          <w:iCs/>
          <w:color w:val="000000" w:themeColor="text1"/>
          <w:sz w:val="19"/>
          <w:szCs w:val="19"/>
          <w:lang w:val="x-none" w:eastAsia="x-none"/>
        </w:rPr>
        <w:t>Agenda</w:t>
      </w:r>
      <w:r w:rsidR="00557D3F">
        <w:rPr>
          <w:rFonts w:ascii="Book Antiqua" w:eastAsia="Book Antiqua" w:hAnsi="Book Antiqua" w:cs="Book Antiqua"/>
          <w:b w:val="0"/>
          <w:iCs/>
          <w:color w:val="000000" w:themeColor="text1"/>
          <w:sz w:val="19"/>
          <w:szCs w:val="19"/>
          <w:lang w:eastAsia="x-none"/>
        </w:rPr>
        <w:t xml:space="preserve">, led </w:t>
      </w:r>
      <w:r w:rsidR="0042146C">
        <w:rPr>
          <w:rFonts w:ascii="Book Antiqua" w:eastAsia="Book Antiqua" w:hAnsi="Book Antiqua" w:cs="Book Antiqua"/>
          <w:b w:val="0"/>
          <w:iCs/>
          <w:color w:val="000000" w:themeColor="text1"/>
          <w:sz w:val="19"/>
          <w:szCs w:val="19"/>
          <w:lang w:eastAsia="x-none"/>
        </w:rPr>
        <w:t xml:space="preserve">by the DFAT Ambassador for First Nations People, supporting First Nations businesses to access </w:t>
      </w:r>
      <w:r w:rsidR="00896895">
        <w:rPr>
          <w:rFonts w:ascii="Book Antiqua" w:eastAsia="Book Antiqua" w:hAnsi="Book Antiqua" w:cs="Book Antiqua"/>
          <w:b w:val="0"/>
          <w:iCs/>
          <w:color w:val="000000" w:themeColor="text1"/>
          <w:sz w:val="19"/>
          <w:szCs w:val="19"/>
          <w:lang w:eastAsia="x-none"/>
        </w:rPr>
        <w:t xml:space="preserve">export trade opportunities, supporting nature positive and culturally sensitive investment into Australia, </w:t>
      </w:r>
      <w:r w:rsidR="002022EE">
        <w:rPr>
          <w:rFonts w:ascii="Book Antiqua" w:eastAsia="Book Antiqua" w:hAnsi="Book Antiqua" w:cs="Book Antiqua"/>
          <w:b w:val="0"/>
          <w:iCs/>
          <w:color w:val="000000" w:themeColor="text1"/>
          <w:sz w:val="19"/>
          <w:szCs w:val="19"/>
          <w:lang w:eastAsia="x-none"/>
        </w:rPr>
        <w:t>a</w:t>
      </w:r>
      <w:r w:rsidRPr="00C25331">
        <w:rPr>
          <w:rFonts w:ascii="Book Antiqua" w:eastAsia="Book Antiqua" w:hAnsi="Book Antiqua" w:cs="Book Antiqua"/>
          <w:b w:val="0"/>
          <w:iCs/>
          <w:color w:val="000000" w:themeColor="text1"/>
          <w:sz w:val="19"/>
          <w:szCs w:val="19"/>
          <w:lang w:val="x-none" w:eastAsia="x-none"/>
        </w:rPr>
        <w:t xml:space="preserve">nd leading </w:t>
      </w:r>
      <w:r w:rsidR="002022EE">
        <w:rPr>
          <w:rFonts w:ascii="Book Antiqua" w:eastAsia="Book Antiqua" w:hAnsi="Book Antiqua" w:cs="Book Antiqua"/>
          <w:b w:val="0"/>
          <w:iCs/>
          <w:color w:val="000000" w:themeColor="text1"/>
          <w:sz w:val="19"/>
          <w:szCs w:val="19"/>
          <w:lang w:eastAsia="x-none"/>
        </w:rPr>
        <w:t xml:space="preserve">co-design </w:t>
      </w:r>
      <w:r w:rsidRPr="00C25331">
        <w:rPr>
          <w:rFonts w:ascii="Book Antiqua" w:eastAsia="Book Antiqua" w:hAnsi="Book Antiqua" w:cs="Book Antiqua"/>
          <w:b w:val="0"/>
          <w:iCs/>
          <w:color w:val="000000" w:themeColor="text1"/>
          <w:sz w:val="19"/>
          <w:szCs w:val="19"/>
          <w:lang w:val="x-none" w:eastAsia="x-none"/>
        </w:rPr>
        <w:t xml:space="preserve">of a First Nations </w:t>
      </w:r>
      <w:r w:rsidR="00295C9C">
        <w:rPr>
          <w:rFonts w:ascii="Book Antiqua" w:eastAsia="Book Antiqua" w:hAnsi="Book Antiqua" w:cs="Book Antiqua"/>
          <w:b w:val="0"/>
          <w:iCs/>
          <w:color w:val="000000" w:themeColor="text1"/>
          <w:sz w:val="19"/>
          <w:szCs w:val="19"/>
          <w:lang w:eastAsia="x-none"/>
        </w:rPr>
        <w:t xml:space="preserve">Visitor Economy </w:t>
      </w:r>
      <w:r w:rsidR="00155D04">
        <w:rPr>
          <w:rFonts w:ascii="Book Antiqua" w:eastAsia="Book Antiqua" w:hAnsi="Book Antiqua" w:cs="Book Antiqua"/>
          <w:b w:val="0"/>
          <w:iCs/>
          <w:color w:val="000000" w:themeColor="text1"/>
          <w:sz w:val="19"/>
          <w:szCs w:val="19"/>
          <w:lang w:eastAsia="x-none"/>
        </w:rPr>
        <w:t>par</w:t>
      </w:r>
      <w:r w:rsidR="00295C9C">
        <w:rPr>
          <w:rFonts w:ascii="Book Antiqua" w:eastAsia="Book Antiqua" w:hAnsi="Book Antiqua" w:cs="Book Antiqua"/>
          <w:b w:val="0"/>
          <w:iCs/>
          <w:color w:val="000000" w:themeColor="text1"/>
          <w:sz w:val="19"/>
          <w:szCs w:val="19"/>
          <w:lang w:eastAsia="x-none"/>
        </w:rPr>
        <w:t>t</w:t>
      </w:r>
      <w:r w:rsidR="00155D04">
        <w:rPr>
          <w:rFonts w:ascii="Book Antiqua" w:eastAsia="Book Antiqua" w:hAnsi="Book Antiqua" w:cs="Book Antiqua"/>
          <w:b w:val="0"/>
          <w:iCs/>
          <w:color w:val="000000" w:themeColor="text1"/>
          <w:sz w:val="19"/>
          <w:szCs w:val="19"/>
          <w:lang w:eastAsia="x-none"/>
        </w:rPr>
        <w:t>nership</w:t>
      </w:r>
      <w:r w:rsidRPr="00C25331">
        <w:rPr>
          <w:rFonts w:ascii="Book Antiqua" w:eastAsia="Book Antiqua" w:hAnsi="Book Antiqua" w:cs="Book Antiqua"/>
          <w:b w:val="0"/>
          <w:iCs/>
          <w:color w:val="000000" w:themeColor="text1"/>
          <w:sz w:val="19"/>
          <w:szCs w:val="19"/>
          <w:lang w:val="x-none" w:eastAsia="x-none"/>
        </w:rPr>
        <w:t xml:space="preserve">. </w:t>
      </w:r>
    </w:p>
    <w:p w14:paraId="1FAB69D8" w14:textId="123EB6C7" w:rsidR="00C25331" w:rsidRPr="00C25331" w:rsidRDefault="00C25331" w:rsidP="00C25331">
      <w:pPr>
        <w:pStyle w:val="Heading3"/>
        <w:rPr>
          <w:rFonts w:ascii="Book Antiqua" w:eastAsia="Book Antiqua" w:hAnsi="Book Antiqua" w:cs="Book Antiqua"/>
          <w:b w:val="0"/>
          <w:iCs/>
          <w:color w:val="000000" w:themeColor="text1"/>
          <w:sz w:val="19"/>
          <w:szCs w:val="19"/>
          <w:lang w:val="x-none" w:eastAsia="x-none"/>
        </w:rPr>
      </w:pPr>
      <w:r w:rsidRPr="00C25331">
        <w:rPr>
          <w:rFonts w:ascii="Book Antiqua" w:eastAsia="Book Antiqua" w:hAnsi="Book Antiqua" w:cs="Book Antiqua"/>
          <w:b w:val="0"/>
          <w:iCs/>
          <w:color w:val="000000" w:themeColor="text1"/>
          <w:sz w:val="19"/>
          <w:szCs w:val="19"/>
          <w:lang w:val="x-none" w:eastAsia="x-none"/>
        </w:rPr>
        <w:t xml:space="preserve">As Australia’s national investment attraction and facilitation agency, </w:t>
      </w:r>
      <w:r w:rsidR="00430DFF">
        <w:rPr>
          <w:rFonts w:ascii="Book Antiqua" w:eastAsia="Book Antiqua" w:hAnsi="Book Antiqua" w:cs="Book Antiqua"/>
          <w:b w:val="0"/>
          <w:iCs/>
          <w:color w:val="000000" w:themeColor="text1"/>
          <w:sz w:val="19"/>
          <w:szCs w:val="19"/>
          <w:lang w:eastAsia="x-none"/>
        </w:rPr>
        <w:t xml:space="preserve">Austrade is committed to delivering </w:t>
      </w:r>
      <w:r w:rsidR="00921F98">
        <w:rPr>
          <w:rFonts w:ascii="Book Antiqua" w:eastAsia="Book Antiqua" w:hAnsi="Book Antiqua" w:cs="Book Antiqua"/>
          <w:b w:val="0"/>
          <w:iCs/>
          <w:color w:val="000000" w:themeColor="text1"/>
          <w:sz w:val="19"/>
          <w:szCs w:val="19"/>
          <w:lang w:eastAsia="x-none"/>
        </w:rPr>
        <w:t>o</w:t>
      </w:r>
      <w:r w:rsidR="00430DFF">
        <w:rPr>
          <w:rFonts w:ascii="Book Antiqua" w:eastAsia="Book Antiqua" w:hAnsi="Book Antiqua" w:cs="Book Antiqua"/>
          <w:b w:val="0"/>
          <w:iCs/>
          <w:color w:val="000000" w:themeColor="text1"/>
          <w:sz w:val="19"/>
          <w:szCs w:val="19"/>
          <w:lang w:eastAsia="x-none"/>
        </w:rPr>
        <w:t xml:space="preserve">n Australian </w:t>
      </w:r>
      <w:r w:rsidR="002B7DE8">
        <w:rPr>
          <w:rFonts w:ascii="Book Antiqua" w:eastAsia="Book Antiqua" w:hAnsi="Book Antiqua" w:cs="Book Antiqua"/>
          <w:b w:val="0"/>
          <w:iCs/>
          <w:color w:val="000000" w:themeColor="text1"/>
          <w:sz w:val="19"/>
          <w:szCs w:val="19"/>
          <w:lang w:eastAsia="x-none"/>
        </w:rPr>
        <w:t xml:space="preserve">Government priorities for a Future Made in Australia and net zero transformation, including </w:t>
      </w:r>
      <w:r w:rsidR="00771A85">
        <w:rPr>
          <w:rFonts w:ascii="Book Antiqua" w:eastAsia="Book Antiqua" w:hAnsi="Book Antiqua" w:cs="Book Antiqua"/>
          <w:b w:val="0"/>
          <w:iCs/>
          <w:color w:val="000000" w:themeColor="text1"/>
          <w:sz w:val="19"/>
          <w:szCs w:val="19"/>
          <w:lang w:eastAsia="x-none"/>
        </w:rPr>
        <w:t>to become a renewable energy superpower. Austrade is focussed on attracti</w:t>
      </w:r>
      <w:r w:rsidR="00E10309">
        <w:rPr>
          <w:rFonts w:ascii="Book Antiqua" w:eastAsia="Book Antiqua" w:hAnsi="Book Antiqua" w:cs="Book Antiqua"/>
          <w:b w:val="0"/>
          <w:iCs/>
          <w:color w:val="000000" w:themeColor="text1"/>
          <w:sz w:val="19"/>
          <w:szCs w:val="19"/>
          <w:lang w:eastAsia="x-none"/>
        </w:rPr>
        <w:t>ng</w:t>
      </w:r>
      <w:r w:rsidR="00771A85">
        <w:rPr>
          <w:rFonts w:ascii="Book Antiqua" w:eastAsia="Book Antiqua" w:hAnsi="Book Antiqua" w:cs="Book Antiqua"/>
          <w:b w:val="0"/>
          <w:iCs/>
          <w:color w:val="000000" w:themeColor="text1"/>
          <w:sz w:val="19"/>
          <w:szCs w:val="19"/>
          <w:lang w:eastAsia="x-none"/>
        </w:rPr>
        <w:t xml:space="preserve"> productive foreign </w:t>
      </w:r>
      <w:r w:rsidR="00695E27">
        <w:rPr>
          <w:rFonts w:ascii="Book Antiqua" w:eastAsia="Book Antiqua" w:hAnsi="Book Antiqua" w:cs="Book Antiqua"/>
          <w:b w:val="0"/>
          <w:iCs/>
          <w:color w:val="000000" w:themeColor="text1"/>
          <w:sz w:val="19"/>
          <w:szCs w:val="19"/>
          <w:lang w:eastAsia="x-none"/>
        </w:rPr>
        <w:t>direct investment t</w:t>
      </w:r>
      <w:r w:rsidR="00C35755">
        <w:rPr>
          <w:rFonts w:ascii="Book Antiqua" w:eastAsia="Book Antiqua" w:hAnsi="Book Antiqua" w:cs="Book Antiqua"/>
          <w:b w:val="0"/>
          <w:iCs/>
          <w:color w:val="000000" w:themeColor="text1"/>
          <w:sz w:val="19"/>
          <w:szCs w:val="19"/>
          <w:lang w:eastAsia="x-none"/>
        </w:rPr>
        <w:t>hat</w:t>
      </w:r>
      <w:r w:rsidR="00695E27">
        <w:rPr>
          <w:rFonts w:ascii="Book Antiqua" w:eastAsia="Book Antiqua" w:hAnsi="Book Antiqua" w:cs="Book Antiqua"/>
          <w:b w:val="0"/>
          <w:iCs/>
          <w:color w:val="000000" w:themeColor="text1"/>
          <w:sz w:val="19"/>
          <w:szCs w:val="19"/>
          <w:lang w:eastAsia="x-none"/>
        </w:rPr>
        <w:t xml:space="preserve"> enables Australian success in a net zero future and which supports Australia’s economic security. </w:t>
      </w:r>
      <w:r w:rsidRPr="00C25331">
        <w:rPr>
          <w:rFonts w:ascii="Book Antiqua" w:eastAsia="Book Antiqua" w:hAnsi="Book Antiqua" w:cs="Book Antiqua"/>
          <w:b w:val="0"/>
          <w:iCs/>
          <w:color w:val="000000" w:themeColor="text1"/>
          <w:sz w:val="19"/>
          <w:szCs w:val="19"/>
          <w:lang w:val="x-none" w:eastAsia="x-none"/>
        </w:rPr>
        <w:t xml:space="preserve">In delivering for businesses and government, we </w:t>
      </w:r>
      <w:r w:rsidR="00F10A6C">
        <w:rPr>
          <w:rFonts w:ascii="Book Antiqua" w:eastAsia="Book Antiqua" w:hAnsi="Book Antiqua" w:cs="Book Antiqua"/>
          <w:b w:val="0"/>
          <w:iCs/>
          <w:color w:val="000000" w:themeColor="text1"/>
          <w:sz w:val="19"/>
          <w:szCs w:val="19"/>
          <w:lang w:eastAsia="x-none"/>
        </w:rPr>
        <w:t>partner</w:t>
      </w:r>
      <w:r w:rsidR="008A6759">
        <w:rPr>
          <w:rFonts w:ascii="Book Antiqua" w:eastAsia="Book Antiqua" w:hAnsi="Book Antiqua" w:cs="Book Antiqua"/>
          <w:b w:val="0"/>
          <w:iCs/>
          <w:color w:val="000000" w:themeColor="text1"/>
          <w:sz w:val="19"/>
          <w:szCs w:val="19"/>
          <w:lang w:eastAsia="x-none"/>
        </w:rPr>
        <w:t xml:space="preserve"> </w:t>
      </w:r>
      <w:r w:rsidR="00330298">
        <w:rPr>
          <w:rFonts w:ascii="Book Antiqua" w:eastAsia="Book Antiqua" w:hAnsi="Book Antiqua" w:cs="Book Antiqua"/>
          <w:b w:val="0"/>
          <w:iCs/>
          <w:color w:val="000000" w:themeColor="text1"/>
          <w:sz w:val="19"/>
          <w:szCs w:val="19"/>
          <w:lang w:eastAsia="x-none"/>
        </w:rPr>
        <w:t xml:space="preserve">with </w:t>
      </w:r>
      <w:r w:rsidR="00403092">
        <w:rPr>
          <w:rFonts w:ascii="Book Antiqua" w:eastAsia="Book Antiqua" w:hAnsi="Book Antiqua" w:cs="Book Antiqua"/>
          <w:b w:val="0"/>
          <w:iCs/>
          <w:color w:val="000000" w:themeColor="text1"/>
          <w:sz w:val="19"/>
          <w:szCs w:val="19"/>
          <w:lang w:eastAsia="x-none"/>
        </w:rPr>
        <w:t xml:space="preserve">State and Territory </w:t>
      </w:r>
      <w:r w:rsidR="00403092">
        <w:rPr>
          <w:rFonts w:ascii="Book Antiqua" w:eastAsia="Book Antiqua" w:hAnsi="Book Antiqua" w:cs="Book Antiqua"/>
          <w:b w:val="0"/>
          <w:iCs/>
          <w:color w:val="000000" w:themeColor="text1"/>
          <w:sz w:val="19"/>
          <w:szCs w:val="19"/>
          <w:lang w:eastAsia="x-none"/>
        </w:rPr>
        <w:lastRenderedPageBreak/>
        <w:t xml:space="preserve">governments and actively </w:t>
      </w:r>
      <w:r w:rsidRPr="00C25331">
        <w:rPr>
          <w:rFonts w:ascii="Book Antiqua" w:eastAsia="Book Antiqua" w:hAnsi="Book Antiqua" w:cs="Book Antiqua"/>
          <w:b w:val="0"/>
          <w:iCs/>
          <w:color w:val="000000" w:themeColor="text1"/>
          <w:sz w:val="19"/>
          <w:szCs w:val="19"/>
          <w:lang w:val="x-none" w:eastAsia="x-none"/>
        </w:rPr>
        <w:t xml:space="preserve">collaborate </w:t>
      </w:r>
      <w:r w:rsidR="00933196">
        <w:rPr>
          <w:rFonts w:ascii="Book Antiqua" w:eastAsia="Book Antiqua" w:hAnsi="Book Antiqua" w:cs="Book Antiqua"/>
          <w:b w:val="0"/>
          <w:iCs/>
          <w:color w:val="000000" w:themeColor="text1"/>
          <w:sz w:val="19"/>
          <w:szCs w:val="19"/>
          <w:lang w:eastAsia="x-none"/>
        </w:rPr>
        <w:t xml:space="preserve">with other Australian Government investment facilitation </w:t>
      </w:r>
      <w:r w:rsidRPr="00C25331">
        <w:rPr>
          <w:rFonts w:ascii="Book Antiqua" w:eastAsia="Book Antiqua" w:hAnsi="Book Antiqua" w:cs="Book Antiqua"/>
          <w:b w:val="0"/>
          <w:iCs/>
          <w:color w:val="000000" w:themeColor="text1"/>
          <w:sz w:val="19"/>
          <w:szCs w:val="19"/>
          <w:lang w:val="x-none" w:eastAsia="x-none"/>
        </w:rPr>
        <w:t>agencies such as Export Finance Australia</w:t>
      </w:r>
      <w:r w:rsidR="00DD1CCF">
        <w:rPr>
          <w:rFonts w:ascii="Book Antiqua" w:eastAsia="Book Antiqua" w:hAnsi="Book Antiqua" w:cs="Book Antiqua"/>
          <w:b w:val="0"/>
          <w:iCs/>
          <w:color w:val="000000" w:themeColor="text1"/>
          <w:sz w:val="19"/>
          <w:szCs w:val="19"/>
          <w:lang w:eastAsia="x-none"/>
        </w:rPr>
        <w:t xml:space="preserve"> and</w:t>
      </w:r>
      <w:r w:rsidRPr="00C25331">
        <w:rPr>
          <w:rFonts w:ascii="Book Antiqua" w:eastAsia="Book Antiqua" w:hAnsi="Book Antiqua" w:cs="Book Antiqua"/>
          <w:b w:val="0"/>
          <w:iCs/>
          <w:color w:val="000000" w:themeColor="text1"/>
          <w:sz w:val="19"/>
          <w:szCs w:val="19"/>
          <w:lang w:val="x-none" w:eastAsia="x-none"/>
        </w:rPr>
        <w:t xml:space="preserve"> the Net Zero Economy Agency</w:t>
      </w:r>
      <w:r w:rsidR="00DD1CCF">
        <w:rPr>
          <w:rFonts w:ascii="Book Antiqua" w:eastAsia="Book Antiqua" w:hAnsi="Book Antiqua" w:cs="Book Antiqua"/>
          <w:b w:val="0"/>
          <w:iCs/>
          <w:color w:val="000000" w:themeColor="text1"/>
          <w:sz w:val="19"/>
          <w:szCs w:val="19"/>
          <w:lang w:eastAsia="x-none"/>
        </w:rPr>
        <w:t xml:space="preserve">. </w:t>
      </w:r>
    </w:p>
    <w:p w14:paraId="0E084CAD" w14:textId="227FA110" w:rsidR="00C25331" w:rsidRPr="00C25331" w:rsidRDefault="00C25331" w:rsidP="00C25331">
      <w:pPr>
        <w:pStyle w:val="Heading3"/>
        <w:rPr>
          <w:rFonts w:ascii="Book Antiqua" w:eastAsia="Book Antiqua" w:hAnsi="Book Antiqua" w:cs="Book Antiqua"/>
          <w:b w:val="0"/>
          <w:iCs/>
          <w:color w:val="000000" w:themeColor="text1"/>
          <w:sz w:val="19"/>
          <w:szCs w:val="19"/>
          <w:lang w:val="x-none" w:eastAsia="x-none"/>
        </w:rPr>
      </w:pPr>
      <w:r w:rsidRPr="00C25331">
        <w:rPr>
          <w:rFonts w:ascii="Book Antiqua" w:eastAsia="Book Antiqua" w:hAnsi="Book Antiqua" w:cs="Book Antiqua"/>
          <w:b w:val="0"/>
          <w:iCs/>
          <w:color w:val="000000" w:themeColor="text1"/>
          <w:sz w:val="19"/>
          <w:szCs w:val="19"/>
          <w:lang w:val="x-none" w:eastAsia="x-none"/>
        </w:rPr>
        <w:t xml:space="preserve">Leadership of tourism policy and the visitor economy remains a priority for Austrade. </w:t>
      </w:r>
      <w:r w:rsidR="009044D7">
        <w:rPr>
          <w:rFonts w:ascii="Book Antiqua" w:eastAsia="Book Antiqua" w:hAnsi="Book Antiqua" w:cs="Book Antiqua"/>
          <w:b w:val="0"/>
          <w:iCs/>
          <w:color w:val="000000" w:themeColor="text1"/>
          <w:sz w:val="19"/>
          <w:szCs w:val="19"/>
          <w:lang w:val="x-none" w:eastAsia="x-none"/>
        </w:rPr>
        <w:br/>
      </w:r>
      <w:r w:rsidRPr="00C25331">
        <w:rPr>
          <w:rFonts w:ascii="Book Antiqua" w:eastAsia="Book Antiqua" w:hAnsi="Book Antiqua" w:cs="Book Antiqua"/>
          <w:b w:val="0"/>
          <w:iCs/>
          <w:color w:val="000000" w:themeColor="text1"/>
          <w:sz w:val="19"/>
          <w:szCs w:val="19"/>
          <w:lang w:val="x-none" w:eastAsia="x-none"/>
        </w:rPr>
        <w:t xml:space="preserve">We are responsible for the national THRIVE 2030 (The Re-Imagined Visitor Economy) strategy, which charts a course for the recovery and sustainable growth of Australia as a domestic and international tourism destination. THRIVE 2030 also focuses on modernising Tourism Research Australia’s data collections, improving collaboration across industry and governments, and diversifying markets. We continue to deliver a range of grant programs to assist state and territory governments, tourism businesses and industry bodies delivering whole of visitor economy capability programs. </w:t>
      </w:r>
    </w:p>
    <w:p w14:paraId="6F724E14" w14:textId="3EEF2E07" w:rsidR="00C25331" w:rsidRPr="00C25331" w:rsidRDefault="00C25331" w:rsidP="00C25331">
      <w:pPr>
        <w:pStyle w:val="Heading3"/>
        <w:rPr>
          <w:rFonts w:ascii="Book Antiqua" w:eastAsia="Book Antiqua" w:hAnsi="Book Antiqua" w:cs="Book Antiqua"/>
          <w:b w:val="0"/>
          <w:iCs/>
          <w:color w:val="000000" w:themeColor="text1"/>
          <w:sz w:val="19"/>
          <w:szCs w:val="19"/>
          <w:lang w:val="x-none" w:eastAsia="x-none"/>
        </w:rPr>
      </w:pPr>
      <w:r w:rsidRPr="008F7ED4">
        <w:rPr>
          <w:rFonts w:ascii="Book Antiqua" w:eastAsia="Book Antiqua" w:hAnsi="Book Antiqua" w:cs="Book Antiqua"/>
          <w:b w:val="0"/>
          <w:iCs/>
          <w:color w:val="000000" w:themeColor="text1"/>
          <w:sz w:val="19"/>
          <w:szCs w:val="19"/>
          <w:lang w:val="x-none" w:eastAsia="x-none"/>
        </w:rPr>
        <w:t>Th</w:t>
      </w:r>
      <w:r w:rsidR="00F816BA" w:rsidRPr="008F7ED4">
        <w:rPr>
          <w:rFonts w:ascii="Book Antiqua" w:eastAsia="Book Antiqua" w:hAnsi="Book Antiqua" w:cs="Book Antiqua"/>
          <w:b w:val="0"/>
          <w:iCs/>
          <w:color w:val="000000" w:themeColor="text1"/>
          <w:sz w:val="19"/>
          <w:szCs w:val="19"/>
          <w:lang w:eastAsia="x-none"/>
        </w:rPr>
        <w:t>rough the</w:t>
      </w:r>
      <w:r w:rsidRPr="008F7ED4">
        <w:rPr>
          <w:rFonts w:ascii="Book Antiqua" w:eastAsia="Book Antiqua" w:hAnsi="Book Antiqua" w:cs="Book Antiqua"/>
          <w:b w:val="0"/>
          <w:iCs/>
          <w:color w:val="000000" w:themeColor="text1"/>
          <w:sz w:val="19"/>
          <w:szCs w:val="19"/>
          <w:lang w:val="x-none" w:eastAsia="x-none"/>
        </w:rPr>
        <w:t xml:space="preserve"> Simplified Trade System </w:t>
      </w:r>
      <w:r w:rsidR="004B18DC" w:rsidRPr="008F7ED4">
        <w:rPr>
          <w:rFonts w:ascii="Book Antiqua" w:eastAsia="Book Antiqua" w:hAnsi="Book Antiqua" w:cs="Book Antiqua"/>
          <w:b w:val="0"/>
          <w:iCs/>
          <w:color w:val="000000" w:themeColor="text1"/>
          <w:sz w:val="19"/>
          <w:szCs w:val="19"/>
          <w:lang w:eastAsia="x-none"/>
        </w:rPr>
        <w:t>reforms, the Government is</w:t>
      </w:r>
      <w:r w:rsidRPr="008F7ED4">
        <w:rPr>
          <w:rFonts w:ascii="Book Antiqua" w:eastAsia="Book Antiqua" w:hAnsi="Book Antiqua" w:cs="Book Antiqua"/>
          <w:b w:val="0"/>
          <w:iCs/>
          <w:color w:val="000000" w:themeColor="text1"/>
          <w:sz w:val="19"/>
          <w:szCs w:val="19"/>
          <w:lang w:val="x-none" w:eastAsia="x-none"/>
        </w:rPr>
        <w:t xml:space="preserve"> </w:t>
      </w:r>
      <w:r w:rsidR="00C96827" w:rsidRPr="008F7ED4">
        <w:rPr>
          <w:rFonts w:ascii="Book Antiqua" w:eastAsia="Book Antiqua" w:hAnsi="Book Antiqua" w:cs="Book Antiqua"/>
          <w:b w:val="0"/>
          <w:iCs/>
          <w:color w:val="000000" w:themeColor="text1"/>
          <w:sz w:val="19"/>
          <w:szCs w:val="19"/>
          <w:lang w:eastAsia="x-none"/>
        </w:rPr>
        <w:t>simplifying</w:t>
      </w:r>
      <w:r w:rsidRPr="008F7ED4">
        <w:rPr>
          <w:rFonts w:ascii="Book Antiqua" w:eastAsia="Book Antiqua" w:hAnsi="Book Antiqua" w:cs="Book Antiqua"/>
          <w:b w:val="0"/>
          <w:iCs/>
          <w:color w:val="000000" w:themeColor="text1"/>
          <w:sz w:val="19"/>
          <w:szCs w:val="19"/>
          <w:lang w:val="x-none" w:eastAsia="x-none"/>
        </w:rPr>
        <w:t xml:space="preserve"> cross-border trade </w:t>
      </w:r>
      <w:r w:rsidR="00C96827" w:rsidRPr="008F7ED4">
        <w:rPr>
          <w:rFonts w:ascii="Book Antiqua" w:eastAsia="Book Antiqua" w:hAnsi="Book Antiqua" w:cs="Book Antiqua"/>
          <w:b w:val="0"/>
          <w:iCs/>
          <w:color w:val="000000" w:themeColor="text1"/>
          <w:sz w:val="19"/>
          <w:szCs w:val="19"/>
          <w:lang w:eastAsia="x-none"/>
        </w:rPr>
        <w:t>and</w:t>
      </w:r>
      <w:r w:rsidRPr="008F7ED4">
        <w:rPr>
          <w:rFonts w:ascii="Book Antiqua" w:eastAsia="Book Antiqua" w:hAnsi="Book Antiqua" w:cs="Book Antiqua"/>
          <w:b w:val="0"/>
          <w:iCs/>
          <w:color w:val="000000" w:themeColor="text1"/>
          <w:sz w:val="19"/>
          <w:szCs w:val="19"/>
          <w:lang w:val="x-none" w:eastAsia="x-none"/>
        </w:rPr>
        <w:t xml:space="preserve"> improv</w:t>
      </w:r>
      <w:r w:rsidR="00C96827" w:rsidRPr="008F7ED4">
        <w:rPr>
          <w:rFonts w:ascii="Book Antiqua" w:eastAsia="Book Antiqua" w:hAnsi="Book Antiqua" w:cs="Book Antiqua"/>
          <w:b w:val="0"/>
          <w:iCs/>
          <w:color w:val="000000" w:themeColor="text1"/>
          <w:sz w:val="19"/>
          <w:szCs w:val="19"/>
          <w:lang w:eastAsia="x-none"/>
        </w:rPr>
        <w:t>ing</w:t>
      </w:r>
      <w:r w:rsidRPr="008F7ED4">
        <w:rPr>
          <w:rFonts w:ascii="Book Antiqua" w:eastAsia="Book Antiqua" w:hAnsi="Book Antiqua" w:cs="Book Antiqua"/>
          <w:b w:val="0"/>
          <w:iCs/>
          <w:color w:val="000000" w:themeColor="text1"/>
          <w:sz w:val="19"/>
          <w:szCs w:val="19"/>
          <w:lang w:val="x-none" w:eastAsia="x-none"/>
        </w:rPr>
        <w:t xml:space="preserve"> the experience for Australian business</w:t>
      </w:r>
      <w:r w:rsidR="00D81F5A" w:rsidRPr="008F7ED4">
        <w:rPr>
          <w:rFonts w:ascii="Book Antiqua" w:eastAsia="Book Antiqua" w:hAnsi="Book Antiqua" w:cs="Book Antiqua"/>
          <w:b w:val="0"/>
          <w:iCs/>
          <w:color w:val="000000" w:themeColor="text1"/>
          <w:sz w:val="19"/>
          <w:szCs w:val="19"/>
          <w:lang w:eastAsia="x-none"/>
        </w:rPr>
        <w:t xml:space="preserve">es </w:t>
      </w:r>
      <w:r w:rsidR="00CD2423" w:rsidRPr="008F7ED4">
        <w:rPr>
          <w:rFonts w:ascii="Book Antiqua" w:eastAsia="Book Antiqua" w:hAnsi="Book Antiqua" w:cs="Book Antiqua"/>
          <w:b w:val="0"/>
          <w:iCs/>
          <w:color w:val="000000" w:themeColor="text1"/>
          <w:sz w:val="19"/>
          <w:szCs w:val="19"/>
          <w:lang w:eastAsia="x-none"/>
        </w:rPr>
        <w:t>that import and export</w:t>
      </w:r>
      <w:r w:rsidRPr="008F7ED4">
        <w:rPr>
          <w:rFonts w:ascii="Book Antiqua" w:eastAsia="Book Antiqua" w:hAnsi="Book Antiqua" w:cs="Book Antiqua"/>
          <w:b w:val="0"/>
          <w:iCs/>
          <w:color w:val="000000" w:themeColor="text1"/>
          <w:sz w:val="19"/>
          <w:szCs w:val="19"/>
          <w:lang w:val="x-none" w:eastAsia="x-none"/>
        </w:rPr>
        <w:t xml:space="preserve">, while </w:t>
      </w:r>
      <w:r w:rsidR="000E3CA1" w:rsidRPr="008F7ED4">
        <w:rPr>
          <w:rFonts w:ascii="Book Antiqua" w:eastAsia="Book Antiqua" w:hAnsi="Book Antiqua" w:cs="Book Antiqua"/>
          <w:b w:val="0"/>
          <w:iCs/>
          <w:color w:val="000000" w:themeColor="text1"/>
          <w:sz w:val="19"/>
          <w:szCs w:val="19"/>
          <w:lang w:eastAsia="x-none"/>
        </w:rPr>
        <w:t xml:space="preserve">also </w:t>
      </w:r>
      <w:r w:rsidRPr="008F7ED4">
        <w:rPr>
          <w:rFonts w:ascii="Book Antiqua" w:eastAsia="Book Antiqua" w:hAnsi="Book Antiqua" w:cs="Book Antiqua"/>
          <w:b w:val="0"/>
          <w:iCs/>
          <w:color w:val="000000" w:themeColor="text1"/>
          <w:sz w:val="19"/>
          <w:szCs w:val="19"/>
          <w:lang w:val="x-none" w:eastAsia="x-none"/>
        </w:rPr>
        <w:t xml:space="preserve">strengthening border and biosecurity protections. </w:t>
      </w:r>
      <w:r w:rsidR="000E3CA1" w:rsidRPr="008F7ED4">
        <w:rPr>
          <w:rFonts w:ascii="Book Antiqua" w:eastAsia="Book Antiqua" w:hAnsi="Book Antiqua" w:cs="Book Antiqua"/>
          <w:b w:val="0"/>
          <w:iCs/>
          <w:color w:val="000000" w:themeColor="text1"/>
          <w:sz w:val="19"/>
          <w:szCs w:val="19"/>
          <w:lang w:eastAsia="x-none"/>
        </w:rPr>
        <w:t xml:space="preserve">In addition to enhancing the Go Global Toolkit, Austrade </w:t>
      </w:r>
      <w:r w:rsidRPr="008F7ED4">
        <w:rPr>
          <w:rFonts w:ascii="Book Antiqua" w:eastAsia="Book Antiqua" w:hAnsi="Book Antiqua" w:cs="Book Antiqua"/>
          <w:b w:val="0"/>
          <w:iCs/>
          <w:color w:val="000000" w:themeColor="text1"/>
          <w:sz w:val="19"/>
          <w:szCs w:val="19"/>
          <w:lang w:val="x-none" w:eastAsia="x-none"/>
        </w:rPr>
        <w:t xml:space="preserve">will </w:t>
      </w:r>
      <w:r w:rsidR="000E3CA1" w:rsidRPr="008F7ED4">
        <w:rPr>
          <w:rFonts w:ascii="Book Antiqua" w:eastAsia="Book Antiqua" w:hAnsi="Book Antiqua" w:cs="Book Antiqua"/>
          <w:b w:val="0"/>
          <w:iCs/>
          <w:color w:val="000000" w:themeColor="text1"/>
          <w:sz w:val="19"/>
          <w:szCs w:val="19"/>
          <w:lang w:eastAsia="x-none"/>
        </w:rPr>
        <w:t xml:space="preserve">coordinate and support </w:t>
      </w:r>
      <w:r w:rsidR="00264E58" w:rsidRPr="008F7ED4">
        <w:rPr>
          <w:rFonts w:ascii="Book Antiqua" w:eastAsia="Book Antiqua" w:hAnsi="Book Antiqua" w:cs="Book Antiqua"/>
          <w:b w:val="0"/>
          <w:iCs/>
          <w:color w:val="000000" w:themeColor="text1"/>
          <w:sz w:val="19"/>
          <w:szCs w:val="19"/>
          <w:lang w:eastAsia="x-none"/>
        </w:rPr>
        <w:t xml:space="preserve">work across government in </w:t>
      </w:r>
      <w:r w:rsidR="00502CBC">
        <w:rPr>
          <w:rFonts w:ascii="Book Antiqua" w:eastAsia="Book Antiqua" w:hAnsi="Book Antiqua" w:cs="Book Antiqua"/>
          <w:b w:val="0"/>
          <w:iCs/>
          <w:color w:val="000000" w:themeColor="text1"/>
          <w:sz w:val="19"/>
          <w:szCs w:val="19"/>
          <w:lang w:eastAsia="x-none"/>
        </w:rPr>
        <w:t xml:space="preserve">relation to </w:t>
      </w:r>
      <w:r w:rsidR="00264E58" w:rsidRPr="008F7ED4">
        <w:rPr>
          <w:rFonts w:ascii="Book Antiqua" w:eastAsia="Book Antiqua" w:hAnsi="Book Antiqua" w:cs="Book Antiqua"/>
          <w:b w:val="0"/>
          <w:iCs/>
          <w:color w:val="000000" w:themeColor="text1"/>
          <w:sz w:val="19"/>
          <w:szCs w:val="19"/>
          <w:lang w:eastAsia="x-none"/>
        </w:rPr>
        <w:t xml:space="preserve">the simplified trade agenda. Austrade will also </w:t>
      </w:r>
      <w:r w:rsidR="002F7A57">
        <w:rPr>
          <w:rFonts w:ascii="Book Antiqua" w:eastAsia="Book Antiqua" w:hAnsi="Book Antiqua" w:cs="Book Antiqua"/>
          <w:b w:val="0"/>
          <w:iCs/>
          <w:color w:val="000000" w:themeColor="text1"/>
          <w:sz w:val="19"/>
          <w:szCs w:val="19"/>
          <w:lang w:eastAsia="x-none"/>
        </w:rPr>
        <w:t xml:space="preserve">engage closely with business to support </w:t>
      </w:r>
      <w:r w:rsidR="00F57726">
        <w:rPr>
          <w:rFonts w:ascii="Book Antiqua" w:eastAsia="Book Antiqua" w:hAnsi="Book Antiqua" w:cs="Book Antiqua"/>
          <w:b w:val="0"/>
          <w:iCs/>
          <w:color w:val="000000" w:themeColor="text1"/>
          <w:sz w:val="19"/>
          <w:szCs w:val="19"/>
          <w:lang w:eastAsia="x-none"/>
        </w:rPr>
        <w:t xml:space="preserve">regulatory, process and digital reforms. </w:t>
      </w:r>
      <w:r w:rsidRPr="008F7ED4">
        <w:rPr>
          <w:rFonts w:ascii="Book Antiqua" w:eastAsia="Book Antiqua" w:hAnsi="Book Antiqua" w:cs="Book Antiqua"/>
          <w:b w:val="0"/>
          <w:iCs/>
          <w:color w:val="000000" w:themeColor="text1"/>
          <w:sz w:val="19"/>
          <w:szCs w:val="19"/>
          <w:lang w:val="x-none" w:eastAsia="x-none"/>
        </w:rPr>
        <w:t>This work is helping to simplify Australia’s cross-border trade environment and directly supports the Government’s broader trade diversification and digital agendas.</w:t>
      </w:r>
      <w:r w:rsidRPr="00C25331">
        <w:rPr>
          <w:rFonts w:ascii="Book Antiqua" w:eastAsia="Book Antiqua" w:hAnsi="Book Antiqua" w:cs="Book Antiqua"/>
          <w:b w:val="0"/>
          <w:iCs/>
          <w:color w:val="000000" w:themeColor="text1"/>
          <w:sz w:val="19"/>
          <w:szCs w:val="19"/>
          <w:lang w:val="x-none" w:eastAsia="x-none"/>
        </w:rPr>
        <w:t xml:space="preserve"> </w:t>
      </w:r>
    </w:p>
    <w:p w14:paraId="5CD10F7F" w14:textId="25D2111B" w:rsidR="00955559" w:rsidRPr="00A76734" w:rsidRDefault="00C25331" w:rsidP="00C25331">
      <w:pPr>
        <w:pStyle w:val="Heading3"/>
        <w:rPr>
          <w:color w:val="000000" w:themeColor="text1"/>
        </w:rPr>
      </w:pPr>
      <w:r w:rsidRPr="00C25331">
        <w:rPr>
          <w:rFonts w:ascii="Book Antiqua" w:eastAsia="Book Antiqua" w:hAnsi="Book Antiqua" w:cs="Book Antiqua"/>
          <w:b w:val="0"/>
          <w:iCs/>
          <w:color w:val="000000" w:themeColor="text1"/>
          <w:sz w:val="19"/>
          <w:szCs w:val="19"/>
          <w:lang w:val="x-none" w:eastAsia="x-none"/>
        </w:rPr>
        <w:t xml:space="preserve">A more detailed description of Austrade’s activities is in Austrade’s Corporate Plan </w:t>
      </w:r>
      <w:r w:rsidR="009044D7">
        <w:rPr>
          <w:rFonts w:ascii="Book Antiqua" w:eastAsia="Book Antiqua" w:hAnsi="Book Antiqua" w:cs="Book Antiqua"/>
          <w:b w:val="0"/>
          <w:iCs/>
          <w:color w:val="000000" w:themeColor="text1"/>
          <w:sz w:val="19"/>
          <w:szCs w:val="19"/>
          <w:lang w:val="x-none" w:eastAsia="x-none"/>
        </w:rPr>
        <w:br/>
      </w:r>
      <w:r w:rsidRPr="00C25331">
        <w:rPr>
          <w:rFonts w:ascii="Book Antiqua" w:eastAsia="Book Antiqua" w:hAnsi="Book Antiqua" w:cs="Book Antiqua"/>
          <w:b w:val="0"/>
          <w:iCs/>
          <w:color w:val="000000" w:themeColor="text1"/>
          <w:sz w:val="19"/>
          <w:szCs w:val="19"/>
          <w:lang w:val="x-none" w:eastAsia="x-none"/>
        </w:rPr>
        <w:t>2024-25. Our progress against our performance measures is detailed in our Annual Performance Statements, contained in the Austrade Annual Report.</w:t>
      </w:r>
      <w:r w:rsidR="00955559" w:rsidRPr="00A76734">
        <w:rPr>
          <w:color w:val="000000" w:themeColor="text1"/>
        </w:rPr>
        <w:br w:type="page"/>
      </w:r>
      <w:r w:rsidR="00955559" w:rsidRPr="00A76734">
        <w:rPr>
          <w:color w:val="000000" w:themeColor="text1"/>
        </w:rPr>
        <w:lastRenderedPageBreak/>
        <w:t>1.2</w:t>
      </w:r>
      <w:r w:rsidR="00955559" w:rsidRPr="00A76734">
        <w:rPr>
          <w:color w:val="000000" w:themeColor="text1"/>
        </w:rPr>
        <w:tab/>
        <w:t>Entity resource statement</w:t>
      </w:r>
    </w:p>
    <w:p w14:paraId="5B4C52BA" w14:textId="77777777" w:rsidR="00955559" w:rsidRPr="00A76734" w:rsidRDefault="00955559" w:rsidP="00955559">
      <w:pPr>
        <w:rPr>
          <w:color w:val="000000" w:themeColor="text1"/>
        </w:rPr>
      </w:pPr>
      <w:r w:rsidRPr="00A76734">
        <w:rPr>
          <w:color w:val="000000" w:themeColor="text1"/>
        </w:rPr>
        <w:t>Table 1.1 shows the total funding from all sources available to the entity for its operations and to deliver programs and services on behalf of the Government.</w:t>
      </w:r>
    </w:p>
    <w:p w14:paraId="1A0E9060" w14:textId="77777777" w:rsidR="00955559" w:rsidRPr="00A76734" w:rsidRDefault="00955559" w:rsidP="00955559">
      <w:pPr>
        <w:rPr>
          <w:color w:val="000000" w:themeColor="text1"/>
        </w:rPr>
      </w:pPr>
      <w:r w:rsidRPr="00A76734">
        <w:rPr>
          <w:color w:val="000000" w:themeColor="text1"/>
        </w:rPr>
        <w:t>The table summarises how resources will be applied by outcome (government strategic policy objectives) and by administered (on behalf of the Government or the public) and departmental (for the entity’s operations) classification.</w:t>
      </w:r>
    </w:p>
    <w:p w14:paraId="3BC56E72" w14:textId="77777777" w:rsidR="00955559" w:rsidRPr="00A76734" w:rsidRDefault="00955559" w:rsidP="00955559">
      <w:pPr>
        <w:rPr>
          <w:color w:val="000000" w:themeColor="text1"/>
        </w:rPr>
      </w:pPr>
      <w:r w:rsidRPr="00A76734">
        <w:rPr>
          <w:color w:val="000000" w:themeColor="text1"/>
        </w:rPr>
        <w:t xml:space="preserve">For more detailed information on special accounts and special appropriations, please refer to the </w:t>
      </w:r>
      <w:r w:rsidRPr="00A76734">
        <w:rPr>
          <w:i/>
          <w:color w:val="000000" w:themeColor="text1"/>
        </w:rPr>
        <w:t>Budget Paper No. 4 – Agency Resourcing</w:t>
      </w:r>
      <w:r w:rsidRPr="00A76734">
        <w:rPr>
          <w:color w:val="000000" w:themeColor="text1"/>
        </w:rPr>
        <w:t>.</w:t>
      </w:r>
    </w:p>
    <w:p w14:paraId="202ACE67" w14:textId="49F0C31E" w:rsidR="00955559" w:rsidRPr="00A76734" w:rsidRDefault="00955559" w:rsidP="00955559">
      <w:pPr>
        <w:rPr>
          <w:color w:val="000000" w:themeColor="text1"/>
        </w:rPr>
      </w:pPr>
      <w:r w:rsidRPr="00A76734">
        <w:rPr>
          <w:color w:val="000000" w:themeColor="text1"/>
        </w:rPr>
        <w:t>Information in this table is presented on a resourcing (that is, appropriations/cash available) basis, whilst the ‘Budgeted expenses by Outcome’ tables in Section 2 and the financial statements in Section 3 are presented on an accrual basis.</w:t>
      </w:r>
    </w:p>
    <w:p w14:paraId="09CFF444" w14:textId="7847290D" w:rsidR="00C97196" w:rsidRPr="00096501" w:rsidRDefault="00955559" w:rsidP="00096501">
      <w:pPr>
        <w:pStyle w:val="TableHeading"/>
        <w:rPr>
          <w:color w:val="000000" w:themeColor="text1"/>
        </w:rPr>
      </w:pPr>
      <w:r w:rsidRPr="00A76734">
        <w:rPr>
          <w:color w:val="000000" w:themeColor="text1"/>
        </w:rPr>
        <w:br w:type="page"/>
      </w:r>
      <w:r w:rsidRPr="00A76734">
        <w:rPr>
          <w:color w:val="000000" w:themeColor="text1"/>
        </w:rPr>
        <w:lastRenderedPageBreak/>
        <w:t xml:space="preserve">Table 1.1: </w:t>
      </w:r>
      <w:r w:rsidR="006907C2" w:rsidRPr="00A76734">
        <w:rPr>
          <w:color w:val="000000" w:themeColor="text1"/>
        </w:rPr>
        <w:t>Australian Trade and Investment Commission</w:t>
      </w:r>
      <w:r w:rsidRPr="00A76734">
        <w:rPr>
          <w:color w:val="000000" w:themeColor="text1"/>
        </w:rPr>
        <w:t xml:space="preserve"> resource statement — Budget estimates for 202</w:t>
      </w:r>
      <w:r w:rsidR="00C97196">
        <w:rPr>
          <w:color w:val="000000" w:themeColor="text1"/>
        </w:rPr>
        <w:t>4</w:t>
      </w:r>
      <w:r w:rsidRPr="00A76734">
        <w:rPr>
          <w:color w:val="000000" w:themeColor="text1"/>
        </w:rPr>
        <w:t>-2</w:t>
      </w:r>
      <w:r w:rsidR="00C97196">
        <w:rPr>
          <w:color w:val="000000" w:themeColor="text1"/>
        </w:rPr>
        <w:t>5</w:t>
      </w:r>
      <w:r w:rsidRPr="00A76734">
        <w:rPr>
          <w:color w:val="000000" w:themeColor="text1"/>
        </w:rPr>
        <w:t xml:space="preserve"> as at Budget May 202</w:t>
      </w:r>
      <w:r w:rsidR="00C97196">
        <w:rPr>
          <w:color w:val="000000" w:themeColor="text1"/>
        </w:rPr>
        <w:t>4</w:t>
      </w:r>
    </w:p>
    <w:p w14:paraId="27914018" w14:textId="401F49BC" w:rsidR="00933EC7" w:rsidRDefault="00506B01" w:rsidP="00096501">
      <w:pPr>
        <w:pStyle w:val="TableHeading"/>
        <w:spacing w:before="0" w:after="0"/>
        <w:rPr>
          <w:color w:val="000000" w:themeColor="text1"/>
        </w:rPr>
      </w:pPr>
      <w:r w:rsidRPr="00506B01">
        <w:rPr>
          <w:noProof/>
        </w:rPr>
        <w:drawing>
          <wp:inline distT="0" distB="0" distL="0" distR="0" wp14:anchorId="0AD5FD67" wp14:editId="6132E25E">
            <wp:extent cx="4895850" cy="335788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5850" cy="3357880"/>
                    </a:xfrm>
                    <a:prstGeom prst="rect">
                      <a:avLst/>
                    </a:prstGeom>
                    <a:noFill/>
                    <a:ln>
                      <a:noFill/>
                    </a:ln>
                  </pic:spPr>
                </pic:pic>
              </a:graphicData>
            </a:graphic>
          </wp:inline>
        </w:drawing>
      </w:r>
    </w:p>
    <w:p w14:paraId="7E229F2E" w14:textId="77777777" w:rsidR="00955559" w:rsidRDefault="00955559" w:rsidP="00955559">
      <w:pPr>
        <w:pStyle w:val="ChartandTableFootnote"/>
        <w:rPr>
          <w:color w:val="000000" w:themeColor="text1"/>
        </w:rPr>
      </w:pPr>
      <w:r w:rsidRPr="00CA39CC">
        <w:rPr>
          <w:color w:val="000000" w:themeColor="text1"/>
        </w:rPr>
        <w:t>Prepared on a resourcing (that is, appropriations available) basis.</w:t>
      </w:r>
    </w:p>
    <w:p w14:paraId="693C000F" w14:textId="77777777" w:rsidR="00894B7C" w:rsidRPr="00CA39CC" w:rsidRDefault="00894B7C" w:rsidP="00894B7C">
      <w:pPr>
        <w:pStyle w:val="ChartandTableFootnote"/>
        <w:rPr>
          <w:color w:val="000000" w:themeColor="text1"/>
        </w:rPr>
      </w:pPr>
      <w:r w:rsidRPr="00CA39CC">
        <w:rPr>
          <w:color w:val="000000" w:themeColor="text1"/>
        </w:rPr>
        <w:t>All figures shown above are GST exclusive - these may not match figures in the cash flow statement.</w:t>
      </w:r>
    </w:p>
    <w:p w14:paraId="18D288B6" w14:textId="7CAAB769" w:rsidR="001008F2" w:rsidRPr="00CA39CC" w:rsidRDefault="00955559" w:rsidP="00934C8F">
      <w:pPr>
        <w:pStyle w:val="ChartandTableFootnoteAlpha"/>
        <w:numPr>
          <w:ilvl w:val="0"/>
          <w:numId w:val="37"/>
        </w:numPr>
        <w:rPr>
          <w:color w:val="000000" w:themeColor="text1"/>
        </w:rPr>
      </w:pPr>
      <w:r w:rsidRPr="00CA39CC">
        <w:rPr>
          <w:color w:val="000000" w:themeColor="text1"/>
        </w:rPr>
        <w:t>Appropriation Bill (No. 1) 202</w:t>
      </w:r>
      <w:r w:rsidR="002241A6" w:rsidRPr="00CA39CC">
        <w:rPr>
          <w:color w:val="000000" w:themeColor="text1"/>
        </w:rPr>
        <w:t>4</w:t>
      </w:r>
      <w:r w:rsidRPr="00CA39CC">
        <w:rPr>
          <w:color w:val="000000" w:themeColor="text1"/>
        </w:rPr>
        <w:t>-2</w:t>
      </w:r>
      <w:r w:rsidR="002241A6" w:rsidRPr="00CA39CC">
        <w:rPr>
          <w:color w:val="000000" w:themeColor="text1"/>
        </w:rPr>
        <w:t>5</w:t>
      </w:r>
      <w:r w:rsidRPr="00CA39CC">
        <w:rPr>
          <w:color w:val="000000" w:themeColor="text1"/>
        </w:rPr>
        <w:t>.</w:t>
      </w:r>
    </w:p>
    <w:p w14:paraId="2F5F5642" w14:textId="77777777" w:rsidR="00955559" w:rsidRPr="00CA39CC" w:rsidRDefault="00955559" w:rsidP="002F22EC">
      <w:pPr>
        <w:pStyle w:val="ChartandTableFootnoteAlpha"/>
        <w:rPr>
          <w:color w:val="000000" w:themeColor="text1"/>
        </w:rPr>
      </w:pPr>
      <w:r w:rsidRPr="00CA39CC">
        <w:rPr>
          <w:color w:val="000000" w:themeColor="text1"/>
        </w:rPr>
        <w:t>Excludes departmental capital budget (DCB).</w:t>
      </w:r>
    </w:p>
    <w:p w14:paraId="777CF3DF" w14:textId="6DEF5B35" w:rsidR="00955559" w:rsidRPr="00CA39CC" w:rsidRDefault="00955559" w:rsidP="002F22EC">
      <w:pPr>
        <w:pStyle w:val="ChartandTableFootnoteAlpha"/>
        <w:rPr>
          <w:color w:val="000000" w:themeColor="text1"/>
        </w:rPr>
      </w:pPr>
      <w:r w:rsidRPr="00CA39CC">
        <w:rPr>
          <w:color w:val="000000" w:themeColor="text1"/>
        </w:rPr>
        <w:t xml:space="preserve">Estimated External Revenue receipts under section 74 of the </w:t>
      </w:r>
      <w:r w:rsidR="00CA39CC">
        <w:rPr>
          <w:color w:val="000000" w:themeColor="text1"/>
        </w:rPr>
        <w:t>PGPA Act</w:t>
      </w:r>
      <w:r w:rsidRPr="00CA39CC">
        <w:rPr>
          <w:color w:val="000000" w:themeColor="text1"/>
        </w:rPr>
        <w:t>.</w:t>
      </w:r>
    </w:p>
    <w:p w14:paraId="0FA4A04F" w14:textId="4164BD66" w:rsidR="00955559" w:rsidRPr="00211DF6" w:rsidRDefault="007D64DE" w:rsidP="002F22EC">
      <w:pPr>
        <w:pStyle w:val="ChartandTableFootnoteAlpha"/>
        <w:rPr>
          <w:color w:val="000000" w:themeColor="text1"/>
        </w:rPr>
      </w:pPr>
      <w:r w:rsidRPr="00211DF6">
        <w:rPr>
          <w:color w:val="000000" w:themeColor="text1"/>
        </w:rPr>
        <w:t xml:space="preserve">Capital budgets and Administered payments to other jurisdictions </w:t>
      </w:r>
      <w:r w:rsidR="00955559" w:rsidRPr="00211DF6">
        <w:rPr>
          <w:color w:val="000000" w:themeColor="text1"/>
        </w:rPr>
        <w:t>are not separately identified in Appropriation Bill (No.1) and form part of ordinary annual services items. Please refer to Table 3.5 for further details</w:t>
      </w:r>
      <w:r w:rsidR="00211DF6" w:rsidRPr="00211DF6">
        <w:rPr>
          <w:color w:val="000000" w:themeColor="text1"/>
        </w:rPr>
        <w:t xml:space="preserve"> on capital budgets</w:t>
      </w:r>
      <w:r w:rsidR="00955559" w:rsidRPr="00211DF6">
        <w:rPr>
          <w:color w:val="000000" w:themeColor="text1"/>
        </w:rPr>
        <w:t>. For accounting purposes, this amount has been designated as a 'contribution by owner'.</w:t>
      </w:r>
    </w:p>
    <w:p w14:paraId="59D55E21" w14:textId="3F914082" w:rsidR="002F65E2" w:rsidRDefault="00955559" w:rsidP="002F22EC">
      <w:pPr>
        <w:pStyle w:val="ChartandTableFootnoteAlpha"/>
        <w:rPr>
          <w:color w:val="000000" w:themeColor="text1"/>
        </w:rPr>
      </w:pPr>
      <w:r w:rsidRPr="00211DF6">
        <w:rPr>
          <w:color w:val="000000" w:themeColor="text1"/>
        </w:rPr>
        <w:t>Appropriation Bill (No. 2) 202</w:t>
      </w:r>
      <w:r w:rsidR="002241A6" w:rsidRPr="00211DF6">
        <w:rPr>
          <w:color w:val="000000" w:themeColor="text1"/>
        </w:rPr>
        <w:t>4</w:t>
      </w:r>
      <w:r w:rsidRPr="00211DF6">
        <w:rPr>
          <w:color w:val="000000" w:themeColor="text1"/>
        </w:rPr>
        <w:t>-2</w:t>
      </w:r>
      <w:r w:rsidR="002241A6" w:rsidRPr="00211DF6">
        <w:rPr>
          <w:color w:val="000000" w:themeColor="text1"/>
        </w:rPr>
        <w:t>5</w:t>
      </w:r>
      <w:r w:rsidRPr="00211DF6">
        <w:rPr>
          <w:color w:val="000000" w:themeColor="text1"/>
        </w:rPr>
        <w:t>.</w:t>
      </w:r>
    </w:p>
    <w:p w14:paraId="5D53EB08" w14:textId="1ECACFEC" w:rsidR="002F65E2" w:rsidRPr="00A76734" w:rsidRDefault="009649F6" w:rsidP="009649F6">
      <w:pPr>
        <w:pStyle w:val="ChartandTableFootnoteAlpha"/>
        <w:numPr>
          <w:ilvl w:val="0"/>
          <w:numId w:val="0"/>
        </w:numPr>
        <w:rPr>
          <w:color w:val="000000" w:themeColor="text1"/>
        </w:rPr>
      </w:pPr>
      <w:r w:rsidRPr="009649F6">
        <w:rPr>
          <w:color w:val="000000" w:themeColor="text1"/>
        </w:rPr>
        <w:t>Note: The Annual Appropriation amounts appearing for 2023-24 estimated actual do not include the Appropriation Bills (No. 5) and (No. 6) as they had not been enacted at the time of publication. $1.045 million will be received through Appropriation Bill (No. 5) 2023-24. The annual appropriations received from these bills will be recognised in a future Portfolio Budget Statement but only after the Bills have received Royal Assent.</w:t>
      </w:r>
    </w:p>
    <w:p w14:paraId="27FE818D" w14:textId="77777777" w:rsidR="002F65E2" w:rsidRPr="00A76734" w:rsidRDefault="002F65E2" w:rsidP="002F65E2">
      <w:pPr>
        <w:rPr>
          <w:color w:val="000000" w:themeColor="text1"/>
        </w:rPr>
      </w:pPr>
    </w:p>
    <w:p w14:paraId="1A61B756" w14:textId="47065AC7" w:rsidR="00955559" w:rsidRPr="00A76734" w:rsidRDefault="00955559" w:rsidP="00466438">
      <w:pPr>
        <w:pStyle w:val="ChartandTableFootnoteAlpha"/>
        <w:numPr>
          <w:ilvl w:val="0"/>
          <w:numId w:val="0"/>
        </w:numPr>
        <w:ind w:left="284" w:hanging="284"/>
        <w:rPr>
          <w:b/>
          <w:bCs/>
          <w:color w:val="000000" w:themeColor="text1"/>
          <w:sz w:val="22"/>
          <w:szCs w:val="22"/>
        </w:rPr>
      </w:pPr>
      <w:r w:rsidRPr="00A76734">
        <w:rPr>
          <w:color w:val="000000" w:themeColor="text1"/>
        </w:rPr>
        <w:br w:type="page"/>
      </w:r>
      <w:r w:rsidRPr="00A76734">
        <w:rPr>
          <w:b/>
          <w:bCs/>
          <w:color w:val="000000" w:themeColor="text1"/>
          <w:sz w:val="22"/>
          <w:szCs w:val="22"/>
        </w:rPr>
        <w:lastRenderedPageBreak/>
        <w:t>1.3</w:t>
      </w:r>
      <w:r w:rsidRPr="00A76734">
        <w:rPr>
          <w:b/>
          <w:bCs/>
          <w:color w:val="000000" w:themeColor="text1"/>
          <w:sz w:val="22"/>
          <w:szCs w:val="22"/>
        </w:rPr>
        <w:tab/>
        <w:t>Budget measures</w:t>
      </w:r>
    </w:p>
    <w:p w14:paraId="31C31BE9" w14:textId="6E442BF9" w:rsidR="00955559" w:rsidRPr="00A76734" w:rsidRDefault="00955559" w:rsidP="00955559">
      <w:pPr>
        <w:rPr>
          <w:color w:val="000000" w:themeColor="text1"/>
        </w:rPr>
      </w:pPr>
      <w:r w:rsidRPr="00A76734">
        <w:rPr>
          <w:color w:val="000000" w:themeColor="text1"/>
        </w:rPr>
        <w:t xml:space="preserve">Budget measures in Part 1 relating to </w:t>
      </w:r>
      <w:r w:rsidR="006907C2" w:rsidRPr="00A76734">
        <w:rPr>
          <w:color w:val="000000" w:themeColor="text1"/>
        </w:rPr>
        <w:t>the Australian Trade and Investment Commission</w:t>
      </w:r>
      <w:r w:rsidRPr="00A76734">
        <w:rPr>
          <w:color w:val="000000" w:themeColor="text1"/>
        </w:rPr>
        <w:t xml:space="preserve"> are detailed in the Budget Paper No. 2 and are summarised below.</w:t>
      </w:r>
    </w:p>
    <w:p w14:paraId="25127FEE" w14:textId="2700F706" w:rsidR="00955559" w:rsidRPr="00A76734" w:rsidRDefault="00955559" w:rsidP="00955559">
      <w:pPr>
        <w:pStyle w:val="TableHeading"/>
        <w:rPr>
          <w:color w:val="000000" w:themeColor="text1"/>
        </w:rPr>
      </w:pPr>
      <w:r w:rsidRPr="00A76734">
        <w:rPr>
          <w:color w:val="000000" w:themeColor="text1"/>
        </w:rPr>
        <w:t>Table 1.2: Entity 202</w:t>
      </w:r>
      <w:r w:rsidR="00C97196">
        <w:rPr>
          <w:color w:val="000000" w:themeColor="text1"/>
        </w:rPr>
        <w:t>4</w:t>
      </w:r>
      <w:r w:rsidRPr="00A76734">
        <w:rPr>
          <w:color w:val="000000" w:themeColor="text1"/>
        </w:rPr>
        <w:t>-2</w:t>
      </w:r>
      <w:r w:rsidR="00C97196">
        <w:rPr>
          <w:color w:val="000000" w:themeColor="text1"/>
        </w:rPr>
        <w:t>5</w:t>
      </w:r>
      <w:r w:rsidRPr="00A76734">
        <w:rPr>
          <w:color w:val="000000" w:themeColor="text1"/>
        </w:rPr>
        <w:t xml:space="preserve"> Budget measures</w:t>
      </w:r>
    </w:p>
    <w:p w14:paraId="51C28F79" w14:textId="288044B2" w:rsidR="00955559" w:rsidRPr="00A76734" w:rsidRDefault="00955559" w:rsidP="00955559">
      <w:pPr>
        <w:pStyle w:val="TableGraphic"/>
        <w:rPr>
          <w:color w:val="000000" w:themeColor="text1"/>
        </w:rPr>
      </w:pPr>
      <w:r w:rsidRPr="00A76734">
        <w:rPr>
          <w:rFonts w:ascii="Arial Bold" w:hAnsi="Arial Bold"/>
          <w:b/>
          <w:color w:val="000000" w:themeColor="text1"/>
        </w:rPr>
        <w:t>Part 1: Measures announced since the 202</w:t>
      </w:r>
      <w:r w:rsidR="00C97196">
        <w:rPr>
          <w:rFonts w:ascii="Arial Bold" w:hAnsi="Arial Bold"/>
          <w:b/>
          <w:color w:val="000000" w:themeColor="text1"/>
        </w:rPr>
        <w:t>3</w:t>
      </w:r>
      <w:r w:rsidRPr="00A76734">
        <w:rPr>
          <w:rFonts w:ascii="Arial Bold" w:hAnsi="Arial Bold"/>
          <w:b/>
          <w:color w:val="000000" w:themeColor="text1"/>
        </w:rPr>
        <w:t>-2</w:t>
      </w:r>
      <w:r w:rsidR="00C97196">
        <w:rPr>
          <w:rFonts w:ascii="Arial Bold" w:hAnsi="Arial Bold"/>
          <w:b/>
          <w:color w:val="000000" w:themeColor="text1"/>
        </w:rPr>
        <w:t>4</w:t>
      </w:r>
      <w:r w:rsidRPr="00A76734">
        <w:rPr>
          <w:rFonts w:ascii="Arial Bold" w:hAnsi="Arial Bold"/>
          <w:b/>
          <w:color w:val="000000" w:themeColor="text1"/>
        </w:rPr>
        <w:t xml:space="preserve"> </w:t>
      </w:r>
      <w:r w:rsidR="00C00DC6">
        <w:rPr>
          <w:rFonts w:ascii="Arial Bold" w:hAnsi="Arial Bold"/>
          <w:b/>
          <w:color w:val="000000" w:themeColor="text1"/>
        </w:rPr>
        <w:t>Mid-Year Economic and Fiscal Outlook (MYEFO)</w:t>
      </w:r>
    </w:p>
    <w:p w14:paraId="1AD38CD0" w14:textId="38E90C3C" w:rsidR="00933EC7" w:rsidRDefault="004C475B" w:rsidP="00096902">
      <w:pPr>
        <w:pStyle w:val="TableHeading"/>
        <w:spacing w:before="0"/>
        <w:rPr>
          <w:color w:val="000000" w:themeColor="text1"/>
        </w:rPr>
      </w:pPr>
      <w:r w:rsidRPr="004C475B">
        <w:rPr>
          <w:noProof/>
        </w:rPr>
        <w:drawing>
          <wp:inline distT="0" distB="0" distL="0" distR="0" wp14:anchorId="41706277" wp14:editId="4744E3EE">
            <wp:extent cx="4800600" cy="28003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0600" cy="2800350"/>
                    </a:xfrm>
                    <a:prstGeom prst="rect">
                      <a:avLst/>
                    </a:prstGeom>
                    <a:noFill/>
                    <a:ln>
                      <a:noFill/>
                    </a:ln>
                  </pic:spPr>
                </pic:pic>
              </a:graphicData>
            </a:graphic>
          </wp:inline>
        </w:drawing>
      </w:r>
    </w:p>
    <w:p w14:paraId="695A079F" w14:textId="77777777" w:rsidR="00955559" w:rsidRPr="00A76734" w:rsidRDefault="00955559" w:rsidP="00955559">
      <w:pPr>
        <w:pStyle w:val="ChartandTableFootnote"/>
        <w:rPr>
          <w:color w:val="000000" w:themeColor="text1"/>
        </w:rPr>
      </w:pPr>
      <w:r w:rsidRPr="001C14B1">
        <w:rPr>
          <w:color w:val="000000" w:themeColor="text1"/>
        </w:rPr>
        <w:t>Prepared on a Government Finance Statistics (Underlying Cash) basis. Figures displayed as a negative (-) represent a decrease in funds and a positive (+) represent an increase in funds.</w:t>
      </w:r>
    </w:p>
    <w:p w14:paraId="7186BE17" w14:textId="30086F28" w:rsidR="00955559" w:rsidRPr="00A76734" w:rsidRDefault="00955559" w:rsidP="00955559">
      <w:pPr>
        <w:spacing w:after="0" w:line="240" w:lineRule="auto"/>
        <w:rPr>
          <w:rFonts w:ascii="Arial Bold" w:hAnsi="Arial Bold"/>
          <w:b/>
          <w:color w:val="000000" w:themeColor="text1"/>
        </w:rPr>
      </w:pPr>
    </w:p>
    <w:p w14:paraId="1641B8DC" w14:textId="77777777" w:rsidR="00955559" w:rsidRPr="00A76734" w:rsidRDefault="00955559" w:rsidP="00955559">
      <w:pPr>
        <w:pStyle w:val="Heading2"/>
        <w:rPr>
          <w:color w:val="000000" w:themeColor="text1"/>
        </w:rPr>
      </w:pPr>
      <w:r w:rsidRPr="00A76734">
        <w:rPr>
          <w:color w:val="000000" w:themeColor="text1"/>
        </w:rPr>
        <w:br w:type="page"/>
      </w:r>
      <w:r w:rsidRPr="00A76734">
        <w:rPr>
          <w:color w:val="000000" w:themeColor="text1"/>
        </w:rPr>
        <w:lastRenderedPageBreak/>
        <w:t>Section 2: Outcomes and planned performance</w:t>
      </w:r>
    </w:p>
    <w:p w14:paraId="725D90BB" w14:textId="77777777" w:rsidR="00955559" w:rsidRPr="00A76734" w:rsidRDefault="00955559" w:rsidP="00955559">
      <w:pPr>
        <w:rPr>
          <w:color w:val="000000" w:themeColor="text1"/>
        </w:rPr>
      </w:pPr>
      <w:r w:rsidRPr="00A76734">
        <w:rPr>
          <w:color w:val="000000" w:themeColor="text1"/>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A865AB6" w14:textId="00C4B78C" w:rsidR="00955559" w:rsidRPr="00A76734" w:rsidRDefault="00955559" w:rsidP="00955559">
      <w:pPr>
        <w:rPr>
          <w:i/>
          <w:color w:val="000000" w:themeColor="text1"/>
        </w:rPr>
      </w:pPr>
      <w:r w:rsidRPr="00A76734">
        <w:rPr>
          <w:color w:val="000000" w:themeColor="text1"/>
        </w:rPr>
        <w:t>Each outcome is described below together with its related programs. The following provides detailed information on expenses for each outcome and program, further broken down by funding source.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955559" w:rsidRPr="00A76734" w14:paraId="72236429" w14:textId="77777777" w:rsidTr="00C91485">
        <w:tc>
          <w:tcPr>
            <w:tcW w:w="7700" w:type="dxa"/>
            <w:shd w:val="clear" w:color="auto" w:fill="auto"/>
          </w:tcPr>
          <w:p w14:paraId="5F52A67F" w14:textId="77777777" w:rsidR="00955559" w:rsidRPr="00A76734" w:rsidRDefault="00955559" w:rsidP="00C91485">
            <w:pPr>
              <w:spacing w:before="120" w:after="120" w:line="240" w:lineRule="auto"/>
              <w:jc w:val="both"/>
              <w:rPr>
                <w:b/>
                <w:color w:val="000000" w:themeColor="text1"/>
              </w:rPr>
            </w:pPr>
            <w:r w:rsidRPr="00A76734">
              <w:rPr>
                <w:b/>
                <w:color w:val="000000" w:themeColor="text1"/>
              </w:rPr>
              <w:t>Note:</w:t>
            </w:r>
          </w:p>
          <w:p w14:paraId="00CA40B0" w14:textId="7C14D9CE" w:rsidR="00955559" w:rsidRPr="00A76734" w:rsidRDefault="006427E9" w:rsidP="00C91485">
            <w:pPr>
              <w:jc w:val="both"/>
              <w:rPr>
                <w:color w:val="000000" w:themeColor="text1"/>
              </w:rPr>
            </w:pPr>
            <w:r w:rsidRPr="00A76734">
              <w:rPr>
                <w:color w:val="000000" w:themeColor="text1"/>
              </w:rPr>
              <w:t xml:space="preserve">Performance reporting requirements in the Portfolio Budget Statements are part of the </w:t>
            </w:r>
            <w:r w:rsidRPr="00A76734">
              <w:rPr>
                <w:color w:val="000000" w:themeColor="text1"/>
                <w:spacing w:val="-2"/>
              </w:rPr>
              <w:t xml:space="preserve">Commonwealth performance framework established by the </w:t>
            </w:r>
            <w:r w:rsidRPr="00A76734">
              <w:rPr>
                <w:i/>
                <w:color w:val="000000" w:themeColor="text1"/>
                <w:spacing w:val="-2"/>
              </w:rPr>
              <w:t xml:space="preserve">Public Governance, Performance </w:t>
            </w:r>
            <w:r w:rsidRPr="00A76734">
              <w:rPr>
                <w:i/>
                <w:color w:val="000000" w:themeColor="text1"/>
              </w:rPr>
              <w:t>and Accountability Act 2013</w:t>
            </w:r>
            <w:r w:rsidRPr="00A76734">
              <w:rPr>
                <w:color w:val="000000" w:themeColor="text1"/>
              </w:rPr>
              <w:t>. It is anticipated that the performance measure described in Portfolio</w:t>
            </w:r>
            <w:r w:rsidRPr="00A76734">
              <w:rPr>
                <w:color w:val="000000" w:themeColor="text1"/>
                <w:spacing w:val="-9"/>
              </w:rPr>
              <w:t xml:space="preserve"> </w:t>
            </w:r>
            <w:r w:rsidRPr="00A76734">
              <w:rPr>
                <w:color w:val="000000" w:themeColor="text1"/>
              </w:rPr>
              <w:t>Budget</w:t>
            </w:r>
            <w:r w:rsidRPr="00A76734">
              <w:rPr>
                <w:color w:val="000000" w:themeColor="text1"/>
                <w:spacing w:val="-8"/>
              </w:rPr>
              <w:t xml:space="preserve"> </w:t>
            </w:r>
            <w:r w:rsidRPr="00A76734">
              <w:rPr>
                <w:color w:val="000000" w:themeColor="text1"/>
              </w:rPr>
              <w:t>Statements</w:t>
            </w:r>
            <w:r w:rsidRPr="00A76734">
              <w:rPr>
                <w:color w:val="000000" w:themeColor="text1"/>
                <w:spacing w:val="-10"/>
              </w:rPr>
              <w:t xml:space="preserve"> </w:t>
            </w:r>
            <w:r w:rsidRPr="00A76734">
              <w:rPr>
                <w:color w:val="000000" w:themeColor="text1"/>
              </w:rPr>
              <w:t>will</w:t>
            </w:r>
            <w:r w:rsidRPr="00A76734">
              <w:rPr>
                <w:color w:val="000000" w:themeColor="text1"/>
                <w:spacing w:val="-9"/>
              </w:rPr>
              <w:t xml:space="preserve"> </w:t>
            </w:r>
            <w:r w:rsidRPr="00A76734">
              <w:rPr>
                <w:color w:val="000000" w:themeColor="text1"/>
              </w:rPr>
              <w:t>be</w:t>
            </w:r>
            <w:r w:rsidRPr="00A76734">
              <w:rPr>
                <w:color w:val="000000" w:themeColor="text1"/>
                <w:spacing w:val="-8"/>
              </w:rPr>
              <w:t xml:space="preserve"> </w:t>
            </w:r>
            <w:r w:rsidRPr="00A76734">
              <w:rPr>
                <w:color w:val="000000" w:themeColor="text1"/>
              </w:rPr>
              <w:t>read</w:t>
            </w:r>
            <w:r w:rsidRPr="00A76734">
              <w:rPr>
                <w:color w:val="000000" w:themeColor="text1"/>
                <w:spacing w:val="-11"/>
              </w:rPr>
              <w:t xml:space="preserve"> </w:t>
            </w:r>
            <w:r w:rsidRPr="00A76734">
              <w:rPr>
                <w:color w:val="000000" w:themeColor="text1"/>
              </w:rPr>
              <w:t>with</w:t>
            </w:r>
            <w:r w:rsidRPr="00A76734">
              <w:rPr>
                <w:color w:val="000000" w:themeColor="text1"/>
                <w:spacing w:val="-9"/>
              </w:rPr>
              <w:t xml:space="preserve"> </w:t>
            </w:r>
            <w:r w:rsidRPr="00A76734">
              <w:rPr>
                <w:color w:val="000000" w:themeColor="text1"/>
              </w:rPr>
              <w:t>broader</w:t>
            </w:r>
            <w:r w:rsidRPr="00A76734">
              <w:rPr>
                <w:color w:val="000000" w:themeColor="text1"/>
                <w:spacing w:val="-9"/>
              </w:rPr>
              <w:t xml:space="preserve"> </w:t>
            </w:r>
            <w:r w:rsidRPr="00A76734">
              <w:rPr>
                <w:color w:val="000000" w:themeColor="text1"/>
              </w:rPr>
              <w:t>information</w:t>
            </w:r>
            <w:r w:rsidRPr="00A76734">
              <w:rPr>
                <w:color w:val="000000" w:themeColor="text1"/>
                <w:spacing w:val="-9"/>
              </w:rPr>
              <w:t xml:space="preserve"> </w:t>
            </w:r>
            <w:r w:rsidRPr="00A76734">
              <w:rPr>
                <w:color w:val="000000" w:themeColor="text1"/>
              </w:rPr>
              <w:t>provided</w:t>
            </w:r>
            <w:r w:rsidRPr="00A76734">
              <w:rPr>
                <w:color w:val="000000" w:themeColor="text1"/>
                <w:spacing w:val="-9"/>
              </w:rPr>
              <w:t xml:space="preserve"> </w:t>
            </w:r>
            <w:r w:rsidRPr="00A76734">
              <w:rPr>
                <w:color w:val="000000" w:themeColor="text1"/>
              </w:rPr>
              <w:t>in</w:t>
            </w:r>
            <w:r w:rsidRPr="00A76734">
              <w:rPr>
                <w:color w:val="000000" w:themeColor="text1"/>
                <w:spacing w:val="-9"/>
              </w:rPr>
              <w:t xml:space="preserve"> </w:t>
            </w:r>
            <w:r w:rsidRPr="00A76734">
              <w:rPr>
                <w:color w:val="000000" w:themeColor="text1"/>
              </w:rPr>
              <w:t>an</w:t>
            </w:r>
            <w:r w:rsidRPr="00A76734">
              <w:rPr>
                <w:color w:val="000000" w:themeColor="text1"/>
                <w:spacing w:val="-11"/>
              </w:rPr>
              <w:t xml:space="preserve"> </w:t>
            </w:r>
            <w:r w:rsidRPr="00A76734">
              <w:rPr>
                <w:color w:val="000000" w:themeColor="text1"/>
              </w:rPr>
              <w:t>entity’s corporate plans and annual performance statements – included in Annual Reports - to provide a complete picture of an entity’s planned and actual performance.</w:t>
            </w:r>
          </w:p>
          <w:p w14:paraId="19DA6A48" w14:textId="110CEF10" w:rsidR="009152E8" w:rsidRPr="00A76734" w:rsidRDefault="00955559" w:rsidP="009152E8">
            <w:pPr>
              <w:jc w:val="both"/>
              <w:rPr>
                <w:color w:val="000000" w:themeColor="text1"/>
              </w:rPr>
            </w:pPr>
            <w:r w:rsidRPr="00A76734">
              <w:rPr>
                <w:color w:val="000000" w:themeColor="text1"/>
              </w:rPr>
              <w:t xml:space="preserve">The most recent corporate plan for </w:t>
            </w:r>
            <w:r w:rsidR="009152E8" w:rsidRPr="00A76734">
              <w:rPr>
                <w:color w:val="000000" w:themeColor="text1"/>
              </w:rPr>
              <w:t>Austrade</w:t>
            </w:r>
            <w:r w:rsidRPr="00A76734">
              <w:rPr>
                <w:color w:val="000000" w:themeColor="text1"/>
              </w:rPr>
              <w:t xml:space="preserve"> can be found at: </w:t>
            </w:r>
            <w:hyperlink r:id="rId21" w:history="1">
              <w:r w:rsidR="009152E8" w:rsidRPr="00A76734">
                <w:rPr>
                  <w:rStyle w:val="Hyperlink"/>
                  <w:color w:val="000000" w:themeColor="text1"/>
                </w:rPr>
                <w:t>https://www.austrade.gov.au/about/corporate-information/corporate-plan</w:t>
              </w:r>
            </w:hyperlink>
            <w:r w:rsidR="009152E8" w:rsidRPr="00A76734">
              <w:rPr>
                <w:color w:val="000000" w:themeColor="text1"/>
                <w:u w:val="single"/>
              </w:rPr>
              <w:t>.</w:t>
            </w:r>
          </w:p>
          <w:p w14:paraId="76DC07C7" w14:textId="5B9D1364" w:rsidR="00955559" w:rsidRPr="00A76734" w:rsidRDefault="00955559" w:rsidP="009152E8">
            <w:pPr>
              <w:jc w:val="both"/>
              <w:rPr>
                <w:color w:val="000000" w:themeColor="text1"/>
              </w:rPr>
            </w:pPr>
            <w:r w:rsidRPr="00A76734">
              <w:rPr>
                <w:color w:val="000000" w:themeColor="text1"/>
              </w:rPr>
              <w:t>The most recent annual performance statement can be found at:</w:t>
            </w:r>
            <w:r w:rsidR="009152E8" w:rsidRPr="00A76734">
              <w:rPr>
                <w:color w:val="000000" w:themeColor="text1"/>
              </w:rPr>
              <w:t xml:space="preserve"> </w:t>
            </w:r>
            <w:r w:rsidR="009152E8" w:rsidRPr="00A76734">
              <w:rPr>
                <w:color w:val="000000" w:themeColor="text1"/>
                <w:u w:val="single"/>
              </w:rPr>
              <w:t>https://www.austrade.gov.au/about/corporate-information/annualreport</w:t>
            </w:r>
            <w:r w:rsidR="009152E8" w:rsidRPr="00A76734">
              <w:rPr>
                <w:color w:val="000000" w:themeColor="text1"/>
                <w:spacing w:val="-2"/>
              </w:rPr>
              <w:t>)</w:t>
            </w:r>
            <w:r w:rsidR="00DE7834" w:rsidRPr="00A76734">
              <w:rPr>
                <w:color w:val="000000" w:themeColor="text1"/>
                <w:spacing w:val="-2"/>
              </w:rPr>
              <w:t>.</w:t>
            </w:r>
          </w:p>
        </w:tc>
      </w:tr>
    </w:tbl>
    <w:p w14:paraId="52C6774C" w14:textId="77777777" w:rsidR="00955559" w:rsidRPr="00A76734" w:rsidRDefault="00955559" w:rsidP="00955559">
      <w:pPr>
        <w:rPr>
          <w:color w:val="000000" w:themeColor="text1"/>
          <w:highlight w:val="yellow"/>
        </w:rPr>
      </w:pPr>
    </w:p>
    <w:p w14:paraId="21164916" w14:textId="77777777" w:rsidR="00A16A1F" w:rsidRPr="00A76734" w:rsidRDefault="00A16A1F">
      <w:pPr>
        <w:spacing w:before="0" w:after="0" w:line="240" w:lineRule="auto"/>
        <w:rPr>
          <w:rFonts w:ascii="Arial Bold" w:hAnsi="Arial Bold"/>
          <w:b/>
          <w:color w:val="000000" w:themeColor="text1"/>
          <w:sz w:val="22"/>
        </w:rPr>
      </w:pPr>
      <w:r w:rsidRPr="00A76734">
        <w:rPr>
          <w:color w:val="000000" w:themeColor="text1"/>
        </w:rPr>
        <w:br w:type="page"/>
      </w:r>
    </w:p>
    <w:p w14:paraId="5B2108FF" w14:textId="333C0847" w:rsidR="00955559" w:rsidRPr="00A76734" w:rsidRDefault="00955559" w:rsidP="00955559">
      <w:pPr>
        <w:pStyle w:val="Heading3"/>
        <w:rPr>
          <w:color w:val="000000" w:themeColor="text1"/>
        </w:rPr>
      </w:pPr>
      <w:r w:rsidRPr="00A76734">
        <w:rPr>
          <w:color w:val="000000" w:themeColor="text1"/>
        </w:rPr>
        <w:lastRenderedPageBreak/>
        <w:t xml:space="preserve">2.1 </w:t>
      </w:r>
      <w:r w:rsidRPr="00A76734">
        <w:rPr>
          <w:color w:val="000000" w:themeColor="text1"/>
        </w:rPr>
        <w:tab/>
        <w:t>Budgeted expenses and performance for Outcome 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A76734" w:rsidRPr="00A76734" w14:paraId="7AEE5A74" w14:textId="77777777" w:rsidTr="00C91485">
        <w:tc>
          <w:tcPr>
            <w:tcW w:w="7704" w:type="dxa"/>
            <w:shd w:val="clear" w:color="auto" w:fill="E6E6E6"/>
          </w:tcPr>
          <w:p w14:paraId="1D63061D" w14:textId="6440002D" w:rsidR="00955559" w:rsidRPr="00A76734" w:rsidRDefault="00955559" w:rsidP="007C3BED">
            <w:pPr>
              <w:pStyle w:val="TableColumnHeadingLeft"/>
              <w:rPr>
                <w:color w:val="000000" w:themeColor="text1"/>
              </w:rPr>
            </w:pPr>
            <w:r w:rsidRPr="00A76734">
              <w:rPr>
                <w:color w:val="000000" w:themeColor="text1"/>
              </w:rPr>
              <w:t xml:space="preserve">Outcome 1: </w:t>
            </w:r>
            <w:r w:rsidR="009152E8" w:rsidRPr="00A76734">
              <w:rPr>
                <w:color w:val="000000" w:themeColor="text1"/>
              </w:rPr>
              <w:t>To contribute to Australia’s economic prosperity by supporting Australian exporters to expand internationally, attracting productive international investment, and growing the visitor economy</w:t>
            </w:r>
          </w:p>
        </w:tc>
      </w:tr>
    </w:tbl>
    <w:p w14:paraId="40944A5E" w14:textId="77777777" w:rsidR="0077118B" w:rsidRPr="0077118B" w:rsidRDefault="0077118B" w:rsidP="00955559">
      <w:pPr>
        <w:pStyle w:val="Heading4"/>
        <w:rPr>
          <w:color w:val="000000" w:themeColor="text1"/>
          <w:sz w:val="10"/>
          <w:szCs w:val="10"/>
        </w:rPr>
      </w:pPr>
    </w:p>
    <w:p w14:paraId="180A6AF7" w14:textId="7F6E2BD3" w:rsidR="00955559" w:rsidRPr="00A76734" w:rsidRDefault="00955559" w:rsidP="00955559">
      <w:pPr>
        <w:pStyle w:val="Heading4"/>
        <w:rPr>
          <w:color w:val="000000" w:themeColor="text1"/>
        </w:rPr>
      </w:pPr>
      <w:r w:rsidRPr="00A76734">
        <w:rPr>
          <w:color w:val="000000" w:themeColor="text1"/>
        </w:rPr>
        <w:t>Linked programs</w:t>
      </w:r>
    </w:p>
    <w:tbl>
      <w:tblPr>
        <w:tblW w:w="7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tblGrid>
      <w:tr w:rsidR="00A76734" w:rsidRPr="00A76734" w14:paraId="78A33DC1" w14:textId="77777777" w:rsidTr="009152E8">
        <w:trPr>
          <w:trHeight w:val="453"/>
        </w:trPr>
        <w:tc>
          <w:tcPr>
            <w:tcW w:w="7655" w:type="dxa"/>
            <w:tcBorders>
              <w:bottom w:val="dotted" w:sz="4" w:space="0" w:color="000000"/>
            </w:tcBorders>
          </w:tcPr>
          <w:p w14:paraId="6D83E98A" w14:textId="77777777" w:rsidR="009152E8" w:rsidRPr="00A76734" w:rsidRDefault="009152E8" w:rsidP="00C91485">
            <w:pPr>
              <w:pStyle w:val="TableParagraph"/>
              <w:spacing w:before="119"/>
              <w:ind w:left="107"/>
              <w:rPr>
                <w:rFonts w:ascii="Calibri"/>
                <w:b/>
                <w:i/>
                <w:color w:val="000000" w:themeColor="text1"/>
                <w:sz w:val="19"/>
              </w:rPr>
            </w:pPr>
            <w:r w:rsidRPr="00A76734">
              <w:rPr>
                <w:b/>
                <w:color w:val="000000" w:themeColor="text1"/>
                <w:sz w:val="20"/>
              </w:rPr>
              <w:t>Department of Foreign Affairs and Trade</w:t>
            </w:r>
          </w:p>
        </w:tc>
      </w:tr>
      <w:tr w:rsidR="00A76734" w:rsidRPr="00A76734" w14:paraId="769361E1" w14:textId="77777777" w:rsidTr="009152E8">
        <w:trPr>
          <w:trHeight w:val="1098"/>
        </w:trPr>
        <w:tc>
          <w:tcPr>
            <w:tcW w:w="7655" w:type="dxa"/>
            <w:tcBorders>
              <w:top w:val="dotted" w:sz="4" w:space="0" w:color="000000"/>
            </w:tcBorders>
          </w:tcPr>
          <w:p w14:paraId="2985013D" w14:textId="77777777" w:rsidR="009152E8" w:rsidRPr="00A76734" w:rsidRDefault="009152E8" w:rsidP="00C91485">
            <w:pPr>
              <w:pStyle w:val="TableParagraph"/>
              <w:spacing w:before="118"/>
              <w:ind w:left="107"/>
              <w:rPr>
                <w:rFonts w:ascii="Book Antiqua"/>
                <w:b/>
                <w:color w:val="000000" w:themeColor="text1"/>
                <w:sz w:val="19"/>
              </w:rPr>
            </w:pPr>
            <w:r w:rsidRPr="00A76734">
              <w:rPr>
                <w:rFonts w:ascii="Book Antiqua"/>
                <w:b/>
                <w:color w:val="000000" w:themeColor="text1"/>
                <w:spacing w:val="-2"/>
                <w:sz w:val="19"/>
              </w:rPr>
              <w:t>Programs</w:t>
            </w:r>
          </w:p>
          <w:p w14:paraId="6E8D38D4" w14:textId="77777777" w:rsidR="009152E8" w:rsidRPr="00A76734" w:rsidRDefault="009152E8" w:rsidP="00934C8F">
            <w:pPr>
              <w:pStyle w:val="BoxBullet"/>
              <w:numPr>
                <w:ilvl w:val="0"/>
                <w:numId w:val="31"/>
              </w:numPr>
              <w:spacing w:before="60" w:after="60" w:line="256" w:lineRule="auto"/>
              <w:rPr>
                <w:rFonts w:eastAsia="SimSun"/>
                <w:iCs/>
                <w:color w:val="000000" w:themeColor="text1"/>
                <w:lang w:eastAsia="en-US"/>
              </w:rPr>
            </w:pPr>
            <w:r w:rsidRPr="00A76734">
              <w:rPr>
                <w:rFonts w:eastAsia="SimSun"/>
                <w:iCs/>
                <w:color w:val="000000" w:themeColor="text1"/>
                <w:lang w:eastAsia="en-US"/>
              </w:rPr>
              <w:t xml:space="preserve">Program 1.1 – Foreign Affairs and Trade Operations </w:t>
            </w:r>
          </w:p>
          <w:p w14:paraId="3ACA1BA5" w14:textId="77777777" w:rsidR="009152E8" w:rsidRPr="00A76734" w:rsidRDefault="009152E8" w:rsidP="00934C8F">
            <w:pPr>
              <w:pStyle w:val="TableParagraph"/>
              <w:numPr>
                <w:ilvl w:val="0"/>
                <w:numId w:val="31"/>
              </w:numPr>
              <w:tabs>
                <w:tab w:val="left" w:pos="390"/>
                <w:tab w:val="left" w:pos="391"/>
              </w:tabs>
              <w:spacing w:before="60" w:after="60" w:line="257" w:lineRule="auto"/>
              <w:ind w:left="392"/>
              <w:rPr>
                <w:rFonts w:ascii="Book Antiqua" w:hAnsi="Book Antiqua"/>
                <w:color w:val="000000" w:themeColor="text1"/>
                <w:sz w:val="19"/>
              </w:rPr>
            </w:pPr>
            <w:r w:rsidRPr="00A76734">
              <w:rPr>
                <w:rFonts w:ascii="Book Antiqua" w:eastAsia="SimSun" w:hAnsi="Book Antiqua" w:cs="Times New Roman"/>
                <w:iCs/>
                <w:color w:val="000000" w:themeColor="text1"/>
                <w:sz w:val="19"/>
                <w:szCs w:val="20"/>
                <w:lang w:val="en-AU"/>
              </w:rPr>
              <w:t>Program 1.6 – Public Information Services and Public Diplomacy</w:t>
            </w:r>
          </w:p>
        </w:tc>
      </w:tr>
      <w:tr w:rsidR="00A76734" w:rsidRPr="00A76734" w14:paraId="6F8466D0" w14:textId="77777777" w:rsidTr="009152E8">
        <w:trPr>
          <w:trHeight w:val="1098"/>
        </w:trPr>
        <w:tc>
          <w:tcPr>
            <w:tcW w:w="7655" w:type="dxa"/>
            <w:tcBorders>
              <w:top w:val="dotted" w:sz="4" w:space="0" w:color="000000"/>
            </w:tcBorders>
          </w:tcPr>
          <w:p w14:paraId="0F1EE5E2" w14:textId="77777777" w:rsidR="009152E8" w:rsidRPr="00A76734" w:rsidRDefault="009152E8" w:rsidP="00615994">
            <w:pPr>
              <w:spacing w:before="120" w:after="120"/>
              <w:ind w:left="142"/>
              <w:jc w:val="both"/>
              <w:rPr>
                <w:color w:val="000000" w:themeColor="text1"/>
                <w:szCs w:val="19"/>
              </w:rPr>
            </w:pPr>
            <w:r w:rsidRPr="00A76734">
              <w:rPr>
                <w:color w:val="000000" w:themeColor="text1"/>
                <w:szCs w:val="19"/>
              </w:rPr>
              <w:t xml:space="preserve">Contribution to Outcome 1 made by linked programs </w:t>
            </w:r>
          </w:p>
          <w:p w14:paraId="2F65CD5E" w14:textId="67F18785" w:rsidR="009152E8" w:rsidRPr="00A76734" w:rsidRDefault="00615994" w:rsidP="00615994">
            <w:pPr>
              <w:spacing w:before="120" w:after="120"/>
              <w:ind w:left="142" w:right="139"/>
              <w:jc w:val="both"/>
              <w:rPr>
                <w:b/>
                <w:color w:val="000000" w:themeColor="text1"/>
                <w:spacing w:val="-2"/>
              </w:rPr>
            </w:pPr>
            <w:r w:rsidRPr="00A76734">
              <w:rPr>
                <w:color w:val="000000" w:themeColor="text1"/>
                <w:szCs w:val="19"/>
              </w:rPr>
              <w:t>The Department of Foreign Affairs and Trade (</w:t>
            </w:r>
            <w:r w:rsidR="009152E8" w:rsidRPr="00A76734">
              <w:rPr>
                <w:color w:val="000000" w:themeColor="text1"/>
                <w:szCs w:val="19"/>
              </w:rPr>
              <w:t>DFAT</w:t>
            </w:r>
            <w:r w:rsidRPr="00A76734">
              <w:rPr>
                <w:color w:val="000000" w:themeColor="text1"/>
                <w:szCs w:val="19"/>
              </w:rPr>
              <w:t>)</w:t>
            </w:r>
            <w:r w:rsidR="009152E8" w:rsidRPr="00A76734">
              <w:rPr>
                <w:color w:val="000000" w:themeColor="text1"/>
                <w:szCs w:val="19"/>
              </w:rPr>
              <w:t xml:space="preserve"> and Austrade work closely across a number of areas to promote trade and investment; address non-tariff barriers to trade; support and facilitate business</w:t>
            </w:r>
            <w:r w:rsidR="00AE5289">
              <w:rPr>
                <w:color w:val="000000" w:themeColor="text1"/>
                <w:szCs w:val="19"/>
              </w:rPr>
              <w:t>es to engage in trade</w:t>
            </w:r>
            <w:r w:rsidR="009152E8" w:rsidRPr="00A76734">
              <w:rPr>
                <w:color w:val="000000" w:themeColor="text1"/>
                <w:szCs w:val="19"/>
              </w:rPr>
              <w:t xml:space="preserve">; and advocate to uphold the global rules-based trading system. DFAT and Austrade work closely on </w:t>
            </w:r>
            <w:r w:rsidR="00E31E73">
              <w:rPr>
                <w:color w:val="000000" w:themeColor="text1"/>
                <w:szCs w:val="19"/>
              </w:rPr>
              <w:t xml:space="preserve">advancing </w:t>
            </w:r>
            <w:r w:rsidR="009152E8" w:rsidRPr="00A76734">
              <w:rPr>
                <w:color w:val="000000" w:themeColor="text1"/>
                <w:szCs w:val="19"/>
              </w:rPr>
              <w:t>trade diversification and strengthen</w:t>
            </w:r>
            <w:r w:rsidR="00E31E73">
              <w:rPr>
                <w:color w:val="000000" w:themeColor="text1"/>
                <w:szCs w:val="19"/>
              </w:rPr>
              <w:t>ing</w:t>
            </w:r>
            <w:r w:rsidR="009152E8" w:rsidRPr="00A76734">
              <w:rPr>
                <w:color w:val="000000" w:themeColor="text1"/>
                <w:szCs w:val="19"/>
              </w:rPr>
              <w:t xml:space="preserve"> economic bilateral relationships</w:t>
            </w:r>
            <w:r w:rsidR="00487280">
              <w:rPr>
                <w:color w:val="000000" w:themeColor="text1"/>
                <w:szCs w:val="19"/>
              </w:rPr>
              <w:t>, such as activities connected to implementing recommendations of Invested: Australia’s Southeast Asia Economic Strategy to 2040.</w:t>
            </w:r>
            <w:r w:rsidR="009152E8" w:rsidRPr="00A76734">
              <w:rPr>
                <w:color w:val="000000" w:themeColor="text1"/>
                <w:szCs w:val="19"/>
              </w:rPr>
              <w:t xml:space="preserve"> This cooperation results in more economic opportunities and contributes to the projection of a positive image of Australia as a </w:t>
            </w:r>
            <w:r w:rsidR="00A8017B">
              <w:rPr>
                <w:color w:val="000000" w:themeColor="text1"/>
                <w:szCs w:val="19"/>
              </w:rPr>
              <w:t xml:space="preserve">favourable </w:t>
            </w:r>
            <w:r w:rsidR="009152E8" w:rsidRPr="00A76734">
              <w:rPr>
                <w:color w:val="000000" w:themeColor="text1"/>
                <w:szCs w:val="19"/>
              </w:rPr>
              <w:t xml:space="preserve">destination </w:t>
            </w:r>
            <w:r w:rsidR="00A8017B">
              <w:rPr>
                <w:color w:val="000000" w:themeColor="text1"/>
                <w:szCs w:val="19"/>
              </w:rPr>
              <w:t xml:space="preserve">to undertake </w:t>
            </w:r>
            <w:r w:rsidR="009152E8" w:rsidRPr="00A76734">
              <w:rPr>
                <w:color w:val="000000" w:themeColor="text1"/>
                <w:szCs w:val="19"/>
              </w:rPr>
              <w:t>business, investment, tourism and study.</w:t>
            </w:r>
            <w:r w:rsidR="009152E8" w:rsidRPr="00A76734">
              <w:rPr>
                <w:rFonts w:cs="Segoe UI"/>
                <w:color w:val="000000" w:themeColor="text1"/>
                <w:sz w:val="20"/>
              </w:rPr>
              <w:t xml:space="preserve">  </w:t>
            </w:r>
          </w:p>
        </w:tc>
      </w:tr>
      <w:tr w:rsidR="00A76734" w:rsidRPr="00A76734" w14:paraId="6E16C5C3" w14:textId="77777777" w:rsidTr="009152E8">
        <w:trPr>
          <w:trHeight w:val="451"/>
        </w:trPr>
        <w:tc>
          <w:tcPr>
            <w:tcW w:w="7655" w:type="dxa"/>
            <w:tcBorders>
              <w:bottom w:val="dotted" w:sz="4" w:space="0" w:color="000000"/>
            </w:tcBorders>
          </w:tcPr>
          <w:p w14:paraId="45692755" w14:textId="77777777" w:rsidR="009152E8" w:rsidRPr="00A76734" w:rsidRDefault="009152E8" w:rsidP="00C91485">
            <w:pPr>
              <w:pStyle w:val="TableParagraph"/>
              <w:spacing w:before="119"/>
              <w:ind w:left="107"/>
              <w:rPr>
                <w:rFonts w:ascii="Calibri"/>
                <w:b/>
                <w:i/>
                <w:color w:val="000000" w:themeColor="text1"/>
                <w:sz w:val="19"/>
              </w:rPr>
            </w:pPr>
            <w:r w:rsidRPr="00A76734">
              <w:rPr>
                <w:b/>
                <w:color w:val="000000" w:themeColor="text1"/>
                <w:sz w:val="20"/>
              </w:rPr>
              <w:t>Department of Industry, Science and Resources</w:t>
            </w:r>
          </w:p>
        </w:tc>
      </w:tr>
      <w:tr w:rsidR="00A76734" w:rsidRPr="00A76734" w14:paraId="1AD17AEC" w14:textId="77777777" w:rsidTr="009152E8">
        <w:trPr>
          <w:trHeight w:val="1146"/>
        </w:trPr>
        <w:tc>
          <w:tcPr>
            <w:tcW w:w="7655" w:type="dxa"/>
            <w:tcBorders>
              <w:top w:val="dotted" w:sz="4" w:space="0" w:color="000000"/>
            </w:tcBorders>
          </w:tcPr>
          <w:p w14:paraId="077C03DC" w14:textId="11DD5A1D" w:rsidR="00B03E28" w:rsidRPr="00A76734" w:rsidRDefault="009152E8" w:rsidP="00A562A9">
            <w:pPr>
              <w:pStyle w:val="TableParagraph"/>
              <w:spacing w:before="118"/>
              <w:ind w:left="107"/>
              <w:rPr>
                <w:rFonts w:ascii="Book Antiqua"/>
                <w:b/>
                <w:color w:val="000000" w:themeColor="text1"/>
                <w:spacing w:val="-2"/>
                <w:sz w:val="19"/>
              </w:rPr>
            </w:pPr>
            <w:r w:rsidRPr="00A76734">
              <w:rPr>
                <w:rFonts w:ascii="Book Antiqua"/>
                <w:b/>
                <w:color w:val="000000" w:themeColor="text1"/>
                <w:spacing w:val="-2"/>
                <w:sz w:val="19"/>
              </w:rPr>
              <w:t>Programs</w:t>
            </w:r>
          </w:p>
          <w:p w14:paraId="59761239" w14:textId="2A4CBFA6" w:rsidR="00DF11E5" w:rsidRPr="00F033E6" w:rsidRDefault="00DF11E5" w:rsidP="00934C8F">
            <w:pPr>
              <w:pStyle w:val="ListParagraph"/>
              <w:numPr>
                <w:ilvl w:val="0"/>
                <w:numId w:val="31"/>
              </w:numPr>
              <w:spacing w:before="60" w:after="60" w:line="257" w:lineRule="auto"/>
              <w:ind w:left="392"/>
              <w:contextualSpacing w:val="0"/>
              <w:rPr>
                <w:rFonts w:ascii="Book Antiqua" w:hAnsi="Book Antiqua"/>
                <w:color w:val="000000" w:themeColor="text1"/>
                <w:sz w:val="19"/>
                <w:szCs w:val="19"/>
              </w:rPr>
            </w:pPr>
            <w:r w:rsidRPr="00F033E6">
              <w:rPr>
                <w:rFonts w:ascii="Book Antiqua" w:hAnsi="Book Antiqua"/>
                <w:color w:val="000000" w:themeColor="text1"/>
                <w:sz w:val="19"/>
                <w:szCs w:val="19"/>
              </w:rPr>
              <w:t xml:space="preserve">Program 1.1 – Growing </w:t>
            </w:r>
            <w:r w:rsidR="00F033E6" w:rsidRPr="00F033E6">
              <w:rPr>
                <w:rFonts w:ascii="Book Antiqua" w:hAnsi="Book Antiqua"/>
                <w:color w:val="000000" w:themeColor="text1"/>
                <w:sz w:val="19"/>
                <w:szCs w:val="19"/>
              </w:rPr>
              <w:t>innovative and competitive business, industries and regions</w:t>
            </w:r>
          </w:p>
          <w:p w14:paraId="30824D8C" w14:textId="450B317B" w:rsidR="00B03E28" w:rsidRPr="00A76734" w:rsidRDefault="00B03E28" w:rsidP="00934C8F">
            <w:pPr>
              <w:pStyle w:val="ListParagraph"/>
              <w:numPr>
                <w:ilvl w:val="0"/>
                <w:numId w:val="31"/>
              </w:numPr>
              <w:spacing w:before="60" w:after="60" w:line="257" w:lineRule="auto"/>
              <w:ind w:left="392"/>
              <w:contextualSpacing w:val="0"/>
              <w:rPr>
                <w:color w:val="000000" w:themeColor="text1"/>
              </w:rPr>
            </w:pPr>
            <w:r w:rsidRPr="00A76734">
              <w:rPr>
                <w:rFonts w:ascii="Book Antiqua" w:hAnsi="Book Antiqua"/>
                <w:color w:val="000000" w:themeColor="text1"/>
                <w:sz w:val="19"/>
                <w:szCs w:val="19"/>
              </w:rPr>
              <w:t>Program 1.2 – Investing in science</w:t>
            </w:r>
            <w:r w:rsidR="003F7E44">
              <w:rPr>
                <w:rFonts w:ascii="Book Antiqua" w:hAnsi="Book Antiqua"/>
                <w:color w:val="000000" w:themeColor="text1"/>
                <w:sz w:val="19"/>
                <w:szCs w:val="19"/>
              </w:rPr>
              <w:t xml:space="preserve"> and</w:t>
            </w:r>
            <w:r w:rsidRPr="00A76734">
              <w:rPr>
                <w:rFonts w:ascii="Book Antiqua" w:hAnsi="Book Antiqua"/>
                <w:color w:val="000000" w:themeColor="text1"/>
                <w:sz w:val="19"/>
                <w:szCs w:val="19"/>
              </w:rPr>
              <w:t xml:space="preserve"> technology</w:t>
            </w:r>
          </w:p>
          <w:p w14:paraId="15FCB5A7" w14:textId="2D9247FB" w:rsidR="00B03E28" w:rsidRPr="00A76734" w:rsidRDefault="009152E8" w:rsidP="00934C8F">
            <w:pPr>
              <w:pStyle w:val="ListParagraph"/>
              <w:numPr>
                <w:ilvl w:val="0"/>
                <w:numId w:val="31"/>
              </w:numPr>
              <w:spacing w:before="60" w:after="60" w:line="257" w:lineRule="auto"/>
              <w:ind w:left="392"/>
              <w:contextualSpacing w:val="0"/>
              <w:rPr>
                <w:rFonts w:ascii="Book Antiqua" w:hAnsi="Book Antiqua"/>
                <w:color w:val="000000" w:themeColor="text1"/>
                <w:sz w:val="19"/>
                <w:szCs w:val="19"/>
              </w:rPr>
            </w:pPr>
            <w:r w:rsidRPr="00A76734">
              <w:rPr>
                <w:rFonts w:ascii="Book Antiqua" w:eastAsia="SimSun" w:hAnsi="Book Antiqua"/>
                <w:iCs/>
                <w:color w:val="000000" w:themeColor="text1"/>
                <w:sz w:val="19"/>
                <w:szCs w:val="19"/>
              </w:rPr>
              <w:t xml:space="preserve">Program 1.3 </w:t>
            </w:r>
            <w:r w:rsidR="00A616CD" w:rsidRPr="00A76734">
              <w:rPr>
                <w:rFonts w:ascii="Book Antiqua" w:hAnsi="Book Antiqua"/>
                <w:color w:val="000000" w:themeColor="text1"/>
                <w:sz w:val="19"/>
                <w:szCs w:val="19"/>
              </w:rPr>
              <w:t>–</w:t>
            </w:r>
            <w:r w:rsidR="00236BFE" w:rsidRPr="00A76734">
              <w:rPr>
                <w:rFonts w:ascii="Book Antiqua" w:eastAsia="SimSun" w:hAnsi="Book Antiqua"/>
                <w:iCs/>
                <w:color w:val="000000" w:themeColor="text1"/>
                <w:sz w:val="19"/>
                <w:szCs w:val="19"/>
              </w:rPr>
              <w:t xml:space="preserve"> S</w:t>
            </w:r>
            <w:r w:rsidRPr="00A76734">
              <w:rPr>
                <w:rFonts w:ascii="Book Antiqua" w:eastAsia="SimSun" w:hAnsi="Book Antiqua"/>
                <w:iCs/>
                <w:color w:val="000000" w:themeColor="text1"/>
                <w:sz w:val="19"/>
                <w:szCs w:val="19"/>
              </w:rPr>
              <w:t>upporting a strong resources sector</w:t>
            </w:r>
          </w:p>
        </w:tc>
      </w:tr>
      <w:tr w:rsidR="00A76734" w:rsidRPr="00A76734" w14:paraId="36139ADE" w14:textId="77777777" w:rsidTr="009152E8">
        <w:trPr>
          <w:trHeight w:val="1983"/>
        </w:trPr>
        <w:tc>
          <w:tcPr>
            <w:tcW w:w="7655" w:type="dxa"/>
            <w:tcBorders>
              <w:top w:val="dotted" w:sz="4" w:space="0" w:color="000000"/>
            </w:tcBorders>
          </w:tcPr>
          <w:p w14:paraId="71656C80" w14:textId="77777777" w:rsidR="009152E8" w:rsidRPr="00A76734" w:rsidRDefault="009152E8" w:rsidP="00615994">
            <w:pPr>
              <w:spacing w:before="120" w:after="120"/>
              <w:ind w:left="142"/>
              <w:jc w:val="both"/>
              <w:rPr>
                <w:color w:val="000000" w:themeColor="text1"/>
                <w:szCs w:val="19"/>
              </w:rPr>
            </w:pPr>
            <w:r w:rsidRPr="00A76734">
              <w:rPr>
                <w:color w:val="000000" w:themeColor="text1"/>
                <w:szCs w:val="19"/>
              </w:rPr>
              <w:t xml:space="preserve">Contribution to Outcome 1 made by linked programs </w:t>
            </w:r>
          </w:p>
          <w:p w14:paraId="5B005040" w14:textId="4E788FA2" w:rsidR="009152E8" w:rsidRPr="00A76734" w:rsidRDefault="009152E8" w:rsidP="00D62F46">
            <w:pPr>
              <w:spacing w:after="120"/>
              <w:ind w:left="142" w:right="139"/>
              <w:jc w:val="both"/>
              <w:rPr>
                <w:color w:val="000000" w:themeColor="text1"/>
                <w:szCs w:val="19"/>
              </w:rPr>
            </w:pPr>
            <w:r w:rsidRPr="00A76734">
              <w:rPr>
                <w:color w:val="000000" w:themeColor="text1"/>
                <w:szCs w:val="19"/>
              </w:rPr>
              <w:t>The Department of Industry, Science and Resources works with Austrade to build global networks, develop resilient supply chains, attract international investment to Australia</w:t>
            </w:r>
            <w:r w:rsidR="002E0927">
              <w:rPr>
                <w:color w:val="000000" w:themeColor="text1"/>
                <w:szCs w:val="19"/>
              </w:rPr>
              <w:t>,</w:t>
            </w:r>
            <w:r w:rsidRPr="00A76734">
              <w:rPr>
                <w:color w:val="000000" w:themeColor="text1"/>
                <w:szCs w:val="19"/>
              </w:rPr>
              <w:t xml:space="preserve"> </w:t>
            </w:r>
            <w:r w:rsidR="002E0927">
              <w:rPr>
                <w:color w:val="000000" w:themeColor="text1"/>
                <w:szCs w:val="19"/>
              </w:rPr>
              <w:t xml:space="preserve">facilitate major projects </w:t>
            </w:r>
            <w:r w:rsidRPr="00A76734">
              <w:rPr>
                <w:color w:val="000000" w:themeColor="text1"/>
                <w:szCs w:val="19"/>
              </w:rPr>
              <w:t xml:space="preserve">and identify and capitalise on opportunities in priority areas such as critical minerals, critical technologies, and manufacturing. </w:t>
            </w:r>
            <w:r w:rsidR="00714356">
              <w:rPr>
                <w:color w:val="000000" w:themeColor="text1"/>
                <w:szCs w:val="19"/>
              </w:rPr>
              <w:t>Through the Major Project Facilitation Agency, the Department of Industry, Science and Resources also continue</w:t>
            </w:r>
            <w:r w:rsidR="00D6215D">
              <w:rPr>
                <w:color w:val="000000" w:themeColor="text1"/>
                <w:szCs w:val="19"/>
              </w:rPr>
              <w:t>s</w:t>
            </w:r>
            <w:r w:rsidR="00714356">
              <w:rPr>
                <w:color w:val="000000" w:themeColor="text1"/>
                <w:szCs w:val="19"/>
              </w:rPr>
              <w:t xml:space="preserve"> to work with Austrade</w:t>
            </w:r>
            <w:r w:rsidR="00D6215D">
              <w:rPr>
                <w:color w:val="000000" w:themeColor="text1"/>
                <w:szCs w:val="19"/>
              </w:rPr>
              <w:t xml:space="preserve"> to support inbound investors in major projects to navigate regulatory approval requirements.</w:t>
            </w:r>
            <w:r w:rsidR="00714356">
              <w:rPr>
                <w:color w:val="000000" w:themeColor="text1"/>
                <w:szCs w:val="19"/>
              </w:rPr>
              <w:t xml:space="preserve"> </w:t>
            </w:r>
            <w:r w:rsidRPr="00A76734">
              <w:rPr>
                <w:color w:val="000000" w:themeColor="text1"/>
                <w:szCs w:val="19"/>
              </w:rPr>
              <w:t xml:space="preserve">By improving Australia’s industrial capability and competitiveness through the National Reconstruction Fund, the Department of Industry, Science and Resources will indirectly support Australian exporters and </w:t>
            </w:r>
            <w:r w:rsidR="00615994" w:rsidRPr="00A76734">
              <w:rPr>
                <w:color w:val="000000" w:themeColor="text1"/>
                <w:szCs w:val="19"/>
              </w:rPr>
              <w:t xml:space="preserve">attract </w:t>
            </w:r>
            <w:r w:rsidRPr="00A76734">
              <w:rPr>
                <w:color w:val="000000" w:themeColor="text1"/>
                <w:szCs w:val="19"/>
              </w:rPr>
              <w:t>foreign investment.</w:t>
            </w:r>
          </w:p>
        </w:tc>
      </w:tr>
    </w:tbl>
    <w:p w14:paraId="30256F59" w14:textId="77777777" w:rsidR="00EF6879" w:rsidRPr="00A76734" w:rsidRDefault="00EF6879" w:rsidP="00EF6879">
      <w:pPr>
        <w:pStyle w:val="Source"/>
        <w:rPr>
          <w:color w:val="000000" w:themeColor="text1"/>
        </w:rPr>
      </w:pPr>
      <w:r w:rsidRPr="00A76734">
        <w:rPr>
          <w:rFonts w:cs="Arial"/>
          <w:color w:val="000000" w:themeColor="text1"/>
        </w:rPr>
        <w:t xml:space="preserve">Table continued on the next page. </w:t>
      </w:r>
    </w:p>
    <w:p w14:paraId="3A863395" w14:textId="38871D77" w:rsidR="009152E8" w:rsidRPr="00A76734" w:rsidRDefault="009152E8" w:rsidP="009152E8">
      <w:pPr>
        <w:rPr>
          <w:color w:val="000000" w:themeColor="text1"/>
        </w:rPr>
      </w:pPr>
    </w:p>
    <w:p w14:paraId="120DE47B" w14:textId="0F89A28D" w:rsidR="009152E8" w:rsidRPr="00A76734" w:rsidRDefault="009152E8" w:rsidP="009152E8">
      <w:pPr>
        <w:pStyle w:val="Heading4"/>
        <w:rPr>
          <w:color w:val="000000" w:themeColor="text1"/>
        </w:rPr>
      </w:pPr>
      <w:r w:rsidRPr="00A76734">
        <w:rPr>
          <w:color w:val="000000" w:themeColor="text1"/>
        </w:rPr>
        <w:t>Linked programs (continued)</w:t>
      </w:r>
    </w:p>
    <w:tbl>
      <w:tblPr>
        <w:tblW w:w="7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tblGrid>
      <w:tr w:rsidR="00A76734" w:rsidRPr="00A76734" w14:paraId="3B1066AA" w14:textId="77777777" w:rsidTr="009152E8">
        <w:trPr>
          <w:trHeight w:val="394"/>
        </w:trPr>
        <w:tc>
          <w:tcPr>
            <w:tcW w:w="7655" w:type="dxa"/>
            <w:tcBorders>
              <w:top w:val="single" w:sz="4" w:space="0" w:color="auto"/>
              <w:bottom w:val="dotted" w:sz="4" w:space="0" w:color="auto"/>
            </w:tcBorders>
          </w:tcPr>
          <w:p w14:paraId="06D8826E" w14:textId="77777777" w:rsidR="009152E8" w:rsidRPr="00A76734" w:rsidRDefault="009152E8" w:rsidP="00C91485">
            <w:pPr>
              <w:pStyle w:val="TableParagraph"/>
              <w:spacing w:before="118"/>
              <w:ind w:left="107"/>
              <w:rPr>
                <w:rFonts w:ascii="Book Antiqua"/>
                <w:b/>
                <w:color w:val="000000" w:themeColor="text1"/>
                <w:spacing w:val="-2"/>
                <w:sz w:val="19"/>
              </w:rPr>
            </w:pPr>
            <w:r w:rsidRPr="00A76734">
              <w:rPr>
                <w:b/>
                <w:color w:val="000000" w:themeColor="text1"/>
                <w:sz w:val="20"/>
              </w:rPr>
              <w:t>Department of Education</w:t>
            </w:r>
          </w:p>
        </w:tc>
      </w:tr>
      <w:tr w:rsidR="00A76734" w:rsidRPr="00A76734" w14:paraId="7D273348" w14:textId="77777777" w:rsidTr="009152E8">
        <w:trPr>
          <w:trHeight w:val="793"/>
        </w:trPr>
        <w:tc>
          <w:tcPr>
            <w:tcW w:w="7655" w:type="dxa"/>
            <w:tcBorders>
              <w:top w:val="dotted" w:sz="4" w:space="0" w:color="auto"/>
            </w:tcBorders>
          </w:tcPr>
          <w:p w14:paraId="7F3F6424" w14:textId="77777777" w:rsidR="009152E8" w:rsidRPr="00A76734" w:rsidRDefault="009152E8" w:rsidP="00C91485">
            <w:pPr>
              <w:pStyle w:val="TableParagraph"/>
              <w:spacing w:before="118"/>
              <w:ind w:left="107"/>
              <w:rPr>
                <w:rFonts w:ascii="Book Antiqua"/>
                <w:b/>
                <w:color w:val="000000" w:themeColor="text1"/>
                <w:spacing w:val="-2"/>
                <w:sz w:val="19"/>
              </w:rPr>
            </w:pPr>
            <w:r w:rsidRPr="00A76734">
              <w:rPr>
                <w:rFonts w:ascii="Book Antiqua"/>
                <w:b/>
                <w:color w:val="000000" w:themeColor="text1"/>
                <w:spacing w:val="-2"/>
                <w:sz w:val="19"/>
              </w:rPr>
              <w:t>Programs</w:t>
            </w:r>
          </w:p>
          <w:p w14:paraId="3DF1B7DB" w14:textId="77777777" w:rsidR="009152E8" w:rsidRPr="00A76734" w:rsidRDefault="009152E8" w:rsidP="00934C8F">
            <w:pPr>
              <w:pStyle w:val="BoxBullet"/>
              <w:numPr>
                <w:ilvl w:val="0"/>
                <w:numId w:val="30"/>
              </w:numPr>
              <w:spacing w:line="256" w:lineRule="auto"/>
              <w:rPr>
                <w:b/>
                <w:color w:val="000000" w:themeColor="text1"/>
                <w:spacing w:val="-2"/>
              </w:rPr>
            </w:pPr>
            <w:r w:rsidRPr="00A76734">
              <w:rPr>
                <w:rFonts w:eastAsia="SimSun"/>
                <w:color w:val="000000" w:themeColor="text1"/>
                <w:lang w:eastAsia="en-US"/>
              </w:rPr>
              <w:t>Program 2.7 – International Education Support</w:t>
            </w:r>
          </w:p>
        </w:tc>
      </w:tr>
      <w:tr w:rsidR="00A76734" w:rsidRPr="00A76734" w14:paraId="034E4E37" w14:textId="77777777" w:rsidTr="009152E8">
        <w:trPr>
          <w:trHeight w:val="793"/>
        </w:trPr>
        <w:tc>
          <w:tcPr>
            <w:tcW w:w="7655" w:type="dxa"/>
            <w:tcBorders>
              <w:top w:val="dotted" w:sz="4" w:space="0" w:color="auto"/>
            </w:tcBorders>
          </w:tcPr>
          <w:p w14:paraId="63E7527B" w14:textId="77777777" w:rsidR="009152E8" w:rsidRPr="00A76734" w:rsidRDefault="009152E8" w:rsidP="002723AD">
            <w:pPr>
              <w:spacing w:before="120" w:after="120"/>
              <w:ind w:left="142" w:right="285"/>
              <w:jc w:val="both"/>
              <w:rPr>
                <w:color w:val="000000" w:themeColor="text1"/>
                <w:szCs w:val="19"/>
              </w:rPr>
            </w:pPr>
            <w:r w:rsidRPr="00A76734">
              <w:rPr>
                <w:color w:val="000000" w:themeColor="text1"/>
                <w:szCs w:val="19"/>
              </w:rPr>
              <w:t xml:space="preserve">Contribution to Outcome 1 made by linked programs </w:t>
            </w:r>
          </w:p>
          <w:p w14:paraId="3C54264E" w14:textId="160A0DFC" w:rsidR="009152E8" w:rsidRPr="00A76734" w:rsidRDefault="009152E8" w:rsidP="002723AD">
            <w:pPr>
              <w:spacing w:before="120" w:after="120"/>
              <w:ind w:left="142" w:right="285"/>
              <w:jc w:val="both"/>
              <w:rPr>
                <w:b/>
                <w:color w:val="000000" w:themeColor="text1"/>
                <w:spacing w:val="-2"/>
              </w:rPr>
            </w:pPr>
            <w:r w:rsidRPr="00A76734">
              <w:rPr>
                <w:color w:val="000000" w:themeColor="text1"/>
                <w:szCs w:val="19"/>
              </w:rPr>
              <w:t>Program 2.7 builds partnerships through engagement with foreign governments to advance Australia’s education sector and reputation</w:t>
            </w:r>
            <w:r w:rsidR="004C43B2">
              <w:rPr>
                <w:color w:val="000000" w:themeColor="text1"/>
                <w:szCs w:val="19"/>
              </w:rPr>
              <w:t xml:space="preserve"> and reduce regulatory barriers to the delivery of Australian education services. </w:t>
            </w:r>
            <w:r w:rsidRPr="00A76734">
              <w:rPr>
                <w:color w:val="000000" w:themeColor="text1"/>
                <w:szCs w:val="19"/>
              </w:rPr>
              <w:t xml:space="preserve">The Program also ensures policy and legislation </w:t>
            </w:r>
            <w:r w:rsidR="005469F9">
              <w:rPr>
                <w:color w:val="000000" w:themeColor="text1"/>
                <w:szCs w:val="19"/>
              </w:rPr>
              <w:t>protects and enhances Australia’s reputation for quality education, consumer protections and system integrity</w:t>
            </w:r>
            <w:r w:rsidR="00DE5924">
              <w:rPr>
                <w:color w:val="000000" w:themeColor="text1"/>
                <w:szCs w:val="19"/>
              </w:rPr>
              <w:t xml:space="preserve">. </w:t>
            </w:r>
            <w:r w:rsidRPr="00A76734">
              <w:rPr>
                <w:color w:val="000000" w:themeColor="text1"/>
                <w:szCs w:val="19"/>
              </w:rPr>
              <w:t xml:space="preserve">The Department of Education and Austrade collaborate to </w:t>
            </w:r>
            <w:r w:rsidR="00DE5924">
              <w:rPr>
                <w:color w:val="000000" w:themeColor="text1"/>
                <w:szCs w:val="19"/>
              </w:rPr>
              <w:t>align policy and program</w:t>
            </w:r>
            <w:r w:rsidR="00146210">
              <w:rPr>
                <w:color w:val="000000" w:themeColor="text1"/>
                <w:szCs w:val="19"/>
              </w:rPr>
              <w:t xml:space="preserve"> delivery to maintain a focus on Australia’s quality international education sector, </w:t>
            </w:r>
            <w:r w:rsidRPr="00A76734">
              <w:rPr>
                <w:color w:val="000000" w:themeColor="text1"/>
                <w:szCs w:val="19"/>
              </w:rPr>
              <w:t xml:space="preserve">complementing Austrade’s focus on enabling </w:t>
            </w:r>
            <w:r w:rsidR="007A0A8D">
              <w:rPr>
                <w:color w:val="000000" w:themeColor="text1"/>
                <w:szCs w:val="19"/>
              </w:rPr>
              <w:t xml:space="preserve">a sustainable, diverse and high-quality international education </w:t>
            </w:r>
            <w:r w:rsidRPr="00A76734">
              <w:rPr>
                <w:color w:val="000000" w:themeColor="text1"/>
                <w:szCs w:val="19"/>
              </w:rPr>
              <w:t>sector</w:t>
            </w:r>
            <w:r w:rsidR="007A0A8D">
              <w:rPr>
                <w:color w:val="000000" w:themeColor="text1"/>
                <w:szCs w:val="19"/>
              </w:rPr>
              <w:t>.</w:t>
            </w:r>
          </w:p>
        </w:tc>
      </w:tr>
      <w:tr w:rsidR="00A76734" w:rsidRPr="00A76734" w14:paraId="256EFDC1" w14:textId="77777777" w:rsidTr="009152E8">
        <w:trPr>
          <w:trHeight w:val="536"/>
        </w:trPr>
        <w:tc>
          <w:tcPr>
            <w:tcW w:w="7655" w:type="dxa"/>
            <w:tcBorders>
              <w:top w:val="dotted" w:sz="4" w:space="0" w:color="000000"/>
              <w:bottom w:val="dotted" w:sz="4" w:space="0" w:color="auto"/>
            </w:tcBorders>
          </w:tcPr>
          <w:p w14:paraId="6E1B3938" w14:textId="77777777" w:rsidR="009152E8" w:rsidRPr="00A76734" w:rsidRDefault="009152E8" w:rsidP="00C91485">
            <w:pPr>
              <w:pStyle w:val="TableParagraph"/>
              <w:spacing w:before="118"/>
              <w:ind w:left="107"/>
              <w:rPr>
                <w:b/>
                <w:color w:val="000000" w:themeColor="text1"/>
                <w:sz w:val="20"/>
              </w:rPr>
            </w:pPr>
            <w:r w:rsidRPr="00A76734">
              <w:rPr>
                <w:b/>
                <w:color w:val="000000" w:themeColor="text1"/>
                <w:sz w:val="20"/>
              </w:rPr>
              <w:t>Department of Agriculture, Fisheries and Forestry</w:t>
            </w:r>
          </w:p>
        </w:tc>
      </w:tr>
      <w:tr w:rsidR="00A76734" w:rsidRPr="00A76734" w14:paraId="5787DE8C" w14:textId="77777777" w:rsidTr="009152E8">
        <w:trPr>
          <w:trHeight w:val="1071"/>
        </w:trPr>
        <w:tc>
          <w:tcPr>
            <w:tcW w:w="7655" w:type="dxa"/>
            <w:tcBorders>
              <w:top w:val="dotted" w:sz="4" w:space="0" w:color="auto"/>
            </w:tcBorders>
          </w:tcPr>
          <w:p w14:paraId="2E098897" w14:textId="77777777" w:rsidR="009152E8" w:rsidRPr="00A76734" w:rsidRDefault="009152E8" w:rsidP="00C91485">
            <w:pPr>
              <w:pStyle w:val="TableParagraph"/>
              <w:spacing w:before="118"/>
              <w:ind w:left="107"/>
              <w:rPr>
                <w:color w:val="000000" w:themeColor="text1"/>
                <w:spacing w:val="-2"/>
              </w:rPr>
            </w:pPr>
            <w:r w:rsidRPr="00A76734">
              <w:rPr>
                <w:rFonts w:ascii="Book Antiqua"/>
                <w:b/>
                <w:color w:val="000000" w:themeColor="text1"/>
                <w:spacing w:val="-2"/>
                <w:sz w:val="19"/>
              </w:rPr>
              <w:t>Programs</w:t>
            </w:r>
          </w:p>
          <w:p w14:paraId="3EC9DA87" w14:textId="77777777" w:rsidR="009152E8" w:rsidRPr="00A76734" w:rsidRDefault="009152E8" w:rsidP="00934C8F">
            <w:pPr>
              <w:pStyle w:val="BoxBullet"/>
              <w:numPr>
                <w:ilvl w:val="0"/>
                <w:numId w:val="30"/>
              </w:numPr>
              <w:spacing w:before="60" w:after="60" w:line="256" w:lineRule="auto"/>
              <w:rPr>
                <w:rFonts w:eastAsia="SimSun"/>
                <w:color w:val="000000" w:themeColor="text1"/>
                <w:lang w:eastAsia="en-US"/>
              </w:rPr>
            </w:pPr>
            <w:r w:rsidRPr="00A76734">
              <w:rPr>
                <w:rFonts w:eastAsia="SimSun"/>
                <w:color w:val="000000" w:themeColor="text1"/>
                <w:lang w:eastAsia="en-US"/>
              </w:rPr>
              <w:t xml:space="preserve">Program 1.13 – International Market Access </w:t>
            </w:r>
          </w:p>
          <w:p w14:paraId="60D1466E" w14:textId="77777777" w:rsidR="009152E8" w:rsidRPr="00A76734" w:rsidRDefault="009152E8" w:rsidP="00934C8F">
            <w:pPr>
              <w:pStyle w:val="BoxBullet"/>
              <w:numPr>
                <w:ilvl w:val="0"/>
                <w:numId w:val="30"/>
              </w:numPr>
              <w:spacing w:before="60" w:after="60" w:line="256" w:lineRule="auto"/>
              <w:rPr>
                <w:b/>
                <w:color w:val="000000" w:themeColor="text1"/>
                <w:spacing w:val="-2"/>
              </w:rPr>
            </w:pPr>
            <w:r w:rsidRPr="00A76734">
              <w:rPr>
                <w:rFonts w:eastAsia="SimSun"/>
                <w:color w:val="000000" w:themeColor="text1"/>
                <w:lang w:eastAsia="en-US"/>
              </w:rPr>
              <w:t>Program 2.01 – Biosecurity and Export Services</w:t>
            </w:r>
          </w:p>
        </w:tc>
      </w:tr>
      <w:tr w:rsidR="00A76734" w:rsidRPr="00A76734" w14:paraId="342F0EFE" w14:textId="77777777" w:rsidTr="009152E8">
        <w:trPr>
          <w:trHeight w:val="1071"/>
        </w:trPr>
        <w:tc>
          <w:tcPr>
            <w:tcW w:w="7655" w:type="dxa"/>
            <w:tcBorders>
              <w:top w:val="dotted" w:sz="4" w:space="0" w:color="auto"/>
            </w:tcBorders>
          </w:tcPr>
          <w:p w14:paraId="127192FA" w14:textId="77777777" w:rsidR="009152E8" w:rsidRPr="00A76734" w:rsidRDefault="009152E8" w:rsidP="002723AD">
            <w:pPr>
              <w:spacing w:before="120" w:after="120"/>
              <w:ind w:left="142" w:right="285"/>
              <w:jc w:val="both"/>
              <w:rPr>
                <w:color w:val="000000" w:themeColor="text1"/>
                <w:szCs w:val="19"/>
              </w:rPr>
            </w:pPr>
            <w:r w:rsidRPr="00A76734">
              <w:rPr>
                <w:color w:val="000000" w:themeColor="text1"/>
                <w:szCs w:val="19"/>
              </w:rPr>
              <w:t xml:space="preserve">Contribution to Outcome 1 made by linked programs </w:t>
            </w:r>
          </w:p>
          <w:p w14:paraId="2A204CCD" w14:textId="77777777" w:rsidR="009152E8" w:rsidRPr="00A76734" w:rsidRDefault="009152E8" w:rsidP="002723AD">
            <w:pPr>
              <w:spacing w:before="120" w:after="120"/>
              <w:ind w:left="142" w:right="285"/>
              <w:jc w:val="both"/>
              <w:rPr>
                <w:b/>
                <w:color w:val="000000" w:themeColor="text1"/>
                <w:spacing w:val="-2"/>
              </w:rPr>
            </w:pPr>
            <w:r w:rsidRPr="00A76734">
              <w:rPr>
                <w:color w:val="000000" w:themeColor="text1"/>
                <w:szCs w:val="19"/>
              </w:rPr>
              <w:t>The Department of Agriculture, Fisheries and Forestry, the Department of Foreign Affairs and Trade and Austrade work together to achieve the best outcomes for Australian agricultural, fisheries and forestry exporters, including through improved market access. The department also undertakes activities to preserve Australia’s favourable animal and plant health status, helping maintain overseas markets.</w:t>
            </w:r>
            <w:r w:rsidRPr="00A76734">
              <w:rPr>
                <w:rFonts w:cs="Segoe UI"/>
                <w:color w:val="000000" w:themeColor="text1"/>
                <w:sz w:val="20"/>
              </w:rPr>
              <w:t xml:space="preserve">  </w:t>
            </w:r>
          </w:p>
        </w:tc>
      </w:tr>
      <w:tr w:rsidR="00A76734" w:rsidRPr="00A76734" w14:paraId="32C81364" w14:textId="77777777" w:rsidTr="009152E8">
        <w:trPr>
          <w:trHeight w:val="503"/>
        </w:trPr>
        <w:tc>
          <w:tcPr>
            <w:tcW w:w="7655" w:type="dxa"/>
            <w:tcBorders>
              <w:top w:val="dotted" w:sz="4" w:space="0" w:color="000000"/>
              <w:bottom w:val="dotted" w:sz="4" w:space="0" w:color="auto"/>
            </w:tcBorders>
          </w:tcPr>
          <w:p w14:paraId="0C5EFACC" w14:textId="77777777" w:rsidR="009152E8" w:rsidRPr="00A76734" w:rsidRDefault="009152E8" w:rsidP="002723AD">
            <w:pPr>
              <w:pStyle w:val="BoxText"/>
              <w:spacing w:line="256" w:lineRule="auto"/>
              <w:ind w:left="142"/>
              <w:rPr>
                <w:b/>
                <w:bCs/>
                <w:color w:val="000000" w:themeColor="text1"/>
                <w:lang w:eastAsia="en-US"/>
              </w:rPr>
            </w:pPr>
            <w:r w:rsidRPr="00A76734">
              <w:rPr>
                <w:rFonts w:ascii="Arial" w:eastAsia="Arial" w:hAnsi="Arial" w:cs="Arial"/>
                <w:b/>
                <w:color w:val="000000" w:themeColor="text1"/>
                <w:sz w:val="20"/>
                <w:szCs w:val="22"/>
                <w:lang w:val="en-US" w:eastAsia="en-US"/>
              </w:rPr>
              <w:t>Tourism Australia</w:t>
            </w:r>
          </w:p>
        </w:tc>
      </w:tr>
      <w:tr w:rsidR="00A76734" w:rsidRPr="00A76734" w14:paraId="6673562C" w14:textId="77777777" w:rsidTr="009152E8">
        <w:trPr>
          <w:trHeight w:val="940"/>
        </w:trPr>
        <w:tc>
          <w:tcPr>
            <w:tcW w:w="7655" w:type="dxa"/>
            <w:tcBorders>
              <w:top w:val="dotted" w:sz="4" w:space="0" w:color="auto"/>
            </w:tcBorders>
          </w:tcPr>
          <w:p w14:paraId="409CAE68" w14:textId="77777777" w:rsidR="009152E8" w:rsidRPr="00A76734" w:rsidRDefault="009152E8" w:rsidP="002723AD">
            <w:pPr>
              <w:pStyle w:val="BoxText"/>
              <w:spacing w:line="256" w:lineRule="auto"/>
              <w:ind w:left="142"/>
              <w:rPr>
                <w:rStyle w:val="ExampletextCharChar"/>
                <w:i w:val="0"/>
                <w:color w:val="000000" w:themeColor="text1"/>
              </w:rPr>
            </w:pPr>
            <w:r w:rsidRPr="00A76734">
              <w:rPr>
                <w:b/>
                <w:bCs/>
                <w:color w:val="000000" w:themeColor="text1"/>
                <w:lang w:eastAsia="en-US"/>
              </w:rPr>
              <w:t>Programs</w:t>
            </w:r>
          </w:p>
          <w:p w14:paraId="55DBA5C5" w14:textId="77777777" w:rsidR="009152E8" w:rsidRPr="00A76734" w:rsidRDefault="009152E8" w:rsidP="00934C8F">
            <w:pPr>
              <w:pStyle w:val="BoxBullet"/>
              <w:numPr>
                <w:ilvl w:val="0"/>
                <w:numId w:val="30"/>
              </w:numPr>
              <w:spacing w:line="256" w:lineRule="auto"/>
              <w:ind w:right="143"/>
              <w:rPr>
                <w:b/>
                <w:bCs/>
                <w:color w:val="000000" w:themeColor="text1"/>
                <w:lang w:eastAsia="en-US"/>
              </w:rPr>
            </w:pPr>
            <w:r w:rsidRPr="00A76734">
              <w:rPr>
                <w:rFonts w:eastAsia="SimSun"/>
                <w:color w:val="000000" w:themeColor="text1"/>
                <w:lang w:eastAsia="en-US"/>
              </w:rPr>
              <w:t>Program 1.1 – Grow demand and foster a competitive and sustainable Australian tourism industry through partnership marketing to targeted global consumers in key markets</w:t>
            </w:r>
          </w:p>
        </w:tc>
      </w:tr>
      <w:tr w:rsidR="00A76734" w:rsidRPr="00A76734" w14:paraId="10EB2D66" w14:textId="77777777" w:rsidTr="009152E8">
        <w:trPr>
          <w:trHeight w:val="940"/>
        </w:trPr>
        <w:tc>
          <w:tcPr>
            <w:tcW w:w="7655" w:type="dxa"/>
            <w:tcBorders>
              <w:top w:val="dotted" w:sz="4" w:space="0" w:color="auto"/>
            </w:tcBorders>
          </w:tcPr>
          <w:p w14:paraId="71BDCD7E" w14:textId="77777777" w:rsidR="009152E8" w:rsidRPr="00A76734" w:rsidRDefault="009152E8" w:rsidP="002723AD">
            <w:pPr>
              <w:spacing w:before="120" w:after="120"/>
              <w:ind w:left="142" w:right="143"/>
              <w:jc w:val="both"/>
              <w:rPr>
                <w:color w:val="000000" w:themeColor="text1"/>
                <w:szCs w:val="19"/>
              </w:rPr>
            </w:pPr>
            <w:r w:rsidRPr="00A76734">
              <w:rPr>
                <w:color w:val="000000" w:themeColor="text1"/>
                <w:szCs w:val="19"/>
              </w:rPr>
              <w:t xml:space="preserve">Contribution to Outcome 1 made by linked programs </w:t>
            </w:r>
          </w:p>
          <w:p w14:paraId="1981501D" w14:textId="77777777" w:rsidR="009152E8" w:rsidRPr="00A76734" w:rsidRDefault="009152E8" w:rsidP="002723AD">
            <w:pPr>
              <w:spacing w:before="120" w:after="120"/>
              <w:ind w:left="142" w:right="143"/>
              <w:jc w:val="both"/>
              <w:rPr>
                <w:b/>
                <w:bCs/>
                <w:color w:val="000000" w:themeColor="text1"/>
              </w:rPr>
            </w:pPr>
            <w:r w:rsidRPr="00A76734">
              <w:rPr>
                <w:color w:val="000000" w:themeColor="text1"/>
                <w:szCs w:val="19"/>
              </w:rPr>
              <w:t>Austrade provides research and policy support to Tourism Australia’s activities of promoting the export of Australian tourism services. These exports contribute to Australia’s prosperity.</w:t>
            </w:r>
          </w:p>
        </w:tc>
      </w:tr>
    </w:tbl>
    <w:p w14:paraId="729CCAFD" w14:textId="77777777" w:rsidR="00EF6879" w:rsidRPr="00A76734" w:rsidRDefault="00EF6879" w:rsidP="00EF6879">
      <w:pPr>
        <w:pStyle w:val="Source"/>
        <w:rPr>
          <w:color w:val="000000" w:themeColor="text1"/>
        </w:rPr>
      </w:pPr>
      <w:r w:rsidRPr="00A76734">
        <w:rPr>
          <w:rFonts w:cs="Arial"/>
          <w:color w:val="000000" w:themeColor="text1"/>
        </w:rPr>
        <w:t xml:space="preserve">Table continued on the next page. </w:t>
      </w:r>
    </w:p>
    <w:p w14:paraId="3E650070" w14:textId="63D9FFCB" w:rsidR="009152E8" w:rsidRPr="00A76734" w:rsidRDefault="009152E8" w:rsidP="009152E8">
      <w:pPr>
        <w:rPr>
          <w:color w:val="000000" w:themeColor="text1"/>
        </w:rPr>
      </w:pPr>
    </w:p>
    <w:p w14:paraId="59080D70" w14:textId="77777777" w:rsidR="009152E8" w:rsidRPr="00A76734" w:rsidRDefault="009152E8" w:rsidP="009152E8">
      <w:pPr>
        <w:pStyle w:val="Heading4"/>
        <w:rPr>
          <w:color w:val="000000" w:themeColor="text1"/>
        </w:rPr>
      </w:pPr>
      <w:r w:rsidRPr="00A76734">
        <w:rPr>
          <w:color w:val="000000" w:themeColor="text1"/>
        </w:rPr>
        <w:t>Linked programs (continued)</w:t>
      </w:r>
    </w:p>
    <w:tbl>
      <w:tblPr>
        <w:tblW w:w="7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tblGrid>
      <w:tr w:rsidR="00A76734" w:rsidRPr="00A76734" w14:paraId="0E7BE887" w14:textId="77777777" w:rsidTr="009152E8">
        <w:trPr>
          <w:trHeight w:val="531"/>
        </w:trPr>
        <w:tc>
          <w:tcPr>
            <w:tcW w:w="7655" w:type="dxa"/>
            <w:tcBorders>
              <w:top w:val="single" w:sz="4" w:space="0" w:color="auto"/>
              <w:bottom w:val="dotted" w:sz="4" w:space="0" w:color="auto"/>
            </w:tcBorders>
          </w:tcPr>
          <w:p w14:paraId="458B5D02" w14:textId="77777777" w:rsidR="009152E8" w:rsidRPr="00A76734" w:rsidRDefault="009152E8" w:rsidP="002723AD">
            <w:pPr>
              <w:pStyle w:val="BoxText"/>
              <w:spacing w:line="256" w:lineRule="auto"/>
              <w:ind w:left="142"/>
              <w:rPr>
                <w:b/>
                <w:bCs/>
                <w:color w:val="000000" w:themeColor="text1"/>
                <w:lang w:eastAsia="en-US"/>
              </w:rPr>
            </w:pPr>
            <w:r w:rsidRPr="00A76734">
              <w:rPr>
                <w:rStyle w:val="normaltextrun"/>
                <w:rFonts w:ascii="Arial" w:hAnsi="Arial" w:cs="Arial"/>
                <w:b/>
                <w:bCs/>
                <w:color w:val="000000" w:themeColor="text1"/>
                <w:sz w:val="20"/>
              </w:rPr>
              <w:t>Department of Defence</w:t>
            </w:r>
          </w:p>
        </w:tc>
      </w:tr>
      <w:tr w:rsidR="00A76734" w:rsidRPr="00A76734" w14:paraId="7C3FBE5E" w14:textId="77777777" w:rsidTr="009152E8">
        <w:trPr>
          <w:trHeight w:val="665"/>
        </w:trPr>
        <w:tc>
          <w:tcPr>
            <w:tcW w:w="7655" w:type="dxa"/>
            <w:tcBorders>
              <w:top w:val="dotted" w:sz="4" w:space="0" w:color="auto"/>
            </w:tcBorders>
          </w:tcPr>
          <w:p w14:paraId="42942B81" w14:textId="77777777" w:rsidR="009152E8" w:rsidRPr="00A76734" w:rsidRDefault="009152E8" w:rsidP="00C91485">
            <w:pPr>
              <w:pStyle w:val="TableParagraph"/>
              <w:spacing w:before="118"/>
              <w:ind w:left="107"/>
              <w:rPr>
                <w:rFonts w:ascii="Book Antiqua"/>
                <w:b/>
                <w:color w:val="000000" w:themeColor="text1"/>
                <w:spacing w:val="-2"/>
                <w:sz w:val="19"/>
              </w:rPr>
            </w:pPr>
            <w:r w:rsidRPr="00A76734">
              <w:rPr>
                <w:rFonts w:ascii="Book Antiqua"/>
                <w:b/>
                <w:color w:val="000000" w:themeColor="text1"/>
                <w:spacing w:val="-2"/>
                <w:sz w:val="19"/>
              </w:rPr>
              <w:t>Programs</w:t>
            </w:r>
          </w:p>
          <w:p w14:paraId="4955D100" w14:textId="77777777" w:rsidR="009152E8" w:rsidRPr="00A76734" w:rsidRDefault="009152E8" w:rsidP="00934C8F">
            <w:pPr>
              <w:pStyle w:val="BoxBullet"/>
              <w:numPr>
                <w:ilvl w:val="0"/>
                <w:numId w:val="30"/>
              </w:numPr>
              <w:spacing w:line="256" w:lineRule="auto"/>
              <w:rPr>
                <w:bCs/>
                <w:color w:val="000000" w:themeColor="text1"/>
                <w:lang w:eastAsia="en-US"/>
              </w:rPr>
            </w:pPr>
            <w:r w:rsidRPr="00A76734">
              <w:rPr>
                <w:rFonts w:eastAsia="SimSun"/>
                <w:color w:val="000000" w:themeColor="text1"/>
                <w:lang w:eastAsia="en-US"/>
              </w:rPr>
              <w:t>Program 2.1 – Strategy, Policy and Industry</w:t>
            </w:r>
          </w:p>
        </w:tc>
      </w:tr>
      <w:tr w:rsidR="00A76734" w:rsidRPr="00A76734" w14:paraId="194C8EC3" w14:textId="77777777" w:rsidTr="009152E8">
        <w:trPr>
          <w:trHeight w:val="665"/>
        </w:trPr>
        <w:tc>
          <w:tcPr>
            <w:tcW w:w="7655" w:type="dxa"/>
            <w:tcBorders>
              <w:top w:val="dotted" w:sz="4" w:space="0" w:color="auto"/>
            </w:tcBorders>
          </w:tcPr>
          <w:p w14:paraId="34772664" w14:textId="77777777" w:rsidR="009152E8" w:rsidRPr="00A76734" w:rsidRDefault="009152E8" w:rsidP="002723AD">
            <w:pPr>
              <w:spacing w:before="120" w:after="120"/>
              <w:ind w:left="142" w:right="143"/>
              <w:jc w:val="both"/>
              <w:rPr>
                <w:color w:val="000000" w:themeColor="text1"/>
                <w:szCs w:val="19"/>
              </w:rPr>
            </w:pPr>
            <w:r w:rsidRPr="00A76734">
              <w:rPr>
                <w:color w:val="000000" w:themeColor="text1"/>
                <w:szCs w:val="19"/>
              </w:rPr>
              <w:t xml:space="preserve">Contribution to Outcome 1 made by linked programs </w:t>
            </w:r>
          </w:p>
          <w:p w14:paraId="5A08A91C" w14:textId="58DCDC2D" w:rsidR="009152E8" w:rsidRPr="00A76734" w:rsidRDefault="009152E8" w:rsidP="002723AD">
            <w:pPr>
              <w:spacing w:before="120" w:after="120"/>
              <w:ind w:left="142" w:right="143"/>
              <w:jc w:val="both"/>
              <w:rPr>
                <w:b/>
                <w:color w:val="000000" w:themeColor="text1"/>
                <w:spacing w:val="-2"/>
              </w:rPr>
            </w:pPr>
            <w:r w:rsidRPr="00A76734">
              <w:rPr>
                <w:color w:val="000000" w:themeColor="text1"/>
                <w:szCs w:val="19"/>
              </w:rPr>
              <w:t xml:space="preserve">Implementation of the Government’s Defence Export Strategy is led by Defence. This is providing a whole-of-government coordinated approach to supporting </w:t>
            </w:r>
            <w:r w:rsidR="00E670DD">
              <w:rPr>
                <w:color w:val="000000" w:themeColor="text1"/>
                <w:szCs w:val="19"/>
              </w:rPr>
              <w:t xml:space="preserve">the </w:t>
            </w:r>
            <w:r w:rsidRPr="00A76734">
              <w:rPr>
                <w:color w:val="000000" w:themeColor="text1"/>
                <w:szCs w:val="19"/>
              </w:rPr>
              <w:t>Australian defence industry</w:t>
            </w:r>
            <w:r w:rsidR="007E7DA8">
              <w:rPr>
                <w:color w:val="000000" w:themeColor="text1"/>
                <w:szCs w:val="19"/>
              </w:rPr>
              <w:t>. C</w:t>
            </w:r>
            <w:r w:rsidRPr="00A76734">
              <w:rPr>
                <w:color w:val="000000" w:themeColor="text1"/>
                <w:szCs w:val="19"/>
              </w:rPr>
              <w:t>ooperation with Austrade is focused on growing exports to underpin sustainability and growth aligned with national security priorities.</w:t>
            </w:r>
            <w:r w:rsidRPr="00A76734">
              <w:rPr>
                <w:rFonts w:cs="Segoe UI"/>
                <w:color w:val="000000" w:themeColor="text1"/>
                <w:sz w:val="20"/>
              </w:rPr>
              <w:t xml:space="preserve"> </w:t>
            </w:r>
          </w:p>
        </w:tc>
      </w:tr>
      <w:tr w:rsidR="00A76734" w:rsidRPr="00A76734" w14:paraId="05B7B5D4" w14:textId="77777777" w:rsidTr="009152E8">
        <w:trPr>
          <w:trHeight w:val="661"/>
        </w:trPr>
        <w:tc>
          <w:tcPr>
            <w:tcW w:w="7655" w:type="dxa"/>
            <w:tcBorders>
              <w:top w:val="dotted" w:sz="4" w:space="0" w:color="000000"/>
              <w:bottom w:val="dotted" w:sz="4" w:space="0" w:color="auto"/>
            </w:tcBorders>
          </w:tcPr>
          <w:p w14:paraId="290D7E6C" w14:textId="77777777" w:rsidR="009152E8" w:rsidRPr="00A76734" w:rsidRDefault="009152E8" w:rsidP="002723AD">
            <w:pPr>
              <w:pStyle w:val="BoxText"/>
              <w:spacing w:line="256" w:lineRule="auto"/>
              <w:ind w:left="142"/>
              <w:rPr>
                <w:b/>
                <w:bCs/>
                <w:color w:val="000000" w:themeColor="text1"/>
              </w:rPr>
            </w:pPr>
            <w:r w:rsidRPr="00A76734">
              <w:rPr>
                <w:rStyle w:val="normaltextrun"/>
                <w:rFonts w:ascii="Arial" w:hAnsi="Arial" w:cs="Arial"/>
                <w:b/>
                <w:bCs/>
                <w:color w:val="000000" w:themeColor="text1"/>
                <w:sz w:val="20"/>
              </w:rPr>
              <w:t>Department of Infrastructure, Transport, Regional Development, Communications and the Arts</w:t>
            </w:r>
          </w:p>
        </w:tc>
      </w:tr>
      <w:tr w:rsidR="00A76734" w:rsidRPr="00A76734" w14:paraId="45BE8AA4" w14:textId="77777777" w:rsidTr="009152E8">
        <w:trPr>
          <w:trHeight w:val="769"/>
        </w:trPr>
        <w:tc>
          <w:tcPr>
            <w:tcW w:w="7655" w:type="dxa"/>
            <w:tcBorders>
              <w:top w:val="dotted" w:sz="4" w:space="0" w:color="auto"/>
            </w:tcBorders>
          </w:tcPr>
          <w:p w14:paraId="73C72927" w14:textId="77777777" w:rsidR="009152E8" w:rsidRPr="00A76734" w:rsidRDefault="009152E8" w:rsidP="00C91485">
            <w:pPr>
              <w:pStyle w:val="TableParagraph"/>
              <w:spacing w:before="118"/>
              <w:ind w:left="107"/>
              <w:rPr>
                <w:rFonts w:ascii="Book Antiqua"/>
                <w:b/>
                <w:color w:val="000000" w:themeColor="text1"/>
                <w:spacing w:val="-2"/>
                <w:sz w:val="19"/>
              </w:rPr>
            </w:pPr>
            <w:r w:rsidRPr="00A76734">
              <w:rPr>
                <w:rFonts w:ascii="Book Antiqua"/>
                <w:b/>
                <w:color w:val="000000" w:themeColor="text1"/>
                <w:spacing w:val="-2"/>
                <w:sz w:val="19"/>
              </w:rPr>
              <w:t>Programs</w:t>
            </w:r>
          </w:p>
          <w:p w14:paraId="3A82C4A4" w14:textId="77777777" w:rsidR="009152E8" w:rsidRPr="00A76734" w:rsidRDefault="009152E8" w:rsidP="00934C8F">
            <w:pPr>
              <w:pStyle w:val="BoxBullet"/>
              <w:numPr>
                <w:ilvl w:val="0"/>
                <w:numId w:val="30"/>
              </w:numPr>
              <w:spacing w:line="256" w:lineRule="auto"/>
              <w:rPr>
                <w:bCs/>
                <w:color w:val="000000" w:themeColor="text1"/>
              </w:rPr>
            </w:pPr>
            <w:r w:rsidRPr="00A76734">
              <w:rPr>
                <w:rFonts w:eastAsia="SimSun"/>
                <w:color w:val="000000" w:themeColor="text1"/>
                <w:lang w:eastAsia="en-US"/>
              </w:rPr>
              <w:t>Program 3.1 – Regional Development</w:t>
            </w:r>
          </w:p>
        </w:tc>
      </w:tr>
      <w:tr w:rsidR="00A76734" w:rsidRPr="00A76734" w14:paraId="4593BD0D" w14:textId="77777777" w:rsidTr="009152E8">
        <w:trPr>
          <w:trHeight w:val="1020"/>
        </w:trPr>
        <w:tc>
          <w:tcPr>
            <w:tcW w:w="7655" w:type="dxa"/>
          </w:tcPr>
          <w:p w14:paraId="39D97EDC" w14:textId="77777777" w:rsidR="009152E8" w:rsidRPr="00A76734" w:rsidRDefault="009152E8" w:rsidP="002723AD">
            <w:pPr>
              <w:spacing w:before="120" w:after="120"/>
              <w:ind w:left="142" w:right="143"/>
              <w:jc w:val="both"/>
              <w:rPr>
                <w:color w:val="000000" w:themeColor="text1"/>
                <w:szCs w:val="19"/>
              </w:rPr>
            </w:pPr>
            <w:r w:rsidRPr="00A76734">
              <w:rPr>
                <w:color w:val="000000" w:themeColor="text1"/>
                <w:szCs w:val="19"/>
              </w:rPr>
              <w:t xml:space="preserve">Contribution to Outcome 1 made by linked programs </w:t>
            </w:r>
          </w:p>
          <w:p w14:paraId="67E48A1F" w14:textId="21CB8059" w:rsidR="009152E8" w:rsidRPr="00A76734" w:rsidRDefault="009152E8" w:rsidP="002723AD">
            <w:pPr>
              <w:spacing w:before="120" w:after="120"/>
              <w:ind w:left="142" w:right="143"/>
              <w:jc w:val="both"/>
              <w:rPr>
                <w:color w:val="000000" w:themeColor="text1"/>
              </w:rPr>
            </w:pPr>
            <w:r w:rsidRPr="00A76734">
              <w:rPr>
                <w:color w:val="000000" w:themeColor="text1"/>
                <w:szCs w:val="19"/>
              </w:rPr>
              <w:t>The Department of Infrastructure, Transport, Regional Development, Communications and the Arts supports tourism demand-driving infrastructure</w:t>
            </w:r>
            <w:r w:rsidR="007E7DA8">
              <w:rPr>
                <w:color w:val="000000" w:themeColor="text1"/>
                <w:szCs w:val="19"/>
              </w:rPr>
              <w:t xml:space="preserve">, arts and culture in </w:t>
            </w:r>
            <w:r w:rsidRPr="00A76734">
              <w:rPr>
                <w:color w:val="000000" w:themeColor="text1"/>
                <w:szCs w:val="19"/>
              </w:rPr>
              <w:t>Australia’s regions through regional programs</w:t>
            </w:r>
            <w:r w:rsidR="007E7DA8">
              <w:rPr>
                <w:color w:val="000000" w:themeColor="text1"/>
                <w:szCs w:val="19"/>
              </w:rPr>
              <w:t xml:space="preserve"> and as part of its role in THRIVE 2030</w:t>
            </w:r>
            <w:r w:rsidRPr="00A76734">
              <w:rPr>
                <w:color w:val="000000" w:themeColor="text1"/>
                <w:szCs w:val="19"/>
              </w:rPr>
              <w:t>.</w:t>
            </w:r>
          </w:p>
        </w:tc>
      </w:tr>
    </w:tbl>
    <w:p w14:paraId="2787432B" w14:textId="77777777" w:rsidR="00955559" w:rsidRPr="00A76734" w:rsidRDefault="00955559" w:rsidP="006907C2">
      <w:pPr>
        <w:pStyle w:val="TableHeading"/>
        <w:rPr>
          <w:color w:val="000000" w:themeColor="text1"/>
        </w:rPr>
      </w:pPr>
      <w:r w:rsidRPr="00A76734">
        <w:rPr>
          <w:color w:val="000000" w:themeColor="text1"/>
        </w:rPr>
        <w:br w:type="page"/>
      </w:r>
      <w:r w:rsidRPr="00A76734">
        <w:rPr>
          <w:color w:val="000000" w:themeColor="text1"/>
        </w:rPr>
        <w:lastRenderedPageBreak/>
        <w:t>Budgeted expenses for Outcome 1</w:t>
      </w:r>
    </w:p>
    <w:p w14:paraId="0B289786" w14:textId="77777777" w:rsidR="00955559" w:rsidRPr="00A76734" w:rsidRDefault="00955559" w:rsidP="00955559">
      <w:pPr>
        <w:rPr>
          <w:color w:val="000000" w:themeColor="text1"/>
        </w:rPr>
      </w:pPr>
      <w:r w:rsidRPr="00A76734">
        <w:rPr>
          <w:color w:val="000000" w:themeColor="text1"/>
        </w:rPr>
        <w:t>This table shows how much the entity intends to spend (on an accrual basis) on achieving the outcome, broken down by program, as well as by Administered and Departmental funding sources.</w:t>
      </w:r>
    </w:p>
    <w:p w14:paraId="2F49AD6C" w14:textId="035E2E43" w:rsidR="00955559" w:rsidRPr="00A76734" w:rsidRDefault="00955559" w:rsidP="00955559">
      <w:pPr>
        <w:pStyle w:val="TableHeading"/>
        <w:rPr>
          <w:color w:val="000000" w:themeColor="text1"/>
        </w:rPr>
      </w:pPr>
      <w:r w:rsidRPr="00A76734">
        <w:rPr>
          <w:color w:val="000000" w:themeColor="text1"/>
        </w:rPr>
        <w:t>Table 2.</w:t>
      </w:r>
      <w:r w:rsidR="006907C2" w:rsidRPr="00A76734">
        <w:rPr>
          <w:color w:val="000000" w:themeColor="text1"/>
        </w:rPr>
        <w:t>1</w:t>
      </w:r>
      <w:r w:rsidRPr="00A76734">
        <w:rPr>
          <w:color w:val="000000" w:themeColor="text1"/>
        </w:rPr>
        <w:t xml:space="preserve">.1: Budgeted expenses for Outcome </w:t>
      </w:r>
      <w:r w:rsidR="006907C2" w:rsidRPr="00A76734">
        <w:rPr>
          <w:color w:val="000000" w:themeColor="text1"/>
        </w:rPr>
        <w:t>1</w:t>
      </w:r>
    </w:p>
    <w:p w14:paraId="5FA17DEA" w14:textId="5ADE1173" w:rsidR="00574728" w:rsidRPr="003B23FE" w:rsidRDefault="00E41304" w:rsidP="003B23FE">
      <w:pPr>
        <w:pStyle w:val="TableGraphic"/>
        <w:rPr>
          <w:sz w:val="18"/>
          <w:szCs w:val="18"/>
        </w:rPr>
      </w:pPr>
      <w:r w:rsidRPr="006D5555">
        <w:rPr>
          <w:rFonts w:ascii="Arial" w:hAnsi="Arial" w:cs="Arial"/>
          <w:b/>
          <w:sz w:val="16"/>
          <w:szCs w:val="16"/>
        </w:rPr>
        <w:t>Outcome 1: To contribute to Australia’s economic prosperity by supporting Australian exporters to expand internationally, attracting productive international investment, and growing the visitor economy</w:t>
      </w:r>
    </w:p>
    <w:p w14:paraId="424D8F05" w14:textId="3E0FA03E" w:rsidR="00933EC7" w:rsidRDefault="00AC4A61" w:rsidP="00D17EED">
      <w:pPr>
        <w:pStyle w:val="TableHeading"/>
        <w:spacing w:before="0" w:after="0"/>
        <w:rPr>
          <w:color w:val="000000" w:themeColor="text1"/>
        </w:rPr>
      </w:pPr>
      <w:r w:rsidRPr="00AC4A61">
        <w:rPr>
          <w:noProof/>
        </w:rPr>
        <w:drawing>
          <wp:inline distT="0" distB="0" distL="0" distR="0" wp14:anchorId="1322A460" wp14:editId="5AA36A18">
            <wp:extent cx="4895850" cy="28409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5850" cy="2840990"/>
                    </a:xfrm>
                    <a:prstGeom prst="rect">
                      <a:avLst/>
                    </a:prstGeom>
                    <a:noFill/>
                    <a:ln>
                      <a:noFill/>
                    </a:ln>
                  </pic:spPr>
                </pic:pic>
              </a:graphicData>
            </a:graphic>
          </wp:inline>
        </w:drawing>
      </w:r>
    </w:p>
    <w:p w14:paraId="50C7597D" w14:textId="77777777" w:rsidR="00EF6879" w:rsidRPr="00A76734" w:rsidRDefault="00EF6879" w:rsidP="00EF6879">
      <w:pPr>
        <w:pStyle w:val="Source"/>
        <w:rPr>
          <w:color w:val="000000" w:themeColor="text1"/>
        </w:rPr>
      </w:pPr>
      <w:r w:rsidRPr="00A76734">
        <w:rPr>
          <w:rFonts w:cs="Arial"/>
          <w:color w:val="000000" w:themeColor="text1"/>
        </w:rPr>
        <w:t xml:space="preserve">Table continued on the next page. </w:t>
      </w:r>
    </w:p>
    <w:p w14:paraId="5AA0DA4D" w14:textId="77777777" w:rsidR="00955559" w:rsidRPr="00A76734" w:rsidRDefault="00955559" w:rsidP="00955559">
      <w:pPr>
        <w:pStyle w:val="TableGraphic"/>
        <w:rPr>
          <w:color w:val="000000" w:themeColor="text1"/>
        </w:rPr>
      </w:pPr>
    </w:p>
    <w:p w14:paraId="67E39729" w14:textId="77777777" w:rsidR="00955559" w:rsidRPr="00A76734" w:rsidRDefault="00955559" w:rsidP="00955559">
      <w:pPr>
        <w:rPr>
          <w:color w:val="000000" w:themeColor="text1"/>
        </w:rPr>
      </w:pPr>
    </w:p>
    <w:p w14:paraId="7AAF246A" w14:textId="7EEAE1BD" w:rsidR="00574728" w:rsidRPr="006B5994" w:rsidRDefault="00955559" w:rsidP="006B5994">
      <w:pPr>
        <w:pStyle w:val="TableHeading"/>
        <w:rPr>
          <w:color w:val="000000" w:themeColor="text1"/>
        </w:rPr>
      </w:pPr>
      <w:r w:rsidRPr="00A76734">
        <w:rPr>
          <w:color w:val="000000" w:themeColor="text1"/>
        </w:rPr>
        <w:br w:type="page"/>
      </w:r>
      <w:r w:rsidRPr="00A76734">
        <w:rPr>
          <w:color w:val="000000" w:themeColor="text1"/>
        </w:rPr>
        <w:lastRenderedPageBreak/>
        <w:t>Table 2.</w:t>
      </w:r>
      <w:r w:rsidR="006907C2" w:rsidRPr="00A76734">
        <w:rPr>
          <w:color w:val="000000" w:themeColor="text1"/>
        </w:rPr>
        <w:t>1</w:t>
      </w:r>
      <w:r w:rsidRPr="00A76734">
        <w:rPr>
          <w:color w:val="000000" w:themeColor="text1"/>
        </w:rPr>
        <w:t xml:space="preserve">.1: Budgeted expenses for Outcome </w:t>
      </w:r>
      <w:r w:rsidR="006907C2" w:rsidRPr="00A76734">
        <w:rPr>
          <w:color w:val="000000" w:themeColor="text1"/>
        </w:rPr>
        <w:t>1</w:t>
      </w:r>
      <w:r w:rsidRPr="00A76734">
        <w:rPr>
          <w:color w:val="000000" w:themeColor="text1"/>
        </w:rPr>
        <w:t xml:space="preserve"> (continued)</w:t>
      </w:r>
    </w:p>
    <w:p w14:paraId="3DD669CC" w14:textId="1E7290B2" w:rsidR="00933EC7" w:rsidRDefault="00AC4A61" w:rsidP="006B5994">
      <w:pPr>
        <w:pStyle w:val="TableHeading"/>
        <w:spacing w:before="0" w:after="0"/>
        <w:rPr>
          <w:color w:val="000000" w:themeColor="text1"/>
        </w:rPr>
      </w:pPr>
      <w:r w:rsidRPr="00AC4A61">
        <w:rPr>
          <w:noProof/>
        </w:rPr>
        <w:drawing>
          <wp:inline distT="0" distB="0" distL="0" distR="0" wp14:anchorId="21F35841" wp14:editId="2621D826">
            <wp:extent cx="4895850" cy="38131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5850" cy="3813175"/>
                    </a:xfrm>
                    <a:prstGeom prst="rect">
                      <a:avLst/>
                    </a:prstGeom>
                    <a:noFill/>
                    <a:ln>
                      <a:noFill/>
                    </a:ln>
                  </pic:spPr>
                </pic:pic>
              </a:graphicData>
            </a:graphic>
          </wp:inline>
        </w:drawing>
      </w:r>
    </w:p>
    <w:p w14:paraId="3EC0D90A" w14:textId="77777777" w:rsidR="00F01FD7" w:rsidRDefault="00B66091" w:rsidP="00934C8F">
      <w:pPr>
        <w:pStyle w:val="ChartandTableFootnoteAlpha"/>
        <w:numPr>
          <w:ilvl w:val="0"/>
          <w:numId w:val="53"/>
        </w:numPr>
        <w:rPr>
          <w:color w:val="000000" w:themeColor="text1"/>
        </w:rPr>
      </w:pPr>
      <w:r w:rsidRPr="009E3A17">
        <w:rPr>
          <w:color w:val="000000" w:themeColor="text1"/>
        </w:rPr>
        <w:t>Expenses not requiring appropriation in the Budget year are made up of depreciation expenses, amortisation expenses, make good expenses</w:t>
      </w:r>
      <w:r w:rsidR="00F01FD7">
        <w:rPr>
          <w:color w:val="000000" w:themeColor="text1"/>
        </w:rPr>
        <w:t xml:space="preserve"> and</w:t>
      </w:r>
      <w:r w:rsidRPr="009E3A17">
        <w:rPr>
          <w:color w:val="000000" w:themeColor="text1"/>
        </w:rPr>
        <w:t xml:space="preserve"> audit fees</w:t>
      </w:r>
      <w:r w:rsidR="00F01FD7">
        <w:rPr>
          <w:color w:val="000000" w:themeColor="text1"/>
        </w:rPr>
        <w:t>.</w:t>
      </w:r>
    </w:p>
    <w:p w14:paraId="774B2C56" w14:textId="26EBCA69" w:rsidR="00955559" w:rsidRPr="009E3A17" w:rsidRDefault="00955559" w:rsidP="00934C8F">
      <w:pPr>
        <w:pStyle w:val="ChartandTableFootnoteAlpha"/>
        <w:numPr>
          <w:ilvl w:val="0"/>
          <w:numId w:val="53"/>
        </w:numPr>
        <w:rPr>
          <w:color w:val="000000" w:themeColor="text1"/>
        </w:rPr>
      </w:pPr>
      <w:r w:rsidRPr="009E3A17">
        <w:rPr>
          <w:color w:val="000000" w:themeColor="text1"/>
        </w:rPr>
        <w:t>Estimated expenses incurred in relation to receipts retained under section 74 of the PGPA Act.</w:t>
      </w:r>
    </w:p>
    <w:p w14:paraId="19F0D016" w14:textId="01256418" w:rsidR="00955559" w:rsidRPr="009E3A17" w:rsidRDefault="00463D86" w:rsidP="002F22EC">
      <w:pPr>
        <w:pStyle w:val="ChartandTableFootnoteAlpha"/>
        <w:rPr>
          <w:color w:val="000000" w:themeColor="text1"/>
        </w:rPr>
      </w:pPr>
      <w:r w:rsidRPr="009E3A17">
        <w:rPr>
          <w:color w:val="000000" w:themeColor="text1"/>
        </w:rPr>
        <w:t>Figures displayed as a negative</w:t>
      </w:r>
      <w:r w:rsidR="00453EFC">
        <w:rPr>
          <w:color w:val="000000" w:themeColor="text1"/>
        </w:rPr>
        <w:t xml:space="preserve"> </w:t>
      </w:r>
      <w:r w:rsidRPr="009E3A17">
        <w:rPr>
          <w:color w:val="000000" w:themeColor="text1"/>
        </w:rPr>
        <w:t>(-) represent a decrease in funds and a positive (+)</w:t>
      </w:r>
      <w:r w:rsidR="009E3A17" w:rsidRPr="009E3A17">
        <w:rPr>
          <w:color w:val="000000" w:themeColor="text1"/>
        </w:rPr>
        <w:t xml:space="preserve"> represent an increase in funds.</w:t>
      </w:r>
    </w:p>
    <w:p w14:paraId="2A9C1B8A" w14:textId="77777777" w:rsidR="00955559" w:rsidRPr="00A76734" w:rsidRDefault="00955559" w:rsidP="00955559">
      <w:pPr>
        <w:pStyle w:val="ChartandTableFootnote"/>
        <w:rPr>
          <w:color w:val="000000" w:themeColor="text1"/>
        </w:rPr>
      </w:pPr>
      <w:r w:rsidRPr="009E3A17">
        <w:rPr>
          <w:color w:val="000000" w:themeColor="text1"/>
        </w:rPr>
        <w:t>Note: Departmental appropriation splits and totals are indicative estimates and may change in the course of the budget year as government priorities change.</w:t>
      </w:r>
    </w:p>
    <w:p w14:paraId="41D9430B" w14:textId="77777777" w:rsidR="00955559" w:rsidRPr="00A76734" w:rsidRDefault="00955559" w:rsidP="00955559">
      <w:pPr>
        <w:pStyle w:val="NoSpacing"/>
        <w:rPr>
          <w:color w:val="000000" w:themeColor="text1"/>
        </w:rPr>
      </w:pPr>
    </w:p>
    <w:p w14:paraId="46EDC288" w14:textId="10C901E0" w:rsidR="00955559" w:rsidRDefault="00955559" w:rsidP="00955559">
      <w:pPr>
        <w:spacing w:after="0"/>
        <w:rPr>
          <w:color w:val="000000" w:themeColor="text1"/>
        </w:rPr>
      </w:pPr>
      <w:r w:rsidRPr="00A76734">
        <w:rPr>
          <w:color w:val="000000" w:themeColor="text1"/>
          <w:highlight w:val="yellow"/>
        </w:rPr>
        <w:br w:type="page"/>
      </w:r>
      <w:r w:rsidRPr="00A76734">
        <w:rPr>
          <w:rStyle w:val="TableHeadingChar"/>
          <w:color w:val="000000" w:themeColor="text1"/>
        </w:rPr>
        <w:lastRenderedPageBreak/>
        <w:t>Table 2.</w:t>
      </w:r>
      <w:r w:rsidR="006907C2" w:rsidRPr="00A76734">
        <w:rPr>
          <w:rStyle w:val="TableHeadingChar"/>
          <w:color w:val="000000" w:themeColor="text1"/>
        </w:rPr>
        <w:t>1</w:t>
      </w:r>
      <w:r w:rsidRPr="00A76734">
        <w:rPr>
          <w:rStyle w:val="TableHeadingChar"/>
          <w:color w:val="000000" w:themeColor="text1"/>
        </w:rPr>
        <w:t xml:space="preserve">.2: Program components of Outcome </w:t>
      </w:r>
      <w:r w:rsidR="006907C2" w:rsidRPr="00A76734">
        <w:rPr>
          <w:rStyle w:val="TableHeadingChar"/>
          <w:color w:val="000000" w:themeColor="text1"/>
        </w:rPr>
        <w:t>1</w:t>
      </w:r>
      <w:r w:rsidRPr="00A76734">
        <w:rPr>
          <w:color w:val="000000" w:themeColor="text1"/>
        </w:rPr>
        <w:t xml:space="preserve"> </w:t>
      </w:r>
    </w:p>
    <w:p w14:paraId="55FBF2FA" w14:textId="294009CE" w:rsidR="00574728" w:rsidRPr="00FC319C" w:rsidRDefault="00574728" w:rsidP="00FC319C">
      <w:pPr>
        <w:spacing w:before="0" w:after="0"/>
        <w:rPr>
          <w:rFonts w:ascii="Arial" w:hAnsi="Arial" w:cs="Arial"/>
          <w:b/>
          <w:color w:val="000000" w:themeColor="text1"/>
          <w:sz w:val="16"/>
          <w:szCs w:val="16"/>
        </w:rPr>
      </w:pPr>
      <w:r w:rsidRPr="006D5555">
        <w:rPr>
          <w:rFonts w:ascii="Arial" w:hAnsi="Arial" w:cs="Arial"/>
          <w:b/>
          <w:color w:val="000000" w:themeColor="text1"/>
          <w:sz w:val="16"/>
          <w:szCs w:val="16"/>
        </w:rPr>
        <w:t>Program 1.2: Programs to support Australian exporters to expand internationally, attract productive international investment, and grow the visitor economy</w:t>
      </w:r>
    </w:p>
    <w:p w14:paraId="00B74ACD" w14:textId="6F3D8305" w:rsidR="00933EC7" w:rsidRDefault="003372E7" w:rsidP="00FC319C">
      <w:pPr>
        <w:pStyle w:val="TableHeading"/>
        <w:spacing w:before="0" w:after="0"/>
        <w:rPr>
          <w:color w:val="000000" w:themeColor="text1"/>
        </w:rPr>
      </w:pPr>
      <w:r w:rsidRPr="003372E7">
        <w:rPr>
          <w:noProof/>
        </w:rPr>
        <w:drawing>
          <wp:inline distT="0" distB="0" distL="0" distR="0" wp14:anchorId="467F173B" wp14:editId="5B37F17C">
            <wp:extent cx="4895850" cy="330390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5850" cy="3303905"/>
                    </a:xfrm>
                    <a:prstGeom prst="rect">
                      <a:avLst/>
                    </a:prstGeom>
                    <a:noFill/>
                    <a:ln>
                      <a:noFill/>
                    </a:ln>
                  </pic:spPr>
                </pic:pic>
              </a:graphicData>
            </a:graphic>
          </wp:inline>
        </w:drawing>
      </w:r>
    </w:p>
    <w:p w14:paraId="12BD385F" w14:textId="77777777" w:rsidR="00933EC7" w:rsidRDefault="00933EC7" w:rsidP="00933EC7">
      <w:pPr>
        <w:pStyle w:val="TableHeading"/>
        <w:rPr>
          <w:color w:val="000000" w:themeColor="text1"/>
        </w:rPr>
      </w:pPr>
    </w:p>
    <w:p w14:paraId="2A4CA477" w14:textId="3DA53F61" w:rsidR="00955559" w:rsidRPr="00A76734" w:rsidRDefault="00955559" w:rsidP="00955559">
      <w:pPr>
        <w:pStyle w:val="TableGraphic"/>
        <w:rPr>
          <w:noProof/>
          <w:color w:val="000000" w:themeColor="text1"/>
        </w:rPr>
      </w:pPr>
    </w:p>
    <w:p w14:paraId="2833345E" w14:textId="6DA84E52" w:rsidR="006907C2" w:rsidRPr="00A76734" w:rsidRDefault="006907C2">
      <w:pPr>
        <w:spacing w:before="0" w:after="0" w:line="240" w:lineRule="auto"/>
        <w:rPr>
          <w:rStyle w:val="TableHeadingChar"/>
          <w:color w:val="000000" w:themeColor="text1"/>
        </w:rPr>
      </w:pPr>
    </w:p>
    <w:p w14:paraId="6C878488" w14:textId="77777777" w:rsidR="006907C2" w:rsidRPr="00A76734" w:rsidRDefault="006907C2" w:rsidP="006907C2">
      <w:pPr>
        <w:rPr>
          <w:color w:val="000000" w:themeColor="text1"/>
        </w:rPr>
      </w:pPr>
    </w:p>
    <w:p w14:paraId="0B6CD06A" w14:textId="1F225EC9" w:rsidR="00955559" w:rsidRPr="00A76734" w:rsidRDefault="00955559" w:rsidP="00955559">
      <w:pPr>
        <w:pStyle w:val="TableHeading"/>
        <w:rPr>
          <w:color w:val="000000" w:themeColor="text1"/>
        </w:rPr>
      </w:pPr>
      <w:r w:rsidRPr="00A76734">
        <w:rPr>
          <w:color w:val="000000" w:themeColor="text1"/>
          <w:highlight w:val="yellow"/>
          <w:lang w:val="en-US"/>
        </w:rPr>
        <w:br w:type="page"/>
      </w:r>
      <w:r w:rsidRPr="00A76734">
        <w:rPr>
          <w:color w:val="000000" w:themeColor="text1"/>
        </w:rPr>
        <w:lastRenderedPageBreak/>
        <w:t>Table 2.</w:t>
      </w:r>
      <w:r w:rsidR="006907C2" w:rsidRPr="00A76734">
        <w:rPr>
          <w:color w:val="000000" w:themeColor="text1"/>
        </w:rPr>
        <w:t>1</w:t>
      </w:r>
      <w:r w:rsidRPr="00A76734">
        <w:rPr>
          <w:color w:val="000000" w:themeColor="text1"/>
        </w:rPr>
        <w:t xml:space="preserve">.3: Performance measure for Outcome </w:t>
      </w:r>
      <w:r w:rsidR="006907C2" w:rsidRPr="00A76734">
        <w:rPr>
          <w:color w:val="000000" w:themeColor="text1"/>
        </w:rPr>
        <w:t>1</w:t>
      </w:r>
    </w:p>
    <w:p w14:paraId="5D781E3F" w14:textId="1AFA8C6A" w:rsidR="00F45E09" w:rsidRPr="00A76734" w:rsidRDefault="00955559" w:rsidP="00955559">
      <w:pPr>
        <w:rPr>
          <w:i/>
          <w:color w:val="000000" w:themeColor="text1"/>
        </w:rPr>
      </w:pPr>
      <w:r w:rsidRPr="00A76734">
        <w:rPr>
          <w:color w:val="000000" w:themeColor="text1"/>
        </w:rPr>
        <w:t>Table 2.</w:t>
      </w:r>
      <w:r w:rsidR="006907C2" w:rsidRPr="00A76734">
        <w:rPr>
          <w:color w:val="000000" w:themeColor="text1"/>
        </w:rPr>
        <w:t>1</w:t>
      </w:r>
      <w:r w:rsidRPr="00A76734">
        <w:rPr>
          <w:color w:val="000000" w:themeColor="text1"/>
        </w:rPr>
        <w:t xml:space="preserve">.3 details the performance measures for each program associated with Outcome </w:t>
      </w:r>
      <w:r w:rsidR="006907C2" w:rsidRPr="00A76734">
        <w:rPr>
          <w:color w:val="000000" w:themeColor="text1"/>
        </w:rPr>
        <w:t>1</w:t>
      </w:r>
      <w:r w:rsidRPr="00A76734">
        <w:rPr>
          <w:color w:val="000000" w:themeColor="text1"/>
        </w:rPr>
        <w:t xml:space="preserve">. It </w:t>
      </w:r>
      <w:r w:rsidR="00C0132B">
        <w:rPr>
          <w:color w:val="000000" w:themeColor="text1"/>
        </w:rPr>
        <w:t xml:space="preserve">is used by entities to describe the results </w:t>
      </w:r>
      <w:r w:rsidR="00E51CB6">
        <w:rPr>
          <w:color w:val="000000" w:themeColor="text1"/>
        </w:rPr>
        <w:t xml:space="preserve">they plan to achieve and the related key activities, as detailed in the current corporate plan, the </w:t>
      </w:r>
      <w:r w:rsidR="00430250">
        <w:rPr>
          <w:color w:val="000000" w:themeColor="text1"/>
        </w:rPr>
        <w:t xml:space="preserve">context in which these activities are delivered, and how the performance </w:t>
      </w:r>
      <w:r w:rsidR="00CE071A">
        <w:rPr>
          <w:color w:val="000000" w:themeColor="text1"/>
        </w:rPr>
        <w:t>of these activities will be measured.</w:t>
      </w:r>
      <w:r w:rsidRPr="00A76734">
        <w:rPr>
          <w:color w:val="000000" w:themeColor="text1"/>
        </w:rPr>
        <w:t xml:space="preserve"> Where relevant, details of the 202</w:t>
      </w:r>
      <w:r w:rsidR="00574728">
        <w:rPr>
          <w:color w:val="000000" w:themeColor="text1"/>
        </w:rPr>
        <w:t>4</w:t>
      </w:r>
      <w:r w:rsidRPr="00A76734">
        <w:rPr>
          <w:color w:val="000000" w:themeColor="text1"/>
        </w:rPr>
        <w:t>-2</w:t>
      </w:r>
      <w:r w:rsidR="00574728">
        <w:rPr>
          <w:color w:val="000000" w:themeColor="text1"/>
        </w:rPr>
        <w:t>5</w:t>
      </w:r>
      <w:r w:rsidRPr="00A76734">
        <w:rPr>
          <w:color w:val="000000" w:themeColor="text1"/>
        </w:rPr>
        <w:t xml:space="preserve"> Budget measures that have created new programs or materially changed existing programs are provided. </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7"/>
        <w:gridCol w:w="3118"/>
        <w:gridCol w:w="2692"/>
      </w:tblGrid>
      <w:tr w:rsidR="00A76734" w:rsidRPr="00A76734" w14:paraId="4A5F751E" w14:textId="77777777" w:rsidTr="001F2754">
        <w:trPr>
          <w:trHeight w:val="568"/>
        </w:trPr>
        <w:tc>
          <w:tcPr>
            <w:tcW w:w="7797" w:type="dxa"/>
            <w:gridSpan w:val="3"/>
            <w:shd w:val="clear" w:color="auto" w:fill="F1F1F1"/>
          </w:tcPr>
          <w:p w14:paraId="64707C5A" w14:textId="77777777" w:rsidR="00F45E09" w:rsidRPr="00A76734" w:rsidRDefault="00F45E09" w:rsidP="00C91485">
            <w:pPr>
              <w:pStyle w:val="TableParagraph"/>
              <w:spacing w:before="32"/>
              <w:ind w:left="107"/>
              <w:rPr>
                <w:b/>
                <w:i/>
                <w:color w:val="000000" w:themeColor="text1"/>
                <w:sz w:val="17"/>
                <w:szCs w:val="17"/>
              </w:rPr>
            </w:pPr>
            <w:r w:rsidRPr="00A76734">
              <w:rPr>
                <w:b/>
                <w:color w:val="000000" w:themeColor="text1"/>
                <w:spacing w:val="-6"/>
                <w:sz w:val="16"/>
                <w:szCs w:val="16"/>
              </w:rPr>
              <w:t>Outcome</w:t>
            </w:r>
            <w:r w:rsidRPr="00A76734">
              <w:rPr>
                <w:b/>
                <w:color w:val="000000" w:themeColor="text1"/>
                <w:spacing w:val="2"/>
                <w:sz w:val="16"/>
                <w:szCs w:val="16"/>
              </w:rPr>
              <w:t xml:space="preserve"> </w:t>
            </w:r>
            <w:r w:rsidRPr="00A76734">
              <w:rPr>
                <w:b/>
                <w:color w:val="000000" w:themeColor="text1"/>
                <w:spacing w:val="-6"/>
                <w:sz w:val="16"/>
                <w:szCs w:val="16"/>
              </w:rPr>
              <w:t>1</w:t>
            </w:r>
            <w:r w:rsidRPr="00A76734">
              <w:rPr>
                <w:b/>
                <w:color w:val="000000" w:themeColor="text1"/>
                <w:spacing w:val="4"/>
                <w:sz w:val="16"/>
                <w:szCs w:val="16"/>
              </w:rPr>
              <w:t xml:space="preserve"> </w:t>
            </w:r>
            <w:r w:rsidRPr="00A76734">
              <w:rPr>
                <w:b/>
                <w:color w:val="000000" w:themeColor="text1"/>
                <w:spacing w:val="-6"/>
                <w:sz w:val="16"/>
                <w:szCs w:val="16"/>
              </w:rPr>
              <w:t>– To contribute to Australia’s economic prosperity by supporting Australian exporters to expand internationally, attracting productive international investment, and growing the visitor economy.</w:t>
            </w:r>
          </w:p>
        </w:tc>
      </w:tr>
      <w:tr w:rsidR="00A76734" w:rsidRPr="00A76734" w14:paraId="2BE5A454" w14:textId="77777777" w:rsidTr="001F2754">
        <w:trPr>
          <w:trHeight w:val="633"/>
        </w:trPr>
        <w:tc>
          <w:tcPr>
            <w:tcW w:w="7797" w:type="dxa"/>
            <w:gridSpan w:val="3"/>
            <w:shd w:val="clear" w:color="auto" w:fill="F1F1F1"/>
          </w:tcPr>
          <w:p w14:paraId="4B1CD35E" w14:textId="036D4107" w:rsidR="00F45E09" w:rsidRPr="00A76734" w:rsidRDefault="00F45E09" w:rsidP="00C91485">
            <w:pPr>
              <w:pStyle w:val="TableParagraph"/>
              <w:spacing w:before="20"/>
              <w:ind w:left="107"/>
              <w:rPr>
                <w:b/>
                <w:color w:val="000000" w:themeColor="text1"/>
                <w:sz w:val="16"/>
                <w:szCs w:val="16"/>
              </w:rPr>
            </w:pPr>
            <w:r w:rsidRPr="00A76734">
              <w:rPr>
                <w:b/>
                <w:color w:val="000000" w:themeColor="text1"/>
                <w:spacing w:val="-6"/>
                <w:sz w:val="16"/>
                <w:szCs w:val="16"/>
              </w:rPr>
              <w:t>Program 1.1 – Support</w:t>
            </w:r>
            <w:r w:rsidR="00F661D0" w:rsidRPr="00A76734">
              <w:rPr>
                <w:b/>
                <w:color w:val="000000" w:themeColor="text1"/>
                <w:spacing w:val="-6"/>
                <w:sz w:val="16"/>
                <w:szCs w:val="16"/>
              </w:rPr>
              <w:t>ing</w:t>
            </w:r>
            <w:r w:rsidRPr="00A76734">
              <w:rPr>
                <w:b/>
                <w:color w:val="000000" w:themeColor="text1"/>
                <w:spacing w:val="-6"/>
                <w:sz w:val="16"/>
                <w:szCs w:val="16"/>
              </w:rPr>
              <w:t xml:space="preserve"> Australian exporters to expand internationally, attract</w:t>
            </w:r>
            <w:r w:rsidR="002C130A" w:rsidRPr="00A76734">
              <w:rPr>
                <w:b/>
                <w:color w:val="000000" w:themeColor="text1"/>
                <w:spacing w:val="-6"/>
                <w:sz w:val="16"/>
                <w:szCs w:val="16"/>
              </w:rPr>
              <w:t>ing</w:t>
            </w:r>
            <w:r w:rsidR="00A562A9" w:rsidRPr="00A76734">
              <w:rPr>
                <w:b/>
                <w:color w:val="000000" w:themeColor="text1"/>
                <w:spacing w:val="-6"/>
                <w:sz w:val="16"/>
                <w:szCs w:val="16"/>
              </w:rPr>
              <w:t xml:space="preserve"> </w:t>
            </w:r>
            <w:r w:rsidRPr="00A76734">
              <w:rPr>
                <w:b/>
                <w:color w:val="000000" w:themeColor="text1"/>
                <w:spacing w:val="-6"/>
                <w:sz w:val="16"/>
                <w:szCs w:val="16"/>
              </w:rPr>
              <w:t xml:space="preserve">productive international investment, and </w:t>
            </w:r>
            <w:r w:rsidR="002C130A" w:rsidRPr="00A76734">
              <w:rPr>
                <w:b/>
                <w:color w:val="000000" w:themeColor="text1"/>
                <w:spacing w:val="-6"/>
                <w:sz w:val="16"/>
                <w:szCs w:val="16"/>
              </w:rPr>
              <w:t xml:space="preserve">growing </w:t>
            </w:r>
            <w:r w:rsidRPr="00A76734">
              <w:rPr>
                <w:b/>
                <w:color w:val="000000" w:themeColor="text1"/>
                <w:spacing w:val="-6"/>
                <w:sz w:val="16"/>
                <w:szCs w:val="16"/>
              </w:rPr>
              <w:t>the visitor economy</w:t>
            </w:r>
          </w:p>
        </w:tc>
      </w:tr>
      <w:tr w:rsidR="00A76734" w:rsidRPr="00A76734" w14:paraId="01C3DF7A" w14:textId="77777777" w:rsidTr="006D5555">
        <w:trPr>
          <w:trHeight w:val="2577"/>
        </w:trPr>
        <w:tc>
          <w:tcPr>
            <w:tcW w:w="1987" w:type="dxa"/>
            <w:tcBorders>
              <w:bottom w:val="single" w:sz="4" w:space="0" w:color="auto"/>
            </w:tcBorders>
          </w:tcPr>
          <w:p w14:paraId="23DDE290" w14:textId="2F70EB0D" w:rsidR="00F45E09" w:rsidRPr="00A76734" w:rsidRDefault="00F45E09" w:rsidP="00C91485">
            <w:pPr>
              <w:pStyle w:val="TableParagraph"/>
              <w:spacing w:before="41"/>
              <w:ind w:left="107"/>
              <w:rPr>
                <w:b/>
                <w:color w:val="000000" w:themeColor="text1"/>
                <w:sz w:val="16"/>
                <w:szCs w:val="16"/>
              </w:rPr>
            </w:pPr>
            <w:r w:rsidRPr="00A76734">
              <w:rPr>
                <w:b/>
                <w:color w:val="000000" w:themeColor="text1"/>
                <w:sz w:val="16"/>
                <w:szCs w:val="16"/>
              </w:rPr>
              <w:t>Key</w:t>
            </w:r>
            <w:r w:rsidRPr="00A76734">
              <w:rPr>
                <w:b/>
                <w:color w:val="000000" w:themeColor="text1"/>
                <w:spacing w:val="-4"/>
                <w:sz w:val="16"/>
                <w:szCs w:val="16"/>
              </w:rPr>
              <w:t xml:space="preserve"> </w:t>
            </w:r>
            <w:r w:rsidRPr="00A76734">
              <w:rPr>
                <w:b/>
                <w:color w:val="000000" w:themeColor="text1"/>
                <w:sz w:val="16"/>
                <w:szCs w:val="16"/>
              </w:rPr>
              <w:t>Activities</w:t>
            </w:r>
          </w:p>
        </w:tc>
        <w:tc>
          <w:tcPr>
            <w:tcW w:w="5810" w:type="dxa"/>
            <w:gridSpan w:val="2"/>
            <w:tcBorders>
              <w:bottom w:val="single" w:sz="4" w:space="0" w:color="auto"/>
            </w:tcBorders>
          </w:tcPr>
          <w:p w14:paraId="1249830F" w14:textId="77777777" w:rsidR="00F45E09" w:rsidRPr="00A76734" w:rsidRDefault="00F45E09" w:rsidP="001F2754">
            <w:pPr>
              <w:spacing w:before="40" w:after="0" w:line="276" w:lineRule="auto"/>
              <w:ind w:left="136"/>
              <w:contextualSpacing/>
              <w:textAlignment w:val="baseline"/>
              <w:rPr>
                <w:rFonts w:ascii="Arial" w:hAnsi="Arial" w:cs="Arial"/>
                <w:color w:val="000000" w:themeColor="text1"/>
                <w:sz w:val="16"/>
                <w:szCs w:val="16"/>
              </w:rPr>
            </w:pPr>
            <w:r w:rsidRPr="00A76734">
              <w:rPr>
                <w:rFonts w:ascii="Arial" w:hAnsi="Arial" w:cs="Arial"/>
                <w:color w:val="000000" w:themeColor="text1"/>
                <w:sz w:val="16"/>
                <w:szCs w:val="16"/>
              </w:rPr>
              <w:t>Austrade:</w:t>
            </w:r>
          </w:p>
          <w:p w14:paraId="29359AA3" w14:textId="2067C173" w:rsidR="00F45E09" w:rsidRPr="00A76734" w:rsidRDefault="00F45E09" w:rsidP="00934C8F">
            <w:pPr>
              <w:pStyle w:val="ListParagraph"/>
              <w:numPr>
                <w:ilvl w:val="0"/>
                <w:numId w:val="32"/>
              </w:numPr>
              <w:spacing w:before="0" w:after="0"/>
              <w:ind w:right="133"/>
              <w:textAlignment w:val="baseline"/>
              <w:rPr>
                <w:rFonts w:ascii="Arial" w:hAnsi="Arial" w:cs="Arial"/>
                <w:color w:val="000000" w:themeColor="text1"/>
                <w:sz w:val="16"/>
                <w:szCs w:val="16"/>
              </w:rPr>
            </w:pPr>
            <w:r w:rsidRPr="00A76734">
              <w:rPr>
                <w:rFonts w:ascii="Arial" w:hAnsi="Arial" w:cs="Arial"/>
                <w:color w:val="000000" w:themeColor="text1"/>
                <w:sz w:val="16"/>
                <w:szCs w:val="16"/>
              </w:rPr>
              <w:t>supports Australian businesses to expand, through trade advice, connections and support</w:t>
            </w:r>
            <w:r w:rsidR="00F661D0" w:rsidRPr="00A76734">
              <w:rPr>
                <w:rFonts w:ascii="Arial" w:hAnsi="Arial" w:cs="Arial"/>
                <w:color w:val="000000" w:themeColor="text1"/>
                <w:sz w:val="16"/>
                <w:szCs w:val="16"/>
              </w:rPr>
              <w:t>;</w:t>
            </w:r>
          </w:p>
          <w:p w14:paraId="087A1DEF" w14:textId="3C3586E6" w:rsidR="00F45E09" w:rsidRPr="00A76734" w:rsidRDefault="00F45E09" w:rsidP="00934C8F">
            <w:pPr>
              <w:pStyle w:val="ListParagraph"/>
              <w:numPr>
                <w:ilvl w:val="0"/>
                <w:numId w:val="32"/>
              </w:numPr>
              <w:spacing w:before="0" w:after="0"/>
              <w:ind w:right="133"/>
              <w:textAlignment w:val="baseline"/>
              <w:rPr>
                <w:rFonts w:ascii="Arial" w:hAnsi="Arial" w:cs="Arial"/>
                <w:color w:val="000000" w:themeColor="text1"/>
                <w:sz w:val="16"/>
                <w:szCs w:val="16"/>
              </w:rPr>
            </w:pPr>
            <w:r w:rsidRPr="00A76734">
              <w:rPr>
                <w:rFonts w:ascii="Arial" w:hAnsi="Arial" w:cs="Arial"/>
                <w:color w:val="000000" w:themeColor="text1"/>
                <w:sz w:val="16"/>
                <w:szCs w:val="16"/>
              </w:rPr>
              <w:t>facilitates high-quality international investment</w:t>
            </w:r>
            <w:r w:rsidR="00F661D0" w:rsidRPr="00A76734">
              <w:rPr>
                <w:rFonts w:ascii="Arial" w:hAnsi="Arial" w:cs="Arial"/>
                <w:color w:val="000000" w:themeColor="text1"/>
                <w:sz w:val="16"/>
                <w:szCs w:val="16"/>
              </w:rPr>
              <w:t>;</w:t>
            </w:r>
          </w:p>
          <w:p w14:paraId="4FDB0E93" w14:textId="77777777" w:rsidR="00F45E09" w:rsidRPr="00A76734" w:rsidRDefault="00F45E09" w:rsidP="00934C8F">
            <w:pPr>
              <w:pStyle w:val="ListParagraph"/>
              <w:numPr>
                <w:ilvl w:val="0"/>
                <w:numId w:val="32"/>
              </w:numPr>
              <w:spacing w:before="0" w:after="0"/>
              <w:ind w:right="133"/>
              <w:textAlignment w:val="baseline"/>
              <w:rPr>
                <w:rFonts w:ascii="Arial" w:hAnsi="Arial" w:cs="Arial"/>
                <w:color w:val="000000" w:themeColor="text1"/>
                <w:sz w:val="16"/>
                <w:szCs w:val="16"/>
              </w:rPr>
            </w:pPr>
            <w:r w:rsidRPr="00A76734">
              <w:rPr>
                <w:rFonts w:ascii="Arial" w:hAnsi="Arial" w:cs="Arial"/>
                <w:color w:val="000000" w:themeColor="text1"/>
                <w:sz w:val="16"/>
                <w:szCs w:val="16"/>
                <w:lang w:val="en-AU"/>
              </w:rPr>
              <w:t>conducts global marketing and promotion to create brand awareness, generate demand and support conversion of leads for trade, investment and international education</w:t>
            </w:r>
            <w:r w:rsidRPr="00A76734">
              <w:rPr>
                <w:rFonts w:ascii="Arial" w:hAnsi="Arial" w:cs="Arial"/>
                <w:color w:val="000000" w:themeColor="text1"/>
                <w:sz w:val="16"/>
                <w:szCs w:val="16"/>
              </w:rPr>
              <w:t>; and</w:t>
            </w:r>
          </w:p>
          <w:p w14:paraId="21CAF273" w14:textId="77777777" w:rsidR="00F45E09" w:rsidRPr="00A76734" w:rsidRDefault="00F45E09" w:rsidP="00934C8F">
            <w:pPr>
              <w:pStyle w:val="ListParagraph"/>
              <w:numPr>
                <w:ilvl w:val="0"/>
                <w:numId w:val="32"/>
              </w:numPr>
              <w:spacing w:before="0" w:after="40"/>
              <w:ind w:left="714" w:right="130" w:hanging="357"/>
              <w:textAlignment w:val="baseline"/>
              <w:rPr>
                <w:rFonts w:ascii="Arial" w:hAnsi="Arial" w:cs="Arial"/>
                <w:color w:val="000000" w:themeColor="text1"/>
                <w:sz w:val="16"/>
                <w:szCs w:val="16"/>
              </w:rPr>
            </w:pPr>
            <w:r w:rsidRPr="00A76734">
              <w:rPr>
                <w:rFonts w:ascii="Arial" w:hAnsi="Arial" w:cs="Arial"/>
                <w:color w:val="000000" w:themeColor="text1"/>
                <w:sz w:val="16"/>
                <w:szCs w:val="16"/>
              </w:rPr>
              <w:t>leads national visitor economy policy development and implementation, and uses Austrade’s global and commercial perspectives to contribute to policy advice to Government on trade and investment.</w:t>
            </w:r>
          </w:p>
        </w:tc>
      </w:tr>
      <w:tr w:rsidR="00A76734" w:rsidRPr="00A76734" w14:paraId="67DA1FD6" w14:textId="77777777" w:rsidTr="006D5555">
        <w:trPr>
          <w:trHeight w:val="312"/>
        </w:trPr>
        <w:tc>
          <w:tcPr>
            <w:tcW w:w="1987" w:type="dxa"/>
            <w:tcBorders>
              <w:top w:val="single" w:sz="4" w:space="0" w:color="auto"/>
            </w:tcBorders>
          </w:tcPr>
          <w:p w14:paraId="5260F98D" w14:textId="77777777" w:rsidR="00F45E09" w:rsidRPr="00A76734" w:rsidRDefault="00F45E09" w:rsidP="00C91485">
            <w:pPr>
              <w:pStyle w:val="TableParagraph"/>
              <w:spacing w:before="43"/>
              <w:ind w:left="107"/>
              <w:rPr>
                <w:b/>
                <w:color w:val="000000" w:themeColor="text1"/>
                <w:sz w:val="16"/>
              </w:rPr>
            </w:pPr>
            <w:r w:rsidRPr="00A76734">
              <w:rPr>
                <w:b/>
                <w:color w:val="000000" w:themeColor="text1"/>
                <w:spacing w:val="-4"/>
                <w:sz w:val="16"/>
              </w:rPr>
              <w:t>Year</w:t>
            </w:r>
          </w:p>
        </w:tc>
        <w:tc>
          <w:tcPr>
            <w:tcW w:w="3118" w:type="dxa"/>
            <w:tcBorders>
              <w:top w:val="single" w:sz="4" w:space="0" w:color="auto"/>
            </w:tcBorders>
          </w:tcPr>
          <w:p w14:paraId="6D5272D5" w14:textId="77777777" w:rsidR="00F45E09" w:rsidRPr="00A76734" w:rsidRDefault="00F45E09" w:rsidP="00C91485">
            <w:pPr>
              <w:pStyle w:val="TableParagraph"/>
              <w:spacing w:before="43"/>
              <w:ind w:left="107"/>
              <w:rPr>
                <w:b/>
                <w:color w:val="000000" w:themeColor="text1"/>
                <w:sz w:val="16"/>
              </w:rPr>
            </w:pPr>
            <w:r w:rsidRPr="00A76734">
              <w:rPr>
                <w:b/>
                <w:color w:val="000000" w:themeColor="text1"/>
                <w:sz w:val="16"/>
              </w:rPr>
              <w:t>Performance</w:t>
            </w:r>
            <w:r w:rsidRPr="00A76734">
              <w:rPr>
                <w:b/>
                <w:color w:val="000000" w:themeColor="text1"/>
                <w:spacing w:val="-10"/>
                <w:sz w:val="16"/>
              </w:rPr>
              <w:t xml:space="preserve"> </w:t>
            </w:r>
            <w:r w:rsidRPr="00A76734">
              <w:rPr>
                <w:b/>
                <w:color w:val="000000" w:themeColor="text1"/>
                <w:spacing w:val="-2"/>
                <w:sz w:val="16"/>
              </w:rPr>
              <w:t>measures</w:t>
            </w:r>
          </w:p>
        </w:tc>
        <w:tc>
          <w:tcPr>
            <w:tcW w:w="2692" w:type="dxa"/>
            <w:tcBorders>
              <w:top w:val="single" w:sz="4" w:space="0" w:color="auto"/>
            </w:tcBorders>
          </w:tcPr>
          <w:p w14:paraId="0F0C59B5" w14:textId="77777777" w:rsidR="00F45E09" w:rsidRPr="00A76734" w:rsidRDefault="00F45E09" w:rsidP="00C91485">
            <w:pPr>
              <w:pStyle w:val="TableParagraph"/>
              <w:spacing w:before="43"/>
              <w:ind w:left="107"/>
              <w:rPr>
                <w:b/>
                <w:color w:val="000000" w:themeColor="text1"/>
                <w:sz w:val="16"/>
              </w:rPr>
            </w:pPr>
            <w:r w:rsidRPr="00A76734">
              <w:rPr>
                <w:b/>
                <w:color w:val="000000" w:themeColor="text1"/>
                <w:sz w:val="16"/>
              </w:rPr>
              <w:t>Expected</w:t>
            </w:r>
            <w:r w:rsidRPr="00A76734">
              <w:rPr>
                <w:b/>
                <w:color w:val="000000" w:themeColor="text1"/>
                <w:spacing w:val="-9"/>
                <w:sz w:val="16"/>
              </w:rPr>
              <w:t xml:space="preserve"> </w:t>
            </w:r>
            <w:r w:rsidRPr="00A76734">
              <w:rPr>
                <w:b/>
                <w:color w:val="000000" w:themeColor="text1"/>
                <w:sz w:val="16"/>
              </w:rPr>
              <w:t>Performance</w:t>
            </w:r>
            <w:r w:rsidRPr="00A76734">
              <w:rPr>
                <w:b/>
                <w:color w:val="000000" w:themeColor="text1"/>
                <w:spacing w:val="-6"/>
                <w:sz w:val="16"/>
              </w:rPr>
              <w:t xml:space="preserve"> </w:t>
            </w:r>
            <w:r w:rsidRPr="00A76734">
              <w:rPr>
                <w:b/>
                <w:color w:val="000000" w:themeColor="text1"/>
                <w:spacing w:val="-2"/>
                <w:sz w:val="16"/>
              </w:rPr>
              <w:t>Results</w:t>
            </w:r>
          </w:p>
        </w:tc>
      </w:tr>
      <w:tr w:rsidR="00A76734" w:rsidRPr="00A76734" w14:paraId="2263D4DC" w14:textId="77777777" w:rsidTr="001F2754">
        <w:trPr>
          <w:trHeight w:val="793"/>
        </w:trPr>
        <w:tc>
          <w:tcPr>
            <w:tcW w:w="1987" w:type="dxa"/>
          </w:tcPr>
          <w:p w14:paraId="5C085E71" w14:textId="585FECA1" w:rsidR="00F45E09" w:rsidRPr="00A76734" w:rsidRDefault="00DE7834" w:rsidP="006D5555">
            <w:pPr>
              <w:pStyle w:val="TableParagraph"/>
              <w:spacing w:before="20"/>
              <w:ind w:left="107"/>
              <w:rPr>
                <w:rFonts w:ascii="Book Antiqua"/>
                <w:i/>
                <w:color w:val="000000" w:themeColor="text1"/>
                <w:sz w:val="18"/>
              </w:rPr>
            </w:pPr>
            <w:r w:rsidRPr="00A76734">
              <w:rPr>
                <w:color w:val="000000" w:themeColor="text1"/>
                <w:sz w:val="16"/>
              </w:rPr>
              <w:t>Current</w:t>
            </w:r>
            <w:r w:rsidR="00F45E09" w:rsidRPr="00A76734">
              <w:rPr>
                <w:color w:val="000000" w:themeColor="text1"/>
                <w:spacing w:val="-2"/>
                <w:sz w:val="16"/>
              </w:rPr>
              <w:t xml:space="preserve"> </w:t>
            </w:r>
            <w:r w:rsidR="00F45E09" w:rsidRPr="00A76734">
              <w:rPr>
                <w:color w:val="000000" w:themeColor="text1"/>
                <w:spacing w:val="-4"/>
                <w:sz w:val="16"/>
              </w:rPr>
              <w:t>year</w:t>
            </w:r>
          </w:p>
          <w:p w14:paraId="481C060B" w14:textId="40891FA6" w:rsidR="00F45E09" w:rsidRPr="00A76734" w:rsidRDefault="00F45E09" w:rsidP="00C91485">
            <w:pPr>
              <w:pStyle w:val="TableParagraph"/>
              <w:ind w:left="107"/>
              <w:rPr>
                <w:color w:val="000000" w:themeColor="text1"/>
                <w:sz w:val="16"/>
              </w:rPr>
            </w:pPr>
            <w:r w:rsidRPr="00A76734">
              <w:rPr>
                <w:color w:val="000000" w:themeColor="text1"/>
                <w:spacing w:val="-2"/>
                <w:sz w:val="16"/>
              </w:rPr>
              <w:t>202</w:t>
            </w:r>
            <w:r w:rsidR="00D9618F">
              <w:rPr>
                <w:color w:val="000000" w:themeColor="text1"/>
                <w:spacing w:val="-2"/>
                <w:sz w:val="16"/>
              </w:rPr>
              <w:t>3</w:t>
            </w:r>
            <w:r w:rsidRPr="00A76734">
              <w:rPr>
                <w:color w:val="000000" w:themeColor="text1"/>
                <w:spacing w:val="-2"/>
                <w:sz w:val="16"/>
              </w:rPr>
              <w:t>-</w:t>
            </w:r>
            <w:r w:rsidRPr="00A76734">
              <w:rPr>
                <w:color w:val="000000" w:themeColor="text1"/>
                <w:spacing w:val="-5"/>
                <w:sz w:val="16"/>
              </w:rPr>
              <w:t>2</w:t>
            </w:r>
            <w:r w:rsidR="00D9618F">
              <w:rPr>
                <w:color w:val="000000" w:themeColor="text1"/>
                <w:spacing w:val="-5"/>
                <w:sz w:val="16"/>
              </w:rPr>
              <w:t>4</w:t>
            </w:r>
          </w:p>
        </w:tc>
        <w:tc>
          <w:tcPr>
            <w:tcW w:w="3118" w:type="dxa"/>
          </w:tcPr>
          <w:p w14:paraId="7620AA89" w14:textId="77777777" w:rsidR="00F45E09" w:rsidRPr="00A76734" w:rsidRDefault="00F45E09" w:rsidP="00C91485">
            <w:pPr>
              <w:pStyle w:val="TableParagraph"/>
              <w:spacing w:before="20"/>
              <w:ind w:left="107" w:hanging="1"/>
              <w:rPr>
                <w:color w:val="000000" w:themeColor="text1"/>
                <w:sz w:val="16"/>
              </w:rPr>
            </w:pPr>
            <w:r w:rsidRPr="00A76734">
              <w:rPr>
                <w:color w:val="000000" w:themeColor="text1"/>
                <w:sz w:val="16"/>
              </w:rPr>
              <w:t>High level of satisfaction for Austrade’s clients with Austrade’s services.</w:t>
            </w:r>
          </w:p>
        </w:tc>
        <w:tc>
          <w:tcPr>
            <w:tcW w:w="2692" w:type="dxa"/>
          </w:tcPr>
          <w:p w14:paraId="5E3B421A" w14:textId="77777777" w:rsidR="00F45E09" w:rsidRPr="00A76734" w:rsidRDefault="00F45E09" w:rsidP="00C91485">
            <w:pPr>
              <w:pStyle w:val="TableParagraph"/>
              <w:spacing w:before="20"/>
              <w:ind w:left="107" w:right="309"/>
              <w:rPr>
                <w:color w:val="000000" w:themeColor="text1"/>
                <w:sz w:val="16"/>
              </w:rPr>
            </w:pPr>
            <w:r w:rsidRPr="00A76734">
              <w:rPr>
                <w:color w:val="000000" w:themeColor="text1"/>
                <w:sz w:val="16"/>
              </w:rPr>
              <w:t>At least 85 per cent.</w:t>
            </w:r>
          </w:p>
        </w:tc>
      </w:tr>
      <w:tr w:rsidR="00A76734" w:rsidRPr="00A76734" w14:paraId="002369F6" w14:textId="77777777" w:rsidTr="006D5555">
        <w:trPr>
          <w:trHeight w:val="312"/>
        </w:trPr>
        <w:tc>
          <w:tcPr>
            <w:tcW w:w="1987" w:type="dxa"/>
            <w:tcBorders>
              <w:bottom w:val="single" w:sz="4" w:space="0" w:color="auto"/>
            </w:tcBorders>
          </w:tcPr>
          <w:p w14:paraId="6AE9C799" w14:textId="77777777" w:rsidR="00F45E09" w:rsidRPr="00A76734" w:rsidRDefault="00F45E09" w:rsidP="00C91485">
            <w:pPr>
              <w:pStyle w:val="TableParagraph"/>
              <w:spacing w:before="44"/>
              <w:ind w:left="107"/>
              <w:rPr>
                <w:b/>
                <w:color w:val="000000" w:themeColor="text1"/>
                <w:sz w:val="16"/>
              </w:rPr>
            </w:pPr>
            <w:r w:rsidRPr="00A76734">
              <w:rPr>
                <w:b/>
                <w:color w:val="000000" w:themeColor="text1"/>
                <w:spacing w:val="-4"/>
                <w:sz w:val="16"/>
              </w:rPr>
              <w:t>Year</w:t>
            </w:r>
          </w:p>
        </w:tc>
        <w:tc>
          <w:tcPr>
            <w:tcW w:w="3118" w:type="dxa"/>
            <w:tcBorders>
              <w:bottom w:val="single" w:sz="4" w:space="0" w:color="auto"/>
            </w:tcBorders>
          </w:tcPr>
          <w:p w14:paraId="259B23F5" w14:textId="77777777" w:rsidR="00F45E09" w:rsidRPr="00A76734" w:rsidRDefault="00F45E09" w:rsidP="00C91485">
            <w:pPr>
              <w:pStyle w:val="TableParagraph"/>
              <w:spacing w:before="44"/>
              <w:ind w:left="107"/>
              <w:rPr>
                <w:b/>
                <w:color w:val="000000" w:themeColor="text1"/>
                <w:sz w:val="16"/>
              </w:rPr>
            </w:pPr>
            <w:r w:rsidRPr="00A76734">
              <w:rPr>
                <w:b/>
                <w:color w:val="000000" w:themeColor="text1"/>
                <w:sz w:val="16"/>
              </w:rPr>
              <w:t>Performance</w:t>
            </w:r>
            <w:r w:rsidRPr="00A76734">
              <w:rPr>
                <w:b/>
                <w:color w:val="000000" w:themeColor="text1"/>
                <w:spacing w:val="-10"/>
                <w:sz w:val="16"/>
              </w:rPr>
              <w:t xml:space="preserve"> </w:t>
            </w:r>
            <w:r w:rsidRPr="00A76734">
              <w:rPr>
                <w:b/>
                <w:color w:val="000000" w:themeColor="text1"/>
                <w:spacing w:val="-2"/>
                <w:sz w:val="16"/>
              </w:rPr>
              <w:t>measures</w:t>
            </w:r>
          </w:p>
        </w:tc>
        <w:tc>
          <w:tcPr>
            <w:tcW w:w="2692" w:type="dxa"/>
            <w:tcBorders>
              <w:bottom w:val="single" w:sz="4" w:space="0" w:color="auto"/>
            </w:tcBorders>
          </w:tcPr>
          <w:p w14:paraId="4BBF2CB8" w14:textId="77777777" w:rsidR="00F45E09" w:rsidRPr="00A76734" w:rsidRDefault="00F45E09" w:rsidP="00C91485">
            <w:pPr>
              <w:pStyle w:val="TableParagraph"/>
              <w:spacing w:before="44"/>
              <w:ind w:left="107"/>
              <w:rPr>
                <w:b/>
                <w:color w:val="000000" w:themeColor="text1"/>
                <w:sz w:val="16"/>
              </w:rPr>
            </w:pPr>
            <w:r w:rsidRPr="00A76734">
              <w:rPr>
                <w:b/>
                <w:color w:val="000000" w:themeColor="text1"/>
                <w:sz w:val="16"/>
              </w:rPr>
              <w:t>Planned</w:t>
            </w:r>
            <w:r w:rsidRPr="00A76734">
              <w:rPr>
                <w:b/>
                <w:color w:val="000000" w:themeColor="text1"/>
                <w:spacing w:val="-8"/>
                <w:sz w:val="16"/>
              </w:rPr>
              <w:t xml:space="preserve"> </w:t>
            </w:r>
            <w:r w:rsidRPr="00A76734">
              <w:rPr>
                <w:b/>
                <w:color w:val="000000" w:themeColor="text1"/>
                <w:sz w:val="16"/>
              </w:rPr>
              <w:t>Performance</w:t>
            </w:r>
            <w:r w:rsidRPr="00A76734">
              <w:rPr>
                <w:b/>
                <w:color w:val="000000" w:themeColor="text1"/>
                <w:spacing w:val="-6"/>
                <w:sz w:val="16"/>
              </w:rPr>
              <w:t xml:space="preserve"> </w:t>
            </w:r>
            <w:r w:rsidRPr="00A76734">
              <w:rPr>
                <w:b/>
                <w:color w:val="000000" w:themeColor="text1"/>
                <w:spacing w:val="-2"/>
                <w:sz w:val="16"/>
              </w:rPr>
              <w:t>Results</w:t>
            </w:r>
          </w:p>
        </w:tc>
      </w:tr>
      <w:tr w:rsidR="00A76734" w:rsidRPr="00A76734" w14:paraId="44916316" w14:textId="77777777" w:rsidTr="006D5555">
        <w:trPr>
          <w:trHeight w:val="665"/>
        </w:trPr>
        <w:tc>
          <w:tcPr>
            <w:tcW w:w="1987" w:type="dxa"/>
            <w:tcBorders>
              <w:bottom w:val="single" w:sz="4" w:space="0" w:color="auto"/>
            </w:tcBorders>
          </w:tcPr>
          <w:p w14:paraId="69A4B10C" w14:textId="19CCC7AB" w:rsidR="00F45E09" w:rsidRPr="00A76734" w:rsidRDefault="00F45E09" w:rsidP="00C91485">
            <w:pPr>
              <w:pStyle w:val="TableParagraph"/>
              <w:spacing w:before="4" w:line="200" w:lineRule="atLeast"/>
              <w:ind w:left="107" w:right="549"/>
              <w:rPr>
                <w:color w:val="000000" w:themeColor="text1"/>
                <w:sz w:val="16"/>
              </w:rPr>
            </w:pPr>
            <w:r w:rsidRPr="00A76734">
              <w:rPr>
                <w:color w:val="000000" w:themeColor="text1"/>
                <w:sz w:val="16"/>
              </w:rPr>
              <w:t>Budget</w:t>
            </w:r>
            <w:r w:rsidRPr="00A76734">
              <w:rPr>
                <w:color w:val="000000" w:themeColor="text1"/>
                <w:spacing w:val="-12"/>
                <w:sz w:val="16"/>
              </w:rPr>
              <w:t xml:space="preserve"> </w:t>
            </w:r>
            <w:r w:rsidRPr="00A76734">
              <w:rPr>
                <w:color w:val="000000" w:themeColor="text1"/>
                <w:sz w:val="16"/>
              </w:rPr>
              <w:t xml:space="preserve">Year </w:t>
            </w:r>
            <w:r w:rsidRPr="00A76734">
              <w:rPr>
                <w:color w:val="000000" w:themeColor="text1"/>
                <w:spacing w:val="-2"/>
                <w:sz w:val="16"/>
              </w:rPr>
              <w:t>202</w:t>
            </w:r>
            <w:r w:rsidR="0086301E">
              <w:rPr>
                <w:color w:val="000000" w:themeColor="text1"/>
                <w:spacing w:val="-2"/>
                <w:sz w:val="16"/>
              </w:rPr>
              <w:t>4</w:t>
            </w:r>
            <w:r w:rsidRPr="00A76734">
              <w:rPr>
                <w:color w:val="000000" w:themeColor="text1"/>
                <w:spacing w:val="-2"/>
                <w:sz w:val="16"/>
              </w:rPr>
              <w:t>-2</w:t>
            </w:r>
            <w:r w:rsidR="0086301E">
              <w:rPr>
                <w:color w:val="000000" w:themeColor="text1"/>
                <w:spacing w:val="-2"/>
                <w:sz w:val="16"/>
              </w:rPr>
              <w:t>5</w:t>
            </w:r>
          </w:p>
        </w:tc>
        <w:tc>
          <w:tcPr>
            <w:tcW w:w="3118" w:type="dxa"/>
            <w:tcBorders>
              <w:bottom w:val="single" w:sz="4" w:space="0" w:color="auto"/>
            </w:tcBorders>
          </w:tcPr>
          <w:p w14:paraId="6E28F96B" w14:textId="77777777" w:rsidR="00F45E09" w:rsidRPr="00A76734" w:rsidRDefault="00F45E09" w:rsidP="00C13FE3">
            <w:pPr>
              <w:pStyle w:val="TableParagraph"/>
              <w:spacing w:before="4" w:after="40" w:line="200" w:lineRule="atLeast"/>
              <w:ind w:left="108" w:right="194"/>
              <w:rPr>
                <w:i/>
                <w:color w:val="000000" w:themeColor="text1"/>
                <w:sz w:val="16"/>
              </w:rPr>
            </w:pPr>
            <w:r w:rsidRPr="00A76734">
              <w:rPr>
                <w:color w:val="000000" w:themeColor="text1"/>
                <w:sz w:val="16"/>
              </w:rPr>
              <w:t>High level of satisfaction for Austrade’s clients with Austrade’s services.</w:t>
            </w:r>
          </w:p>
        </w:tc>
        <w:tc>
          <w:tcPr>
            <w:tcW w:w="2692" w:type="dxa"/>
            <w:tcBorders>
              <w:bottom w:val="single" w:sz="4" w:space="0" w:color="auto"/>
            </w:tcBorders>
          </w:tcPr>
          <w:p w14:paraId="34F560DA" w14:textId="77777777" w:rsidR="00F45E09" w:rsidRPr="00A76734" w:rsidRDefault="00F45E09" w:rsidP="00C13FE3">
            <w:pPr>
              <w:pStyle w:val="TableParagraph"/>
              <w:spacing w:before="20" w:after="40"/>
              <w:ind w:left="108" w:right="309"/>
              <w:rPr>
                <w:i/>
                <w:color w:val="000000" w:themeColor="text1"/>
                <w:sz w:val="16"/>
              </w:rPr>
            </w:pPr>
            <w:r w:rsidRPr="00A76734">
              <w:rPr>
                <w:color w:val="000000" w:themeColor="text1"/>
                <w:sz w:val="16"/>
              </w:rPr>
              <w:t>Maintained or improved compared to the previous year.</w:t>
            </w:r>
          </w:p>
        </w:tc>
      </w:tr>
      <w:tr w:rsidR="00A76734" w:rsidRPr="00A76734" w14:paraId="6BF88A73" w14:textId="77777777" w:rsidTr="006D5555">
        <w:trPr>
          <w:trHeight w:val="796"/>
        </w:trPr>
        <w:tc>
          <w:tcPr>
            <w:tcW w:w="1987" w:type="dxa"/>
            <w:tcBorders>
              <w:top w:val="single" w:sz="4" w:space="0" w:color="auto"/>
            </w:tcBorders>
          </w:tcPr>
          <w:p w14:paraId="18931F4E" w14:textId="13AD52E5" w:rsidR="00F45E09" w:rsidRPr="00A76734" w:rsidRDefault="00F45E09" w:rsidP="00C91485">
            <w:pPr>
              <w:pStyle w:val="TableParagraph"/>
              <w:spacing w:before="20" w:line="268" w:lineRule="auto"/>
              <w:ind w:left="107" w:right="105"/>
              <w:rPr>
                <w:color w:val="000000" w:themeColor="text1"/>
                <w:sz w:val="16"/>
              </w:rPr>
            </w:pPr>
            <w:r w:rsidRPr="00A76734">
              <w:rPr>
                <w:color w:val="000000" w:themeColor="text1"/>
                <w:sz w:val="16"/>
              </w:rPr>
              <w:t>Forward</w:t>
            </w:r>
            <w:r w:rsidRPr="00A76734">
              <w:rPr>
                <w:color w:val="000000" w:themeColor="text1"/>
                <w:spacing w:val="-12"/>
                <w:sz w:val="16"/>
              </w:rPr>
              <w:t xml:space="preserve"> </w:t>
            </w:r>
            <w:r w:rsidRPr="00A76734">
              <w:rPr>
                <w:color w:val="000000" w:themeColor="text1"/>
                <w:sz w:val="16"/>
              </w:rPr>
              <w:t xml:space="preserve">Estimates </w:t>
            </w:r>
            <w:r w:rsidRPr="00A76734">
              <w:rPr>
                <w:color w:val="000000" w:themeColor="text1"/>
                <w:spacing w:val="-2"/>
                <w:sz w:val="16"/>
              </w:rPr>
              <w:t>202</w:t>
            </w:r>
            <w:r w:rsidR="0086301E">
              <w:rPr>
                <w:color w:val="000000" w:themeColor="text1"/>
                <w:spacing w:val="-2"/>
                <w:sz w:val="16"/>
              </w:rPr>
              <w:t>5</w:t>
            </w:r>
            <w:r w:rsidRPr="00A76734">
              <w:rPr>
                <w:color w:val="000000" w:themeColor="text1"/>
                <w:spacing w:val="-2"/>
                <w:sz w:val="16"/>
              </w:rPr>
              <w:t>-2</w:t>
            </w:r>
            <w:r w:rsidR="0086301E">
              <w:rPr>
                <w:color w:val="000000" w:themeColor="text1"/>
                <w:spacing w:val="-2"/>
                <w:sz w:val="16"/>
              </w:rPr>
              <w:t>8</w:t>
            </w:r>
          </w:p>
        </w:tc>
        <w:tc>
          <w:tcPr>
            <w:tcW w:w="3118" w:type="dxa"/>
            <w:tcBorders>
              <w:top w:val="single" w:sz="4" w:space="0" w:color="auto"/>
            </w:tcBorders>
          </w:tcPr>
          <w:p w14:paraId="5F24C4C8" w14:textId="0AEB5963" w:rsidR="00F45E09" w:rsidRPr="00A76734" w:rsidRDefault="00F45E09" w:rsidP="00C91485">
            <w:pPr>
              <w:pStyle w:val="TableParagraph"/>
              <w:spacing w:before="20" w:line="180" w:lineRule="atLeast"/>
              <w:ind w:left="107" w:right="676"/>
              <w:rPr>
                <w:i/>
                <w:color w:val="000000" w:themeColor="text1"/>
                <w:sz w:val="16"/>
              </w:rPr>
            </w:pPr>
            <w:r w:rsidRPr="00A76734">
              <w:rPr>
                <w:bCs/>
                <w:color w:val="000000" w:themeColor="text1"/>
                <w:sz w:val="16"/>
                <w:szCs w:val="16"/>
              </w:rPr>
              <w:t>As per 202</w:t>
            </w:r>
            <w:r w:rsidR="0086301E">
              <w:rPr>
                <w:bCs/>
                <w:color w:val="000000" w:themeColor="text1"/>
                <w:sz w:val="16"/>
                <w:szCs w:val="16"/>
              </w:rPr>
              <w:t>4</w:t>
            </w:r>
            <w:r w:rsidRPr="00A76734">
              <w:rPr>
                <w:bCs/>
                <w:color w:val="000000" w:themeColor="text1"/>
                <w:sz w:val="16"/>
                <w:szCs w:val="16"/>
              </w:rPr>
              <w:t>-2</w:t>
            </w:r>
            <w:r w:rsidR="0086301E">
              <w:rPr>
                <w:bCs/>
                <w:color w:val="000000" w:themeColor="text1"/>
                <w:sz w:val="16"/>
                <w:szCs w:val="16"/>
              </w:rPr>
              <w:t>5</w:t>
            </w:r>
          </w:p>
        </w:tc>
        <w:tc>
          <w:tcPr>
            <w:tcW w:w="2692" w:type="dxa"/>
            <w:tcBorders>
              <w:top w:val="single" w:sz="4" w:space="0" w:color="auto"/>
            </w:tcBorders>
          </w:tcPr>
          <w:p w14:paraId="209E1782" w14:textId="42A8011B" w:rsidR="00F45E09" w:rsidRPr="00A76734" w:rsidRDefault="00F45E09" w:rsidP="00C91485">
            <w:pPr>
              <w:pStyle w:val="TableParagraph"/>
              <w:spacing w:before="20"/>
              <w:ind w:left="107" w:right="309"/>
              <w:rPr>
                <w:i/>
                <w:color w:val="000000" w:themeColor="text1"/>
                <w:sz w:val="16"/>
              </w:rPr>
            </w:pPr>
            <w:r w:rsidRPr="00A76734">
              <w:rPr>
                <w:iCs/>
                <w:color w:val="000000" w:themeColor="text1"/>
                <w:sz w:val="16"/>
                <w:szCs w:val="16"/>
              </w:rPr>
              <w:t>As per 202</w:t>
            </w:r>
            <w:r w:rsidR="0086301E">
              <w:rPr>
                <w:iCs/>
                <w:color w:val="000000" w:themeColor="text1"/>
                <w:sz w:val="16"/>
                <w:szCs w:val="16"/>
              </w:rPr>
              <w:t>4</w:t>
            </w:r>
            <w:r w:rsidRPr="00A76734">
              <w:rPr>
                <w:iCs/>
                <w:color w:val="000000" w:themeColor="text1"/>
                <w:sz w:val="16"/>
                <w:szCs w:val="16"/>
              </w:rPr>
              <w:t>-2</w:t>
            </w:r>
            <w:r w:rsidR="0086301E">
              <w:rPr>
                <w:iCs/>
                <w:color w:val="000000" w:themeColor="text1"/>
                <w:sz w:val="16"/>
                <w:szCs w:val="16"/>
              </w:rPr>
              <w:t>5</w:t>
            </w:r>
          </w:p>
        </w:tc>
      </w:tr>
    </w:tbl>
    <w:p w14:paraId="3FBE7917" w14:textId="77777777" w:rsidR="00EF6879" w:rsidRPr="00A76734" w:rsidRDefault="00EF6879" w:rsidP="00EF6879">
      <w:pPr>
        <w:pStyle w:val="Source"/>
        <w:rPr>
          <w:color w:val="000000" w:themeColor="text1"/>
        </w:rPr>
      </w:pPr>
      <w:r w:rsidRPr="00A76734">
        <w:rPr>
          <w:rFonts w:cs="Arial"/>
          <w:color w:val="000000" w:themeColor="text1"/>
        </w:rPr>
        <w:t xml:space="preserve">Table continued on the next page. </w:t>
      </w:r>
    </w:p>
    <w:p w14:paraId="1C0B6845" w14:textId="380517B1" w:rsidR="00F45E09" w:rsidRPr="00A76734" w:rsidRDefault="00F45E09" w:rsidP="00955559">
      <w:pPr>
        <w:rPr>
          <w:color w:val="000000" w:themeColor="text1"/>
        </w:rPr>
      </w:pPr>
    </w:p>
    <w:p w14:paraId="366AB4B2" w14:textId="34FD3528" w:rsidR="00F45E09" w:rsidRPr="00A76734" w:rsidRDefault="00F45E09">
      <w:pPr>
        <w:spacing w:before="0" w:after="0" w:line="240" w:lineRule="auto"/>
        <w:rPr>
          <w:color w:val="000000" w:themeColor="text1"/>
        </w:rPr>
      </w:pPr>
      <w:r w:rsidRPr="00A76734">
        <w:rPr>
          <w:color w:val="000000" w:themeColor="text1"/>
        </w:rPr>
        <w:br w:type="page"/>
      </w:r>
    </w:p>
    <w:tbl>
      <w:tblPr>
        <w:tblW w:w="77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7"/>
        <w:gridCol w:w="3118"/>
        <w:gridCol w:w="2692"/>
      </w:tblGrid>
      <w:tr w:rsidR="00A76734" w:rsidRPr="00A76734" w14:paraId="3960C02A" w14:textId="77777777" w:rsidTr="001F2754">
        <w:trPr>
          <w:trHeight w:val="633"/>
        </w:trPr>
        <w:tc>
          <w:tcPr>
            <w:tcW w:w="7797" w:type="dxa"/>
            <w:gridSpan w:val="3"/>
            <w:tcBorders>
              <w:bottom w:val="single" w:sz="4" w:space="0" w:color="000000"/>
            </w:tcBorders>
            <w:shd w:val="clear" w:color="auto" w:fill="F1F1F1"/>
          </w:tcPr>
          <w:p w14:paraId="36BE30BE" w14:textId="77777777" w:rsidR="00F45E09" w:rsidRPr="00A76734" w:rsidRDefault="00F45E09" w:rsidP="001F2754">
            <w:pPr>
              <w:spacing w:before="40" w:after="120"/>
              <w:ind w:left="142"/>
              <w:rPr>
                <w:rFonts w:ascii="Arial" w:hAnsi="Arial" w:cs="Arial"/>
                <w:b/>
                <w:color w:val="000000" w:themeColor="text1"/>
                <w:sz w:val="16"/>
                <w:szCs w:val="16"/>
              </w:rPr>
            </w:pPr>
            <w:r w:rsidRPr="00A76734">
              <w:rPr>
                <w:rFonts w:ascii="Arial" w:hAnsi="Arial" w:cs="Arial"/>
                <w:b/>
                <w:color w:val="000000" w:themeColor="text1"/>
                <w:sz w:val="16"/>
                <w:szCs w:val="16"/>
              </w:rPr>
              <w:lastRenderedPageBreak/>
              <w:t>Program 1.2 – Programs to support Australian exporters to expand internationally, attract productive international investment, and grow the visitor economy</w:t>
            </w:r>
          </w:p>
        </w:tc>
      </w:tr>
      <w:tr w:rsidR="00A76734" w:rsidRPr="00A76734" w14:paraId="0EB96A9F" w14:textId="77777777" w:rsidTr="006D5555">
        <w:trPr>
          <w:trHeight w:val="896"/>
        </w:trPr>
        <w:tc>
          <w:tcPr>
            <w:tcW w:w="1987" w:type="dxa"/>
            <w:tcBorders>
              <w:bottom w:val="single" w:sz="4" w:space="0" w:color="auto"/>
            </w:tcBorders>
          </w:tcPr>
          <w:p w14:paraId="4FB8EE9D" w14:textId="77777777" w:rsidR="00F45E09" w:rsidRPr="00A76734" w:rsidRDefault="00F45E09" w:rsidP="00C91485">
            <w:pPr>
              <w:pStyle w:val="TableParagraph"/>
              <w:spacing w:before="41"/>
              <w:ind w:left="107"/>
              <w:rPr>
                <w:b/>
                <w:color w:val="000000" w:themeColor="text1"/>
                <w:sz w:val="16"/>
                <w:szCs w:val="16"/>
              </w:rPr>
            </w:pPr>
            <w:r w:rsidRPr="00A76734">
              <w:rPr>
                <w:b/>
                <w:color w:val="000000" w:themeColor="text1"/>
                <w:sz w:val="16"/>
                <w:szCs w:val="16"/>
              </w:rPr>
              <w:t>Key</w:t>
            </w:r>
            <w:r w:rsidRPr="00A76734">
              <w:rPr>
                <w:b/>
                <w:color w:val="000000" w:themeColor="text1"/>
                <w:spacing w:val="-4"/>
                <w:sz w:val="16"/>
                <w:szCs w:val="16"/>
              </w:rPr>
              <w:t xml:space="preserve"> </w:t>
            </w:r>
            <w:r w:rsidRPr="00A76734">
              <w:rPr>
                <w:b/>
                <w:color w:val="000000" w:themeColor="text1"/>
                <w:sz w:val="16"/>
                <w:szCs w:val="16"/>
              </w:rPr>
              <w:t>Activities</w:t>
            </w:r>
          </w:p>
        </w:tc>
        <w:tc>
          <w:tcPr>
            <w:tcW w:w="5810" w:type="dxa"/>
            <w:gridSpan w:val="2"/>
            <w:tcBorders>
              <w:bottom w:val="single" w:sz="4" w:space="0" w:color="auto"/>
            </w:tcBorders>
          </w:tcPr>
          <w:p w14:paraId="04A6D155" w14:textId="77777777" w:rsidR="00F45E09" w:rsidRPr="00A76734" w:rsidRDefault="00F45E09" w:rsidP="001F2754">
            <w:pPr>
              <w:spacing w:before="40" w:line="276" w:lineRule="auto"/>
              <w:ind w:left="136"/>
              <w:contextualSpacing/>
              <w:textAlignment w:val="baseline"/>
              <w:rPr>
                <w:rFonts w:ascii="Arial" w:hAnsi="Arial" w:cs="Arial"/>
                <w:color w:val="000000" w:themeColor="text1"/>
                <w:sz w:val="16"/>
                <w:szCs w:val="16"/>
              </w:rPr>
            </w:pPr>
            <w:r w:rsidRPr="00A76734">
              <w:rPr>
                <w:rFonts w:ascii="Arial" w:hAnsi="Arial" w:cs="Arial"/>
                <w:color w:val="000000" w:themeColor="text1"/>
                <w:sz w:val="16"/>
                <w:szCs w:val="16"/>
              </w:rPr>
              <w:t>Support Australian businesses to expand internationally through program support, including through the Export Market Development Grants (EMDG) Scheme.</w:t>
            </w:r>
          </w:p>
        </w:tc>
      </w:tr>
      <w:tr w:rsidR="00A76734" w:rsidRPr="00A76734" w14:paraId="3053CB1F" w14:textId="77777777" w:rsidTr="006D5555">
        <w:trPr>
          <w:trHeight w:val="312"/>
        </w:trPr>
        <w:tc>
          <w:tcPr>
            <w:tcW w:w="1987" w:type="dxa"/>
            <w:tcBorders>
              <w:top w:val="single" w:sz="4" w:space="0" w:color="auto"/>
              <w:left w:val="single" w:sz="4" w:space="0" w:color="auto"/>
              <w:bottom w:val="single" w:sz="4" w:space="0" w:color="auto"/>
              <w:right w:val="single" w:sz="4" w:space="0" w:color="auto"/>
            </w:tcBorders>
          </w:tcPr>
          <w:p w14:paraId="7A3C06D6" w14:textId="77777777" w:rsidR="00F45E09" w:rsidRPr="00A76734" w:rsidRDefault="00F45E09" w:rsidP="00C91485">
            <w:pPr>
              <w:pStyle w:val="TableParagraph"/>
              <w:spacing w:before="43"/>
              <w:ind w:left="107"/>
              <w:rPr>
                <w:b/>
                <w:color w:val="000000" w:themeColor="text1"/>
                <w:sz w:val="16"/>
                <w:szCs w:val="16"/>
              </w:rPr>
            </w:pPr>
            <w:r w:rsidRPr="00A76734">
              <w:rPr>
                <w:b/>
                <w:color w:val="000000" w:themeColor="text1"/>
                <w:spacing w:val="-4"/>
                <w:sz w:val="16"/>
                <w:szCs w:val="16"/>
              </w:rPr>
              <w:t>Year</w:t>
            </w:r>
          </w:p>
        </w:tc>
        <w:tc>
          <w:tcPr>
            <w:tcW w:w="3118" w:type="dxa"/>
            <w:tcBorders>
              <w:top w:val="single" w:sz="4" w:space="0" w:color="auto"/>
              <w:left w:val="single" w:sz="4" w:space="0" w:color="auto"/>
              <w:bottom w:val="single" w:sz="4" w:space="0" w:color="auto"/>
              <w:right w:val="single" w:sz="4" w:space="0" w:color="auto"/>
            </w:tcBorders>
          </w:tcPr>
          <w:p w14:paraId="6BDF3EF8" w14:textId="77777777" w:rsidR="00F45E09" w:rsidRPr="00A76734" w:rsidRDefault="00F45E09" w:rsidP="00C91485">
            <w:pPr>
              <w:pStyle w:val="TableParagraph"/>
              <w:spacing w:before="43"/>
              <w:ind w:left="107"/>
              <w:rPr>
                <w:b/>
                <w:color w:val="000000" w:themeColor="text1"/>
                <w:sz w:val="16"/>
                <w:szCs w:val="16"/>
              </w:rPr>
            </w:pPr>
            <w:r w:rsidRPr="00A76734">
              <w:rPr>
                <w:b/>
                <w:color w:val="000000" w:themeColor="text1"/>
                <w:sz w:val="16"/>
                <w:szCs w:val="16"/>
              </w:rPr>
              <w:t>Performance</w:t>
            </w:r>
            <w:r w:rsidRPr="00A76734">
              <w:rPr>
                <w:b/>
                <w:color w:val="000000" w:themeColor="text1"/>
                <w:spacing w:val="-10"/>
                <w:sz w:val="16"/>
                <w:szCs w:val="16"/>
              </w:rPr>
              <w:t xml:space="preserve"> </w:t>
            </w:r>
            <w:r w:rsidRPr="00A76734">
              <w:rPr>
                <w:b/>
                <w:color w:val="000000" w:themeColor="text1"/>
                <w:spacing w:val="-2"/>
                <w:sz w:val="16"/>
                <w:szCs w:val="16"/>
              </w:rPr>
              <w:t>measures</w:t>
            </w:r>
          </w:p>
        </w:tc>
        <w:tc>
          <w:tcPr>
            <w:tcW w:w="2692" w:type="dxa"/>
            <w:tcBorders>
              <w:top w:val="single" w:sz="4" w:space="0" w:color="auto"/>
              <w:left w:val="single" w:sz="4" w:space="0" w:color="auto"/>
              <w:bottom w:val="single" w:sz="4" w:space="0" w:color="auto"/>
              <w:right w:val="single" w:sz="4" w:space="0" w:color="auto"/>
            </w:tcBorders>
          </w:tcPr>
          <w:p w14:paraId="6E7F9A6A" w14:textId="77777777" w:rsidR="00F45E09" w:rsidRPr="00A76734" w:rsidRDefault="00F45E09" w:rsidP="00C91485">
            <w:pPr>
              <w:pStyle w:val="TableParagraph"/>
              <w:spacing w:before="43"/>
              <w:ind w:left="107"/>
              <w:rPr>
                <w:b/>
                <w:color w:val="000000" w:themeColor="text1"/>
                <w:sz w:val="16"/>
                <w:szCs w:val="16"/>
              </w:rPr>
            </w:pPr>
            <w:r w:rsidRPr="00A76734">
              <w:rPr>
                <w:b/>
                <w:color w:val="000000" w:themeColor="text1"/>
                <w:sz w:val="16"/>
                <w:szCs w:val="16"/>
              </w:rPr>
              <w:t>Expected</w:t>
            </w:r>
            <w:r w:rsidRPr="00A76734">
              <w:rPr>
                <w:b/>
                <w:color w:val="000000" w:themeColor="text1"/>
                <w:spacing w:val="-9"/>
                <w:sz w:val="16"/>
                <w:szCs w:val="16"/>
              </w:rPr>
              <w:t xml:space="preserve"> </w:t>
            </w:r>
            <w:r w:rsidRPr="00A76734">
              <w:rPr>
                <w:b/>
                <w:color w:val="000000" w:themeColor="text1"/>
                <w:sz w:val="16"/>
                <w:szCs w:val="16"/>
              </w:rPr>
              <w:t>Performance</w:t>
            </w:r>
            <w:r w:rsidRPr="00A76734">
              <w:rPr>
                <w:b/>
                <w:color w:val="000000" w:themeColor="text1"/>
                <w:spacing w:val="-6"/>
                <w:sz w:val="16"/>
                <w:szCs w:val="16"/>
              </w:rPr>
              <w:t xml:space="preserve"> </w:t>
            </w:r>
            <w:r w:rsidRPr="00A76734">
              <w:rPr>
                <w:b/>
                <w:color w:val="000000" w:themeColor="text1"/>
                <w:spacing w:val="-2"/>
                <w:sz w:val="16"/>
                <w:szCs w:val="16"/>
              </w:rPr>
              <w:t>Results</w:t>
            </w:r>
          </w:p>
        </w:tc>
      </w:tr>
      <w:tr w:rsidR="00A76734" w:rsidRPr="00A76734" w14:paraId="496ADD28" w14:textId="77777777" w:rsidTr="006D5555">
        <w:trPr>
          <w:trHeight w:val="1083"/>
        </w:trPr>
        <w:tc>
          <w:tcPr>
            <w:tcW w:w="1987" w:type="dxa"/>
            <w:tcBorders>
              <w:top w:val="single" w:sz="4" w:space="0" w:color="auto"/>
            </w:tcBorders>
          </w:tcPr>
          <w:p w14:paraId="19A42C6C" w14:textId="0199B405" w:rsidR="00F45E09" w:rsidRPr="00A76734" w:rsidRDefault="00DE7834" w:rsidP="00C91485">
            <w:pPr>
              <w:pStyle w:val="TableParagraph"/>
              <w:spacing w:before="20"/>
              <w:ind w:left="107"/>
              <w:rPr>
                <w:color w:val="000000" w:themeColor="text1"/>
                <w:sz w:val="16"/>
                <w:szCs w:val="16"/>
              </w:rPr>
            </w:pPr>
            <w:r w:rsidRPr="00A76734">
              <w:rPr>
                <w:color w:val="000000" w:themeColor="text1"/>
                <w:sz w:val="16"/>
                <w:szCs w:val="16"/>
              </w:rPr>
              <w:t>Current</w:t>
            </w:r>
            <w:r w:rsidR="00F45E09" w:rsidRPr="00A76734">
              <w:rPr>
                <w:color w:val="000000" w:themeColor="text1"/>
                <w:spacing w:val="-2"/>
                <w:sz w:val="16"/>
                <w:szCs w:val="16"/>
              </w:rPr>
              <w:t xml:space="preserve"> </w:t>
            </w:r>
            <w:r w:rsidR="00F45E09" w:rsidRPr="00A76734">
              <w:rPr>
                <w:color w:val="000000" w:themeColor="text1"/>
                <w:spacing w:val="-4"/>
                <w:sz w:val="16"/>
                <w:szCs w:val="16"/>
              </w:rPr>
              <w:t>year</w:t>
            </w:r>
          </w:p>
          <w:p w14:paraId="4A48DBA3" w14:textId="77777777" w:rsidR="00F45E09" w:rsidRPr="00A76734" w:rsidRDefault="00F45E09" w:rsidP="00C91485">
            <w:pPr>
              <w:pStyle w:val="TableParagraph"/>
              <w:spacing w:before="7"/>
              <w:rPr>
                <w:rFonts w:ascii="Book Antiqua"/>
                <w:i/>
                <w:color w:val="000000" w:themeColor="text1"/>
                <w:sz w:val="18"/>
                <w:szCs w:val="18"/>
              </w:rPr>
            </w:pPr>
          </w:p>
          <w:p w14:paraId="681EE317" w14:textId="0F5D0973" w:rsidR="00F45E09" w:rsidRPr="00A76734" w:rsidRDefault="00F45E09" w:rsidP="00C91485">
            <w:pPr>
              <w:pStyle w:val="TableParagraph"/>
              <w:ind w:left="107"/>
              <w:rPr>
                <w:color w:val="000000" w:themeColor="text1"/>
                <w:sz w:val="16"/>
                <w:szCs w:val="16"/>
              </w:rPr>
            </w:pPr>
            <w:r w:rsidRPr="00A76734">
              <w:rPr>
                <w:color w:val="000000" w:themeColor="text1"/>
                <w:spacing w:val="-2"/>
                <w:sz w:val="16"/>
                <w:szCs w:val="16"/>
              </w:rPr>
              <w:t>202</w:t>
            </w:r>
            <w:r w:rsidR="0075725B">
              <w:rPr>
                <w:color w:val="000000" w:themeColor="text1"/>
                <w:spacing w:val="-2"/>
                <w:sz w:val="16"/>
                <w:szCs w:val="16"/>
              </w:rPr>
              <w:t>3</w:t>
            </w:r>
            <w:r w:rsidRPr="00A76734">
              <w:rPr>
                <w:color w:val="000000" w:themeColor="text1"/>
                <w:spacing w:val="-2"/>
                <w:sz w:val="16"/>
                <w:szCs w:val="16"/>
              </w:rPr>
              <w:t>-</w:t>
            </w:r>
            <w:r w:rsidRPr="00A76734">
              <w:rPr>
                <w:color w:val="000000" w:themeColor="text1"/>
                <w:spacing w:val="-5"/>
                <w:sz w:val="16"/>
                <w:szCs w:val="16"/>
              </w:rPr>
              <w:t>2</w:t>
            </w:r>
            <w:r w:rsidR="0075725B">
              <w:rPr>
                <w:color w:val="000000" w:themeColor="text1"/>
                <w:spacing w:val="-5"/>
                <w:sz w:val="16"/>
                <w:szCs w:val="16"/>
              </w:rPr>
              <w:t>4</w:t>
            </w:r>
          </w:p>
        </w:tc>
        <w:tc>
          <w:tcPr>
            <w:tcW w:w="3118" w:type="dxa"/>
            <w:tcBorders>
              <w:top w:val="single" w:sz="4" w:space="0" w:color="auto"/>
            </w:tcBorders>
          </w:tcPr>
          <w:p w14:paraId="03FAD242" w14:textId="77777777" w:rsidR="00F45E09" w:rsidRPr="00A76734" w:rsidRDefault="00F45E09" w:rsidP="00C13FE3">
            <w:pPr>
              <w:pStyle w:val="TableParagraph"/>
              <w:spacing w:before="20"/>
              <w:ind w:left="107" w:right="142" w:hanging="1"/>
              <w:rPr>
                <w:color w:val="000000" w:themeColor="text1"/>
                <w:sz w:val="16"/>
                <w:szCs w:val="16"/>
              </w:rPr>
            </w:pPr>
            <w:r w:rsidRPr="00A76734">
              <w:rPr>
                <w:color w:val="000000" w:themeColor="text1"/>
                <w:sz w:val="16"/>
                <w:szCs w:val="16"/>
              </w:rPr>
              <w:t>EMDG recipients report that the receipt of a grant encouraged them to increase their export promotion activities.</w:t>
            </w:r>
          </w:p>
        </w:tc>
        <w:tc>
          <w:tcPr>
            <w:tcW w:w="2692" w:type="dxa"/>
            <w:tcBorders>
              <w:top w:val="single" w:sz="4" w:space="0" w:color="auto"/>
            </w:tcBorders>
          </w:tcPr>
          <w:p w14:paraId="4860ECD7" w14:textId="77777777" w:rsidR="00F45E09" w:rsidRPr="00A76734" w:rsidRDefault="00F45E09" w:rsidP="00C13FE3">
            <w:pPr>
              <w:pStyle w:val="TableParagraph"/>
              <w:spacing w:before="20" w:after="40"/>
              <w:ind w:left="108" w:right="306"/>
              <w:rPr>
                <w:color w:val="000000" w:themeColor="text1"/>
                <w:sz w:val="16"/>
                <w:szCs w:val="16"/>
              </w:rPr>
            </w:pPr>
            <w:r w:rsidRPr="00A76734">
              <w:rPr>
                <w:color w:val="000000" w:themeColor="text1"/>
                <w:sz w:val="16"/>
                <w:szCs w:val="16"/>
              </w:rPr>
              <w:t>At least 70 per cent of EMDG recipients to report that receiving a grant encouraged them to increase their export promotion activities.</w:t>
            </w:r>
          </w:p>
        </w:tc>
      </w:tr>
      <w:tr w:rsidR="00A76734" w:rsidRPr="00A76734" w14:paraId="322D972D" w14:textId="77777777" w:rsidTr="00F45E09">
        <w:trPr>
          <w:trHeight w:val="266"/>
        </w:trPr>
        <w:tc>
          <w:tcPr>
            <w:tcW w:w="1987" w:type="dxa"/>
          </w:tcPr>
          <w:p w14:paraId="23B31456" w14:textId="77777777" w:rsidR="00F45E09" w:rsidRPr="00A76734" w:rsidRDefault="00F45E09" w:rsidP="00C91485">
            <w:pPr>
              <w:pStyle w:val="TableParagraph"/>
              <w:spacing w:before="44"/>
              <w:ind w:left="107"/>
              <w:rPr>
                <w:b/>
                <w:color w:val="000000" w:themeColor="text1"/>
                <w:sz w:val="16"/>
                <w:szCs w:val="16"/>
              </w:rPr>
            </w:pPr>
            <w:r w:rsidRPr="00A76734">
              <w:rPr>
                <w:b/>
                <w:color w:val="000000" w:themeColor="text1"/>
                <w:spacing w:val="-4"/>
                <w:sz w:val="16"/>
                <w:szCs w:val="16"/>
              </w:rPr>
              <w:t>Year</w:t>
            </w:r>
          </w:p>
        </w:tc>
        <w:tc>
          <w:tcPr>
            <w:tcW w:w="3118" w:type="dxa"/>
          </w:tcPr>
          <w:p w14:paraId="281FE1B0" w14:textId="77777777" w:rsidR="00F45E09" w:rsidRPr="00A76734" w:rsidRDefault="00F45E09" w:rsidP="00C91485">
            <w:pPr>
              <w:pStyle w:val="TableParagraph"/>
              <w:spacing w:before="44"/>
              <w:ind w:left="107"/>
              <w:rPr>
                <w:b/>
                <w:color w:val="000000" w:themeColor="text1"/>
                <w:sz w:val="16"/>
                <w:szCs w:val="16"/>
              </w:rPr>
            </w:pPr>
            <w:r w:rsidRPr="00A76734">
              <w:rPr>
                <w:b/>
                <w:color w:val="000000" w:themeColor="text1"/>
                <w:sz w:val="16"/>
                <w:szCs w:val="16"/>
              </w:rPr>
              <w:t>Performance</w:t>
            </w:r>
            <w:r w:rsidRPr="00A76734">
              <w:rPr>
                <w:b/>
                <w:color w:val="000000" w:themeColor="text1"/>
                <w:spacing w:val="-10"/>
                <w:sz w:val="16"/>
                <w:szCs w:val="16"/>
              </w:rPr>
              <w:t xml:space="preserve"> </w:t>
            </w:r>
            <w:r w:rsidRPr="00A76734">
              <w:rPr>
                <w:b/>
                <w:color w:val="000000" w:themeColor="text1"/>
                <w:spacing w:val="-2"/>
                <w:sz w:val="16"/>
                <w:szCs w:val="16"/>
              </w:rPr>
              <w:t>measures</w:t>
            </w:r>
          </w:p>
        </w:tc>
        <w:tc>
          <w:tcPr>
            <w:tcW w:w="2692" w:type="dxa"/>
          </w:tcPr>
          <w:p w14:paraId="6A21EA7C" w14:textId="77777777" w:rsidR="00F45E09" w:rsidRPr="00A76734" w:rsidRDefault="00F45E09" w:rsidP="00C91485">
            <w:pPr>
              <w:pStyle w:val="TableParagraph"/>
              <w:spacing w:before="44"/>
              <w:ind w:left="107"/>
              <w:rPr>
                <w:b/>
                <w:color w:val="000000" w:themeColor="text1"/>
                <w:sz w:val="16"/>
                <w:szCs w:val="16"/>
              </w:rPr>
            </w:pPr>
            <w:r w:rsidRPr="00A76734">
              <w:rPr>
                <w:b/>
                <w:color w:val="000000" w:themeColor="text1"/>
                <w:sz w:val="16"/>
                <w:szCs w:val="16"/>
              </w:rPr>
              <w:t>Planned</w:t>
            </w:r>
            <w:r w:rsidRPr="00A76734">
              <w:rPr>
                <w:b/>
                <w:color w:val="000000" w:themeColor="text1"/>
                <w:spacing w:val="-8"/>
                <w:sz w:val="16"/>
                <w:szCs w:val="16"/>
              </w:rPr>
              <w:t xml:space="preserve"> </w:t>
            </w:r>
            <w:r w:rsidRPr="00A76734">
              <w:rPr>
                <w:b/>
                <w:color w:val="000000" w:themeColor="text1"/>
                <w:sz w:val="16"/>
                <w:szCs w:val="16"/>
              </w:rPr>
              <w:t>Performance</w:t>
            </w:r>
            <w:r w:rsidRPr="00A76734">
              <w:rPr>
                <w:b/>
                <w:color w:val="000000" w:themeColor="text1"/>
                <w:spacing w:val="-6"/>
                <w:sz w:val="16"/>
                <w:szCs w:val="16"/>
              </w:rPr>
              <w:t xml:space="preserve"> </w:t>
            </w:r>
            <w:r w:rsidRPr="00A76734">
              <w:rPr>
                <w:b/>
                <w:color w:val="000000" w:themeColor="text1"/>
                <w:spacing w:val="-2"/>
                <w:sz w:val="16"/>
                <w:szCs w:val="16"/>
              </w:rPr>
              <w:t>Results</w:t>
            </w:r>
          </w:p>
        </w:tc>
      </w:tr>
      <w:tr w:rsidR="00A76734" w:rsidRPr="00A76734" w14:paraId="70C6B293" w14:textId="77777777" w:rsidTr="006D5555">
        <w:trPr>
          <w:trHeight w:val="846"/>
        </w:trPr>
        <w:tc>
          <w:tcPr>
            <w:tcW w:w="1987" w:type="dxa"/>
            <w:tcBorders>
              <w:bottom w:val="single" w:sz="4" w:space="0" w:color="auto"/>
            </w:tcBorders>
          </w:tcPr>
          <w:p w14:paraId="1A0D640E" w14:textId="5DD68B23" w:rsidR="00F45E09" w:rsidRPr="00A76734" w:rsidRDefault="00F45E09" w:rsidP="00C91485">
            <w:pPr>
              <w:pStyle w:val="TableParagraph"/>
              <w:spacing w:before="4" w:line="200" w:lineRule="atLeast"/>
              <w:ind w:left="107" w:right="549"/>
              <w:rPr>
                <w:color w:val="000000" w:themeColor="text1"/>
                <w:sz w:val="16"/>
                <w:szCs w:val="16"/>
              </w:rPr>
            </w:pPr>
            <w:r w:rsidRPr="00A76734">
              <w:rPr>
                <w:color w:val="000000" w:themeColor="text1"/>
                <w:sz w:val="16"/>
                <w:szCs w:val="16"/>
              </w:rPr>
              <w:t>Budget</w:t>
            </w:r>
            <w:r w:rsidRPr="00A76734">
              <w:rPr>
                <w:color w:val="000000" w:themeColor="text1"/>
                <w:spacing w:val="-12"/>
                <w:sz w:val="16"/>
                <w:szCs w:val="16"/>
              </w:rPr>
              <w:t xml:space="preserve"> </w:t>
            </w:r>
            <w:r w:rsidRPr="00A76734">
              <w:rPr>
                <w:color w:val="000000" w:themeColor="text1"/>
                <w:sz w:val="16"/>
                <w:szCs w:val="16"/>
              </w:rPr>
              <w:t xml:space="preserve">Year </w:t>
            </w:r>
            <w:r w:rsidRPr="00A76734">
              <w:rPr>
                <w:color w:val="000000" w:themeColor="text1"/>
                <w:spacing w:val="-2"/>
                <w:sz w:val="16"/>
                <w:szCs w:val="16"/>
              </w:rPr>
              <w:t>202</w:t>
            </w:r>
            <w:r w:rsidR="0075725B">
              <w:rPr>
                <w:color w:val="000000" w:themeColor="text1"/>
                <w:spacing w:val="-2"/>
                <w:sz w:val="16"/>
                <w:szCs w:val="16"/>
              </w:rPr>
              <w:t>4</w:t>
            </w:r>
            <w:r w:rsidRPr="00A76734">
              <w:rPr>
                <w:color w:val="000000" w:themeColor="text1"/>
                <w:spacing w:val="-2"/>
                <w:sz w:val="16"/>
                <w:szCs w:val="16"/>
              </w:rPr>
              <w:t>-2</w:t>
            </w:r>
            <w:r w:rsidR="0075725B">
              <w:rPr>
                <w:color w:val="000000" w:themeColor="text1"/>
                <w:spacing w:val="-2"/>
                <w:sz w:val="16"/>
                <w:szCs w:val="16"/>
              </w:rPr>
              <w:t>5</w:t>
            </w:r>
          </w:p>
        </w:tc>
        <w:tc>
          <w:tcPr>
            <w:tcW w:w="3118" w:type="dxa"/>
            <w:tcBorders>
              <w:bottom w:val="single" w:sz="4" w:space="0" w:color="auto"/>
            </w:tcBorders>
          </w:tcPr>
          <w:p w14:paraId="0EC4243D" w14:textId="77777777" w:rsidR="00F45E09" w:rsidRPr="00A76734" w:rsidRDefault="00F45E09" w:rsidP="00C13FE3">
            <w:pPr>
              <w:pStyle w:val="TableParagraph"/>
              <w:spacing w:before="4" w:after="40" w:line="200" w:lineRule="atLeast"/>
              <w:ind w:left="108" w:right="193"/>
              <w:rPr>
                <w:i/>
                <w:color w:val="000000" w:themeColor="text1"/>
                <w:sz w:val="16"/>
                <w:szCs w:val="16"/>
              </w:rPr>
            </w:pPr>
            <w:r w:rsidRPr="00A76734">
              <w:rPr>
                <w:color w:val="000000" w:themeColor="text1"/>
                <w:sz w:val="16"/>
                <w:szCs w:val="16"/>
              </w:rPr>
              <w:t>EMDG recipients report that the receipt of a grant encouraged them to increase their export promotion activities.</w:t>
            </w:r>
          </w:p>
        </w:tc>
        <w:tc>
          <w:tcPr>
            <w:tcW w:w="2692" w:type="dxa"/>
            <w:tcBorders>
              <w:bottom w:val="single" w:sz="4" w:space="0" w:color="auto"/>
            </w:tcBorders>
          </w:tcPr>
          <w:p w14:paraId="15AEDFA6" w14:textId="77777777" w:rsidR="00F45E09" w:rsidRPr="00A76734" w:rsidRDefault="00F45E09" w:rsidP="00C91485">
            <w:pPr>
              <w:pStyle w:val="TableParagraph"/>
              <w:spacing w:before="20"/>
              <w:ind w:left="107" w:right="309"/>
              <w:rPr>
                <w:i/>
                <w:color w:val="000000" w:themeColor="text1"/>
                <w:sz w:val="16"/>
                <w:szCs w:val="16"/>
              </w:rPr>
            </w:pPr>
            <w:r w:rsidRPr="00A76734">
              <w:rPr>
                <w:color w:val="000000" w:themeColor="text1"/>
                <w:sz w:val="16"/>
                <w:szCs w:val="16"/>
              </w:rPr>
              <w:t>Maintained or improved compared to the previous year.</w:t>
            </w:r>
          </w:p>
        </w:tc>
      </w:tr>
      <w:tr w:rsidR="00A76734" w:rsidRPr="00A76734" w14:paraId="1F7E67C5" w14:textId="77777777" w:rsidTr="006D5555">
        <w:trPr>
          <w:trHeight w:val="796"/>
        </w:trPr>
        <w:tc>
          <w:tcPr>
            <w:tcW w:w="1987" w:type="dxa"/>
            <w:tcBorders>
              <w:top w:val="single" w:sz="4" w:space="0" w:color="auto"/>
            </w:tcBorders>
          </w:tcPr>
          <w:p w14:paraId="11BDB85A" w14:textId="689EA583" w:rsidR="00F45E09" w:rsidRPr="00A76734" w:rsidRDefault="00F45E09" w:rsidP="00C91485">
            <w:pPr>
              <w:pStyle w:val="TableParagraph"/>
              <w:spacing w:before="20" w:line="268" w:lineRule="auto"/>
              <w:ind w:left="107" w:right="105"/>
              <w:rPr>
                <w:color w:val="000000" w:themeColor="text1"/>
                <w:sz w:val="16"/>
                <w:szCs w:val="16"/>
              </w:rPr>
            </w:pPr>
            <w:r w:rsidRPr="00A76734">
              <w:rPr>
                <w:color w:val="000000" w:themeColor="text1"/>
                <w:sz w:val="16"/>
                <w:szCs w:val="16"/>
              </w:rPr>
              <w:t>Forward</w:t>
            </w:r>
            <w:r w:rsidRPr="00A76734">
              <w:rPr>
                <w:color w:val="000000" w:themeColor="text1"/>
                <w:spacing w:val="-12"/>
                <w:sz w:val="16"/>
                <w:szCs w:val="16"/>
              </w:rPr>
              <w:t xml:space="preserve"> </w:t>
            </w:r>
            <w:r w:rsidRPr="00A76734">
              <w:rPr>
                <w:color w:val="000000" w:themeColor="text1"/>
                <w:sz w:val="16"/>
                <w:szCs w:val="16"/>
              </w:rPr>
              <w:t xml:space="preserve">Estimates </w:t>
            </w:r>
            <w:r w:rsidRPr="00A76734">
              <w:rPr>
                <w:color w:val="000000" w:themeColor="text1"/>
                <w:spacing w:val="-2"/>
                <w:sz w:val="16"/>
                <w:szCs w:val="16"/>
              </w:rPr>
              <w:t>202</w:t>
            </w:r>
            <w:r w:rsidR="0075725B">
              <w:rPr>
                <w:color w:val="000000" w:themeColor="text1"/>
                <w:spacing w:val="-2"/>
                <w:sz w:val="16"/>
                <w:szCs w:val="16"/>
              </w:rPr>
              <w:t>5</w:t>
            </w:r>
            <w:r w:rsidRPr="00A76734">
              <w:rPr>
                <w:color w:val="000000" w:themeColor="text1"/>
                <w:spacing w:val="-2"/>
                <w:sz w:val="16"/>
                <w:szCs w:val="16"/>
              </w:rPr>
              <w:t>-2</w:t>
            </w:r>
            <w:r w:rsidR="0075725B">
              <w:rPr>
                <w:color w:val="000000" w:themeColor="text1"/>
                <w:spacing w:val="-2"/>
                <w:sz w:val="16"/>
                <w:szCs w:val="16"/>
              </w:rPr>
              <w:t>8</w:t>
            </w:r>
          </w:p>
        </w:tc>
        <w:tc>
          <w:tcPr>
            <w:tcW w:w="3118" w:type="dxa"/>
            <w:tcBorders>
              <w:top w:val="single" w:sz="4" w:space="0" w:color="auto"/>
            </w:tcBorders>
          </w:tcPr>
          <w:p w14:paraId="36560D6B" w14:textId="2BD0D87E" w:rsidR="00F45E09" w:rsidRPr="00A76734" w:rsidRDefault="00F45E09" w:rsidP="00C91485">
            <w:pPr>
              <w:pStyle w:val="TableParagraph"/>
              <w:spacing w:before="20" w:line="180" w:lineRule="atLeast"/>
              <w:ind w:left="107" w:right="676"/>
              <w:rPr>
                <w:i/>
                <w:color w:val="000000" w:themeColor="text1"/>
                <w:sz w:val="16"/>
                <w:szCs w:val="16"/>
              </w:rPr>
            </w:pPr>
            <w:r w:rsidRPr="00A76734">
              <w:rPr>
                <w:color w:val="000000" w:themeColor="text1"/>
                <w:sz w:val="16"/>
                <w:szCs w:val="16"/>
              </w:rPr>
              <w:t>As per 202</w:t>
            </w:r>
            <w:r w:rsidR="0075725B">
              <w:rPr>
                <w:color w:val="000000" w:themeColor="text1"/>
                <w:sz w:val="16"/>
                <w:szCs w:val="16"/>
              </w:rPr>
              <w:t>4</w:t>
            </w:r>
            <w:r w:rsidRPr="00A76734">
              <w:rPr>
                <w:color w:val="000000" w:themeColor="text1"/>
                <w:sz w:val="16"/>
                <w:szCs w:val="16"/>
              </w:rPr>
              <w:t>-2</w:t>
            </w:r>
            <w:r w:rsidR="0075725B">
              <w:rPr>
                <w:color w:val="000000" w:themeColor="text1"/>
                <w:sz w:val="16"/>
                <w:szCs w:val="16"/>
              </w:rPr>
              <w:t>5</w:t>
            </w:r>
          </w:p>
        </w:tc>
        <w:tc>
          <w:tcPr>
            <w:tcW w:w="2692" w:type="dxa"/>
            <w:tcBorders>
              <w:top w:val="single" w:sz="4" w:space="0" w:color="auto"/>
            </w:tcBorders>
          </w:tcPr>
          <w:p w14:paraId="1E4D889B" w14:textId="651656CC" w:rsidR="00F45E09" w:rsidRPr="00A76734" w:rsidRDefault="00F45E09" w:rsidP="00C91485">
            <w:pPr>
              <w:pStyle w:val="TableParagraph"/>
              <w:spacing w:before="20"/>
              <w:ind w:left="107" w:right="309"/>
              <w:rPr>
                <w:i/>
                <w:color w:val="000000" w:themeColor="text1"/>
                <w:sz w:val="16"/>
                <w:szCs w:val="16"/>
              </w:rPr>
            </w:pPr>
            <w:r w:rsidRPr="00A76734">
              <w:rPr>
                <w:color w:val="000000" w:themeColor="text1"/>
                <w:sz w:val="16"/>
                <w:szCs w:val="16"/>
              </w:rPr>
              <w:t>As per 202</w:t>
            </w:r>
            <w:r w:rsidR="0075725B">
              <w:rPr>
                <w:color w:val="000000" w:themeColor="text1"/>
                <w:sz w:val="16"/>
                <w:szCs w:val="16"/>
              </w:rPr>
              <w:t>4</w:t>
            </w:r>
            <w:r w:rsidRPr="00A76734">
              <w:rPr>
                <w:color w:val="000000" w:themeColor="text1"/>
                <w:sz w:val="16"/>
                <w:szCs w:val="16"/>
              </w:rPr>
              <w:t>-2</w:t>
            </w:r>
            <w:r w:rsidR="0075725B">
              <w:rPr>
                <w:color w:val="000000" w:themeColor="text1"/>
                <w:sz w:val="16"/>
                <w:szCs w:val="16"/>
              </w:rPr>
              <w:t>5</w:t>
            </w:r>
          </w:p>
        </w:tc>
      </w:tr>
    </w:tbl>
    <w:p w14:paraId="2EF8107C" w14:textId="77777777" w:rsidR="00955559" w:rsidRPr="00A76734" w:rsidRDefault="00955559" w:rsidP="00955559">
      <w:pPr>
        <w:rPr>
          <w:color w:val="000000" w:themeColor="text1"/>
        </w:rPr>
      </w:pPr>
    </w:p>
    <w:p w14:paraId="0AF7B93D" w14:textId="77777777" w:rsidR="006907C2" w:rsidRPr="00A76734" w:rsidRDefault="006907C2">
      <w:pPr>
        <w:spacing w:before="0" w:after="0" w:line="240" w:lineRule="auto"/>
        <w:rPr>
          <w:rFonts w:ascii="Arial Bold" w:hAnsi="Arial Bold"/>
          <w:b/>
          <w:color w:val="000000" w:themeColor="text1"/>
          <w:sz w:val="22"/>
        </w:rPr>
      </w:pPr>
      <w:r w:rsidRPr="00A76734">
        <w:rPr>
          <w:color w:val="000000" w:themeColor="text1"/>
        </w:rPr>
        <w:br w:type="page"/>
      </w:r>
    </w:p>
    <w:p w14:paraId="7D9D2016" w14:textId="2F45802E" w:rsidR="00955559" w:rsidRPr="00A76734" w:rsidRDefault="00955559" w:rsidP="00955559">
      <w:pPr>
        <w:pStyle w:val="Heading3"/>
        <w:rPr>
          <w:color w:val="000000" w:themeColor="text1"/>
        </w:rPr>
      </w:pPr>
      <w:r w:rsidRPr="00A76734">
        <w:rPr>
          <w:color w:val="000000" w:themeColor="text1"/>
        </w:rPr>
        <w:lastRenderedPageBreak/>
        <w:t>2.</w:t>
      </w:r>
      <w:r w:rsidR="006907C2" w:rsidRPr="00A76734">
        <w:rPr>
          <w:color w:val="000000" w:themeColor="text1"/>
        </w:rPr>
        <w:t>2</w:t>
      </w:r>
      <w:r w:rsidRPr="00A76734">
        <w:rPr>
          <w:color w:val="000000" w:themeColor="text1"/>
        </w:rPr>
        <w:t xml:space="preserve"> </w:t>
      </w:r>
      <w:r w:rsidRPr="00A76734">
        <w:rPr>
          <w:color w:val="000000" w:themeColor="text1"/>
        </w:rPr>
        <w:tab/>
        <w:t xml:space="preserve">Budgeted expenses and performance for Outcome </w:t>
      </w:r>
      <w:r w:rsidR="006907C2" w:rsidRPr="00A76734">
        <w:rPr>
          <w:color w:val="000000" w:themeColor="text1"/>
        </w:rPr>
        <w:t>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A76734" w:rsidRPr="00A76734" w14:paraId="5D09831D" w14:textId="77777777" w:rsidTr="00C91485">
        <w:tc>
          <w:tcPr>
            <w:tcW w:w="7704" w:type="dxa"/>
            <w:shd w:val="clear" w:color="auto" w:fill="E6E6E6"/>
          </w:tcPr>
          <w:p w14:paraId="0FE4F14B" w14:textId="70CD479B" w:rsidR="00955559" w:rsidRPr="00A76734" w:rsidRDefault="00955559" w:rsidP="00C91485">
            <w:pPr>
              <w:pStyle w:val="TableColumnHeadingLeft"/>
              <w:rPr>
                <w:color w:val="000000" w:themeColor="text1"/>
              </w:rPr>
            </w:pPr>
            <w:r w:rsidRPr="00A76734">
              <w:rPr>
                <w:color w:val="000000" w:themeColor="text1"/>
              </w:rPr>
              <w:t xml:space="preserve">Outcome </w:t>
            </w:r>
            <w:r w:rsidR="006907C2" w:rsidRPr="00A76734">
              <w:rPr>
                <w:color w:val="000000" w:themeColor="text1"/>
              </w:rPr>
              <w:t>2</w:t>
            </w:r>
            <w:r w:rsidRPr="00A76734">
              <w:rPr>
                <w:color w:val="000000" w:themeColor="text1"/>
              </w:rPr>
              <w:t xml:space="preserve">: </w:t>
            </w:r>
            <w:r w:rsidR="00F45E09" w:rsidRPr="00A76734">
              <w:rPr>
                <w:color w:val="000000" w:themeColor="text1"/>
              </w:rPr>
              <w:t>The protection and welfare of Australians abroad through timely and responsive consular and passport services in specific locations overseas.</w:t>
            </w:r>
          </w:p>
        </w:tc>
      </w:tr>
    </w:tbl>
    <w:p w14:paraId="50F7EA91" w14:textId="77777777" w:rsidR="00955559" w:rsidRPr="00A76734" w:rsidRDefault="00955559" w:rsidP="00955559">
      <w:pPr>
        <w:pStyle w:val="NoSpacing"/>
        <w:rPr>
          <w:color w:val="000000" w:themeColor="text1"/>
        </w:rPr>
      </w:pPr>
    </w:p>
    <w:p w14:paraId="44143536" w14:textId="7796EF27" w:rsidR="00F45E09" w:rsidRPr="00A76734" w:rsidRDefault="00955559" w:rsidP="00955559">
      <w:pPr>
        <w:pStyle w:val="Heading4"/>
        <w:rPr>
          <w:rStyle w:val="ExampletextCharChar"/>
          <w:rFonts w:ascii="Arial Bold" w:hAnsi="Arial Bold"/>
          <w:bCs/>
          <w:color w:val="000000" w:themeColor="text1"/>
        </w:rPr>
      </w:pPr>
      <w:r w:rsidRPr="00A76734">
        <w:rPr>
          <w:color w:val="000000" w:themeColor="text1"/>
        </w:rPr>
        <w:t xml:space="preserve">Linked programs </w:t>
      </w:r>
    </w:p>
    <w:tbl>
      <w:tblPr>
        <w:tblW w:w="7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tblGrid>
      <w:tr w:rsidR="00A76734" w:rsidRPr="00A76734" w14:paraId="75BCCE09" w14:textId="77777777" w:rsidTr="00F45E09">
        <w:trPr>
          <w:trHeight w:val="479"/>
        </w:trPr>
        <w:tc>
          <w:tcPr>
            <w:tcW w:w="7655" w:type="dxa"/>
            <w:tcBorders>
              <w:bottom w:val="dotted" w:sz="4" w:space="0" w:color="000000"/>
            </w:tcBorders>
          </w:tcPr>
          <w:p w14:paraId="1F009E12" w14:textId="77777777" w:rsidR="00F45E09" w:rsidRPr="00A76734" w:rsidRDefault="00F45E09" w:rsidP="00C91485">
            <w:pPr>
              <w:pStyle w:val="TableParagraph"/>
              <w:spacing w:before="119"/>
              <w:ind w:left="107"/>
              <w:rPr>
                <w:rFonts w:ascii="Calibri"/>
                <w:b/>
                <w:i/>
                <w:color w:val="000000" w:themeColor="text1"/>
                <w:sz w:val="19"/>
              </w:rPr>
            </w:pPr>
            <w:r w:rsidRPr="00A76734">
              <w:rPr>
                <w:b/>
                <w:color w:val="000000" w:themeColor="text1"/>
                <w:sz w:val="20"/>
              </w:rPr>
              <w:t>Department of Foreign Affairs and Trade</w:t>
            </w:r>
          </w:p>
        </w:tc>
      </w:tr>
      <w:tr w:rsidR="00A76734" w:rsidRPr="00A76734" w14:paraId="40EB502D" w14:textId="77777777" w:rsidTr="00F45E09">
        <w:trPr>
          <w:trHeight w:val="1159"/>
        </w:trPr>
        <w:tc>
          <w:tcPr>
            <w:tcW w:w="7655" w:type="dxa"/>
            <w:tcBorders>
              <w:top w:val="dotted" w:sz="4" w:space="0" w:color="000000"/>
            </w:tcBorders>
          </w:tcPr>
          <w:p w14:paraId="673923A2" w14:textId="77777777" w:rsidR="00F45E09" w:rsidRPr="00A76734" w:rsidRDefault="00F45E09" w:rsidP="00C91485">
            <w:pPr>
              <w:pStyle w:val="TableParagraph"/>
              <w:spacing w:before="118"/>
              <w:ind w:left="107"/>
              <w:rPr>
                <w:rFonts w:ascii="Book Antiqua"/>
                <w:b/>
                <w:color w:val="000000" w:themeColor="text1"/>
                <w:sz w:val="19"/>
              </w:rPr>
            </w:pPr>
            <w:r w:rsidRPr="00A76734">
              <w:rPr>
                <w:rFonts w:ascii="Book Antiqua"/>
                <w:b/>
                <w:color w:val="000000" w:themeColor="text1"/>
                <w:spacing w:val="-2"/>
                <w:sz w:val="19"/>
              </w:rPr>
              <w:t>Programs</w:t>
            </w:r>
          </w:p>
          <w:p w14:paraId="1618DB24" w14:textId="77777777" w:rsidR="00F45E09" w:rsidRPr="00A76734" w:rsidRDefault="00F45E09" w:rsidP="00934C8F">
            <w:pPr>
              <w:pStyle w:val="BoxBullet"/>
              <w:numPr>
                <w:ilvl w:val="0"/>
                <w:numId w:val="31"/>
              </w:numPr>
              <w:ind w:left="392"/>
              <w:rPr>
                <w:iCs/>
                <w:color w:val="000000" w:themeColor="text1"/>
              </w:rPr>
            </w:pPr>
            <w:r w:rsidRPr="00A76734">
              <w:rPr>
                <w:iCs/>
                <w:color w:val="000000" w:themeColor="text1"/>
              </w:rPr>
              <w:t>Program 2.1 – Consular Services</w:t>
            </w:r>
          </w:p>
          <w:p w14:paraId="529BAD06" w14:textId="77777777" w:rsidR="00F45E09" w:rsidRPr="00A76734" w:rsidRDefault="00F45E09" w:rsidP="00934C8F">
            <w:pPr>
              <w:pStyle w:val="BoxBullet"/>
              <w:numPr>
                <w:ilvl w:val="0"/>
                <w:numId w:val="31"/>
              </w:numPr>
              <w:ind w:left="392"/>
              <w:rPr>
                <w:iCs/>
                <w:color w:val="000000" w:themeColor="text1"/>
              </w:rPr>
            </w:pPr>
            <w:r w:rsidRPr="00A76734">
              <w:rPr>
                <w:iCs/>
                <w:color w:val="000000" w:themeColor="text1"/>
              </w:rPr>
              <w:t>Program 2.2 – Passport Services</w:t>
            </w:r>
          </w:p>
          <w:p w14:paraId="39499AD1" w14:textId="77777777" w:rsidR="00F45E09" w:rsidRPr="00A76734" w:rsidRDefault="00F45E09" w:rsidP="00934C8F">
            <w:pPr>
              <w:pStyle w:val="BoxBullet"/>
              <w:numPr>
                <w:ilvl w:val="0"/>
                <w:numId w:val="31"/>
              </w:numPr>
              <w:ind w:left="392"/>
              <w:rPr>
                <w:iCs/>
                <w:color w:val="000000" w:themeColor="text1"/>
              </w:rPr>
            </w:pPr>
            <w:r w:rsidRPr="00A76734">
              <w:rPr>
                <w:iCs/>
                <w:color w:val="000000" w:themeColor="text1"/>
              </w:rPr>
              <w:t>Program 3.1 – Foreign Affairs and Trade Security and IT</w:t>
            </w:r>
          </w:p>
          <w:p w14:paraId="57C52362" w14:textId="77777777" w:rsidR="00F45E09" w:rsidRPr="00A76734" w:rsidRDefault="00F45E09" w:rsidP="00934C8F">
            <w:pPr>
              <w:pStyle w:val="TableParagraph"/>
              <w:numPr>
                <w:ilvl w:val="0"/>
                <w:numId w:val="31"/>
              </w:numPr>
              <w:tabs>
                <w:tab w:val="left" w:pos="390"/>
                <w:tab w:val="left" w:pos="391"/>
              </w:tabs>
              <w:spacing w:before="120" w:after="120"/>
              <w:ind w:left="392"/>
              <w:rPr>
                <w:rFonts w:ascii="Book Antiqua" w:hAnsi="Book Antiqua"/>
                <w:color w:val="000000" w:themeColor="text1"/>
                <w:sz w:val="19"/>
              </w:rPr>
            </w:pPr>
            <w:r w:rsidRPr="00A76734">
              <w:rPr>
                <w:rFonts w:ascii="Book Antiqua" w:eastAsia="Times New Roman" w:hAnsi="Book Antiqua" w:cs="Times New Roman"/>
                <w:iCs/>
                <w:color w:val="000000" w:themeColor="text1"/>
                <w:sz w:val="19"/>
                <w:szCs w:val="20"/>
                <w:lang w:val="en-AU" w:eastAsia="en-AU"/>
              </w:rPr>
              <w:t>Program 3.2 – Overseas Property</w:t>
            </w:r>
          </w:p>
        </w:tc>
      </w:tr>
      <w:tr w:rsidR="00A76734" w:rsidRPr="00A76734" w14:paraId="02DA9064" w14:textId="77777777" w:rsidTr="00F45E09">
        <w:trPr>
          <w:trHeight w:val="1077"/>
        </w:trPr>
        <w:tc>
          <w:tcPr>
            <w:tcW w:w="7655" w:type="dxa"/>
          </w:tcPr>
          <w:p w14:paraId="1E6FA591" w14:textId="77777777" w:rsidR="00F45E09" w:rsidRPr="00A76734" w:rsidRDefault="00F45E09" w:rsidP="005247C0">
            <w:pPr>
              <w:pStyle w:val="TableParagraph"/>
              <w:spacing w:before="119"/>
              <w:ind w:left="107" w:right="143"/>
              <w:rPr>
                <w:rFonts w:ascii="Book Antiqua"/>
                <w:color w:val="000000" w:themeColor="text1"/>
                <w:sz w:val="19"/>
              </w:rPr>
            </w:pPr>
            <w:r w:rsidRPr="00A76734">
              <w:rPr>
                <w:rFonts w:ascii="Book Antiqua"/>
                <w:color w:val="000000" w:themeColor="text1"/>
                <w:sz w:val="19"/>
              </w:rPr>
              <w:t xml:space="preserve">Contribution to Outcome 2 made by linked programs </w:t>
            </w:r>
          </w:p>
          <w:p w14:paraId="121F2F84" w14:textId="1611249C" w:rsidR="00F45E09" w:rsidRDefault="00F45E09" w:rsidP="005247C0">
            <w:pPr>
              <w:pStyle w:val="TableParagraph"/>
              <w:spacing w:before="119"/>
              <w:ind w:left="107" w:right="143"/>
              <w:rPr>
                <w:rFonts w:ascii="Book Antiqua"/>
                <w:color w:val="000000" w:themeColor="text1"/>
                <w:sz w:val="19"/>
              </w:rPr>
            </w:pPr>
            <w:r w:rsidRPr="00A76734">
              <w:rPr>
                <w:rFonts w:ascii="Book Antiqua"/>
                <w:color w:val="000000" w:themeColor="text1"/>
                <w:sz w:val="19"/>
              </w:rPr>
              <w:t>Austrade delivers consular and passport services on behalf of the Australian</w:t>
            </w:r>
            <w:r w:rsidRPr="00A76734">
              <w:rPr>
                <w:rFonts w:ascii="Book Antiqua"/>
                <w:color w:val="000000" w:themeColor="text1"/>
                <w:sz w:val="19"/>
              </w:rPr>
              <w:t> </w:t>
            </w:r>
            <w:r w:rsidRPr="00A76734">
              <w:rPr>
                <w:rFonts w:ascii="Book Antiqua"/>
                <w:color w:val="000000" w:themeColor="text1"/>
                <w:sz w:val="19"/>
              </w:rPr>
              <w:t xml:space="preserve">Government in </w:t>
            </w:r>
            <w:r w:rsidR="00314BB9">
              <w:rPr>
                <w:rFonts w:ascii="Book Antiqua"/>
                <w:color w:val="000000" w:themeColor="text1"/>
                <w:sz w:val="19"/>
              </w:rPr>
              <w:t xml:space="preserve">11 </w:t>
            </w:r>
            <w:r w:rsidRPr="00A76734">
              <w:rPr>
                <w:rFonts w:ascii="Book Antiqua"/>
                <w:color w:val="000000" w:themeColor="text1"/>
                <w:sz w:val="19"/>
              </w:rPr>
              <w:t>locations where DFAT does not have a presence. Where an Austrade office is located within a DFAT-managed mission or post, DFAT is responsible for the safety and security of that Austrade presence.</w:t>
            </w:r>
          </w:p>
          <w:p w14:paraId="3C2F6FA3" w14:textId="166A9692" w:rsidR="00347753" w:rsidRPr="00347753" w:rsidRDefault="00347753" w:rsidP="005247C0">
            <w:pPr>
              <w:pStyle w:val="TableParagraph"/>
              <w:spacing w:before="119"/>
              <w:ind w:left="107" w:right="143"/>
              <w:rPr>
                <w:rFonts w:ascii="Book Antiqua"/>
                <w:i/>
                <w:color w:val="000000" w:themeColor="text1"/>
                <w:sz w:val="6"/>
                <w:szCs w:val="6"/>
              </w:rPr>
            </w:pPr>
          </w:p>
        </w:tc>
      </w:tr>
    </w:tbl>
    <w:p w14:paraId="0E9FE72B" w14:textId="77777777" w:rsidR="00955559" w:rsidRPr="00A76734" w:rsidRDefault="00955559" w:rsidP="00955559">
      <w:pPr>
        <w:pStyle w:val="SingleParagraph"/>
        <w:rPr>
          <w:color w:val="000000" w:themeColor="text1"/>
        </w:rPr>
      </w:pPr>
    </w:p>
    <w:p w14:paraId="27740CA7" w14:textId="1704E64B" w:rsidR="00955559" w:rsidRPr="00A76734" w:rsidRDefault="00955559" w:rsidP="006907C2">
      <w:pPr>
        <w:pStyle w:val="TableHeading"/>
        <w:rPr>
          <w:color w:val="000000" w:themeColor="text1"/>
        </w:rPr>
      </w:pPr>
      <w:r w:rsidRPr="00A76734">
        <w:rPr>
          <w:color w:val="000000" w:themeColor="text1"/>
        </w:rPr>
        <w:br w:type="page"/>
      </w:r>
      <w:r w:rsidRPr="00A76734">
        <w:rPr>
          <w:color w:val="000000" w:themeColor="text1"/>
        </w:rPr>
        <w:lastRenderedPageBreak/>
        <w:t xml:space="preserve">Budgeted expenses for Outcome </w:t>
      </w:r>
      <w:r w:rsidR="006907C2" w:rsidRPr="00A76734">
        <w:rPr>
          <w:color w:val="000000" w:themeColor="text1"/>
        </w:rPr>
        <w:t>2</w:t>
      </w:r>
    </w:p>
    <w:p w14:paraId="2A1626B4" w14:textId="77777777" w:rsidR="00955559" w:rsidRPr="00A76734" w:rsidRDefault="00955559" w:rsidP="00955559">
      <w:pPr>
        <w:rPr>
          <w:color w:val="000000" w:themeColor="text1"/>
        </w:rPr>
      </w:pPr>
      <w:r w:rsidRPr="00A76734">
        <w:rPr>
          <w:color w:val="000000" w:themeColor="text1"/>
        </w:rPr>
        <w:t>This table shows how much the entity intends to spend (on an accrual basis) on achieving the outcome, broken down by program, as well as by Administered and Departmental funding sources.</w:t>
      </w:r>
    </w:p>
    <w:p w14:paraId="2ED79E89" w14:textId="7A748F0F" w:rsidR="00955559" w:rsidRPr="00A76734" w:rsidRDefault="00955559" w:rsidP="00955559">
      <w:pPr>
        <w:pStyle w:val="TableHeading"/>
        <w:rPr>
          <w:color w:val="000000" w:themeColor="text1"/>
        </w:rPr>
      </w:pPr>
      <w:r w:rsidRPr="00A76734">
        <w:rPr>
          <w:color w:val="000000" w:themeColor="text1"/>
        </w:rPr>
        <w:t>Table 2.</w:t>
      </w:r>
      <w:r w:rsidR="006907C2" w:rsidRPr="00A76734">
        <w:rPr>
          <w:color w:val="000000" w:themeColor="text1"/>
        </w:rPr>
        <w:t>2</w:t>
      </w:r>
      <w:r w:rsidRPr="00A76734">
        <w:rPr>
          <w:color w:val="000000" w:themeColor="text1"/>
        </w:rPr>
        <w:t xml:space="preserve">.1: Budgeted expenses for Outcome </w:t>
      </w:r>
      <w:r w:rsidR="006907C2" w:rsidRPr="00A76734">
        <w:rPr>
          <w:color w:val="000000" w:themeColor="text1"/>
        </w:rPr>
        <w:t>2</w:t>
      </w:r>
    </w:p>
    <w:p w14:paraId="09E4B983" w14:textId="6311C946" w:rsidR="0069033E" w:rsidRPr="006D5555" w:rsidRDefault="0069033E" w:rsidP="00B1480A">
      <w:pPr>
        <w:spacing w:before="0" w:after="0"/>
        <w:rPr>
          <w:rFonts w:cs="Arial"/>
          <w:sz w:val="16"/>
          <w:szCs w:val="16"/>
        </w:rPr>
      </w:pPr>
      <w:r w:rsidRPr="006D5555">
        <w:rPr>
          <w:rFonts w:ascii="Arial" w:hAnsi="Arial" w:cs="Arial"/>
          <w:b/>
          <w:bCs/>
          <w:sz w:val="16"/>
          <w:szCs w:val="16"/>
        </w:rPr>
        <w:t>Outcome 2: The protection and welfare of Australians abroad through timely and responsive consular and passport services in specific locations overseas</w:t>
      </w:r>
    </w:p>
    <w:p w14:paraId="757E24FD" w14:textId="11DA409B" w:rsidR="00933EC7" w:rsidRDefault="00D9172F" w:rsidP="00D97A66">
      <w:pPr>
        <w:pStyle w:val="TableHeading"/>
        <w:spacing w:before="0" w:after="0"/>
        <w:rPr>
          <w:color w:val="000000" w:themeColor="text1"/>
        </w:rPr>
      </w:pPr>
      <w:r w:rsidRPr="00D9172F">
        <w:rPr>
          <w:noProof/>
        </w:rPr>
        <w:drawing>
          <wp:inline distT="0" distB="0" distL="0" distR="0" wp14:anchorId="45E2175A" wp14:editId="445552FC">
            <wp:extent cx="4895850" cy="2489835"/>
            <wp:effectExtent l="0" t="0" r="0" b="571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5850" cy="2489835"/>
                    </a:xfrm>
                    <a:prstGeom prst="rect">
                      <a:avLst/>
                    </a:prstGeom>
                    <a:noFill/>
                    <a:ln>
                      <a:noFill/>
                    </a:ln>
                  </pic:spPr>
                </pic:pic>
              </a:graphicData>
            </a:graphic>
          </wp:inline>
        </w:drawing>
      </w:r>
    </w:p>
    <w:p w14:paraId="7BE25FAA" w14:textId="77777777" w:rsidR="00955559" w:rsidRPr="00D97A66" w:rsidRDefault="00955559" w:rsidP="00934C8F">
      <w:pPr>
        <w:pStyle w:val="ChartandTableFootnoteAlpha"/>
        <w:numPr>
          <w:ilvl w:val="0"/>
          <w:numId w:val="33"/>
        </w:numPr>
        <w:rPr>
          <w:color w:val="000000" w:themeColor="text1"/>
        </w:rPr>
      </w:pPr>
      <w:r w:rsidRPr="00D97A66">
        <w:rPr>
          <w:color w:val="000000" w:themeColor="text1"/>
        </w:rPr>
        <w:t>Estimated expenses incurred in relation to receipts retained under section 74 of the PGPA Act.</w:t>
      </w:r>
    </w:p>
    <w:p w14:paraId="74B502B9" w14:textId="77777777" w:rsidR="00955559" w:rsidRPr="00A76734" w:rsidRDefault="00955559" w:rsidP="00955559">
      <w:pPr>
        <w:pStyle w:val="ChartandTableFootnote"/>
        <w:rPr>
          <w:color w:val="000000" w:themeColor="text1"/>
        </w:rPr>
      </w:pPr>
      <w:r w:rsidRPr="00D97A66">
        <w:rPr>
          <w:color w:val="000000" w:themeColor="text1"/>
        </w:rPr>
        <w:t>Note: Departmental appropriation splits and totals are indicative estimates and may change in the course of the budget year as government priorities change.</w:t>
      </w:r>
    </w:p>
    <w:p w14:paraId="5F366D1D" w14:textId="77777777" w:rsidR="00955559" w:rsidRPr="00A76734" w:rsidRDefault="00955559" w:rsidP="00955559">
      <w:pPr>
        <w:pStyle w:val="NoSpacing"/>
        <w:rPr>
          <w:color w:val="000000" w:themeColor="text1"/>
        </w:rPr>
      </w:pPr>
    </w:p>
    <w:p w14:paraId="5EF6CC70" w14:textId="744360A2" w:rsidR="00955559" w:rsidRPr="00A76734" w:rsidRDefault="00955559" w:rsidP="006907C2">
      <w:pPr>
        <w:pStyle w:val="TableHeading"/>
        <w:rPr>
          <w:color w:val="000000" w:themeColor="text1"/>
        </w:rPr>
      </w:pPr>
      <w:r w:rsidRPr="00A76734">
        <w:rPr>
          <w:color w:val="000000" w:themeColor="text1"/>
          <w:highlight w:val="yellow"/>
        </w:rPr>
        <w:br w:type="page"/>
      </w:r>
      <w:r w:rsidRPr="00A76734">
        <w:rPr>
          <w:color w:val="000000" w:themeColor="text1"/>
        </w:rPr>
        <w:lastRenderedPageBreak/>
        <w:t>Table 2.</w:t>
      </w:r>
      <w:r w:rsidR="006907C2" w:rsidRPr="00A76734">
        <w:rPr>
          <w:color w:val="000000" w:themeColor="text1"/>
        </w:rPr>
        <w:t>2</w:t>
      </w:r>
      <w:r w:rsidRPr="00A76734">
        <w:rPr>
          <w:color w:val="000000" w:themeColor="text1"/>
        </w:rPr>
        <w:t xml:space="preserve">.3: Performance measure for Outcome </w:t>
      </w:r>
      <w:r w:rsidR="006907C2" w:rsidRPr="00A76734">
        <w:rPr>
          <w:color w:val="000000" w:themeColor="text1"/>
        </w:rPr>
        <w:t>2</w:t>
      </w:r>
    </w:p>
    <w:p w14:paraId="3D0DD36F" w14:textId="4F10552E" w:rsidR="00955559" w:rsidRPr="00A76734" w:rsidRDefault="00955559" w:rsidP="00955559">
      <w:pPr>
        <w:rPr>
          <w:color w:val="000000" w:themeColor="text1"/>
        </w:rPr>
      </w:pPr>
      <w:r w:rsidRPr="00A76734">
        <w:rPr>
          <w:color w:val="000000" w:themeColor="text1"/>
        </w:rPr>
        <w:t>Table 2.</w:t>
      </w:r>
      <w:r w:rsidR="006907C2" w:rsidRPr="00A76734">
        <w:rPr>
          <w:color w:val="000000" w:themeColor="text1"/>
        </w:rPr>
        <w:t>2</w:t>
      </w:r>
      <w:r w:rsidRPr="00A76734">
        <w:rPr>
          <w:color w:val="000000" w:themeColor="text1"/>
        </w:rPr>
        <w:t xml:space="preserve">.3 </w:t>
      </w:r>
      <w:r w:rsidR="004D2800" w:rsidRPr="00A76734">
        <w:rPr>
          <w:color w:val="000000" w:themeColor="text1"/>
        </w:rPr>
        <w:t xml:space="preserve">details the performance measures for each program associated with Outcome </w:t>
      </w:r>
      <w:r w:rsidR="004D2800">
        <w:rPr>
          <w:color w:val="000000" w:themeColor="text1"/>
        </w:rPr>
        <w:t>2</w:t>
      </w:r>
      <w:r w:rsidR="004D2800" w:rsidRPr="00A76734">
        <w:rPr>
          <w:color w:val="000000" w:themeColor="text1"/>
        </w:rPr>
        <w:t xml:space="preserve">. It </w:t>
      </w:r>
      <w:r w:rsidR="004D2800">
        <w:rPr>
          <w:color w:val="000000" w:themeColor="text1"/>
        </w:rPr>
        <w:t>is used by entities to describe the results they plan to achieve and the related key activities, as detailed in the current corporate plan, the context in which these activities are delivered, and how the performance of these activities will be measured.</w:t>
      </w:r>
      <w:r w:rsidR="004D2800" w:rsidRPr="00A76734">
        <w:rPr>
          <w:color w:val="000000" w:themeColor="text1"/>
        </w:rPr>
        <w:t xml:space="preserve"> Where relevant, details of the 202</w:t>
      </w:r>
      <w:r w:rsidR="004D2800">
        <w:rPr>
          <w:color w:val="000000" w:themeColor="text1"/>
        </w:rPr>
        <w:t>4</w:t>
      </w:r>
      <w:r w:rsidR="004D2800" w:rsidRPr="00A76734">
        <w:rPr>
          <w:color w:val="000000" w:themeColor="text1"/>
        </w:rPr>
        <w:t>-2</w:t>
      </w:r>
      <w:r w:rsidR="004D2800">
        <w:rPr>
          <w:color w:val="000000" w:themeColor="text1"/>
        </w:rPr>
        <w:t>5</w:t>
      </w:r>
      <w:r w:rsidR="004D2800" w:rsidRPr="00A76734">
        <w:rPr>
          <w:color w:val="000000" w:themeColor="text1"/>
        </w:rPr>
        <w:t xml:space="preserve"> Budget measures that have created new programs or materially changed existing programs are provided</w:t>
      </w:r>
      <w:r w:rsidRPr="00A76734">
        <w:rPr>
          <w:color w:val="000000" w:themeColor="text1"/>
        </w:rPr>
        <w:t xml:space="preserve">. </w:t>
      </w:r>
    </w:p>
    <w:tbl>
      <w:tblPr>
        <w:tblW w:w="77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7"/>
        <w:gridCol w:w="3118"/>
        <w:gridCol w:w="2692"/>
      </w:tblGrid>
      <w:tr w:rsidR="00A76734" w:rsidRPr="00A76734" w14:paraId="7F300590" w14:textId="77777777" w:rsidTr="00F45E09">
        <w:trPr>
          <w:trHeight w:val="568"/>
        </w:trPr>
        <w:tc>
          <w:tcPr>
            <w:tcW w:w="7797" w:type="dxa"/>
            <w:gridSpan w:val="3"/>
            <w:shd w:val="clear" w:color="auto" w:fill="F1F1F1"/>
          </w:tcPr>
          <w:p w14:paraId="33953C1D" w14:textId="77777777" w:rsidR="00F45E09" w:rsidRPr="00A76734" w:rsidRDefault="00F45E09" w:rsidP="00C91485">
            <w:pPr>
              <w:pStyle w:val="TableParagraph"/>
              <w:spacing w:before="32"/>
              <w:ind w:left="107"/>
              <w:rPr>
                <w:b/>
                <w:i/>
                <w:color w:val="000000" w:themeColor="text1"/>
                <w:sz w:val="17"/>
              </w:rPr>
            </w:pPr>
            <w:r w:rsidRPr="00A76734">
              <w:rPr>
                <w:b/>
                <w:color w:val="000000" w:themeColor="text1"/>
                <w:spacing w:val="-6"/>
                <w:sz w:val="16"/>
              </w:rPr>
              <w:t>Outcome</w:t>
            </w:r>
            <w:r w:rsidRPr="00A76734">
              <w:rPr>
                <w:b/>
                <w:color w:val="000000" w:themeColor="text1"/>
                <w:spacing w:val="2"/>
                <w:sz w:val="16"/>
              </w:rPr>
              <w:t xml:space="preserve"> </w:t>
            </w:r>
            <w:r w:rsidRPr="00A76734">
              <w:rPr>
                <w:b/>
                <w:color w:val="000000" w:themeColor="text1"/>
                <w:spacing w:val="-6"/>
                <w:sz w:val="16"/>
              </w:rPr>
              <w:t>2</w:t>
            </w:r>
            <w:r w:rsidRPr="00A76734">
              <w:rPr>
                <w:b/>
                <w:color w:val="000000" w:themeColor="text1"/>
                <w:spacing w:val="4"/>
                <w:sz w:val="16"/>
              </w:rPr>
              <w:t xml:space="preserve"> </w:t>
            </w:r>
            <w:r w:rsidRPr="00A76734">
              <w:rPr>
                <w:b/>
                <w:color w:val="000000" w:themeColor="text1"/>
                <w:spacing w:val="-6"/>
                <w:sz w:val="16"/>
              </w:rPr>
              <w:t>– The protection and welfare of Australians abroad through timely and responsive consular and passport services in specific locations overseas</w:t>
            </w:r>
          </w:p>
        </w:tc>
      </w:tr>
      <w:tr w:rsidR="00A76734" w:rsidRPr="00A76734" w14:paraId="2557DBE8" w14:textId="77777777" w:rsidTr="00F45E09">
        <w:trPr>
          <w:trHeight w:val="326"/>
        </w:trPr>
        <w:tc>
          <w:tcPr>
            <w:tcW w:w="7797" w:type="dxa"/>
            <w:gridSpan w:val="3"/>
            <w:shd w:val="clear" w:color="auto" w:fill="F1F1F1"/>
          </w:tcPr>
          <w:p w14:paraId="70526E21" w14:textId="77777777" w:rsidR="00F45E09" w:rsidRPr="00A76734" w:rsidRDefault="00F45E09" w:rsidP="00C91485">
            <w:pPr>
              <w:pStyle w:val="TableParagraph"/>
              <w:spacing w:before="20"/>
              <w:ind w:left="107"/>
              <w:rPr>
                <w:b/>
                <w:color w:val="000000" w:themeColor="text1"/>
                <w:sz w:val="16"/>
              </w:rPr>
            </w:pPr>
            <w:r w:rsidRPr="00A76734">
              <w:rPr>
                <w:b/>
                <w:color w:val="000000" w:themeColor="text1"/>
                <w:spacing w:val="-6"/>
                <w:sz w:val="16"/>
              </w:rPr>
              <w:t>Program 2.1 – Consular and Passport Services</w:t>
            </w:r>
          </w:p>
        </w:tc>
      </w:tr>
      <w:tr w:rsidR="00A76734" w:rsidRPr="00A76734" w14:paraId="3C111532" w14:textId="77777777" w:rsidTr="006D5555">
        <w:trPr>
          <w:trHeight w:val="1468"/>
        </w:trPr>
        <w:tc>
          <w:tcPr>
            <w:tcW w:w="1987" w:type="dxa"/>
            <w:tcBorders>
              <w:bottom w:val="single" w:sz="4" w:space="0" w:color="auto"/>
            </w:tcBorders>
          </w:tcPr>
          <w:p w14:paraId="369C06C2" w14:textId="77777777" w:rsidR="00F45E09" w:rsidRPr="00A76734" w:rsidRDefault="00F45E09" w:rsidP="00C91485">
            <w:pPr>
              <w:pStyle w:val="TableParagraph"/>
              <w:spacing w:before="41"/>
              <w:ind w:left="107"/>
              <w:rPr>
                <w:b/>
                <w:color w:val="000000" w:themeColor="text1"/>
                <w:sz w:val="16"/>
              </w:rPr>
            </w:pPr>
            <w:r w:rsidRPr="00A76734">
              <w:rPr>
                <w:b/>
                <w:color w:val="000000" w:themeColor="text1"/>
                <w:sz w:val="16"/>
              </w:rPr>
              <w:t>Key</w:t>
            </w:r>
            <w:r w:rsidRPr="00A76734">
              <w:rPr>
                <w:b/>
                <w:color w:val="000000" w:themeColor="text1"/>
                <w:spacing w:val="-4"/>
                <w:sz w:val="16"/>
              </w:rPr>
              <w:t xml:space="preserve"> </w:t>
            </w:r>
            <w:r w:rsidRPr="00A76734">
              <w:rPr>
                <w:b/>
                <w:color w:val="000000" w:themeColor="text1"/>
                <w:sz w:val="16"/>
              </w:rPr>
              <w:t>Activities</w:t>
            </w:r>
          </w:p>
        </w:tc>
        <w:tc>
          <w:tcPr>
            <w:tcW w:w="5810" w:type="dxa"/>
            <w:gridSpan w:val="2"/>
            <w:tcBorders>
              <w:bottom w:val="single" w:sz="4" w:space="0" w:color="auto"/>
            </w:tcBorders>
          </w:tcPr>
          <w:p w14:paraId="1ABC1227" w14:textId="77777777" w:rsidR="00F45E09" w:rsidRPr="00A76734" w:rsidRDefault="00F45E09" w:rsidP="00347753">
            <w:pPr>
              <w:spacing w:before="40" w:line="276" w:lineRule="auto"/>
              <w:ind w:left="136" w:right="130"/>
              <w:contextualSpacing/>
              <w:textAlignment w:val="baseline"/>
              <w:rPr>
                <w:rFonts w:ascii="Arial" w:hAnsi="Arial" w:cs="Arial"/>
                <w:color w:val="000000" w:themeColor="text1"/>
                <w:sz w:val="16"/>
                <w:szCs w:val="16"/>
              </w:rPr>
            </w:pPr>
            <w:r w:rsidRPr="00A76734">
              <w:rPr>
                <w:rFonts w:ascii="Arial" w:hAnsi="Arial" w:cs="Arial"/>
                <w:color w:val="000000" w:themeColor="text1"/>
                <w:sz w:val="16"/>
                <w:szCs w:val="16"/>
              </w:rPr>
              <w:t>Austrade has designated consular management responsibilities in 11 overseas locations across 9 countries. Austrade will continue to place a high priority on helping Australians through the delivery of effective consular services, efficient passport services and practical contingency planning, in accordance with DFAT’s Consular Services and Passports Client Services charters.</w:t>
            </w:r>
          </w:p>
        </w:tc>
      </w:tr>
      <w:tr w:rsidR="00A76734" w:rsidRPr="00A76734" w14:paraId="615A310F" w14:textId="77777777" w:rsidTr="006D5555">
        <w:trPr>
          <w:trHeight w:val="312"/>
        </w:trPr>
        <w:tc>
          <w:tcPr>
            <w:tcW w:w="1987" w:type="dxa"/>
            <w:tcBorders>
              <w:top w:val="single" w:sz="4" w:space="0" w:color="auto"/>
            </w:tcBorders>
          </w:tcPr>
          <w:p w14:paraId="7666ED63" w14:textId="77777777" w:rsidR="00F45E09" w:rsidRPr="00A76734" w:rsidRDefault="00F45E09" w:rsidP="00C91485">
            <w:pPr>
              <w:pStyle w:val="TableParagraph"/>
              <w:spacing w:before="43"/>
              <w:ind w:left="107"/>
              <w:rPr>
                <w:b/>
                <w:color w:val="000000" w:themeColor="text1"/>
                <w:sz w:val="16"/>
              </w:rPr>
            </w:pPr>
            <w:r w:rsidRPr="00A76734">
              <w:rPr>
                <w:b/>
                <w:color w:val="000000" w:themeColor="text1"/>
                <w:spacing w:val="-4"/>
                <w:sz w:val="16"/>
              </w:rPr>
              <w:t>Year</w:t>
            </w:r>
          </w:p>
        </w:tc>
        <w:tc>
          <w:tcPr>
            <w:tcW w:w="3118" w:type="dxa"/>
            <w:tcBorders>
              <w:top w:val="single" w:sz="4" w:space="0" w:color="auto"/>
            </w:tcBorders>
          </w:tcPr>
          <w:p w14:paraId="65ADE114" w14:textId="77777777" w:rsidR="00F45E09" w:rsidRPr="00A76734" w:rsidRDefault="00F45E09" w:rsidP="00C91485">
            <w:pPr>
              <w:pStyle w:val="TableParagraph"/>
              <w:spacing w:before="43"/>
              <w:ind w:left="107"/>
              <w:rPr>
                <w:b/>
                <w:color w:val="000000" w:themeColor="text1"/>
                <w:sz w:val="16"/>
              </w:rPr>
            </w:pPr>
            <w:r w:rsidRPr="00A76734">
              <w:rPr>
                <w:b/>
                <w:color w:val="000000" w:themeColor="text1"/>
                <w:sz w:val="16"/>
              </w:rPr>
              <w:t>Performance</w:t>
            </w:r>
            <w:r w:rsidRPr="00A76734">
              <w:rPr>
                <w:b/>
                <w:color w:val="000000" w:themeColor="text1"/>
                <w:spacing w:val="-10"/>
                <w:sz w:val="16"/>
              </w:rPr>
              <w:t xml:space="preserve"> </w:t>
            </w:r>
            <w:r w:rsidRPr="00A76734">
              <w:rPr>
                <w:b/>
                <w:color w:val="000000" w:themeColor="text1"/>
                <w:spacing w:val="-2"/>
                <w:sz w:val="16"/>
              </w:rPr>
              <w:t>measures</w:t>
            </w:r>
          </w:p>
        </w:tc>
        <w:tc>
          <w:tcPr>
            <w:tcW w:w="2692" w:type="dxa"/>
            <w:tcBorders>
              <w:top w:val="single" w:sz="4" w:space="0" w:color="auto"/>
            </w:tcBorders>
          </w:tcPr>
          <w:p w14:paraId="5AA0AEAE" w14:textId="77777777" w:rsidR="00F45E09" w:rsidRPr="00A76734" w:rsidRDefault="00F45E09" w:rsidP="00C91485">
            <w:pPr>
              <w:pStyle w:val="TableParagraph"/>
              <w:spacing w:before="43"/>
              <w:ind w:left="107"/>
              <w:rPr>
                <w:b/>
                <w:color w:val="000000" w:themeColor="text1"/>
                <w:sz w:val="16"/>
              </w:rPr>
            </w:pPr>
            <w:r w:rsidRPr="00A76734">
              <w:rPr>
                <w:b/>
                <w:color w:val="000000" w:themeColor="text1"/>
                <w:sz w:val="16"/>
              </w:rPr>
              <w:t>Expected</w:t>
            </w:r>
            <w:r w:rsidRPr="00A76734">
              <w:rPr>
                <w:b/>
                <w:color w:val="000000" w:themeColor="text1"/>
                <w:spacing w:val="-9"/>
                <w:sz w:val="16"/>
              </w:rPr>
              <w:t xml:space="preserve"> </w:t>
            </w:r>
            <w:r w:rsidRPr="00A76734">
              <w:rPr>
                <w:b/>
                <w:color w:val="000000" w:themeColor="text1"/>
                <w:sz w:val="16"/>
              </w:rPr>
              <w:t>Performance</w:t>
            </w:r>
            <w:r w:rsidRPr="00A76734">
              <w:rPr>
                <w:b/>
                <w:color w:val="000000" w:themeColor="text1"/>
                <w:spacing w:val="-6"/>
                <w:sz w:val="16"/>
              </w:rPr>
              <w:t xml:space="preserve"> </w:t>
            </w:r>
            <w:r w:rsidRPr="00A76734">
              <w:rPr>
                <w:b/>
                <w:color w:val="000000" w:themeColor="text1"/>
                <w:spacing w:val="-2"/>
                <w:sz w:val="16"/>
              </w:rPr>
              <w:t>Results</w:t>
            </w:r>
          </w:p>
        </w:tc>
      </w:tr>
      <w:tr w:rsidR="00A76734" w:rsidRPr="00A76734" w14:paraId="64046166" w14:textId="77777777" w:rsidTr="006D5555">
        <w:trPr>
          <w:trHeight w:val="940"/>
        </w:trPr>
        <w:tc>
          <w:tcPr>
            <w:tcW w:w="1987" w:type="dxa"/>
          </w:tcPr>
          <w:p w14:paraId="469D04A3" w14:textId="4983D7C9" w:rsidR="00F45E09" w:rsidRPr="00A76734" w:rsidRDefault="00DE7834" w:rsidP="006D5555">
            <w:pPr>
              <w:pStyle w:val="TableParagraph"/>
              <w:spacing w:before="20"/>
              <w:ind w:left="107"/>
              <w:rPr>
                <w:i/>
                <w:color w:val="000000" w:themeColor="text1"/>
                <w:sz w:val="18"/>
              </w:rPr>
            </w:pPr>
            <w:r w:rsidRPr="00A76734">
              <w:rPr>
                <w:color w:val="000000" w:themeColor="text1"/>
                <w:sz w:val="16"/>
              </w:rPr>
              <w:t>Current</w:t>
            </w:r>
            <w:r w:rsidR="00F45E09" w:rsidRPr="00A76734">
              <w:rPr>
                <w:color w:val="000000" w:themeColor="text1"/>
                <w:spacing w:val="-2"/>
                <w:sz w:val="16"/>
              </w:rPr>
              <w:t xml:space="preserve"> </w:t>
            </w:r>
            <w:r w:rsidR="00F45E09" w:rsidRPr="00A76734">
              <w:rPr>
                <w:color w:val="000000" w:themeColor="text1"/>
                <w:spacing w:val="-4"/>
                <w:sz w:val="16"/>
              </w:rPr>
              <w:t>year</w:t>
            </w:r>
          </w:p>
          <w:p w14:paraId="10C7A8C6" w14:textId="531AA21C" w:rsidR="00F45E09" w:rsidRPr="00A76734" w:rsidRDefault="00F45E09" w:rsidP="00C91485">
            <w:pPr>
              <w:pStyle w:val="TableParagraph"/>
              <w:ind w:left="107"/>
              <w:rPr>
                <w:color w:val="000000" w:themeColor="text1"/>
                <w:sz w:val="16"/>
              </w:rPr>
            </w:pPr>
            <w:r w:rsidRPr="00A76734">
              <w:rPr>
                <w:color w:val="000000" w:themeColor="text1"/>
                <w:spacing w:val="-2"/>
                <w:sz w:val="16"/>
              </w:rPr>
              <w:t>202</w:t>
            </w:r>
            <w:r w:rsidR="0060375C">
              <w:rPr>
                <w:color w:val="000000" w:themeColor="text1"/>
                <w:spacing w:val="-2"/>
                <w:sz w:val="16"/>
              </w:rPr>
              <w:t>3</w:t>
            </w:r>
            <w:r w:rsidRPr="00A76734">
              <w:rPr>
                <w:color w:val="000000" w:themeColor="text1"/>
                <w:spacing w:val="-2"/>
                <w:sz w:val="16"/>
              </w:rPr>
              <w:t>-</w:t>
            </w:r>
            <w:r w:rsidRPr="00A76734">
              <w:rPr>
                <w:color w:val="000000" w:themeColor="text1"/>
                <w:spacing w:val="-5"/>
                <w:sz w:val="16"/>
              </w:rPr>
              <w:t>2</w:t>
            </w:r>
            <w:r w:rsidR="0060375C">
              <w:rPr>
                <w:color w:val="000000" w:themeColor="text1"/>
                <w:spacing w:val="-5"/>
                <w:sz w:val="16"/>
              </w:rPr>
              <w:t>4</w:t>
            </w:r>
          </w:p>
        </w:tc>
        <w:tc>
          <w:tcPr>
            <w:tcW w:w="3118" w:type="dxa"/>
          </w:tcPr>
          <w:p w14:paraId="56A27950" w14:textId="77777777" w:rsidR="00F45E09" w:rsidRPr="00A76734" w:rsidRDefault="00F45E09" w:rsidP="00C13FE3">
            <w:pPr>
              <w:pStyle w:val="TableParagraph"/>
              <w:spacing w:before="20"/>
              <w:ind w:left="107" w:right="142" w:hanging="1"/>
              <w:rPr>
                <w:color w:val="000000" w:themeColor="text1"/>
                <w:sz w:val="16"/>
              </w:rPr>
            </w:pPr>
            <w:r w:rsidRPr="00A76734">
              <w:rPr>
                <w:color w:val="000000" w:themeColor="text1"/>
                <w:sz w:val="16"/>
                <w:szCs w:val="16"/>
              </w:rPr>
              <w:t>Effective delivery of consular and passport services to Australians overseas.</w:t>
            </w:r>
          </w:p>
        </w:tc>
        <w:tc>
          <w:tcPr>
            <w:tcW w:w="2692" w:type="dxa"/>
          </w:tcPr>
          <w:p w14:paraId="3214D38C" w14:textId="77777777" w:rsidR="00F45E09" w:rsidRPr="00A76734" w:rsidRDefault="00F45E09" w:rsidP="00C91485">
            <w:pPr>
              <w:pStyle w:val="TableParagraph"/>
              <w:spacing w:before="20"/>
              <w:ind w:left="107" w:right="309"/>
              <w:rPr>
                <w:color w:val="000000" w:themeColor="text1"/>
                <w:sz w:val="16"/>
              </w:rPr>
            </w:pPr>
            <w:r w:rsidRPr="00A76734">
              <w:rPr>
                <w:color w:val="000000" w:themeColor="text1"/>
                <w:sz w:val="16"/>
                <w:szCs w:val="16"/>
              </w:rPr>
              <w:t xml:space="preserve">At least 97 per cent of passports processed by Austrade are without administrative errors. </w:t>
            </w:r>
          </w:p>
        </w:tc>
      </w:tr>
      <w:tr w:rsidR="00A76734" w:rsidRPr="00A76734" w14:paraId="171B0652" w14:textId="77777777" w:rsidTr="006D5555">
        <w:trPr>
          <w:trHeight w:val="312"/>
        </w:trPr>
        <w:tc>
          <w:tcPr>
            <w:tcW w:w="1987" w:type="dxa"/>
          </w:tcPr>
          <w:p w14:paraId="17196118" w14:textId="77777777" w:rsidR="00F45E09" w:rsidRPr="00A76734" w:rsidRDefault="00F45E09" w:rsidP="00C91485">
            <w:pPr>
              <w:pStyle w:val="TableParagraph"/>
              <w:spacing w:before="44"/>
              <w:ind w:left="107"/>
              <w:rPr>
                <w:b/>
                <w:color w:val="000000" w:themeColor="text1"/>
                <w:sz w:val="16"/>
              </w:rPr>
            </w:pPr>
            <w:r w:rsidRPr="00A76734">
              <w:rPr>
                <w:b/>
                <w:color w:val="000000" w:themeColor="text1"/>
                <w:spacing w:val="-4"/>
                <w:sz w:val="16"/>
              </w:rPr>
              <w:t>Year</w:t>
            </w:r>
          </w:p>
        </w:tc>
        <w:tc>
          <w:tcPr>
            <w:tcW w:w="3118" w:type="dxa"/>
          </w:tcPr>
          <w:p w14:paraId="43AEA3CB" w14:textId="77777777" w:rsidR="00F45E09" w:rsidRPr="00A76734" w:rsidRDefault="00F45E09" w:rsidP="00C91485">
            <w:pPr>
              <w:pStyle w:val="TableParagraph"/>
              <w:spacing w:before="44"/>
              <w:ind w:left="107"/>
              <w:rPr>
                <w:b/>
                <w:color w:val="000000" w:themeColor="text1"/>
                <w:sz w:val="16"/>
              </w:rPr>
            </w:pPr>
            <w:r w:rsidRPr="00A76734">
              <w:rPr>
                <w:b/>
                <w:color w:val="000000" w:themeColor="text1"/>
                <w:sz w:val="16"/>
              </w:rPr>
              <w:t>Performance</w:t>
            </w:r>
            <w:r w:rsidRPr="00A76734">
              <w:rPr>
                <w:b/>
                <w:color w:val="000000" w:themeColor="text1"/>
                <w:spacing w:val="-10"/>
                <w:sz w:val="16"/>
              </w:rPr>
              <w:t xml:space="preserve"> </w:t>
            </w:r>
            <w:r w:rsidRPr="00A76734">
              <w:rPr>
                <w:b/>
                <w:color w:val="000000" w:themeColor="text1"/>
                <w:spacing w:val="-2"/>
                <w:sz w:val="16"/>
              </w:rPr>
              <w:t>measures</w:t>
            </w:r>
          </w:p>
        </w:tc>
        <w:tc>
          <w:tcPr>
            <w:tcW w:w="2692" w:type="dxa"/>
          </w:tcPr>
          <w:p w14:paraId="1DCE86ED" w14:textId="77777777" w:rsidR="00F45E09" w:rsidRPr="00A76734" w:rsidRDefault="00F45E09" w:rsidP="00C91485">
            <w:pPr>
              <w:pStyle w:val="TableParagraph"/>
              <w:spacing w:before="44"/>
              <w:ind w:left="107"/>
              <w:rPr>
                <w:b/>
                <w:color w:val="000000" w:themeColor="text1"/>
                <w:sz w:val="16"/>
              </w:rPr>
            </w:pPr>
            <w:r w:rsidRPr="00A76734">
              <w:rPr>
                <w:b/>
                <w:color w:val="000000" w:themeColor="text1"/>
                <w:sz w:val="16"/>
              </w:rPr>
              <w:t>Planned</w:t>
            </w:r>
            <w:r w:rsidRPr="00A76734">
              <w:rPr>
                <w:b/>
                <w:color w:val="000000" w:themeColor="text1"/>
                <w:spacing w:val="-8"/>
                <w:sz w:val="16"/>
              </w:rPr>
              <w:t xml:space="preserve"> </w:t>
            </w:r>
            <w:r w:rsidRPr="00A76734">
              <w:rPr>
                <w:b/>
                <w:color w:val="000000" w:themeColor="text1"/>
                <w:sz w:val="16"/>
              </w:rPr>
              <w:t>Performance</w:t>
            </w:r>
            <w:r w:rsidRPr="00A76734">
              <w:rPr>
                <w:b/>
                <w:color w:val="000000" w:themeColor="text1"/>
                <w:spacing w:val="-6"/>
                <w:sz w:val="16"/>
              </w:rPr>
              <w:t xml:space="preserve"> </w:t>
            </w:r>
            <w:r w:rsidRPr="00A76734">
              <w:rPr>
                <w:b/>
                <w:color w:val="000000" w:themeColor="text1"/>
                <w:spacing w:val="-2"/>
                <w:sz w:val="16"/>
              </w:rPr>
              <w:t>Results</w:t>
            </w:r>
          </w:p>
        </w:tc>
      </w:tr>
      <w:tr w:rsidR="00A76734" w:rsidRPr="00A76734" w14:paraId="64179BF6" w14:textId="77777777" w:rsidTr="006D5555">
        <w:trPr>
          <w:trHeight w:val="802"/>
        </w:trPr>
        <w:tc>
          <w:tcPr>
            <w:tcW w:w="1987" w:type="dxa"/>
            <w:tcBorders>
              <w:bottom w:val="single" w:sz="4" w:space="0" w:color="auto"/>
            </w:tcBorders>
          </w:tcPr>
          <w:p w14:paraId="02CE3190" w14:textId="3F4A959B" w:rsidR="00F45E09" w:rsidRPr="00A76734" w:rsidRDefault="00F45E09" w:rsidP="00C91485">
            <w:pPr>
              <w:pStyle w:val="TableParagraph"/>
              <w:spacing w:before="4" w:line="200" w:lineRule="atLeast"/>
              <w:ind w:left="107" w:right="549"/>
              <w:rPr>
                <w:color w:val="000000" w:themeColor="text1"/>
                <w:sz w:val="16"/>
              </w:rPr>
            </w:pPr>
            <w:r w:rsidRPr="00A76734">
              <w:rPr>
                <w:color w:val="000000" w:themeColor="text1"/>
                <w:sz w:val="16"/>
              </w:rPr>
              <w:t>Budget</w:t>
            </w:r>
            <w:r w:rsidRPr="00A76734">
              <w:rPr>
                <w:color w:val="000000" w:themeColor="text1"/>
                <w:spacing w:val="-12"/>
                <w:sz w:val="16"/>
              </w:rPr>
              <w:t xml:space="preserve"> </w:t>
            </w:r>
            <w:r w:rsidRPr="00A76734">
              <w:rPr>
                <w:color w:val="000000" w:themeColor="text1"/>
                <w:sz w:val="16"/>
              </w:rPr>
              <w:t xml:space="preserve">Year </w:t>
            </w:r>
            <w:r w:rsidRPr="00A76734">
              <w:rPr>
                <w:color w:val="000000" w:themeColor="text1"/>
                <w:spacing w:val="-2"/>
                <w:sz w:val="16"/>
              </w:rPr>
              <w:t>202</w:t>
            </w:r>
            <w:r w:rsidR="0060375C">
              <w:rPr>
                <w:color w:val="000000" w:themeColor="text1"/>
                <w:spacing w:val="-2"/>
                <w:sz w:val="16"/>
              </w:rPr>
              <w:t>4</w:t>
            </w:r>
            <w:r w:rsidRPr="00A76734">
              <w:rPr>
                <w:color w:val="000000" w:themeColor="text1"/>
                <w:spacing w:val="-2"/>
                <w:sz w:val="16"/>
              </w:rPr>
              <w:t>-2</w:t>
            </w:r>
            <w:r w:rsidR="0060375C">
              <w:rPr>
                <w:color w:val="000000" w:themeColor="text1"/>
                <w:spacing w:val="-2"/>
                <w:sz w:val="16"/>
              </w:rPr>
              <w:t>5</w:t>
            </w:r>
          </w:p>
        </w:tc>
        <w:tc>
          <w:tcPr>
            <w:tcW w:w="3118" w:type="dxa"/>
            <w:tcBorders>
              <w:bottom w:val="single" w:sz="4" w:space="0" w:color="auto"/>
            </w:tcBorders>
          </w:tcPr>
          <w:p w14:paraId="3B501683" w14:textId="77777777" w:rsidR="00F45E09" w:rsidRPr="00A76734" w:rsidRDefault="00F45E09" w:rsidP="00C91485">
            <w:pPr>
              <w:pStyle w:val="TableParagraph"/>
              <w:spacing w:before="4" w:line="200" w:lineRule="atLeast"/>
              <w:ind w:left="107" w:right="194"/>
              <w:rPr>
                <w:i/>
                <w:color w:val="000000" w:themeColor="text1"/>
                <w:sz w:val="16"/>
              </w:rPr>
            </w:pPr>
            <w:r w:rsidRPr="00A76734">
              <w:rPr>
                <w:color w:val="000000" w:themeColor="text1"/>
                <w:sz w:val="16"/>
                <w:szCs w:val="16"/>
              </w:rPr>
              <w:t>Effective delivery of consular and passport services to Australians overseas.</w:t>
            </w:r>
          </w:p>
        </w:tc>
        <w:tc>
          <w:tcPr>
            <w:tcW w:w="2692" w:type="dxa"/>
            <w:tcBorders>
              <w:bottom w:val="single" w:sz="4" w:space="0" w:color="auto"/>
            </w:tcBorders>
          </w:tcPr>
          <w:p w14:paraId="0A7C7816" w14:textId="77777777" w:rsidR="00F45E09" w:rsidRPr="00A76734" w:rsidRDefault="00F45E09" w:rsidP="00C91485">
            <w:pPr>
              <w:pStyle w:val="TableParagraph"/>
              <w:spacing w:before="20"/>
              <w:ind w:left="107" w:right="309"/>
              <w:rPr>
                <w:i/>
                <w:color w:val="000000" w:themeColor="text1"/>
                <w:sz w:val="16"/>
              </w:rPr>
            </w:pPr>
            <w:r w:rsidRPr="00A76734">
              <w:rPr>
                <w:color w:val="000000" w:themeColor="text1"/>
                <w:sz w:val="16"/>
                <w:szCs w:val="16"/>
              </w:rPr>
              <w:t>Maintained or improved compared to the previous year.</w:t>
            </w:r>
          </w:p>
        </w:tc>
      </w:tr>
      <w:tr w:rsidR="00A76734" w:rsidRPr="00A76734" w14:paraId="4E3D99AD" w14:textId="77777777" w:rsidTr="006D5555">
        <w:trPr>
          <w:trHeight w:val="796"/>
        </w:trPr>
        <w:tc>
          <w:tcPr>
            <w:tcW w:w="1987" w:type="dxa"/>
            <w:tcBorders>
              <w:top w:val="single" w:sz="4" w:space="0" w:color="auto"/>
            </w:tcBorders>
          </w:tcPr>
          <w:p w14:paraId="78C72081" w14:textId="40BB2D33" w:rsidR="00F45E09" w:rsidRPr="00A76734" w:rsidRDefault="00F45E09" w:rsidP="00C91485">
            <w:pPr>
              <w:pStyle w:val="TableParagraph"/>
              <w:spacing w:before="20" w:line="268" w:lineRule="auto"/>
              <w:ind w:left="107" w:right="105"/>
              <w:rPr>
                <w:color w:val="000000" w:themeColor="text1"/>
                <w:sz w:val="16"/>
              </w:rPr>
            </w:pPr>
            <w:r w:rsidRPr="00A76734">
              <w:rPr>
                <w:color w:val="000000" w:themeColor="text1"/>
                <w:sz w:val="16"/>
              </w:rPr>
              <w:t>Forward</w:t>
            </w:r>
            <w:r w:rsidRPr="00A76734">
              <w:rPr>
                <w:color w:val="000000" w:themeColor="text1"/>
                <w:spacing w:val="-12"/>
                <w:sz w:val="16"/>
              </w:rPr>
              <w:t xml:space="preserve"> </w:t>
            </w:r>
            <w:r w:rsidRPr="00A76734">
              <w:rPr>
                <w:color w:val="000000" w:themeColor="text1"/>
                <w:sz w:val="16"/>
              </w:rPr>
              <w:t xml:space="preserve">Estimates </w:t>
            </w:r>
            <w:r w:rsidRPr="00A76734">
              <w:rPr>
                <w:color w:val="000000" w:themeColor="text1"/>
                <w:spacing w:val="-2"/>
                <w:sz w:val="16"/>
              </w:rPr>
              <w:t>202</w:t>
            </w:r>
            <w:r w:rsidR="0060375C">
              <w:rPr>
                <w:color w:val="000000" w:themeColor="text1"/>
                <w:spacing w:val="-2"/>
                <w:sz w:val="16"/>
              </w:rPr>
              <w:t>5</w:t>
            </w:r>
            <w:r w:rsidRPr="00A76734">
              <w:rPr>
                <w:color w:val="000000" w:themeColor="text1"/>
                <w:spacing w:val="-2"/>
                <w:sz w:val="16"/>
              </w:rPr>
              <w:t>-2</w:t>
            </w:r>
            <w:r w:rsidR="0060375C">
              <w:rPr>
                <w:color w:val="000000" w:themeColor="text1"/>
                <w:spacing w:val="-2"/>
                <w:sz w:val="16"/>
              </w:rPr>
              <w:t>8</w:t>
            </w:r>
          </w:p>
        </w:tc>
        <w:tc>
          <w:tcPr>
            <w:tcW w:w="3118" w:type="dxa"/>
            <w:tcBorders>
              <w:top w:val="single" w:sz="4" w:space="0" w:color="auto"/>
            </w:tcBorders>
          </w:tcPr>
          <w:p w14:paraId="0A36E389" w14:textId="107059D8" w:rsidR="00F45E09" w:rsidRPr="00A76734" w:rsidRDefault="00F45E09" w:rsidP="00C91485">
            <w:pPr>
              <w:pStyle w:val="TableParagraph"/>
              <w:spacing w:before="20" w:line="180" w:lineRule="atLeast"/>
              <w:ind w:left="107" w:right="676"/>
              <w:rPr>
                <w:i/>
                <w:color w:val="000000" w:themeColor="text1"/>
                <w:sz w:val="16"/>
              </w:rPr>
            </w:pPr>
            <w:r w:rsidRPr="00A76734">
              <w:rPr>
                <w:bCs/>
                <w:color w:val="000000" w:themeColor="text1"/>
                <w:sz w:val="16"/>
                <w:szCs w:val="16"/>
              </w:rPr>
              <w:t>As per 202</w:t>
            </w:r>
            <w:r w:rsidR="0060375C">
              <w:rPr>
                <w:bCs/>
                <w:color w:val="000000" w:themeColor="text1"/>
                <w:sz w:val="16"/>
                <w:szCs w:val="16"/>
              </w:rPr>
              <w:t>4</w:t>
            </w:r>
            <w:r w:rsidRPr="00A76734">
              <w:rPr>
                <w:bCs/>
                <w:color w:val="000000" w:themeColor="text1"/>
                <w:sz w:val="16"/>
                <w:szCs w:val="16"/>
              </w:rPr>
              <w:t>-2</w:t>
            </w:r>
            <w:r w:rsidR="0060375C">
              <w:rPr>
                <w:bCs/>
                <w:color w:val="000000" w:themeColor="text1"/>
                <w:sz w:val="16"/>
                <w:szCs w:val="16"/>
              </w:rPr>
              <w:t>5</w:t>
            </w:r>
          </w:p>
        </w:tc>
        <w:tc>
          <w:tcPr>
            <w:tcW w:w="2692" w:type="dxa"/>
            <w:tcBorders>
              <w:top w:val="single" w:sz="4" w:space="0" w:color="auto"/>
            </w:tcBorders>
          </w:tcPr>
          <w:p w14:paraId="76C3BD2F" w14:textId="6CA21C57" w:rsidR="00F45E09" w:rsidRPr="00A76734" w:rsidRDefault="00F45E09" w:rsidP="00C91485">
            <w:pPr>
              <w:pStyle w:val="TableParagraph"/>
              <w:spacing w:before="20"/>
              <w:ind w:left="107" w:right="309"/>
              <w:rPr>
                <w:i/>
                <w:color w:val="000000" w:themeColor="text1"/>
                <w:sz w:val="16"/>
              </w:rPr>
            </w:pPr>
            <w:r w:rsidRPr="00A76734">
              <w:rPr>
                <w:iCs/>
                <w:color w:val="000000" w:themeColor="text1"/>
                <w:sz w:val="16"/>
                <w:szCs w:val="16"/>
              </w:rPr>
              <w:t>As per 202</w:t>
            </w:r>
            <w:r w:rsidR="0060375C">
              <w:rPr>
                <w:iCs/>
                <w:color w:val="000000" w:themeColor="text1"/>
                <w:sz w:val="16"/>
                <w:szCs w:val="16"/>
              </w:rPr>
              <w:t>4</w:t>
            </w:r>
            <w:r w:rsidRPr="00A76734">
              <w:rPr>
                <w:iCs/>
                <w:color w:val="000000" w:themeColor="text1"/>
                <w:sz w:val="16"/>
                <w:szCs w:val="16"/>
              </w:rPr>
              <w:t>-2</w:t>
            </w:r>
            <w:r w:rsidR="0060375C">
              <w:rPr>
                <w:iCs/>
                <w:color w:val="000000" w:themeColor="text1"/>
                <w:sz w:val="16"/>
                <w:szCs w:val="16"/>
              </w:rPr>
              <w:t>5</w:t>
            </w:r>
          </w:p>
        </w:tc>
      </w:tr>
    </w:tbl>
    <w:p w14:paraId="7AC06C80" w14:textId="77777777" w:rsidR="00955559" w:rsidRPr="00A76734" w:rsidRDefault="00955559" w:rsidP="00955559">
      <w:pPr>
        <w:spacing w:before="0" w:after="0" w:line="240" w:lineRule="auto"/>
        <w:rPr>
          <w:color w:val="000000" w:themeColor="text1"/>
        </w:rPr>
      </w:pPr>
      <w:r w:rsidRPr="00A76734">
        <w:rPr>
          <w:color w:val="000000" w:themeColor="text1"/>
        </w:rPr>
        <w:br w:type="page"/>
      </w:r>
    </w:p>
    <w:p w14:paraId="4D5747A1" w14:textId="27E7F8B3" w:rsidR="00955559" w:rsidRPr="00A76734" w:rsidRDefault="00955559" w:rsidP="00955559">
      <w:pPr>
        <w:pStyle w:val="Heading2"/>
        <w:rPr>
          <w:color w:val="000000" w:themeColor="text1"/>
        </w:rPr>
      </w:pPr>
      <w:r w:rsidRPr="00A76734">
        <w:rPr>
          <w:color w:val="000000" w:themeColor="text1"/>
        </w:rPr>
        <w:lastRenderedPageBreak/>
        <w:t>Section 3: Budgeted financial statements</w:t>
      </w:r>
    </w:p>
    <w:p w14:paraId="2863D42A" w14:textId="2EC2D9C2" w:rsidR="00955559" w:rsidRPr="00A76734" w:rsidRDefault="00955559" w:rsidP="00955559">
      <w:pPr>
        <w:rPr>
          <w:color w:val="000000" w:themeColor="text1"/>
        </w:rPr>
      </w:pPr>
      <w:r w:rsidRPr="00A76734">
        <w:rPr>
          <w:color w:val="000000" w:themeColor="text1"/>
        </w:rPr>
        <w:t>Section 3 presents budgeted financial statements which provide a comprehensive snapshot of entity finances for the 202</w:t>
      </w:r>
      <w:r w:rsidR="004D2800">
        <w:rPr>
          <w:color w:val="000000" w:themeColor="text1"/>
        </w:rPr>
        <w:t>4</w:t>
      </w:r>
      <w:r w:rsidRPr="00A76734">
        <w:rPr>
          <w:color w:val="000000" w:themeColor="text1"/>
        </w:rPr>
        <w:t>-2</w:t>
      </w:r>
      <w:r w:rsidR="004D2800">
        <w:rPr>
          <w:color w:val="000000" w:themeColor="text1"/>
        </w:rPr>
        <w:t>5</w:t>
      </w:r>
      <w:r w:rsidRPr="00A76734">
        <w:rPr>
          <w:color w:val="000000" w:themeColor="text1"/>
        </w:rPr>
        <w:t xml:space="preserve"> budget year, including the impact of budget measures and resourcing on financial statements.</w:t>
      </w:r>
    </w:p>
    <w:p w14:paraId="18CF1F95" w14:textId="77777777" w:rsidR="00955559" w:rsidRPr="00A76734" w:rsidRDefault="00955559" w:rsidP="00955559">
      <w:pPr>
        <w:pStyle w:val="Heading3"/>
        <w:rPr>
          <w:color w:val="000000" w:themeColor="text1"/>
        </w:rPr>
      </w:pPr>
      <w:r w:rsidRPr="00A76734">
        <w:rPr>
          <w:color w:val="000000" w:themeColor="text1"/>
        </w:rPr>
        <w:t>3.1</w:t>
      </w:r>
      <w:r w:rsidRPr="00A76734">
        <w:rPr>
          <w:color w:val="000000" w:themeColor="text1"/>
        </w:rPr>
        <w:tab/>
        <w:t>Budgeted financial statements</w:t>
      </w:r>
    </w:p>
    <w:p w14:paraId="5CFB662D" w14:textId="655BEFA6" w:rsidR="00955559" w:rsidRPr="00A76734" w:rsidRDefault="00955559" w:rsidP="00955559">
      <w:pPr>
        <w:pStyle w:val="Heading4"/>
        <w:rPr>
          <w:color w:val="000000" w:themeColor="text1"/>
        </w:rPr>
      </w:pPr>
      <w:r w:rsidRPr="00A76734">
        <w:rPr>
          <w:color w:val="000000" w:themeColor="text1"/>
        </w:rPr>
        <w:t>3.1.1</w:t>
      </w:r>
      <w:r w:rsidRPr="00A76734">
        <w:rPr>
          <w:color w:val="000000" w:themeColor="text1"/>
        </w:rPr>
        <w:tab/>
        <w:t>Differences between entity resourcing and financial statements</w:t>
      </w:r>
    </w:p>
    <w:p w14:paraId="0BF48E64" w14:textId="77777777" w:rsidR="00C2516E" w:rsidRPr="00A76734" w:rsidRDefault="00C2516E" w:rsidP="00C2516E">
      <w:pPr>
        <w:pStyle w:val="Exampletext"/>
        <w:rPr>
          <w:color w:val="000000" w:themeColor="text1"/>
          <w:sz w:val="20"/>
          <w:lang w:val="en-AU"/>
        </w:rPr>
      </w:pPr>
      <w:r w:rsidRPr="00A76734">
        <w:rPr>
          <w:i w:val="0"/>
          <w:color w:val="000000" w:themeColor="text1"/>
          <w:lang w:val="en-AU"/>
        </w:rPr>
        <w:t>There has been no difference between the resource information presented in the Budget Papers and in Austrade’s Portfolio Budget Statements.</w:t>
      </w:r>
    </w:p>
    <w:p w14:paraId="54962C08" w14:textId="77777777" w:rsidR="00955559" w:rsidRPr="00A76734" w:rsidRDefault="00955559" w:rsidP="00955559">
      <w:pPr>
        <w:pStyle w:val="Heading4"/>
        <w:rPr>
          <w:color w:val="000000" w:themeColor="text1"/>
        </w:rPr>
      </w:pPr>
      <w:r w:rsidRPr="00A76734">
        <w:rPr>
          <w:color w:val="000000" w:themeColor="text1"/>
        </w:rPr>
        <w:t>3.1.2</w:t>
      </w:r>
      <w:r w:rsidRPr="00A76734">
        <w:rPr>
          <w:color w:val="000000" w:themeColor="text1"/>
        </w:rPr>
        <w:tab/>
        <w:t>Explanatory notes and analysis of budgeted financial statements</w:t>
      </w:r>
    </w:p>
    <w:p w14:paraId="7036B583" w14:textId="77777777" w:rsidR="00C2516E" w:rsidRPr="00A76734" w:rsidRDefault="00C2516E" w:rsidP="00C2516E">
      <w:pPr>
        <w:pStyle w:val="Exampletext"/>
        <w:rPr>
          <w:color w:val="000000" w:themeColor="text1"/>
          <w:sz w:val="20"/>
          <w:lang w:val="en-AU"/>
        </w:rPr>
      </w:pPr>
      <w:r w:rsidRPr="00A76734">
        <w:rPr>
          <w:i w:val="0"/>
          <w:color w:val="000000" w:themeColor="text1"/>
          <w:lang w:val="en-AU"/>
        </w:rPr>
        <w:t>An analysis of Austrade’s budgeted financial statements, as reflected in the departmental financial statements and administered schedules, is provided below.</w:t>
      </w:r>
    </w:p>
    <w:p w14:paraId="51931A6A" w14:textId="152DF5FA" w:rsidR="00E70FE5" w:rsidRPr="00A76734" w:rsidRDefault="00E70FE5" w:rsidP="00E70FE5">
      <w:pPr>
        <w:pStyle w:val="Exampletext"/>
        <w:rPr>
          <w:rFonts w:ascii="Arial" w:hAnsi="Arial"/>
          <w:b/>
          <w:i w:val="0"/>
          <w:color w:val="000000" w:themeColor="text1"/>
          <w:lang w:val="en-AU"/>
        </w:rPr>
      </w:pPr>
      <w:r w:rsidRPr="00A76734">
        <w:rPr>
          <w:rFonts w:ascii="Arial" w:hAnsi="Arial"/>
          <w:b/>
          <w:i w:val="0"/>
          <w:color w:val="000000" w:themeColor="text1"/>
          <w:lang w:val="en-AU"/>
        </w:rPr>
        <w:t xml:space="preserve">Departmental </w:t>
      </w:r>
      <w:r w:rsidR="00C9376D">
        <w:rPr>
          <w:rFonts w:ascii="Arial" w:hAnsi="Arial"/>
          <w:b/>
          <w:i w:val="0"/>
          <w:color w:val="000000" w:themeColor="text1"/>
          <w:lang w:val="en-AU"/>
        </w:rPr>
        <w:t>f</w:t>
      </w:r>
      <w:r w:rsidRPr="00A76734">
        <w:rPr>
          <w:rFonts w:ascii="Arial" w:hAnsi="Arial"/>
          <w:b/>
          <w:i w:val="0"/>
          <w:color w:val="000000" w:themeColor="text1"/>
          <w:lang w:val="en-AU"/>
        </w:rPr>
        <w:t xml:space="preserve">inancial </w:t>
      </w:r>
      <w:r w:rsidR="00C9376D">
        <w:rPr>
          <w:rFonts w:ascii="Arial" w:hAnsi="Arial"/>
          <w:b/>
          <w:i w:val="0"/>
          <w:color w:val="000000" w:themeColor="text1"/>
          <w:lang w:val="en-AU"/>
        </w:rPr>
        <w:t>s</w:t>
      </w:r>
      <w:r w:rsidRPr="00A76734">
        <w:rPr>
          <w:rFonts w:ascii="Arial" w:hAnsi="Arial"/>
          <w:b/>
          <w:i w:val="0"/>
          <w:color w:val="000000" w:themeColor="text1"/>
          <w:lang w:val="en-AU"/>
        </w:rPr>
        <w:t>tatements</w:t>
      </w:r>
    </w:p>
    <w:p w14:paraId="136932D8" w14:textId="77777777" w:rsidR="00E70FE5" w:rsidRPr="00A76734" w:rsidRDefault="00E70FE5" w:rsidP="00347753">
      <w:pPr>
        <w:pStyle w:val="ExampleText0"/>
        <w:rPr>
          <w:color w:val="000000" w:themeColor="text1"/>
        </w:rPr>
      </w:pPr>
      <w:r w:rsidRPr="00A76734">
        <w:rPr>
          <w:i w:val="0"/>
          <w:color w:val="000000" w:themeColor="text1"/>
        </w:rPr>
        <w:t>The Departmental financial statements represent the assets, liabilities, revenues and expenses which are controlled by Austrade. Departmental expenses include employee and supplier expenses and other administrative costs which are incurred by Austrade in undertaking its operations.</w:t>
      </w:r>
    </w:p>
    <w:p w14:paraId="45D0563F" w14:textId="77777777" w:rsidR="00E70FE5" w:rsidRPr="00A76734" w:rsidRDefault="00E70FE5" w:rsidP="00E70FE5">
      <w:pPr>
        <w:pStyle w:val="Exampletext"/>
        <w:rPr>
          <w:rFonts w:ascii="Arial" w:hAnsi="Arial"/>
          <w:b/>
          <w:i w:val="0"/>
          <w:color w:val="000000" w:themeColor="text1"/>
          <w:lang w:val="en-AU"/>
        </w:rPr>
      </w:pPr>
      <w:r w:rsidRPr="00A76734">
        <w:rPr>
          <w:rFonts w:ascii="Arial" w:hAnsi="Arial"/>
          <w:b/>
          <w:i w:val="0"/>
          <w:color w:val="000000" w:themeColor="text1"/>
          <w:lang w:val="en-AU"/>
        </w:rPr>
        <w:t>Budgeted departmental comprehensive income statement</w:t>
      </w:r>
    </w:p>
    <w:p w14:paraId="64897731" w14:textId="3CFAF852" w:rsidR="00E70FE5" w:rsidRPr="00A76734" w:rsidRDefault="00E70FE5" w:rsidP="00E70FE5">
      <w:pPr>
        <w:pStyle w:val="Exampletext"/>
        <w:rPr>
          <w:i w:val="0"/>
          <w:color w:val="000000" w:themeColor="text1"/>
          <w:lang w:val="en-AU"/>
        </w:rPr>
      </w:pPr>
      <w:r w:rsidRPr="00A76734">
        <w:rPr>
          <w:i w:val="0"/>
          <w:color w:val="000000" w:themeColor="text1"/>
          <w:lang w:val="en-AU"/>
        </w:rPr>
        <w:t>This statement provides estimated actual financial results for 202</w:t>
      </w:r>
      <w:r w:rsidR="004D2800">
        <w:rPr>
          <w:i w:val="0"/>
          <w:color w:val="000000" w:themeColor="text1"/>
          <w:lang w:val="en-AU"/>
        </w:rPr>
        <w:t>3</w:t>
      </w:r>
      <w:r w:rsidRPr="00A76734">
        <w:rPr>
          <w:i w:val="0"/>
          <w:color w:val="000000" w:themeColor="text1"/>
          <w:lang w:val="en-AU"/>
        </w:rPr>
        <w:t>-2</w:t>
      </w:r>
      <w:r w:rsidR="004D2800">
        <w:rPr>
          <w:i w:val="0"/>
          <w:color w:val="000000" w:themeColor="text1"/>
          <w:lang w:val="en-AU"/>
        </w:rPr>
        <w:t>4</w:t>
      </w:r>
      <w:r w:rsidRPr="00A76734">
        <w:rPr>
          <w:i w:val="0"/>
          <w:color w:val="000000" w:themeColor="text1"/>
          <w:lang w:val="en-AU"/>
        </w:rPr>
        <w:t xml:space="preserve"> and the estimated revenue and expenses for 202</w:t>
      </w:r>
      <w:r w:rsidR="004D2800">
        <w:rPr>
          <w:i w:val="0"/>
          <w:color w:val="000000" w:themeColor="text1"/>
          <w:lang w:val="en-AU"/>
        </w:rPr>
        <w:t>4</w:t>
      </w:r>
      <w:r w:rsidRPr="00A76734">
        <w:rPr>
          <w:i w:val="0"/>
          <w:color w:val="000000" w:themeColor="text1"/>
          <w:lang w:val="en-AU"/>
        </w:rPr>
        <w:t>-2</w:t>
      </w:r>
      <w:r w:rsidR="004D2800">
        <w:rPr>
          <w:i w:val="0"/>
          <w:color w:val="000000" w:themeColor="text1"/>
          <w:lang w:val="en-AU"/>
        </w:rPr>
        <w:t>5</w:t>
      </w:r>
      <w:r w:rsidRPr="00A76734">
        <w:rPr>
          <w:i w:val="0"/>
          <w:color w:val="000000" w:themeColor="text1"/>
          <w:lang w:val="en-AU"/>
        </w:rPr>
        <w:t xml:space="preserve"> and forward years. </w:t>
      </w:r>
    </w:p>
    <w:p w14:paraId="08AE7782" w14:textId="6DB0F4C1" w:rsidR="00E70FE5" w:rsidRPr="00A76734" w:rsidRDefault="00E70FE5" w:rsidP="00E70FE5">
      <w:pPr>
        <w:pStyle w:val="ExampleText0"/>
        <w:rPr>
          <w:i w:val="0"/>
          <w:color w:val="000000" w:themeColor="text1"/>
        </w:rPr>
      </w:pPr>
      <w:r w:rsidRPr="00A76734">
        <w:rPr>
          <w:i w:val="0"/>
          <w:color w:val="000000" w:themeColor="text1"/>
        </w:rPr>
        <w:t>Total income in 202</w:t>
      </w:r>
      <w:r w:rsidR="004D2800">
        <w:rPr>
          <w:i w:val="0"/>
          <w:color w:val="000000" w:themeColor="text1"/>
        </w:rPr>
        <w:t>4</w:t>
      </w:r>
      <w:r w:rsidRPr="00A76734">
        <w:rPr>
          <w:i w:val="0"/>
          <w:color w:val="000000" w:themeColor="text1"/>
        </w:rPr>
        <w:t>-2</w:t>
      </w:r>
      <w:r w:rsidR="004D2800">
        <w:rPr>
          <w:i w:val="0"/>
          <w:color w:val="000000" w:themeColor="text1"/>
        </w:rPr>
        <w:t>5</w:t>
      </w:r>
      <w:r w:rsidRPr="00A76734">
        <w:rPr>
          <w:i w:val="0"/>
          <w:color w:val="000000" w:themeColor="text1"/>
        </w:rPr>
        <w:t xml:space="preserve"> is estimated to be $</w:t>
      </w:r>
      <w:r w:rsidR="00A72F88">
        <w:rPr>
          <w:i w:val="0"/>
          <w:color w:val="000000" w:themeColor="text1"/>
        </w:rPr>
        <w:t>290.5</w:t>
      </w:r>
      <w:r w:rsidRPr="00A76734">
        <w:rPr>
          <w:i w:val="0"/>
          <w:color w:val="000000" w:themeColor="text1"/>
        </w:rPr>
        <w:t xml:space="preserve"> million includ</w:t>
      </w:r>
      <w:r w:rsidR="00130F78" w:rsidRPr="00A76734">
        <w:rPr>
          <w:i w:val="0"/>
          <w:color w:val="000000" w:themeColor="text1"/>
        </w:rPr>
        <w:t>ing</w:t>
      </w:r>
      <w:r w:rsidRPr="00A76734">
        <w:rPr>
          <w:i w:val="0"/>
          <w:color w:val="000000" w:themeColor="text1"/>
        </w:rPr>
        <w:t xml:space="preserve"> $</w:t>
      </w:r>
      <w:r w:rsidR="00A70CC7">
        <w:rPr>
          <w:i w:val="0"/>
          <w:color w:val="000000" w:themeColor="text1"/>
        </w:rPr>
        <w:t>19.9</w:t>
      </w:r>
      <w:r w:rsidRPr="00A76734">
        <w:rPr>
          <w:i w:val="0"/>
          <w:color w:val="000000" w:themeColor="text1"/>
        </w:rPr>
        <w:t xml:space="preserve"> million in funding for the new measures outlined in Table 1.2:</w:t>
      </w:r>
      <w:r w:rsidRPr="00A76734">
        <w:rPr>
          <w:rFonts w:eastAsiaTheme="minorHAnsi" w:cs="Book Antiqua"/>
          <w:i w:val="0"/>
          <w:color w:val="000000" w:themeColor="text1"/>
          <w:szCs w:val="19"/>
          <w:lang w:eastAsia="en-US"/>
        </w:rPr>
        <w:t xml:space="preserve"> </w:t>
      </w:r>
      <w:r w:rsidR="0040013B">
        <w:rPr>
          <w:i w:val="0"/>
          <w:color w:val="000000" w:themeColor="text1"/>
        </w:rPr>
        <w:t>Entity</w:t>
      </w:r>
      <w:r w:rsidRPr="00A76734">
        <w:rPr>
          <w:i w:val="0"/>
          <w:color w:val="000000" w:themeColor="text1"/>
        </w:rPr>
        <w:t xml:space="preserve"> 202</w:t>
      </w:r>
      <w:r w:rsidR="00A70CC7">
        <w:rPr>
          <w:i w:val="0"/>
          <w:color w:val="000000" w:themeColor="text1"/>
        </w:rPr>
        <w:t>4</w:t>
      </w:r>
      <w:r w:rsidRPr="00A76734">
        <w:rPr>
          <w:i w:val="0"/>
          <w:color w:val="000000" w:themeColor="text1"/>
        </w:rPr>
        <w:t>-2</w:t>
      </w:r>
      <w:r w:rsidR="00A70CC7">
        <w:rPr>
          <w:i w:val="0"/>
          <w:color w:val="000000" w:themeColor="text1"/>
        </w:rPr>
        <w:t>5</w:t>
      </w:r>
      <w:r w:rsidRPr="00A76734">
        <w:rPr>
          <w:i w:val="0"/>
          <w:color w:val="000000" w:themeColor="text1"/>
        </w:rPr>
        <w:t xml:space="preserve"> Budget measures.</w:t>
      </w:r>
    </w:p>
    <w:p w14:paraId="282B6E80" w14:textId="384028BD" w:rsidR="00E70FE5" w:rsidRPr="00A76734" w:rsidRDefault="00E70FE5" w:rsidP="00E70FE5">
      <w:pPr>
        <w:pStyle w:val="Exampletext"/>
        <w:rPr>
          <w:i w:val="0"/>
          <w:color w:val="000000" w:themeColor="text1"/>
          <w:lang w:val="en-AU"/>
        </w:rPr>
      </w:pPr>
      <w:r w:rsidRPr="00A76734">
        <w:rPr>
          <w:i w:val="0"/>
          <w:color w:val="000000" w:themeColor="text1"/>
          <w:lang w:val="en-AU"/>
        </w:rPr>
        <w:t>The recognition of expense for lease assets and payments under AASB 16 is presented in Table 3.1</w:t>
      </w:r>
      <w:r w:rsidR="0040013B">
        <w:rPr>
          <w:i w:val="0"/>
          <w:color w:val="000000" w:themeColor="text1"/>
          <w:lang w:val="en-AU"/>
        </w:rPr>
        <w:t>:</w:t>
      </w:r>
      <w:r w:rsidRPr="00A76734">
        <w:rPr>
          <w:i w:val="0"/>
          <w:color w:val="000000" w:themeColor="text1"/>
          <w:lang w:val="en-AU"/>
        </w:rPr>
        <w:t xml:space="preserve"> Comprehensive Income Statement.</w:t>
      </w:r>
    </w:p>
    <w:p w14:paraId="253AE7CA" w14:textId="77777777" w:rsidR="00E70FE5" w:rsidRPr="00A76734" w:rsidRDefault="00E70FE5" w:rsidP="00E70FE5">
      <w:pPr>
        <w:pStyle w:val="Exampletext"/>
        <w:rPr>
          <w:rFonts w:ascii="Arial" w:hAnsi="Arial"/>
          <w:b/>
          <w:i w:val="0"/>
          <w:color w:val="000000" w:themeColor="text1"/>
          <w:lang w:val="en-AU"/>
        </w:rPr>
      </w:pPr>
      <w:r w:rsidRPr="00A76734">
        <w:rPr>
          <w:rFonts w:ascii="Arial" w:hAnsi="Arial"/>
          <w:b/>
          <w:i w:val="0"/>
          <w:color w:val="000000" w:themeColor="text1"/>
          <w:lang w:val="en-AU"/>
        </w:rPr>
        <w:t>Budgeted departmental balance sheet</w:t>
      </w:r>
    </w:p>
    <w:p w14:paraId="5FDAE834" w14:textId="1B555891" w:rsidR="00E70FE5" w:rsidRPr="00A76734" w:rsidRDefault="00E70FE5" w:rsidP="00E70FE5">
      <w:pPr>
        <w:pStyle w:val="Exampletext"/>
        <w:rPr>
          <w:i w:val="0"/>
          <w:color w:val="000000" w:themeColor="text1"/>
          <w:lang w:val="en-AU"/>
        </w:rPr>
      </w:pPr>
      <w:r w:rsidRPr="00A76734">
        <w:rPr>
          <w:i w:val="0"/>
          <w:color w:val="000000" w:themeColor="text1"/>
          <w:lang w:val="en-AU"/>
        </w:rPr>
        <w:t>This statement discloses the estimated end of year financial position for Austrade. Austrade’s budgeted net asset position at the end of 202</w:t>
      </w:r>
      <w:r w:rsidR="004D2800">
        <w:rPr>
          <w:i w:val="0"/>
          <w:color w:val="000000" w:themeColor="text1"/>
          <w:lang w:val="en-AU"/>
        </w:rPr>
        <w:t>4</w:t>
      </w:r>
      <w:r w:rsidRPr="00A76734">
        <w:rPr>
          <w:i w:val="0"/>
          <w:color w:val="000000" w:themeColor="text1"/>
          <w:lang w:val="en-AU"/>
        </w:rPr>
        <w:t>-2</w:t>
      </w:r>
      <w:r w:rsidR="004D2800">
        <w:rPr>
          <w:i w:val="0"/>
          <w:color w:val="000000" w:themeColor="text1"/>
          <w:lang w:val="en-AU"/>
        </w:rPr>
        <w:t>5</w:t>
      </w:r>
      <w:r w:rsidRPr="00A76734">
        <w:rPr>
          <w:i w:val="0"/>
          <w:color w:val="000000" w:themeColor="text1"/>
          <w:lang w:val="en-AU"/>
        </w:rPr>
        <w:t xml:space="preserve"> </w:t>
      </w:r>
      <w:r w:rsidR="0040013B">
        <w:rPr>
          <w:i w:val="0"/>
          <w:color w:val="000000" w:themeColor="text1"/>
          <w:lang w:val="en-AU"/>
        </w:rPr>
        <w:t>is</w:t>
      </w:r>
      <w:r w:rsidRPr="00A76734">
        <w:rPr>
          <w:i w:val="0"/>
          <w:color w:val="000000" w:themeColor="text1"/>
          <w:lang w:val="en-AU"/>
        </w:rPr>
        <w:t xml:space="preserve"> </w:t>
      </w:r>
      <w:r w:rsidR="004949F8">
        <w:rPr>
          <w:i w:val="0"/>
          <w:color w:val="000000" w:themeColor="text1"/>
          <w:lang w:val="en-AU"/>
        </w:rPr>
        <w:t>(</w:t>
      </w:r>
      <w:r w:rsidRPr="00A76734">
        <w:rPr>
          <w:i w:val="0"/>
          <w:color w:val="000000" w:themeColor="text1"/>
          <w:lang w:val="en-AU"/>
        </w:rPr>
        <w:t>$</w:t>
      </w:r>
      <w:r w:rsidR="004949F8">
        <w:rPr>
          <w:i w:val="0"/>
          <w:color w:val="000000" w:themeColor="text1"/>
          <w:lang w:val="en-AU"/>
        </w:rPr>
        <w:t>0.8)</w:t>
      </w:r>
      <w:r w:rsidRPr="00A76734">
        <w:rPr>
          <w:i w:val="0"/>
          <w:color w:val="000000" w:themeColor="text1"/>
          <w:lang w:val="en-AU"/>
        </w:rPr>
        <w:t xml:space="preserve"> million, a decrease of $</w:t>
      </w:r>
      <w:r w:rsidR="004949F8">
        <w:rPr>
          <w:i w:val="0"/>
          <w:color w:val="000000" w:themeColor="text1"/>
          <w:lang w:val="en-AU"/>
        </w:rPr>
        <w:t>4.4</w:t>
      </w:r>
      <w:r w:rsidRPr="00A76734">
        <w:rPr>
          <w:i w:val="0"/>
          <w:color w:val="000000" w:themeColor="text1"/>
          <w:lang w:val="en-AU"/>
        </w:rPr>
        <w:t xml:space="preserve"> million from the closing 202</w:t>
      </w:r>
      <w:r w:rsidR="004D2800">
        <w:rPr>
          <w:i w:val="0"/>
          <w:color w:val="000000" w:themeColor="text1"/>
          <w:lang w:val="en-AU"/>
        </w:rPr>
        <w:t>3</w:t>
      </w:r>
      <w:r w:rsidRPr="00A76734">
        <w:rPr>
          <w:i w:val="0"/>
          <w:color w:val="000000" w:themeColor="text1"/>
          <w:lang w:val="en-AU"/>
        </w:rPr>
        <w:t>-2</w:t>
      </w:r>
      <w:r w:rsidR="004D2800">
        <w:rPr>
          <w:i w:val="0"/>
          <w:color w:val="000000" w:themeColor="text1"/>
          <w:lang w:val="en-AU"/>
        </w:rPr>
        <w:t>4</w:t>
      </w:r>
      <w:r w:rsidRPr="00A76734">
        <w:rPr>
          <w:i w:val="0"/>
          <w:color w:val="000000" w:themeColor="text1"/>
          <w:lang w:val="en-AU"/>
        </w:rPr>
        <w:t xml:space="preserve"> position. </w:t>
      </w:r>
    </w:p>
    <w:p w14:paraId="6C0AF917" w14:textId="77777777" w:rsidR="00E70FE5" w:rsidRPr="00A76734" w:rsidRDefault="00E70FE5" w:rsidP="00E70FE5">
      <w:pPr>
        <w:pStyle w:val="Exampletext"/>
        <w:rPr>
          <w:rFonts w:ascii="Arial" w:hAnsi="Arial"/>
          <w:b/>
          <w:i w:val="0"/>
          <w:color w:val="000000" w:themeColor="text1"/>
          <w:lang w:val="en-AU"/>
        </w:rPr>
      </w:pPr>
      <w:r w:rsidRPr="00A76734">
        <w:rPr>
          <w:rFonts w:ascii="Arial" w:hAnsi="Arial"/>
          <w:b/>
          <w:i w:val="0"/>
          <w:color w:val="000000" w:themeColor="text1"/>
          <w:lang w:val="en-AU"/>
        </w:rPr>
        <w:t>Departmental capital budget statement</w:t>
      </w:r>
    </w:p>
    <w:p w14:paraId="410E31B1" w14:textId="54863865" w:rsidR="00E70FE5" w:rsidRPr="00A76734" w:rsidRDefault="00E70FE5" w:rsidP="00C76C14">
      <w:pPr>
        <w:pStyle w:val="Exampletext"/>
        <w:rPr>
          <w:rFonts w:ascii="Arial" w:hAnsi="Arial"/>
          <w:b/>
          <w:color w:val="000000" w:themeColor="text1"/>
        </w:rPr>
      </w:pPr>
      <w:r w:rsidRPr="00A76734">
        <w:rPr>
          <w:i w:val="0"/>
          <w:color w:val="000000" w:themeColor="text1"/>
          <w:lang w:val="en-AU"/>
        </w:rPr>
        <w:t>This statement shows all planned departmental capital expenditure on non-financial assets, whether funded through capital appropriations, additional equity, borrowings, or funds from internal sources.</w:t>
      </w:r>
      <w:r w:rsidRPr="00A76734">
        <w:rPr>
          <w:rFonts w:ascii="Arial" w:hAnsi="Arial"/>
          <w:b/>
          <w:color w:val="000000" w:themeColor="text1"/>
        </w:rPr>
        <w:br w:type="page"/>
      </w:r>
    </w:p>
    <w:p w14:paraId="1515BABC" w14:textId="0A3226FB" w:rsidR="00E70FE5" w:rsidRPr="00DD4364" w:rsidRDefault="00E70FE5" w:rsidP="00E70FE5">
      <w:pPr>
        <w:pStyle w:val="Exampletext"/>
        <w:rPr>
          <w:rFonts w:ascii="Arial" w:hAnsi="Arial"/>
          <w:b/>
          <w:i w:val="0"/>
          <w:color w:val="000000" w:themeColor="text1"/>
          <w:lang w:val="en-AU"/>
        </w:rPr>
      </w:pPr>
      <w:r w:rsidRPr="00DD4364">
        <w:rPr>
          <w:rFonts w:ascii="Arial" w:hAnsi="Arial"/>
          <w:b/>
          <w:i w:val="0"/>
          <w:color w:val="000000" w:themeColor="text1"/>
          <w:lang w:val="en-AU"/>
        </w:rPr>
        <w:lastRenderedPageBreak/>
        <w:t>Departmental statement of asset movements</w:t>
      </w:r>
    </w:p>
    <w:p w14:paraId="7DA984A7" w14:textId="77777777" w:rsidR="00E70FE5" w:rsidRPr="00DD4364" w:rsidRDefault="00E70FE5" w:rsidP="00E70FE5">
      <w:pPr>
        <w:pStyle w:val="Exampletext"/>
        <w:rPr>
          <w:i w:val="0"/>
          <w:color w:val="000000" w:themeColor="text1"/>
          <w:lang w:val="en-AU"/>
        </w:rPr>
      </w:pPr>
      <w:r w:rsidRPr="00DD4364">
        <w:rPr>
          <w:i w:val="0"/>
          <w:color w:val="000000" w:themeColor="text1"/>
          <w:lang w:val="en-AU"/>
        </w:rPr>
        <w:t>This statement shows budgeted acquisitions and disposals of non-financial assets during the budget year.</w:t>
      </w:r>
    </w:p>
    <w:p w14:paraId="6B52EA02" w14:textId="77777777" w:rsidR="00E70FE5" w:rsidRPr="006F1AC0" w:rsidRDefault="00E70FE5" w:rsidP="00E70FE5">
      <w:pPr>
        <w:pStyle w:val="Exampletext"/>
        <w:rPr>
          <w:rFonts w:ascii="Arial" w:hAnsi="Arial"/>
          <w:b/>
          <w:i w:val="0"/>
          <w:color w:val="000000" w:themeColor="text1"/>
          <w:lang w:val="en-AU"/>
        </w:rPr>
      </w:pPr>
      <w:r w:rsidRPr="006F1AC0">
        <w:rPr>
          <w:rFonts w:ascii="Arial" w:hAnsi="Arial"/>
          <w:b/>
          <w:i w:val="0"/>
          <w:color w:val="000000" w:themeColor="text1"/>
          <w:lang w:val="en-AU"/>
        </w:rPr>
        <w:t>Schedule of administered activity</w:t>
      </w:r>
    </w:p>
    <w:p w14:paraId="66E84BEE" w14:textId="77777777" w:rsidR="00E70FE5" w:rsidRPr="006F1AC0" w:rsidRDefault="00E70FE5" w:rsidP="00E70FE5">
      <w:pPr>
        <w:pStyle w:val="Exampletext"/>
        <w:rPr>
          <w:i w:val="0"/>
          <w:color w:val="000000" w:themeColor="text1"/>
          <w:lang w:val="en-AU"/>
        </w:rPr>
      </w:pPr>
      <w:r w:rsidRPr="006F1AC0">
        <w:rPr>
          <w:i w:val="0"/>
          <w:color w:val="000000" w:themeColor="text1"/>
          <w:lang w:val="en-AU"/>
        </w:rPr>
        <w:t>Details of transactions administered by Austrade on behalf of the Government are shown in the following schedules to the financial statements.</w:t>
      </w:r>
    </w:p>
    <w:p w14:paraId="78B5D761" w14:textId="77777777" w:rsidR="00E70FE5" w:rsidRPr="00DE6468" w:rsidRDefault="00E70FE5" w:rsidP="00E70FE5">
      <w:pPr>
        <w:pStyle w:val="Exampletext"/>
        <w:rPr>
          <w:rFonts w:ascii="Arial" w:hAnsi="Arial"/>
          <w:b/>
          <w:i w:val="0"/>
          <w:color w:val="000000" w:themeColor="text1"/>
          <w:lang w:val="en-AU"/>
        </w:rPr>
      </w:pPr>
      <w:r w:rsidRPr="00DE6468">
        <w:rPr>
          <w:rFonts w:ascii="Arial" w:hAnsi="Arial"/>
          <w:b/>
          <w:i w:val="0"/>
          <w:color w:val="000000" w:themeColor="text1"/>
          <w:lang w:val="en-AU"/>
        </w:rPr>
        <w:t>Schedule of budgeted income and expenses administered on behalf of Government</w:t>
      </w:r>
    </w:p>
    <w:p w14:paraId="73148FFB" w14:textId="77777777" w:rsidR="00E70FE5" w:rsidRPr="00DE6468" w:rsidRDefault="00E70FE5" w:rsidP="00E70FE5">
      <w:pPr>
        <w:pStyle w:val="Exampletext"/>
        <w:rPr>
          <w:i w:val="0"/>
          <w:color w:val="000000" w:themeColor="text1"/>
          <w:lang w:val="en-AU"/>
        </w:rPr>
      </w:pPr>
      <w:r w:rsidRPr="00DE6468">
        <w:rPr>
          <w:i w:val="0"/>
          <w:color w:val="000000" w:themeColor="text1"/>
          <w:lang w:val="en-AU"/>
        </w:rPr>
        <w:t>This schedule discloses revenue and expenses administered on behalf of the Government.</w:t>
      </w:r>
    </w:p>
    <w:p w14:paraId="76E4982D" w14:textId="2C5E6647" w:rsidR="00E70FE5" w:rsidRPr="00DE6468" w:rsidRDefault="00E70FE5" w:rsidP="00E70FE5">
      <w:pPr>
        <w:pStyle w:val="Exampletext"/>
        <w:rPr>
          <w:i w:val="0"/>
          <w:color w:val="000000" w:themeColor="text1"/>
          <w:lang w:val="en-AU"/>
        </w:rPr>
      </w:pPr>
      <w:r w:rsidRPr="00DE6468">
        <w:rPr>
          <w:i w:val="0"/>
          <w:color w:val="000000" w:themeColor="text1"/>
          <w:lang w:val="en-AU"/>
        </w:rPr>
        <w:t>Administered expenses of $1</w:t>
      </w:r>
      <w:r w:rsidR="00D81EDA" w:rsidRPr="00DE6468">
        <w:rPr>
          <w:i w:val="0"/>
          <w:color w:val="000000" w:themeColor="text1"/>
          <w:lang w:val="en-AU"/>
        </w:rPr>
        <w:t>69.5</w:t>
      </w:r>
      <w:r w:rsidRPr="00DE6468">
        <w:rPr>
          <w:i w:val="0"/>
          <w:color w:val="000000" w:themeColor="text1"/>
          <w:lang w:val="en-AU"/>
        </w:rPr>
        <w:t xml:space="preserve"> million for 202</w:t>
      </w:r>
      <w:r w:rsidR="00D81EDA" w:rsidRPr="00DE6468">
        <w:rPr>
          <w:i w:val="0"/>
          <w:color w:val="000000" w:themeColor="text1"/>
          <w:lang w:val="en-AU"/>
        </w:rPr>
        <w:t>4</w:t>
      </w:r>
      <w:r w:rsidRPr="00DE6468">
        <w:rPr>
          <w:i w:val="0"/>
          <w:color w:val="000000" w:themeColor="text1"/>
          <w:lang w:val="en-AU"/>
        </w:rPr>
        <w:t>-2</w:t>
      </w:r>
      <w:r w:rsidR="00D81EDA" w:rsidRPr="00DE6468">
        <w:rPr>
          <w:i w:val="0"/>
          <w:color w:val="000000" w:themeColor="text1"/>
          <w:lang w:val="en-AU"/>
        </w:rPr>
        <w:t>5</w:t>
      </w:r>
      <w:r w:rsidRPr="00DE6468">
        <w:rPr>
          <w:i w:val="0"/>
          <w:color w:val="000000" w:themeColor="text1"/>
          <w:lang w:val="en-AU"/>
        </w:rPr>
        <w:t xml:space="preserve"> relate to the Export Market Development Grants (EMDG) program ($157.9 million), Tourism Tropical North Queensland ($</w:t>
      </w:r>
      <w:r w:rsidR="00043677" w:rsidRPr="00DE6468">
        <w:rPr>
          <w:i w:val="0"/>
          <w:color w:val="000000" w:themeColor="text1"/>
          <w:lang w:val="en-AU"/>
        </w:rPr>
        <w:t>6.2</w:t>
      </w:r>
      <w:r w:rsidRPr="00DE6468">
        <w:rPr>
          <w:i w:val="0"/>
          <w:color w:val="000000" w:themeColor="text1"/>
          <w:lang w:val="en-AU"/>
        </w:rPr>
        <w:t xml:space="preserve"> million) and Supporting Australian Tourism and Travel ($</w:t>
      </w:r>
      <w:r w:rsidR="00DE6468" w:rsidRPr="00DE6468">
        <w:rPr>
          <w:i w:val="0"/>
          <w:color w:val="000000" w:themeColor="text1"/>
          <w:lang w:val="en-AU"/>
        </w:rPr>
        <w:t>5.4</w:t>
      </w:r>
      <w:r w:rsidRPr="00DE6468">
        <w:rPr>
          <w:i w:val="0"/>
          <w:color w:val="000000" w:themeColor="text1"/>
          <w:lang w:val="en-AU"/>
        </w:rPr>
        <w:t xml:space="preserve"> million). The EMDG </w:t>
      </w:r>
      <w:r w:rsidR="0040013B" w:rsidRPr="00DE6468">
        <w:rPr>
          <w:i w:val="0"/>
          <w:color w:val="000000" w:themeColor="text1"/>
          <w:lang w:val="en-AU"/>
        </w:rPr>
        <w:t xml:space="preserve">Program </w:t>
      </w:r>
      <w:r w:rsidRPr="00DE6468">
        <w:rPr>
          <w:i w:val="0"/>
          <w:color w:val="000000" w:themeColor="text1"/>
          <w:lang w:val="en-AU"/>
        </w:rPr>
        <w:t xml:space="preserve">is comprised of $150.0 million in grant expenditure and $7.9 million in expenditure for the costs of administration on behalf of the Government. </w:t>
      </w:r>
    </w:p>
    <w:p w14:paraId="3AAEEA43" w14:textId="77777777" w:rsidR="00E70FE5" w:rsidRPr="003A3CAA" w:rsidRDefault="00E70FE5" w:rsidP="00E70FE5">
      <w:pPr>
        <w:pStyle w:val="Exampletext"/>
        <w:rPr>
          <w:i w:val="0"/>
          <w:color w:val="000000" w:themeColor="text1"/>
          <w:lang w:val="en-AU"/>
        </w:rPr>
      </w:pPr>
      <w:r w:rsidRPr="003A3CAA">
        <w:rPr>
          <w:rFonts w:ascii="Arial" w:hAnsi="Arial"/>
          <w:b/>
          <w:i w:val="0"/>
          <w:color w:val="000000" w:themeColor="text1"/>
          <w:lang w:val="en-AU"/>
        </w:rPr>
        <w:t>Schedule of budgeted assets and liabilities administered on behalf of Government</w:t>
      </w:r>
    </w:p>
    <w:p w14:paraId="635DE62D" w14:textId="77777777" w:rsidR="00E70FE5" w:rsidRPr="003A3CAA" w:rsidRDefault="00E70FE5" w:rsidP="00E70FE5">
      <w:pPr>
        <w:pStyle w:val="Exampletext"/>
        <w:rPr>
          <w:i w:val="0"/>
          <w:color w:val="000000" w:themeColor="text1"/>
          <w:lang w:val="en-AU"/>
        </w:rPr>
      </w:pPr>
      <w:r w:rsidRPr="003A3CAA">
        <w:rPr>
          <w:i w:val="0"/>
          <w:color w:val="000000" w:themeColor="text1"/>
          <w:lang w:val="en-AU"/>
        </w:rPr>
        <w:t>This schedule identifies the assets and liabilities administered on behalf of the Government.</w:t>
      </w:r>
    </w:p>
    <w:p w14:paraId="24544463" w14:textId="07EA04B9" w:rsidR="00E70FE5" w:rsidRPr="003A3CAA" w:rsidRDefault="00E70FE5" w:rsidP="00E70FE5">
      <w:pPr>
        <w:pStyle w:val="Exampletext"/>
        <w:rPr>
          <w:i w:val="0"/>
          <w:color w:val="000000" w:themeColor="text1"/>
          <w:lang w:val="en-AU"/>
        </w:rPr>
      </w:pPr>
      <w:r w:rsidRPr="003A3CAA">
        <w:rPr>
          <w:i w:val="0"/>
          <w:color w:val="000000" w:themeColor="text1"/>
          <w:lang w:val="en-AU"/>
        </w:rPr>
        <w:t>Total administered assets and liabilities for 202</w:t>
      </w:r>
      <w:r w:rsidR="00DE6468" w:rsidRPr="003A3CAA">
        <w:rPr>
          <w:i w:val="0"/>
          <w:color w:val="000000" w:themeColor="text1"/>
          <w:lang w:val="en-AU"/>
        </w:rPr>
        <w:t>4</w:t>
      </w:r>
      <w:r w:rsidRPr="003A3CAA">
        <w:rPr>
          <w:i w:val="0"/>
          <w:color w:val="000000" w:themeColor="text1"/>
          <w:lang w:val="en-AU"/>
        </w:rPr>
        <w:t>-2</w:t>
      </w:r>
      <w:r w:rsidR="00DE6468" w:rsidRPr="003A3CAA">
        <w:rPr>
          <w:i w:val="0"/>
          <w:color w:val="000000" w:themeColor="text1"/>
          <w:lang w:val="en-AU"/>
        </w:rPr>
        <w:t>5</w:t>
      </w:r>
      <w:r w:rsidRPr="003A3CAA">
        <w:rPr>
          <w:i w:val="0"/>
          <w:color w:val="000000" w:themeColor="text1"/>
          <w:lang w:val="en-AU"/>
        </w:rPr>
        <w:t xml:space="preserve"> are estimated at $</w:t>
      </w:r>
      <w:r w:rsidR="00DE6468" w:rsidRPr="003A3CAA">
        <w:rPr>
          <w:i w:val="0"/>
          <w:color w:val="000000" w:themeColor="text1"/>
          <w:lang w:val="en-AU"/>
        </w:rPr>
        <w:t>2.7</w:t>
      </w:r>
      <w:r w:rsidRPr="003A3CAA">
        <w:rPr>
          <w:i w:val="0"/>
          <w:color w:val="000000" w:themeColor="text1"/>
          <w:lang w:val="en-AU"/>
        </w:rPr>
        <w:t xml:space="preserve"> million and $</w:t>
      </w:r>
      <w:r w:rsidR="00DE6468" w:rsidRPr="003A3CAA">
        <w:rPr>
          <w:i w:val="0"/>
          <w:color w:val="000000" w:themeColor="text1"/>
          <w:lang w:val="en-AU"/>
        </w:rPr>
        <w:t>8.5</w:t>
      </w:r>
      <w:r w:rsidR="00C9376D" w:rsidRPr="003A3CAA">
        <w:rPr>
          <w:i w:val="0"/>
          <w:color w:val="000000" w:themeColor="text1"/>
          <w:lang w:val="en-AU"/>
        </w:rPr>
        <w:t> </w:t>
      </w:r>
      <w:r w:rsidRPr="003A3CAA">
        <w:rPr>
          <w:i w:val="0"/>
          <w:color w:val="000000" w:themeColor="text1"/>
          <w:lang w:val="en-AU"/>
        </w:rPr>
        <w:t>million respectively.</w:t>
      </w:r>
    </w:p>
    <w:p w14:paraId="4FD03CFE" w14:textId="77777777" w:rsidR="00E70FE5" w:rsidRPr="003A3CAA" w:rsidRDefault="00E70FE5" w:rsidP="00E70FE5">
      <w:pPr>
        <w:pStyle w:val="Exampletext"/>
        <w:rPr>
          <w:rFonts w:ascii="Arial" w:hAnsi="Arial"/>
          <w:b/>
          <w:i w:val="0"/>
          <w:color w:val="000000" w:themeColor="text1"/>
          <w:lang w:val="en-AU"/>
        </w:rPr>
      </w:pPr>
      <w:r w:rsidRPr="003A3CAA">
        <w:rPr>
          <w:rFonts w:ascii="Arial" w:hAnsi="Arial"/>
          <w:b/>
          <w:i w:val="0"/>
          <w:color w:val="000000" w:themeColor="text1"/>
          <w:lang w:val="en-AU"/>
        </w:rPr>
        <w:t>Schedule of budgeted administered cash flows</w:t>
      </w:r>
    </w:p>
    <w:p w14:paraId="02C0AA81" w14:textId="77777777" w:rsidR="00E70FE5" w:rsidRPr="00A76734" w:rsidRDefault="00E70FE5" w:rsidP="00E70FE5">
      <w:pPr>
        <w:pStyle w:val="Exampletext"/>
        <w:spacing w:after="0" w:line="240" w:lineRule="auto"/>
        <w:rPr>
          <w:i w:val="0"/>
          <w:color w:val="000000" w:themeColor="text1"/>
          <w:lang w:val="en-AU"/>
        </w:rPr>
      </w:pPr>
      <w:r w:rsidRPr="003A3CAA">
        <w:rPr>
          <w:i w:val="0"/>
          <w:color w:val="000000" w:themeColor="text1"/>
          <w:lang w:val="en-AU"/>
        </w:rPr>
        <w:t>This schedule shows cash flows administered on behalf of the Government. All cash received is expected to be expended on the relevant programs.</w:t>
      </w:r>
    </w:p>
    <w:p w14:paraId="5486AB31" w14:textId="77777777" w:rsidR="00C15925" w:rsidRPr="00A76734" w:rsidRDefault="00C15925" w:rsidP="00955559">
      <w:pPr>
        <w:pStyle w:val="Heading4"/>
        <w:rPr>
          <w:color w:val="000000" w:themeColor="text1"/>
        </w:rPr>
      </w:pPr>
    </w:p>
    <w:p w14:paraId="2CC11DB6" w14:textId="2263E4A6" w:rsidR="00955559" w:rsidRPr="00A76734" w:rsidRDefault="00955559" w:rsidP="00955559">
      <w:pPr>
        <w:pStyle w:val="Heading4"/>
        <w:rPr>
          <w:color w:val="000000" w:themeColor="text1"/>
        </w:rPr>
      </w:pPr>
      <w:r w:rsidRPr="00A76734">
        <w:rPr>
          <w:color w:val="000000" w:themeColor="text1"/>
        </w:rPr>
        <w:br w:type="page"/>
      </w:r>
      <w:r w:rsidRPr="00A76734">
        <w:rPr>
          <w:rStyle w:val="TableHeadingChar"/>
          <w:rFonts w:ascii="Arial Bold" w:hAnsi="Arial Bold"/>
          <w:b/>
          <w:color w:val="000000" w:themeColor="text1"/>
        </w:rPr>
        <w:lastRenderedPageBreak/>
        <w:t>3.2.</w:t>
      </w:r>
      <w:r w:rsidRPr="00A76734">
        <w:rPr>
          <w:rStyle w:val="TableHeadingChar"/>
          <w:rFonts w:ascii="Arial Bold" w:hAnsi="Arial Bold"/>
          <w:b/>
          <w:color w:val="000000" w:themeColor="text1"/>
        </w:rPr>
        <w:tab/>
        <w:t>Budgeted financial statements tables</w:t>
      </w:r>
    </w:p>
    <w:p w14:paraId="277F36FD" w14:textId="309FFF8F" w:rsidR="0069033E" w:rsidRPr="0020299E" w:rsidRDefault="00955559" w:rsidP="0020299E">
      <w:pPr>
        <w:pStyle w:val="TableHeading"/>
        <w:rPr>
          <w:snapToGrid w:val="0"/>
          <w:color w:val="000000" w:themeColor="text1"/>
        </w:rPr>
      </w:pPr>
      <w:r w:rsidRPr="00A76734">
        <w:rPr>
          <w:color w:val="000000" w:themeColor="text1"/>
        </w:rPr>
        <w:t xml:space="preserve">Table 3.1: Comprehensive income statement (showing net cost of services) </w:t>
      </w:r>
      <w:r w:rsidRPr="00A76734">
        <w:rPr>
          <w:snapToGrid w:val="0"/>
          <w:color w:val="000000" w:themeColor="text1"/>
        </w:rPr>
        <w:t>for the period ended 30 June</w:t>
      </w:r>
    </w:p>
    <w:p w14:paraId="41C3ACBF" w14:textId="0914A6E8" w:rsidR="00933EC7" w:rsidRDefault="00832673" w:rsidP="0020299E">
      <w:pPr>
        <w:pStyle w:val="TableHeading"/>
        <w:spacing w:before="0" w:after="0"/>
        <w:rPr>
          <w:color w:val="000000" w:themeColor="text1"/>
        </w:rPr>
      </w:pPr>
      <w:r w:rsidRPr="00832673">
        <w:rPr>
          <w:noProof/>
        </w:rPr>
        <w:drawing>
          <wp:inline distT="0" distB="0" distL="0" distR="0" wp14:anchorId="7A476E23" wp14:editId="3122761B">
            <wp:extent cx="4895850" cy="35629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95850" cy="3562985"/>
                    </a:xfrm>
                    <a:prstGeom prst="rect">
                      <a:avLst/>
                    </a:prstGeom>
                    <a:noFill/>
                    <a:ln>
                      <a:noFill/>
                    </a:ln>
                  </pic:spPr>
                </pic:pic>
              </a:graphicData>
            </a:graphic>
          </wp:inline>
        </w:drawing>
      </w:r>
    </w:p>
    <w:p w14:paraId="03A74751" w14:textId="77777777" w:rsidR="00EF6879" w:rsidRPr="00A76734" w:rsidRDefault="00EF6879" w:rsidP="00EF6879">
      <w:pPr>
        <w:pStyle w:val="Source"/>
        <w:rPr>
          <w:color w:val="000000" w:themeColor="text1"/>
        </w:rPr>
      </w:pPr>
      <w:r w:rsidRPr="00A76734">
        <w:rPr>
          <w:rFonts w:cs="Arial"/>
          <w:color w:val="000000" w:themeColor="text1"/>
        </w:rPr>
        <w:t xml:space="preserve">Table continued on the next page. </w:t>
      </w:r>
    </w:p>
    <w:p w14:paraId="7D0811A9" w14:textId="77777777" w:rsidR="00955559" w:rsidRPr="00A76734" w:rsidRDefault="00955559" w:rsidP="00955559">
      <w:pPr>
        <w:pStyle w:val="TableHeadingcontinued"/>
        <w:rPr>
          <w:snapToGrid w:val="0"/>
          <w:color w:val="000000" w:themeColor="text1"/>
        </w:rPr>
      </w:pPr>
      <w:r w:rsidRPr="00A76734">
        <w:rPr>
          <w:color w:val="000000" w:themeColor="text1"/>
        </w:rPr>
        <w:br w:type="page"/>
      </w:r>
      <w:r w:rsidRPr="00A76734">
        <w:rPr>
          <w:color w:val="000000" w:themeColor="text1"/>
        </w:rPr>
        <w:lastRenderedPageBreak/>
        <w:t xml:space="preserve">Table 3.1: Comprehensive income statement (showing net cost of services) </w:t>
      </w:r>
      <w:r w:rsidRPr="00A76734">
        <w:rPr>
          <w:snapToGrid w:val="0"/>
          <w:color w:val="000000" w:themeColor="text1"/>
        </w:rPr>
        <w:t>for the period ended 30 June (continued)</w:t>
      </w:r>
    </w:p>
    <w:p w14:paraId="399A6EB1" w14:textId="77777777" w:rsidR="00955559" w:rsidRPr="00A76734" w:rsidRDefault="00955559" w:rsidP="00955559">
      <w:pPr>
        <w:pStyle w:val="SingleParagraph"/>
        <w:rPr>
          <w:color w:val="000000" w:themeColor="text1"/>
        </w:rPr>
      </w:pPr>
    </w:p>
    <w:p w14:paraId="01B546F8" w14:textId="4ED1FA30" w:rsidR="0069033E" w:rsidRPr="008F77F6" w:rsidRDefault="00955559" w:rsidP="008F77F6">
      <w:pPr>
        <w:pStyle w:val="TableHeadingNoTable"/>
        <w:spacing w:after="0"/>
        <w:rPr>
          <w:color w:val="000000" w:themeColor="text1"/>
        </w:rPr>
      </w:pPr>
      <w:r w:rsidRPr="00A76734">
        <w:rPr>
          <w:color w:val="000000" w:themeColor="text1"/>
        </w:rPr>
        <w:t>Note: Impact of net cash appropriation arrangements</w:t>
      </w:r>
    </w:p>
    <w:p w14:paraId="489CC659" w14:textId="437A5E0D" w:rsidR="00933EC7" w:rsidRDefault="00C11086" w:rsidP="008F77F6">
      <w:pPr>
        <w:pStyle w:val="TableHeading"/>
        <w:spacing w:before="0" w:after="0"/>
        <w:rPr>
          <w:color w:val="000000" w:themeColor="text1"/>
        </w:rPr>
      </w:pPr>
      <w:r w:rsidRPr="00C11086">
        <w:rPr>
          <w:noProof/>
        </w:rPr>
        <w:drawing>
          <wp:inline distT="0" distB="0" distL="0" distR="0" wp14:anchorId="2B028D91" wp14:editId="0573A04A">
            <wp:extent cx="4895850" cy="18878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95850" cy="1887855"/>
                    </a:xfrm>
                    <a:prstGeom prst="rect">
                      <a:avLst/>
                    </a:prstGeom>
                    <a:noFill/>
                    <a:ln>
                      <a:noFill/>
                    </a:ln>
                  </pic:spPr>
                </pic:pic>
              </a:graphicData>
            </a:graphic>
          </wp:inline>
        </w:drawing>
      </w:r>
    </w:p>
    <w:p w14:paraId="4D6395F1" w14:textId="77777777" w:rsidR="00C15925" w:rsidRPr="0026702F" w:rsidRDefault="00C15925" w:rsidP="00C15925">
      <w:pPr>
        <w:pStyle w:val="ChartandTableFootnoteAlpha"/>
        <w:numPr>
          <w:ilvl w:val="0"/>
          <w:numId w:val="0"/>
        </w:numPr>
        <w:ind w:left="284" w:hanging="284"/>
        <w:rPr>
          <w:rFonts w:cs="Arial"/>
          <w:color w:val="000000" w:themeColor="text1"/>
        </w:rPr>
      </w:pPr>
      <w:r w:rsidRPr="0026702F">
        <w:rPr>
          <w:rFonts w:cs="Arial"/>
          <w:color w:val="000000" w:themeColor="text1"/>
        </w:rPr>
        <w:t>Prepared on Australian Accounting Standards basis.</w:t>
      </w:r>
    </w:p>
    <w:p w14:paraId="5024D2F3" w14:textId="77777777" w:rsidR="00955559" w:rsidRPr="0026702F" w:rsidRDefault="00955559" w:rsidP="00934C8F">
      <w:pPr>
        <w:pStyle w:val="ChartandTableFootnoteAlpha"/>
        <w:numPr>
          <w:ilvl w:val="0"/>
          <w:numId w:val="34"/>
        </w:numPr>
        <w:rPr>
          <w:rFonts w:cs="Arial"/>
          <w:color w:val="000000" w:themeColor="text1"/>
        </w:rPr>
      </w:pPr>
      <w:r w:rsidRPr="0026702F">
        <w:rPr>
          <w:rFonts w:cs="Arial"/>
          <w:color w:val="000000" w:themeColor="text1"/>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2DE7BBCB" w14:textId="77777777" w:rsidR="00955559" w:rsidRPr="0026702F" w:rsidRDefault="00955559" w:rsidP="00934C8F">
      <w:pPr>
        <w:pStyle w:val="ChartandTableFootnoteAlpha"/>
        <w:numPr>
          <w:ilvl w:val="0"/>
          <w:numId w:val="9"/>
        </w:numPr>
        <w:rPr>
          <w:color w:val="000000" w:themeColor="text1"/>
        </w:rPr>
      </w:pPr>
      <w:r w:rsidRPr="0026702F">
        <w:rPr>
          <w:color w:val="000000" w:themeColor="text1"/>
        </w:rPr>
        <w:t>Applies leases under AASB 16 Leases.</w:t>
      </w:r>
    </w:p>
    <w:p w14:paraId="0EDE8035" w14:textId="116B4FF8" w:rsidR="0069033E" w:rsidRPr="00A7062F" w:rsidRDefault="00955559" w:rsidP="00A7062F">
      <w:pPr>
        <w:pStyle w:val="TableHeading"/>
        <w:rPr>
          <w:color w:val="000000" w:themeColor="text1"/>
        </w:rPr>
      </w:pPr>
      <w:r w:rsidRPr="00A76734">
        <w:rPr>
          <w:color w:val="000000" w:themeColor="text1"/>
        </w:rPr>
        <w:br w:type="page"/>
      </w:r>
      <w:r w:rsidRPr="00A76734">
        <w:rPr>
          <w:color w:val="000000" w:themeColor="text1"/>
        </w:rPr>
        <w:lastRenderedPageBreak/>
        <w:t>Table 3.2: Budgeted departmental balance sheet (as at 30 June)</w:t>
      </w:r>
    </w:p>
    <w:p w14:paraId="5409957D" w14:textId="4E696E53" w:rsidR="00933EC7" w:rsidRDefault="00BE4E4B" w:rsidP="00A7062F">
      <w:pPr>
        <w:pStyle w:val="TableHeading"/>
        <w:spacing w:before="0" w:after="0"/>
        <w:rPr>
          <w:color w:val="000000" w:themeColor="text1"/>
        </w:rPr>
      </w:pPr>
      <w:r w:rsidRPr="00BE4E4B">
        <w:rPr>
          <w:noProof/>
        </w:rPr>
        <w:drawing>
          <wp:inline distT="0" distB="0" distL="0" distR="0" wp14:anchorId="6E6135AC" wp14:editId="140E72FD">
            <wp:extent cx="4895850" cy="49422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95850" cy="4942205"/>
                    </a:xfrm>
                    <a:prstGeom prst="rect">
                      <a:avLst/>
                    </a:prstGeom>
                    <a:noFill/>
                    <a:ln>
                      <a:noFill/>
                    </a:ln>
                  </pic:spPr>
                </pic:pic>
              </a:graphicData>
            </a:graphic>
          </wp:inline>
        </w:drawing>
      </w:r>
    </w:p>
    <w:p w14:paraId="6D91E894" w14:textId="77777777" w:rsidR="00955559" w:rsidRPr="00A7062F" w:rsidRDefault="00955559" w:rsidP="00955559">
      <w:pPr>
        <w:pStyle w:val="ChartandTableFootnote"/>
        <w:rPr>
          <w:color w:val="000000" w:themeColor="text1"/>
        </w:rPr>
      </w:pPr>
      <w:r w:rsidRPr="00A7062F">
        <w:rPr>
          <w:color w:val="000000" w:themeColor="text1"/>
        </w:rPr>
        <w:t xml:space="preserve">Prepared on </w:t>
      </w:r>
      <w:r w:rsidRPr="00A7062F">
        <w:rPr>
          <w:rStyle w:val="ChartandTableFootnoteChar"/>
          <w:color w:val="000000" w:themeColor="text1"/>
        </w:rPr>
        <w:t>Australian</w:t>
      </w:r>
      <w:r w:rsidRPr="00A7062F">
        <w:rPr>
          <w:color w:val="000000" w:themeColor="text1"/>
        </w:rPr>
        <w:t xml:space="preserve"> Accounting Standards basis.</w:t>
      </w:r>
    </w:p>
    <w:p w14:paraId="11946872" w14:textId="77777777" w:rsidR="00955559" w:rsidRPr="00A76734" w:rsidRDefault="00955559" w:rsidP="00955559">
      <w:pPr>
        <w:pStyle w:val="ChartandTableFootnote"/>
        <w:rPr>
          <w:rFonts w:cs="Arial"/>
          <w:color w:val="000000" w:themeColor="text1"/>
        </w:rPr>
      </w:pPr>
      <w:r w:rsidRPr="00A7062F">
        <w:rPr>
          <w:rFonts w:cs="Arial"/>
          <w:color w:val="000000" w:themeColor="text1"/>
        </w:rPr>
        <w:t>*‘Equity’ is the residual interest in assets after deduction of liabilities.</w:t>
      </w:r>
    </w:p>
    <w:p w14:paraId="0577A43A" w14:textId="77777777" w:rsidR="00955559" w:rsidRPr="00A76734" w:rsidRDefault="00955559" w:rsidP="00955559">
      <w:pPr>
        <w:rPr>
          <w:color w:val="000000" w:themeColor="text1"/>
        </w:rPr>
      </w:pPr>
    </w:p>
    <w:p w14:paraId="4D1C28B5" w14:textId="09D36E94" w:rsidR="0069033E" w:rsidRPr="00A76734" w:rsidRDefault="00955559" w:rsidP="00027BC6">
      <w:pPr>
        <w:pStyle w:val="TableHeading"/>
        <w:rPr>
          <w:color w:val="000000" w:themeColor="text1"/>
          <w:szCs w:val="19"/>
        </w:rPr>
      </w:pPr>
      <w:r w:rsidRPr="00A76734">
        <w:rPr>
          <w:color w:val="000000" w:themeColor="text1"/>
        </w:rPr>
        <w:br w:type="page"/>
      </w:r>
      <w:r w:rsidRPr="00A76734">
        <w:rPr>
          <w:color w:val="000000" w:themeColor="text1"/>
        </w:rPr>
        <w:lastRenderedPageBreak/>
        <w:t>Table 3.3: Departmental statement of changes in equity — summary of movement (Budget year 202</w:t>
      </w:r>
      <w:r w:rsidR="0069033E">
        <w:rPr>
          <w:color w:val="000000" w:themeColor="text1"/>
        </w:rPr>
        <w:t>4</w:t>
      </w:r>
      <w:r w:rsidRPr="00A76734">
        <w:rPr>
          <w:color w:val="000000" w:themeColor="text1"/>
        </w:rPr>
        <w:t>-2</w:t>
      </w:r>
      <w:r w:rsidR="0069033E">
        <w:rPr>
          <w:color w:val="000000" w:themeColor="text1"/>
        </w:rPr>
        <w:t>5</w:t>
      </w:r>
      <w:r w:rsidRPr="00A76734">
        <w:rPr>
          <w:color w:val="000000" w:themeColor="text1"/>
        </w:rPr>
        <w:t>)</w:t>
      </w:r>
      <w:r w:rsidR="00027BC6" w:rsidRPr="00A76734">
        <w:rPr>
          <w:color w:val="000000" w:themeColor="text1"/>
          <w:szCs w:val="19"/>
        </w:rPr>
        <w:t xml:space="preserve"> </w:t>
      </w:r>
    </w:p>
    <w:p w14:paraId="3FF3D375" w14:textId="5E913072" w:rsidR="00933EC7" w:rsidRDefault="00C11086" w:rsidP="00027BC6">
      <w:pPr>
        <w:pStyle w:val="TableHeading"/>
        <w:spacing w:before="0" w:after="0"/>
        <w:rPr>
          <w:color w:val="000000" w:themeColor="text1"/>
        </w:rPr>
      </w:pPr>
      <w:r w:rsidRPr="00C11086">
        <w:rPr>
          <w:noProof/>
        </w:rPr>
        <w:drawing>
          <wp:inline distT="0" distB="0" distL="0" distR="0" wp14:anchorId="59134C64" wp14:editId="19A809EB">
            <wp:extent cx="4476750" cy="30765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76750" cy="3076575"/>
                    </a:xfrm>
                    <a:prstGeom prst="rect">
                      <a:avLst/>
                    </a:prstGeom>
                    <a:noFill/>
                    <a:ln>
                      <a:noFill/>
                    </a:ln>
                  </pic:spPr>
                </pic:pic>
              </a:graphicData>
            </a:graphic>
          </wp:inline>
        </w:drawing>
      </w:r>
    </w:p>
    <w:p w14:paraId="4ED6620A" w14:textId="77777777" w:rsidR="00955559" w:rsidRPr="00A76734" w:rsidRDefault="00955559" w:rsidP="00955559">
      <w:pPr>
        <w:pStyle w:val="ChartandTableFootnote"/>
        <w:rPr>
          <w:color w:val="000000" w:themeColor="text1"/>
          <w:szCs w:val="16"/>
        </w:rPr>
      </w:pPr>
      <w:r w:rsidRPr="00027BC6">
        <w:rPr>
          <w:color w:val="000000" w:themeColor="text1"/>
        </w:rPr>
        <w:t>Prepared on Australian Accounting Standards basis</w:t>
      </w:r>
    </w:p>
    <w:p w14:paraId="77C3E73C" w14:textId="6FEE78A9" w:rsidR="0069033E" w:rsidRPr="00B914EB" w:rsidRDefault="00955559" w:rsidP="00B914EB">
      <w:pPr>
        <w:pStyle w:val="TableHeading"/>
        <w:rPr>
          <w:color w:val="000000" w:themeColor="text1"/>
        </w:rPr>
      </w:pPr>
      <w:r w:rsidRPr="00A76734">
        <w:rPr>
          <w:color w:val="000000" w:themeColor="text1"/>
        </w:rPr>
        <w:br w:type="page"/>
      </w:r>
      <w:r w:rsidRPr="00A76734">
        <w:rPr>
          <w:color w:val="000000" w:themeColor="text1"/>
        </w:rPr>
        <w:lastRenderedPageBreak/>
        <w:t>Table 3.4: Budgeted departmental statement of cash flows (for the period ended 30 June)</w:t>
      </w:r>
    </w:p>
    <w:p w14:paraId="0423B117" w14:textId="54052211" w:rsidR="009617AF" w:rsidRDefault="00BD7DAE" w:rsidP="00955559">
      <w:pPr>
        <w:pStyle w:val="ChartandTableFootnote"/>
        <w:rPr>
          <w:color w:val="000000" w:themeColor="text1"/>
        </w:rPr>
      </w:pPr>
      <w:r w:rsidRPr="00BD7DAE">
        <w:rPr>
          <w:noProof/>
        </w:rPr>
        <w:drawing>
          <wp:inline distT="0" distB="0" distL="0" distR="0" wp14:anchorId="20479406" wp14:editId="54CF2940">
            <wp:extent cx="4895850" cy="52292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5850" cy="5229225"/>
                    </a:xfrm>
                    <a:prstGeom prst="rect">
                      <a:avLst/>
                    </a:prstGeom>
                    <a:noFill/>
                    <a:ln>
                      <a:noFill/>
                    </a:ln>
                  </pic:spPr>
                </pic:pic>
              </a:graphicData>
            </a:graphic>
          </wp:inline>
        </w:drawing>
      </w:r>
    </w:p>
    <w:p w14:paraId="53C2C7CB" w14:textId="4CBCDAD3" w:rsidR="00955559" w:rsidRPr="00A76734" w:rsidRDefault="00955559" w:rsidP="00955559">
      <w:pPr>
        <w:pStyle w:val="ChartandTableFootnote"/>
        <w:rPr>
          <w:color w:val="000000" w:themeColor="text1"/>
        </w:rPr>
      </w:pPr>
      <w:r w:rsidRPr="00B914EB">
        <w:rPr>
          <w:color w:val="000000" w:themeColor="text1"/>
        </w:rPr>
        <w:t>Prepared on Australian Accounting Standards basis.</w:t>
      </w:r>
    </w:p>
    <w:p w14:paraId="72779AD9" w14:textId="77777777" w:rsidR="00955559" w:rsidRPr="00A76734" w:rsidRDefault="00955559" w:rsidP="00955559">
      <w:pPr>
        <w:pStyle w:val="NoSpacing"/>
        <w:rPr>
          <w:rFonts w:ascii="Arial" w:hAnsi="Arial" w:cs="Arial"/>
          <w:color w:val="000000" w:themeColor="text1"/>
          <w:sz w:val="16"/>
          <w:szCs w:val="16"/>
        </w:rPr>
      </w:pPr>
    </w:p>
    <w:p w14:paraId="7094423C" w14:textId="79732CA0" w:rsidR="0069033E" w:rsidRPr="00775C79" w:rsidRDefault="00955559" w:rsidP="00775C79">
      <w:pPr>
        <w:pStyle w:val="TableHeading"/>
        <w:rPr>
          <w:color w:val="000000" w:themeColor="text1"/>
        </w:rPr>
      </w:pPr>
      <w:r w:rsidRPr="00A76734">
        <w:rPr>
          <w:color w:val="000000" w:themeColor="text1"/>
        </w:rPr>
        <w:br w:type="page"/>
      </w:r>
      <w:r w:rsidRPr="00A76734">
        <w:rPr>
          <w:color w:val="000000" w:themeColor="text1"/>
        </w:rPr>
        <w:lastRenderedPageBreak/>
        <w:t>Table 3.5: Departmental capital budget statement (for the period ended 30 June)</w:t>
      </w:r>
    </w:p>
    <w:p w14:paraId="1BA57998" w14:textId="6608A4F4" w:rsidR="00933EC7" w:rsidRDefault="00BD7DAE" w:rsidP="00775C79">
      <w:pPr>
        <w:pStyle w:val="TableHeading"/>
        <w:spacing w:before="0" w:after="0"/>
        <w:rPr>
          <w:color w:val="000000" w:themeColor="text1"/>
        </w:rPr>
      </w:pPr>
      <w:r w:rsidRPr="00BD7DAE">
        <w:rPr>
          <w:noProof/>
        </w:rPr>
        <w:drawing>
          <wp:inline distT="0" distB="0" distL="0" distR="0" wp14:anchorId="25C8B614" wp14:editId="643024AB">
            <wp:extent cx="4895850" cy="30168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95850" cy="3016885"/>
                    </a:xfrm>
                    <a:prstGeom prst="rect">
                      <a:avLst/>
                    </a:prstGeom>
                    <a:noFill/>
                    <a:ln>
                      <a:noFill/>
                    </a:ln>
                  </pic:spPr>
                </pic:pic>
              </a:graphicData>
            </a:graphic>
          </wp:inline>
        </w:drawing>
      </w:r>
    </w:p>
    <w:p w14:paraId="173A3E7A" w14:textId="77777777" w:rsidR="00955559" w:rsidRPr="00775C79" w:rsidRDefault="00955559" w:rsidP="00955559">
      <w:pPr>
        <w:pStyle w:val="ChartandTableFootnote"/>
        <w:rPr>
          <w:color w:val="000000" w:themeColor="text1"/>
        </w:rPr>
      </w:pPr>
      <w:r w:rsidRPr="00775C79">
        <w:rPr>
          <w:color w:val="000000" w:themeColor="text1"/>
        </w:rPr>
        <w:t>Prepared on Australian Accounting Standards basis.</w:t>
      </w:r>
    </w:p>
    <w:p w14:paraId="307B804C" w14:textId="4777CCF9" w:rsidR="00955559" w:rsidRPr="00775C79" w:rsidRDefault="00955559" w:rsidP="00934C8F">
      <w:pPr>
        <w:pStyle w:val="ChartandTableFootnoteAlpha"/>
        <w:numPr>
          <w:ilvl w:val="0"/>
          <w:numId w:val="35"/>
        </w:numPr>
        <w:rPr>
          <w:rFonts w:cs="Arial"/>
          <w:color w:val="000000" w:themeColor="text1"/>
          <w:szCs w:val="16"/>
        </w:rPr>
      </w:pPr>
      <w:r w:rsidRPr="00775C79">
        <w:rPr>
          <w:rFonts w:cs="Arial"/>
          <w:color w:val="000000" w:themeColor="text1"/>
          <w:szCs w:val="16"/>
        </w:rPr>
        <w:t>Includes both current</w:t>
      </w:r>
      <w:r w:rsidR="00021CB4">
        <w:rPr>
          <w:rFonts w:cs="Arial"/>
          <w:color w:val="000000" w:themeColor="text1"/>
          <w:szCs w:val="16"/>
        </w:rPr>
        <w:t xml:space="preserve"> Appropriation </w:t>
      </w:r>
      <w:r w:rsidRPr="00775C79">
        <w:rPr>
          <w:rFonts w:cs="Arial"/>
          <w:color w:val="000000" w:themeColor="text1"/>
          <w:szCs w:val="16"/>
        </w:rPr>
        <w:t xml:space="preserve">Bill </w:t>
      </w:r>
      <w:r w:rsidR="00E535A4">
        <w:rPr>
          <w:rFonts w:cs="Arial"/>
          <w:color w:val="000000" w:themeColor="text1"/>
          <w:szCs w:val="16"/>
        </w:rPr>
        <w:t xml:space="preserve">(No. 2) </w:t>
      </w:r>
      <w:r w:rsidRPr="00775C79">
        <w:rPr>
          <w:rFonts w:cs="Arial"/>
          <w:color w:val="000000" w:themeColor="text1"/>
          <w:szCs w:val="16"/>
        </w:rPr>
        <w:t xml:space="preserve">and prior </w:t>
      </w:r>
      <w:r w:rsidR="00E535A4">
        <w:rPr>
          <w:rFonts w:cs="Arial"/>
          <w:color w:val="000000" w:themeColor="text1"/>
          <w:szCs w:val="16"/>
        </w:rPr>
        <w:t>Appropriation Act (No. 2/4/6) appropriations.</w:t>
      </w:r>
    </w:p>
    <w:p w14:paraId="0CF5C35F" w14:textId="11606E6C" w:rsidR="00955559" w:rsidRPr="00775C79" w:rsidRDefault="00955559" w:rsidP="00934C8F">
      <w:pPr>
        <w:pStyle w:val="ChartandTableFootnoteAlpha"/>
        <w:numPr>
          <w:ilvl w:val="0"/>
          <w:numId w:val="6"/>
        </w:numPr>
        <w:rPr>
          <w:rFonts w:cs="Arial"/>
          <w:color w:val="000000" w:themeColor="text1"/>
          <w:szCs w:val="16"/>
        </w:rPr>
      </w:pPr>
      <w:r w:rsidRPr="00775C79">
        <w:rPr>
          <w:rFonts w:cs="Arial"/>
          <w:color w:val="000000" w:themeColor="text1"/>
          <w:szCs w:val="16"/>
        </w:rPr>
        <w:t xml:space="preserve">Includes purchases from current and previous years’ Departmental </w:t>
      </w:r>
      <w:r w:rsidR="00A22A5C">
        <w:rPr>
          <w:rFonts w:cs="Arial"/>
          <w:color w:val="000000" w:themeColor="text1"/>
          <w:szCs w:val="16"/>
        </w:rPr>
        <w:t>C</w:t>
      </w:r>
      <w:r w:rsidRPr="00775C79">
        <w:rPr>
          <w:rFonts w:cs="Arial"/>
          <w:color w:val="000000" w:themeColor="text1"/>
          <w:szCs w:val="16"/>
        </w:rPr>
        <w:t xml:space="preserve">apital </w:t>
      </w:r>
      <w:r w:rsidR="00A22A5C">
        <w:rPr>
          <w:rFonts w:cs="Arial"/>
          <w:color w:val="000000" w:themeColor="text1"/>
          <w:szCs w:val="16"/>
        </w:rPr>
        <w:t>B</w:t>
      </w:r>
      <w:r w:rsidRPr="00775C79">
        <w:rPr>
          <w:rFonts w:cs="Arial"/>
          <w:color w:val="000000" w:themeColor="text1"/>
          <w:szCs w:val="16"/>
        </w:rPr>
        <w:t>udgets (DCBs).</w:t>
      </w:r>
    </w:p>
    <w:p w14:paraId="22B57215" w14:textId="77777777" w:rsidR="00955559" w:rsidRPr="00A76734" w:rsidRDefault="00955559" w:rsidP="00955559">
      <w:pPr>
        <w:pStyle w:val="NoSpacing"/>
        <w:rPr>
          <w:color w:val="000000" w:themeColor="text1"/>
        </w:rPr>
      </w:pPr>
    </w:p>
    <w:p w14:paraId="177A6DAF" w14:textId="77777777" w:rsidR="006907C2" w:rsidRPr="00A76734" w:rsidRDefault="006907C2">
      <w:pPr>
        <w:spacing w:before="0" w:after="0" w:line="240" w:lineRule="auto"/>
        <w:rPr>
          <w:rFonts w:ascii="Arial" w:hAnsi="Arial"/>
          <w:b/>
          <w:color w:val="000000" w:themeColor="text1"/>
          <w:sz w:val="20"/>
        </w:rPr>
      </w:pPr>
      <w:r w:rsidRPr="00A76734">
        <w:rPr>
          <w:color w:val="000000" w:themeColor="text1"/>
        </w:rPr>
        <w:br w:type="page"/>
      </w:r>
    </w:p>
    <w:p w14:paraId="12EFF4B3" w14:textId="425B9C8D" w:rsidR="005B2983" w:rsidRPr="00803976" w:rsidRDefault="00955559" w:rsidP="00803976">
      <w:pPr>
        <w:pStyle w:val="TableHeading"/>
        <w:rPr>
          <w:color w:val="000000" w:themeColor="text1"/>
        </w:rPr>
      </w:pPr>
      <w:r w:rsidRPr="00A76734">
        <w:rPr>
          <w:color w:val="000000" w:themeColor="text1"/>
        </w:rPr>
        <w:lastRenderedPageBreak/>
        <w:t>Table 3.6: Statement of departmental asset movements (Budget year 202</w:t>
      </w:r>
      <w:r w:rsidR="0069033E">
        <w:rPr>
          <w:color w:val="000000" w:themeColor="text1"/>
        </w:rPr>
        <w:t>4</w:t>
      </w:r>
      <w:r w:rsidRPr="00A76734">
        <w:rPr>
          <w:color w:val="000000" w:themeColor="text1"/>
        </w:rPr>
        <w:t>-2</w:t>
      </w:r>
      <w:r w:rsidR="0069033E">
        <w:rPr>
          <w:color w:val="000000" w:themeColor="text1"/>
        </w:rPr>
        <w:t>5</w:t>
      </w:r>
      <w:r w:rsidRPr="00A76734">
        <w:rPr>
          <w:color w:val="000000" w:themeColor="text1"/>
        </w:rPr>
        <w:t>)</w:t>
      </w:r>
    </w:p>
    <w:p w14:paraId="0A0D233D" w14:textId="1BB90F98" w:rsidR="0049191F" w:rsidRDefault="00CB6F56" w:rsidP="00955559">
      <w:pPr>
        <w:pStyle w:val="ChartandTableFootnote"/>
        <w:rPr>
          <w:color w:val="000000" w:themeColor="text1"/>
        </w:rPr>
      </w:pPr>
      <w:r w:rsidRPr="00CB6F56">
        <w:rPr>
          <w:noProof/>
        </w:rPr>
        <w:drawing>
          <wp:inline distT="0" distB="0" distL="0" distR="0" wp14:anchorId="3F0C1EC8" wp14:editId="636102E6">
            <wp:extent cx="4733925" cy="44481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33925" cy="4448175"/>
                    </a:xfrm>
                    <a:prstGeom prst="rect">
                      <a:avLst/>
                    </a:prstGeom>
                    <a:noFill/>
                    <a:ln>
                      <a:noFill/>
                    </a:ln>
                  </pic:spPr>
                </pic:pic>
              </a:graphicData>
            </a:graphic>
          </wp:inline>
        </w:drawing>
      </w:r>
    </w:p>
    <w:p w14:paraId="6E659A7E" w14:textId="53449B78" w:rsidR="00955559" w:rsidRPr="00803976" w:rsidRDefault="00955559" w:rsidP="00955559">
      <w:pPr>
        <w:pStyle w:val="ChartandTableFootnote"/>
        <w:rPr>
          <w:color w:val="000000" w:themeColor="text1"/>
        </w:rPr>
      </w:pPr>
      <w:r w:rsidRPr="00803976">
        <w:rPr>
          <w:color w:val="000000" w:themeColor="text1"/>
        </w:rPr>
        <w:t>Prepared on Australian Accounting Standards basis.</w:t>
      </w:r>
    </w:p>
    <w:p w14:paraId="4AE4C956" w14:textId="57C9FD2C" w:rsidR="00955559" w:rsidRPr="00803976" w:rsidRDefault="00955559" w:rsidP="00934C8F">
      <w:pPr>
        <w:pStyle w:val="ChartandTableFootnoteAlpha"/>
        <w:numPr>
          <w:ilvl w:val="0"/>
          <w:numId w:val="36"/>
        </w:numPr>
        <w:rPr>
          <w:rFonts w:cs="Arial"/>
          <w:color w:val="000000" w:themeColor="text1"/>
          <w:szCs w:val="16"/>
        </w:rPr>
      </w:pPr>
      <w:r w:rsidRPr="00803976">
        <w:rPr>
          <w:rFonts w:cs="Arial"/>
          <w:color w:val="000000" w:themeColor="text1"/>
          <w:szCs w:val="16"/>
        </w:rPr>
        <w:t>‘Appropriation equity’ refers to equity injections appropriations provided through Appropriation Bill (No. 2) 202</w:t>
      </w:r>
      <w:r w:rsidR="00397749" w:rsidRPr="00803976">
        <w:rPr>
          <w:rFonts w:cs="Arial"/>
          <w:color w:val="000000" w:themeColor="text1"/>
          <w:szCs w:val="16"/>
        </w:rPr>
        <w:t>4</w:t>
      </w:r>
      <w:r w:rsidRPr="00803976">
        <w:rPr>
          <w:rFonts w:cs="Arial"/>
          <w:color w:val="000000" w:themeColor="text1"/>
          <w:szCs w:val="16"/>
        </w:rPr>
        <w:t>-</w:t>
      </w:r>
      <w:r w:rsidR="00397749" w:rsidRPr="00803976">
        <w:rPr>
          <w:rFonts w:cs="Arial"/>
          <w:color w:val="000000" w:themeColor="text1"/>
          <w:szCs w:val="16"/>
        </w:rPr>
        <w:t>25</w:t>
      </w:r>
      <w:r w:rsidR="00466438" w:rsidRPr="00803976">
        <w:rPr>
          <w:rFonts w:cs="Arial"/>
          <w:color w:val="000000" w:themeColor="text1"/>
          <w:szCs w:val="16"/>
        </w:rPr>
        <w:t>.</w:t>
      </w:r>
    </w:p>
    <w:p w14:paraId="460CC1EE" w14:textId="4695ED4F" w:rsidR="00955559" w:rsidRPr="00803976" w:rsidRDefault="00955559" w:rsidP="00934C8F">
      <w:pPr>
        <w:pStyle w:val="ChartandTableFootnoteAlpha"/>
        <w:numPr>
          <w:ilvl w:val="0"/>
          <w:numId w:val="7"/>
        </w:numPr>
        <w:rPr>
          <w:rFonts w:cs="Arial"/>
          <w:color w:val="000000" w:themeColor="text1"/>
          <w:szCs w:val="16"/>
        </w:rPr>
      </w:pPr>
      <w:r w:rsidRPr="00803976">
        <w:rPr>
          <w:rFonts w:cs="Arial"/>
          <w:color w:val="000000" w:themeColor="text1"/>
          <w:szCs w:val="16"/>
        </w:rPr>
        <w:t>‘Appropriation ordinary annual services’ refers to funding provided through Appropriation Bill (No. 1) 202</w:t>
      </w:r>
      <w:r w:rsidR="00397749" w:rsidRPr="00803976">
        <w:rPr>
          <w:rFonts w:cs="Arial"/>
          <w:color w:val="000000" w:themeColor="text1"/>
          <w:szCs w:val="16"/>
        </w:rPr>
        <w:t>4</w:t>
      </w:r>
      <w:r w:rsidRPr="00803976">
        <w:rPr>
          <w:rFonts w:cs="Arial"/>
          <w:color w:val="000000" w:themeColor="text1"/>
          <w:szCs w:val="16"/>
        </w:rPr>
        <w:t>-2</w:t>
      </w:r>
      <w:r w:rsidR="00397749" w:rsidRPr="00803976">
        <w:rPr>
          <w:rFonts w:cs="Arial"/>
          <w:color w:val="000000" w:themeColor="text1"/>
          <w:szCs w:val="16"/>
        </w:rPr>
        <w:t>5</w:t>
      </w:r>
      <w:r w:rsidRPr="00803976">
        <w:rPr>
          <w:rFonts w:cs="Arial"/>
          <w:color w:val="000000" w:themeColor="text1"/>
          <w:szCs w:val="16"/>
        </w:rPr>
        <w:t xml:space="preserve"> for </w:t>
      </w:r>
      <w:r w:rsidR="00BA79DE">
        <w:rPr>
          <w:rFonts w:cs="Arial"/>
          <w:color w:val="000000" w:themeColor="text1"/>
          <w:szCs w:val="16"/>
        </w:rPr>
        <w:t xml:space="preserve">depreciation/amortisation expenses, DCBs or other </w:t>
      </w:r>
      <w:r w:rsidR="00EF2391">
        <w:rPr>
          <w:rFonts w:cs="Arial"/>
          <w:color w:val="000000" w:themeColor="text1"/>
          <w:szCs w:val="16"/>
        </w:rPr>
        <w:t>operational expenses</w:t>
      </w:r>
      <w:r w:rsidRPr="00803976">
        <w:rPr>
          <w:rFonts w:cs="Arial"/>
          <w:color w:val="000000" w:themeColor="text1"/>
          <w:szCs w:val="16"/>
        </w:rPr>
        <w:t>.</w:t>
      </w:r>
    </w:p>
    <w:p w14:paraId="18C3CDAF" w14:textId="77777777" w:rsidR="00955559" w:rsidRPr="00A76734" w:rsidRDefault="00955559" w:rsidP="00955559">
      <w:pPr>
        <w:spacing w:before="0" w:after="0" w:line="240" w:lineRule="auto"/>
        <w:rPr>
          <w:rFonts w:ascii="Arial" w:hAnsi="Arial" w:cs="Arial"/>
          <w:color w:val="000000" w:themeColor="text1"/>
          <w:sz w:val="16"/>
          <w:szCs w:val="16"/>
        </w:rPr>
      </w:pPr>
      <w:r w:rsidRPr="00A76734">
        <w:rPr>
          <w:rFonts w:cs="Arial"/>
          <w:color w:val="000000" w:themeColor="text1"/>
          <w:szCs w:val="16"/>
        </w:rPr>
        <w:br w:type="page"/>
      </w:r>
    </w:p>
    <w:p w14:paraId="3A1AC90A" w14:textId="5F5D7E81" w:rsidR="005B2983" w:rsidRPr="00EB34A7" w:rsidRDefault="00955559" w:rsidP="00EB34A7">
      <w:pPr>
        <w:pStyle w:val="TableHeading"/>
        <w:rPr>
          <w:color w:val="000000" w:themeColor="text1"/>
        </w:rPr>
      </w:pPr>
      <w:r w:rsidRPr="00A76734">
        <w:rPr>
          <w:color w:val="000000" w:themeColor="text1"/>
        </w:rPr>
        <w:lastRenderedPageBreak/>
        <w:t>Table 3.7: Schedule of budgeted income and expenses administered on behalf of Government (for the period ended 30 June)</w:t>
      </w:r>
    </w:p>
    <w:p w14:paraId="460092A7" w14:textId="460916CD" w:rsidR="00933EC7" w:rsidRDefault="00451F2C" w:rsidP="00EB34A7">
      <w:pPr>
        <w:pStyle w:val="TableHeading"/>
        <w:spacing w:before="0" w:after="0"/>
        <w:rPr>
          <w:color w:val="000000" w:themeColor="text1"/>
        </w:rPr>
      </w:pPr>
      <w:r w:rsidRPr="00451F2C">
        <w:rPr>
          <w:noProof/>
        </w:rPr>
        <w:drawing>
          <wp:inline distT="0" distB="0" distL="0" distR="0" wp14:anchorId="6A33CC6B" wp14:editId="7B8BB99C">
            <wp:extent cx="4895850" cy="156400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95850" cy="1564005"/>
                    </a:xfrm>
                    <a:prstGeom prst="rect">
                      <a:avLst/>
                    </a:prstGeom>
                    <a:noFill/>
                    <a:ln>
                      <a:noFill/>
                    </a:ln>
                  </pic:spPr>
                </pic:pic>
              </a:graphicData>
            </a:graphic>
          </wp:inline>
        </w:drawing>
      </w:r>
    </w:p>
    <w:p w14:paraId="5E803940" w14:textId="77777777" w:rsidR="00955559" w:rsidRPr="00A76734" w:rsidRDefault="00955559" w:rsidP="00955559">
      <w:pPr>
        <w:pStyle w:val="ChartandTableFootnote"/>
        <w:rPr>
          <w:color w:val="000000" w:themeColor="text1"/>
        </w:rPr>
      </w:pPr>
      <w:r w:rsidRPr="00EB34A7">
        <w:rPr>
          <w:color w:val="000000" w:themeColor="text1"/>
        </w:rPr>
        <w:t>Prepared on Australian Accounting Standards basis.</w:t>
      </w:r>
    </w:p>
    <w:p w14:paraId="66E74C2B" w14:textId="1A911A42" w:rsidR="00933EC7" w:rsidRPr="00231597" w:rsidRDefault="00955559" w:rsidP="00231597">
      <w:pPr>
        <w:pStyle w:val="TableHeading"/>
        <w:rPr>
          <w:color w:val="000000" w:themeColor="text1"/>
        </w:rPr>
      </w:pPr>
      <w:r w:rsidRPr="00A76734">
        <w:rPr>
          <w:color w:val="000000" w:themeColor="text1"/>
        </w:rPr>
        <w:br w:type="page"/>
      </w:r>
      <w:r w:rsidRPr="00A76734">
        <w:rPr>
          <w:color w:val="000000" w:themeColor="text1"/>
        </w:rPr>
        <w:lastRenderedPageBreak/>
        <w:t>Table 3.8: Schedule of budgeted assets and liabilities administered on behalf of Government (as at 30 June)</w:t>
      </w:r>
    </w:p>
    <w:p w14:paraId="5261F013" w14:textId="0A186A01" w:rsidR="00933EC7" w:rsidRDefault="00451F2C" w:rsidP="00231597">
      <w:pPr>
        <w:pStyle w:val="TableHeading"/>
        <w:spacing w:before="0" w:after="0"/>
        <w:rPr>
          <w:color w:val="000000" w:themeColor="text1"/>
        </w:rPr>
      </w:pPr>
      <w:r w:rsidRPr="00451F2C">
        <w:rPr>
          <w:noProof/>
        </w:rPr>
        <w:drawing>
          <wp:inline distT="0" distB="0" distL="0" distR="0" wp14:anchorId="3032E42D" wp14:editId="2466ECF8">
            <wp:extent cx="4895850" cy="280416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95850" cy="2804160"/>
                    </a:xfrm>
                    <a:prstGeom prst="rect">
                      <a:avLst/>
                    </a:prstGeom>
                    <a:noFill/>
                    <a:ln>
                      <a:noFill/>
                    </a:ln>
                  </pic:spPr>
                </pic:pic>
              </a:graphicData>
            </a:graphic>
          </wp:inline>
        </w:drawing>
      </w:r>
    </w:p>
    <w:p w14:paraId="3D98A937" w14:textId="77777777" w:rsidR="00955559" w:rsidRPr="00A76734" w:rsidRDefault="00955559" w:rsidP="00955559">
      <w:pPr>
        <w:pStyle w:val="ChartandTableFootnote"/>
        <w:rPr>
          <w:color w:val="000000" w:themeColor="text1"/>
        </w:rPr>
      </w:pPr>
      <w:r w:rsidRPr="00231597">
        <w:rPr>
          <w:color w:val="000000" w:themeColor="text1"/>
        </w:rPr>
        <w:t>Prepared on Australian Accounting Standards basis.</w:t>
      </w:r>
    </w:p>
    <w:p w14:paraId="24A0770D" w14:textId="77777777" w:rsidR="00955559" w:rsidRPr="00A76734" w:rsidRDefault="00955559" w:rsidP="00955559">
      <w:pPr>
        <w:pStyle w:val="SingleParagraph"/>
        <w:rPr>
          <w:rFonts w:ascii="Arial" w:hAnsi="Arial" w:cs="Arial"/>
          <w:color w:val="000000" w:themeColor="text1"/>
          <w:sz w:val="16"/>
          <w:szCs w:val="16"/>
        </w:rPr>
      </w:pPr>
    </w:p>
    <w:p w14:paraId="2C1C0D88" w14:textId="307DC3B8" w:rsidR="005B2983" w:rsidRPr="00A06158" w:rsidRDefault="00955559" w:rsidP="00A06158">
      <w:pPr>
        <w:pStyle w:val="TableHeading"/>
        <w:rPr>
          <w:color w:val="000000" w:themeColor="text1"/>
        </w:rPr>
      </w:pPr>
      <w:r w:rsidRPr="00A76734">
        <w:rPr>
          <w:color w:val="000000" w:themeColor="text1"/>
        </w:rPr>
        <w:br w:type="page"/>
      </w:r>
      <w:r w:rsidRPr="00A76734">
        <w:rPr>
          <w:color w:val="000000" w:themeColor="text1"/>
        </w:rPr>
        <w:lastRenderedPageBreak/>
        <w:t>Table 3.9: Schedule of budgeted administered cash flows (for the period ended 30 June)</w:t>
      </w:r>
    </w:p>
    <w:p w14:paraId="1AACE5F2" w14:textId="7ABF63E5" w:rsidR="00633272" w:rsidRDefault="00A14D76" w:rsidP="00955559">
      <w:pPr>
        <w:pStyle w:val="ChartandTableFootnote"/>
        <w:rPr>
          <w:color w:val="000000" w:themeColor="text1"/>
        </w:rPr>
      </w:pPr>
      <w:r w:rsidRPr="00A14D76">
        <w:rPr>
          <w:noProof/>
        </w:rPr>
        <w:drawing>
          <wp:inline distT="0" distB="0" distL="0" distR="0" wp14:anchorId="41EB3EDD" wp14:editId="28FAA425">
            <wp:extent cx="4895850" cy="26193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95850" cy="2619375"/>
                    </a:xfrm>
                    <a:prstGeom prst="rect">
                      <a:avLst/>
                    </a:prstGeom>
                    <a:noFill/>
                    <a:ln>
                      <a:noFill/>
                    </a:ln>
                  </pic:spPr>
                </pic:pic>
              </a:graphicData>
            </a:graphic>
          </wp:inline>
        </w:drawing>
      </w:r>
    </w:p>
    <w:p w14:paraId="7C3CF700" w14:textId="5951300A" w:rsidR="006907C2" w:rsidRPr="00A76734" w:rsidRDefault="00955559" w:rsidP="00955559">
      <w:pPr>
        <w:pStyle w:val="ChartandTableFootnote"/>
        <w:rPr>
          <w:color w:val="000000" w:themeColor="text1"/>
        </w:rPr>
      </w:pPr>
      <w:r w:rsidRPr="00A06158">
        <w:rPr>
          <w:color w:val="000000" w:themeColor="text1"/>
        </w:rPr>
        <w:t>Prepared on Australian Accounting Standards basis.</w:t>
      </w:r>
    </w:p>
    <w:p w14:paraId="16B450AA" w14:textId="77777777" w:rsidR="006907C2" w:rsidRPr="00A76734" w:rsidRDefault="006907C2" w:rsidP="006907C2">
      <w:pPr>
        <w:rPr>
          <w:color w:val="000000" w:themeColor="text1"/>
        </w:rPr>
      </w:pPr>
    </w:p>
    <w:bookmarkEnd w:id="0"/>
    <w:bookmarkEnd w:id="1"/>
    <w:bookmarkEnd w:id="2"/>
    <w:p w14:paraId="41CAEED0" w14:textId="77777777" w:rsidR="00013B52" w:rsidRPr="00A76734" w:rsidRDefault="00013B52" w:rsidP="00013B52">
      <w:pPr>
        <w:rPr>
          <w:color w:val="000000" w:themeColor="text1"/>
        </w:rPr>
      </w:pPr>
    </w:p>
    <w:p w14:paraId="7CD613F3" w14:textId="77777777" w:rsidR="00DB62F6" w:rsidRPr="00A76734" w:rsidRDefault="00DB62F6" w:rsidP="00DB62F6">
      <w:pPr>
        <w:rPr>
          <w:color w:val="000000" w:themeColor="text1"/>
        </w:rPr>
      </w:pPr>
    </w:p>
    <w:sectPr w:rsidR="00DB62F6" w:rsidRPr="00A76734" w:rsidSect="00887C46">
      <w:headerReference w:type="even" r:id="rId36"/>
      <w:headerReference w:type="default" r:id="rId37"/>
      <w:headerReference w:type="first" r:id="rId38"/>
      <w:footerReference w:type="first" r:id="rId39"/>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5C6D" w14:textId="77777777" w:rsidR="00ED0552" w:rsidRDefault="00ED0552" w:rsidP="00C07DEC">
      <w:r>
        <w:separator/>
      </w:r>
    </w:p>
  </w:endnote>
  <w:endnote w:type="continuationSeparator" w:id="0">
    <w:p w14:paraId="4FBCF5D5" w14:textId="77777777" w:rsidR="00ED0552" w:rsidRDefault="00ED0552" w:rsidP="00C07DEC">
      <w:r>
        <w:continuationSeparator/>
      </w:r>
    </w:p>
  </w:endnote>
  <w:endnote w:type="continuationNotice" w:id="1">
    <w:p w14:paraId="057E1369" w14:textId="77777777" w:rsidR="00ED0552" w:rsidRDefault="00ED05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79B0" w14:textId="1BAFA109" w:rsidR="007A434E" w:rsidRPr="003B3684" w:rsidRDefault="007A434E" w:rsidP="007A434E">
    <w:pPr>
      <w:pStyle w:val="FooterEven"/>
    </w:pPr>
    <w:r w:rsidRPr="001C6402">
      <w:rPr>
        <w:rStyle w:val="PageNumber"/>
        <w:rFonts w:cs="Times New Roman"/>
        <w:b/>
        <w:bCs/>
        <w:color w:val="000000"/>
      </w:rPr>
      <w:t xml:space="preserve">Page </w:t>
    </w:r>
    <w:r w:rsidRPr="001C6402">
      <w:rPr>
        <w:rStyle w:val="PageNumber"/>
        <w:rFonts w:cs="Times New Roman"/>
        <w:b/>
        <w:bCs/>
        <w:color w:val="000000"/>
      </w:rPr>
      <w:fldChar w:fldCharType="begin"/>
    </w:r>
    <w:r w:rsidRPr="001C6402">
      <w:rPr>
        <w:rStyle w:val="PageNumber"/>
        <w:rFonts w:cs="Times New Roman"/>
        <w:b/>
        <w:bCs/>
        <w:color w:val="000000"/>
      </w:rPr>
      <w:instrText xml:space="preserve"> PAGE </w:instrText>
    </w:r>
    <w:r w:rsidRPr="001C6402">
      <w:rPr>
        <w:rStyle w:val="PageNumber"/>
        <w:rFonts w:cs="Times New Roman"/>
        <w:b/>
        <w:bCs/>
        <w:color w:val="000000"/>
      </w:rPr>
      <w:fldChar w:fldCharType="separate"/>
    </w:r>
    <w:r>
      <w:rPr>
        <w:rStyle w:val="PageNumber"/>
        <w:b/>
        <w:bCs/>
        <w:color w:val="000000"/>
      </w:rPr>
      <w:t>1</w:t>
    </w:r>
    <w:r w:rsidRPr="001C6402">
      <w:rPr>
        <w:rStyle w:val="PageNumber"/>
        <w:rFonts w:cs="Times New Roman"/>
        <w:b/>
        <w:bCs/>
        <w:color w:val="000000"/>
      </w:rPr>
      <w:fldChar w:fldCharType="end"/>
    </w:r>
    <w:r w:rsidRPr="001C6402">
      <w:rPr>
        <w:rStyle w:val="PageNumber"/>
        <w:rFonts w:cs="Times New Roman"/>
        <w:color w:val="000000"/>
      </w:rPr>
      <w:t xml:space="preserve">  |  </w:t>
    </w:r>
    <w:r w:rsidRPr="001C6402">
      <w:rPr>
        <w:rStyle w:val="PageNumber"/>
        <w:rFonts w:cs="Times New Roman"/>
        <w:color w:val="000000"/>
      </w:rPr>
      <w:fldChar w:fldCharType="begin"/>
    </w:r>
    <w:r w:rsidRPr="001C6402">
      <w:rPr>
        <w:rStyle w:val="PageNumber"/>
        <w:rFonts w:cs="Times New Roman"/>
        <w:color w:val="000000"/>
      </w:rPr>
      <w:instrText xml:space="preserve"> STYLEREF  "Heading 1"  \* MERGEFORMAT </w:instrText>
    </w:r>
    <w:r w:rsidRPr="001C6402">
      <w:rPr>
        <w:rStyle w:val="PageNumber"/>
        <w:rFonts w:cs="Times New Roman"/>
        <w:color w:val="000000"/>
      </w:rPr>
      <w:fldChar w:fldCharType="separate"/>
    </w:r>
    <w:r w:rsidR="00347239">
      <w:rPr>
        <w:rStyle w:val="PageNumber"/>
        <w:rFonts w:cs="Times New Roman"/>
        <w:noProof/>
        <w:color w:val="000000"/>
      </w:rPr>
      <w:t>Australian Trade and Investment Commission</w:t>
    </w:r>
    <w:r w:rsidRPr="001C6402">
      <w:rPr>
        <w:rStyle w:val="PageNumber"/>
        <w:rFonts w:cs="Times New Roman"/>
        <w:color w:val="000000"/>
      </w:rPr>
      <w:fldChar w:fldCharType="end"/>
    </w:r>
    <w:r w:rsidRPr="001C6402">
      <w:rPr>
        <w:rStyle w:val="PageNumber"/>
        <w:rFonts w:cs="Times New Roman"/>
        <w:color w:val="000000"/>
      </w:rPr>
      <w:t xml:space="preserve"> </w:t>
    </w:r>
  </w:p>
  <w:p w14:paraId="4995282A" w14:textId="77777777" w:rsidR="007A434E" w:rsidRDefault="007A4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D87B" w14:textId="5C8531CA" w:rsidR="007A434E" w:rsidRPr="009E69CA" w:rsidRDefault="007A434E" w:rsidP="007A434E">
    <w:pPr>
      <w:pStyle w:val="FooterOdd"/>
    </w:pPr>
    <w:r>
      <w:rPr>
        <w:rStyle w:val="PageNumber"/>
        <w:rFonts w:cs="Times New Roman"/>
      </w:rPr>
      <w:fldChar w:fldCharType="begin"/>
    </w:r>
    <w:r>
      <w:rPr>
        <w:rStyle w:val="PageNumber"/>
        <w:rFonts w:cs="Times New Roman"/>
      </w:rPr>
      <w:instrText xml:space="preserve"> STYLEREF  "Heading 1"  \* MERGEFORMAT </w:instrText>
    </w:r>
    <w:r>
      <w:rPr>
        <w:rStyle w:val="PageNumber"/>
        <w:rFonts w:cs="Times New Roman"/>
      </w:rPr>
      <w:fldChar w:fldCharType="separate"/>
    </w:r>
    <w:r w:rsidR="00347239">
      <w:rPr>
        <w:rStyle w:val="PageNumber"/>
        <w:rFonts w:cs="Times New Roman"/>
        <w:noProof/>
      </w:rPr>
      <w:t>Australian Trade and Investment Commission</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b/>
        <w:bCs/>
      </w:rPr>
      <w:t>5</w:t>
    </w:r>
    <w:r w:rsidRPr="00B628E8">
      <w:rPr>
        <w:rStyle w:val="PageNumber"/>
        <w:rFonts w:cs="Times New Roman"/>
        <w:b/>
        <w:bCs/>
      </w:rPr>
      <w:fldChar w:fldCharType="end"/>
    </w:r>
  </w:p>
  <w:p w14:paraId="043BB45D" w14:textId="77777777" w:rsidR="007A434E" w:rsidRPr="007A434E" w:rsidRDefault="007A434E" w:rsidP="007A4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40DB" w14:textId="77777777" w:rsidR="007A434E" w:rsidRDefault="007A43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487E" w14:textId="3562AF5E" w:rsidR="00955559" w:rsidRPr="00C431FB" w:rsidRDefault="00A16A1F" w:rsidP="00C431FB">
    <w:pPr>
      <w:pStyle w:val="FooterOdd"/>
      <w:rPr>
        <w:color w:val="auto"/>
      </w:rPr>
    </w:pPr>
    <w:r>
      <w:rPr>
        <w:rStyle w:val="PageNumber"/>
        <w:rFonts w:cs="Times New Roman"/>
      </w:rPr>
      <w:t>Australian Trade and Investment Commission</w:t>
    </w:r>
    <w:r w:rsidR="00955559" w:rsidRPr="00B628E8">
      <w:rPr>
        <w:rStyle w:val="PageNumber"/>
        <w:rFonts w:cs="Times New Roman"/>
      </w:rPr>
      <w:t xml:space="preserve"> </w:t>
    </w:r>
    <w:r w:rsidR="00955559">
      <w:rPr>
        <w:rStyle w:val="PageNumber"/>
        <w:rFonts w:cs="Times New Roman"/>
      </w:rPr>
      <w:t xml:space="preserve"> </w:t>
    </w:r>
    <w:r w:rsidR="00955559" w:rsidRPr="00B628E8">
      <w:rPr>
        <w:rStyle w:val="PageNumber"/>
        <w:rFonts w:cs="Times New Roman"/>
      </w:rPr>
      <w:t>|</w:t>
    </w:r>
    <w:r w:rsidR="00955559">
      <w:rPr>
        <w:rStyle w:val="PageNumber"/>
        <w:rFonts w:cs="Times New Roman"/>
      </w:rPr>
      <w:t xml:space="preserve"> </w:t>
    </w:r>
    <w:r w:rsidR="00955559" w:rsidRPr="00B628E8">
      <w:rPr>
        <w:rStyle w:val="PageNumber"/>
        <w:rFonts w:cs="Times New Roman"/>
      </w:rPr>
      <w:t xml:space="preserve"> </w:t>
    </w:r>
    <w:r w:rsidR="00955559" w:rsidRPr="00B628E8">
      <w:rPr>
        <w:rStyle w:val="PageNumber"/>
        <w:rFonts w:cs="Times New Roman"/>
        <w:b/>
        <w:bCs/>
      </w:rPr>
      <w:t xml:space="preserve">Page </w:t>
    </w:r>
    <w:r w:rsidR="00955559" w:rsidRPr="00B628E8">
      <w:rPr>
        <w:rStyle w:val="PageNumber"/>
        <w:rFonts w:cs="Times New Roman"/>
        <w:b/>
        <w:bCs/>
      </w:rPr>
      <w:fldChar w:fldCharType="begin"/>
    </w:r>
    <w:r w:rsidR="00955559" w:rsidRPr="00B628E8">
      <w:rPr>
        <w:rStyle w:val="PageNumber"/>
        <w:rFonts w:cs="Times New Roman"/>
        <w:b/>
        <w:bCs/>
      </w:rPr>
      <w:instrText xml:space="preserve"> PAGE  \* Arabic </w:instrText>
    </w:r>
    <w:r w:rsidR="00955559" w:rsidRPr="00B628E8">
      <w:rPr>
        <w:rStyle w:val="PageNumber"/>
        <w:rFonts w:cs="Times New Roman"/>
        <w:b/>
        <w:bCs/>
      </w:rPr>
      <w:fldChar w:fldCharType="separate"/>
    </w:r>
    <w:r w:rsidR="00955559">
      <w:rPr>
        <w:rStyle w:val="PageNumber"/>
        <w:rFonts w:cs="Times New Roman"/>
        <w:b/>
        <w:bCs/>
        <w:noProof/>
      </w:rPr>
      <w:t>9</w:t>
    </w:r>
    <w:r w:rsidR="00955559" w:rsidRPr="00B628E8">
      <w:rPr>
        <w:rStyle w:val="PageNumber"/>
        <w:rFonts w:cs="Times New Roman"/>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BA6F" w14:textId="4AF685FA" w:rsidR="00B03653" w:rsidRPr="009E69CA" w:rsidRDefault="009E69CA" w:rsidP="009E69CA">
    <w:pPr>
      <w:pStyle w:val="FooterOdd"/>
    </w:pPr>
    <w:r>
      <w:rPr>
        <w:rStyle w:val="PageNumber"/>
        <w:rFonts w:cs="Times New Roman"/>
      </w:rPr>
      <w:fldChar w:fldCharType="begin"/>
    </w:r>
    <w:r>
      <w:rPr>
        <w:rStyle w:val="PageNumber"/>
        <w:rFonts w:cs="Times New Roman"/>
      </w:rPr>
      <w:instrText xml:space="preserve"> STYLEREF  "Heading 1"  \* MERGEFORMAT </w:instrText>
    </w:r>
    <w:r>
      <w:rPr>
        <w:rStyle w:val="PageNumber"/>
        <w:rFonts w:cs="Times New Roman"/>
      </w:rPr>
      <w:fldChar w:fldCharType="separate"/>
    </w:r>
    <w:r w:rsidR="00347239">
      <w:rPr>
        <w:rStyle w:val="PageNumber"/>
        <w:rFonts w:cs="Times New Roman"/>
        <w:noProof/>
      </w:rPr>
      <w:t>Australian Trade and Investment Commission</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sidR="00B05C96">
      <w:rPr>
        <w:rStyle w:val="PageNumber"/>
        <w:rFonts w:cs="Times New Roman"/>
        <w:b/>
        <w:bCs/>
        <w:noProof/>
      </w:rPr>
      <w:t>75</w:t>
    </w:r>
    <w:r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E722" w14:textId="77777777" w:rsidR="00ED0552" w:rsidRDefault="00ED0552" w:rsidP="00C07DEC">
      <w:r>
        <w:separator/>
      </w:r>
    </w:p>
  </w:footnote>
  <w:footnote w:type="continuationSeparator" w:id="0">
    <w:p w14:paraId="4E2F661D" w14:textId="77777777" w:rsidR="00ED0552" w:rsidRDefault="00ED0552" w:rsidP="00C07DEC">
      <w:r>
        <w:continuationSeparator/>
      </w:r>
    </w:p>
  </w:footnote>
  <w:footnote w:type="continuationNotice" w:id="1">
    <w:p w14:paraId="7A1D4B1A" w14:textId="77777777" w:rsidR="00ED0552" w:rsidRDefault="00ED05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DD05" w14:textId="77777777" w:rsidR="007A434E" w:rsidRDefault="007A4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EA26" w14:textId="77777777" w:rsidR="007A434E" w:rsidRDefault="007A4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B1E1" w14:textId="77777777" w:rsidR="007A434E" w:rsidRDefault="007A43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C8E6" w14:textId="6EAE594E" w:rsidR="00B03653" w:rsidRDefault="005307C5" w:rsidP="00DF5D1D">
    <w:pPr>
      <w:pStyle w:val="HeaderEven"/>
      <w:ind w:left="-113"/>
    </w:pPr>
    <w:r w:rsidRPr="00D47C6E">
      <w:rPr>
        <w:noProof/>
        <w:position w:val="-6"/>
      </w:rPr>
      <w:drawing>
        <wp:inline distT="0" distB="0" distL="0" distR="0" wp14:anchorId="31A4F462" wp14:editId="20400E93">
          <wp:extent cx="919093" cy="131299"/>
          <wp:effectExtent l="0" t="0" r="0" b="2540"/>
          <wp:docPr id="1714578263" name="Picture 1714578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rsidR="00013B52">
      <w:t xml:space="preserve">  |  Portfolio 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B57B" w14:textId="2CCB693C" w:rsidR="00DF5D1D" w:rsidRDefault="00DF5D1D" w:rsidP="00DF5D1D">
    <w:pPr>
      <w:pStyle w:val="HeaderOdd"/>
    </w:pPr>
    <w:r>
      <w:t xml:space="preserve">Portfolio Budget Statements  |  </w:t>
    </w:r>
    <w:r w:rsidR="005307C5" w:rsidRPr="00D47C6E">
      <w:rPr>
        <w:noProof/>
        <w:position w:val="-6"/>
      </w:rPr>
      <w:drawing>
        <wp:inline distT="0" distB="0" distL="0" distR="0" wp14:anchorId="1290EE1A" wp14:editId="5D0B23F9">
          <wp:extent cx="919093" cy="131299"/>
          <wp:effectExtent l="0" t="0" r="0" b="2540"/>
          <wp:docPr id="763602883" name="Picture 7636028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14:paraId="40EB4766" w14:textId="00BE2D77" w:rsidR="00B03653" w:rsidRPr="00013B52" w:rsidRDefault="00B03653" w:rsidP="00013B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199C" w14:textId="57B0DBD3" w:rsidR="00B03653" w:rsidRPr="00970E65" w:rsidRDefault="00DF5D1D" w:rsidP="004461A4">
    <w:pPr>
      <w:pStyle w:val="HeaderOdd"/>
    </w:pPr>
    <w:r>
      <w:t xml:space="preserve">Portfolio Budget Statements  |  </w:t>
    </w:r>
    <w:r w:rsidR="005307C5" w:rsidRPr="00D47C6E">
      <w:rPr>
        <w:noProof/>
        <w:position w:val="-6"/>
      </w:rPr>
      <w:drawing>
        <wp:inline distT="0" distB="0" distL="0" distR="0" wp14:anchorId="36EE1A13" wp14:editId="676B1E5F">
          <wp:extent cx="919093" cy="131299"/>
          <wp:effectExtent l="0" t="0" r="0" b="2540"/>
          <wp:docPr id="597412756" name="Picture 5974127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658"/>
    <w:multiLevelType w:val="multilevel"/>
    <w:tmpl w:val="3DDEE1B8"/>
    <w:lvl w:ilvl="0">
      <w:start w:val="1"/>
      <w:numFmt w:val="bullet"/>
      <w:lvlText w:val=""/>
      <w:lvlJc w:val="left"/>
      <w:pPr>
        <w:tabs>
          <w:tab w:val="num" w:pos="1058"/>
        </w:tabs>
        <w:ind w:left="1058" w:hanging="360"/>
      </w:pPr>
      <w:rPr>
        <w:rFonts w:ascii="Symbol" w:hAnsi="Symbol" w:hint="default"/>
        <w:color w:val="auto"/>
        <w:sz w:val="20"/>
      </w:rPr>
    </w:lvl>
    <w:lvl w:ilvl="1">
      <w:start w:val="1"/>
      <w:numFmt w:val="bullet"/>
      <w:lvlText w:val=""/>
      <w:lvlJc w:val="left"/>
      <w:pPr>
        <w:tabs>
          <w:tab w:val="num" w:pos="1778"/>
        </w:tabs>
        <w:ind w:left="1778" w:hanging="360"/>
      </w:pPr>
      <w:rPr>
        <w:rFonts w:ascii="Symbol" w:hAnsi="Symbol" w:hint="default"/>
        <w:sz w:val="20"/>
      </w:rPr>
    </w:lvl>
    <w:lvl w:ilvl="2">
      <w:start w:val="1"/>
      <w:numFmt w:val="bullet"/>
      <w:lvlText w:val=""/>
      <w:lvlJc w:val="left"/>
      <w:pPr>
        <w:tabs>
          <w:tab w:val="num" w:pos="2498"/>
        </w:tabs>
        <w:ind w:left="2498" w:hanging="360"/>
      </w:pPr>
      <w:rPr>
        <w:rFonts w:ascii="Symbol" w:hAnsi="Symbol" w:hint="default"/>
        <w:sz w:val="20"/>
      </w:rPr>
    </w:lvl>
    <w:lvl w:ilvl="3">
      <w:start w:val="1"/>
      <w:numFmt w:val="bullet"/>
      <w:lvlText w:val=""/>
      <w:lvlJc w:val="left"/>
      <w:pPr>
        <w:tabs>
          <w:tab w:val="num" w:pos="3218"/>
        </w:tabs>
        <w:ind w:left="3218" w:hanging="360"/>
      </w:pPr>
      <w:rPr>
        <w:rFonts w:ascii="Symbol" w:hAnsi="Symbol" w:hint="default"/>
        <w:sz w:val="20"/>
      </w:rPr>
    </w:lvl>
    <w:lvl w:ilvl="4">
      <w:start w:val="1"/>
      <w:numFmt w:val="bullet"/>
      <w:lvlText w:val=""/>
      <w:lvlJc w:val="left"/>
      <w:pPr>
        <w:tabs>
          <w:tab w:val="num" w:pos="3938"/>
        </w:tabs>
        <w:ind w:left="3938" w:hanging="360"/>
      </w:pPr>
      <w:rPr>
        <w:rFonts w:ascii="Symbol" w:hAnsi="Symbol" w:hint="default"/>
        <w:sz w:val="20"/>
      </w:rPr>
    </w:lvl>
    <w:lvl w:ilvl="5">
      <w:start w:val="1"/>
      <w:numFmt w:val="bullet"/>
      <w:lvlText w:val=""/>
      <w:lvlJc w:val="left"/>
      <w:pPr>
        <w:tabs>
          <w:tab w:val="num" w:pos="4658"/>
        </w:tabs>
        <w:ind w:left="4658" w:hanging="360"/>
      </w:pPr>
      <w:rPr>
        <w:rFonts w:ascii="Symbol" w:hAnsi="Symbol" w:hint="default"/>
        <w:sz w:val="20"/>
      </w:rPr>
    </w:lvl>
    <w:lvl w:ilvl="6">
      <w:start w:val="1"/>
      <w:numFmt w:val="bullet"/>
      <w:lvlText w:val=""/>
      <w:lvlJc w:val="left"/>
      <w:pPr>
        <w:tabs>
          <w:tab w:val="num" w:pos="5378"/>
        </w:tabs>
        <w:ind w:left="5378" w:hanging="360"/>
      </w:pPr>
      <w:rPr>
        <w:rFonts w:ascii="Symbol" w:hAnsi="Symbol" w:hint="default"/>
        <w:sz w:val="20"/>
      </w:rPr>
    </w:lvl>
    <w:lvl w:ilvl="7">
      <w:start w:val="1"/>
      <w:numFmt w:val="bullet"/>
      <w:lvlText w:val=""/>
      <w:lvlJc w:val="left"/>
      <w:pPr>
        <w:tabs>
          <w:tab w:val="num" w:pos="6098"/>
        </w:tabs>
        <w:ind w:left="6098" w:hanging="360"/>
      </w:pPr>
      <w:rPr>
        <w:rFonts w:ascii="Symbol" w:hAnsi="Symbol" w:hint="default"/>
        <w:sz w:val="20"/>
      </w:rPr>
    </w:lvl>
    <w:lvl w:ilvl="8">
      <w:start w:val="1"/>
      <w:numFmt w:val="bullet"/>
      <w:lvlText w:val=""/>
      <w:lvlJc w:val="left"/>
      <w:pPr>
        <w:tabs>
          <w:tab w:val="num" w:pos="6818"/>
        </w:tabs>
        <w:ind w:left="6818" w:hanging="360"/>
      </w:pPr>
      <w:rPr>
        <w:rFonts w:ascii="Symbol" w:hAnsi="Symbol" w:hint="default"/>
        <w:sz w:val="20"/>
      </w:rPr>
    </w:lvl>
  </w:abstractNum>
  <w:abstractNum w:abstractNumId="1" w15:restartNumberingAfterBreak="0">
    <w:nsid w:val="03906BCC"/>
    <w:multiLevelType w:val="hybridMultilevel"/>
    <w:tmpl w:val="97F2B71C"/>
    <w:lvl w:ilvl="0" w:tplc="29FAD8E4">
      <w:numFmt w:val="bullet"/>
      <w:lvlText w:val="•"/>
      <w:lvlJc w:val="left"/>
      <w:pPr>
        <w:ind w:left="393" w:hanging="284"/>
      </w:pPr>
      <w:rPr>
        <w:rFonts w:ascii="Book Antiqua" w:eastAsia="Book Antiqua" w:hAnsi="Book Antiqua" w:cs="Book Antiqua" w:hint="default"/>
        <w:b w:val="0"/>
        <w:bCs w:val="0"/>
        <w:i w:val="0"/>
        <w:iCs w:val="0"/>
        <w:w w:val="100"/>
        <w:sz w:val="20"/>
        <w:szCs w:val="20"/>
        <w:lang w:val="en-US" w:eastAsia="en-US" w:bidi="ar-SA"/>
      </w:rPr>
    </w:lvl>
    <w:lvl w:ilvl="1" w:tplc="1CBA6012">
      <w:numFmt w:val="bullet"/>
      <w:lvlText w:val="•"/>
      <w:lvlJc w:val="left"/>
      <w:pPr>
        <w:ind w:left="671" w:hanging="284"/>
      </w:pPr>
      <w:rPr>
        <w:rFonts w:hint="default"/>
        <w:lang w:val="en-US" w:eastAsia="en-US" w:bidi="ar-SA"/>
      </w:rPr>
    </w:lvl>
    <w:lvl w:ilvl="2" w:tplc="F7F06AC8">
      <w:numFmt w:val="bullet"/>
      <w:lvlText w:val="•"/>
      <w:lvlJc w:val="left"/>
      <w:pPr>
        <w:ind w:left="942" w:hanging="284"/>
      </w:pPr>
      <w:rPr>
        <w:rFonts w:hint="default"/>
        <w:lang w:val="en-US" w:eastAsia="en-US" w:bidi="ar-SA"/>
      </w:rPr>
    </w:lvl>
    <w:lvl w:ilvl="3" w:tplc="07324862">
      <w:numFmt w:val="bullet"/>
      <w:lvlText w:val="•"/>
      <w:lvlJc w:val="left"/>
      <w:pPr>
        <w:ind w:left="1213" w:hanging="284"/>
      </w:pPr>
      <w:rPr>
        <w:rFonts w:hint="default"/>
        <w:lang w:val="en-US" w:eastAsia="en-US" w:bidi="ar-SA"/>
      </w:rPr>
    </w:lvl>
    <w:lvl w:ilvl="4" w:tplc="6D40BAE2">
      <w:numFmt w:val="bullet"/>
      <w:lvlText w:val="•"/>
      <w:lvlJc w:val="left"/>
      <w:pPr>
        <w:ind w:left="1484" w:hanging="284"/>
      </w:pPr>
      <w:rPr>
        <w:rFonts w:hint="default"/>
        <w:lang w:val="en-US" w:eastAsia="en-US" w:bidi="ar-SA"/>
      </w:rPr>
    </w:lvl>
    <w:lvl w:ilvl="5" w:tplc="E2B02B62">
      <w:numFmt w:val="bullet"/>
      <w:lvlText w:val="•"/>
      <w:lvlJc w:val="left"/>
      <w:pPr>
        <w:ind w:left="1755" w:hanging="284"/>
      </w:pPr>
      <w:rPr>
        <w:rFonts w:hint="default"/>
        <w:lang w:val="en-US" w:eastAsia="en-US" w:bidi="ar-SA"/>
      </w:rPr>
    </w:lvl>
    <w:lvl w:ilvl="6" w:tplc="CC3A6BDE">
      <w:numFmt w:val="bullet"/>
      <w:lvlText w:val="•"/>
      <w:lvlJc w:val="left"/>
      <w:pPr>
        <w:ind w:left="2026" w:hanging="284"/>
      </w:pPr>
      <w:rPr>
        <w:rFonts w:hint="default"/>
        <w:lang w:val="en-US" w:eastAsia="en-US" w:bidi="ar-SA"/>
      </w:rPr>
    </w:lvl>
    <w:lvl w:ilvl="7" w:tplc="BB36AE6A">
      <w:numFmt w:val="bullet"/>
      <w:lvlText w:val="•"/>
      <w:lvlJc w:val="left"/>
      <w:pPr>
        <w:ind w:left="2297" w:hanging="284"/>
      </w:pPr>
      <w:rPr>
        <w:rFonts w:hint="default"/>
        <w:lang w:val="en-US" w:eastAsia="en-US" w:bidi="ar-SA"/>
      </w:rPr>
    </w:lvl>
    <w:lvl w:ilvl="8" w:tplc="C2B8B368">
      <w:numFmt w:val="bullet"/>
      <w:lvlText w:val="•"/>
      <w:lvlJc w:val="left"/>
      <w:pPr>
        <w:ind w:left="2568" w:hanging="284"/>
      </w:pPr>
      <w:rPr>
        <w:rFonts w:hint="default"/>
        <w:lang w:val="en-US" w:eastAsia="en-US" w:bidi="ar-SA"/>
      </w:rPr>
    </w:lvl>
  </w:abstractNum>
  <w:abstractNum w:abstractNumId="2" w15:restartNumberingAfterBreak="0">
    <w:nsid w:val="06AE7192"/>
    <w:multiLevelType w:val="multilevel"/>
    <w:tmpl w:val="2D626CF0"/>
    <w:lvl w:ilvl="0">
      <w:start w:val="1"/>
      <w:numFmt w:val="decimal"/>
      <w:lvlText w:val="%1."/>
      <w:lvlJc w:val="left"/>
      <w:pPr>
        <w:ind w:left="567" w:hanging="567"/>
      </w:pPr>
      <w:rPr>
        <w:rFonts w:hint="default"/>
        <w:lang w:val="en-US" w:eastAsia="en-US" w:bidi="ar-SA"/>
      </w:rPr>
    </w:lvl>
    <w:lvl w:ilvl="1">
      <w:start w:val="1"/>
      <w:numFmt w:val="bullet"/>
      <w:lvlText w:val=""/>
      <w:lvlJc w:val="left"/>
      <w:pPr>
        <w:ind w:left="360" w:hanging="360"/>
      </w:pPr>
      <w:rPr>
        <w:rFonts w:ascii="Symbol" w:hAnsi="Symbol" w:hint="default"/>
      </w:rPr>
    </w:lvl>
    <w:lvl w:ilvl="2">
      <w:numFmt w:val="bullet"/>
      <w:lvlText w:val=""/>
      <w:lvlJc w:val="left"/>
      <w:pPr>
        <w:ind w:left="829" w:hanging="363"/>
      </w:pPr>
      <w:rPr>
        <w:rFonts w:ascii="Symbol" w:eastAsia="Symbol" w:hAnsi="Symbol" w:cs="Symbol" w:hint="default"/>
        <w:b w:val="0"/>
        <w:bCs w:val="0"/>
        <w:i w:val="0"/>
        <w:iCs w:val="0"/>
        <w:color w:val="221F1F"/>
        <w:w w:val="99"/>
        <w:sz w:val="20"/>
        <w:szCs w:val="20"/>
        <w:lang w:val="en-US" w:eastAsia="en-US" w:bidi="ar-SA"/>
      </w:rPr>
    </w:lvl>
    <w:lvl w:ilvl="3">
      <w:numFmt w:val="bullet"/>
      <w:lvlText w:val="•"/>
      <w:lvlJc w:val="left"/>
      <w:pPr>
        <w:ind w:left="2446" w:hanging="363"/>
      </w:pPr>
      <w:rPr>
        <w:rFonts w:hint="default"/>
        <w:lang w:val="en-US" w:eastAsia="en-US" w:bidi="ar-SA"/>
      </w:rPr>
    </w:lvl>
    <w:lvl w:ilvl="4">
      <w:numFmt w:val="bullet"/>
      <w:lvlText w:val="•"/>
      <w:lvlJc w:val="left"/>
      <w:pPr>
        <w:ind w:left="3258" w:hanging="363"/>
      </w:pPr>
      <w:rPr>
        <w:rFonts w:hint="default"/>
        <w:lang w:val="en-US" w:eastAsia="en-US" w:bidi="ar-SA"/>
      </w:rPr>
    </w:lvl>
    <w:lvl w:ilvl="5">
      <w:numFmt w:val="bullet"/>
      <w:lvlText w:val="•"/>
      <w:lvlJc w:val="left"/>
      <w:pPr>
        <w:ind w:left="4070" w:hanging="363"/>
      </w:pPr>
      <w:rPr>
        <w:rFonts w:hint="default"/>
        <w:lang w:val="en-US" w:eastAsia="en-US" w:bidi="ar-SA"/>
      </w:rPr>
    </w:lvl>
    <w:lvl w:ilvl="6">
      <w:numFmt w:val="bullet"/>
      <w:lvlText w:val="•"/>
      <w:lvlJc w:val="left"/>
      <w:pPr>
        <w:ind w:left="4882" w:hanging="363"/>
      </w:pPr>
      <w:rPr>
        <w:rFonts w:hint="default"/>
        <w:lang w:val="en-US" w:eastAsia="en-US" w:bidi="ar-SA"/>
      </w:rPr>
    </w:lvl>
    <w:lvl w:ilvl="7">
      <w:numFmt w:val="bullet"/>
      <w:lvlText w:val="•"/>
      <w:lvlJc w:val="left"/>
      <w:pPr>
        <w:ind w:left="5693" w:hanging="363"/>
      </w:pPr>
      <w:rPr>
        <w:rFonts w:hint="default"/>
        <w:lang w:val="en-US" w:eastAsia="en-US" w:bidi="ar-SA"/>
      </w:rPr>
    </w:lvl>
    <w:lvl w:ilvl="8">
      <w:numFmt w:val="bullet"/>
      <w:lvlText w:val="•"/>
      <w:lvlJc w:val="left"/>
      <w:pPr>
        <w:ind w:left="6505" w:hanging="363"/>
      </w:pPr>
      <w:rPr>
        <w:rFonts w:hint="default"/>
        <w:lang w:val="en-US" w:eastAsia="en-US" w:bidi="ar-SA"/>
      </w:rPr>
    </w:lvl>
  </w:abstractNum>
  <w:abstractNum w:abstractNumId="3" w15:restartNumberingAfterBreak="0">
    <w:nsid w:val="0D313309"/>
    <w:multiLevelType w:val="hybridMultilevel"/>
    <w:tmpl w:val="CAD6EA50"/>
    <w:lvl w:ilvl="0" w:tplc="19C265C6">
      <w:start w:val="1"/>
      <w:numFmt w:val="lowerLetter"/>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0F276CBD"/>
    <w:multiLevelType w:val="hybridMultilevel"/>
    <w:tmpl w:val="B658D056"/>
    <w:lvl w:ilvl="0" w:tplc="2E10795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8" w15:restartNumberingAfterBreak="0">
    <w:nsid w:val="113960F8"/>
    <w:multiLevelType w:val="multilevel"/>
    <w:tmpl w:val="8F1CA77E"/>
    <w:lvl w:ilvl="0">
      <w:numFmt w:val="bullet"/>
      <w:lvlText w:val="•"/>
      <w:lvlJc w:val="left"/>
      <w:pPr>
        <w:ind w:left="567" w:hanging="567"/>
      </w:pPr>
      <w:rPr>
        <w:rFonts w:hint="default"/>
        <w:lang w:val="en-US" w:eastAsia="en-US" w:bidi="ar-SA"/>
      </w:rPr>
    </w:lvl>
    <w:lvl w:ilvl="1">
      <w:start w:val="1"/>
      <w:numFmt w:val="bullet"/>
      <w:lvlText w:val=""/>
      <w:lvlJc w:val="left"/>
      <w:pPr>
        <w:ind w:left="360" w:hanging="360"/>
      </w:pPr>
      <w:rPr>
        <w:rFonts w:ascii="Symbol" w:hAnsi="Symbol" w:hint="default"/>
      </w:rPr>
    </w:lvl>
    <w:lvl w:ilvl="2">
      <w:numFmt w:val="bullet"/>
      <w:lvlText w:val=""/>
      <w:lvlJc w:val="left"/>
      <w:pPr>
        <w:ind w:left="829" w:hanging="363"/>
      </w:pPr>
      <w:rPr>
        <w:rFonts w:ascii="Symbol" w:eastAsia="Symbol" w:hAnsi="Symbol" w:cs="Symbol" w:hint="default"/>
        <w:b w:val="0"/>
        <w:bCs w:val="0"/>
        <w:i w:val="0"/>
        <w:iCs w:val="0"/>
        <w:color w:val="221F1F"/>
        <w:w w:val="99"/>
        <w:sz w:val="20"/>
        <w:szCs w:val="20"/>
        <w:lang w:val="en-US" w:eastAsia="en-US" w:bidi="ar-SA"/>
      </w:rPr>
    </w:lvl>
    <w:lvl w:ilvl="3">
      <w:numFmt w:val="bullet"/>
      <w:lvlText w:val="•"/>
      <w:lvlJc w:val="left"/>
      <w:pPr>
        <w:ind w:left="2446" w:hanging="363"/>
      </w:pPr>
      <w:rPr>
        <w:rFonts w:hint="default"/>
        <w:lang w:val="en-US" w:eastAsia="en-US" w:bidi="ar-SA"/>
      </w:rPr>
    </w:lvl>
    <w:lvl w:ilvl="4">
      <w:numFmt w:val="bullet"/>
      <w:lvlText w:val="•"/>
      <w:lvlJc w:val="left"/>
      <w:pPr>
        <w:ind w:left="3258" w:hanging="363"/>
      </w:pPr>
      <w:rPr>
        <w:rFonts w:hint="default"/>
        <w:lang w:val="en-US" w:eastAsia="en-US" w:bidi="ar-SA"/>
      </w:rPr>
    </w:lvl>
    <w:lvl w:ilvl="5">
      <w:numFmt w:val="bullet"/>
      <w:lvlText w:val="•"/>
      <w:lvlJc w:val="left"/>
      <w:pPr>
        <w:ind w:left="4070" w:hanging="363"/>
      </w:pPr>
      <w:rPr>
        <w:rFonts w:hint="default"/>
        <w:lang w:val="en-US" w:eastAsia="en-US" w:bidi="ar-SA"/>
      </w:rPr>
    </w:lvl>
    <w:lvl w:ilvl="6">
      <w:numFmt w:val="bullet"/>
      <w:lvlText w:val="•"/>
      <w:lvlJc w:val="left"/>
      <w:pPr>
        <w:ind w:left="4882" w:hanging="363"/>
      </w:pPr>
      <w:rPr>
        <w:rFonts w:hint="default"/>
        <w:lang w:val="en-US" w:eastAsia="en-US" w:bidi="ar-SA"/>
      </w:rPr>
    </w:lvl>
    <w:lvl w:ilvl="7">
      <w:numFmt w:val="bullet"/>
      <w:lvlText w:val="•"/>
      <w:lvlJc w:val="left"/>
      <w:pPr>
        <w:ind w:left="5693" w:hanging="363"/>
      </w:pPr>
      <w:rPr>
        <w:rFonts w:hint="default"/>
        <w:lang w:val="en-US" w:eastAsia="en-US" w:bidi="ar-SA"/>
      </w:rPr>
    </w:lvl>
    <w:lvl w:ilvl="8">
      <w:numFmt w:val="bullet"/>
      <w:lvlText w:val="•"/>
      <w:lvlJc w:val="left"/>
      <w:pPr>
        <w:ind w:left="6505" w:hanging="363"/>
      </w:pPr>
      <w:rPr>
        <w:rFonts w:hint="default"/>
        <w:lang w:val="en-US" w:eastAsia="en-US" w:bidi="ar-SA"/>
      </w:rPr>
    </w:lvl>
  </w:abstractNum>
  <w:abstractNum w:abstractNumId="9" w15:restartNumberingAfterBreak="0">
    <w:nsid w:val="1CDC6DD7"/>
    <w:multiLevelType w:val="hybridMultilevel"/>
    <w:tmpl w:val="2354C1A2"/>
    <w:lvl w:ilvl="0" w:tplc="1D360D22">
      <w:start w:val="1"/>
      <w:numFmt w:val="decimal"/>
      <w:lvlText w:val="%1."/>
      <w:lvlJc w:val="left"/>
      <w:pPr>
        <w:ind w:left="566" w:hanging="456"/>
      </w:pPr>
      <w:rPr>
        <w:rFonts w:ascii="Arial" w:eastAsia="Arial" w:hAnsi="Arial" w:cs="Arial" w:hint="default"/>
        <w:b w:val="0"/>
        <w:bCs w:val="0"/>
        <w:i w:val="0"/>
        <w:iCs w:val="0"/>
        <w:spacing w:val="-2"/>
        <w:w w:val="99"/>
        <w:sz w:val="16"/>
        <w:szCs w:val="16"/>
        <w:lang w:val="en-US" w:eastAsia="en-US" w:bidi="ar-SA"/>
      </w:rPr>
    </w:lvl>
    <w:lvl w:ilvl="1" w:tplc="32E863E6">
      <w:numFmt w:val="bullet"/>
      <w:lvlText w:val="•"/>
      <w:lvlJc w:val="left"/>
      <w:pPr>
        <w:ind w:left="1126" w:hanging="456"/>
      </w:pPr>
      <w:rPr>
        <w:rFonts w:hint="default"/>
        <w:lang w:val="en-US" w:eastAsia="en-US" w:bidi="ar-SA"/>
      </w:rPr>
    </w:lvl>
    <w:lvl w:ilvl="2" w:tplc="D09CAF7C">
      <w:numFmt w:val="bullet"/>
      <w:lvlText w:val="•"/>
      <w:lvlJc w:val="left"/>
      <w:pPr>
        <w:ind w:left="1693" w:hanging="456"/>
      </w:pPr>
      <w:rPr>
        <w:rFonts w:hint="default"/>
        <w:lang w:val="en-US" w:eastAsia="en-US" w:bidi="ar-SA"/>
      </w:rPr>
    </w:lvl>
    <w:lvl w:ilvl="3" w:tplc="BB2E82DE">
      <w:numFmt w:val="bullet"/>
      <w:lvlText w:val="•"/>
      <w:lvlJc w:val="left"/>
      <w:pPr>
        <w:ind w:left="2260" w:hanging="456"/>
      </w:pPr>
      <w:rPr>
        <w:rFonts w:hint="default"/>
        <w:lang w:val="en-US" w:eastAsia="en-US" w:bidi="ar-SA"/>
      </w:rPr>
    </w:lvl>
    <w:lvl w:ilvl="4" w:tplc="E3BAED38">
      <w:numFmt w:val="bullet"/>
      <w:lvlText w:val="•"/>
      <w:lvlJc w:val="left"/>
      <w:pPr>
        <w:ind w:left="2826" w:hanging="456"/>
      </w:pPr>
      <w:rPr>
        <w:rFonts w:hint="default"/>
        <w:lang w:val="en-US" w:eastAsia="en-US" w:bidi="ar-SA"/>
      </w:rPr>
    </w:lvl>
    <w:lvl w:ilvl="5" w:tplc="327E7420">
      <w:numFmt w:val="bullet"/>
      <w:lvlText w:val="•"/>
      <w:lvlJc w:val="left"/>
      <w:pPr>
        <w:ind w:left="3393" w:hanging="456"/>
      </w:pPr>
      <w:rPr>
        <w:rFonts w:hint="default"/>
        <w:lang w:val="en-US" w:eastAsia="en-US" w:bidi="ar-SA"/>
      </w:rPr>
    </w:lvl>
    <w:lvl w:ilvl="6" w:tplc="53845D20">
      <w:numFmt w:val="bullet"/>
      <w:lvlText w:val="•"/>
      <w:lvlJc w:val="left"/>
      <w:pPr>
        <w:ind w:left="3960" w:hanging="456"/>
      </w:pPr>
      <w:rPr>
        <w:rFonts w:hint="default"/>
        <w:lang w:val="en-US" w:eastAsia="en-US" w:bidi="ar-SA"/>
      </w:rPr>
    </w:lvl>
    <w:lvl w:ilvl="7" w:tplc="FDF66EEA">
      <w:numFmt w:val="bullet"/>
      <w:lvlText w:val="•"/>
      <w:lvlJc w:val="left"/>
      <w:pPr>
        <w:ind w:left="4526" w:hanging="456"/>
      </w:pPr>
      <w:rPr>
        <w:rFonts w:hint="default"/>
        <w:lang w:val="en-US" w:eastAsia="en-US" w:bidi="ar-SA"/>
      </w:rPr>
    </w:lvl>
    <w:lvl w:ilvl="8" w:tplc="906CF91C">
      <w:numFmt w:val="bullet"/>
      <w:lvlText w:val="•"/>
      <w:lvlJc w:val="left"/>
      <w:pPr>
        <w:ind w:left="5093" w:hanging="456"/>
      </w:pPr>
      <w:rPr>
        <w:rFonts w:hint="default"/>
        <w:lang w:val="en-US" w:eastAsia="en-US" w:bidi="ar-SA"/>
      </w:rPr>
    </w:lvl>
  </w:abstractNum>
  <w:abstractNum w:abstractNumId="10" w15:restartNumberingAfterBreak="0">
    <w:nsid w:val="1D185843"/>
    <w:multiLevelType w:val="multilevel"/>
    <w:tmpl w:val="9BE8BA8A"/>
    <w:lvl w:ilvl="0">
      <w:start w:val="1"/>
      <w:numFmt w:val="lowerLetter"/>
      <w:pStyle w:val="ChartandTableFootnoteAlpha"/>
      <w:lvlText w:val="(%1)"/>
      <w:lvlJc w:val="left"/>
      <w:pPr>
        <w:ind w:left="284" w:hanging="284"/>
      </w:pPr>
      <w:rPr>
        <w:rFonts w:ascii="Arial" w:eastAsia="Times New Roman"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vertAlign w:val="superscrip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381A99"/>
    <w:multiLevelType w:val="hybridMultilevel"/>
    <w:tmpl w:val="F4588EC2"/>
    <w:lvl w:ilvl="0" w:tplc="19C265C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A45623F"/>
    <w:multiLevelType w:val="hybridMultilevel"/>
    <w:tmpl w:val="D160E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C75FBA"/>
    <w:multiLevelType w:val="multilevel"/>
    <w:tmpl w:val="415E04A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2FAE58A6"/>
    <w:multiLevelType w:val="hybridMultilevel"/>
    <w:tmpl w:val="50FA1816"/>
    <w:lvl w:ilvl="0" w:tplc="3E246DFC">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853426"/>
    <w:multiLevelType w:val="hybridMultilevel"/>
    <w:tmpl w:val="C46AC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7D72C4"/>
    <w:multiLevelType w:val="hybridMultilevel"/>
    <w:tmpl w:val="31529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4C2586"/>
    <w:multiLevelType w:val="multilevel"/>
    <w:tmpl w:val="5D6EAF08"/>
    <w:lvl w:ilvl="0">
      <w:start w:val="1"/>
      <w:numFmt w:val="bullet"/>
      <w:lvlText w:val=""/>
      <w:lvlJc w:val="left"/>
      <w:pPr>
        <w:tabs>
          <w:tab w:val="num" w:pos="860"/>
        </w:tabs>
        <w:ind w:left="860" w:hanging="360"/>
      </w:pPr>
      <w:rPr>
        <w:rFonts w:ascii="Symbol" w:hAnsi="Symbol" w:hint="default"/>
        <w:sz w:val="20"/>
      </w:rPr>
    </w:lvl>
    <w:lvl w:ilvl="1">
      <w:start w:val="1"/>
      <w:numFmt w:val="bullet"/>
      <w:lvlText w:val=""/>
      <w:lvlJc w:val="left"/>
      <w:pPr>
        <w:tabs>
          <w:tab w:val="num" w:pos="1580"/>
        </w:tabs>
        <w:ind w:left="1580" w:hanging="360"/>
      </w:pPr>
      <w:rPr>
        <w:rFonts w:ascii="Symbol" w:hAnsi="Symbol" w:hint="default"/>
        <w:sz w:val="20"/>
      </w:rPr>
    </w:lvl>
    <w:lvl w:ilvl="2">
      <w:start w:val="1"/>
      <w:numFmt w:val="bullet"/>
      <w:lvlText w:val=""/>
      <w:lvlJc w:val="left"/>
      <w:pPr>
        <w:tabs>
          <w:tab w:val="num" w:pos="2300"/>
        </w:tabs>
        <w:ind w:left="2300" w:hanging="360"/>
      </w:pPr>
      <w:rPr>
        <w:rFonts w:ascii="Symbol" w:hAnsi="Symbol" w:hint="default"/>
        <w:sz w:val="20"/>
      </w:rPr>
    </w:lvl>
    <w:lvl w:ilvl="3">
      <w:start w:val="1"/>
      <w:numFmt w:val="bullet"/>
      <w:lvlText w:val=""/>
      <w:lvlJc w:val="left"/>
      <w:pPr>
        <w:tabs>
          <w:tab w:val="num" w:pos="3020"/>
        </w:tabs>
        <w:ind w:left="3020" w:hanging="360"/>
      </w:pPr>
      <w:rPr>
        <w:rFonts w:ascii="Symbol" w:hAnsi="Symbol" w:hint="default"/>
        <w:sz w:val="20"/>
      </w:rPr>
    </w:lvl>
    <w:lvl w:ilvl="4">
      <w:start w:val="1"/>
      <w:numFmt w:val="bullet"/>
      <w:lvlText w:val=""/>
      <w:lvlJc w:val="left"/>
      <w:pPr>
        <w:tabs>
          <w:tab w:val="num" w:pos="3740"/>
        </w:tabs>
        <w:ind w:left="3740" w:hanging="360"/>
      </w:pPr>
      <w:rPr>
        <w:rFonts w:ascii="Symbol" w:hAnsi="Symbol" w:hint="default"/>
        <w:sz w:val="20"/>
      </w:rPr>
    </w:lvl>
    <w:lvl w:ilvl="5">
      <w:start w:val="1"/>
      <w:numFmt w:val="bullet"/>
      <w:lvlText w:val=""/>
      <w:lvlJc w:val="left"/>
      <w:pPr>
        <w:tabs>
          <w:tab w:val="num" w:pos="4460"/>
        </w:tabs>
        <w:ind w:left="4460" w:hanging="360"/>
      </w:pPr>
      <w:rPr>
        <w:rFonts w:ascii="Symbol" w:hAnsi="Symbol" w:hint="default"/>
        <w:sz w:val="20"/>
      </w:rPr>
    </w:lvl>
    <w:lvl w:ilvl="6">
      <w:start w:val="1"/>
      <w:numFmt w:val="bullet"/>
      <w:lvlText w:val=""/>
      <w:lvlJc w:val="left"/>
      <w:pPr>
        <w:tabs>
          <w:tab w:val="num" w:pos="5180"/>
        </w:tabs>
        <w:ind w:left="5180" w:hanging="360"/>
      </w:pPr>
      <w:rPr>
        <w:rFonts w:ascii="Symbol" w:hAnsi="Symbol" w:hint="default"/>
        <w:sz w:val="20"/>
      </w:rPr>
    </w:lvl>
    <w:lvl w:ilvl="7">
      <w:start w:val="1"/>
      <w:numFmt w:val="bullet"/>
      <w:lvlText w:val=""/>
      <w:lvlJc w:val="left"/>
      <w:pPr>
        <w:tabs>
          <w:tab w:val="num" w:pos="5900"/>
        </w:tabs>
        <w:ind w:left="5900" w:hanging="360"/>
      </w:pPr>
      <w:rPr>
        <w:rFonts w:ascii="Symbol" w:hAnsi="Symbol" w:hint="default"/>
        <w:sz w:val="20"/>
      </w:rPr>
    </w:lvl>
    <w:lvl w:ilvl="8">
      <w:start w:val="1"/>
      <w:numFmt w:val="bullet"/>
      <w:lvlText w:val=""/>
      <w:lvlJc w:val="left"/>
      <w:pPr>
        <w:tabs>
          <w:tab w:val="num" w:pos="6620"/>
        </w:tabs>
        <w:ind w:left="6620" w:hanging="360"/>
      </w:pPr>
      <w:rPr>
        <w:rFonts w:ascii="Symbol" w:hAnsi="Symbol" w:hint="default"/>
        <w:sz w:val="20"/>
      </w:rPr>
    </w:lvl>
  </w:abstractNum>
  <w:abstractNum w:abstractNumId="21"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2" w15:restartNumberingAfterBreak="0">
    <w:nsid w:val="47931562"/>
    <w:multiLevelType w:val="hybridMultilevel"/>
    <w:tmpl w:val="5F722AEA"/>
    <w:lvl w:ilvl="0" w:tplc="028AC1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4A2C4F"/>
    <w:multiLevelType w:val="multilevel"/>
    <w:tmpl w:val="146020C8"/>
    <w:lvl w:ilvl="0">
      <w:start w:val="1"/>
      <w:numFmt w:val="decimal"/>
      <w:lvlText w:val="%1."/>
      <w:lvlJc w:val="left"/>
      <w:pPr>
        <w:ind w:left="567" w:hanging="567"/>
      </w:pPr>
      <w:rPr>
        <w:rFonts w:hint="default"/>
        <w:lang w:val="en-US" w:eastAsia="en-US" w:bidi="ar-SA"/>
      </w:rPr>
    </w:lvl>
    <w:lvl w:ilvl="1">
      <w:start w:val="1"/>
      <w:numFmt w:val="bullet"/>
      <w:lvlText w:val=""/>
      <w:lvlJc w:val="left"/>
      <w:pPr>
        <w:ind w:left="360" w:hanging="360"/>
      </w:pPr>
      <w:rPr>
        <w:rFonts w:ascii="Symbol" w:hAnsi="Symbol" w:hint="default"/>
      </w:rPr>
    </w:lvl>
    <w:lvl w:ilvl="2">
      <w:numFmt w:val="bullet"/>
      <w:lvlText w:val=""/>
      <w:lvlJc w:val="left"/>
      <w:pPr>
        <w:ind w:left="829" w:hanging="363"/>
      </w:pPr>
      <w:rPr>
        <w:rFonts w:ascii="Symbol" w:eastAsia="Symbol" w:hAnsi="Symbol" w:cs="Symbol" w:hint="default"/>
        <w:b w:val="0"/>
        <w:bCs w:val="0"/>
        <w:i w:val="0"/>
        <w:iCs w:val="0"/>
        <w:color w:val="221F1F"/>
        <w:w w:val="99"/>
        <w:sz w:val="20"/>
        <w:szCs w:val="20"/>
        <w:lang w:val="en-US" w:eastAsia="en-US" w:bidi="ar-SA"/>
      </w:rPr>
    </w:lvl>
    <w:lvl w:ilvl="3">
      <w:numFmt w:val="bullet"/>
      <w:lvlText w:val="•"/>
      <w:lvlJc w:val="left"/>
      <w:pPr>
        <w:ind w:left="2446" w:hanging="363"/>
      </w:pPr>
      <w:rPr>
        <w:rFonts w:hint="default"/>
        <w:lang w:val="en-US" w:eastAsia="en-US" w:bidi="ar-SA"/>
      </w:rPr>
    </w:lvl>
    <w:lvl w:ilvl="4">
      <w:numFmt w:val="bullet"/>
      <w:lvlText w:val="•"/>
      <w:lvlJc w:val="left"/>
      <w:pPr>
        <w:ind w:left="3258" w:hanging="363"/>
      </w:pPr>
      <w:rPr>
        <w:rFonts w:hint="default"/>
        <w:lang w:val="en-US" w:eastAsia="en-US" w:bidi="ar-SA"/>
      </w:rPr>
    </w:lvl>
    <w:lvl w:ilvl="5">
      <w:numFmt w:val="bullet"/>
      <w:lvlText w:val="•"/>
      <w:lvlJc w:val="left"/>
      <w:pPr>
        <w:ind w:left="4070" w:hanging="363"/>
      </w:pPr>
      <w:rPr>
        <w:rFonts w:hint="default"/>
        <w:lang w:val="en-US" w:eastAsia="en-US" w:bidi="ar-SA"/>
      </w:rPr>
    </w:lvl>
    <w:lvl w:ilvl="6">
      <w:numFmt w:val="bullet"/>
      <w:lvlText w:val="•"/>
      <w:lvlJc w:val="left"/>
      <w:pPr>
        <w:ind w:left="4882" w:hanging="363"/>
      </w:pPr>
      <w:rPr>
        <w:rFonts w:hint="default"/>
        <w:lang w:val="en-US" w:eastAsia="en-US" w:bidi="ar-SA"/>
      </w:rPr>
    </w:lvl>
    <w:lvl w:ilvl="7">
      <w:numFmt w:val="bullet"/>
      <w:lvlText w:val="•"/>
      <w:lvlJc w:val="left"/>
      <w:pPr>
        <w:ind w:left="5693" w:hanging="363"/>
      </w:pPr>
      <w:rPr>
        <w:rFonts w:hint="default"/>
        <w:lang w:val="en-US" w:eastAsia="en-US" w:bidi="ar-SA"/>
      </w:rPr>
    </w:lvl>
    <w:lvl w:ilvl="8">
      <w:numFmt w:val="bullet"/>
      <w:lvlText w:val="•"/>
      <w:lvlJc w:val="left"/>
      <w:pPr>
        <w:ind w:left="6505" w:hanging="363"/>
      </w:pPr>
      <w:rPr>
        <w:rFonts w:hint="default"/>
        <w:lang w:val="en-US" w:eastAsia="en-US" w:bidi="ar-SA"/>
      </w:rPr>
    </w:lvl>
  </w:abstractNum>
  <w:abstractNum w:abstractNumId="24" w15:restartNumberingAfterBreak="0">
    <w:nsid w:val="53D54B32"/>
    <w:multiLevelType w:val="multilevel"/>
    <w:tmpl w:val="17EC3090"/>
    <w:lvl w:ilvl="0">
      <w:start w:val="1"/>
      <w:numFmt w:val="bullet"/>
      <w:lvlText w:val=""/>
      <w:lvlJc w:val="left"/>
      <w:pPr>
        <w:tabs>
          <w:tab w:val="num" w:pos="1629"/>
        </w:tabs>
        <w:ind w:left="1629" w:hanging="360"/>
      </w:pPr>
      <w:rPr>
        <w:rFonts w:ascii="Symbol" w:hAnsi="Symbol" w:hint="default"/>
        <w:sz w:val="20"/>
      </w:rPr>
    </w:lvl>
    <w:lvl w:ilvl="1">
      <w:start w:val="1"/>
      <w:numFmt w:val="bullet"/>
      <w:lvlText w:val=""/>
      <w:lvlJc w:val="left"/>
      <w:pPr>
        <w:tabs>
          <w:tab w:val="num" w:pos="2349"/>
        </w:tabs>
        <w:ind w:left="2349" w:hanging="360"/>
      </w:pPr>
      <w:rPr>
        <w:rFonts w:ascii="Symbol" w:hAnsi="Symbol" w:hint="default"/>
        <w:sz w:val="20"/>
      </w:rPr>
    </w:lvl>
    <w:lvl w:ilvl="2">
      <w:start w:val="1"/>
      <w:numFmt w:val="bullet"/>
      <w:lvlText w:val=""/>
      <w:lvlJc w:val="left"/>
      <w:pPr>
        <w:tabs>
          <w:tab w:val="num" w:pos="3069"/>
        </w:tabs>
        <w:ind w:left="3069" w:hanging="360"/>
      </w:pPr>
      <w:rPr>
        <w:rFonts w:ascii="Symbol" w:hAnsi="Symbol" w:hint="default"/>
        <w:sz w:val="20"/>
      </w:rPr>
    </w:lvl>
    <w:lvl w:ilvl="3">
      <w:start w:val="1"/>
      <w:numFmt w:val="bullet"/>
      <w:lvlText w:val=""/>
      <w:lvlJc w:val="left"/>
      <w:pPr>
        <w:tabs>
          <w:tab w:val="num" w:pos="3789"/>
        </w:tabs>
        <w:ind w:left="3789" w:hanging="360"/>
      </w:pPr>
      <w:rPr>
        <w:rFonts w:ascii="Symbol" w:hAnsi="Symbol" w:hint="default"/>
        <w:sz w:val="20"/>
      </w:rPr>
    </w:lvl>
    <w:lvl w:ilvl="4">
      <w:start w:val="1"/>
      <w:numFmt w:val="bullet"/>
      <w:lvlText w:val=""/>
      <w:lvlJc w:val="left"/>
      <w:pPr>
        <w:tabs>
          <w:tab w:val="num" w:pos="4509"/>
        </w:tabs>
        <w:ind w:left="4509" w:hanging="360"/>
      </w:pPr>
      <w:rPr>
        <w:rFonts w:ascii="Symbol" w:hAnsi="Symbol" w:hint="default"/>
        <w:sz w:val="20"/>
      </w:rPr>
    </w:lvl>
    <w:lvl w:ilvl="5">
      <w:start w:val="1"/>
      <w:numFmt w:val="bullet"/>
      <w:lvlText w:val=""/>
      <w:lvlJc w:val="left"/>
      <w:pPr>
        <w:tabs>
          <w:tab w:val="num" w:pos="5229"/>
        </w:tabs>
        <w:ind w:left="5229" w:hanging="360"/>
      </w:pPr>
      <w:rPr>
        <w:rFonts w:ascii="Symbol" w:hAnsi="Symbol" w:hint="default"/>
        <w:sz w:val="20"/>
      </w:rPr>
    </w:lvl>
    <w:lvl w:ilvl="6">
      <w:start w:val="1"/>
      <w:numFmt w:val="bullet"/>
      <w:lvlText w:val=""/>
      <w:lvlJc w:val="left"/>
      <w:pPr>
        <w:tabs>
          <w:tab w:val="num" w:pos="5949"/>
        </w:tabs>
        <w:ind w:left="5949" w:hanging="360"/>
      </w:pPr>
      <w:rPr>
        <w:rFonts w:ascii="Symbol" w:hAnsi="Symbol" w:hint="default"/>
        <w:sz w:val="20"/>
      </w:rPr>
    </w:lvl>
    <w:lvl w:ilvl="7">
      <w:start w:val="1"/>
      <w:numFmt w:val="bullet"/>
      <w:lvlText w:val=""/>
      <w:lvlJc w:val="left"/>
      <w:pPr>
        <w:tabs>
          <w:tab w:val="num" w:pos="6669"/>
        </w:tabs>
        <w:ind w:left="6669" w:hanging="360"/>
      </w:pPr>
      <w:rPr>
        <w:rFonts w:ascii="Symbol" w:hAnsi="Symbol" w:hint="default"/>
        <w:sz w:val="20"/>
      </w:rPr>
    </w:lvl>
    <w:lvl w:ilvl="8">
      <w:start w:val="1"/>
      <w:numFmt w:val="bullet"/>
      <w:lvlText w:val=""/>
      <w:lvlJc w:val="left"/>
      <w:pPr>
        <w:tabs>
          <w:tab w:val="num" w:pos="7389"/>
        </w:tabs>
        <w:ind w:left="7389" w:hanging="360"/>
      </w:pPr>
      <w:rPr>
        <w:rFonts w:ascii="Symbol" w:hAnsi="Symbol" w:hint="default"/>
        <w:sz w:val="20"/>
      </w:rPr>
    </w:lvl>
  </w:abstractNum>
  <w:abstractNum w:abstractNumId="25" w15:restartNumberingAfterBreak="0">
    <w:nsid w:val="542021D8"/>
    <w:multiLevelType w:val="hybridMultilevel"/>
    <w:tmpl w:val="371813DC"/>
    <w:lvl w:ilvl="0" w:tplc="1DAC91E8">
      <w:numFmt w:val="bullet"/>
      <w:lvlText w:val="•"/>
      <w:lvlJc w:val="left"/>
      <w:pPr>
        <w:ind w:left="390" w:hanging="284"/>
      </w:pPr>
      <w:rPr>
        <w:rFonts w:ascii="Times New Roman" w:eastAsia="Times New Roman" w:hAnsi="Times New Roman" w:cs="Times New Roman" w:hint="default"/>
        <w:b w:val="0"/>
        <w:bCs w:val="0"/>
        <w:i w:val="0"/>
        <w:iCs w:val="0"/>
        <w:w w:val="99"/>
        <w:sz w:val="19"/>
        <w:szCs w:val="19"/>
        <w:lang w:val="en-US" w:eastAsia="en-US" w:bidi="ar-SA"/>
      </w:rPr>
    </w:lvl>
    <w:lvl w:ilvl="1" w:tplc="09E01FDA">
      <w:numFmt w:val="bullet"/>
      <w:lvlText w:val="•"/>
      <w:lvlJc w:val="left"/>
      <w:pPr>
        <w:ind w:left="1128" w:hanging="284"/>
      </w:pPr>
      <w:rPr>
        <w:rFonts w:hint="default"/>
        <w:lang w:val="en-US" w:eastAsia="en-US" w:bidi="ar-SA"/>
      </w:rPr>
    </w:lvl>
    <w:lvl w:ilvl="2" w:tplc="6B90F94A">
      <w:numFmt w:val="bullet"/>
      <w:lvlText w:val="•"/>
      <w:lvlJc w:val="left"/>
      <w:pPr>
        <w:ind w:left="1857" w:hanging="284"/>
      </w:pPr>
      <w:rPr>
        <w:rFonts w:hint="default"/>
        <w:lang w:val="en-US" w:eastAsia="en-US" w:bidi="ar-SA"/>
      </w:rPr>
    </w:lvl>
    <w:lvl w:ilvl="3" w:tplc="2E48F780">
      <w:numFmt w:val="bullet"/>
      <w:lvlText w:val="•"/>
      <w:lvlJc w:val="left"/>
      <w:pPr>
        <w:ind w:left="2586" w:hanging="284"/>
      </w:pPr>
      <w:rPr>
        <w:rFonts w:hint="default"/>
        <w:lang w:val="en-US" w:eastAsia="en-US" w:bidi="ar-SA"/>
      </w:rPr>
    </w:lvl>
    <w:lvl w:ilvl="4" w:tplc="8144740E">
      <w:numFmt w:val="bullet"/>
      <w:lvlText w:val="•"/>
      <w:lvlJc w:val="left"/>
      <w:pPr>
        <w:ind w:left="3315" w:hanging="284"/>
      </w:pPr>
      <w:rPr>
        <w:rFonts w:hint="default"/>
        <w:lang w:val="en-US" w:eastAsia="en-US" w:bidi="ar-SA"/>
      </w:rPr>
    </w:lvl>
    <w:lvl w:ilvl="5" w:tplc="986E5F46">
      <w:numFmt w:val="bullet"/>
      <w:lvlText w:val="•"/>
      <w:lvlJc w:val="left"/>
      <w:pPr>
        <w:ind w:left="4044" w:hanging="284"/>
      </w:pPr>
      <w:rPr>
        <w:rFonts w:hint="default"/>
        <w:lang w:val="en-US" w:eastAsia="en-US" w:bidi="ar-SA"/>
      </w:rPr>
    </w:lvl>
    <w:lvl w:ilvl="6" w:tplc="98D4A98C">
      <w:numFmt w:val="bullet"/>
      <w:lvlText w:val="•"/>
      <w:lvlJc w:val="left"/>
      <w:pPr>
        <w:ind w:left="4773" w:hanging="284"/>
      </w:pPr>
      <w:rPr>
        <w:rFonts w:hint="default"/>
        <w:lang w:val="en-US" w:eastAsia="en-US" w:bidi="ar-SA"/>
      </w:rPr>
    </w:lvl>
    <w:lvl w:ilvl="7" w:tplc="FD9046A6">
      <w:numFmt w:val="bullet"/>
      <w:lvlText w:val="•"/>
      <w:lvlJc w:val="left"/>
      <w:pPr>
        <w:ind w:left="5502" w:hanging="284"/>
      </w:pPr>
      <w:rPr>
        <w:rFonts w:hint="default"/>
        <w:lang w:val="en-US" w:eastAsia="en-US" w:bidi="ar-SA"/>
      </w:rPr>
    </w:lvl>
    <w:lvl w:ilvl="8" w:tplc="AAE6DA3E">
      <w:numFmt w:val="bullet"/>
      <w:lvlText w:val="•"/>
      <w:lvlJc w:val="left"/>
      <w:pPr>
        <w:ind w:left="6231" w:hanging="284"/>
      </w:pPr>
      <w:rPr>
        <w:rFonts w:hint="default"/>
        <w:lang w:val="en-US" w:eastAsia="en-US" w:bidi="ar-SA"/>
      </w:rPr>
    </w:lvl>
  </w:abstractNum>
  <w:abstractNum w:abstractNumId="26"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68A96E97"/>
    <w:multiLevelType w:val="hybridMultilevel"/>
    <w:tmpl w:val="EE3AAB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9" w15:restartNumberingAfterBreak="0">
    <w:nsid w:val="6B6F5369"/>
    <w:multiLevelType w:val="hybridMultilevel"/>
    <w:tmpl w:val="79F8B454"/>
    <w:lvl w:ilvl="0" w:tplc="963032DE">
      <w:numFmt w:val="bullet"/>
      <w:lvlText w:val="•"/>
      <w:lvlJc w:val="left"/>
      <w:pPr>
        <w:ind w:left="390" w:hanging="284"/>
      </w:pPr>
      <w:rPr>
        <w:rFonts w:ascii="Times New Roman" w:eastAsia="Times New Roman" w:hAnsi="Times New Roman" w:cs="Times New Roman" w:hint="default"/>
        <w:b w:val="0"/>
        <w:bCs w:val="0"/>
        <w:i w:val="0"/>
        <w:iCs w:val="0"/>
        <w:w w:val="99"/>
        <w:sz w:val="19"/>
        <w:szCs w:val="19"/>
        <w:lang w:val="en-US" w:eastAsia="en-US" w:bidi="ar-SA"/>
      </w:rPr>
    </w:lvl>
    <w:lvl w:ilvl="1" w:tplc="C7E635AE">
      <w:numFmt w:val="bullet"/>
      <w:lvlText w:val="•"/>
      <w:lvlJc w:val="left"/>
      <w:pPr>
        <w:ind w:left="1128" w:hanging="284"/>
      </w:pPr>
      <w:rPr>
        <w:rFonts w:hint="default"/>
        <w:lang w:val="en-US" w:eastAsia="en-US" w:bidi="ar-SA"/>
      </w:rPr>
    </w:lvl>
    <w:lvl w:ilvl="2" w:tplc="D608AFF2">
      <w:numFmt w:val="bullet"/>
      <w:lvlText w:val="•"/>
      <w:lvlJc w:val="left"/>
      <w:pPr>
        <w:ind w:left="1857" w:hanging="284"/>
      </w:pPr>
      <w:rPr>
        <w:rFonts w:hint="default"/>
        <w:lang w:val="en-US" w:eastAsia="en-US" w:bidi="ar-SA"/>
      </w:rPr>
    </w:lvl>
    <w:lvl w:ilvl="3" w:tplc="54CCA2AE">
      <w:numFmt w:val="bullet"/>
      <w:lvlText w:val="•"/>
      <w:lvlJc w:val="left"/>
      <w:pPr>
        <w:ind w:left="2586" w:hanging="284"/>
      </w:pPr>
      <w:rPr>
        <w:rFonts w:hint="default"/>
        <w:lang w:val="en-US" w:eastAsia="en-US" w:bidi="ar-SA"/>
      </w:rPr>
    </w:lvl>
    <w:lvl w:ilvl="4" w:tplc="5AC007F6">
      <w:numFmt w:val="bullet"/>
      <w:lvlText w:val="•"/>
      <w:lvlJc w:val="left"/>
      <w:pPr>
        <w:ind w:left="3315" w:hanging="284"/>
      </w:pPr>
      <w:rPr>
        <w:rFonts w:hint="default"/>
        <w:lang w:val="en-US" w:eastAsia="en-US" w:bidi="ar-SA"/>
      </w:rPr>
    </w:lvl>
    <w:lvl w:ilvl="5" w:tplc="ABBCF906">
      <w:numFmt w:val="bullet"/>
      <w:lvlText w:val="•"/>
      <w:lvlJc w:val="left"/>
      <w:pPr>
        <w:ind w:left="4044" w:hanging="284"/>
      </w:pPr>
      <w:rPr>
        <w:rFonts w:hint="default"/>
        <w:lang w:val="en-US" w:eastAsia="en-US" w:bidi="ar-SA"/>
      </w:rPr>
    </w:lvl>
    <w:lvl w:ilvl="6" w:tplc="EBEEC672">
      <w:numFmt w:val="bullet"/>
      <w:lvlText w:val="•"/>
      <w:lvlJc w:val="left"/>
      <w:pPr>
        <w:ind w:left="4773" w:hanging="284"/>
      </w:pPr>
      <w:rPr>
        <w:rFonts w:hint="default"/>
        <w:lang w:val="en-US" w:eastAsia="en-US" w:bidi="ar-SA"/>
      </w:rPr>
    </w:lvl>
    <w:lvl w:ilvl="7" w:tplc="B4A80344">
      <w:numFmt w:val="bullet"/>
      <w:lvlText w:val="•"/>
      <w:lvlJc w:val="left"/>
      <w:pPr>
        <w:ind w:left="5502" w:hanging="284"/>
      </w:pPr>
      <w:rPr>
        <w:rFonts w:hint="default"/>
        <w:lang w:val="en-US" w:eastAsia="en-US" w:bidi="ar-SA"/>
      </w:rPr>
    </w:lvl>
    <w:lvl w:ilvl="8" w:tplc="C0B0C8E6">
      <w:numFmt w:val="bullet"/>
      <w:lvlText w:val="•"/>
      <w:lvlJc w:val="left"/>
      <w:pPr>
        <w:ind w:left="6231" w:hanging="284"/>
      </w:pPr>
      <w:rPr>
        <w:rFonts w:hint="default"/>
        <w:lang w:val="en-US" w:eastAsia="en-US" w:bidi="ar-SA"/>
      </w:rPr>
    </w:lvl>
  </w:abstractNum>
  <w:abstractNum w:abstractNumId="30" w15:restartNumberingAfterBreak="0">
    <w:nsid w:val="6F7539BA"/>
    <w:multiLevelType w:val="hybridMultilevel"/>
    <w:tmpl w:val="06B4939E"/>
    <w:lvl w:ilvl="0" w:tplc="83FE2A0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2" w15:restartNumberingAfterBreak="0">
    <w:nsid w:val="7B401952"/>
    <w:multiLevelType w:val="hybridMultilevel"/>
    <w:tmpl w:val="61963F36"/>
    <w:lvl w:ilvl="0" w:tplc="B360E1AE">
      <w:numFmt w:val="bullet"/>
      <w:lvlText w:val="•"/>
      <w:lvlJc w:val="left"/>
      <w:pPr>
        <w:ind w:left="720" w:hanging="360"/>
      </w:pPr>
      <w:rPr>
        <w:rFonts w:ascii="Book Antiqua" w:eastAsiaTheme="minorHAnsi" w:hAnsi="Book Antiqua"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8D1DA2"/>
    <w:multiLevelType w:val="hybridMultilevel"/>
    <w:tmpl w:val="232A65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E473965"/>
    <w:multiLevelType w:val="multilevel"/>
    <w:tmpl w:val="8F1CA77E"/>
    <w:lvl w:ilvl="0">
      <w:numFmt w:val="bullet"/>
      <w:lvlText w:val="•"/>
      <w:lvlJc w:val="left"/>
      <w:pPr>
        <w:ind w:left="567" w:hanging="567"/>
      </w:pPr>
      <w:rPr>
        <w:rFonts w:hint="default"/>
        <w:lang w:val="en-US" w:eastAsia="en-US" w:bidi="ar-SA"/>
      </w:rPr>
    </w:lvl>
    <w:lvl w:ilvl="1">
      <w:start w:val="1"/>
      <w:numFmt w:val="bullet"/>
      <w:lvlText w:val=""/>
      <w:lvlJc w:val="left"/>
      <w:pPr>
        <w:ind w:left="360" w:hanging="360"/>
      </w:pPr>
      <w:rPr>
        <w:rFonts w:ascii="Symbol" w:hAnsi="Symbol" w:hint="default"/>
      </w:rPr>
    </w:lvl>
    <w:lvl w:ilvl="2">
      <w:numFmt w:val="bullet"/>
      <w:lvlText w:val=""/>
      <w:lvlJc w:val="left"/>
      <w:pPr>
        <w:ind w:left="829" w:hanging="363"/>
      </w:pPr>
      <w:rPr>
        <w:rFonts w:ascii="Symbol" w:eastAsia="Symbol" w:hAnsi="Symbol" w:cs="Symbol" w:hint="default"/>
        <w:b w:val="0"/>
        <w:bCs w:val="0"/>
        <w:i w:val="0"/>
        <w:iCs w:val="0"/>
        <w:color w:val="221F1F"/>
        <w:w w:val="99"/>
        <w:sz w:val="20"/>
        <w:szCs w:val="20"/>
        <w:lang w:val="en-US" w:eastAsia="en-US" w:bidi="ar-SA"/>
      </w:rPr>
    </w:lvl>
    <w:lvl w:ilvl="3">
      <w:numFmt w:val="bullet"/>
      <w:lvlText w:val="•"/>
      <w:lvlJc w:val="left"/>
      <w:pPr>
        <w:ind w:left="2446" w:hanging="363"/>
      </w:pPr>
      <w:rPr>
        <w:rFonts w:hint="default"/>
        <w:lang w:val="en-US" w:eastAsia="en-US" w:bidi="ar-SA"/>
      </w:rPr>
    </w:lvl>
    <w:lvl w:ilvl="4">
      <w:numFmt w:val="bullet"/>
      <w:lvlText w:val="•"/>
      <w:lvlJc w:val="left"/>
      <w:pPr>
        <w:ind w:left="3258" w:hanging="363"/>
      </w:pPr>
      <w:rPr>
        <w:rFonts w:hint="default"/>
        <w:lang w:val="en-US" w:eastAsia="en-US" w:bidi="ar-SA"/>
      </w:rPr>
    </w:lvl>
    <w:lvl w:ilvl="5">
      <w:numFmt w:val="bullet"/>
      <w:lvlText w:val="•"/>
      <w:lvlJc w:val="left"/>
      <w:pPr>
        <w:ind w:left="4070" w:hanging="363"/>
      </w:pPr>
      <w:rPr>
        <w:rFonts w:hint="default"/>
        <w:lang w:val="en-US" w:eastAsia="en-US" w:bidi="ar-SA"/>
      </w:rPr>
    </w:lvl>
    <w:lvl w:ilvl="6">
      <w:numFmt w:val="bullet"/>
      <w:lvlText w:val="•"/>
      <w:lvlJc w:val="left"/>
      <w:pPr>
        <w:ind w:left="4882" w:hanging="363"/>
      </w:pPr>
      <w:rPr>
        <w:rFonts w:hint="default"/>
        <w:lang w:val="en-US" w:eastAsia="en-US" w:bidi="ar-SA"/>
      </w:rPr>
    </w:lvl>
    <w:lvl w:ilvl="7">
      <w:numFmt w:val="bullet"/>
      <w:lvlText w:val="•"/>
      <w:lvlJc w:val="left"/>
      <w:pPr>
        <w:ind w:left="5693" w:hanging="363"/>
      </w:pPr>
      <w:rPr>
        <w:rFonts w:hint="default"/>
        <w:lang w:val="en-US" w:eastAsia="en-US" w:bidi="ar-SA"/>
      </w:rPr>
    </w:lvl>
    <w:lvl w:ilvl="8">
      <w:numFmt w:val="bullet"/>
      <w:lvlText w:val="•"/>
      <w:lvlJc w:val="left"/>
      <w:pPr>
        <w:ind w:left="6505" w:hanging="363"/>
      </w:pPr>
      <w:rPr>
        <w:rFonts w:hint="default"/>
        <w:lang w:val="en-US" w:eastAsia="en-US" w:bidi="ar-SA"/>
      </w:rPr>
    </w:lvl>
  </w:abstractNum>
  <w:num w:numId="1" w16cid:durableId="1221135100">
    <w:abstractNumId w:val="21"/>
  </w:num>
  <w:num w:numId="2" w16cid:durableId="501941600">
    <w:abstractNumId w:val="5"/>
  </w:num>
  <w:num w:numId="3" w16cid:durableId="696123860">
    <w:abstractNumId w:val="31"/>
  </w:num>
  <w:num w:numId="4" w16cid:durableId="1487671259">
    <w:abstractNumId w:val="15"/>
  </w:num>
  <w:num w:numId="5" w16cid:durableId="2125268740">
    <w:abstractNumId w:val="26"/>
  </w:num>
  <w:num w:numId="6" w16cid:durableId="1597788870">
    <w:abstractNumId w:val="10"/>
    <w:lvlOverride w:ilvl="0">
      <w:startOverride w:val="1"/>
    </w:lvlOverride>
  </w:num>
  <w:num w:numId="7" w16cid:durableId="1013149554">
    <w:abstractNumId w:val="10"/>
    <w:lvlOverride w:ilvl="0">
      <w:startOverride w:val="1"/>
    </w:lvlOverride>
  </w:num>
  <w:num w:numId="8" w16cid:durableId="213080142">
    <w:abstractNumId w:val="10"/>
  </w:num>
  <w:num w:numId="9" w16cid:durableId="548541650">
    <w:abstractNumId w:val="10"/>
    <w:lvlOverride w:ilvl="0">
      <w:startOverride w:val="1"/>
    </w:lvlOverride>
  </w:num>
  <w:num w:numId="10" w16cid:durableId="472261932">
    <w:abstractNumId w:val="12"/>
  </w:num>
  <w:num w:numId="11" w16cid:durableId="811142526">
    <w:abstractNumId w:val="10"/>
  </w:num>
  <w:num w:numId="12" w16cid:durableId="1585072013">
    <w:abstractNumId w:val="7"/>
  </w:num>
  <w:num w:numId="13" w16cid:durableId="189689455">
    <w:abstractNumId w:val="7"/>
  </w:num>
  <w:num w:numId="14" w16cid:durableId="678695404">
    <w:abstractNumId w:val="14"/>
  </w:num>
  <w:num w:numId="15" w16cid:durableId="302543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673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8179608">
    <w:abstractNumId w:val="33"/>
  </w:num>
  <w:num w:numId="18" w16cid:durableId="872421891">
    <w:abstractNumId w:val="16"/>
  </w:num>
  <w:num w:numId="19" w16cid:durableId="1943343658">
    <w:abstractNumId w:val="6"/>
  </w:num>
  <w:num w:numId="20" w16cid:durableId="1125389465">
    <w:abstractNumId w:val="4"/>
  </w:num>
  <w:num w:numId="21" w16cid:durableId="879439501">
    <w:abstractNumId w:val="24"/>
  </w:num>
  <w:num w:numId="22" w16cid:durableId="1880045900">
    <w:abstractNumId w:val="20"/>
  </w:num>
  <w:num w:numId="23" w16cid:durableId="2112504219">
    <w:abstractNumId w:val="0"/>
  </w:num>
  <w:num w:numId="24" w16cid:durableId="958875471">
    <w:abstractNumId w:val="27"/>
  </w:num>
  <w:num w:numId="25" w16cid:durableId="1983535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7708145">
    <w:abstractNumId w:val="34"/>
  </w:num>
  <w:num w:numId="27" w16cid:durableId="1662274303">
    <w:abstractNumId w:val="9"/>
  </w:num>
  <w:num w:numId="28" w16cid:durableId="1586916328">
    <w:abstractNumId w:val="1"/>
  </w:num>
  <w:num w:numId="29" w16cid:durableId="732392201">
    <w:abstractNumId w:val="8"/>
  </w:num>
  <w:num w:numId="30" w16cid:durableId="400255200">
    <w:abstractNumId w:val="25"/>
  </w:num>
  <w:num w:numId="31" w16cid:durableId="465704232">
    <w:abstractNumId w:val="29"/>
  </w:num>
  <w:num w:numId="32" w16cid:durableId="1695185095">
    <w:abstractNumId w:val="19"/>
  </w:num>
  <w:num w:numId="33" w16cid:durableId="1285841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3233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51280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99156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25135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6056305">
    <w:abstractNumId w:val="23"/>
  </w:num>
  <w:num w:numId="39" w16cid:durableId="1479304970">
    <w:abstractNumId w:val="13"/>
  </w:num>
  <w:num w:numId="40" w16cid:durableId="2099982885">
    <w:abstractNumId w:val="18"/>
  </w:num>
  <w:num w:numId="41" w16cid:durableId="45952024">
    <w:abstractNumId w:val="30"/>
  </w:num>
  <w:num w:numId="42" w16cid:durableId="1403213354">
    <w:abstractNumId w:val="18"/>
  </w:num>
  <w:num w:numId="43" w16cid:durableId="12428304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92368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851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7669493">
    <w:abstractNumId w:val="2"/>
  </w:num>
  <w:num w:numId="47" w16cid:durableId="201707604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02804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4595751">
    <w:abstractNumId w:val="11"/>
  </w:num>
  <w:num w:numId="50" w16cid:durableId="1515532537">
    <w:abstractNumId w:val="22"/>
  </w:num>
  <w:num w:numId="51" w16cid:durableId="192497350">
    <w:abstractNumId w:val="3"/>
  </w:num>
  <w:num w:numId="52" w16cid:durableId="5628315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1708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9451803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309535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1577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61683537">
    <w:abstractNumId w:val="32"/>
  </w:num>
  <w:num w:numId="58" w16cid:durableId="2061126466">
    <w:abstractNumId w:val="10"/>
  </w:num>
  <w:num w:numId="59" w16cid:durableId="423038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21945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95166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0C0E"/>
    <w:rsid w:val="00001995"/>
    <w:rsid w:val="00002409"/>
    <w:rsid w:val="00002E1D"/>
    <w:rsid w:val="0000358C"/>
    <w:rsid w:val="00003AC4"/>
    <w:rsid w:val="00003CA0"/>
    <w:rsid w:val="00003FFA"/>
    <w:rsid w:val="000040C1"/>
    <w:rsid w:val="00004B70"/>
    <w:rsid w:val="00005552"/>
    <w:rsid w:val="00006AE4"/>
    <w:rsid w:val="00006B50"/>
    <w:rsid w:val="0000711B"/>
    <w:rsid w:val="0000764D"/>
    <w:rsid w:val="00007D30"/>
    <w:rsid w:val="00010496"/>
    <w:rsid w:val="000105FF"/>
    <w:rsid w:val="00010EB6"/>
    <w:rsid w:val="0001144E"/>
    <w:rsid w:val="00011459"/>
    <w:rsid w:val="00011540"/>
    <w:rsid w:val="00012272"/>
    <w:rsid w:val="000124F1"/>
    <w:rsid w:val="0001294C"/>
    <w:rsid w:val="00012BB0"/>
    <w:rsid w:val="0001385C"/>
    <w:rsid w:val="00013B52"/>
    <w:rsid w:val="00013D25"/>
    <w:rsid w:val="0001438C"/>
    <w:rsid w:val="00014E02"/>
    <w:rsid w:val="0001615A"/>
    <w:rsid w:val="00016D95"/>
    <w:rsid w:val="00017282"/>
    <w:rsid w:val="00017619"/>
    <w:rsid w:val="00017840"/>
    <w:rsid w:val="00017D99"/>
    <w:rsid w:val="00020573"/>
    <w:rsid w:val="00020631"/>
    <w:rsid w:val="000214C7"/>
    <w:rsid w:val="000216BF"/>
    <w:rsid w:val="00021CB4"/>
    <w:rsid w:val="00021DA6"/>
    <w:rsid w:val="00021FAE"/>
    <w:rsid w:val="000220B0"/>
    <w:rsid w:val="00022E7F"/>
    <w:rsid w:val="00023CED"/>
    <w:rsid w:val="0002569A"/>
    <w:rsid w:val="00025CB2"/>
    <w:rsid w:val="00027BC6"/>
    <w:rsid w:val="000300D7"/>
    <w:rsid w:val="000304FC"/>
    <w:rsid w:val="00030912"/>
    <w:rsid w:val="00030E0A"/>
    <w:rsid w:val="00030FDA"/>
    <w:rsid w:val="00031DB5"/>
    <w:rsid w:val="0003384E"/>
    <w:rsid w:val="00033F08"/>
    <w:rsid w:val="0003431F"/>
    <w:rsid w:val="00034483"/>
    <w:rsid w:val="000349B7"/>
    <w:rsid w:val="00034C41"/>
    <w:rsid w:val="00034F19"/>
    <w:rsid w:val="0003503B"/>
    <w:rsid w:val="0003546B"/>
    <w:rsid w:val="00036095"/>
    <w:rsid w:val="00036111"/>
    <w:rsid w:val="000364F3"/>
    <w:rsid w:val="000366AE"/>
    <w:rsid w:val="000369AC"/>
    <w:rsid w:val="0003724F"/>
    <w:rsid w:val="000372A8"/>
    <w:rsid w:val="000372B3"/>
    <w:rsid w:val="00037802"/>
    <w:rsid w:val="00037BA1"/>
    <w:rsid w:val="0004014B"/>
    <w:rsid w:val="000403D2"/>
    <w:rsid w:val="000406C7"/>
    <w:rsid w:val="000410DF"/>
    <w:rsid w:val="000413D4"/>
    <w:rsid w:val="0004278B"/>
    <w:rsid w:val="0004288F"/>
    <w:rsid w:val="00042FDD"/>
    <w:rsid w:val="00043283"/>
    <w:rsid w:val="00043677"/>
    <w:rsid w:val="0004484D"/>
    <w:rsid w:val="00044CF1"/>
    <w:rsid w:val="0004509D"/>
    <w:rsid w:val="000455B7"/>
    <w:rsid w:val="00045667"/>
    <w:rsid w:val="00046659"/>
    <w:rsid w:val="000471A7"/>
    <w:rsid w:val="000476D8"/>
    <w:rsid w:val="0005013B"/>
    <w:rsid w:val="0005030D"/>
    <w:rsid w:val="000505E3"/>
    <w:rsid w:val="00050A63"/>
    <w:rsid w:val="00050A97"/>
    <w:rsid w:val="000514FB"/>
    <w:rsid w:val="00051A79"/>
    <w:rsid w:val="000535AD"/>
    <w:rsid w:val="000535FF"/>
    <w:rsid w:val="00053775"/>
    <w:rsid w:val="00053BA4"/>
    <w:rsid w:val="000547F7"/>
    <w:rsid w:val="00054A04"/>
    <w:rsid w:val="00054CC3"/>
    <w:rsid w:val="00054F8D"/>
    <w:rsid w:val="00055391"/>
    <w:rsid w:val="00055682"/>
    <w:rsid w:val="00055989"/>
    <w:rsid w:val="0005600E"/>
    <w:rsid w:val="00056260"/>
    <w:rsid w:val="0005722F"/>
    <w:rsid w:val="00057B31"/>
    <w:rsid w:val="0006020C"/>
    <w:rsid w:val="000606CB"/>
    <w:rsid w:val="00060890"/>
    <w:rsid w:val="00060B18"/>
    <w:rsid w:val="00061415"/>
    <w:rsid w:val="0006199A"/>
    <w:rsid w:val="00061FD8"/>
    <w:rsid w:val="000621BA"/>
    <w:rsid w:val="000622EE"/>
    <w:rsid w:val="00062D7D"/>
    <w:rsid w:val="0006350A"/>
    <w:rsid w:val="0006370F"/>
    <w:rsid w:val="00063C44"/>
    <w:rsid w:val="00063CE1"/>
    <w:rsid w:val="000641DA"/>
    <w:rsid w:val="00064C36"/>
    <w:rsid w:val="00065053"/>
    <w:rsid w:val="000655E4"/>
    <w:rsid w:val="000656AD"/>
    <w:rsid w:val="00065C71"/>
    <w:rsid w:val="00066628"/>
    <w:rsid w:val="00066BBA"/>
    <w:rsid w:val="000671B7"/>
    <w:rsid w:val="000675E4"/>
    <w:rsid w:val="00067B6F"/>
    <w:rsid w:val="00067E1D"/>
    <w:rsid w:val="00070519"/>
    <w:rsid w:val="0007064C"/>
    <w:rsid w:val="00071220"/>
    <w:rsid w:val="000712EE"/>
    <w:rsid w:val="00071794"/>
    <w:rsid w:val="000719C3"/>
    <w:rsid w:val="000719ED"/>
    <w:rsid w:val="000725C0"/>
    <w:rsid w:val="00072D53"/>
    <w:rsid w:val="00073511"/>
    <w:rsid w:val="000739C1"/>
    <w:rsid w:val="000742A2"/>
    <w:rsid w:val="00074610"/>
    <w:rsid w:val="000749A3"/>
    <w:rsid w:val="00074CE6"/>
    <w:rsid w:val="000768A5"/>
    <w:rsid w:val="00077277"/>
    <w:rsid w:val="0007743A"/>
    <w:rsid w:val="00077E02"/>
    <w:rsid w:val="00080069"/>
    <w:rsid w:val="00080125"/>
    <w:rsid w:val="00080F4F"/>
    <w:rsid w:val="00081CBC"/>
    <w:rsid w:val="000820BE"/>
    <w:rsid w:val="00082159"/>
    <w:rsid w:val="00082428"/>
    <w:rsid w:val="000825F6"/>
    <w:rsid w:val="00082E26"/>
    <w:rsid w:val="0008304B"/>
    <w:rsid w:val="000834DF"/>
    <w:rsid w:val="0008449F"/>
    <w:rsid w:val="000846ED"/>
    <w:rsid w:val="0008499D"/>
    <w:rsid w:val="00084A27"/>
    <w:rsid w:val="00085E59"/>
    <w:rsid w:val="000866C1"/>
    <w:rsid w:val="00090680"/>
    <w:rsid w:val="00090681"/>
    <w:rsid w:val="00091D0A"/>
    <w:rsid w:val="000924A7"/>
    <w:rsid w:val="00093016"/>
    <w:rsid w:val="00093452"/>
    <w:rsid w:val="00093D79"/>
    <w:rsid w:val="00094B28"/>
    <w:rsid w:val="00094B9A"/>
    <w:rsid w:val="00094C21"/>
    <w:rsid w:val="00096501"/>
    <w:rsid w:val="00096568"/>
    <w:rsid w:val="00096902"/>
    <w:rsid w:val="00096DEE"/>
    <w:rsid w:val="00097063"/>
    <w:rsid w:val="00097336"/>
    <w:rsid w:val="000975DA"/>
    <w:rsid w:val="00097F8E"/>
    <w:rsid w:val="000A0A1E"/>
    <w:rsid w:val="000A0D32"/>
    <w:rsid w:val="000A1392"/>
    <w:rsid w:val="000A1920"/>
    <w:rsid w:val="000A1A89"/>
    <w:rsid w:val="000A1C91"/>
    <w:rsid w:val="000A1CF2"/>
    <w:rsid w:val="000A24C4"/>
    <w:rsid w:val="000A2EDF"/>
    <w:rsid w:val="000A345B"/>
    <w:rsid w:val="000A372A"/>
    <w:rsid w:val="000A395D"/>
    <w:rsid w:val="000A532C"/>
    <w:rsid w:val="000A554D"/>
    <w:rsid w:val="000A56A5"/>
    <w:rsid w:val="000A5C86"/>
    <w:rsid w:val="000A608F"/>
    <w:rsid w:val="000A6897"/>
    <w:rsid w:val="000A6DBE"/>
    <w:rsid w:val="000A7E1F"/>
    <w:rsid w:val="000B0F50"/>
    <w:rsid w:val="000B194C"/>
    <w:rsid w:val="000B1FC4"/>
    <w:rsid w:val="000B1FC8"/>
    <w:rsid w:val="000B21D6"/>
    <w:rsid w:val="000B2404"/>
    <w:rsid w:val="000B36D8"/>
    <w:rsid w:val="000B3B7D"/>
    <w:rsid w:val="000B5DDF"/>
    <w:rsid w:val="000B6455"/>
    <w:rsid w:val="000B66D8"/>
    <w:rsid w:val="000B6ADB"/>
    <w:rsid w:val="000B6E38"/>
    <w:rsid w:val="000B7582"/>
    <w:rsid w:val="000B7FF2"/>
    <w:rsid w:val="000C056F"/>
    <w:rsid w:val="000C1442"/>
    <w:rsid w:val="000C1928"/>
    <w:rsid w:val="000C19B3"/>
    <w:rsid w:val="000C19EF"/>
    <w:rsid w:val="000C2D7D"/>
    <w:rsid w:val="000C3B86"/>
    <w:rsid w:val="000C4A46"/>
    <w:rsid w:val="000C4E27"/>
    <w:rsid w:val="000C4F54"/>
    <w:rsid w:val="000C5073"/>
    <w:rsid w:val="000C55A6"/>
    <w:rsid w:val="000C5A0A"/>
    <w:rsid w:val="000C625D"/>
    <w:rsid w:val="000C6A39"/>
    <w:rsid w:val="000C6FB8"/>
    <w:rsid w:val="000D0547"/>
    <w:rsid w:val="000D0723"/>
    <w:rsid w:val="000D13E5"/>
    <w:rsid w:val="000D28EB"/>
    <w:rsid w:val="000D308C"/>
    <w:rsid w:val="000D4262"/>
    <w:rsid w:val="000D43DE"/>
    <w:rsid w:val="000D55B5"/>
    <w:rsid w:val="000D58A1"/>
    <w:rsid w:val="000D6C1C"/>
    <w:rsid w:val="000D6F9D"/>
    <w:rsid w:val="000D73C6"/>
    <w:rsid w:val="000D762F"/>
    <w:rsid w:val="000D7B27"/>
    <w:rsid w:val="000D7E54"/>
    <w:rsid w:val="000E04C6"/>
    <w:rsid w:val="000E0A5A"/>
    <w:rsid w:val="000E0A85"/>
    <w:rsid w:val="000E0E5A"/>
    <w:rsid w:val="000E0EDA"/>
    <w:rsid w:val="000E2F5F"/>
    <w:rsid w:val="000E34F2"/>
    <w:rsid w:val="000E3CA1"/>
    <w:rsid w:val="000E4397"/>
    <w:rsid w:val="000E68E3"/>
    <w:rsid w:val="000E6DDB"/>
    <w:rsid w:val="000E6E76"/>
    <w:rsid w:val="000E72AB"/>
    <w:rsid w:val="000E74A6"/>
    <w:rsid w:val="000F00F0"/>
    <w:rsid w:val="000F03B1"/>
    <w:rsid w:val="000F08AE"/>
    <w:rsid w:val="000F0DA6"/>
    <w:rsid w:val="000F158D"/>
    <w:rsid w:val="000F1AAB"/>
    <w:rsid w:val="000F2D33"/>
    <w:rsid w:val="000F3B69"/>
    <w:rsid w:val="000F3D79"/>
    <w:rsid w:val="000F43F4"/>
    <w:rsid w:val="000F440E"/>
    <w:rsid w:val="000F5C18"/>
    <w:rsid w:val="000F6647"/>
    <w:rsid w:val="000F73B7"/>
    <w:rsid w:val="000F75DE"/>
    <w:rsid w:val="000F794F"/>
    <w:rsid w:val="000F7B1C"/>
    <w:rsid w:val="000F7E7B"/>
    <w:rsid w:val="001002F8"/>
    <w:rsid w:val="001008F2"/>
    <w:rsid w:val="0010163F"/>
    <w:rsid w:val="00101A74"/>
    <w:rsid w:val="00102654"/>
    <w:rsid w:val="001028CC"/>
    <w:rsid w:val="001045F9"/>
    <w:rsid w:val="0010472B"/>
    <w:rsid w:val="00104F95"/>
    <w:rsid w:val="00105D55"/>
    <w:rsid w:val="0010657F"/>
    <w:rsid w:val="00106964"/>
    <w:rsid w:val="001078E6"/>
    <w:rsid w:val="001102F0"/>
    <w:rsid w:val="00110777"/>
    <w:rsid w:val="00110BD6"/>
    <w:rsid w:val="00111159"/>
    <w:rsid w:val="00111350"/>
    <w:rsid w:val="0011221E"/>
    <w:rsid w:val="00112D0F"/>
    <w:rsid w:val="00112D45"/>
    <w:rsid w:val="00112F05"/>
    <w:rsid w:val="001133E0"/>
    <w:rsid w:val="00114A0B"/>
    <w:rsid w:val="00114FEF"/>
    <w:rsid w:val="00115DE5"/>
    <w:rsid w:val="001161D8"/>
    <w:rsid w:val="001163D6"/>
    <w:rsid w:val="00116985"/>
    <w:rsid w:val="00116C76"/>
    <w:rsid w:val="0011726A"/>
    <w:rsid w:val="0012022D"/>
    <w:rsid w:val="00120B5E"/>
    <w:rsid w:val="0012108F"/>
    <w:rsid w:val="00121EB0"/>
    <w:rsid w:val="0012228D"/>
    <w:rsid w:val="00122862"/>
    <w:rsid w:val="00122AB1"/>
    <w:rsid w:val="00122B7F"/>
    <w:rsid w:val="00123218"/>
    <w:rsid w:val="001237BA"/>
    <w:rsid w:val="00123925"/>
    <w:rsid w:val="00124136"/>
    <w:rsid w:val="00125567"/>
    <w:rsid w:val="00125988"/>
    <w:rsid w:val="00126641"/>
    <w:rsid w:val="00126954"/>
    <w:rsid w:val="00130F78"/>
    <w:rsid w:val="00131227"/>
    <w:rsid w:val="00131BD9"/>
    <w:rsid w:val="001322EB"/>
    <w:rsid w:val="0013297D"/>
    <w:rsid w:val="00132E24"/>
    <w:rsid w:val="00132F9E"/>
    <w:rsid w:val="00133D3A"/>
    <w:rsid w:val="001352EE"/>
    <w:rsid w:val="00135505"/>
    <w:rsid w:val="001364A7"/>
    <w:rsid w:val="001364C3"/>
    <w:rsid w:val="00136827"/>
    <w:rsid w:val="001375D4"/>
    <w:rsid w:val="00141C58"/>
    <w:rsid w:val="00141CD8"/>
    <w:rsid w:val="00143750"/>
    <w:rsid w:val="00143E88"/>
    <w:rsid w:val="001455D8"/>
    <w:rsid w:val="0014594D"/>
    <w:rsid w:val="00146210"/>
    <w:rsid w:val="00146B5E"/>
    <w:rsid w:val="0014790A"/>
    <w:rsid w:val="00150B54"/>
    <w:rsid w:val="00150E70"/>
    <w:rsid w:val="00151609"/>
    <w:rsid w:val="00151975"/>
    <w:rsid w:val="00151ABB"/>
    <w:rsid w:val="00152214"/>
    <w:rsid w:val="00152B2B"/>
    <w:rsid w:val="00152EC3"/>
    <w:rsid w:val="0015369D"/>
    <w:rsid w:val="00153B9B"/>
    <w:rsid w:val="00154447"/>
    <w:rsid w:val="001549BE"/>
    <w:rsid w:val="00154A0D"/>
    <w:rsid w:val="00154CDE"/>
    <w:rsid w:val="00154F5B"/>
    <w:rsid w:val="001556D7"/>
    <w:rsid w:val="00155D04"/>
    <w:rsid w:val="0015642B"/>
    <w:rsid w:val="00156F14"/>
    <w:rsid w:val="00160430"/>
    <w:rsid w:val="0016052D"/>
    <w:rsid w:val="00160941"/>
    <w:rsid w:val="00160C23"/>
    <w:rsid w:val="00161014"/>
    <w:rsid w:val="00161DAC"/>
    <w:rsid w:val="0016281C"/>
    <w:rsid w:val="00162B55"/>
    <w:rsid w:val="00162D8B"/>
    <w:rsid w:val="00162DD2"/>
    <w:rsid w:val="00163101"/>
    <w:rsid w:val="001638E9"/>
    <w:rsid w:val="00165824"/>
    <w:rsid w:val="001666EA"/>
    <w:rsid w:val="00167406"/>
    <w:rsid w:val="00167C92"/>
    <w:rsid w:val="00167F5F"/>
    <w:rsid w:val="0017111A"/>
    <w:rsid w:val="00171A85"/>
    <w:rsid w:val="001722EE"/>
    <w:rsid w:val="00173256"/>
    <w:rsid w:val="00173F5C"/>
    <w:rsid w:val="00174186"/>
    <w:rsid w:val="00174565"/>
    <w:rsid w:val="00174B15"/>
    <w:rsid w:val="00174EC9"/>
    <w:rsid w:val="00175BB3"/>
    <w:rsid w:val="00176202"/>
    <w:rsid w:val="00177182"/>
    <w:rsid w:val="00177A9A"/>
    <w:rsid w:val="00180449"/>
    <w:rsid w:val="001808A4"/>
    <w:rsid w:val="00180E98"/>
    <w:rsid w:val="00180FF3"/>
    <w:rsid w:val="001815A5"/>
    <w:rsid w:val="00181F30"/>
    <w:rsid w:val="001825B6"/>
    <w:rsid w:val="001825DE"/>
    <w:rsid w:val="00182740"/>
    <w:rsid w:val="00183049"/>
    <w:rsid w:val="00184071"/>
    <w:rsid w:val="001842F0"/>
    <w:rsid w:val="001852C5"/>
    <w:rsid w:val="00185A3B"/>
    <w:rsid w:val="0018666A"/>
    <w:rsid w:val="00186850"/>
    <w:rsid w:val="0018707C"/>
    <w:rsid w:val="0018781D"/>
    <w:rsid w:val="001904A5"/>
    <w:rsid w:val="001910FD"/>
    <w:rsid w:val="0019192A"/>
    <w:rsid w:val="001923C8"/>
    <w:rsid w:val="001939FF"/>
    <w:rsid w:val="00194036"/>
    <w:rsid w:val="00194DE8"/>
    <w:rsid w:val="00195D01"/>
    <w:rsid w:val="00195EC6"/>
    <w:rsid w:val="00196498"/>
    <w:rsid w:val="00197336"/>
    <w:rsid w:val="00197990"/>
    <w:rsid w:val="001A0106"/>
    <w:rsid w:val="001A02CB"/>
    <w:rsid w:val="001A02FD"/>
    <w:rsid w:val="001A11DB"/>
    <w:rsid w:val="001A1E18"/>
    <w:rsid w:val="001A1E9B"/>
    <w:rsid w:val="001A2843"/>
    <w:rsid w:val="001A33F4"/>
    <w:rsid w:val="001A3CEA"/>
    <w:rsid w:val="001A4299"/>
    <w:rsid w:val="001A50DE"/>
    <w:rsid w:val="001A53AE"/>
    <w:rsid w:val="001A57C9"/>
    <w:rsid w:val="001A6188"/>
    <w:rsid w:val="001A6256"/>
    <w:rsid w:val="001A6845"/>
    <w:rsid w:val="001A6C4E"/>
    <w:rsid w:val="001A6CD2"/>
    <w:rsid w:val="001A6F29"/>
    <w:rsid w:val="001A789B"/>
    <w:rsid w:val="001B03CC"/>
    <w:rsid w:val="001B0708"/>
    <w:rsid w:val="001B0AA7"/>
    <w:rsid w:val="001B0C75"/>
    <w:rsid w:val="001B2010"/>
    <w:rsid w:val="001B2268"/>
    <w:rsid w:val="001B2366"/>
    <w:rsid w:val="001B25D8"/>
    <w:rsid w:val="001B2A29"/>
    <w:rsid w:val="001B2DEE"/>
    <w:rsid w:val="001B368E"/>
    <w:rsid w:val="001B42F6"/>
    <w:rsid w:val="001B44C2"/>
    <w:rsid w:val="001B4EC1"/>
    <w:rsid w:val="001B659F"/>
    <w:rsid w:val="001B72E4"/>
    <w:rsid w:val="001B730E"/>
    <w:rsid w:val="001B7395"/>
    <w:rsid w:val="001B7399"/>
    <w:rsid w:val="001B75B0"/>
    <w:rsid w:val="001B7655"/>
    <w:rsid w:val="001B7BAD"/>
    <w:rsid w:val="001B7F09"/>
    <w:rsid w:val="001C0246"/>
    <w:rsid w:val="001C033C"/>
    <w:rsid w:val="001C1166"/>
    <w:rsid w:val="001C14B1"/>
    <w:rsid w:val="001C193C"/>
    <w:rsid w:val="001C1FD0"/>
    <w:rsid w:val="001C261E"/>
    <w:rsid w:val="001C3163"/>
    <w:rsid w:val="001C3AC7"/>
    <w:rsid w:val="001C3C13"/>
    <w:rsid w:val="001C3EC8"/>
    <w:rsid w:val="001C42D0"/>
    <w:rsid w:val="001C6182"/>
    <w:rsid w:val="001C6402"/>
    <w:rsid w:val="001C7B78"/>
    <w:rsid w:val="001C7D90"/>
    <w:rsid w:val="001C7FB4"/>
    <w:rsid w:val="001D0A25"/>
    <w:rsid w:val="001D0BA6"/>
    <w:rsid w:val="001D1354"/>
    <w:rsid w:val="001D1903"/>
    <w:rsid w:val="001D1942"/>
    <w:rsid w:val="001D1D2A"/>
    <w:rsid w:val="001D1D8A"/>
    <w:rsid w:val="001D1DDB"/>
    <w:rsid w:val="001D2AFE"/>
    <w:rsid w:val="001D2B62"/>
    <w:rsid w:val="001D410F"/>
    <w:rsid w:val="001D425B"/>
    <w:rsid w:val="001D4C2B"/>
    <w:rsid w:val="001D53EA"/>
    <w:rsid w:val="001D6C34"/>
    <w:rsid w:val="001D6F7C"/>
    <w:rsid w:val="001D7CEF"/>
    <w:rsid w:val="001E0156"/>
    <w:rsid w:val="001E03C7"/>
    <w:rsid w:val="001E0705"/>
    <w:rsid w:val="001E10D7"/>
    <w:rsid w:val="001E11A2"/>
    <w:rsid w:val="001E12A5"/>
    <w:rsid w:val="001E1BF9"/>
    <w:rsid w:val="001E1EDB"/>
    <w:rsid w:val="001E3A18"/>
    <w:rsid w:val="001E40A6"/>
    <w:rsid w:val="001E46E8"/>
    <w:rsid w:val="001E550D"/>
    <w:rsid w:val="001E5C82"/>
    <w:rsid w:val="001E6030"/>
    <w:rsid w:val="001E6C87"/>
    <w:rsid w:val="001E7093"/>
    <w:rsid w:val="001E717D"/>
    <w:rsid w:val="001E71F5"/>
    <w:rsid w:val="001E740E"/>
    <w:rsid w:val="001E7D86"/>
    <w:rsid w:val="001F038F"/>
    <w:rsid w:val="001F2754"/>
    <w:rsid w:val="001F27E3"/>
    <w:rsid w:val="001F2D76"/>
    <w:rsid w:val="001F3242"/>
    <w:rsid w:val="001F365F"/>
    <w:rsid w:val="001F36BC"/>
    <w:rsid w:val="001F377B"/>
    <w:rsid w:val="001F3CC4"/>
    <w:rsid w:val="001F3CF9"/>
    <w:rsid w:val="001F47CD"/>
    <w:rsid w:val="001F47DB"/>
    <w:rsid w:val="001F49A6"/>
    <w:rsid w:val="001F551F"/>
    <w:rsid w:val="001F55E5"/>
    <w:rsid w:val="001F5CB9"/>
    <w:rsid w:val="001F627B"/>
    <w:rsid w:val="002003A1"/>
    <w:rsid w:val="00200DC3"/>
    <w:rsid w:val="002011E2"/>
    <w:rsid w:val="00201BB9"/>
    <w:rsid w:val="002022EE"/>
    <w:rsid w:val="00202925"/>
    <w:rsid w:val="0020299E"/>
    <w:rsid w:val="00202C70"/>
    <w:rsid w:val="002050B0"/>
    <w:rsid w:val="00205D80"/>
    <w:rsid w:val="00206401"/>
    <w:rsid w:val="0020688B"/>
    <w:rsid w:val="0020693A"/>
    <w:rsid w:val="00207F44"/>
    <w:rsid w:val="00210874"/>
    <w:rsid w:val="0021093F"/>
    <w:rsid w:val="00211808"/>
    <w:rsid w:val="00211DF6"/>
    <w:rsid w:val="00212D15"/>
    <w:rsid w:val="002133CA"/>
    <w:rsid w:val="0021342D"/>
    <w:rsid w:val="00213592"/>
    <w:rsid w:val="002146B5"/>
    <w:rsid w:val="00214FA2"/>
    <w:rsid w:val="00215267"/>
    <w:rsid w:val="00215783"/>
    <w:rsid w:val="00216270"/>
    <w:rsid w:val="0021644B"/>
    <w:rsid w:val="00216489"/>
    <w:rsid w:val="002167C9"/>
    <w:rsid w:val="00216DC9"/>
    <w:rsid w:val="00216F21"/>
    <w:rsid w:val="00217B28"/>
    <w:rsid w:val="00217CA0"/>
    <w:rsid w:val="002202EB"/>
    <w:rsid w:val="00220FCF"/>
    <w:rsid w:val="002210AA"/>
    <w:rsid w:val="00221705"/>
    <w:rsid w:val="00221972"/>
    <w:rsid w:val="002231C8"/>
    <w:rsid w:val="002237FA"/>
    <w:rsid w:val="00223F57"/>
    <w:rsid w:val="00224154"/>
    <w:rsid w:val="002241A6"/>
    <w:rsid w:val="00224375"/>
    <w:rsid w:val="002249F0"/>
    <w:rsid w:val="00226885"/>
    <w:rsid w:val="00227F9E"/>
    <w:rsid w:val="00230193"/>
    <w:rsid w:val="00230194"/>
    <w:rsid w:val="0023065B"/>
    <w:rsid w:val="0023116B"/>
    <w:rsid w:val="00231597"/>
    <w:rsid w:val="0023187F"/>
    <w:rsid w:val="00231923"/>
    <w:rsid w:val="002329C3"/>
    <w:rsid w:val="002332AE"/>
    <w:rsid w:val="002333C2"/>
    <w:rsid w:val="002339F7"/>
    <w:rsid w:val="00233F2D"/>
    <w:rsid w:val="00234040"/>
    <w:rsid w:val="00234F7B"/>
    <w:rsid w:val="00235025"/>
    <w:rsid w:val="0023537F"/>
    <w:rsid w:val="00235A51"/>
    <w:rsid w:val="00235D67"/>
    <w:rsid w:val="0023626B"/>
    <w:rsid w:val="0023626E"/>
    <w:rsid w:val="00236BFE"/>
    <w:rsid w:val="00236E4E"/>
    <w:rsid w:val="002376AD"/>
    <w:rsid w:val="00237927"/>
    <w:rsid w:val="00237E33"/>
    <w:rsid w:val="0024114B"/>
    <w:rsid w:val="002421E1"/>
    <w:rsid w:val="00242632"/>
    <w:rsid w:val="00242F07"/>
    <w:rsid w:val="00243020"/>
    <w:rsid w:val="00243D13"/>
    <w:rsid w:val="00244D22"/>
    <w:rsid w:val="00245109"/>
    <w:rsid w:val="00246164"/>
    <w:rsid w:val="00246C09"/>
    <w:rsid w:val="002470E4"/>
    <w:rsid w:val="00247262"/>
    <w:rsid w:val="00247B15"/>
    <w:rsid w:val="002504F3"/>
    <w:rsid w:val="0025144C"/>
    <w:rsid w:val="00251FDA"/>
    <w:rsid w:val="00252759"/>
    <w:rsid w:val="00253547"/>
    <w:rsid w:val="00256055"/>
    <w:rsid w:val="0025616B"/>
    <w:rsid w:val="00256A44"/>
    <w:rsid w:val="00257285"/>
    <w:rsid w:val="00257FF4"/>
    <w:rsid w:val="002608CE"/>
    <w:rsid w:val="002611F8"/>
    <w:rsid w:val="00261660"/>
    <w:rsid w:val="00261A53"/>
    <w:rsid w:val="0026279C"/>
    <w:rsid w:val="002628AA"/>
    <w:rsid w:val="00262CD3"/>
    <w:rsid w:val="00263BB1"/>
    <w:rsid w:val="00264181"/>
    <w:rsid w:val="00264BB2"/>
    <w:rsid w:val="00264E58"/>
    <w:rsid w:val="00265289"/>
    <w:rsid w:val="002661DC"/>
    <w:rsid w:val="00266564"/>
    <w:rsid w:val="00266613"/>
    <w:rsid w:val="00266FE9"/>
    <w:rsid w:val="0026702F"/>
    <w:rsid w:val="00267FD3"/>
    <w:rsid w:val="00270F39"/>
    <w:rsid w:val="00271210"/>
    <w:rsid w:val="0027173D"/>
    <w:rsid w:val="00272396"/>
    <w:rsid w:val="002723AD"/>
    <w:rsid w:val="0027257C"/>
    <w:rsid w:val="00273D98"/>
    <w:rsid w:val="00273F6F"/>
    <w:rsid w:val="0027492A"/>
    <w:rsid w:val="00274B9D"/>
    <w:rsid w:val="00275A4E"/>
    <w:rsid w:val="0027614D"/>
    <w:rsid w:val="0027651A"/>
    <w:rsid w:val="002770A1"/>
    <w:rsid w:val="002773B2"/>
    <w:rsid w:val="00277562"/>
    <w:rsid w:val="002777E0"/>
    <w:rsid w:val="0028001E"/>
    <w:rsid w:val="00280D53"/>
    <w:rsid w:val="00281CF6"/>
    <w:rsid w:val="00281FBA"/>
    <w:rsid w:val="0028273B"/>
    <w:rsid w:val="00282EEE"/>
    <w:rsid w:val="0028359B"/>
    <w:rsid w:val="00283D9C"/>
    <w:rsid w:val="00284441"/>
    <w:rsid w:val="002857FE"/>
    <w:rsid w:val="00287307"/>
    <w:rsid w:val="00287A84"/>
    <w:rsid w:val="00290933"/>
    <w:rsid w:val="0029106B"/>
    <w:rsid w:val="00291E57"/>
    <w:rsid w:val="00292D6A"/>
    <w:rsid w:val="0029312A"/>
    <w:rsid w:val="0029323F"/>
    <w:rsid w:val="0029325C"/>
    <w:rsid w:val="00293B2D"/>
    <w:rsid w:val="00293B46"/>
    <w:rsid w:val="00294E5F"/>
    <w:rsid w:val="00294F49"/>
    <w:rsid w:val="002956EE"/>
    <w:rsid w:val="00295C9C"/>
    <w:rsid w:val="002960B7"/>
    <w:rsid w:val="00296BE2"/>
    <w:rsid w:val="00297643"/>
    <w:rsid w:val="00297824"/>
    <w:rsid w:val="00297942"/>
    <w:rsid w:val="002A0BD5"/>
    <w:rsid w:val="002A0F2E"/>
    <w:rsid w:val="002A153F"/>
    <w:rsid w:val="002A1CC2"/>
    <w:rsid w:val="002A28B7"/>
    <w:rsid w:val="002A32FD"/>
    <w:rsid w:val="002A3C1B"/>
    <w:rsid w:val="002A40DC"/>
    <w:rsid w:val="002A4534"/>
    <w:rsid w:val="002A509D"/>
    <w:rsid w:val="002A5329"/>
    <w:rsid w:val="002A54CF"/>
    <w:rsid w:val="002A5AFF"/>
    <w:rsid w:val="002A5C2D"/>
    <w:rsid w:val="002A5CB3"/>
    <w:rsid w:val="002A61E5"/>
    <w:rsid w:val="002A7096"/>
    <w:rsid w:val="002A74DD"/>
    <w:rsid w:val="002A7FC8"/>
    <w:rsid w:val="002B0168"/>
    <w:rsid w:val="002B04A2"/>
    <w:rsid w:val="002B0A81"/>
    <w:rsid w:val="002B151C"/>
    <w:rsid w:val="002B1CE7"/>
    <w:rsid w:val="002B2F0F"/>
    <w:rsid w:val="002B32F7"/>
    <w:rsid w:val="002B457B"/>
    <w:rsid w:val="002B569D"/>
    <w:rsid w:val="002B595D"/>
    <w:rsid w:val="002B5F6A"/>
    <w:rsid w:val="002B66DD"/>
    <w:rsid w:val="002B6C38"/>
    <w:rsid w:val="002B779E"/>
    <w:rsid w:val="002B7B40"/>
    <w:rsid w:val="002B7D6F"/>
    <w:rsid w:val="002B7D78"/>
    <w:rsid w:val="002B7DE8"/>
    <w:rsid w:val="002C0552"/>
    <w:rsid w:val="002C0961"/>
    <w:rsid w:val="002C1269"/>
    <w:rsid w:val="002C130A"/>
    <w:rsid w:val="002C1B16"/>
    <w:rsid w:val="002C1CF7"/>
    <w:rsid w:val="002C1D11"/>
    <w:rsid w:val="002C25D0"/>
    <w:rsid w:val="002C280B"/>
    <w:rsid w:val="002C2845"/>
    <w:rsid w:val="002C2DB0"/>
    <w:rsid w:val="002C3497"/>
    <w:rsid w:val="002C36C4"/>
    <w:rsid w:val="002C3AA1"/>
    <w:rsid w:val="002C3C6B"/>
    <w:rsid w:val="002C3C9A"/>
    <w:rsid w:val="002C4D2D"/>
    <w:rsid w:val="002C4D41"/>
    <w:rsid w:val="002C5F4C"/>
    <w:rsid w:val="002C6D31"/>
    <w:rsid w:val="002C75B0"/>
    <w:rsid w:val="002C7703"/>
    <w:rsid w:val="002C7A63"/>
    <w:rsid w:val="002C7DBB"/>
    <w:rsid w:val="002C7E40"/>
    <w:rsid w:val="002D0153"/>
    <w:rsid w:val="002D0985"/>
    <w:rsid w:val="002D099C"/>
    <w:rsid w:val="002D191B"/>
    <w:rsid w:val="002D2D12"/>
    <w:rsid w:val="002D3312"/>
    <w:rsid w:val="002D3670"/>
    <w:rsid w:val="002D403A"/>
    <w:rsid w:val="002D4262"/>
    <w:rsid w:val="002D46B7"/>
    <w:rsid w:val="002D509F"/>
    <w:rsid w:val="002D6163"/>
    <w:rsid w:val="002D7B7F"/>
    <w:rsid w:val="002D7BEE"/>
    <w:rsid w:val="002D7CF2"/>
    <w:rsid w:val="002E0175"/>
    <w:rsid w:val="002E02A5"/>
    <w:rsid w:val="002E0927"/>
    <w:rsid w:val="002E1064"/>
    <w:rsid w:val="002E1339"/>
    <w:rsid w:val="002E1D48"/>
    <w:rsid w:val="002E1DFB"/>
    <w:rsid w:val="002E2551"/>
    <w:rsid w:val="002E323F"/>
    <w:rsid w:val="002E4133"/>
    <w:rsid w:val="002E5554"/>
    <w:rsid w:val="002E59C4"/>
    <w:rsid w:val="002E5D24"/>
    <w:rsid w:val="002F0B81"/>
    <w:rsid w:val="002F1B12"/>
    <w:rsid w:val="002F2256"/>
    <w:rsid w:val="002F22EC"/>
    <w:rsid w:val="002F2826"/>
    <w:rsid w:val="002F2DA8"/>
    <w:rsid w:val="002F3359"/>
    <w:rsid w:val="002F530C"/>
    <w:rsid w:val="002F591B"/>
    <w:rsid w:val="002F5C70"/>
    <w:rsid w:val="002F65E2"/>
    <w:rsid w:val="002F68E4"/>
    <w:rsid w:val="002F7979"/>
    <w:rsid w:val="002F7A57"/>
    <w:rsid w:val="002F7B47"/>
    <w:rsid w:val="002F7DBD"/>
    <w:rsid w:val="00300013"/>
    <w:rsid w:val="00300247"/>
    <w:rsid w:val="0030032D"/>
    <w:rsid w:val="003006F8"/>
    <w:rsid w:val="00300BF2"/>
    <w:rsid w:val="0030161F"/>
    <w:rsid w:val="00301CA2"/>
    <w:rsid w:val="00301CC4"/>
    <w:rsid w:val="003027C1"/>
    <w:rsid w:val="003029AA"/>
    <w:rsid w:val="00302A25"/>
    <w:rsid w:val="00304900"/>
    <w:rsid w:val="00304C13"/>
    <w:rsid w:val="003051CE"/>
    <w:rsid w:val="00305718"/>
    <w:rsid w:val="00305CD0"/>
    <w:rsid w:val="00305EC5"/>
    <w:rsid w:val="00306107"/>
    <w:rsid w:val="003070EB"/>
    <w:rsid w:val="00307312"/>
    <w:rsid w:val="003077B8"/>
    <w:rsid w:val="00310100"/>
    <w:rsid w:val="003111F8"/>
    <w:rsid w:val="0031204A"/>
    <w:rsid w:val="00312463"/>
    <w:rsid w:val="0031272B"/>
    <w:rsid w:val="0031469F"/>
    <w:rsid w:val="00314835"/>
    <w:rsid w:val="00314BB9"/>
    <w:rsid w:val="00315435"/>
    <w:rsid w:val="00316759"/>
    <w:rsid w:val="00316D34"/>
    <w:rsid w:val="00317590"/>
    <w:rsid w:val="00317837"/>
    <w:rsid w:val="00317B03"/>
    <w:rsid w:val="00317BF9"/>
    <w:rsid w:val="0032038C"/>
    <w:rsid w:val="003213BA"/>
    <w:rsid w:val="00321889"/>
    <w:rsid w:val="003219B5"/>
    <w:rsid w:val="00321C99"/>
    <w:rsid w:val="00321DEB"/>
    <w:rsid w:val="00322B96"/>
    <w:rsid w:val="00323188"/>
    <w:rsid w:val="003235EF"/>
    <w:rsid w:val="003236F9"/>
    <w:rsid w:val="0032415D"/>
    <w:rsid w:val="00325C5E"/>
    <w:rsid w:val="00325D68"/>
    <w:rsid w:val="00326D06"/>
    <w:rsid w:val="00326F09"/>
    <w:rsid w:val="0032717D"/>
    <w:rsid w:val="0032738E"/>
    <w:rsid w:val="00330298"/>
    <w:rsid w:val="00330740"/>
    <w:rsid w:val="00330F19"/>
    <w:rsid w:val="00331589"/>
    <w:rsid w:val="00331B40"/>
    <w:rsid w:val="00331C5F"/>
    <w:rsid w:val="003325B9"/>
    <w:rsid w:val="00332658"/>
    <w:rsid w:val="00332E3B"/>
    <w:rsid w:val="00332E95"/>
    <w:rsid w:val="00333074"/>
    <w:rsid w:val="00333223"/>
    <w:rsid w:val="003336AB"/>
    <w:rsid w:val="00333A43"/>
    <w:rsid w:val="00334185"/>
    <w:rsid w:val="00334AB1"/>
    <w:rsid w:val="00334F7E"/>
    <w:rsid w:val="00335E43"/>
    <w:rsid w:val="00335F79"/>
    <w:rsid w:val="00335FAB"/>
    <w:rsid w:val="003364C1"/>
    <w:rsid w:val="00336881"/>
    <w:rsid w:val="0033705B"/>
    <w:rsid w:val="003372E7"/>
    <w:rsid w:val="00337342"/>
    <w:rsid w:val="00337769"/>
    <w:rsid w:val="00337F82"/>
    <w:rsid w:val="00340640"/>
    <w:rsid w:val="00340810"/>
    <w:rsid w:val="0034195C"/>
    <w:rsid w:val="00342004"/>
    <w:rsid w:val="00342404"/>
    <w:rsid w:val="00342F63"/>
    <w:rsid w:val="003435D6"/>
    <w:rsid w:val="00343D66"/>
    <w:rsid w:val="00344F3D"/>
    <w:rsid w:val="003458E0"/>
    <w:rsid w:val="00345CCD"/>
    <w:rsid w:val="00347239"/>
    <w:rsid w:val="00347753"/>
    <w:rsid w:val="00350D7B"/>
    <w:rsid w:val="003511CE"/>
    <w:rsid w:val="003513E5"/>
    <w:rsid w:val="00351909"/>
    <w:rsid w:val="003524DA"/>
    <w:rsid w:val="00352BE0"/>
    <w:rsid w:val="0035333E"/>
    <w:rsid w:val="003538F0"/>
    <w:rsid w:val="00354254"/>
    <w:rsid w:val="00355530"/>
    <w:rsid w:val="003555FE"/>
    <w:rsid w:val="00355775"/>
    <w:rsid w:val="00355F2C"/>
    <w:rsid w:val="003566F4"/>
    <w:rsid w:val="00357DAE"/>
    <w:rsid w:val="003602A5"/>
    <w:rsid w:val="003605F7"/>
    <w:rsid w:val="0036084B"/>
    <w:rsid w:val="00360FD1"/>
    <w:rsid w:val="00361259"/>
    <w:rsid w:val="00361429"/>
    <w:rsid w:val="0036147E"/>
    <w:rsid w:val="00361791"/>
    <w:rsid w:val="00362AA7"/>
    <w:rsid w:val="0036376D"/>
    <w:rsid w:val="00363B11"/>
    <w:rsid w:val="00364D70"/>
    <w:rsid w:val="003666F9"/>
    <w:rsid w:val="003672D6"/>
    <w:rsid w:val="003675A2"/>
    <w:rsid w:val="00367FA4"/>
    <w:rsid w:val="003705BF"/>
    <w:rsid w:val="00370935"/>
    <w:rsid w:val="00370AA8"/>
    <w:rsid w:val="00371C1A"/>
    <w:rsid w:val="00372CE7"/>
    <w:rsid w:val="00372E7B"/>
    <w:rsid w:val="00373173"/>
    <w:rsid w:val="00374C7C"/>
    <w:rsid w:val="00375E52"/>
    <w:rsid w:val="00375E78"/>
    <w:rsid w:val="00377349"/>
    <w:rsid w:val="00380888"/>
    <w:rsid w:val="00380D9F"/>
    <w:rsid w:val="0038133D"/>
    <w:rsid w:val="003819E1"/>
    <w:rsid w:val="00381BF1"/>
    <w:rsid w:val="00382234"/>
    <w:rsid w:val="003828B6"/>
    <w:rsid w:val="00382BAC"/>
    <w:rsid w:val="003842E5"/>
    <w:rsid w:val="00384FE8"/>
    <w:rsid w:val="003852C0"/>
    <w:rsid w:val="0038547F"/>
    <w:rsid w:val="00385A6A"/>
    <w:rsid w:val="0038672F"/>
    <w:rsid w:val="003867CB"/>
    <w:rsid w:val="00386BC9"/>
    <w:rsid w:val="00386F24"/>
    <w:rsid w:val="003876AB"/>
    <w:rsid w:val="00387957"/>
    <w:rsid w:val="0039053D"/>
    <w:rsid w:val="00390B9A"/>
    <w:rsid w:val="00390C8F"/>
    <w:rsid w:val="00392B8A"/>
    <w:rsid w:val="00392DD1"/>
    <w:rsid w:val="003934D6"/>
    <w:rsid w:val="0039438F"/>
    <w:rsid w:val="0039449C"/>
    <w:rsid w:val="003955D6"/>
    <w:rsid w:val="0039562B"/>
    <w:rsid w:val="00395E02"/>
    <w:rsid w:val="00396847"/>
    <w:rsid w:val="0039684C"/>
    <w:rsid w:val="00396D4E"/>
    <w:rsid w:val="00397749"/>
    <w:rsid w:val="003A0290"/>
    <w:rsid w:val="003A133C"/>
    <w:rsid w:val="003A1ABF"/>
    <w:rsid w:val="003A25BB"/>
    <w:rsid w:val="003A300D"/>
    <w:rsid w:val="003A30CF"/>
    <w:rsid w:val="003A3C32"/>
    <w:rsid w:val="003A3CAA"/>
    <w:rsid w:val="003A3E7B"/>
    <w:rsid w:val="003A422E"/>
    <w:rsid w:val="003A4566"/>
    <w:rsid w:val="003A4B60"/>
    <w:rsid w:val="003A4BC5"/>
    <w:rsid w:val="003A4FC0"/>
    <w:rsid w:val="003A5A5F"/>
    <w:rsid w:val="003A6B5A"/>
    <w:rsid w:val="003A7067"/>
    <w:rsid w:val="003A7B99"/>
    <w:rsid w:val="003B0665"/>
    <w:rsid w:val="003B09F6"/>
    <w:rsid w:val="003B0B6E"/>
    <w:rsid w:val="003B0D03"/>
    <w:rsid w:val="003B1622"/>
    <w:rsid w:val="003B1F0A"/>
    <w:rsid w:val="003B23FE"/>
    <w:rsid w:val="003B2A94"/>
    <w:rsid w:val="003B2C1F"/>
    <w:rsid w:val="003B3022"/>
    <w:rsid w:val="003B3122"/>
    <w:rsid w:val="003B3253"/>
    <w:rsid w:val="003B329D"/>
    <w:rsid w:val="003B3684"/>
    <w:rsid w:val="003B398C"/>
    <w:rsid w:val="003B4048"/>
    <w:rsid w:val="003B4409"/>
    <w:rsid w:val="003B4B69"/>
    <w:rsid w:val="003B5533"/>
    <w:rsid w:val="003B5A85"/>
    <w:rsid w:val="003B71EE"/>
    <w:rsid w:val="003B7621"/>
    <w:rsid w:val="003B7C0B"/>
    <w:rsid w:val="003B7C64"/>
    <w:rsid w:val="003B7F5F"/>
    <w:rsid w:val="003C0593"/>
    <w:rsid w:val="003C13A6"/>
    <w:rsid w:val="003C1615"/>
    <w:rsid w:val="003C1EB4"/>
    <w:rsid w:val="003C28A1"/>
    <w:rsid w:val="003C2A44"/>
    <w:rsid w:val="003C3736"/>
    <w:rsid w:val="003C44D1"/>
    <w:rsid w:val="003C4E3A"/>
    <w:rsid w:val="003C4F8F"/>
    <w:rsid w:val="003C611E"/>
    <w:rsid w:val="003C63A7"/>
    <w:rsid w:val="003C6635"/>
    <w:rsid w:val="003C6A80"/>
    <w:rsid w:val="003C6E86"/>
    <w:rsid w:val="003D0E1C"/>
    <w:rsid w:val="003D1E47"/>
    <w:rsid w:val="003D1E4B"/>
    <w:rsid w:val="003D21CB"/>
    <w:rsid w:val="003D30D9"/>
    <w:rsid w:val="003D3662"/>
    <w:rsid w:val="003D3AB4"/>
    <w:rsid w:val="003D3C13"/>
    <w:rsid w:val="003D3C14"/>
    <w:rsid w:val="003D4188"/>
    <w:rsid w:val="003D4557"/>
    <w:rsid w:val="003D543D"/>
    <w:rsid w:val="003D59FD"/>
    <w:rsid w:val="003D646C"/>
    <w:rsid w:val="003D6AB1"/>
    <w:rsid w:val="003D756B"/>
    <w:rsid w:val="003E10B8"/>
    <w:rsid w:val="003E11B1"/>
    <w:rsid w:val="003E122D"/>
    <w:rsid w:val="003E13F5"/>
    <w:rsid w:val="003E1978"/>
    <w:rsid w:val="003E280B"/>
    <w:rsid w:val="003E2B5E"/>
    <w:rsid w:val="003E3B4D"/>
    <w:rsid w:val="003E3FF4"/>
    <w:rsid w:val="003E4E15"/>
    <w:rsid w:val="003E5279"/>
    <w:rsid w:val="003E53E8"/>
    <w:rsid w:val="003E5912"/>
    <w:rsid w:val="003E5AE8"/>
    <w:rsid w:val="003E6088"/>
    <w:rsid w:val="003E68C4"/>
    <w:rsid w:val="003E7866"/>
    <w:rsid w:val="003F07EE"/>
    <w:rsid w:val="003F086C"/>
    <w:rsid w:val="003F0C8B"/>
    <w:rsid w:val="003F0E4C"/>
    <w:rsid w:val="003F0F81"/>
    <w:rsid w:val="003F1607"/>
    <w:rsid w:val="003F1C39"/>
    <w:rsid w:val="003F29F2"/>
    <w:rsid w:val="003F3C77"/>
    <w:rsid w:val="003F458D"/>
    <w:rsid w:val="003F47DF"/>
    <w:rsid w:val="003F6209"/>
    <w:rsid w:val="003F670E"/>
    <w:rsid w:val="003F68EB"/>
    <w:rsid w:val="003F72F4"/>
    <w:rsid w:val="003F7E44"/>
    <w:rsid w:val="0040013B"/>
    <w:rsid w:val="00400A8B"/>
    <w:rsid w:val="00401540"/>
    <w:rsid w:val="00401831"/>
    <w:rsid w:val="00402307"/>
    <w:rsid w:val="00402DA4"/>
    <w:rsid w:val="00403092"/>
    <w:rsid w:val="0040314A"/>
    <w:rsid w:val="00404DE2"/>
    <w:rsid w:val="004058B6"/>
    <w:rsid w:val="00405DAB"/>
    <w:rsid w:val="00405E90"/>
    <w:rsid w:val="0040629D"/>
    <w:rsid w:val="004065CE"/>
    <w:rsid w:val="004065E0"/>
    <w:rsid w:val="00406802"/>
    <w:rsid w:val="004071DE"/>
    <w:rsid w:val="00407309"/>
    <w:rsid w:val="00407A61"/>
    <w:rsid w:val="004105DD"/>
    <w:rsid w:val="00410C4E"/>
    <w:rsid w:val="00410C83"/>
    <w:rsid w:val="00410CE0"/>
    <w:rsid w:val="00410DCE"/>
    <w:rsid w:val="0041183C"/>
    <w:rsid w:val="0041263C"/>
    <w:rsid w:val="00412C0B"/>
    <w:rsid w:val="00413113"/>
    <w:rsid w:val="0041404E"/>
    <w:rsid w:val="0041429D"/>
    <w:rsid w:val="004147D0"/>
    <w:rsid w:val="00414E1F"/>
    <w:rsid w:val="0041501A"/>
    <w:rsid w:val="0041581E"/>
    <w:rsid w:val="00416073"/>
    <w:rsid w:val="004161E5"/>
    <w:rsid w:val="0041765C"/>
    <w:rsid w:val="00420837"/>
    <w:rsid w:val="0042118D"/>
    <w:rsid w:val="0042146C"/>
    <w:rsid w:val="00421755"/>
    <w:rsid w:val="00421EEC"/>
    <w:rsid w:val="0042210F"/>
    <w:rsid w:val="0042243E"/>
    <w:rsid w:val="00422933"/>
    <w:rsid w:val="00422BB0"/>
    <w:rsid w:val="00422F4B"/>
    <w:rsid w:val="00423003"/>
    <w:rsid w:val="004237B0"/>
    <w:rsid w:val="0042382C"/>
    <w:rsid w:val="004244D9"/>
    <w:rsid w:val="004248B4"/>
    <w:rsid w:val="00424C66"/>
    <w:rsid w:val="00424F98"/>
    <w:rsid w:val="0042526D"/>
    <w:rsid w:val="004254A2"/>
    <w:rsid w:val="00425A54"/>
    <w:rsid w:val="00426702"/>
    <w:rsid w:val="00426D71"/>
    <w:rsid w:val="00427EEC"/>
    <w:rsid w:val="00430250"/>
    <w:rsid w:val="00430256"/>
    <w:rsid w:val="004306F4"/>
    <w:rsid w:val="00430C95"/>
    <w:rsid w:val="00430DFF"/>
    <w:rsid w:val="00430E3D"/>
    <w:rsid w:val="0043194D"/>
    <w:rsid w:val="00431BF1"/>
    <w:rsid w:val="004339A2"/>
    <w:rsid w:val="00433D22"/>
    <w:rsid w:val="00434130"/>
    <w:rsid w:val="004342F8"/>
    <w:rsid w:val="004347BC"/>
    <w:rsid w:val="00434A2F"/>
    <w:rsid w:val="00434B63"/>
    <w:rsid w:val="00434EC3"/>
    <w:rsid w:val="00434F0F"/>
    <w:rsid w:val="00436C0C"/>
    <w:rsid w:val="0043712C"/>
    <w:rsid w:val="004375F4"/>
    <w:rsid w:val="0043775D"/>
    <w:rsid w:val="0044083A"/>
    <w:rsid w:val="004408FA"/>
    <w:rsid w:val="00441119"/>
    <w:rsid w:val="00441A1F"/>
    <w:rsid w:val="00441C6A"/>
    <w:rsid w:val="00444245"/>
    <w:rsid w:val="0044552A"/>
    <w:rsid w:val="00445663"/>
    <w:rsid w:val="00445FA4"/>
    <w:rsid w:val="004461A4"/>
    <w:rsid w:val="00446612"/>
    <w:rsid w:val="00446EE2"/>
    <w:rsid w:val="00447518"/>
    <w:rsid w:val="0045000C"/>
    <w:rsid w:val="004502E1"/>
    <w:rsid w:val="00450E44"/>
    <w:rsid w:val="00451501"/>
    <w:rsid w:val="004515D0"/>
    <w:rsid w:val="00451786"/>
    <w:rsid w:val="00451CC1"/>
    <w:rsid w:val="00451DE9"/>
    <w:rsid w:val="00451F2C"/>
    <w:rsid w:val="00451F45"/>
    <w:rsid w:val="004521E9"/>
    <w:rsid w:val="00452501"/>
    <w:rsid w:val="004528D0"/>
    <w:rsid w:val="00452DD3"/>
    <w:rsid w:val="0045320E"/>
    <w:rsid w:val="00453C86"/>
    <w:rsid w:val="00453EFC"/>
    <w:rsid w:val="00454564"/>
    <w:rsid w:val="004547E4"/>
    <w:rsid w:val="00454F79"/>
    <w:rsid w:val="004557CD"/>
    <w:rsid w:val="004562E5"/>
    <w:rsid w:val="00456CEE"/>
    <w:rsid w:val="004574EA"/>
    <w:rsid w:val="00457BC3"/>
    <w:rsid w:val="0046034D"/>
    <w:rsid w:val="00460F8D"/>
    <w:rsid w:val="00461801"/>
    <w:rsid w:val="00462272"/>
    <w:rsid w:val="0046390C"/>
    <w:rsid w:val="00463D86"/>
    <w:rsid w:val="00464569"/>
    <w:rsid w:val="00464ADA"/>
    <w:rsid w:val="0046518F"/>
    <w:rsid w:val="00465D4E"/>
    <w:rsid w:val="00465EDD"/>
    <w:rsid w:val="0046633C"/>
    <w:rsid w:val="00466381"/>
    <w:rsid w:val="00466438"/>
    <w:rsid w:val="00467393"/>
    <w:rsid w:val="00467BDD"/>
    <w:rsid w:val="00470506"/>
    <w:rsid w:val="004709F6"/>
    <w:rsid w:val="004717F6"/>
    <w:rsid w:val="0047364D"/>
    <w:rsid w:val="00473D2E"/>
    <w:rsid w:val="0047481E"/>
    <w:rsid w:val="00474918"/>
    <w:rsid w:val="0047511C"/>
    <w:rsid w:val="00475EAF"/>
    <w:rsid w:val="0047681C"/>
    <w:rsid w:val="004771F5"/>
    <w:rsid w:val="004807D5"/>
    <w:rsid w:val="004815F0"/>
    <w:rsid w:val="004815F8"/>
    <w:rsid w:val="004816C3"/>
    <w:rsid w:val="00481BED"/>
    <w:rsid w:val="00481E32"/>
    <w:rsid w:val="004831ED"/>
    <w:rsid w:val="004831FC"/>
    <w:rsid w:val="004836A7"/>
    <w:rsid w:val="004847B4"/>
    <w:rsid w:val="00484921"/>
    <w:rsid w:val="00484989"/>
    <w:rsid w:val="0048530C"/>
    <w:rsid w:val="00485316"/>
    <w:rsid w:val="0048651B"/>
    <w:rsid w:val="00486614"/>
    <w:rsid w:val="0048715B"/>
    <w:rsid w:val="00487280"/>
    <w:rsid w:val="00487DE2"/>
    <w:rsid w:val="00487E11"/>
    <w:rsid w:val="00487FB8"/>
    <w:rsid w:val="0049002D"/>
    <w:rsid w:val="004900FE"/>
    <w:rsid w:val="00490ED0"/>
    <w:rsid w:val="0049191F"/>
    <w:rsid w:val="004919D4"/>
    <w:rsid w:val="00491FB2"/>
    <w:rsid w:val="0049200C"/>
    <w:rsid w:val="0049212C"/>
    <w:rsid w:val="00493002"/>
    <w:rsid w:val="004935F9"/>
    <w:rsid w:val="004946CE"/>
    <w:rsid w:val="004949F8"/>
    <w:rsid w:val="00495C39"/>
    <w:rsid w:val="004975DB"/>
    <w:rsid w:val="00497740"/>
    <w:rsid w:val="00497F62"/>
    <w:rsid w:val="004A027B"/>
    <w:rsid w:val="004A0522"/>
    <w:rsid w:val="004A062F"/>
    <w:rsid w:val="004A1224"/>
    <w:rsid w:val="004A1ABD"/>
    <w:rsid w:val="004A1F29"/>
    <w:rsid w:val="004A247B"/>
    <w:rsid w:val="004A28C5"/>
    <w:rsid w:val="004A2939"/>
    <w:rsid w:val="004A2AD1"/>
    <w:rsid w:val="004A2F59"/>
    <w:rsid w:val="004A309E"/>
    <w:rsid w:val="004A3865"/>
    <w:rsid w:val="004A39AD"/>
    <w:rsid w:val="004A461D"/>
    <w:rsid w:val="004A588B"/>
    <w:rsid w:val="004A58AA"/>
    <w:rsid w:val="004A5E53"/>
    <w:rsid w:val="004A6281"/>
    <w:rsid w:val="004A64B4"/>
    <w:rsid w:val="004A660C"/>
    <w:rsid w:val="004A6B44"/>
    <w:rsid w:val="004A6E0E"/>
    <w:rsid w:val="004B022A"/>
    <w:rsid w:val="004B0B19"/>
    <w:rsid w:val="004B0DCB"/>
    <w:rsid w:val="004B18DC"/>
    <w:rsid w:val="004B1E81"/>
    <w:rsid w:val="004B35F0"/>
    <w:rsid w:val="004B37A7"/>
    <w:rsid w:val="004B3F8E"/>
    <w:rsid w:val="004B409F"/>
    <w:rsid w:val="004B43C0"/>
    <w:rsid w:val="004B4426"/>
    <w:rsid w:val="004B44E1"/>
    <w:rsid w:val="004B5852"/>
    <w:rsid w:val="004B5F2A"/>
    <w:rsid w:val="004B74B2"/>
    <w:rsid w:val="004C03B7"/>
    <w:rsid w:val="004C103D"/>
    <w:rsid w:val="004C1303"/>
    <w:rsid w:val="004C1399"/>
    <w:rsid w:val="004C1C09"/>
    <w:rsid w:val="004C266C"/>
    <w:rsid w:val="004C2A17"/>
    <w:rsid w:val="004C2B0E"/>
    <w:rsid w:val="004C3284"/>
    <w:rsid w:val="004C43B2"/>
    <w:rsid w:val="004C45F5"/>
    <w:rsid w:val="004C475B"/>
    <w:rsid w:val="004C5507"/>
    <w:rsid w:val="004C5FD6"/>
    <w:rsid w:val="004C6063"/>
    <w:rsid w:val="004C7802"/>
    <w:rsid w:val="004D00C4"/>
    <w:rsid w:val="004D0D6B"/>
    <w:rsid w:val="004D1209"/>
    <w:rsid w:val="004D1E1A"/>
    <w:rsid w:val="004D1EFF"/>
    <w:rsid w:val="004D23A9"/>
    <w:rsid w:val="004D2683"/>
    <w:rsid w:val="004D2800"/>
    <w:rsid w:val="004D29F5"/>
    <w:rsid w:val="004D2E20"/>
    <w:rsid w:val="004D2F90"/>
    <w:rsid w:val="004D45C7"/>
    <w:rsid w:val="004D4895"/>
    <w:rsid w:val="004D4AD3"/>
    <w:rsid w:val="004D538B"/>
    <w:rsid w:val="004D5640"/>
    <w:rsid w:val="004D660D"/>
    <w:rsid w:val="004D7804"/>
    <w:rsid w:val="004D79BC"/>
    <w:rsid w:val="004D7E41"/>
    <w:rsid w:val="004E0308"/>
    <w:rsid w:val="004E07D6"/>
    <w:rsid w:val="004E1342"/>
    <w:rsid w:val="004E2825"/>
    <w:rsid w:val="004E3079"/>
    <w:rsid w:val="004E3276"/>
    <w:rsid w:val="004E3417"/>
    <w:rsid w:val="004E3836"/>
    <w:rsid w:val="004E3B3F"/>
    <w:rsid w:val="004E43C4"/>
    <w:rsid w:val="004E4E39"/>
    <w:rsid w:val="004E60D3"/>
    <w:rsid w:val="004E62E4"/>
    <w:rsid w:val="004E67B6"/>
    <w:rsid w:val="004E710D"/>
    <w:rsid w:val="004E7C41"/>
    <w:rsid w:val="004F0E90"/>
    <w:rsid w:val="004F0F5B"/>
    <w:rsid w:val="004F1212"/>
    <w:rsid w:val="004F12CE"/>
    <w:rsid w:val="004F1A73"/>
    <w:rsid w:val="004F22B8"/>
    <w:rsid w:val="004F2437"/>
    <w:rsid w:val="004F3617"/>
    <w:rsid w:val="004F38E1"/>
    <w:rsid w:val="004F3DBC"/>
    <w:rsid w:val="004F4624"/>
    <w:rsid w:val="004F5573"/>
    <w:rsid w:val="004F5D8B"/>
    <w:rsid w:val="004F634F"/>
    <w:rsid w:val="004F6D72"/>
    <w:rsid w:val="004F6DD8"/>
    <w:rsid w:val="004F7556"/>
    <w:rsid w:val="004F78BF"/>
    <w:rsid w:val="00500571"/>
    <w:rsid w:val="00500700"/>
    <w:rsid w:val="00500D56"/>
    <w:rsid w:val="0050141B"/>
    <w:rsid w:val="005025A3"/>
    <w:rsid w:val="00502638"/>
    <w:rsid w:val="005029BC"/>
    <w:rsid w:val="00502B87"/>
    <w:rsid w:val="00502CBC"/>
    <w:rsid w:val="00502CD6"/>
    <w:rsid w:val="0050346A"/>
    <w:rsid w:val="00503FD8"/>
    <w:rsid w:val="00504472"/>
    <w:rsid w:val="005046B4"/>
    <w:rsid w:val="005048E3"/>
    <w:rsid w:val="00504B6B"/>
    <w:rsid w:val="00505A77"/>
    <w:rsid w:val="00505CB3"/>
    <w:rsid w:val="00505E16"/>
    <w:rsid w:val="005060B3"/>
    <w:rsid w:val="005067C7"/>
    <w:rsid w:val="00506B01"/>
    <w:rsid w:val="00506EB0"/>
    <w:rsid w:val="005074B6"/>
    <w:rsid w:val="0050798C"/>
    <w:rsid w:val="00507F4F"/>
    <w:rsid w:val="0051112F"/>
    <w:rsid w:val="00511C95"/>
    <w:rsid w:val="0051207B"/>
    <w:rsid w:val="005120B3"/>
    <w:rsid w:val="005136CD"/>
    <w:rsid w:val="0051469A"/>
    <w:rsid w:val="00514B1A"/>
    <w:rsid w:val="00514E2B"/>
    <w:rsid w:val="005150C5"/>
    <w:rsid w:val="00516415"/>
    <w:rsid w:val="00516811"/>
    <w:rsid w:val="00516BE4"/>
    <w:rsid w:val="00517351"/>
    <w:rsid w:val="005201FC"/>
    <w:rsid w:val="005208E2"/>
    <w:rsid w:val="00521469"/>
    <w:rsid w:val="00521860"/>
    <w:rsid w:val="00521D74"/>
    <w:rsid w:val="005222CC"/>
    <w:rsid w:val="00522622"/>
    <w:rsid w:val="00523B5E"/>
    <w:rsid w:val="005247C0"/>
    <w:rsid w:val="00524C33"/>
    <w:rsid w:val="005250EE"/>
    <w:rsid w:val="00525AB1"/>
    <w:rsid w:val="005268F0"/>
    <w:rsid w:val="00526B01"/>
    <w:rsid w:val="00526C61"/>
    <w:rsid w:val="00527492"/>
    <w:rsid w:val="005277F5"/>
    <w:rsid w:val="005307C5"/>
    <w:rsid w:val="00530ED0"/>
    <w:rsid w:val="005310C1"/>
    <w:rsid w:val="00531934"/>
    <w:rsid w:val="005328A9"/>
    <w:rsid w:val="00532994"/>
    <w:rsid w:val="005329BE"/>
    <w:rsid w:val="00533515"/>
    <w:rsid w:val="005342DE"/>
    <w:rsid w:val="00534AC0"/>
    <w:rsid w:val="00535557"/>
    <w:rsid w:val="0053606A"/>
    <w:rsid w:val="005369C0"/>
    <w:rsid w:val="00536B92"/>
    <w:rsid w:val="00537CD7"/>
    <w:rsid w:val="00540811"/>
    <w:rsid w:val="00540B25"/>
    <w:rsid w:val="00540D82"/>
    <w:rsid w:val="00541254"/>
    <w:rsid w:val="005421CC"/>
    <w:rsid w:val="00542BA5"/>
    <w:rsid w:val="00544841"/>
    <w:rsid w:val="00544869"/>
    <w:rsid w:val="005469F9"/>
    <w:rsid w:val="00547058"/>
    <w:rsid w:val="0054784E"/>
    <w:rsid w:val="00547CD4"/>
    <w:rsid w:val="00547E34"/>
    <w:rsid w:val="00547EB8"/>
    <w:rsid w:val="00550083"/>
    <w:rsid w:val="005501AA"/>
    <w:rsid w:val="005509C0"/>
    <w:rsid w:val="00551476"/>
    <w:rsid w:val="00551D20"/>
    <w:rsid w:val="00552633"/>
    <w:rsid w:val="00552AA6"/>
    <w:rsid w:val="00552FC2"/>
    <w:rsid w:val="005533FF"/>
    <w:rsid w:val="005534A8"/>
    <w:rsid w:val="00553DA2"/>
    <w:rsid w:val="005543FB"/>
    <w:rsid w:val="005551D9"/>
    <w:rsid w:val="00555623"/>
    <w:rsid w:val="005562B0"/>
    <w:rsid w:val="005562DC"/>
    <w:rsid w:val="00556725"/>
    <w:rsid w:val="005575BB"/>
    <w:rsid w:val="00557A85"/>
    <w:rsid w:val="00557D3F"/>
    <w:rsid w:val="005606B5"/>
    <w:rsid w:val="00560E2D"/>
    <w:rsid w:val="00561498"/>
    <w:rsid w:val="005618E1"/>
    <w:rsid w:val="00562932"/>
    <w:rsid w:val="00562BAD"/>
    <w:rsid w:val="0056302D"/>
    <w:rsid w:val="0056360C"/>
    <w:rsid w:val="0056365E"/>
    <w:rsid w:val="00563791"/>
    <w:rsid w:val="00565945"/>
    <w:rsid w:val="00565A95"/>
    <w:rsid w:val="00565C77"/>
    <w:rsid w:val="00566181"/>
    <w:rsid w:val="005673A3"/>
    <w:rsid w:val="005708BD"/>
    <w:rsid w:val="005729E4"/>
    <w:rsid w:val="00572AF0"/>
    <w:rsid w:val="0057317E"/>
    <w:rsid w:val="005731D3"/>
    <w:rsid w:val="00573C7D"/>
    <w:rsid w:val="005741C1"/>
    <w:rsid w:val="00574728"/>
    <w:rsid w:val="00574906"/>
    <w:rsid w:val="00574E91"/>
    <w:rsid w:val="00574E9E"/>
    <w:rsid w:val="005752BC"/>
    <w:rsid w:val="0057622F"/>
    <w:rsid w:val="00577265"/>
    <w:rsid w:val="005775B2"/>
    <w:rsid w:val="00577772"/>
    <w:rsid w:val="00577977"/>
    <w:rsid w:val="00577DFB"/>
    <w:rsid w:val="00577EDA"/>
    <w:rsid w:val="00577F66"/>
    <w:rsid w:val="00581597"/>
    <w:rsid w:val="00581719"/>
    <w:rsid w:val="00581D30"/>
    <w:rsid w:val="0058259C"/>
    <w:rsid w:val="00583362"/>
    <w:rsid w:val="00584245"/>
    <w:rsid w:val="005842EF"/>
    <w:rsid w:val="00584C2D"/>
    <w:rsid w:val="00584D80"/>
    <w:rsid w:val="00584FAE"/>
    <w:rsid w:val="00585BCF"/>
    <w:rsid w:val="00586535"/>
    <w:rsid w:val="00586BB5"/>
    <w:rsid w:val="00586DFB"/>
    <w:rsid w:val="005871D5"/>
    <w:rsid w:val="0058771D"/>
    <w:rsid w:val="00587C83"/>
    <w:rsid w:val="005905BC"/>
    <w:rsid w:val="005909CB"/>
    <w:rsid w:val="00590B75"/>
    <w:rsid w:val="00590DAA"/>
    <w:rsid w:val="0059205C"/>
    <w:rsid w:val="005921ED"/>
    <w:rsid w:val="00592349"/>
    <w:rsid w:val="005928F0"/>
    <w:rsid w:val="00592D49"/>
    <w:rsid w:val="00592D67"/>
    <w:rsid w:val="00592F09"/>
    <w:rsid w:val="00593E5C"/>
    <w:rsid w:val="005955BA"/>
    <w:rsid w:val="00596F3F"/>
    <w:rsid w:val="00596F9B"/>
    <w:rsid w:val="0059703C"/>
    <w:rsid w:val="00597EEF"/>
    <w:rsid w:val="005A02CB"/>
    <w:rsid w:val="005A1C4E"/>
    <w:rsid w:val="005A20AA"/>
    <w:rsid w:val="005A2E0C"/>
    <w:rsid w:val="005A3678"/>
    <w:rsid w:val="005A3DAF"/>
    <w:rsid w:val="005A4251"/>
    <w:rsid w:val="005A4A1A"/>
    <w:rsid w:val="005A5C0F"/>
    <w:rsid w:val="005A61D3"/>
    <w:rsid w:val="005A6D11"/>
    <w:rsid w:val="005A6D23"/>
    <w:rsid w:val="005A6DD9"/>
    <w:rsid w:val="005A7C0B"/>
    <w:rsid w:val="005A7E70"/>
    <w:rsid w:val="005B00A8"/>
    <w:rsid w:val="005B09A3"/>
    <w:rsid w:val="005B1262"/>
    <w:rsid w:val="005B153E"/>
    <w:rsid w:val="005B1A53"/>
    <w:rsid w:val="005B284D"/>
    <w:rsid w:val="005B2983"/>
    <w:rsid w:val="005B2AF7"/>
    <w:rsid w:val="005B320C"/>
    <w:rsid w:val="005B3D71"/>
    <w:rsid w:val="005B3FDA"/>
    <w:rsid w:val="005B40E8"/>
    <w:rsid w:val="005B484E"/>
    <w:rsid w:val="005B54A4"/>
    <w:rsid w:val="005B589D"/>
    <w:rsid w:val="005B5DDD"/>
    <w:rsid w:val="005B6A94"/>
    <w:rsid w:val="005B6CB6"/>
    <w:rsid w:val="005B6DAA"/>
    <w:rsid w:val="005B7314"/>
    <w:rsid w:val="005B7C27"/>
    <w:rsid w:val="005B7D8B"/>
    <w:rsid w:val="005C03F6"/>
    <w:rsid w:val="005C0475"/>
    <w:rsid w:val="005C0A49"/>
    <w:rsid w:val="005C0AD6"/>
    <w:rsid w:val="005C1569"/>
    <w:rsid w:val="005C2101"/>
    <w:rsid w:val="005C224F"/>
    <w:rsid w:val="005C2705"/>
    <w:rsid w:val="005C348A"/>
    <w:rsid w:val="005C36FA"/>
    <w:rsid w:val="005C3C1A"/>
    <w:rsid w:val="005C4604"/>
    <w:rsid w:val="005C460E"/>
    <w:rsid w:val="005C46BD"/>
    <w:rsid w:val="005C46D8"/>
    <w:rsid w:val="005C4B64"/>
    <w:rsid w:val="005C4BEE"/>
    <w:rsid w:val="005C6E74"/>
    <w:rsid w:val="005C732E"/>
    <w:rsid w:val="005C7693"/>
    <w:rsid w:val="005C781C"/>
    <w:rsid w:val="005D12E3"/>
    <w:rsid w:val="005D13E2"/>
    <w:rsid w:val="005D13ED"/>
    <w:rsid w:val="005D152D"/>
    <w:rsid w:val="005D181E"/>
    <w:rsid w:val="005D1E16"/>
    <w:rsid w:val="005D2AE3"/>
    <w:rsid w:val="005D330E"/>
    <w:rsid w:val="005D4170"/>
    <w:rsid w:val="005D431D"/>
    <w:rsid w:val="005D520F"/>
    <w:rsid w:val="005D56A7"/>
    <w:rsid w:val="005D5B82"/>
    <w:rsid w:val="005D645A"/>
    <w:rsid w:val="005D67DD"/>
    <w:rsid w:val="005D6E05"/>
    <w:rsid w:val="005D6E07"/>
    <w:rsid w:val="005D73D4"/>
    <w:rsid w:val="005D76F7"/>
    <w:rsid w:val="005D778B"/>
    <w:rsid w:val="005D7A35"/>
    <w:rsid w:val="005D7F9C"/>
    <w:rsid w:val="005D7FC6"/>
    <w:rsid w:val="005E034F"/>
    <w:rsid w:val="005E0980"/>
    <w:rsid w:val="005E09A7"/>
    <w:rsid w:val="005E198B"/>
    <w:rsid w:val="005E19D9"/>
    <w:rsid w:val="005E1D35"/>
    <w:rsid w:val="005E2426"/>
    <w:rsid w:val="005E2A31"/>
    <w:rsid w:val="005E2A99"/>
    <w:rsid w:val="005E2F5C"/>
    <w:rsid w:val="005E3358"/>
    <w:rsid w:val="005E3A6F"/>
    <w:rsid w:val="005E3D2F"/>
    <w:rsid w:val="005E442F"/>
    <w:rsid w:val="005E4FC0"/>
    <w:rsid w:val="005E54A3"/>
    <w:rsid w:val="005E5625"/>
    <w:rsid w:val="005E61D8"/>
    <w:rsid w:val="005E685E"/>
    <w:rsid w:val="005E69E4"/>
    <w:rsid w:val="005E6BB5"/>
    <w:rsid w:val="005E6F2B"/>
    <w:rsid w:val="005E7080"/>
    <w:rsid w:val="005E7E2C"/>
    <w:rsid w:val="005F0699"/>
    <w:rsid w:val="005F1ADE"/>
    <w:rsid w:val="005F1DF1"/>
    <w:rsid w:val="005F2770"/>
    <w:rsid w:val="005F29CD"/>
    <w:rsid w:val="005F2F71"/>
    <w:rsid w:val="005F3175"/>
    <w:rsid w:val="005F3436"/>
    <w:rsid w:val="005F3506"/>
    <w:rsid w:val="005F40CE"/>
    <w:rsid w:val="005F41D1"/>
    <w:rsid w:val="005F41D8"/>
    <w:rsid w:val="005F4739"/>
    <w:rsid w:val="005F5910"/>
    <w:rsid w:val="005F5983"/>
    <w:rsid w:val="005F6228"/>
    <w:rsid w:val="005F642B"/>
    <w:rsid w:val="005F672C"/>
    <w:rsid w:val="005F67FC"/>
    <w:rsid w:val="005F6E70"/>
    <w:rsid w:val="00600A2E"/>
    <w:rsid w:val="00601630"/>
    <w:rsid w:val="0060169F"/>
    <w:rsid w:val="00601A28"/>
    <w:rsid w:val="00602381"/>
    <w:rsid w:val="006026E1"/>
    <w:rsid w:val="00602CB9"/>
    <w:rsid w:val="0060375C"/>
    <w:rsid w:val="00603A90"/>
    <w:rsid w:val="0060451E"/>
    <w:rsid w:val="00605163"/>
    <w:rsid w:val="00605F61"/>
    <w:rsid w:val="0060628B"/>
    <w:rsid w:val="006065BF"/>
    <w:rsid w:val="00606F5E"/>
    <w:rsid w:val="006070EA"/>
    <w:rsid w:val="00607ABE"/>
    <w:rsid w:val="00607F53"/>
    <w:rsid w:val="006103D0"/>
    <w:rsid w:val="006104F7"/>
    <w:rsid w:val="0061103A"/>
    <w:rsid w:val="0061171B"/>
    <w:rsid w:val="00611EAE"/>
    <w:rsid w:val="00613567"/>
    <w:rsid w:val="0061364A"/>
    <w:rsid w:val="006137C2"/>
    <w:rsid w:val="00613BEA"/>
    <w:rsid w:val="00613D3A"/>
    <w:rsid w:val="00613EE9"/>
    <w:rsid w:val="0061402C"/>
    <w:rsid w:val="00614554"/>
    <w:rsid w:val="00614983"/>
    <w:rsid w:val="00615674"/>
    <w:rsid w:val="0061595F"/>
    <w:rsid w:val="00615994"/>
    <w:rsid w:val="00615A79"/>
    <w:rsid w:val="00615CAD"/>
    <w:rsid w:val="00616179"/>
    <w:rsid w:val="0061675B"/>
    <w:rsid w:val="00616B5E"/>
    <w:rsid w:val="006174E6"/>
    <w:rsid w:val="0062052B"/>
    <w:rsid w:val="0062073F"/>
    <w:rsid w:val="00620797"/>
    <w:rsid w:val="00620F8F"/>
    <w:rsid w:val="0062146B"/>
    <w:rsid w:val="00621A86"/>
    <w:rsid w:val="00622B70"/>
    <w:rsid w:val="00622EB0"/>
    <w:rsid w:val="00623401"/>
    <w:rsid w:val="0062520A"/>
    <w:rsid w:val="006258B8"/>
    <w:rsid w:val="00625C40"/>
    <w:rsid w:val="0062706E"/>
    <w:rsid w:val="00627E7C"/>
    <w:rsid w:val="00630CFF"/>
    <w:rsid w:val="00631369"/>
    <w:rsid w:val="00631D35"/>
    <w:rsid w:val="00632481"/>
    <w:rsid w:val="0063262D"/>
    <w:rsid w:val="0063268B"/>
    <w:rsid w:val="00633272"/>
    <w:rsid w:val="0063390E"/>
    <w:rsid w:val="00634673"/>
    <w:rsid w:val="00636E1E"/>
    <w:rsid w:val="006371FC"/>
    <w:rsid w:val="00637BBD"/>
    <w:rsid w:val="0064059C"/>
    <w:rsid w:val="00640708"/>
    <w:rsid w:val="00640D17"/>
    <w:rsid w:val="00641750"/>
    <w:rsid w:val="00641A99"/>
    <w:rsid w:val="00641CCA"/>
    <w:rsid w:val="00642768"/>
    <w:rsid w:val="006427E9"/>
    <w:rsid w:val="00642A84"/>
    <w:rsid w:val="00642B2C"/>
    <w:rsid w:val="00643C22"/>
    <w:rsid w:val="0064411F"/>
    <w:rsid w:val="00645AA1"/>
    <w:rsid w:val="00645E69"/>
    <w:rsid w:val="00646130"/>
    <w:rsid w:val="00646ACE"/>
    <w:rsid w:val="006474C0"/>
    <w:rsid w:val="00647921"/>
    <w:rsid w:val="00647927"/>
    <w:rsid w:val="006508BA"/>
    <w:rsid w:val="00650B2D"/>
    <w:rsid w:val="0065217A"/>
    <w:rsid w:val="00652577"/>
    <w:rsid w:val="00652B9B"/>
    <w:rsid w:val="00652F78"/>
    <w:rsid w:val="00653743"/>
    <w:rsid w:val="006538D8"/>
    <w:rsid w:val="00653DD9"/>
    <w:rsid w:val="00654119"/>
    <w:rsid w:val="00654943"/>
    <w:rsid w:val="00654E6A"/>
    <w:rsid w:val="00654EC2"/>
    <w:rsid w:val="006551FC"/>
    <w:rsid w:val="006557B9"/>
    <w:rsid w:val="006558AA"/>
    <w:rsid w:val="0065629F"/>
    <w:rsid w:val="00656BA7"/>
    <w:rsid w:val="006575F3"/>
    <w:rsid w:val="00657C7B"/>
    <w:rsid w:val="00660871"/>
    <w:rsid w:val="00660BDD"/>
    <w:rsid w:val="0066176D"/>
    <w:rsid w:val="006623FC"/>
    <w:rsid w:val="00662809"/>
    <w:rsid w:val="00663148"/>
    <w:rsid w:val="00663823"/>
    <w:rsid w:val="00664DEE"/>
    <w:rsid w:val="00664E08"/>
    <w:rsid w:val="006650D0"/>
    <w:rsid w:val="006659C3"/>
    <w:rsid w:val="006666E0"/>
    <w:rsid w:val="006670D9"/>
    <w:rsid w:val="006676F5"/>
    <w:rsid w:val="0066774D"/>
    <w:rsid w:val="00667D90"/>
    <w:rsid w:val="00667F42"/>
    <w:rsid w:val="00671284"/>
    <w:rsid w:val="006727FC"/>
    <w:rsid w:val="00673906"/>
    <w:rsid w:val="006756CD"/>
    <w:rsid w:val="00675C3A"/>
    <w:rsid w:val="00675F49"/>
    <w:rsid w:val="00676579"/>
    <w:rsid w:val="006765B1"/>
    <w:rsid w:val="00676B04"/>
    <w:rsid w:val="00676E5B"/>
    <w:rsid w:val="00677D6B"/>
    <w:rsid w:val="00680795"/>
    <w:rsid w:val="00680E43"/>
    <w:rsid w:val="00681523"/>
    <w:rsid w:val="00681A07"/>
    <w:rsid w:val="00682713"/>
    <w:rsid w:val="00683451"/>
    <w:rsid w:val="00683579"/>
    <w:rsid w:val="00683CF2"/>
    <w:rsid w:val="00683CF3"/>
    <w:rsid w:val="006843F4"/>
    <w:rsid w:val="00684598"/>
    <w:rsid w:val="006854CE"/>
    <w:rsid w:val="00686147"/>
    <w:rsid w:val="00686B47"/>
    <w:rsid w:val="00687053"/>
    <w:rsid w:val="0068708E"/>
    <w:rsid w:val="006877EA"/>
    <w:rsid w:val="0068790B"/>
    <w:rsid w:val="00687B21"/>
    <w:rsid w:val="00687F2A"/>
    <w:rsid w:val="0069033E"/>
    <w:rsid w:val="006906E4"/>
    <w:rsid w:val="006907C2"/>
    <w:rsid w:val="006909EE"/>
    <w:rsid w:val="006913EB"/>
    <w:rsid w:val="00691C54"/>
    <w:rsid w:val="00691E49"/>
    <w:rsid w:val="006922DC"/>
    <w:rsid w:val="006928E4"/>
    <w:rsid w:val="006941DD"/>
    <w:rsid w:val="006943D1"/>
    <w:rsid w:val="0069466B"/>
    <w:rsid w:val="00694795"/>
    <w:rsid w:val="00695014"/>
    <w:rsid w:val="00695441"/>
    <w:rsid w:val="006954FE"/>
    <w:rsid w:val="00695E27"/>
    <w:rsid w:val="00696204"/>
    <w:rsid w:val="00696AA8"/>
    <w:rsid w:val="006A257C"/>
    <w:rsid w:val="006A2615"/>
    <w:rsid w:val="006A2D53"/>
    <w:rsid w:val="006A332B"/>
    <w:rsid w:val="006A33B2"/>
    <w:rsid w:val="006A3CC7"/>
    <w:rsid w:val="006A3E92"/>
    <w:rsid w:val="006A405F"/>
    <w:rsid w:val="006A4158"/>
    <w:rsid w:val="006A447C"/>
    <w:rsid w:val="006A4AA7"/>
    <w:rsid w:val="006A4E15"/>
    <w:rsid w:val="006A5866"/>
    <w:rsid w:val="006A5E4F"/>
    <w:rsid w:val="006A643C"/>
    <w:rsid w:val="006A6491"/>
    <w:rsid w:val="006A76A9"/>
    <w:rsid w:val="006B0F54"/>
    <w:rsid w:val="006B12C6"/>
    <w:rsid w:val="006B2D03"/>
    <w:rsid w:val="006B35A6"/>
    <w:rsid w:val="006B415B"/>
    <w:rsid w:val="006B4362"/>
    <w:rsid w:val="006B44CC"/>
    <w:rsid w:val="006B4C95"/>
    <w:rsid w:val="006B4CBA"/>
    <w:rsid w:val="006B4E18"/>
    <w:rsid w:val="006B545F"/>
    <w:rsid w:val="006B54A3"/>
    <w:rsid w:val="006B5680"/>
    <w:rsid w:val="006B5994"/>
    <w:rsid w:val="006B59AD"/>
    <w:rsid w:val="006B6305"/>
    <w:rsid w:val="006B6FEB"/>
    <w:rsid w:val="006B715A"/>
    <w:rsid w:val="006B7542"/>
    <w:rsid w:val="006C0A59"/>
    <w:rsid w:val="006C19EE"/>
    <w:rsid w:val="006C2E46"/>
    <w:rsid w:val="006C3970"/>
    <w:rsid w:val="006C3B05"/>
    <w:rsid w:val="006C40C0"/>
    <w:rsid w:val="006C4E45"/>
    <w:rsid w:val="006C50FA"/>
    <w:rsid w:val="006C5532"/>
    <w:rsid w:val="006C5EE1"/>
    <w:rsid w:val="006C61B1"/>
    <w:rsid w:val="006C6DB8"/>
    <w:rsid w:val="006C748E"/>
    <w:rsid w:val="006C759D"/>
    <w:rsid w:val="006C7B82"/>
    <w:rsid w:val="006D0669"/>
    <w:rsid w:val="006D15BB"/>
    <w:rsid w:val="006D19BF"/>
    <w:rsid w:val="006D1D4E"/>
    <w:rsid w:val="006D23E3"/>
    <w:rsid w:val="006D33F1"/>
    <w:rsid w:val="006D3771"/>
    <w:rsid w:val="006D440A"/>
    <w:rsid w:val="006D5555"/>
    <w:rsid w:val="006D5599"/>
    <w:rsid w:val="006D592F"/>
    <w:rsid w:val="006D5CD0"/>
    <w:rsid w:val="006D62BE"/>
    <w:rsid w:val="006D7B71"/>
    <w:rsid w:val="006E0006"/>
    <w:rsid w:val="006E01BB"/>
    <w:rsid w:val="006E02C1"/>
    <w:rsid w:val="006E07C5"/>
    <w:rsid w:val="006E0DF6"/>
    <w:rsid w:val="006E191A"/>
    <w:rsid w:val="006E1BDE"/>
    <w:rsid w:val="006E336C"/>
    <w:rsid w:val="006E35A9"/>
    <w:rsid w:val="006E3755"/>
    <w:rsid w:val="006E3B9E"/>
    <w:rsid w:val="006E4A27"/>
    <w:rsid w:val="006E4B20"/>
    <w:rsid w:val="006E4DF1"/>
    <w:rsid w:val="006E5828"/>
    <w:rsid w:val="006E65BC"/>
    <w:rsid w:val="006E6BB9"/>
    <w:rsid w:val="006E784F"/>
    <w:rsid w:val="006E7D1C"/>
    <w:rsid w:val="006F0B4F"/>
    <w:rsid w:val="006F0E97"/>
    <w:rsid w:val="006F1592"/>
    <w:rsid w:val="006F1623"/>
    <w:rsid w:val="006F1A02"/>
    <w:rsid w:val="006F1AC0"/>
    <w:rsid w:val="006F1E5A"/>
    <w:rsid w:val="006F1F3D"/>
    <w:rsid w:val="006F2DF3"/>
    <w:rsid w:val="006F2DF9"/>
    <w:rsid w:val="006F31AD"/>
    <w:rsid w:val="006F3B90"/>
    <w:rsid w:val="006F3C6F"/>
    <w:rsid w:val="006F4186"/>
    <w:rsid w:val="006F41C6"/>
    <w:rsid w:val="006F4858"/>
    <w:rsid w:val="006F4B72"/>
    <w:rsid w:val="006F4D4C"/>
    <w:rsid w:val="006F5022"/>
    <w:rsid w:val="006F54E4"/>
    <w:rsid w:val="006F5DD9"/>
    <w:rsid w:val="006F6FA2"/>
    <w:rsid w:val="006F7D90"/>
    <w:rsid w:val="007001D0"/>
    <w:rsid w:val="00700CE3"/>
    <w:rsid w:val="00701498"/>
    <w:rsid w:val="00701E70"/>
    <w:rsid w:val="007021A9"/>
    <w:rsid w:val="00703729"/>
    <w:rsid w:val="00703952"/>
    <w:rsid w:val="00703DED"/>
    <w:rsid w:val="00704BB6"/>
    <w:rsid w:val="00704F47"/>
    <w:rsid w:val="00705001"/>
    <w:rsid w:val="00705BC0"/>
    <w:rsid w:val="007065A5"/>
    <w:rsid w:val="007072C2"/>
    <w:rsid w:val="0070746B"/>
    <w:rsid w:val="007075CA"/>
    <w:rsid w:val="00710C02"/>
    <w:rsid w:val="00710F35"/>
    <w:rsid w:val="00710F7A"/>
    <w:rsid w:val="0071151E"/>
    <w:rsid w:val="007117F8"/>
    <w:rsid w:val="007118AC"/>
    <w:rsid w:val="00711FC7"/>
    <w:rsid w:val="00714356"/>
    <w:rsid w:val="00714444"/>
    <w:rsid w:val="0071482B"/>
    <w:rsid w:val="00714C8F"/>
    <w:rsid w:val="00715A32"/>
    <w:rsid w:val="00716CCB"/>
    <w:rsid w:val="00716F57"/>
    <w:rsid w:val="00717A74"/>
    <w:rsid w:val="00720493"/>
    <w:rsid w:val="00720B02"/>
    <w:rsid w:val="00720EA2"/>
    <w:rsid w:val="00721409"/>
    <w:rsid w:val="00721CE0"/>
    <w:rsid w:val="007221A2"/>
    <w:rsid w:val="00722935"/>
    <w:rsid w:val="00722BB2"/>
    <w:rsid w:val="00723AD3"/>
    <w:rsid w:val="00723BA8"/>
    <w:rsid w:val="007240F5"/>
    <w:rsid w:val="00724257"/>
    <w:rsid w:val="0072568C"/>
    <w:rsid w:val="0072568F"/>
    <w:rsid w:val="00726FDE"/>
    <w:rsid w:val="00727815"/>
    <w:rsid w:val="007301A7"/>
    <w:rsid w:val="00730E31"/>
    <w:rsid w:val="007313A4"/>
    <w:rsid w:val="00733146"/>
    <w:rsid w:val="007346F8"/>
    <w:rsid w:val="00734D66"/>
    <w:rsid w:val="00734E06"/>
    <w:rsid w:val="00736C66"/>
    <w:rsid w:val="00736E9D"/>
    <w:rsid w:val="007373FA"/>
    <w:rsid w:val="00737E7D"/>
    <w:rsid w:val="0074063F"/>
    <w:rsid w:val="00740EF1"/>
    <w:rsid w:val="00740F72"/>
    <w:rsid w:val="00741BF8"/>
    <w:rsid w:val="0074250E"/>
    <w:rsid w:val="007437BA"/>
    <w:rsid w:val="007444E7"/>
    <w:rsid w:val="0074484C"/>
    <w:rsid w:val="00744DBD"/>
    <w:rsid w:val="00745398"/>
    <w:rsid w:val="00745EC1"/>
    <w:rsid w:val="00746FC3"/>
    <w:rsid w:val="00747083"/>
    <w:rsid w:val="007470DF"/>
    <w:rsid w:val="00747B90"/>
    <w:rsid w:val="007502A6"/>
    <w:rsid w:val="007525F7"/>
    <w:rsid w:val="007527C7"/>
    <w:rsid w:val="00752D2D"/>
    <w:rsid w:val="007532F8"/>
    <w:rsid w:val="00753A62"/>
    <w:rsid w:val="00754870"/>
    <w:rsid w:val="00755062"/>
    <w:rsid w:val="0075523B"/>
    <w:rsid w:val="00755DB9"/>
    <w:rsid w:val="007561F0"/>
    <w:rsid w:val="00756632"/>
    <w:rsid w:val="0075725B"/>
    <w:rsid w:val="0075754A"/>
    <w:rsid w:val="00757A90"/>
    <w:rsid w:val="00757BA2"/>
    <w:rsid w:val="00760554"/>
    <w:rsid w:val="0076083D"/>
    <w:rsid w:val="00760857"/>
    <w:rsid w:val="00760B4D"/>
    <w:rsid w:val="00761316"/>
    <w:rsid w:val="007613AF"/>
    <w:rsid w:val="007616AC"/>
    <w:rsid w:val="00761DC2"/>
    <w:rsid w:val="007628DA"/>
    <w:rsid w:val="00762B1E"/>
    <w:rsid w:val="00764183"/>
    <w:rsid w:val="00764368"/>
    <w:rsid w:val="0076498A"/>
    <w:rsid w:val="00764B94"/>
    <w:rsid w:val="007652E2"/>
    <w:rsid w:val="00765A82"/>
    <w:rsid w:val="00766434"/>
    <w:rsid w:val="00766643"/>
    <w:rsid w:val="00766B95"/>
    <w:rsid w:val="007673DD"/>
    <w:rsid w:val="007674A6"/>
    <w:rsid w:val="00767C05"/>
    <w:rsid w:val="00770E10"/>
    <w:rsid w:val="0077118B"/>
    <w:rsid w:val="00771476"/>
    <w:rsid w:val="007717DC"/>
    <w:rsid w:val="00771A85"/>
    <w:rsid w:val="00771E5C"/>
    <w:rsid w:val="00772107"/>
    <w:rsid w:val="00772A9B"/>
    <w:rsid w:val="00772BA7"/>
    <w:rsid w:val="00772BCA"/>
    <w:rsid w:val="00773E30"/>
    <w:rsid w:val="007742FF"/>
    <w:rsid w:val="00774A83"/>
    <w:rsid w:val="00774CB8"/>
    <w:rsid w:val="00774E7B"/>
    <w:rsid w:val="00775146"/>
    <w:rsid w:val="00775178"/>
    <w:rsid w:val="00775397"/>
    <w:rsid w:val="007754D7"/>
    <w:rsid w:val="0077566D"/>
    <w:rsid w:val="007756DE"/>
    <w:rsid w:val="00775C79"/>
    <w:rsid w:val="00776097"/>
    <w:rsid w:val="00776363"/>
    <w:rsid w:val="007765E7"/>
    <w:rsid w:val="007766A5"/>
    <w:rsid w:val="00776E39"/>
    <w:rsid w:val="007770CA"/>
    <w:rsid w:val="00777907"/>
    <w:rsid w:val="0078016D"/>
    <w:rsid w:val="00780618"/>
    <w:rsid w:val="007813E2"/>
    <w:rsid w:val="00781778"/>
    <w:rsid w:val="00782098"/>
    <w:rsid w:val="00782467"/>
    <w:rsid w:val="007829F6"/>
    <w:rsid w:val="00783D75"/>
    <w:rsid w:val="00784290"/>
    <w:rsid w:val="007853BD"/>
    <w:rsid w:val="007857E3"/>
    <w:rsid w:val="00785B07"/>
    <w:rsid w:val="00786231"/>
    <w:rsid w:val="00786AA4"/>
    <w:rsid w:val="00787413"/>
    <w:rsid w:val="007877A1"/>
    <w:rsid w:val="0079000B"/>
    <w:rsid w:val="007900CB"/>
    <w:rsid w:val="007905B2"/>
    <w:rsid w:val="007908BD"/>
    <w:rsid w:val="00790CB6"/>
    <w:rsid w:val="00790E9B"/>
    <w:rsid w:val="007917E7"/>
    <w:rsid w:val="00791E1E"/>
    <w:rsid w:val="00792459"/>
    <w:rsid w:val="007927C6"/>
    <w:rsid w:val="00792EA9"/>
    <w:rsid w:val="0079348E"/>
    <w:rsid w:val="00793D65"/>
    <w:rsid w:val="00793EEB"/>
    <w:rsid w:val="0079405B"/>
    <w:rsid w:val="007941B3"/>
    <w:rsid w:val="0079499F"/>
    <w:rsid w:val="00795679"/>
    <w:rsid w:val="00796261"/>
    <w:rsid w:val="00797023"/>
    <w:rsid w:val="007973B9"/>
    <w:rsid w:val="0079770B"/>
    <w:rsid w:val="0079797F"/>
    <w:rsid w:val="00797A45"/>
    <w:rsid w:val="007A05F4"/>
    <w:rsid w:val="007A0A8D"/>
    <w:rsid w:val="007A0BB9"/>
    <w:rsid w:val="007A14E8"/>
    <w:rsid w:val="007A1BA4"/>
    <w:rsid w:val="007A1D73"/>
    <w:rsid w:val="007A2B99"/>
    <w:rsid w:val="007A3000"/>
    <w:rsid w:val="007A3232"/>
    <w:rsid w:val="007A3FD7"/>
    <w:rsid w:val="007A4023"/>
    <w:rsid w:val="007A434E"/>
    <w:rsid w:val="007A4410"/>
    <w:rsid w:val="007A5445"/>
    <w:rsid w:val="007A5A26"/>
    <w:rsid w:val="007A5A94"/>
    <w:rsid w:val="007A5E11"/>
    <w:rsid w:val="007A6C47"/>
    <w:rsid w:val="007A74C3"/>
    <w:rsid w:val="007B02BE"/>
    <w:rsid w:val="007B0F3C"/>
    <w:rsid w:val="007B2105"/>
    <w:rsid w:val="007B31F7"/>
    <w:rsid w:val="007B347F"/>
    <w:rsid w:val="007B375A"/>
    <w:rsid w:val="007B39F6"/>
    <w:rsid w:val="007B4481"/>
    <w:rsid w:val="007B58A3"/>
    <w:rsid w:val="007B5A98"/>
    <w:rsid w:val="007B5E30"/>
    <w:rsid w:val="007B5E45"/>
    <w:rsid w:val="007B6075"/>
    <w:rsid w:val="007B6272"/>
    <w:rsid w:val="007C09BB"/>
    <w:rsid w:val="007C19C6"/>
    <w:rsid w:val="007C1DB0"/>
    <w:rsid w:val="007C2166"/>
    <w:rsid w:val="007C2270"/>
    <w:rsid w:val="007C27D4"/>
    <w:rsid w:val="007C3215"/>
    <w:rsid w:val="007C3552"/>
    <w:rsid w:val="007C3BED"/>
    <w:rsid w:val="007C4539"/>
    <w:rsid w:val="007C4720"/>
    <w:rsid w:val="007C4CCE"/>
    <w:rsid w:val="007C4F22"/>
    <w:rsid w:val="007C570A"/>
    <w:rsid w:val="007C70E9"/>
    <w:rsid w:val="007C7D49"/>
    <w:rsid w:val="007C7DE5"/>
    <w:rsid w:val="007D0B46"/>
    <w:rsid w:val="007D0EEB"/>
    <w:rsid w:val="007D1D99"/>
    <w:rsid w:val="007D2B64"/>
    <w:rsid w:val="007D2E89"/>
    <w:rsid w:val="007D4D2A"/>
    <w:rsid w:val="007D5076"/>
    <w:rsid w:val="007D538C"/>
    <w:rsid w:val="007D56FB"/>
    <w:rsid w:val="007D5B26"/>
    <w:rsid w:val="007D5E52"/>
    <w:rsid w:val="007D64DE"/>
    <w:rsid w:val="007D69C8"/>
    <w:rsid w:val="007D763D"/>
    <w:rsid w:val="007D77A3"/>
    <w:rsid w:val="007E00B1"/>
    <w:rsid w:val="007E049D"/>
    <w:rsid w:val="007E0749"/>
    <w:rsid w:val="007E21FF"/>
    <w:rsid w:val="007E2530"/>
    <w:rsid w:val="007E2F87"/>
    <w:rsid w:val="007E334F"/>
    <w:rsid w:val="007E3AC7"/>
    <w:rsid w:val="007E4155"/>
    <w:rsid w:val="007E5545"/>
    <w:rsid w:val="007E57B5"/>
    <w:rsid w:val="007E5D39"/>
    <w:rsid w:val="007E5D98"/>
    <w:rsid w:val="007E66C8"/>
    <w:rsid w:val="007E67BD"/>
    <w:rsid w:val="007E6BBD"/>
    <w:rsid w:val="007E7DA8"/>
    <w:rsid w:val="007F06E1"/>
    <w:rsid w:val="007F0C09"/>
    <w:rsid w:val="007F1825"/>
    <w:rsid w:val="007F210B"/>
    <w:rsid w:val="007F3A57"/>
    <w:rsid w:val="007F3E75"/>
    <w:rsid w:val="007F5179"/>
    <w:rsid w:val="007F517F"/>
    <w:rsid w:val="007F6391"/>
    <w:rsid w:val="007F6976"/>
    <w:rsid w:val="007F6BA5"/>
    <w:rsid w:val="007F6CAD"/>
    <w:rsid w:val="007F6FB8"/>
    <w:rsid w:val="007F7051"/>
    <w:rsid w:val="007F7481"/>
    <w:rsid w:val="007F76FF"/>
    <w:rsid w:val="007F77A5"/>
    <w:rsid w:val="007F7E83"/>
    <w:rsid w:val="00801491"/>
    <w:rsid w:val="008015A7"/>
    <w:rsid w:val="00801B8F"/>
    <w:rsid w:val="00801BEE"/>
    <w:rsid w:val="00801EF6"/>
    <w:rsid w:val="00802AEC"/>
    <w:rsid w:val="00803099"/>
    <w:rsid w:val="00803976"/>
    <w:rsid w:val="0080406C"/>
    <w:rsid w:val="00804D67"/>
    <w:rsid w:val="008054C9"/>
    <w:rsid w:val="0080562C"/>
    <w:rsid w:val="00806171"/>
    <w:rsid w:val="008071D0"/>
    <w:rsid w:val="008077F2"/>
    <w:rsid w:val="0081037F"/>
    <w:rsid w:val="0081066B"/>
    <w:rsid w:val="00810809"/>
    <w:rsid w:val="00810C6A"/>
    <w:rsid w:val="00810C86"/>
    <w:rsid w:val="00810E7C"/>
    <w:rsid w:val="008117BA"/>
    <w:rsid w:val="00812350"/>
    <w:rsid w:val="00812369"/>
    <w:rsid w:val="00812741"/>
    <w:rsid w:val="008128E3"/>
    <w:rsid w:val="00812B12"/>
    <w:rsid w:val="008141CB"/>
    <w:rsid w:val="00815871"/>
    <w:rsid w:val="00815B3E"/>
    <w:rsid w:val="00816742"/>
    <w:rsid w:val="00816BF7"/>
    <w:rsid w:val="0082032C"/>
    <w:rsid w:val="00821319"/>
    <w:rsid w:val="00821789"/>
    <w:rsid w:val="0082180B"/>
    <w:rsid w:val="008219AE"/>
    <w:rsid w:val="00821BC9"/>
    <w:rsid w:val="008226D6"/>
    <w:rsid w:val="00825147"/>
    <w:rsid w:val="00825D4F"/>
    <w:rsid w:val="00825ED3"/>
    <w:rsid w:val="008267E1"/>
    <w:rsid w:val="00827F11"/>
    <w:rsid w:val="00830017"/>
    <w:rsid w:val="00830787"/>
    <w:rsid w:val="00830DC9"/>
    <w:rsid w:val="00831489"/>
    <w:rsid w:val="008317D8"/>
    <w:rsid w:val="00832673"/>
    <w:rsid w:val="00833A6A"/>
    <w:rsid w:val="00833B16"/>
    <w:rsid w:val="00833E2F"/>
    <w:rsid w:val="0083423B"/>
    <w:rsid w:val="00834240"/>
    <w:rsid w:val="00834F9A"/>
    <w:rsid w:val="00835A6C"/>
    <w:rsid w:val="00835C49"/>
    <w:rsid w:val="008368F3"/>
    <w:rsid w:val="008400A8"/>
    <w:rsid w:val="0084156A"/>
    <w:rsid w:val="00842132"/>
    <w:rsid w:val="008425BD"/>
    <w:rsid w:val="008427B1"/>
    <w:rsid w:val="008449FF"/>
    <w:rsid w:val="00844F3D"/>
    <w:rsid w:val="00845E77"/>
    <w:rsid w:val="00845F6E"/>
    <w:rsid w:val="0084601D"/>
    <w:rsid w:val="00846086"/>
    <w:rsid w:val="008462FB"/>
    <w:rsid w:val="00846C73"/>
    <w:rsid w:val="008500CD"/>
    <w:rsid w:val="00850462"/>
    <w:rsid w:val="008506FF"/>
    <w:rsid w:val="00851554"/>
    <w:rsid w:val="0085161D"/>
    <w:rsid w:val="00851E79"/>
    <w:rsid w:val="00852EEF"/>
    <w:rsid w:val="0085321E"/>
    <w:rsid w:val="008546C2"/>
    <w:rsid w:val="00854EE9"/>
    <w:rsid w:val="00855597"/>
    <w:rsid w:val="00855699"/>
    <w:rsid w:val="0085577A"/>
    <w:rsid w:val="00855780"/>
    <w:rsid w:val="008557AA"/>
    <w:rsid w:val="00856178"/>
    <w:rsid w:val="008567C0"/>
    <w:rsid w:val="00856C69"/>
    <w:rsid w:val="00856E3F"/>
    <w:rsid w:val="008570AB"/>
    <w:rsid w:val="008617EA"/>
    <w:rsid w:val="00861CAB"/>
    <w:rsid w:val="00862222"/>
    <w:rsid w:val="00862545"/>
    <w:rsid w:val="00862D62"/>
    <w:rsid w:val="00863018"/>
    <w:rsid w:val="0086301E"/>
    <w:rsid w:val="00863356"/>
    <w:rsid w:val="008636C4"/>
    <w:rsid w:val="00863F2A"/>
    <w:rsid w:val="0086428A"/>
    <w:rsid w:val="00864544"/>
    <w:rsid w:val="00864808"/>
    <w:rsid w:val="008653B5"/>
    <w:rsid w:val="00865A76"/>
    <w:rsid w:val="00866215"/>
    <w:rsid w:val="008663D7"/>
    <w:rsid w:val="00866EF3"/>
    <w:rsid w:val="008670B8"/>
    <w:rsid w:val="0086730B"/>
    <w:rsid w:val="008674DC"/>
    <w:rsid w:val="00867517"/>
    <w:rsid w:val="008679E6"/>
    <w:rsid w:val="00867A0F"/>
    <w:rsid w:val="00870B18"/>
    <w:rsid w:val="00871705"/>
    <w:rsid w:val="00871811"/>
    <w:rsid w:val="0087274A"/>
    <w:rsid w:val="00872E1F"/>
    <w:rsid w:val="008730ED"/>
    <w:rsid w:val="008736CA"/>
    <w:rsid w:val="00873787"/>
    <w:rsid w:val="00873942"/>
    <w:rsid w:val="0087400E"/>
    <w:rsid w:val="0087459B"/>
    <w:rsid w:val="008745A0"/>
    <w:rsid w:val="00874B23"/>
    <w:rsid w:val="00875781"/>
    <w:rsid w:val="00875E56"/>
    <w:rsid w:val="00876076"/>
    <w:rsid w:val="008762C3"/>
    <w:rsid w:val="008770B5"/>
    <w:rsid w:val="00880558"/>
    <w:rsid w:val="00881122"/>
    <w:rsid w:val="00881180"/>
    <w:rsid w:val="008818EF"/>
    <w:rsid w:val="00881DD6"/>
    <w:rsid w:val="0088255B"/>
    <w:rsid w:val="00882ED0"/>
    <w:rsid w:val="00883894"/>
    <w:rsid w:val="008838B7"/>
    <w:rsid w:val="00885658"/>
    <w:rsid w:val="00885DA2"/>
    <w:rsid w:val="00885E17"/>
    <w:rsid w:val="00886342"/>
    <w:rsid w:val="008863D8"/>
    <w:rsid w:val="0088685B"/>
    <w:rsid w:val="008875DE"/>
    <w:rsid w:val="00887C46"/>
    <w:rsid w:val="0089074D"/>
    <w:rsid w:val="0089092F"/>
    <w:rsid w:val="00890CF5"/>
    <w:rsid w:val="00892333"/>
    <w:rsid w:val="008929BA"/>
    <w:rsid w:val="00893594"/>
    <w:rsid w:val="00894041"/>
    <w:rsid w:val="008947EA"/>
    <w:rsid w:val="008949E4"/>
    <w:rsid w:val="00894A61"/>
    <w:rsid w:val="00894ABF"/>
    <w:rsid w:val="00894B7C"/>
    <w:rsid w:val="008953AA"/>
    <w:rsid w:val="00895C7A"/>
    <w:rsid w:val="00895FFF"/>
    <w:rsid w:val="00896895"/>
    <w:rsid w:val="008969F5"/>
    <w:rsid w:val="00896FF4"/>
    <w:rsid w:val="0089725A"/>
    <w:rsid w:val="00897679"/>
    <w:rsid w:val="008979BB"/>
    <w:rsid w:val="008A0E85"/>
    <w:rsid w:val="008A15CB"/>
    <w:rsid w:val="008A1DDE"/>
    <w:rsid w:val="008A2544"/>
    <w:rsid w:val="008A2C6A"/>
    <w:rsid w:val="008A34CE"/>
    <w:rsid w:val="008A371D"/>
    <w:rsid w:val="008A40A7"/>
    <w:rsid w:val="008A5443"/>
    <w:rsid w:val="008A55A8"/>
    <w:rsid w:val="008A5B0A"/>
    <w:rsid w:val="008A5F01"/>
    <w:rsid w:val="008A604B"/>
    <w:rsid w:val="008A6759"/>
    <w:rsid w:val="008A6B66"/>
    <w:rsid w:val="008A6D9C"/>
    <w:rsid w:val="008A7078"/>
    <w:rsid w:val="008A70A8"/>
    <w:rsid w:val="008B002B"/>
    <w:rsid w:val="008B08D6"/>
    <w:rsid w:val="008B0969"/>
    <w:rsid w:val="008B11D0"/>
    <w:rsid w:val="008B26B8"/>
    <w:rsid w:val="008B2F88"/>
    <w:rsid w:val="008B32B6"/>
    <w:rsid w:val="008B4464"/>
    <w:rsid w:val="008B4BF2"/>
    <w:rsid w:val="008B56E5"/>
    <w:rsid w:val="008B5AFD"/>
    <w:rsid w:val="008B6650"/>
    <w:rsid w:val="008B729C"/>
    <w:rsid w:val="008B7A4E"/>
    <w:rsid w:val="008C0047"/>
    <w:rsid w:val="008C0406"/>
    <w:rsid w:val="008C1506"/>
    <w:rsid w:val="008C1558"/>
    <w:rsid w:val="008C22FA"/>
    <w:rsid w:val="008C2BA9"/>
    <w:rsid w:val="008C2D30"/>
    <w:rsid w:val="008C33F2"/>
    <w:rsid w:val="008C3AED"/>
    <w:rsid w:val="008C3CDE"/>
    <w:rsid w:val="008C3D1E"/>
    <w:rsid w:val="008C442C"/>
    <w:rsid w:val="008C444D"/>
    <w:rsid w:val="008C51DD"/>
    <w:rsid w:val="008C6C92"/>
    <w:rsid w:val="008C77F7"/>
    <w:rsid w:val="008C7ECF"/>
    <w:rsid w:val="008D0262"/>
    <w:rsid w:val="008D0AE4"/>
    <w:rsid w:val="008D1B0D"/>
    <w:rsid w:val="008D20E6"/>
    <w:rsid w:val="008D2F52"/>
    <w:rsid w:val="008D3DA8"/>
    <w:rsid w:val="008D3E19"/>
    <w:rsid w:val="008D4911"/>
    <w:rsid w:val="008D53C5"/>
    <w:rsid w:val="008D57A4"/>
    <w:rsid w:val="008D5F06"/>
    <w:rsid w:val="008D6B57"/>
    <w:rsid w:val="008D74C3"/>
    <w:rsid w:val="008D74ED"/>
    <w:rsid w:val="008D7DFC"/>
    <w:rsid w:val="008D7F82"/>
    <w:rsid w:val="008D7FE5"/>
    <w:rsid w:val="008E00FD"/>
    <w:rsid w:val="008E061C"/>
    <w:rsid w:val="008E07C6"/>
    <w:rsid w:val="008E152D"/>
    <w:rsid w:val="008E1E9A"/>
    <w:rsid w:val="008E3214"/>
    <w:rsid w:val="008E33EA"/>
    <w:rsid w:val="008E358B"/>
    <w:rsid w:val="008E4180"/>
    <w:rsid w:val="008E471D"/>
    <w:rsid w:val="008E4ECE"/>
    <w:rsid w:val="008E5BB7"/>
    <w:rsid w:val="008E5F84"/>
    <w:rsid w:val="008E6A1B"/>
    <w:rsid w:val="008E6FAD"/>
    <w:rsid w:val="008E6FF6"/>
    <w:rsid w:val="008E72E5"/>
    <w:rsid w:val="008E7439"/>
    <w:rsid w:val="008E79F9"/>
    <w:rsid w:val="008E7DCC"/>
    <w:rsid w:val="008F04B6"/>
    <w:rsid w:val="008F0898"/>
    <w:rsid w:val="008F0EA9"/>
    <w:rsid w:val="008F11A2"/>
    <w:rsid w:val="008F1B1E"/>
    <w:rsid w:val="008F2B7E"/>
    <w:rsid w:val="008F31DF"/>
    <w:rsid w:val="008F363A"/>
    <w:rsid w:val="008F38F6"/>
    <w:rsid w:val="008F3E46"/>
    <w:rsid w:val="008F40AA"/>
    <w:rsid w:val="008F411D"/>
    <w:rsid w:val="008F4D31"/>
    <w:rsid w:val="008F53F5"/>
    <w:rsid w:val="008F56A2"/>
    <w:rsid w:val="008F5FF0"/>
    <w:rsid w:val="008F61F2"/>
    <w:rsid w:val="008F63BC"/>
    <w:rsid w:val="008F6485"/>
    <w:rsid w:val="008F710C"/>
    <w:rsid w:val="008F743D"/>
    <w:rsid w:val="008F77F6"/>
    <w:rsid w:val="008F7B17"/>
    <w:rsid w:val="008F7ED4"/>
    <w:rsid w:val="008F7F78"/>
    <w:rsid w:val="00900316"/>
    <w:rsid w:val="009010D0"/>
    <w:rsid w:val="0090122A"/>
    <w:rsid w:val="00901F73"/>
    <w:rsid w:val="0090394F"/>
    <w:rsid w:val="0090431F"/>
    <w:rsid w:val="009044D7"/>
    <w:rsid w:val="00904BF1"/>
    <w:rsid w:val="009054D3"/>
    <w:rsid w:val="00905587"/>
    <w:rsid w:val="009057D3"/>
    <w:rsid w:val="00907B9D"/>
    <w:rsid w:val="00910717"/>
    <w:rsid w:val="00910CFA"/>
    <w:rsid w:val="0091160A"/>
    <w:rsid w:val="00912138"/>
    <w:rsid w:val="009125D2"/>
    <w:rsid w:val="00913FAB"/>
    <w:rsid w:val="00914007"/>
    <w:rsid w:val="00914185"/>
    <w:rsid w:val="009141E4"/>
    <w:rsid w:val="009152E8"/>
    <w:rsid w:val="00915E3F"/>
    <w:rsid w:val="00915F49"/>
    <w:rsid w:val="00915F97"/>
    <w:rsid w:val="009179EB"/>
    <w:rsid w:val="009200FA"/>
    <w:rsid w:val="00920435"/>
    <w:rsid w:val="00920A02"/>
    <w:rsid w:val="00920AE4"/>
    <w:rsid w:val="00921F98"/>
    <w:rsid w:val="0092263A"/>
    <w:rsid w:val="0092273F"/>
    <w:rsid w:val="009235B5"/>
    <w:rsid w:val="009238F1"/>
    <w:rsid w:val="00923E6D"/>
    <w:rsid w:val="009249B4"/>
    <w:rsid w:val="009249F1"/>
    <w:rsid w:val="00924AEA"/>
    <w:rsid w:val="009251E9"/>
    <w:rsid w:val="009255B2"/>
    <w:rsid w:val="00926716"/>
    <w:rsid w:val="00926B42"/>
    <w:rsid w:val="009270DB"/>
    <w:rsid w:val="00930A91"/>
    <w:rsid w:val="00930BEB"/>
    <w:rsid w:val="00931880"/>
    <w:rsid w:val="009323DF"/>
    <w:rsid w:val="0093288A"/>
    <w:rsid w:val="00932AFC"/>
    <w:rsid w:val="00932C3B"/>
    <w:rsid w:val="00932E61"/>
    <w:rsid w:val="00933196"/>
    <w:rsid w:val="0093389C"/>
    <w:rsid w:val="00933A7D"/>
    <w:rsid w:val="00933C35"/>
    <w:rsid w:val="00933CE4"/>
    <w:rsid w:val="00933DA9"/>
    <w:rsid w:val="00933EC7"/>
    <w:rsid w:val="0093452F"/>
    <w:rsid w:val="0093491F"/>
    <w:rsid w:val="00934C8F"/>
    <w:rsid w:val="00935977"/>
    <w:rsid w:val="00935E14"/>
    <w:rsid w:val="00936AD7"/>
    <w:rsid w:val="00937703"/>
    <w:rsid w:val="00940C60"/>
    <w:rsid w:val="00941E4F"/>
    <w:rsid w:val="00941F99"/>
    <w:rsid w:val="00942454"/>
    <w:rsid w:val="0094480E"/>
    <w:rsid w:val="009448BA"/>
    <w:rsid w:val="00947B5B"/>
    <w:rsid w:val="00947D0E"/>
    <w:rsid w:val="00950281"/>
    <w:rsid w:val="009504E1"/>
    <w:rsid w:val="00950CC4"/>
    <w:rsid w:val="00951BD3"/>
    <w:rsid w:val="009529FD"/>
    <w:rsid w:val="00952B8F"/>
    <w:rsid w:val="0095343E"/>
    <w:rsid w:val="009543D3"/>
    <w:rsid w:val="0095496C"/>
    <w:rsid w:val="00954E2D"/>
    <w:rsid w:val="009553E8"/>
    <w:rsid w:val="00955559"/>
    <w:rsid w:val="0095569B"/>
    <w:rsid w:val="009559F2"/>
    <w:rsid w:val="009562CC"/>
    <w:rsid w:val="0095695E"/>
    <w:rsid w:val="00956E5D"/>
    <w:rsid w:val="00957310"/>
    <w:rsid w:val="00957470"/>
    <w:rsid w:val="0095750D"/>
    <w:rsid w:val="009578E5"/>
    <w:rsid w:val="00960B83"/>
    <w:rsid w:val="009617AF"/>
    <w:rsid w:val="00962B8F"/>
    <w:rsid w:val="009637E4"/>
    <w:rsid w:val="00963AFA"/>
    <w:rsid w:val="009640D6"/>
    <w:rsid w:val="00964464"/>
    <w:rsid w:val="009649F6"/>
    <w:rsid w:val="00965665"/>
    <w:rsid w:val="009659A6"/>
    <w:rsid w:val="0096632E"/>
    <w:rsid w:val="009666B2"/>
    <w:rsid w:val="00966813"/>
    <w:rsid w:val="00966D4F"/>
    <w:rsid w:val="00967096"/>
    <w:rsid w:val="00967529"/>
    <w:rsid w:val="009678D6"/>
    <w:rsid w:val="0097049F"/>
    <w:rsid w:val="00970E65"/>
    <w:rsid w:val="0097102C"/>
    <w:rsid w:val="00971218"/>
    <w:rsid w:val="0097133A"/>
    <w:rsid w:val="00971CBF"/>
    <w:rsid w:val="00971E7E"/>
    <w:rsid w:val="00971F52"/>
    <w:rsid w:val="0097202E"/>
    <w:rsid w:val="009727C6"/>
    <w:rsid w:val="00972E0B"/>
    <w:rsid w:val="009742E0"/>
    <w:rsid w:val="0097462D"/>
    <w:rsid w:val="00974830"/>
    <w:rsid w:val="009748A7"/>
    <w:rsid w:val="009748F0"/>
    <w:rsid w:val="00974A7C"/>
    <w:rsid w:val="0097587B"/>
    <w:rsid w:val="00975BFA"/>
    <w:rsid w:val="0097616F"/>
    <w:rsid w:val="009763C1"/>
    <w:rsid w:val="009766FE"/>
    <w:rsid w:val="009774D1"/>
    <w:rsid w:val="00977715"/>
    <w:rsid w:val="00977A20"/>
    <w:rsid w:val="00977FC4"/>
    <w:rsid w:val="00980439"/>
    <w:rsid w:val="0098191F"/>
    <w:rsid w:val="00981A8F"/>
    <w:rsid w:val="00982444"/>
    <w:rsid w:val="00982BA7"/>
    <w:rsid w:val="00982D92"/>
    <w:rsid w:val="00982F10"/>
    <w:rsid w:val="009834A0"/>
    <w:rsid w:val="00983918"/>
    <w:rsid w:val="00983C75"/>
    <w:rsid w:val="009843A8"/>
    <w:rsid w:val="009844BE"/>
    <w:rsid w:val="009845DE"/>
    <w:rsid w:val="00984993"/>
    <w:rsid w:val="00984CA2"/>
    <w:rsid w:val="00984EF6"/>
    <w:rsid w:val="009854F1"/>
    <w:rsid w:val="00986234"/>
    <w:rsid w:val="00986253"/>
    <w:rsid w:val="0098638D"/>
    <w:rsid w:val="00986FA0"/>
    <w:rsid w:val="0098714A"/>
    <w:rsid w:val="00990304"/>
    <w:rsid w:val="00990428"/>
    <w:rsid w:val="0099344A"/>
    <w:rsid w:val="00993EA1"/>
    <w:rsid w:val="0099496C"/>
    <w:rsid w:val="00995400"/>
    <w:rsid w:val="00995582"/>
    <w:rsid w:val="009959E4"/>
    <w:rsid w:val="00995D0C"/>
    <w:rsid w:val="00996569"/>
    <w:rsid w:val="0099722E"/>
    <w:rsid w:val="009A0510"/>
    <w:rsid w:val="009A057B"/>
    <w:rsid w:val="009A0602"/>
    <w:rsid w:val="009A06F0"/>
    <w:rsid w:val="009A1085"/>
    <w:rsid w:val="009A14DE"/>
    <w:rsid w:val="009A2294"/>
    <w:rsid w:val="009A260A"/>
    <w:rsid w:val="009A2787"/>
    <w:rsid w:val="009A2B4E"/>
    <w:rsid w:val="009A332F"/>
    <w:rsid w:val="009A3948"/>
    <w:rsid w:val="009A40DD"/>
    <w:rsid w:val="009A4E10"/>
    <w:rsid w:val="009A5F36"/>
    <w:rsid w:val="009A64C4"/>
    <w:rsid w:val="009A6676"/>
    <w:rsid w:val="009A6765"/>
    <w:rsid w:val="009A6DED"/>
    <w:rsid w:val="009A72B5"/>
    <w:rsid w:val="009A75E8"/>
    <w:rsid w:val="009A7BC2"/>
    <w:rsid w:val="009B011E"/>
    <w:rsid w:val="009B086E"/>
    <w:rsid w:val="009B180F"/>
    <w:rsid w:val="009B1897"/>
    <w:rsid w:val="009B1BB7"/>
    <w:rsid w:val="009B1C51"/>
    <w:rsid w:val="009B48C2"/>
    <w:rsid w:val="009B48D4"/>
    <w:rsid w:val="009B57EF"/>
    <w:rsid w:val="009B5B3E"/>
    <w:rsid w:val="009B603C"/>
    <w:rsid w:val="009B751B"/>
    <w:rsid w:val="009B7CB1"/>
    <w:rsid w:val="009C0616"/>
    <w:rsid w:val="009C0992"/>
    <w:rsid w:val="009C0B72"/>
    <w:rsid w:val="009C0C48"/>
    <w:rsid w:val="009C1830"/>
    <w:rsid w:val="009C1BD6"/>
    <w:rsid w:val="009C23DA"/>
    <w:rsid w:val="009C24B3"/>
    <w:rsid w:val="009C2C09"/>
    <w:rsid w:val="009C2E5A"/>
    <w:rsid w:val="009C338C"/>
    <w:rsid w:val="009C4B9D"/>
    <w:rsid w:val="009C5B1B"/>
    <w:rsid w:val="009C6214"/>
    <w:rsid w:val="009C63BF"/>
    <w:rsid w:val="009C645A"/>
    <w:rsid w:val="009C672A"/>
    <w:rsid w:val="009C6FCE"/>
    <w:rsid w:val="009C703A"/>
    <w:rsid w:val="009C7B18"/>
    <w:rsid w:val="009C7C46"/>
    <w:rsid w:val="009C7D55"/>
    <w:rsid w:val="009C7F52"/>
    <w:rsid w:val="009D07F2"/>
    <w:rsid w:val="009D1884"/>
    <w:rsid w:val="009D24A3"/>
    <w:rsid w:val="009D263C"/>
    <w:rsid w:val="009D2FD6"/>
    <w:rsid w:val="009D3295"/>
    <w:rsid w:val="009D3326"/>
    <w:rsid w:val="009D34CE"/>
    <w:rsid w:val="009D3665"/>
    <w:rsid w:val="009D3C84"/>
    <w:rsid w:val="009D40C6"/>
    <w:rsid w:val="009D4DEF"/>
    <w:rsid w:val="009D54F3"/>
    <w:rsid w:val="009D5BC3"/>
    <w:rsid w:val="009D5DA3"/>
    <w:rsid w:val="009D6065"/>
    <w:rsid w:val="009D6969"/>
    <w:rsid w:val="009D7470"/>
    <w:rsid w:val="009D7A58"/>
    <w:rsid w:val="009E0638"/>
    <w:rsid w:val="009E0828"/>
    <w:rsid w:val="009E0CED"/>
    <w:rsid w:val="009E1010"/>
    <w:rsid w:val="009E17A2"/>
    <w:rsid w:val="009E193B"/>
    <w:rsid w:val="009E2D23"/>
    <w:rsid w:val="009E3A17"/>
    <w:rsid w:val="009E4043"/>
    <w:rsid w:val="009E428D"/>
    <w:rsid w:val="009E43C1"/>
    <w:rsid w:val="009E4493"/>
    <w:rsid w:val="009E4E45"/>
    <w:rsid w:val="009E51AD"/>
    <w:rsid w:val="009E53D1"/>
    <w:rsid w:val="009E54AE"/>
    <w:rsid w:val="009E5FC3"/>
    <w:rsid w:val="009E69CA"/>
    <w:rsid w:val="009E6DF1"/>
    <w:rsid w:val="009F0564"/>
    <w:rsid w:val="009F0B4B"/>
    <w:rsid w:val="009F0C77"/>
    <w:rsid w:val="009F1168"/>
    <w:rsid w:val="009F19DB"/>
    <w:rsid w:val="009F3ABF"/>
    <w:rsid w:val="009F3AE2"/>
    <w:rsid w:val="009F3BA0"/>
    <w:rsid w:val="009F3F5D"/>
    <w:rsid w:val="009F43CB"/>
    <w:rsid w:val="009F4CB9"/>
    <w:rsid w:val="009F502D"/>
    <w:rsid w:val="009F61BC"/>
    <w:rsid w:val="00A00283"/>
    <w:rsid w:val="00A0193D"/>
    <w:rsid w:val="00A01C02"/>
    <w:rsid w:val="00A02054"/>
    <w:rsid w:val="00A02D24"/>
    <w:rsid w:val="00A02E16"/>
    <w:rsid w:val="00A047B5"/>
    <w:rsid w:val="00A05113"/>
    <w:rsid w:val="00A05435"/>
    <w:rsid w:val="00A054DC"/>
    <w:rsid w:val="00A06158"/>
    <w:rsid w:val="00A069AE"/>
    <w:rsid w:val="00A07B59"/>
    <w:rsid w:val="00A10281"/>
    <w:rsid w:val="00A10389"/>
    <w:rsid w:val="00A104F2"/>
    <w:rsid w:val="00A10897"/>
    <w:rsid w:val="00A1133E"/>
    <w:rsid w:val="00A11888"/>
    <w:rsid w:val="00A11E62"/>
    <w:rsid w:val="00A11E8F"/>
    <w:rsid w:val="00A12209"/>
    <w:rsid w:val="00A12369"/>
    <w:rsid w:val="00A13522"/>
    <w:rsid w:val="00A13A46"/>
    <w:rsid w:val="00A14357"/>
    <w:rsid w:val="00A14D76"/>
    <w:rsid w:val="00A1524F"/>
    <w:rsid w:val="00A15E63"/>
    <w:rsid w:val="00A161F3"/>
    <w:rsid w:val="00A167D9"/>
    <w:rsid w:val="00A16A1F"/>
    <w:rsid w:val="00A16DB9"/>
    <w:rsid w:val="00A16F0D"/>
    <w:rsid w:val="00A17672"/>
    <w:rsid w:val="00A203FC"/>
    <w:rsid w:val="00A2043F"/>
    <w:rsid w:val="00A20A6B"/>
    <w:rsid w:val="00A20C5D"/>
    <w:rsid w:val="00A20DAF"/>
    <w:rsid w:val="00A214A9"/>
    <w:rsid w:val="00A21687"/>
    <w:rsid w:val="00A21F39"/>
    <w:rsid w:val="00A222CA"/>
    <w:rsid w:val="00A225E3"/>
    <w:rsid w:val="00A22A5C"/>
    <w:rsid w:val="00A2380A"/>
    <w:rsid w:val="00A239CC"/>
    <w:rsid w:val="00A23BC2"/>
    <w:rsid w:val="00A23F61"/>
    <w:rsid w:val="00A248C9"/>
    <w:rsid w:val="00A25072"/>
    <w:rsid w:val="00A2591E"/>
    <w:rsid w:val="00A262EE"/>
    <w:rsid w:val="00A26705"/>
    <w:rsid w:val="00A26F01"/>
    <w:rsid w:val="00A279AC"/>
    <w:rsid w:val="00A27A30"/>
    <w:rsid w:val="00A30021"/>
    <w:rsid w:val="00A3021E"/>
    <w:rsid w:val="00A30C5D"/>
    <w:rsid w:val="00A310F1"/>
    <w:rsid w:val="00A316FE"/>
    <w:rsid w:val="00A31C68"/>
    <w:rsid w:val="00A31FFF"/>
    <w:rsid w:val="00A32353"/>
    <w:rsid w:val="00A325AE"/>
    <w:rsid w:val="00A326A6"/>
    <w:rsid w:val="00A32942"/>
    <w:rsid w:val="00A342D9"/>
    <w:rsid w:val="00A3546E"/>
    <w:rsid w:val="00A35E30"/>
    <w:rsid w:val="00A35FAA"/>
    <w:rsid w:val="00A37352"/>
    <w:rsid w:val="00A37DC5"/>
    <w:rsid w:val="00A40163"/>
    <w:rsid w:val="00A4096B"/>
    <w:rsid w:val="00A409BC"/>
    <w:rsid w:val="00A40FC3"/>
    <w:rsid w:val="00A41D7C"/>
    <w:rsid w:val="00A41E82"/>
    <w:rsid w:val="00A42F6D"/>
    <w:rsid w:val="00A43A03"/>
    <w:rsid w:val="00A43C9A"/>
    <w:rsid w:val="00A44612"/>
    <w:rsid w:val="00A44720"/>
    <w:rsid w:val="00A44F19"/>
    <w:rsid w:val="00A4575C"/>
    <w:rsid w:val="00A45C94"/>
    <w:rsid w:val="00A45D11"/>
    <w:rsid w:val="00A46164"/>
    <w:rsid w:val="00A4640C"/>
    <w:rsid w:val="00A46A8E"/>
    <w:rsid w:val="00A46CAD"/>
    <w:rsid w:val="00A47287"/>
    <w:rsid w:val="00A50B94"/>
    <w:rsid w:val="00A50FBA"/>
    <w:rsid w:val="00A51337"/>
    <w:rsid w:val="00A522F4"/>
    <w:rsid w:val="00A528DA"/>
    <w:rsid w:val="00A53556"/>
    <w:rsid w:val="00A537E5"/>
    <w:rsid w:val="00A540A5"/>
    <w:rsid w:val="00A54248"/>
    <w:rsid w:val="00A55B6F"/>
    <w:rsid w:val="00A562A9"/>
    <w:rsid w:val="00A569DF"/>
    <w:rsid w:val="00A5716B"/>
    <w:rsid w:val="00A571B3"/>
    <w:rsid w:val="00A57BA1"/>
    <w:rsid w:val="00A616CD"/>
    <w:rsid w:val="00A616E4"/>
    <w:rsid w:val="00A61BD0"/>
    <w:rsid w:val="00A621C9"/>
    <w:rsid w:val="00A6266C"/>
    <w:rsid w:val="00A62E90"/>
    <w:rsid w:val="00A63162"/>
    <w:rsid w:val="00A6388E"/>
    <w:rsid w:val="00A638F1"/>
    <w:rsid w:val="00A64BC6"/>
    <w:rsid w:val="00A64FD7"/>
    <w:rsid w:val="00A659CB"/>
    <w:rsid w:val="00A67DB4"/>
    <w:rsid w:val="00A70398"/>
    <w:rsid w:val="00A7062F"/>
    <w:rsid w:val="00A709AD"/>
    <w:rsid w:val="00A70CC7"/>
    <w:rsid w:val="00A70D03"/>
    <w:rsid w:val="00A70EAD"/>
    <w:rsid w:val="00A71441"/>
    <w:rsid w:val="00A721F1"/>
    <w:rsid w:val="00A72D8C"/>
    <w:rsid w:val="00A72DA9"/>
    <w:rsid w:val="00A72F88"/>
    <w:rsid w:val="00A733CB"/>
    <w:rsid w:val="00A739DF"/>
    <w:rsid w:val="00A73ED4"/>
    <w:rsid w:val="00A740A0"/>
    <w:rsid w:val="00A745EF"/>
    <w:rsid w:val="00A751AD"/>
    <w:rsid w:val="00A76045"/>
    <w:rsid w:val="00A76734"/>
    <w:rsid w:val="00A76CC8"/>
    <w:rsid w:val="00A76F3A"/>
    <w:rsid w:val="00A77040"/>
    <w:rsid w:val="00A77202"/>
    <w:rsid w:val="00A773CD"/>
    <w:rsid w:val="00A775CF"/>
    <w:rsid w:val="00A777DB"/>
    <w:rsid w:val="00A77853"/>
    <w:rsid w:val="00A77FAF"/>
    <w:rsid w:val="00A8017B"/>
    <w:rsid w:val="00A805EB"/>
    <w:rsid w:val="00A80C87"/>
    <w:rsid w:val="00A81EED"/>
    <w:rsid w:val="00A825FB"/>
    <w:rsid w:val="00A82FCA"/>
    <w:rsid w:val="00A83C70"/>
    <w:rsid w:val="00A84503"/>
    <w:rsid w:val="00A86227"/>
    <w:rsid w:val="00A863D8"/>
    <w:rsid w:val="00A867DA"/>
    <w:rsid w:val="00A86DF0"/>
    <w:rsid w:val="00A87678"/>
    <w:rsid w:val="00A8782F"/>
    <w:rsid w:val="00A9167D"/>
    <w:rsid w:val="00A91846"/>
    <w:rsid w:val="00A91895"/>
    <w:rsid w:val="00A92D25"/>
    <w:rsid w:val="00A939BD"/>
    <w:rsid w:val="00A9401F"/>
    <w:rsid w:val="00A94689"/>
    <w:rsid w:val="00A94DDB"/>
    <w:rsid w:val="00A94F82"/>
    <w:rsid w:val="00A950A1"/>
    <w:rsid w:val="00A96486"/>
    <w:rsid w:val="00A965CD"/>
    <w:rsid w:val="00A96970"/>
    <w:rsid w:val="00A96FD2"/>
    <w:rsid w:val="00A975F6"/>
    <w:rsid w:val="00AA1BEC"/>
    <w:rsid w:val="00AA26E0"/>
    <w:rsid w:val="00AA27AA"/>
    <w:rsid w:val="00AA2DF3"/>
    <w:rsid w:val="00AA31E0"/>
    <w:rsid w:val="00AA3509"/>
    <w:rsid w:val="00AA367B"/>
    <w:rsid w:val="00AA4761"/>
    <w:rsid w:val="00AA50BC"/>
    <w:rsid w:val="00AA61F0"/>
    <w:rsid w:val="00AA6AE4"/>
    <w:rsid w:val="00AB24E7"/>
    <w:rsid w:val="00AB29B9"/>
    <w:rsid w:val="00AB3237"/>
    <w:rsid w:val="00AB3917"/>
    <w:rsid w:val="00AB3A2D"/>
    <w:rsid w:val="00AB4AC8"/>
    <w:rsid w:val="00AB4FBC"/>
    <w:rsid w:val="00AB5964"/>
    <w:rsid w:val="00AB5E21"/>
    <w:rsid w:val="00AB6866"/>
    <w:rsid w:val="00AB6AD4"/>
    <w:rsid w:val="00AB75AE"/>
    <w:rsid w:val="00AB76EC"/>
    <w:rsid w:val="00AB7933"/>
    <w:rsid w:val="00AB7947"/>
    <w:rsid w:val="00AB7A17"/>
    <w:rsid w:val="00AC1256"/>
    <w:rsid w:val="00AC13C9"/>
    <w:rsid w:val="00AC1667"/>
    <w:rsid w:val="00AC1B0D"/>
    <w:rsid w:val="00AC25B6"/>
    <w:rsid w:val="00AC2719"/>
    <w:rsid w:val="00AC3071"/>
    <w:rsid w:val="00AC3A08"/>
    <w:rsid w:val="00AC3AC5"/>
    <w:rsid w:val="00AC3C55"/>
    <w:rsid w:val="00AC3D18"/>
    <w:rsid w:val="00AC3EB9"/>
    <w:rsid w:val="00AC42A5"/>
    <w:rsid w:val="00AC4A61"/>
    <w:rsid w:val="00AC5598"/>
    <w:rsid w:val="00AC5A26"/>
    <w:rsid w:val="00AC601A"/>
    <w:rsid w:val="00AC6332"/>
    <w:rsid w:val="00AD030C"/>
    <w:rsid w:val="00AD04C5"/>
    <w:rsid w:val="00AD0964"/>
    <w:rsid w:val="00AD10CF"/>
    <w:rsid w:val="00AD1DE7"/>
    <w:rsid w:val="00AD2FC0"/>
    <w:rsid w:val="00AD31E4"/>
    <w:rsid w:val="00AD3581"/>
    <w:rsid w:val="00AD35EA"/>
    <w:rsid w:val="00AD3BC7"/>
    <w:rsid w:val="00AD42E2"/>
    <w:rsid w:val="00AD4967"/>
    <w:rsid w:val="00AD4F8F"/>
    <w:rsid w:val="00AD562E"/>
    <w:rsid w:val="00AD5B1B"/>
    <w:rsid w:val="00AD5F15"/>
    <w:rsid w:val="00AD5F49"/>
    <w:rsid w:val="00AD66BE"/>
    <w:rsid w:val="00AD6DB9"/>
    <w:rsid w:val="00AD7C82"/>
    <w:rsid w:val="00AD7E6D"/>
    <w:rsid w:val="00AE12A9"/>
    <w:rsid w:val="00AE2459"/>
    <w:rsid w:val="00AE29C2"/>
    <w:rsid w:val="00AE3B8A"/>
    <w:rsid w:val="00AE3D23"/>
    <w:rsid w:val="00AE445B"/>
    <w:rsid w:val="00AE472E"/>
    <w:rsid w:val="00AE4CEC"/>
    <w:rsid w:val="00AE4EC8"/>
    <w:rsid w:val="00AE517C"/>
    <w:rsid w:val="00AE5289"/>
    <w:rsid w:val="00AE599E"/>
    <w:rsid w:val="00AE5C25"/>
    <w:rsid w:val="00AE5D9F"/>
    <w:rsid w:val="00AE5F15"/>
    <w:rsid w:val="00AE61C0"/>
    <w:rsid w:val="00AE72C2"/>
    <w:rsid w:val="00AE76C9"/>
    <w:rsid w:val="00AE77DC"/>
    <w:rsid w:val="00AF00F5"/>
    <w:rsid w:val="00AF04AA"/>
    <w:rsid w:val="00AF06B4"/>
    <w:rsid w:val="00AF0C7E"/>
    <w:rsid w:val="00AF0EB2"/>
    <w:rsid w:val="00AF1ED5"/>
    <w:rsid w:val="00AF2791"/>
    <w:rsid w:val="00AF2EF5"/>
    <w:rsid w:val="00AF3117"/>
    <w:rsid w:val="00AF326B"/>
    <w:rsid w:val="00AF32F0"/>
    <w:rsid w:val="00AF3811"/>
    <w:rsid w:val="00AF4104"/>
    <w:rsid w:val="00AF418D"/>
    <w:rsid w:val="00AF4229"/>
    <w:rsid w:val="00AF4532"/>
    <w:rsid w:val="00AF45FF"/>
    <w:rsid w:val="00AF560E"/>
    <w:rsid w:val="00AF612F"/>
    <w:rsid w:val="00AF6220"/>
    <w:rsid w:val="00AF70EE"/>
    <w:rsid w:val="00AF7234"/>
    <w:rsid w:val="00AF7618"/>
    <w:rsid w:val="00B003CC"/>
    <w:rsid w:val="00B00449"/>
    <w:rsid w:val="00B00B01"/>
    <w:rsid w:val="00B01471"/>
    <w:rsid w:val="00B01538"/>
    <w:rsid w:val="00B0210B"/>
    <w:rsid w:val="00B02246"/>
    <w:rsid w:val="00B02378"/>
    <w:rsid w:val="00B03377"/>
    <w:rsid w:val="00B03653"/>
    <w:rsid w:val="00B03C10"/>
    <w:rsid w:val="00B03E28"/>
    <w:rsid w:val="00B040CC"/>
    <w:rsid w:val="00B044F5"/>
    <w:rsid w:val="00B04550"/>
    <w:rsid w:val="00B04964"/>
    <w:rsid w:val="00B04CBD"/>
    <w:rsid w:val="00B052A9"/>
    <w:rsid w:val="00B05C96"/>
    <w:rsid w:val="00B076AC"/>
    <w:rsid w:val="00B10605"/>
    <w:rsid w:val="00B10F95"/>
    <w:rsid w:val="00B11B0A"/>
    <w:rsid w:val="00B11FF8"/>
    <w:rsid w:val="00B12331"/>
    <w:rsid w:val="00B124AD"/>
    <w:rsid w:val="00B1480A"/>
    <w:rsid w:val="00B14850"/>
    <w:rsid w:val="00B154B3"/>
    <w:rsid w:val="00B1581F"/>
    <w:rsid w:val="00B15870"/>
    <w:rsid w:val="00B15B71"/>
    <w:rsid w:val="00B16085"/>
    <w:rsid w:val="00B166C6"/>
    <w:rsid w:val="00B16E53"/>
    <w:rsid w:val="00B2012B"/>
    <w:rsid w:val="00B2035A"/>
    <w:rsid w:val="00B20A71"/>
    <w:rsid w:val="00B20B74"/>
    <w:rsid w:val="00B21941"/>
    <w:rsid w:val="00B21C1B"/>
    <w:rsid w:val="00B21C96"/>
    <w:rsid w:val="00B21E8A"/>
    <w:rsid w:val="00B21EB4"/>
    <w:rsid w:val="00B22131"/>
    <w:rsid w:val="00B22A5B"/>
    <w:rsid w:val="00B22D77"/>
    <w:rsid w:val="00B23574"/>
    <w:rsid w:val="00B23E02"/>
    <w:rsid w:val="00B25085"/>
    <w:rsid w:val="00B2603C"/>
    <w:rsid w:val="00B26886"/>
    <w:rsid w:val="00B2691D"/>
    <w:rsid w:val="00B26C44"/>
    <w:rsid w:val="00B27819"/>
    <w:rsid w:val="00B27820"/>
    <w:rsid w:val="00B306EA"/>
    <w:rsid w:val="00B30944"/>
    <w:rsid w:val="00B3104B"/>
    <w:rsid w:val="00B32AAC"/>
    <w:rsid w:val="00B32D52"/>
    <w:rsid w:val="00B33F4D"/>
    <w:rsid w:val="00B36189"/>
    <w:rsid w:val="00B364A3"/>
    <w:rsid w:val="00B36680"/>
    <w:rsid w:val="00B36CFC"/>
    <w:rsid w:val="00B37140"/>
    <w:rsid w:val="00B37148"/>
    <w:rsid w:val="00B37AFC"/>
    <w:rsid w:val="00B37DCC"/>
    <w:rsid w:val="00B40007"/>
    <w:rsid w:val="00B404CC"/>
    <w:rsid w:val="00B4084B"/>
    <w:rsid w:val="00B4119F"/>
    <w:rsid w:val="00B41232"/>
    <w:rsid w:val="00B41922"/>
    <w:rsid w:val="00B41E93"/>
    <w:rsid w:val="00B42B56"/>
    <w:rsid w:val="00B42BB7"/>
    <w:rsid w:val="00B432D4"/>
    <w:rsid w:val="00B45864"/>
    <w:rsid w:val="00B45CC2"/>
    <w:rsid w:val="00B45E95"/>
    <w:rsid w:val="00B460B5"/>
    <w:rsid w:val="00B47610"/>
    <w:rsid w:val="00B47631"/>
    <w:rsid w:val="00B47998"/>
    <w:rsid w:val="00B47F4C"/>
    <w:rsid w:val="00B50032"/>
    <w:rsid w:val="00B50521"/>
    <w:rsid w:val="00B50958"/>
    <w:rsid w:val="00B50C56"/>
    <w:rsid w:val="00B51526"/>
    <w:rsid w:val="00B5362C"/>
    <w:rsid w:val="00B541F6"/>
    <w:rsid w:val="00B55CEE"/>
    <w:rsid w:val="00B55DD3"/>
    <w:rsid w:val="00B567D8"/>
    <w:rsid w:val="00B6056C"/>
    <w:rsid w:val="00B60D9A"/>
    <w:rsid w:val="00B60F6F"/>
    <w:rsid w:val="00B61A52"/>
    <w:rsid w:val="00B6230B"/>
    <w:rsid w:val="00B625FE"/>
    <w:rsid w:val="00B628E8"/>
    <w:rsid w:val="00B63C3C"/>
    <w:rsid w:val="00B64487"/>
    <w:rsid w:val="00B649D5"/>
    <w:rsid w:val="00B64DE4"/>
    <w:rsid w:val="00B65561"/>
    <w:rsid w:val="00B6569F"/>
    <w:rsid w:val="00B66091"/>
    <w:rsid w:val="00B676B8"/>
    <w:rsid w:val="00B70250"/>
    <w:rsid w:val="00B704CB"/>
    <w:rsid w:val="00B70A74"/>
    <w:rsid w:val="00B70C9E"/>
    <w:rsid w:val="00B70F85"/>
    <w:rsid w:val="00B71222"/>
    <w:rsid w:val="00B7174A"/>
    <w:rsid w:val="00B71D3D"/>
    <w:rsid w:val="00B71E3A"/>
    <w:rsid w:val="00B72DC7"/>
    <w:rsid w:val="00B7358B"/>
    <w:rsid w:val="00B73714"/>
    <w:rsid w:val="00B7388C"/>
    <w:rsid w:val="00B73E0D"/>
    <w:rsid w:val="00B7521F"/>
    <w:rsid w:val="00B75CE8"/>
    <w:rsid w:val="00B76587"/>
    <w:rsid w:val="00B76AD8"/>
    <w:rsid w:val="00B76D9A"/>
    <w:rsid w:val="00B77710"/>
    <w:rsid w:val="00B81FFB"/>
    <w:rsid w:val="00B82287"/>
    <w:rsid w:val="00B825D3"/>
    <w:rsid w:val="00B830A1"/>
    <w:rsid w:val="00B83160"/>
    <w:rsid w:val="00B833BD"/>
    <w:rsid w:val="00B8365B"/>
    <w:rsid w:val="00B83705"/>
    <w:rsid w:val="00B83AFC"/>
    <w:rsid w:val="00B83B20"/>
    <w:rsid w:val="00B83CA0"/>
    <w:rsid w:val="00B84243"/>
    <w:rsid w:val="00B84D68"/>
    <w:rsid w:val="00B855A6"/>
    <w:rsid w:val="00B85A52"/>
    <w:rsid w:val="00B85C34"/>
    <w:rsid w:val="00B8663B"/>
    <w:rsid w:val="00B86A34"/>
    <w:rsid w:val="00B86CCD"/>
    <w:rsid w:val="00B876C0"/>
    <w:rsid w:val="00B87806"/>
    <w:rsid w:val="00B914EB"/>
    <w:rsid w:val="00B9162C"/>
    <w:rsid w:val="00B92285"/>
    <w:rsid w:val="00B92407"/>
    <w:rsid w:val="00B92AF2"/>
    <w:rsid w:val="00B92B09"/>
    <w:rsid w:val="00B92C96"/>
    <w:rsid w:val="00B93884"/>
    <w:rsid w:val="00B93D53"/>
    <w:rsid w:val="00B94305"/>
    <w:rsid w:val="00B94405"/>
    <w:rsid w:val="00B94A65"/>
    <w:rsid w:val="00B94ADF"/>
    <w:rsid w:val="00B94D1A"/>
    <w:rsid w:val="00B94FB4"/>
    <w:rsid w:val="00B95924"/>
    <w:rsid w:val="00B95D2D"/>
    <w:rsid w:val="00B9607C"/>
    <w:rsid w:val="00B960EA"/>
    <w:rsid w:val="00B9631B"/>
    <w:rsid w:val="00B9676C"/>
    <w:rsid w:val="00B9701F"/>
    <w:rsid w:val="00BA03D9"/>
    <w:rsid w:val="00BA0966"/>
    <w:rsid w:val="00BA0C75"/>
    <w:rsid w:val="00BA0F2F"/>
    <w:rsid w:val="00BA1A5F"/>
    <w:rsid w:val="00BA2493"/>
    <w:rsid w:val="00BA2534"/>
    <w:rsid w:val="00BA28F3"/>
    <w:rsid w:val="00BA32EF"/>
    <w:rsid w:val="00BA379F"/>
    <w:rsid w:val="00BA4208"/>
    <w:rsid w:val="00BA512A"/>
    <w:rsid w:val="00BA6777"/>
    <w:rsid w:val="00BA79DE"/>
    <w:rsid w:val="00BB06A0"/>
    <w:rsid w:val="00BB224B"/>
    <w:rsid w:val="00BB2A98"/>
    <w:rsid w:val="00BB3AB5"/>
    <w:rsid w:val="00BB3DA8"/>
    <w:rsid w:val="00BB44ED"/>
    <w:rsid w:val="00BB498B"/>
    <w:rsid w:val="00BB56D7"/>
    <w:rsid w:val="00BB5A84"/>
    <w:rsid w:val="00BB5D75"/>
    <w:rsid w:val="00BB6D23"/>
    <w:rsid w:val="00BB721D"/>
    <w:rsid w:val="00BB7455"/>
    <w:rsid w:val="00BC12C2"/>
    <w:rsid w:val="00BC2445"/>
    <w:rsid w:val="00BC287F"/>
    <w:rsid w:val="00BC2BF8"/>
    <w:rsid w:val="00BC2C65"/>
    <w:rsid w:val="00BC3472"/>
    <w:rsid w:val="00BC3C9E"/>
    <w:rsid w:val="00BC3CAB"/>
    <w:rsid w:val="00BC3F11"/>
    <w:rsid w:val="00BC42CE"/>
    <w:rsid w:val="00BC5C94"/>
    <w:rsid w:val="00BC5EEA"/>
    <w:rsid w:val="00BC6702"/>
    <w:rsid w:val="00BC726B"/>
    <w:rsid w:val="00BC76B4"/>
    <w:rsid w:val="00BC796F"/>
    <w:rsid w:val="00BC7ADE"/>
    <w:rsid w:val="00BD1CC4"/>
    <w:rsid w:val="00BD210E"/>
    <w:rsid w:val="00BD2CB2"/>
    <w:rsid w:val="00BD34C3"/>
    <w:rsid w:val="00BD3794"/>
    <w:rsid w:val="00BD3C27"/>
    <w:rsid w:val="00BD40CB"/>
    <w:rsid w:val="00BD4307"/>
    <w:rsid w:val="00BD4379"/>
    <w:rsid w:val="00BD465B"/>
    <w:rsid w:val="00BD4954"/>
    <w:rsid w:val="00BD58EC"/>
    <w:rsid w:val="00BD7451"/>
    <w:rsid w:val="00BD78D5"/>
    <w:rsid w:val="00BD7AC4"/>
    <w:rsid w:val="00BD7C09"/>
    <w:rsid w:val="00BD7DAE"/>
    <w:rsid w:val="00BE0659"/>
    <w:rsid w:val="00BE0A68"/>
    <w:rsid w:val="00BE1843"/>
    <w:rsid w:val="00BE1E98"/>
    <w:rsid w:val="00BE2160"/>
    <w:rsid w:val="00BE2B96"/>
    <w:rsid w:val="00BE2CB4"/>
    <w:rsid w:val="00BE30CB"/>
    <w:rsid w:val="00BE4E46"/>
    <w:rsid w:val="00BE4E4B"/>
    <w:rsid w:val="00BE537C"/>
    <w:rsid w:val="00BE6054"/>
    <w:rsid w:val="00BE6D85"/>
    <w:rsid w:val="00BE70B3"/>
    <w:rsid w:val="00BE7ABD"/>
    <w:rsid w:val="00BE7D58"/>
    <w:rsid w:val="00BF0270"/>
    <w:rsid w:val="00BF0D58"/>
    <w:rsid w:val="00BF0E14"/>
    <w:rsid w:val="00BF126E"/>
    <w:rsid w:val="00BF164E"/>
    <w:rsid w:val="00BF1A33"/>
    <w:rsid w:val="00BF1ADD"/>
    <w:rsid w:val="00BF23C3"/>
    <w:rsid w:val="00BF3D35"/>
    <w:rsid w:val="00BF3DCF"/>
    <w:rsid w:val="00BF48A7"/>
    <w:rsid w:val="00BF48DF"/>
    <w:rsid w:val="00BF5B69"/>
    <w:rsid w:val="00BF5C6B"/>
    <w:rsid w:val="00BF6D42"/>
    <w:rsid w:val="00BF70B0"/>
    <w:rsid w:val="00BF7ED9"/>
    <w:rsid w:val="00C00AA5"/>
    <w:rsid w:val="00C00B3B"/>
    <w:rsid w:val="00C00DC6"/>
    <w:rsid w:val="00C0132B"/>
    <w:rsid w:val="00C02450"/>
    <w:rsid w:val="00C038D0"/>
    <w:rsid w:val="00C03A45"/>
    <w:rsid w:val="00C03AB2"/>
    <w:rsid w:val="00C059B2"/>
    <w:rsid w:val="00C0605C"/>
    <w:rsid w:val="00C066AF"/>
    <w:rsid w:val="00C06822"/>
    <w:rsid w:val="00C06C7E"/>
    <w:rsid w:val="00C06CE4"/>
    <w:rsid w:val="00C07DEC"/>
    <w:rsid w:val="00C07F1C"/>
    <w:rsid w:val="00C1005F"/>
    <w:rsid w:val="00C107D2"/>
    <w:rsid w:val="00C10E50"/>
    <w:rsid w:val="00C11086"/>
    <w:rsid w:val="00C11CE3"/>
    <w:rsid w:val="00C11D68"/>
    <w:rsid w:val="00C11F05"/>
    <w:rsid w:val="00C11F2F"/>
    <w:rsid w:val="00C12347"/>
    <w:rsid w:val="00C12D0A"/>
    <w:rsid w:val="00C13681"/>
    <w:rsid w:val="00C13DA0"/>
    <w:rsid w:val="00C13FE3"/>
    <w:rsid w:val="00C14186"/>
    <w:rsid w:val="00C1465F"/>
    <w:rsid w:val="00C154CE"/>
    <w:rsid w:val="00C1568F"/>
    <w:rsid w:val="00C15925"/>
    <w:rsid w:val="00C15A1F"/>
    <w:rsid w:val="00C15DEF"/>
    <w:rsid w:val="00C17B32"/>
    <w:rsid w:val="00C20326"/>
    <w:rsid w:val="00C20BE7"/>
    <w:rsid w:val="00C20C6B"/>
    <w:rsid w:val="00C20E76"/>
    <w:rsid w:val="00C212DA"/>
    <w:rsid w:val="00C21A8C"/>
    <w:rsid w:val="00C2307D"/>
    <w:rsid w:val="00C23647"/>
    <w:rsid w:val="00C2476F"/>
    <w:rsid w:val="00C24BB1"/>
    <w:rsid w:val="00C2516E"/>
    <w:rsid w:val="00C25331"/>
    <w:rsid w:val="00C2641F"/>
    <w:rsid w:val="00C276B1"/>
    <w:rsid w:val="00C3009E"/>
    <w:rsid w:val="00C30538"/>
    <w:rsid w:val="00C30697"/>
    <w:rsid w:val="00C31A8C"/>
    <w:rsid w:val="00C31E81"/>
    <w:rsid w:val="00C3239B"/>
    <w:rsid w:val="00C323BD"/>
    <w:rsid w:val="00C3249E"/>
    <w:rsid w:val="00C329E7"/>
    <w:rsid w:val="00C3303C"/>
    <w:rsid w:val="00C3324A"/>
    <w:rsid w:val="00C34239"/>
    <w:rsid w:val="00C342CD"/>
    <w:rsid w:val="00C34390"/>
    <w:rsid w:val="00C34698"/>
    <w:rsid w:val="00C34C59"/>
    <w:rsid w:val="00C35755"/>
    <w:rsid w:val="00C359BA"/>
    <w:rsid w:val="00C35E32"/>
    <w:rsid w:val="00C36039"/>
    <w:rsid w:val="00C36775"/>
    <w:rsid w:val="00C376DF"/>
    <w:rsid w:val="00C37BFF"/>
    <w:rsid w:val="00C40689"/>
    <w:rsid w:val="00C41058"/>
    <w:rsid w:val="00C41D55"/>
    <w:rsid w:val="00C41F6E"/>
    <w:rsid w:val="00C42089"/>
    <w:rsid w:val="00C428E6"/>
    <w:rsid w:val="00C42D37"/>
    <w:rsid w:val="00C43104"/>
    <w:rsid w:val="00C431A3"/>
    <w:rsid w:val="00C431FB"/>
    <w:rsid w:val="00C43DF8"/>
    <w:rsid w:val="00C442D4"/>
    <w:rsid w:val="00C44665"/>
    <w:rsid w:val="00C4496D"/>
    <w:rsid w:val="00C44BE3"/>
    <w:rsid w:val="00C44C1D"/>
    <w:rsid w:val="00C44DDB"/>
    <w:rsid w:val="00C450A9"/>
    <w:rsid w:val="00C45213"/>
    <w:rsid w:val="00C45536"/>
    <w:rsid w:val="00C45903"/>
    <w:rsid w:val="00C45B42"/>
    <w:rsid w:val="00C45C19"/>
    <w:rsid w:val="00C46399"/>
    <w:rsid w:val="00C46D0E"/>
    <w:rsid w:val="00C50795"/>
    <w:rsid w:val="00C51C64"/>
    <w:rsid w:val="00C53EF2"/>
    <w:rsid w:val="00C55846"/>
    <w:rsid w:val="00C564FF"/>
    <w:rsid w:val="00C57050"/>
    <w:rsid w:val="00C61294"/>
    <w:rsid w:val="00C61951"/>
    <w:rsid w:val="00C61EA2"/>
    <w:rsid w:val="00C6305B"/>
    <w:rsid w:val="00C63109"/>
    <w:rsid w:val="00C6387C"/>
    <w:rsid w:val="00C63A1E"/>
    <w:rsid w:val="00C63C1F"/>
    <w:rsid w:val="00C63ED7"/>
    <w:rsid w:val="00C64EA3"/>
    <w:rsid w:val="00C65397"/>
    <w:rsid w:val="00C6607A"/>
    <w:rsid w:val="00C66319"/>
    <w:rsid w:val="00C704FC"/>
    <w:rsid w:val="00C705DA"/>
    <w:rsid w:val="00C7077F"/>
    <w:rsid w:val="00C713EF"/>
    <w:rsid w:val="00C715F0"/>
    <w:rsid w:val="00C7168A"/>
    <w:rsid w:val="00C7243B"/>
    <w:rsid w:val="00C72F9A"/>
    <w:rsid w:val="00C7356F"/>
    <w:rsid w:val="00C73876"/>
    <w:rsid w:val="00C74126"/>
    <w:rsid w:val="00C74C39"/>
    <w:rsid w:val="00C74DA9"/>
    <w:rsid w:val="00C74E8D"/>
    <w:rsid w:val="00C753BA"/>
    <w:rsid w:val="00C75E67"/>
    <w:rsid w:val="00C7638D"/>
    <w:rsid w:val="00C763EA"/>
    <w:rsid w:val="00C76C14"/>
    <w:rsid w:val="00C7720F"/>
    <w:rsid w:val="00C77417"/>
    <w:rsid w:val="00C7763A"/>
    <w:rsid w:val="00C77C09"/>
    <w:rsid w:val="00C8049D"/>
    <w:rsid w:val="00C80829"/>
    <w:rsid w:val="00C812DA"/>
    <w:rsid w:val="00C826FE"/>
    <w:rsid w:val="00C83CAA"/>
    <w:rsid w:val="00C84582"/>
    <w:rsid w:val="00C84BD6"/>
    <w:rsid w:val="00C854F5"/>
    <w:rsid w:val="00C858FA"/>
    <w:rsid w:val="00C85E77"/>
    <w:rsid w:val="00C8668E"/>
    <w:rsid w:val="00C86988"/>
    <w:rsid w:val="00C86D90"/>
    <w:rsid w:val="00C872C5"/>
    <w:rsid w:val="00C8748F"/>
    <w:rsid w:val="00C87980"/>
    <w:rsid w:val="00C87FB8"/>
    <w:rsid w:val="00C91347"/>
    <w:rsid w:val="00C91485"/>
    <w:rsid w:val="00C91CF4"/>
    <w:rsid w:val="00C92123"/>
    <w:rsid w:val="00C92283"/>
    <w:rsid w:val="00C92D53"/>
    <w:rsid w:val="00C9376D"/>
    <w:rsid w:val="00C946DC"/>
    <w:rsid w:val="00C948B0"/>
    <w:rsid w:val="00C95596"/>
    <w:rsid w:val="00C95850"/>
    <w:rsid w:val="00C95B85"/>
    <w:rsid w:val="00C96827"/>
    <w:rsid w:val="00C96F81"/>
    <w:rsid w:val="00C970E6"/>
    <w:rsid w:val="00C97196"/>
    <w:rsid w:val="00C97362"/>
    <w:rsid w:val="00C978F2"/>
    <w:rsid w:val="00C97F24"/>
    <w:rsid w:val="00C97F3F"/>
    <w:rsid w:val="00CA0119"/>
    <w:rsid w:val="00CA01CE"/>
    <w:rsid w:val="00CA0B5E"/>
    <w:rsid w:val="00CA0F4F"/>
    <w:rsid w:val="00CA15D7"/>
    <w:rsid w:val="00CA2507"/>
    <w:rsid w:val="00CA2F21"/>
    <w:rsid w:val="00CA320E"/>
    <w:rsid w:val="00CA3214"/>
    <w:rsid w:val="00CA3570"/>
    <w:rsid w:val="00CA39CC"/>
    <w:rsid w:val="00CA41DA"/>
    <w:rsid w:val="00CA450E"/>
    <w:rsid w:val="00CA475B"/>
    <w:rsid w:val="00CA47FB"/>
    <w:rsid w:val="00CA4819"/>
    <w:rsid w:val="00CA49A3"/>
    <w:rsid w:val="00CA517A"/>
    <w:rsid w:val="00CA54AA"/>
    <w:rsid w:val="00CA600B"/>
    <w:rsid w:val="00CA709C"/>
    <w:rsid w:val="00CB034B"/>
    <w:rsid w:val="00CB0CA4"/>
    <w:rsid w:val="00CB1F59"/>
    <w:rsid w:val="00CB2844"/>
    <w:rsid w:val="00CB4589"/>
    <w:rsid w:val="00CB461C"/>
    <w:rsid w:val="00CB54F0"/>
    <w:rsid w:val="00CB55D3"/>
    <w:rsid w:val="00CB6054"/>
    <w:rsid w:val="00CB60C9"/>
    <w:rsid w:val="00CB61BC"/>
    <w:rsid w:val="00CB62C0"/>
    <w:rsid w:val="00CB6616"/>
    <w:rsid w:val="00CB6D24"/>
    <w:rsid w:val="00CB6F56"/>
    <w:rsid w:val="00CB795F"/>
    <w:rsid w:val="00CC0148"/>
    <w:rsid w:val="00CC0486"/>
    <w:rsid w:val="00CC0B67"/>
    <w:rsid w:val="00CC0D15"/>
    <w:rsid w:val="00CC0D7C"/>
    <w:rsid w:val="00CC12AE"/>
    <w:rsid w:val="00CC2982"/>
    <w:rsid w:val="00CC2A06"/>
    <w:rsid w:val="00CC2B83"/>
    <w:rsid w:val="00CC2EC6"/>
    <w:rsid w:val="00CC36A5"/>
    <w:rsid w:val="00CC3A72"/>
    <w:rsid w:val="00CC4628"/>
    <w:rsid w:val="00CC4867"/>
    <w:rsid w:val="00CC4C21"/>
    <w:rsid w:val="00CC4CE2"/>
    <w:rsid w:val="00CC5411"/>
    <w:rsid w:val="00CC5A59"/>
    <w:rsid w:val="00CC5AB0"/>
    <w:rsid w:val="00CC6371"/>
    <w:rsid w:val="00CC6AFF"/>
    <w:rsid w:val="00CC704C"/>
    <w:rsid w:val="00CC7ED8"/>
    <w:rsid w:val="00CC7F08"/>
    <w:rsid w:val="00CC7F7A"/>
    <w:rsid w:val="00CD0E97"/>
    <w:rsid w:val="00CD12CE"/>
    <w:rsid w:val="00CD190E"/>
    <w:rsid w:val="00CD1BF3"/>
    <w:rsid w:val="00CD1D02"/>
    <w:rsid w:val="00CD2423"/>
    <w:rsid w:val="00CD3382"/>
    <w:rsid w:val="00CD61AD"/>
    <w:rsid w:val="00CD6D33"/>
    <w:rsid w:val="00CD73EB"/>
    <w:rsid w:val="00CE0085"/>
    <w:rsid w:val="00CE0472"/>
    <w:rsid w:val="00CE071A"/>
    <w:rsid w:val="00CE179F"/>
    <w:rsid w:val="00CE1AAB"/>
    <w:rsid w:val="00CE1C07"/>
    <w:rsid w:val="00CE290A"/>
    <w:rsid w:val="00CE2B6C"/>
    <w:rsid w:val="00CE2C1A"/>
    <w:rsid w:val="00CE31A0"/>
    <w:rsid w:val="00CE3F53"/>
    <w:rsid w:val="00CE4134"/>
    <w:rsid w:val="00CE4D05"/>
    <w:rsid w:val="00CE558E"/>
    <w:rsid w:val="00CE5774"/>
    <w:rsid w:val="00CE5ACE"/>
    <w:rsid w:val="00CE5D11"/>
    <w:rsid w:val="00CE602C"/>
    <w:rsid w:val="00CE609E"/>
    <w:rsid w:val="00CE78A8"/>
    <w:rsid w:val="00CE7933"/>
    <w:rsid w:val="00CF164C"/>
    <w:rsid w:val="00CF28AB"/>
    <w:rsid w:val="00CF2C6F"/>
    <w:rsid w:val="00CF4131"/>
    <w:rsid w:val="00CF5085"/>
    <w:rsid w:val="00CF5FDC"/>
    <w:rsid w:val="00CF60F4"/>
    <w:rsid w:val="00CF64C8"/>
    <w:rsid w:val="00CF659F"/>
    <w:rsid w:val="00CF6AF2"/>
    <w:rsid w:val="00CF753B"/>
    <w:rsid w:val="00CF76FF"/>
    <w:rsid w:val="00D001DF"/>
    <w:rsid w:val="00D00382"/>
    <w:rsid w:val="00D00566"/>
    <w:rsid w:val="00D0086A"/>
    <w:rsid w:val="00D015D2"/>
    <w:rsid w:val="00D02C8E"/>
    <w:rsid w:val="00D02EF1"/>
    <w:rsid w:val="00D05719"/>
    <w:rsid w:val="00D057C9"/>
    <w:rsid w:val="00D05E23"/>
    <w:rsid w:val="00D05E2E"/>
    <w:rsid w:val="00D064D8"/>
    <w:rsid w:val="00D066B8"/>
    <w:rsid w:val="00D06CAE"/>
    <w:rsid w:val="00D06CF7"/>
    <w:rsid w:val="00D07A8D"/>
    <w:rsid w:val="00D1024D"/>
    <w:rsid w:val="00D11F5B"/>
    <w:rsid w:val="00D120BF"/>
    <w:rsid w:val="00D13C21"/>
    <w:rsid w:val="00D143EC"/>
    <w:rsid w:val="00D145B6"/>
    <w:rsid w:val="00D1469B"/>
    <w:rsid w:val="00D15792"/>
    <w:rsid w:val="00D16547"/>
    <w:rsid w:val="00D16FE1"/>
    <w:rsid w:val="00D1741D"/>
    <w:rsid w:val="00D174C3"/>
    <w:rsid w:val="00D17C5D"/>
    <w:rsid w:val="00D17D15"/>
    <w:rsid w:val="00D17E55"/>
    <w:rsid w:val="00D17EED"/>
    <w:rsid w:val="00D2179B"/>
    <w:rsid w:val="00D21B97"/>
    <w:rsid w:val="00D21F46"/>
    <w:rsid w:val="00D22699"/>
    <w:rsid w:val="00D22ADD"/>
    <w:rsid w:val="00D22B53"/>
    <w:rsid w:val="00D22BE9"/>
    <w:rsid w:val="00D2316C"/>
    <w:rsid w:val="00D232B7"/>
    <w:rsid w:val="00D23531"/>
    <w:rsid w:val="00D24841"/>
    <w:rsid w:val="00D24D0C"/>
    <w:rsid w:val="00D24FF4"/>
    <w:rsid w:val="00D25D3A"/>
    <w:rsid w:val="00D27D27"/>
    <w:rsid w:val="00D27F63"/>
    <w:rsid w:val="00D300F2"/>
    <w:rsid w:val="00D30A84"/>
    <w:rsid w:val="00D30CBA"/>
    <w:rsid w:val="00D31277"/>
    <w:rsid w:val="00D323B5"/>
    <w:rsid w:val="00D327B7"/>
    <w:rsid w:val="00D34371"/>
    <w:rsid w:val="00D3472E"/>
    <w:rsid w:val="00D35568"/>
    <w:rsid w:val="00D3564F"/>
    <w:rsid w:val="00D3570A"/>
    <w:rsid w:val="00D36333"/>
    <w:rsid w:val="00D3724B"/>
    <w:rsid w:val="00D375E9"/>
    <w:rsid w:val="00D37A7B"/>
    <w:rsid w:val="00D37C36"/>
    <w:rsid w:val="00D4187B"/>
    <w:rsid w:val="00D41E1D"/>
    <w:rsid w:val="00D4204D"/>
    <w:rsid w:val="00D422A8"/>
    <w:rsid w:val="00D428B3"/>
    <w:rsid w:val="00D429B4"/>
    <w:rsid w:val="00D42A6A"/>
    <w:rsid w:val="00D438B3"/>
    <w:rsid w:val="00D43E58"/>
    <w:rsid w:val="00D44150"/>
    <w:rsid w:val="00D4450B"/>
    <w:rsid w:val="00D44585"/>
    <w:rsid w:val="00D44D21"/>
    <w:rsid w:val="00D456C4"/>
    <w:rsid w:val="00D459CF"/>
    <w:rsid w:val="00D4601F"/>
    <w:rsid w:val="00D46A7B"/>
    <w:rsid w:val="00D46D74"/>
    <w:rsid w:val="00D474FC"/>
    <w:rsid w:val="00D5073A"/>
    <w:rsid w:val="00D50C9B"/>
    <w:rsid w:val="00D51825"/>
    <w:rsid w:val="00D52088"/>
    <w:rsid w:val="00D52AFE"/>
    <w:rsid w:val="00D52EEA"/>
    <w:rsid w:val="00D53342"/>
    <w:rsid w:val="00D53B2F"/>
    <w:rsid w:val="00D54029"/>
    <w:rsid w:val="00D549BF"/>
    <w:rsid w:val="00D54FE3"/>
    <w:rsid w:val="00D551E1"/>
    <w:rsid w:val="00D5528E"/>
    <w:rsid w:val="00D55622"/>
    <w:rsid w:val="00D55763"/>
    <w:rsid w:val="00D5708A"/>
    <w:rsid w:val="00D57130"/>
    <w:rsid w:val="00D576B5"/>
    <w:rsid w:val="00D57849"/>
    <w:rsid w:val="00D579C5"/>
    <w:rsid w:val="00D60439"/>
    <w:rsid w:val="00D60503"/>
    <w:rsid w:val="00D606C2"/>
    <w:rsid w:val="00D60D06"/>
    <w:rsid w:val="00D6199A"/>
    <w:rsid w:val="00D6215D"/>
    <w:rsid w:val="00D62AB4"/>
    <w:rsid w:val="00D62F46"/>
    <w:rsid w:val="00D634BA"/>
    <w:rsid w:val="00D642F9"/>
    <w:rsid w:val="00D64D3D"/>
    <w:rsid w:val="00D65FEF"/>
    <w:rsid w:val="00D6661E"/>
    <w:rsid w:val="00D6714F"/>
    <w:rsid w:val="00D67C66"/>
    <w:rsid w:val="00D70BF5"/>
    <w:rsid w:val="00D70EB2"/>
    <w:rsid w:val="00D70F50"/>
    <w:rsid w:val="00D715EF"/>
    <w:rsid w:val="00D720BB"/>
    <w:rsid w:val="00D7218F"/>
    <w:rsid w:val="00D729FE"/>
    <w:rsid w:val="00D74212"/>
    <w:rsid w:val="00D7544C"/>
    <w:rsid w:val="00D75924"/>
    <w:rsid w:val="00D75DD0"/>
    <w:rsid w:val="00D7602E"/>
    <w:rsid w:val="00D76657"/>
    <w:rsid w:val="00D76996"/>
    <w:rsid w:val="00D76B33"/>
    <w:rsid w:val="00D76E97"/>
    <w:rsid w:val="00D77C45"/>
    <w:rsid w:val="00D77E33"/>
    <w:rsid w:val="00D800CE"/>
    <w:rsid w:val="00D81071"/>
    <w:rsid w:val="00D81DC8"/>
    <w:rsid w:val="00D81EDA"/>
    <w:rsid w:val="00D81F5A"/>
    <w:rsid w:val="00D821E0"/>
    <w:rsid w:val="00D82879"/>
    <w:rsid w:val="00D82A7D"/>
    <w:rsid w:val="00D835A8"/>
    <w:rsid w:val="00D83B82"/>
    <w:rsid w:val="00D84F69"/>
    <w:rsid w:val="00D85D3F"/>
    <w:rsid w:val="00D8619A"/>
    <w:rsid w:val="00D866E5"/>
    <w:rsid w:val="00D86DBA"/>
    <w:rsid w:val="00D86FFD"/>
    <w:rsid w:val="00D87479"/>
    <w:rsid w:val="00D87C59"/>
    <w:rsid w:val="00D87CD8"/>
    <w:rsid w:val="00D90641"/>
    <w:rsid w:val="00D90BE9"/>
    <w:rsid w:val="00D9150D"/>
    <w:rsid w:val="00D9172F"/>
    <w:rsid w:val="00D92B42"/>
    <w:rsid w:val="00D92E8F"/>
    <w:rsid w:val="00D93254"/>
    <w:rsid w:val="00D94563"/>
    <w:rsid w:val="00D952A8"/>
    <w:rsid w:val="00D95840"/>
    <w:rsid w:val="00D9618F"/>
    <w:rsid w:val="00D961F2"/>
    <w:rsid w:val="00D96231"/>
    <w:rsid w:val="00D96643"/>
    <w:rsid w:val="00D97687"/>
    <w:rsid w:val="00D9775E"/>
    <w:rsid w:val="00D9795A"/>
    <w:rsid w:val="00D97A66"/>
    <w:rsid w:val="00DA023C"/>
    <w:rsid w:val="00DA0437"/>
    <w:rsid w:val="00DA1610"/>
    <w:rsid w:val="00DA1A11"/>
    <w:rsid w:val="00DA1BEF"/>
    <w:rsid w:val="00DA20ED"/>
    <w:rsid w:val="00DA28A8"/>
    <w:rsid w:val="00DA3143"/>
    <w:rsid w:val="00DA34A7"/>
    <w:rsid w:val="00DA4B38"/>
    <w:rsid w:val="00DA4EAE"/>
    <w:rsid w:val="00DA55D4"/>
    <w:rsid w:val="00DA6854"/>
    <w:rsid w:val="00DA6D4F"/>
    <w:rsid w:val="00DA6FB4"/>
    <w:rsid w:val="00DA76D8"/>
    <w:rsid w:val="00DA7AC3"/>
    <w:rsid w:val="00DA7B65"/>
    <w:rsid w:val="00DB10A8"/>
    <w:rsid w:val="00DB134D"/>
    <w:rsid w:val="00DB1B91"/>
    <w:rsid w:val="00DB1D18"/>
    <w:rsid w:val="00DB21DC"/>
    <w:rsid w:val="00DB22B0"/>
    <w:rsid w:val="00DB32B1"/>
    <w:rsid w:val="00DB3DED"/>
    <w:rsid w:val="00DB4099"/>
    <w:rsid w:val="00DB4533"/>
    <w:rsid w:val="00DB4C98"/>
    <w:rsid w:val="00DB5045"/>
    <w:rsid w:val="00DB584E"/>
    <w:rsid w:val="00DB62F6"/>
    <w:rsid w:val="00DB6511"/>
    <w:rsid w:val="00DB69D9"/>
    <w:rsid w:val="00DB79ED"/>
    <w:rsid w:val="00DB7E90"/>
    <w:rsid w:val="00DC16AF"/>
    <w:rsid w:val="00DC2557"/>
    <w:rsid w:val="00DC3035"/>
    <w:rsid w:val="00DC32EC"/>
    <w:rsid w:val="00DC36BA"/>
    <w:rsid w:val="00DC4099"/>
    <w:rsid w:val="00DC4790"/>
    <w:rsid w:val="00DC546F"/>
    <w:rsid w:val="00DC6737"/>
    <w:rsid w:val="00DC6C1A"/>
    <w:rsid w:val="00DD051E"/>
    <w:rsid w:val="00DD05B3"/>
    <w:rsid w:val="00DD0BA0"/>
    <w:rsid w:val="00DD0F76"/>
    <w:rsid w:val="00DD1046"/>
    <w:rsid w:val="00DD1CCF"/>
    <w:rsid w:val="00DD3D3B"/>
    <w:rsid w:val="00DD4272"/>
    <w:rsid w:val="00DD4364"/>
    <w:rsid w:val="00DD43D1"/>
    <w:rsid w:val="00DD53A9"/>
    <w:rsid w:val="00DD5856"/>
    <w:rsid w:val="00DD5E6C"/>
    <w:rsid w:val="00DD62F8"/>
    <w:rsid w:val="00DD65A9"/>
    <w:rsid w:val="00DD7B40"/>
    <w:rsid w:val="00DD7DBB"/>
    <w:rsid w:val="00DE117E"/>
    <w:rsid w:val="00DE1987"/>
    <w:rsid w:val="00DE1EF9"/>
    <w:rsid w:val="00DE2A71"/>
    <w:rsid w:val="00DE2AC1"/>
    <w:rsid w:val="00DE3081"/>
    <w:rsid w:val="00DE36CF"/>
    <w:rsid w:val="00DE42BA"/>
    <w:rsid w:val="00DE471B"/>
    <w:rsid w:val="00DE4793"/>
    <w:rsid w:val="00DE4C26"/>
    <w:rsid w:val="00DE50C2"/>
    <w:rsid w:val="00DE55DE"/>
    <w:rsid w:val="00DE566F"/>
    <w:rsid w:val="00DE56A3"/>
    <w:rsid w:val="00DE5924"/>
    <w:rsid w:val="00DE5DF9"/>
    <w:rsid w:val="00DE5E0C"/>
    <w:rsid w:val="00DE6468"/>
    <w:rsid w:val="00DE6B02"/>
    <w:rsid w:val="00DE6E03"/>
    <w:rsid w:val="00DE7573"/>
    <w:rsid w:val="00DE7834"/>
    <w:rsid w:val="00DF0728"/>
    <w:rsid w:val="00DF11E5"/>
    <w:rsid w:val="00DF1ADC"/>
    <w:rsid w:val="00DF200A"/>
    <w:rsid w:val="00DF2249"/>
    <w:rsid w:val="00DF2347"/>
    <w:rsid w:val="00DF2C5D"/>
    <w:rsid w:val="00DF30D5"/>
    <w:rsid w:val="00DF363A"/>
    <w:rsid w:val="00DF3BA9"/>
    <w:rsid w:val="00DF4173"/>
    <w:rsid w:val="00DF43ED"/>
    <w:rsid w:val="00DF4488"/>
    <w:rsid w:val="00DF5070"/>
    <w:rsid w:val="00DF53E8"/>
    <w:rsid w:val="00DF549B"/>
    <w:rsid w:val="00DF583A"/>
    <w:rsid w:val="00DF5D1D"/>
    <w:rsid w:val="00DF61C8"/>
    <w:rsid w:val="00DF6323"/>
    <w:rsid w:val="00DF6B26"/>
    <w:rsid w:val="00DF744E"/>
    <w:rsid w:val="00E00258"/>
    <w:rsid w:val="00E0068F"/>
    <w:rsid w:val="00E00E61"/>
    <w:rsid w:val="00E00EC2"/>
    <w:rsid w:val="00E01278"/>
    <w:rsid w:val="00E012AD"/>
    <w:rsid w:val="00E01906"/>
    <w:rsid w:val="00E01B7C"/>
    <w:rsid w:val="00E03076"/>
    <w:rsid w:val="00E03DCB"/>
    <w:rsid w:val="00E054BA"/>
    <w:rsid w:val="00E05967"/>
    <w:rsid w:val="00E06F9F"/>
    <w:rsid w:val="00E06FA8"/>
    <w:rsid w:val="00E07012"/>
    <w:rsid w:val="00E10309"/>
    <w:rsid w:val="00E1099E"/>
    <w:rsid w:val="00E10D3F"/>
    <w:rsid w:val="00E110EB"/>
    <w:rsid w:val="00E1129E"/>
    <w:rsid w:val="00E1186B"/>
    <w:rsid w:val="00E120DB"/>
    <w:rsid w:val="00E121DD"/>
    <w:rsid w:val="00E12264"/>
    <w:rsid w:val="00E12D37"/>
    <w:rsid w:val="00E1322E"/>
    <w:rsid w:val="00E14D19"/>
    <w:rsid w:val="00E151A4"/>
    <w:rsid w:val="00E15309"/>
    <w:rsid w:val="00E15A07"/>
    <w:rsid w:val="00E15A7E"/>
    <w:rsid w:val="00E15C16"/>
    <w:rsid w:val="00E15CA0"/>
    <w:rsid w:val="00E160CA"/>
    <w:rsid w:val="00E1675C"/>
    <w:rsid w:val="00E16977"/>
    <w:rsid w:val="00E16BE1"/>
    <w:rsid w:val="00E17DAB"/>
    <w:rsid w:val="00E20209"/>
    <w:rsid w:val="00E20243"/>
    <w:rsid w:val="00E20628"/>
    <w:rsid w:val="00E2103B"/>
    <w:rsid w:val="00E2109D"/>
    <w:rsid w:val="00E21125"/>
    <w:rsid w:val="00E223BE"/>
    <w:rsid w:val="00E22A07"/>
    <w:rsid w:val="00E235C3"/>
    <w:rsid w:val="00E23B90"/>
    <w:rsid w:val="00E23DC5"/>
    <w:rsid w:val="00E24EEF"/>
    <w:rsid w:val="00E2501D"/>
    <w:rsid w:val="00E253F7"/>
    <w:rsid w:val="00E26003"/>
    <w:rsid w:val="00E263A5"/>
    <w:rsid w:val="00E269F9"/>
    <w:rsid w:val="00E273FF"/>
    <w:rsid w:val="00E27B91"/>
    <w:rsid w:val="00E30493"/>
    <w:rsid w:val="00E306E7"/>
    <w:rsid w:val="00E3087C"/>
    <w:rsid w:val="00E30E1D"/>
    <w:rsid w:val="00E30FE2"/>
    <w:rsid w:val="00E31E73"/>
    <w:rsid w:val="00E3233A"/>
    <w:rsid w:val="00E3303B"/>
    <w:rsid w:val="00E335C8"/>
    <w:rsid w:val="00E359A2"/>
    <w:rsid w:val="00E360B9"/>
    <w:rsid w:val="00E3664F"/>
    <w:rsid w:val="00E36F77"/>
    <w:rsid w:val="00E36FFA"/>
    <w:rsid w:val="00E37781"/>
    <w:rsid w:val="00E37BA9"/>
    <w:rsid w:val="00E37F9B"/>
    <w:rsid w:val="00E41304"/>
    <w:rsid w:val="00E41663"/>
    <w:rsid w:val="00E421C6"/>
    <w:rsid w:val="00E42411"/>
    <w:rsid w:val="00E42C8A"/>
    <w:rsid w:val="00E436F2"/>
    <w:rsid w:val="00E437A6"/>
    <w:rsid w:val="00E43965"/>
    <w:rsid w:val="00E43E3B"/>
    <w:rsid w:val="00E4452C"/>
    <w:rsid w:val="00E447AB"/>
    <w:rsid w:val="00E4582E"/>
    <w:rsid w:val="00E465C1"/>
    <w:rsid w:val="00E46611"/>
    <w:rsid w:val="00E46AB8"/>
    <w:rsid w:val="00E473B3"/>
    <w:rsid w:val="00E479CE"/>
    <w:rsid w:val="00E500CB"/>
    <w:rsid w:val="00E50E8D"/>
    <w:rsid w:val="00E5176C"/>
    <w:rsid w:val="00E51CB6"/>
    <w:rsid w:val="00E51F1C"/>
    <w:rsid w:val="00E52260"/>
    <w:rsid w:val="00E535A4"/>
    <w:rsid w:val="00E53F1A"/>
    <w:rsid w:val="00E54185"/>
    <w:rsid w:val="00E5444F"/>
    <w:rsid w:val="00E5485D"/>
    <w:rsid w:val="00E54BE8"/>
    <w:rsid w:val="00E54DFE"/>
    <w:rsid w:val="00E55ABA"/>
    <w:rsid w:val="00E5653C"/>
    <w:rsid w:val="00E57064"/>
    <w:rsid w:val="00E5798A"/>
    <w:rsid w:val="00E57C4D"/>
    <w:rsid w:val="00E57CA7"/>
    <w:rsid w:val="00E57D88"/>
    <w:rsid w:val="00E60BB0"/>
    <w:rsid w:val="00E61C5E"/>
    <w:rsid w:val="00E61D42"/>
    <w:rsid w:val="00E61EC0"/>
    <w:rsid w:val="00E61F7A"/>
    <w:rsid w:val="00E62360"/>
    <w:rsid w:val="00E62415"/>
    <w:rsid w:val="00E626DA"/>
    <w:rsid w:val="00E62B36"/>
    <w:rsid w:val="00E62DF5"/>
    <w:rsid w:val="00E62E16"/>
    <w:rsid w:val="00E63BDC"/>
    <w:rsid w:val="00E647C8"/>
    <w:rsid w:val="00E64EFB"/>
    <w:rsid w:val="00E657FE"/>
    <w:rsid w:val="00E65C69"/>
    <w:rsid w:val="00E65DC9"/>
    <w:rsid w:val="00E65E6A"/>
    <w:rsid w:val="00E66527"/>
    <w:rsid w:val="00E667FA"/>
    <w:rsid w:val="00E670DD"/>
    <w:rsid w:val="00E6752E"/>
    <w:rsid w:val="00E67880"/>
    <w:rsid w:val="00E679FE"/>
    <w:rsid w:val="00E67C82"/>
    <w:rsid w:val="00E70288"/>
    <w:rsid w:val="00E702CE"/>
    <w:rsid w:val="00E70C94"/>
    <w:rsid w:val="00E70F0A"/>
    <w:rsid w:val="00E70FE5"/>
    <w:rsid w:val="00E71844"/>
    <w:rsid w:val="00E731D7"/>
    <w:rsid w:val="00E7356F"/>
    <w:rsid w:val="00E7371B"/>
    <w:rsid w:val="00E73765"/>
    <w:rsid w:val="00E74496"/>
    <w:rsid w:val="00E74ACE"/>
    <w:rsid w:val="00E75A0F"/>
    <w:rsid w:val="00E77C06"/>
    <w:rsid w:val="00E80D5E"/>
    <w:rsid w:val="00E82C3B"/>
    <w:rsid w:val="00E831F7"/>
    <w:rsid w:val="00E835D7"/>
    <w:rsid w:val="00E85130"/>
    <w:rsid w:val="00E855E0"/>
    <w:rsid w:val="00E860B7"/>
    <w:rsid w:val="00E8660F"/>
    <w:rsid w:val="00E8780D"/>
    <w:rsid w:val="00E90201"/>
    <w:rsid w:val="00E916B2"/>
    <w:rsid w:val="00E91AB3"/>
    <w:rsid w:val="00E9221F"/>
    <w:rsid w:val="00E92644"/>
    <w:rsid w:val="00E92C29"/>
    <w:rsid w:val="00E93594"/>
    <w:rsid w:val="00E93C24"/>
    <w:rsid w:val="00E94499"/>
    <w:rsid w:val="00E95DB8"/>
    <w:rsid w:val="00E95E3B"/>
    <w:rsid w:val="00E97527"/>
    <w:rsid w:val="00EA186C"/>
    <w:rsid w:val="00EA19DB"/>
    <w:rsid w:val="00EA1E1D"/>
    <w:rsid w:val="00EA3268"/>
    <w:rsid w:val="00EA4606"/>
    <w:rsid w:val="00EA46A8"/>
    <w:rsid w:val="00EA480F"/>
    <w:rsid w:val="00EA5A9E"/>
    <w:rsid w:val="00EA6153"/>
    <w:rsid w:val="00EA6451"/>
    <w:rsid w:val="00EA6556"/>
    <w:rsid w:val="00EA6842"/>
    <w:rsid w:val="00EA69B2"/>
    <w:rsid w:val="00EA6D25"/>
    <w:rsid w:val="00EA6ED5"/>
    <w:rsid w:val="00EA723E"/>
    <w:rsid w:val="00EB05CF"/>
    <w:rsid w:val="00EB0C65"/>
    <w:rsid w:val="00EB0D9E"/>
    <w:rsid w:val="00EB12DD"/>
    <w:rsid w:val="00EB16BB"/>
    <w:rsid w:val="00EB1929"/>
    <w:rsid w:val="00EB1B80"/>
    <w:rsid w:val="00EB34A7"/>
    <w:rsid w:val="00EB3AD8"/>
    <w:rsid w:val="00EB45B5"/>
    <w:rsid w:val="00EB4C26"/>
    <w:rsid w:val="00EB5127"/>
    <w:rsid w:val="00EB53F2"/>
    <w:rsid w:val="00EB548C"/>
    <w:rsid w:val="00EB5863"/>
    <w:rsid w:val="00EB5F86"/>
    <w:rsid w:val="00EB6714"/>
    <w:rsid w:val="00EB6D3C"/>
    <w:rsid w:val="00EB7803"/>
    <w:rsid w:val="00EC0295"/>
    <w:rsid w:val="00EC0454"/>
    <w:rsid w:val="00EC113D"/>
    <w:rsid w:val="00EC19FA"/>
    <w:rsid w:val="00EC1F39"/>
    <w:rsid w:val="00EC2948"/>
    <w:rsid w:val="00EC3A4F"/>
    <w:rsid w:val="00EC5F86"/>
    <w:rsid w:val="00EC6751"/>
    <w:rsid w:val="00EC7CF7"/>
    <w:rsid w:val="00ED0552"/>
    <w:rsid w:val="00ED074B"/>
    <w:rsid w:val="00ED0940"/>
    <w:rsid w:val="00ED25CE"/>
    <w:rsid w:val="00ED336B"/>
    <w:rsid w:val="00ED35BE"/>
    <w:rsid w:val="00ED37EA"/>
    <w:rsid w:val="00ED3A55"/>
    <w:rsid w:val="00ED3B06"/>
    <w:rsid w:val="00ED402C"/>
    <w:rsid w:val="00ED4A7E"/>
    <w:rsid w:val="00ED511B"/>
    <w:rsid w:val="00ED5196"/>
    <w:rsid w:val="00ED5B3C"/>
    <w:rsid w:val="00ED5DF5"/>
    <w:rsid w:val="00ED6309"/>
    <w:rsid w:val="00ED7DD7"/>
    <w:rsid w:val="00ED7E5F"/>
    <w:rsid w:val="00EE0370"/>
    <w:rsid w:val="00EE0ACF"/>
    <w:rsid w:val="00EE1CBE"/>
    <w:rsid w:val="00EE2024"/>
    <w:rsid w:val="00EE22E3"/>
    <w:rsid w:val="00EE2ED0"/>
    <w:rsid w:val="00EE3119"/>
    <w:rsid w:val="00EE37DE"/>
    <w:rsid w:val="00EE3EE2"/>
    <w:rsid w:val="00EE44D1"/>
    <w:rsid w:val="00EE5984"/>
    <w:rsid w:val="00EE67C5"/>
    <w:rsid w:val="00EF0A82"/>
    <w:rsid w:val="00EF18EF"/>
    <w:rsid w:val="00EF19E6"/>
    <w:rsid w:val="00EF2391"/>
    <w:rsid w:val="00EF265A"/>
    <w:rsid w:val="00EF4031"/>
    <w:rsid w:val="00EF43B9"/>
    <w:rsid w:val="00EF4404"/>
    <w:rsid w:val="00EF44B2"/>
    <w:rsid w:val="00EF45CE"/>
    <w:rsid w:val="00EF4C71"/>
    <w:rsid w:val="00EF530C"/>
    <w:rsid w:val="00EF5819"/>
    <w:rsid w:val="00EF6374"/>
    <w:rsid w:val="00EF6673"/>
    <w:rsid w:val="00EF6879"/>
    <w:rsid w:val="00EF695C"/>
    <w:rsid w:val="00F00984"/>
    <w:rsid w:val="00F00DD7"/>
    <w:rsid w:val="00F01FD7"/>
    <w:rsid w:val="00F01FF7"/>
    <w:rsid w:val="00F033E6"/>
    <w:rsid w:val="00F0529E"/>
    <w:rsid w:val="00F057FC"/>
    <w:rsid w:val="00F05908"/>
    <w:rsid w:val="00F1003E"/>
    <w:rsid w:val="00F10305"/>
    <w:rsid w:val="00F10344"/>
    <w:rsid w:val="00F1076B"/>
    <w:rsid w:val="00F10A6C"/>
    <w:rsid w:val="00F10BFE"/>
    <w:rsid w:val="00F10CE5"/>
    <w:rsid w:val="00F10D71"/>
    <w:rsid w:val="00F112CC"/>
    <w:rsid w:val="00F1156C"/>
    <w:rsid w:val="00F116F3"/>
    <w:rsid w:val="00F11A78"/>
    <w:rsid w:val="00F11B1F"/>
    <w:rsid w:val="00F11B9B"/>
    <w:rsid w:val="00F11D20"/>
    <w:rsid w:val="00F120D0"/>
    <w:rsid w:val="00F12740"/>
    <w:rsid w:val="00F127B1"/>
    <w:rsid w:val="00F12ABA"/>
    <w:rsid w:val="00F130FC"/>
    <w:rsid w:val="00F1363A"/>
    <w:rsid w:val="00F13E0D"/>
    <w:rsid w:val="00F14050"/>
    <w:rsid w:val="00F15DFF"/>
    <w:rsid w:val="00F15F6A"/>
    <w:rsid w:val="00F16CBB"/>
    <w:rsid w:val="00F16E6F"/>
    <w:rsid w:val="00F175CA"/>
    <w:rsid w:val="00F20B6E"/>
    <w:rsid w:val="00F20D2D"/>
    <w:rsid w:val="00F20D3F"/>
    <w:rsid w:val="00F20FF5"/>
    <w:rsid w:val="00F2185C"/>
    <w:rsid w:val="00F225FB"/>
    <w:rsid w:val="00F2275B"/>
    <w:rsid w:val="00F23461"/>
    <w:rsid w:val="00F24613"/>
    <w:rsid w:val="00F248EC"/>
    <w:rsid w:val="00F24BCF"/>
    <w:rsid w:val="00F24C64"/>
    <w:rsid w:val="00F25601"/>
    <w:rsid w:val="00F26263"/>
    <w:rsid w:val="00F2639B"/>
    <w:rsid w:val="00F271F4"/>
    <w:rsid w:val="00F276EE"/>
    <w:rsid w:val="00F27938"/>
    <w:rsid w:val="00F300DE"/>
    <w:rsid w:val="00F3181A"/>
    <w:rsid w:val="00F3255F"/>
    <w:rsid w:val="00F325C9"/>
    <w:rsid w:val="00F328EB"/>
    <w:rsid w:val="00F33271"/>
    <w:rsid w:val="00F3510E"/>
    <w:rsid w:val="00F35319"/>
    <w:rsid w:val="00F355ED"/>
    <w:rsid w:val="00F35B8D"/>
    <w:rsid w:val="00F36CA0"/>
    <w:rsid w:val="00F373DC"/>
    <w:rsid w:val="00F37EF3"/>
    <w:rsid w:val="00F403D6"/>
    <w:rsid w:val="00F40782"/>
    <w:rsid w:val="00F41AAD"/>
    <w:rsid w:val="00F422EF"/>
    <w:rsid w:val="00F42894"/>
    <w:rsid w:val="00F43E26"/>
    <w:rsid w:val="00F44690"/>
    <w:rsid w:val="00F4532B"/>
    <w:rsid w:val="00F45CF2"/>
    <w:rsid w:val="00F45E09"/>
    <w:rsid w:val="00F46D83"/>
    <w:rsid w:val="00F470EA"/>
    <w:rsid w:val="00F47B25"/>
    <w:rsid w:val="00F47C06"/>
    <w:rsid w:val="00F47EB4"/>
    <w:rsid w:val="00F50139"/>
    <w:rsid w:val="00F5038E"/>
    <w:rsid w:val="00F506AE"/>
    <w:rsid w:val="00F51346"/>
    <w:rsid w:val="00F5235B"/>
    <w:rsid w:val="00F54947"/>
    <w:rsid w:val="00F54F7B"/>
    <w:rsid w:val="00F55530"/>
    <w:rsid w:val="00F55CD7"/>
    <w:rsid w:val="00F560DC"/>
    <w:rsid w:val="00F56603"/>
    <w:rsid w:val="00F56916"/>
    <w:rsid w:val="00F56AD0"/>
    <w:rsid w:val="00F56CB1"/>
    <w:rsid w:val="00F57726"/>
    <w:rsid w:val="00F57AB0"/>
    <w:rsid w:val="00F57E03"/>
    <w:rsid w:val="00F62530"/>
    <w:rsid w:val="00F626C2"/>
    <w:rsid w:val="00F62BC9"/>
    <w:rsid w:val="00F630EF"/>
    <w:rsid w:val="00F63F85"/>
    <w:rsid w:val="00F65819"/>
    <w:rsid w:val="00F661D0"/>
    <w:rsid w:val="00F66865"/>
    <w:rsid w:val="00F67A6B"/>
    <w:rsid w:val="00F701A3"/>
    <w:rsid w:val="00F709E0"/>
    <w:rsid w:val="00F70B5B"/>
    <w:rsid w:val="00F70BA6"/>
    <w:rsid w:val="00F714FD"/>
    <w:rsid w:val="00F71634"/>
    <w:rsid w:val="00F7244F"/>
    <w:rsid w:val="00F72962"/>
    <w:rsid w:val="00F72CC8"/>
    <w:rsid w:val="00F72D23"/>
    <w:rsid w:val="00F743D8"/>
    <w:rsid w:val="00F74C2E"/>
    <w:rsid w:val="00F74CB0"/>
    <w:rsid w:val="00F74DDD"/>
    <w:rsid w:val="00F75495"/>
    <w:rsid w:val="00F75651"/>
    <w:rsid w:val="00F76305"/>
    <w:rsid w:val="00F7639C"/>
    <w:rsid w:val="00F765EB"/>
    <w:rsid w:val="00F773A0"/>
    <w:rsid w:val="00F77E04"/>
    <w:rsid w:val="00F816BA"/>
    <w:rsid w:val="00F81CE4"/>
    <w:rsid w:val="00F82168"/>
    <w:rsid w:val="00F822BA"/>
    <w:rsid w:val="00F8263D"/>
    <w:rsid w:val="00F836EA"/>
    <w:rsid w:val="00F842FA"/>
    <w:rsid w:val="00F856A7"/>
    <w:rsid w:val="00F862D9"/>
    <w:rsid w:val="00F8673B"/>
    <w:rsid w:val="00F87522"/>
    <w:rsid w:val="00F905DA"/>
    <w:rsid w:val="00F90652"/>
    <w:rsid w:val="00F906D1"/>
    <w:rsid w:val="00F908F8"/>
    <w:rsid w:val="00F92442"/>
    <w:rsid w:val="00F926C8"/>
    <w:rsid w:val="00F936E6"/>
    <w:rsid w:val="00F939DB"/>
    <w:rsid w:val="00F94195"/>
    <w:rsid w:val="00F94B0A"/>
    <w:rsid w:val="00F94E0D"/>
    <w:rsid w:val="00F94E8C"/>
    <w:rsid w:val="00F95620"/>
    <w:rsid w:val="00F964B0"/>
    <w:rsid w:val="00F96570"/>
    <w:rsid w:val="00F96B95"/>
    <w:rsid w:val="00F973F0"/>
    <w:rsid w:val="00F97B52"/>
    <w:rsid w:val="00F97D2D"/>
    <w:rsid w:val="00FA05A4"/>
    <w:rsid w:val="00FA1250"/>
    <w:rsid w:val="00FA2F87"/>
    <w:rsid w:val="00FA30C2"/>
    <w:rsid w:val="00FA31D8"/>
    <w:rsid w:val="00FA53A7"/>
    <w:rsid w:val="00FA63B6"/>
    <w:rsid w:val="00FA6958"/>
    <w:rsid w:val="00FA7135"/>
    <w:rsid w:val="00FA784C"/>
    <w:rsid w:val="00FB06E1"/>
    <w:rsid w:val="00FB08C6"/>
    <w:rsid w:val="00FB0CA2"/>
    <w:rsid w:val="00FB149F"/>
    <w:rsid w:val="00FB1A25"/>
    <w:rsid w:val="00FB1CBC"/>
    <w:rsid w:val="00FB423A"/>
    <w:rsid w:val="00FB4A9E"/>
    <w:rsid w:val="00FB593E"/>
    <w:rsid w:val="00FB63D6"/>
    <w:rsid w:val="00FB640D"/>
    <w:rsid w:val="00FB66AB"/>
    <w:rsid w:val="00FB6912"/>
    <w:rsid w:val="00FB76EA"/>
    <w:rsid w:val="00FC00DD"/>
    <w:rsid w:val="00FC0A72"/>
    <w:rsid w:val="00FC1247"/>
    <w:rsid w:val="00FC13E2"/>
    <w:rsid w:val="00FC14D9"/>
    <w:rsid w:val="00FC1C66"/>
    <w:rsid w:val="00FC27D4"/>
    <w:rsid w:val="00FC28B8"/>
    <w:rsid w:val="00FC2AB3"/>
    <w:rsid w:val="00FC319C"/>
    <w:rsid w:val="00FC36F4"/>
    <w:rsid w:val="00FC3CD4"/>
    <w:rsid w:val="00FC4769"/>
    <w:rsid w:val="00FC4CF8"/>
    <w:rsid w:val="00FC4E2A"/>
    <w:rsid w:val="00FC52D1"/>
    <w:rsid w:val="00FC6283"/>
    <w:rsid w:val="00FC6CF3"/>
    <w:rsid w:val="00FC6F4F"/>
    <w:rsid w:val="00FD0EB8"/>
    <w:rsid w:val="00FD1B30"/>
    <w:rsid w:val="00FD2956"/>
    <w:rsid w:val="00FD2D29"/>
    <w:rsid w:val="00FD331C"/>
    <w:rsid w:val="00FD3D3E"/>
    <w:rsid w:val="00FD42A4"/>
    <w:rsid w:val="00FD4975"/>
    <w:rsid w:val="00FD5051"/>
    <w:rsid w:val="00FD522D"/>
    <w:rsid w:val="00FD5958"/>
    <w:rsid w:val="00FD5A0F"/>
    <w:rsid w:val="00FD756D"/>
    <w:rsid w:val="00FD786E"/>
    <w:rsid w:val="00FD7972"/>
    <w:rsid w:val="00FD79EA"/>
    <w:rsid w:val="00FE059A"/>
    <w:rsid w:val="00FE0767"/>
    <w:rsid w:val="00FE0781"/>
    <w:rsid w:val="00FE0C53"/>
    <w:rsid w:val="00FE1091"/>
    <w:rsid w:val="00FE1AF6"/>
    <w:rsid w:val="00FE2022"/>
    <w:rsid w:val="00FE2621"/>
    <w:rsid w:val="00FE26A9"/>
    <w:rsid w:val="00FE29AF"/>
    <w:rsid w:val="00FE2DEE"/>
    <w:rsid w:val="00FE3287"/>
    <w:rsid w:val="00FE395C"/>
    <w:rsid w:val="00FE3BF2"/>
    <w:rsid w:val="00FE3DE9"/>
    <w:rsid w:val="00FE54AE"/>
    <w:rsid w:val="00FF046D"/>
    <w:rsid w:val="00FF0F82"/>
    <w:rsid w:val="00FF150F"/>
    <w:rsid w:val="00FF1E56"/>
    <w:rsid w:val="00FF2122"/>
    <w:rsid w:val="00FF2339"/>
    <w:rsid w:val="00FF2430"/>
    <w:rsid w:val="00FF2698"/>
    <w:rsid w:val="00FF26B9"/>
    <w:rsid w:val="00FF2943"/>
    <w:rsid w:val="00FF2DC9"/>
    <w:rsid w:val="00FF33AA"/>
    <w:rsid w:val="00FF371D"/>
    <w:rsid w:val="00FF474A"/>
    <w:rsid w:val="00FF4B33"/>
    <w:rsid w:val="00FF4C77"/>
    <w:rsid w:val="00FF581C"/>
    <w:rsid w:val="00FF5FA2"/>
    <w:rsid w:val="00FF637D"/>
    <w:rsid w:val="00FF64CF"/>
    <w:rsid w:val="00FF6B5D"/>
    <w:rsid w:val="00FF6DB0"/>
    <w:rsid w:val="00FF75BA"/>
    <w:rsid w:val="00FF766A"/>
    <w:rsid w:val="00FF76F1"/>
    <w:rsid w:val="00FF7909"/>
    <w:rsid w:val="00FF7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A2896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065"/>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BE184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BE1843"/>
    <w:pPr>
      <w:spacing w:before="240" w:after="240"/>
      <w:outlineLvl w:val="1"/>
    </w:pPr>
    <w:rPr>
      <w:rFonts w:ascii="Arial Bold" w:hAnsi="Arial Bold"/>
      <w:b/>
      <w:sz w:val="26"/>
    </w:rPr>
  </w:style>
  <w:style w:type="paragraph" w:styleId="Heading3">
    <w:name w:val="heading 3"/>
    <w:basedOn w:val="HeadingBase"/>
    <w:next w:val="Normal"/>
    <w:link w:val="Heading3Char"/>
    <w:qFormat/>
    <w:rsid w:val="00BE1843"/>
    <w:pPr>
      <w:spacing w:before="120" w:after="120"/>
      <w:outlineLvl w:val="2"/>
    </w:pPr>
    <w:rPr>
      <w:rFonts w:ascii="Arial Bold" w:hAnsi="Arial Bold"/>
      <w:b/>
      <w:sz w:val="22"/>
    </w:rPr>
  </w:style>
  <w:style w:type="paragraph" w:styleId="Heading4">
    <w:name w:val="heading 4"/>
    <w:basedOn w:val="HeadingBase"/>
    <w:next w:val="Normal"/>
    <w:link w:val="Heading4Char"/>
    <w:qFormat/>
    <w:rsid w:val="00BE1843"/>
    <w:pPr>
      <w:spacing w:after="120"/>
      <w:outlineLvl w:val="3"/>
    </w:pPr>
    <w:rPr>
      <w:rFonts w:ascii="Arial Bold" w:hAnsi="Arial Bold"/>
      <w:b/>
      <w:sz w:val="20"/>
    </w:rPr>
  </w:style>
  <w:style w:type="paragraph" w:styleId="Heading5">
    <w:name w:val="heading 5"/>
    <w:basedOn w:val="HeadingBase"/>
    <w:next w:val="Normal"/>
    <w:link w:val="Heading5Char"/>
    <w:qFormat/>
    <w:rsid w:val="00BE1843"/>
    <w:pPr>
      <w:spacing w:after="120"/>
      <w:outlineLvl w:val="4"/>
    </w:pPr>
    <w:rPr>
      <w:bCs/>
      <w:i/>
      <w:iCs/>
      <w:sz w:val="20"/>
      <w:szCs w:val="26"/>
    </w:rPr>
  </w:style>
  <w:style w:type="paragraph" w:styleId="Heading6">
    <w:name w:val="heading 6"/>
    <w:basedOn w:val="HeadingBase"/>
    <w:next w:val="Normal"/>
    <w:link w:val="Heading6Char"/>
    <w:rsid w:val="00BE1843"/>
    <w:pPr>
      <w:spacing w:after="120"/>
      <w:outlineLvl w:val="5"/>
    </w:pPr>
    <w:rPr>
      <w:bCs/>
      <w:sz w:val="20"/>
      <w:szCs w:val="22"/>
    </w:rPr>
  </w:style>
  <w:style w:type="paragraph" w:styleId="Heading7">
    <w:name w:val="heading 7"/>
    <w:basedOn w:val="HeadingBase"/>
    <w:next w:val="Normal"/>
    <w:link w:val="Heading7Char"/>
    <w:rsid w:val="00BE1843"/>
    <w:pPr>
      <w:spacing w:before="120"/>
      <w:outlineLvl w:val="6"/>
    </w:pPr>
    <w:rPr>
      <w:sz w:val="20"/>
      <w:szCs w:val="24"/>
    </w:rPr>
  </w:style>
  <w:style w:type="paragraph" w:styleId="Heading8">
    <w:name w:val="heading 8"/>
    <w:basedOn w:val="HeadingBase"/>
    <w:next w:val="Normal"/>
    <w:link w:val="Heading8Char"/>
    <w:rsid w:val="00BE184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BE184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E1843"/>
    <w:pPr>
      <w:spacing w:before="0" w:after="0" w:line="240" w:lineRule="auto"/>
    </w:pPr>
  </w:style>
  <w:style w:type="paragraph" w:customStyle="1" w:styleId="Exampletext">
    <w:name w:val="Example text"/>
    <w:basedOn w:val="Normal"/>
    <w:link w:val="ExampletextCharChar"/>
    <w:rsid w:val="00BE1843"/>
    <w:rPr>
      <w:i/>
      <w:color w:val="FF0000"/>
      <w:lang w:val="x-none" w:eastAsia="x-none"/>
    </w:rPr>
  </w:style>
  <w:style w:type="paragraph" w:customStyle="1" w:styleId="ChartSecondHeading">
    <w:name w:val="Chart Second Heading"/>
    <w:basedOn w:val="HeadingBase"/>
    <w:next w:val="ChartGraphic"/>
    <w:rsid w:val="00BE1843"/>
    <w:pPr>
      <w:spacing w:after="60"/>
    </w:pPr>
    <w:rPr>
      <w:sz w:val="19"/>
    </w:rPr>
  </w:style>
  <w:style w:type="paragraph" w:customStyle="1" w:styleId="TableHeading">
    <w:name w:val="Table Heading"/>
    <w:basedOn w:val="HeadingBase"/>
    <w:next w:val="TableGraphic"/>
    <w:link w:val="TableHeadingChar"/>
    <w:qFormat/>
    <w:rsid w:val="00BE1843"/>
    <w:pPr>
      <w:spacing w:before="120" w:after="20"/>
    </w:pPr>
    <w:rPr>
      <w:b/>
      <w:sz w:val="20"/>
    </w:rPr>
  </w:style>
  <w:style w:type="paragraph" w:customStyle="1" w:styleId="HeadingBase">
    <w:name w:val="Heading Base"/>
    <w:link w:val="HeadingBaseChar"/>
    <w:rsid w:val="00BE1843"/>
    <w:pPr>
      <w:keepNext/>
    </w:pPr>
    <w:rPr>
      <w:rFonts w:ascii="Arial" w:hAnsi="Arial"/>
      <w:sz w:val="24"/>
    </w:rPr>
  </w:style>
  <w:style w:type="paragraph" w:customStyle="1" w:styleId="AlphaParagraph">
    <w:name w:val="Alpha Paragraph"/>
    <w:basedOn w:val="Normal"/>
    <w:rsid w:val="00BE1843"/>
    <w:pPr>
      <w:numPr>
        <w:numId w:val="1"/>
      </w:numPr>
      <w:tabs>
        <w:tab w:val="clear" w:pos="567"/>
        <w:tab w:val="num" w:pos="360"/>
      </w:tabs>
    </w:pPr>
  </w:style>
  <w:style w:type="paragraph" w:customStyle="1" w:styleId="Bullet">
    <w:name w:val="Bullet"/>
    <w:basedOn w:val="Normal"/>
    <w:link w:val="BulletChar"/>
    <w:qFormat/>
    <w:rsid w:val="00BE1843"/>
    <w:pPr>
      <w:numPr>
        <w:numId w:val="2"/>
      </w:numPr>
      <w:spacing w:after="160"/>
    </w:pPr>
  </w:style>
  <w:style w:type="paragraph" w:customStyle="1" w:styleId="Dash">
    <w:name w:val="Dash"/>
    <w:basedOn w:val="Normal"/>
    <w:qFormat/>
    <w:rsid w:val="00BE1843"/>
    <w:pPr>
      <w:numPr>
        <w:ilvl w:val="1"/>
        <w:numId w:val="2"/>
      </w:numPr>
      <w:tabs>
        <w:tab w:val="left" w:pos="567"/>
      </w:tabs>
    </w:pPr>
  </w:style>
  <w:style w:type="paragraph" w:customStyle="1" w:styleId="DoubleDot">
    <w:name w:val="Double Dot"/>
    <w:basedOn w:val="Normal"/>
    <w:rsid w:val="00BE1843"/>
    <w:pPr>
      <w:numPr>
        <w:ilvl w:val="2"/>
        <w:numId w:val="2"/>
      </w:numPr>
      <w:tabs>
        <w:tab w:val="clear" w:pos="850"/>
        <w:tab w:val="left" w:pos="851"/>
      </w:tabs>
    </w:pPr>
  </w:style>
  <w:style w:type="paragraph" w:customStyle="1" w:styleId="AppendixHeading">
    <w:name w:val="Appendix Heading"/>
    <w:basedOn w:val="HeadingBase"/>
    <w:semiHidden/>
    <w:rsid w:val="00BE1843"/>
    <w:pPr>
      <w:spacing w:after="240"/>
      <w:jc w:val="center"/>
      <w:outlineLvl w:val="3"/>
    </w:pPr>
    <w:rPr>
      <w:b/>
      <w:smallCaps/>
      <w:sz w:val="30"/>
    </w:rPr>
  </w:style>
  <w:style w:type="paragraph" w:customStyle="1" w:styleId="BoxText">
    <w:name w:val="Box Text"/>
    <w:basedOn w:val="Normal"/>
    <w:qFormat/>
    <w:rsid w:val="00BE1843"/>
    <w:pPr>
      <w:spacing w:before="120" w:after="120" w:line="240" w:lineRule="auto"/>
    </w:pPr>
  </w:style>
  <w:style w:type="paragraph" w:customStyle="1" w:styleId="BoxHeading">
    <w:name w:val="Box Heading"/>
    <w:basedOn w:val="HeadingBase"/>
    <w:next w:val="BoxText"/>
    <w:rsid w:val="00BE1843"/>
    <w:pPr>
      <w:spacing w:before="120" w:after="120"/>
    </w:pPr>
    <w:rPr>
      <w:b/>
      <w:sz w:val="20"/>
    </w:rPr>
  </w:style>
  <w:style w:type="paragraph" w:customStyle="1" w:styleId="ChartandTableFootnoteAlpha">
    <w:name w:val="Chart and Table Footnote Alpha"/>
    <w:basedOn w:val="HeadingBase"/>
    <w:next w:val="Normal"/>
    <w:rsid w:val="00BE1843"/>
    <w:pPr>
      <w:keepNext w:val="0"/>
      <w:numPr>
        <w:numId w:val="11"/>
      </w:numPr>
      <w:spacing w:before="30"/>
    </w:pPr>
    <w:rPr>
      <w:color w:val="000000"/>
      <w:sz w:val="16"/>
    </w:rPr>
  </w:style>
  <w:style w:type="paragraph" w:customStyle="1" w:styleId="ChartandTableFootnote">
    <w:name w:val="Chart and Table Footnote"/>
    <w:basedOn w:val="HeadingBase"/>
    <w:next w:val="Normal"/>
    <w:link w:val="ChartandTableFootnoteChar"/>
    <w:rsid w:val="00BE1843"/>
    <w:pPr>
      <w:keepNext w:val="0"/>
      <w:tabs>
        <w:tab w:val="left" w:pos="709"/>
      </w:tabs>
      <w:spacing w:before="30"/>
    </w:pPr>
    <w:rPr>
      <w:color w:val="000000"/>
      <w:sz w:val="16"/>
    </w:rPr>
  </w:style>
  <w:style w:type="paragraph" w:customStyle="1" w:styleId="BoxBullet">
    <w:name w:val="Box Bullet"/>
    <w:basedOn w:val="BoxText"/>
    <w:rsid w:val="00BE1843"/>
    <w:pPr>
      <w:numPr>
        <w:numId w:val="12"/>
      </w:numPr>
    </w:pPr>
  </w:style>
  <w:style w:type="paragraph" w:customStyle="1" w:styleId="ChartGraphic">
    <w:name w:val="Chart Graphic"/>
    <w:basedOn w:val="HeadingBase"/>
    <w:rsid w:val="00BE1843"/>
    <w:pPr>
      <w:jc w:val="center"/>
    </w:pPr>
    <w:rPr>
      <w:sz w:val="20"/>
    </w:rPr>
  </w:style>
  <w:style w:type="paragraph" w:customStyle="1" w:styleId="ContentsHeading">
    <w:name w:val="Contents Heading"/>
    <w:basedOn w:val="HeadingBase"/>
    <w:next w:val="Normal"/>
    <w:rsid w:val="00BE1843"/>
    <w:pPr>
      <w:spacing w:after="720"/>
    </w:pPr>
    <w:rPr>
      <w:b/>
      <w:bCs/>
      <w:sz w:val="36"/>
    </w:rPr>
  </w:style>
  <w:style w:type="paragraph" w:customStyle="1" w:styleId="FigureHeading">
    <w:name w:val="Figure Heading"/>
    <w:basedOn w:val="HeadingBase"/>
    <w:next w:val="ChartGraphic"/>
    <w:rsid w:val="00BE1843"/>
    <w:pPr>
      <w:spacing w:before="120" w:after="20"/>
    </w:pPr>
    <w:rPr>
      <w:b/>
      <w:sz w:val="20"/>
    </w:rPr>
  </w:style>
  <w:style w:type="paragraph" w:customStyle="1" w:styleId="Classification">
    <w:name w:val="Classification"/>
    <w:basedOn w:val="HeadingBase"/>
    <w:rsid w:val="00BE1843"/>
    <w:pPr>
      <w:jc w:val="center"/>
    </w:pPr>
    <w:rPr>
      <w:rFonts w:ascii="Arial Bold" w:hAnsi="Arial Bold"/>
      <w:b/>
      <w:caps/>
      <w:sz w:val="22"/>
    </w:rPr>
  </w:style>
  <w:style w:type="character" w:customStyle="1" w:styleId="HiddenSequenceCode">
    <w:name w:val="Hidden Sequence Code"/>
    <w:rsid w:val="00BE1843"/>
    <w:rPr>
      <w:rFonts w:ascii="Times New Roman" w:hAnsi="Times New Roman"/>
      <w:vanish/>
      <w:sz w:val="16"/>
    </w:rPr>
  </w:style>
  <w:style w:type="paragraph" w:customStyle="1" w:styleId="OverviewParagraph">
    <w:name w:val="Overview Paragraph"/>
    <w:basedOn w:val="Normal"/>
    <w:rsid w:val="00BE1843"/>
    <w:pPr>
      <w:spacing w:before="120" w:after="120" w:line="240" w:lineRule="auto"/>
    </w:pPr>
  </w:style>
  <w:style w:type="paragraph" w:customStyle="1" w:styleId="TableGraphic">
    <w:name w:val="Table Graphic"/>
    <w:basedOn w:val="Normal"/>
    <w:next w:val="Normal"/>
    <w:rsid w:val="00BE1843"/>
    <w:pPr>
      <w:spacing w:before="0" w:after="0" w:line="240" w:lineRule="auto"/>
      <w:ind w:right="-113"/>
    </w:pPr>
  </w:style>
  <w:style w:type="paragraph" w:customStyle="1" w:styleId="NoteTableHeading">
    <w:name w:val="Note Table Heading"/>
    <w:basedOn w:val="HeadingBase"/>
    <w:next w:val="Normal"/>
    <w:rsid w:val="00BE1843"/>
    <w:pPr>
      <w:spacing w:before="240"/>
    </w:pPr>
    <w:rPr>
      <w:b/>
      <w:sz w:val="20"/>
    </w:rPr>
  </w:style>
  <w:style w:type="paragraph" w:customStyle="1" w:styleId="Source">
    <w:name w:val="Source"/>
    <w:basedOn w:val="Normal"/>
    <w:rsid w:val="00BE1843"/>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BE1843"/>
    <w:pPr>
      <w:spacing w:before="20" w:after="20" w:line="240" w:lineRule="auto"/>
    </w:pPr>
    <w:rPr>
      <w:rFonts w:ascii="Arial" w:hAnsi="Arial"/>
      <w:sz w:val="16"/>
    </w:rPr>
  </w:style>
  <w:style w:type="paragraph" w:customStyle="1" w:styleId="TableColumnHeadingBase">
    <w:name w:val="Table Column Heading Base"/>
    <w:basedOn w:val="Normal"/>
    <w:rsid w:val="00BE1843"/>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BE1843"/>
  </w:style>
  <w:style w:type="paragraph" w:customStyle="1" w:styleId="TableTextRight">
    <w:name w:val="Table Text Right"/>
    <w:basedOn w:val="TableTextBase"/>
    <w:rsid w:val="00BE1843"/>
    <w:pPr>
      <w:jc w:val="right"/>
    </w:pPr>
  </w:style>
  <w:style w:type="paragraph" w:customStyle="1" w:styleId="TableTextCentred">
    <w:name w:val="Table Text Centred"/>
    <w:basedOn w:val="TableTextBase"/>
    <w:rsid w:val="00BE1843"/>
    <w:pPr>
      <w:jc w:val="center"/>
    </w:pPr>
  </w:style>
  <w:style w:type="paragraph" w:customStyle="1" w:styleId="TableTextIndented">
    <w:name w:val="Table Text Indented"/>
    <w:basedOn w:val="TableTextBase"/>
    <w:rsid w:val="00BE1843"/>
    <w:pPr>
      <w:ind w:left="284"/>
    </w:pPr>
  </w:style>
  <w:style w:type="paragraph" w:customStyle="1" w:styleId="TableColumnHeadingLeft">
    <w:name w:val="Table Column Heading Left"/>
    <w:basedOn w:val="TableColumnHeadingBase"/>
    <w:next w:val="Normal"/>
    <w:rsid w:val="00BE1843"/>
  </w:style>
  <w:style w:type="paragraph" w:customStyle="1" w:styleId="TableColumnHeadingRight">
    <w:name w:val="Table Column Heading Right"/>
    <w:basedOn w:val="TableColumnHeadingBase"/>
    <w:next w:val="Normal"/>
    <w:rsid w:val="00BE1843"/>
    <w:pPr>
      <w:jc w:val="right"/>
    </w:pPr>
  </w:style>
  <w:style w:type="paragraph" w:customStyle="1" w:styleId="TableColumnHeadingCentred">
    <w:name w:val="Table Column Heading Centred"/>
    <w:basedOn w:val="TableColumnHeadingBase"/>
    <w:next w:val="Normal"/>
    <w:rsid w:val="00BE1843"/>
    <w:pPr>
      <w:jc w:val="center"/>
    </w:pPr>
  </w:style>
  <w:style w:type="paragraph" w:customStyle="1" w:styleId="Exampletextbullet">
    <w:name w:val="Example text bullet"/>
    <w:basedOn w:val="Exampletext"/>
    <w:semiHidden/>
    <w:rsid w:val="00BE1843"/>
    <w:pPr>
      <w:numPr>
        <w:numId w:val="3"/>
      </w:numPr>
    </w:pPr>
  </w:style>
  <w:style w:type="paragraph" w:styleId="Title">
    <w:name w:val="Title"/>
    <w:basedOn w:val="Normal"/>
    <w:qFormat/>
    <w:rsid w:val="00BE1843"/>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E1843"/>
    <w:pPr>
      <w:spacing w:before="120" w:after="20"/>
    </w:pPr>
    <w:rPr>
      <w:rFonts w:ascii="Arial Bold" w:hAnsi="Arial Bold"/>
      <w:b/>
      <w:sz w:val="20"/>
    </w:rPr>
  </w:style>
  <w:style w:type="paragraph" w:customStyle="1" w:styleId="TPHeading1">
    <w:name w:val="TP Heading 1"/>
    <w:basedOn w:val="HeadingBase"/>
    <w:rsid w:val="00BE1843"/>
    <w:pPr>
      <w:spacing w:before="60" w:after="60"/>
      <w:ind w:left="851"/>
    </w:pPr>
    <w:rPr>
      <w:rFonts w:ascii="Arial Bold" w:hAnsi="Arial Bold"/>
      <w:b/>
      <w:caps/>
      <w:spacing w:val="-10"/>
      <w:sz w:val="28"/>
    </w:rPr>
  </w:style>
  <w:style w:type="paragraph" w:customStyle="1" w:styleId="TPHeading2">
    <w:name w:val="TP Heading 2"/>
    <w:basedOn w:val="HeadingBase"/>
    <w:rsid w:val="00BE1843"/>
    <w:pPr>
      <w:ind w:left="851"/>
    </w:pPr>
    <w:rPr>
      <w:caps/>
      <w:spacing w:val="-10"/>
      <w:sz w:val="28"/>
    </w:rPr>
  </w:style>
  <w:style w:type="paragraph" w:customStyle="1" w:styleId="TPHeading3">
    <w:name w:val="TP Heading 3"/>
    <w:basedOn w:val="HeadingBase"/>
    <w:rsid w:val="00BE1843"/>
    <w:pPr>
      <w:ind w:left="851"/>
    </w:pPr>
    <w:rPr>
      <w:caps/>
      <w:spacing w:val="-10"/>
    </w:rPr>
  </w:style>
  <w:style w:type="paragraph" w:customStyle="1" w:styleId="HeaderBase">
    <w:name w:val="Header Base"/>
    <w:rsid w:val="00BE1843"/>
    <w:rPr>
      <w:rFonts w:ascii="Arial" w:hAnsi="Arial"/>
      <w:color w:val="44546A"/>
      <w:sz w:val="18"/>
    </w:rPr>
  </w:style>
  <w:style w:type="paragraph" w:customStyle="1" w:styleId="HeaderEven">
    <w:name w:val="Header Even"/>
    <w:basedOn w:val="HeaderBase"/>
    <w:rsid w:val="00BE1843"/>
    <w:rPr>
      <w:color w:val="auto"/>
    </w:rPr>
  </w:style>
  <w:style w:type="paragraph" w:customStyle="1" w:styleId="HeaderOdd">
    <w:name w:val="Header Odd"/>
    <w:basedOn w:val="HeaderBase"/>
    <w:rsid w:val="00BE1843"/>
    <w:pPr>
      <w:jc w:val="right"/>
    </w:pPr>
    <w:rPr>
      <w:color w:val="000000"/>
    </w:rPr>
  </w:style>
  <w:style w:type="paragraph" w:styleId="Header">
    <w:name w:val="header"/>
    <w:basedOn w:val="HeaderBase"/>
    <w:link w:val="HeaderChar"/>
    <w:qFormat/>
    <w:rsid w:val="00BE1843"/>
    <w:pPr>
      <w:tabs>
        <w:tab w:val="center" w:pos="4153"/>
        <w:tab w:val="right" w:pos="8306"/>
      </w:tabs>
    </w:pPr>
    <w:rPr>
      <w:color w:val="auto"/>
    </w:rPr>
  </w:style>
  <w:style w:type="paragraph" w:customStyle="1" w:styleId="FooterBase">
    <w:name w:val="Footer Base"/>
    <w:rsid w:val="00BE1843"/>
    <w:pPr>
      <w:jc w:val="center"/>
    </w:pPr>
    <w:rPr>
      <w:rFonts w:ascii="Arial" w:hAnsi="Arial"/>
      <w:color w:val="000000"/>
    </w:rPr>
  </w:style>
  <w:style w:type="paragraph" w:styleId="Footer">
    <w:name w:val="footer"/>
    <w:basedOn w:val="FooterBase"/>
    <w:link w:val="FooterChar"/>
    <w:rsid w:val="00BE1843"/>
    <w:pPr>
      <w:tabs>
        <w:tab w:val="center" w:pos="4153"/>
        <w:tab w:val="right" w:pos="8306"/>
      </w:tabs>
    </w:pPr>
  </w:style>
  <w:style w:type="paragraph" w:styleId="BalloonText">
    <w:name w:val="Balloon Text"/>
    <w:basedOn w:val="Normal"/>
    <w:semiHidden/>
    <w:rsid w:val="00BE1843"/>
    <w:rPr>
      <w:rFonts w:ascii="Tahoma" w:hAnsi="Tahoma" w:cs="Tahoma"/>
      <w:sz w:val="16"/>
      <w:szCs w:val="16"/>
    </w:rPr>
  </w:style>
  <w:style w:type="paragraph" w:styleId="Caption">
    <w:name w:val="caption"/>
    <w:basedOn w:val="Normal"/>
    <w:next w:val="Normal"/>
    <w:rsid w:val="00BE1843"/>
    <w:rPr>
      <w:b/>
      <w:bCs/>
    </w:rPr>
  </w:style>
  <w:style w:type="character" w:styleId="CommentReference">
    <w:name w:val="annotation reference"/>
    <w:semiHidden/>
    <w:rsid w:val="00BE1843"/>
    <w:rPr>
      <w:sz w:val="16"/>
      <w:szCs w:val="16"/>
    </w:rPr>
  </w:style>
  <w:style w:type="paragraph" w:styleId="CommentText">
    <w:name w:val="annotation text"/>
    <w:basedOn w:val="Normal"/>
    <w:link w:val="CommentTextChar"/>
    <w:rsid w:val="00BE1843"/>
  </w:style>
  <w:style w:type="paragraph" w:styleId="CommentSubject">
    <w:name w:val="annotation subject"/>
    <w:basedOn w:val="CommentText"/>
    <w:next w:val="CommentText"/>
    <w:link w:val="CommentSubjectChar"/>
    <w:semiHidden/>
    <w:rsid w:val="00BE1843"/>
    <w:rPr>
      <w:b/>
      <w:bCs/>
    </w:rPr>
  </w:style>
  <w:style w:type="paragraph" w:styleId="DocumentMap">
    <w:name w:val="Document Map"/>
    <w:basedOn w:val="Normal"/>
    <w:link w:val="DocumentMapChar"/>
    <w:semiHidden/>
    <w:rsid w:val="00BE1843"/>
    <w:pPr>
      <w:shd w:val="clear" w:color="auto" w:fill="000080"/>
    </w:pPr>
    <w:rPr>
      <w:rFonts w:ascii="Tahoma" w:hAnsi="Tahoma" w:cs="Tahoma"/>
    </w:rPr>
  </w:style>
  <w:style w:type="character" w:styleId="EndnoteReference">
    <w:name w:val="endnote reference"/>
    <w:unhideWhenUsed/>
    <w:rsid w:val="00BE1843"/>
    <w:rPr>
      <w:vertAlign w:val="superscript"/>
    </w:rPr>
  </w:style>
  <w:style w:type="paragraph" w:styleId="EndnoteText">
    <w:name w:val="endnote text"/>
    <w:basedOn w:val="Normal"/>
    <w:link w:val="EndnoteTextChar"/>
    <w:unhideWhenUsed/>
    <w:rsid w:val="00BE1843"/>
  </w:style>
  <w:style w:type="character" w:styleId="FootnoteReference">
    <w:name w:val="footnote reference"/>
    <w:rsid w:val="00BE1843"/>
    <w:rPr>
      <w:vertAlign w:val="superscript"/>
    </w:rPr>
  </w:style>
  <w:style w:type="paragraph" w:styleId="FootnoteText">
    <w:name w:val="footnote text"/>
    <w:basedOn w:val="Normal"/>
    <w:link w:val="FootnoteTextChar"/>
    <w:uiPriority w:val="99"/>
    <w:rsid w:val="00BE1843"/>
    <w:pPr>
      <w:tabs>
        <w:tab w:val="left" w:pos="284"/>
      </w:tabs>
      <w:spacing w:before="80" w:after="0" w:line="240" w:lineRule="auto"/>
      <w:ind w:left="284" w:hanging="284"/>
      <w:contextualSpacing/>
    </w:pPr>
    <w:rPr>
      <w:sz w:val="18"/>
    </w:rPr>
  </w:style>
  <w:style w:type="paragraph" w:styleId="Index1">
    <w:name w:val="index 1"/>
    <w:basedOn w:val="Normal"/>
    <w:next w:val="Normal"/>
    <w:rsid w:val="00BE1843"/>
    <w:pPr>
      <w:ind w:left="200" w:hanging="200"/>
    </w:pPr>
  </w:style>
  <w:style w:type="paragraph" w:styleId="Index2">
    <w:name w:val="index 2"/>
    <w:basedOn w:val="Normal"/>
    <w:next w:val="Normal"/>
    <w:rsid w:val="00BE1843"/>
    <w:pPr>
      <w:ind w:left="400" w:hanging="200"/>
    </w:pPr>
  </w:style>
  <w:style w:type="paragraph" w:styleId="Index3">
    <w:name w:val="index 3"/>
    <w:basedOn w:val="Normal"/>
    <w:next w:val="Normal"/>
    <w:rsid w:val="00BE1843"/>
    <w:pPr>
      <w:ind w:left="600" w:hanging="200"/>
    </w:pPr>
  </w:style>
  <w:style w:type="paragraph" w:styleId="Index4">
    <w:name w:val="index 4"/>
    <w:basedOn w:val="Normal"/>
    <w:next w:val="Normal"/>
    <w:autoRedefine/>
    <w:semiHidden/>
    <w:rsid w:val="00BE1843"/>
    <w:pPr>
      <w:ind w:left="800" w:hanging="200"/>
    </w:pPr>
  </w:style>
  <w:style w:type="paragraph" w:styleId="Index5">
    <w:name w:val="index 5"/>
    <w:basedOn w:val="Normal"/>
    <w:next w:val="Normal"/>
    <w:autoRedefine/>
    <w:semiHidden/>
    <w:rsid w:val="00BE1843"/>
    <w:pPr>
      <w:ind w:left="1000" w:hanging="200"/>
    </w:pPr>
  </w:style>
  <w:style w:type="paragraph" w:styleId="Index6">
    <w:name w:val="index 6"/>
    <w:basedOn w:val="Normal"/>
    <w:next w:val="Normal"/>
    <w:autoRedefine/>
    <w:semiHidden/>
    <w:rsid w:val="00BE1843"/>
    <w:pPr>
      <w:ind w:left="1200" w:hanging="200"/>
    </w:pPr>
  </w:style>
  <w:style w:type="paragraph" w:styleId="Index7">
    <w:name w:val="index 7"/>
    <w:basedOn w:val="Normal"/>
    <w:next w:val="Normal"/>
    <w:autoRedefine/>
    <w:semiHidden/>
    <w:rsid w:val="00BE1843"/>
    <w:pPr>
      <w:ind w:left="1400" w:hanging="200"/>
    </w:pPr>
  </w:style>
  <w:style w:type="paragraph" w:styleId="Index8">
    <w:name w:val="index 8"/>
    <w:basedOn w:val="Normal"/>
    <w:next w:val="Normal"/>
    <w:autoRedefine/>
    <w:semiHidden/>
    <w:rsid w:val="00BE1843"/>
    <w:pPr>
      <w:ind w:left="1600" w:hanging="200"/>
    </w:pPr>
  </w:style>
  <w:style w:type="paragraph" w:styleId="Index9">
    <w:name w:val="index 9"/>
    <w:basedOn w:val="Normal"/>
    <w:next w:val="Normal"/>
    <w:autoRedefine/>
    <w:semiHidden/>
    <w:rsid w:val="00BE1843"/>
    <w:pPr>
      <w:ind w:left="1800" w:hanging="200"/>
    </w:pPr>
  </w:style>
  <w:style w:type="paragraph" w:styleId="IndexHeading">
    <w:name w:val="index heading"/>
    <w:basedOn w:val="Normal"/>
    <w:next w:val="Index1"/>
    <w:rsid w:val="00BE1843"/>
    <w:rPr>
      <w:rFonts w:ascii="Arial Bold" w:hAnsi="Arial Bold" w:cs="Arial"/>
      <w:b/>
      <w:bCs/>
      <w:color w:val="002B54"/>
    </w:rPr>
  </w:style>
  <w:style w:type="paragraph" w:styleId="MacroText">
    <w:name w:val="macro"/>
    <w:link w:val="MacroTextChar"/>
    <w:unhideWhenUsed/>
    <w:rsid w:val="00BE184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BE1843"/>
    <w:pPr>
      <w:ind w:left="200" w:hanging="200"/>
    </w:pPr>
  </w:style>
  <w:style w:type="paragraph" w:styleId="TableofFigures">
    <w:name w:val="table of figures"/>
    <w:basedOn w:val="Normal"/>
    <w:next w:val="Normal"/>
    <w:rsid w:val="00BE1843"/>
  </w:style>
  <w:style w:type="paragraph" w:styleId="TOAHeading">
    <w:name w:val="toa heading"/>
    <w:basedOn w:val="Normal"/>
    <w:next w:val="Normal"/>
    <w:rsid w:val="00BE1843"/>
    <w:pPr>
      <w:spacing w:before="120"/>
    </w:pPr>
    <w:rPr>
      <w:rFonts w:ascii="Arial" w:hAnsi="Arial" w:cs="Arial"/>
      <w:b/>
      <w:bCs/>
      <w:sz w:val="24"/>
      <w:szCs w:val="24"/>
    </w:rPr>
  </w:style>
  <w:style w:type="paragraph" w:styleId="TOC1">
    <w:name w:val="toc 1"/>
    <w:basedOn w:val="HeaderBase"/>
    <w:next w:val="Normal"/>
    <w:uiPriority w:val="39"/>
    <w:rsid w:val="00BE184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BE184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E1843"/>
    <w:pPr>
      <w:tabs>
        <w:tab w:val="right" w:leader="dot" w:pos="7700"/>
      </w:tabs>
      <w:spacing w:before="40"/>
      <w:ind w:right="851"/>
    </w:pPr>
    <w:rPr>
      <w:sz w:val="20"/>
    </w:rPr>
  </w:style>
  <w:style w:type="paragraph" w:styleId="TOC4">
    <w:name w:val="toc 4"/>
    <w:basedOn w:val="HeadingBase"/>
    <w:next w:val="Normal"/>
    <w:uiPriority w:val="2"/>
    <w:unhideWhenUsed/>
    <w:rsid w:val="00BE1843"/>
    <w:pPr>
      <w:tabs>
        <w:tab w:val="right" w:leader="dot" w:pos="7700"/>
      </w:tabs>
      <w:spacing w:before="40"/>
      <w:ind w:right="851"/>
    </w:pPr>
    <w:rPr>
      <w:sz w:val="20"/>
    </w:rPr>
  </w:style>
  <w:style w:type="paragraph" w:styleId="TOC5">
    <w:name w:val="toc 5"/>
    <w:basedOn w:val="Normal"/>
    <w:next w:val="Normal"/>
    <w:autoRedefine/>
    <w:uiPriority w:val="2"/>
    <w:rsid w:val="00BE1843"/>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E1843"/>
    <w:pPr>
      <w:tabs>
        <w:tab w:val="left" w:pos="851"/>
      </w:tabs>
      <w:ind w:left="851" w:hanging="851"/>
    </w:pPr>
    <w:rPr>
      <w:color w:val="000000"/>
    </w:rPr>
  </w:style>
  <w:style w:type="paragraph" w:styleId="TOC7">
    <w:name w:val="toc 7"/>
    <w:basedOn w:val="Normal"/>
    <w:next w:val="Normal"/>
    <w:autoRedefine/>
    <w:uiPriority w:val="2"/>
    <w:semiHidden/>
    <w:rsid w:val="00BE1843"/>
    <w:pPr>
      <w:ind w:left="1200"/>
    </w:pPr>
  </w:style>
  <w:style w:type="paragraph" w:styleId="TOC8">
    <w:name w:val="toc 8"/>
    <w:basedOn w:val="Normal"/>
    <w:next w:val="Normal"/>
    <w:autoRedefine/>
    <w:uiPriority w:val="2"/>
    <w:semiHidden/>
    <w:rsid w:val="00BE1843"/>
    <w:pPr>
      <w:ind w:left="1400"/>
    </w:pPr>
  </w:style>
  <w:style w:type="paragraph" w:styleId="TOC9">
    <w:name w:val="toc 9"/>
    <w:basedOn w:val="Normal"/>
    <w:next w:val="Normal"/>
    <w:autoRedefine/>
    <w:uiPriority w:val="2"/>
    <w:semiHidden/>
    <w:rsid w:val="00BE1843"/>
    <w:pPr>
      <w:ind w:left="1600"/>
    </w:pPr>
  </w:style>
  <w:style w:type="paragraph" w:customStyle="1" w:styleId="FileProperties">
    <w:name w:val="File Properties"/>
    <w:basedOn w:val="Normal"/>
    <w:rsid w:val="00BE1843"/>
    <w:pPr>
      <w:spacing w:before="0"/>
    </w:pPr>
    <w:rPr>
      <w:i/>
    </w:rPr>
  </w:style>
  <w:style w:type="character" w:styleId="PageNumber">
    <w:name w:val="page number"/>
    <w:rsid w:val="00BE1843"/>
    <w:rPr>
      <w:rFonts w:ascii="Arial" w:hAnsi="Arial" w:cs="Arial"/>
      <w:color w:val="auto"/>
    </w:rPr>
  </w:style>
  <w:style w:type="character" w:customStyle="1" w:styleId="FramedHeader">
    <w:name w:val="Framed Header"/>
    <w:rsid w:val="00BE1843"/>
    <w:rPr>
      <w:rFonts w:ascii="Book Antiqua" w:hAnsi="Book Antiqua"/>
      <w:i/>
      <w:dstrike w:val="0"/>
      <w:color w:val="auto"/>
      <w:sz w:val="20"/>
      <w:vertAlign w:val="baseline"/>
    </w:rPr>
  </w:style>
  <w:style w:type="paragraph" w:styleId="NormalIndent">
    <w:name w:val="Normal Indent"/>
    <w:basedOn w:val="Normal"/>
    <w:rsid w:val="00BE1843"/>
    <w:pPr>
      <w:ind w:left="567"/>
    </w:pPr>
  </w:style>
  <w:style w:type="paragraph" w:customStyle="1" w:styleId="BlockedQuotation">
    <w:name w:val="Blocked Quotation"/>
    <w:basedOn w:val="Normal"/>
    <w:semiHidden/>
    <w:rsid w:val="00BE1843"/>
    <w:pPr>
      <w:ind w:left="567"/>
    </w:pPr>
  </w:style>
  <w:style w:type="paragraph" w:customStyle="1" w:styleId="ChartMainHeading">
    <w:name w:val="Chart Main Heading"/>
    <w:basedOn w:val="ChartHeading"/>
    <w:next w:val="ChartGraphic"/>
    <w:rsid w:val="00BE1843"/>
  </w:style>
  <w:style w:type="table" w:styleId="TableGrid">
    <w:name w:val="Table Grid"/>
    <w:basedOn w:val="TableNormal"/>
    <w:uiPriority w:val="39"/>
    <w:rsid w:val="00BE184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BE1843"/>
    <w:rPr>
      <w:sz w:val="24"/>
    </w:rPr>
  </w:style>
  <w:style w:type="paragraph" w:customStyle="1" w:styleId="Title3rdLevel">
    <w:name w:val="Title 3rd Level"/>
    <w:basedOn w:val="Normal"/>
    <w:next w:val="Title"/>
    <w:rsid w:val="00BE1843"/>
    <w:pPr>
      <w:jc w:val="center"/>
    </w:pPr>
    <w:rPr>
      <w:rFonts w:ascii="Arial" w:hAnsi="Arial"/>
      <w:caps/>
    </w:rPr>
  </w:style>
  <w:style w:type="paragraph" w:customStyle="1" w:styleId="Part">
    <w:name w:val="Part"/>
    <w:basedOn w:val="Title"/>
    <w:next w:val="Normal"/>
    <w:rsid w:val="00BE1843"/>
    <w:rPr>
      <w:caps/>
      <w:smallCaps w:val="0"/>
    </w:rPr>
  </w:style>
  <w:style w:type="paragraph" w:customStyle="1" w:styleId="TableHeadingNoTable">
    <w:name w:val="Table Heading No Table"/>
    <w:basedOn w:val="TableHeading"/>
    <w:next w:val="Normal"/>
    <w:rsid w:val="00BE1843"/>
    <w:pPr>
      <w:spacing w:after="240"/>
    </w:pPr>
  </w:style>
  <w:style w:type="paragraph" w:customStyle="1" w:styleId="TransmittalAddressee">
    <w:name w:val="Transmittal Addressee"/>
    <w:basedOn w:val="Normal"/>
    <w:rsid w:val="00BE1843"/>
    <w:pPr>
      <w:spacing w:before="0" w:after="0"/>
    </w:pPr>
  </w:style>
  <w:style w:type="paragraph" w:customStyle="1" w:styleId="TransmittalStyle1">
    <w:name w:val="Transmittal Style 1"/>
    <w:basedOn w:val="HeadingBase"/>
    <w:rsid w:val="00BE1843"/>
    <w:pPr>
      <w:spacing w:after="60"/>
      <w:jc w:val="right"/>
    </w:pPr>
    <w:rPr>
      <w:b/>
      <w:smallCaps/>
    </w:rPr>
  </w:style>
  <w:style w:type="paragraph" w:customStyle="1" w:styleId="TransmittalStyle2">
    <w:name w:val="Transmittal Style 2"/>
    <w:basedOn w:val="HeadingBase"/>
    <w:rsid w:val="00BE1843"/>
    <w:pPr>
      <w:spacing w:before="60" w:after="60"/>
      <w:jc w:val="right"/>
    </w:pPr>
    <w:rPr>
      <w:rFonts w:ascii="Helvetica" w:hAnsi="Helvetica"/>
      <w:b/>
      <w:caps/>
      <w:sz w:val="16"/>
    </w:rPr>
  </w:style>
  <w:style w:type="paragraph" w:customStyle="1" w:styleId="UserGuidelevelTOC">
    <w:name w:val="UserGuide level TOC"/>
    <w:basedOn w:val="HeadingBase"/>
    <w:next w:val="Normal"/>
    <w:rsid w:val="00BE1843"/>
    <w:pPr>
      <w:spacing w:before="360" w:after="360"/>
    </w:pPr>
    <w:rPr>
      <w:sz w:val="30"/>
    </w:rPr>
  </w:style>
  <w:style w:type="paragraph" w:customStyle="1" w:styleId="TableTextJustified">
    <w:name w:val="Table Text Justified"/>
    <w:basedOn w:val="TableTextBase"/>
    <w:rsid w:val="00BE1843"/>
    <w:pPr>
      <w:jc w:val="both"/>
    </w:pPr>
  </w:style>
  <w:style w:type="paragraph" w:customStyle="1" w:styleId="Department">
    <w:name w:val="Department"/>
    <w:basedOn w:val="Normal"/>
    <w:rsid w:val="00BE1843"/>
    <w:pPr>
      <w:spacing w:after="0" w:line="240" w:lineRule="auto"/>
      <w:jc w:val="center"/>
    </w:pPr>
    <w:rPr>
      <w:rFonts w:ascii="Arial" w:hAnsi="Arial"/>
      <w:b/>
      <w:sz w:val="52"/>
    </w:rPr>
  </w:style>
  <w:style w:type="paragraph" w:customStyle="1" w:styleId="DepartmentSubtitle">
    <w:name w:val="Department Subtitle"/>
    <w:basedOn w:val="Department"/>
    <w:rsid w:val="00BE1843"/>
    <w:rPr>
      <w:sz w:val="44"/>
    </w:rPr>
  </w:style>
  <w:style w:type="character" w:customStyle="1" w:styleId="ExampletextCharChar">
    <w:name w:val="Example text Char Char"/>
    <w:link w:val="Exampletext"/>
    <w:rsid w:val="00BE1843"/>
    <w:rPr>
      <w:rFonts w:ascii="Calibri" w:hAnsi="Calibri"/>
      <w:i/>
      <w:color w:val="FF0000"/>
      <w:sz w:val="19"/>
      <w:lang w:val="x-none" w:eastAsia="x-none"/>
    </w:rPr>
  </w:style>
  <w:style w:type="paragraph" w:customStyle="1" w:styleId="Crest">
    <w:name w:val="Crest"/>
    <w:basedOn w:val="Normal"/>
    <w:next w:val="TransmittalStyle1"/>
    <w:semiHidden/>
    <w:rsid w:val="00BE1843"/>
    <w:pPr>
      <w:spacing w:after="0" w:line="240" w:lineRule="auto"/>
      <w:jc w:val="center"/>
    </w:pPr>
  </w:style>
  <w:style w:type="character" w:styleId="Hyperlink">
    <w:name w:val="Hyperlink"/>
    <w:uiPriority w:val="99"/>
    <w:unhideWhenUsed/>
    <w:rsid w:val="009D6065"/>
    <w:rPr>
      <w:color w:val="auto"/>
      <w:u w:val="single"/>
    </w:rPr>
  </w:style>
  <w:style w:type="paragraph" w:customStyle="1" w:styleId="Heading1noTOC">
    <w:name w:val="Heading 1 no TOC"/>
    <w:basedOn w:val="Heading1"/>
    <w:rsid w:val="00BE1843"/>
  </w:style>
  <w:style w:type="paragraph" w:customStyle="1" w:styleId="TableColumnOutgroupHeading">
    <w:name w:val="Table Column Outgroup Heading"/>
    <w:basedOn w:val="Normal"/>
    <w:rsid w:val="00BE1843"/>
    <w:pPr>
      <w:spacing w:before="60" w:after="120" w:line="240" w:lineRule="auto"/>
    </w:pPr>
    <w:rPr>
      <w:b/>
      <w:sz w:val="22"/>
    </w:rPr>
  </w:style>
  <w:style w:type="paragraph" w:customStyle="1" w:styleId="TableColumnOutgroupSubheading">
    <w:name w:val="Table Column Outgroup Subheading"/>
    <w:basedOn w:val="Normal"/>
    <w:rsid w:val="00BE1843"/>
    <w:pPr>
      <w:spacing w:before="60" w:after="120" w:line="240" w:lineRule="auto"/>
      <w:jc w:val="center"/>
    </w:pPr>
  </w:style>
  <w:style w:type="paragraph" w:customStyle="1" w:styleId="TableTextBullet">
    <w:name w:val="Table Text Bullet"/>
    <w:basedOn w:val="TableTextBase"/>
    <w:rsid w:val="00BE1843"/>
    <w:pPr>
      <w:numPr>
        <w:numId w:val="4"/>
      </w:numPr>
    </w:pPr>
  </w:style>
  <w:style w:type="paragraph" w:customStyle="1" w:styleId="Exampletextdash">
    <w:name w:val="Example text dash"/>
    <w:basedOn w:val="Exampletextbullet"/>
    <w:semiHidden/>
    <w:rsid w:val="00BE1843"/>
    <w:pPr>
      <w:numPr>
        <w:ilvl w:val="1"/>
      </w:numPr>
    </w:pPr>
  </w:style>
  <w:style w:type="character" w:customStyle="1" w:styleId="HeadingBaseChar">
    <w:name w:val="Heading Base Char"/>
    <w:link w:val="HeadingBase"/>
    <w:rsid w:val="00BE1843"/>
    <w:rPr>
      <w:rFonts w:ascii="Arial" w:hAnsi="Arial"/>
      <w:sz w:val="24"/>
    </w:rPr>
  </w:style>
  <w:style w:type="character" w:customStyle="1" w:styleId="TableHeadingChar">
    <w:name w:val="Table Heading Char"/>
    <w:link w:val="TableHeading"/>
    <w:rsid w:val="00BE1843"/>
    <w:rPr>
      <w:rFonts w:ascii="Arial" w:hAnsi="Arial"/>
      <w:b/>
    </w:rPr>
  </w:style>
  <w:style w:type="character" w:customStyle="1" w:styleId="TableTextBaseChar">
    <w:name w:val="Table Text Base Char"/>
    <w:link w:val="TableTextBase"/>
    <w:rsid w:val="00BE1843"/>
    <w:rPr>
      <w:rFonts w:ascii="Arial" w:hAnsi="Arial"/>
      <w:sz w:val="16"/>
    </w:rPr>
  </w:style>
  <w:style w:type="character" w:customStyle="1" w:styleId="TableTextLeftChar">
    <w:name w:val="Table Text Left Char"/>
    <w:link w:val="TableTextLeft"/>
    <w:rsid w:val="00BE1843"/>
    <w:rPr>
      <w:rFonts w:ascii="Arial" w:hAnsi="Arial"/>
      <w:sz w:val="16"/>
    </w:rPr>
  </w:style>
  <w:style w:type="paragraph" w:styleId="ListParagraph">
    <w:name w:val="List Paragraph"/>
    <w:aliases w:val="Recommendation,List Paragraph1,Bulleted Para,NFP GP Bulleted List,bullet point list,List Paragraph11,L,Bullet points,Content descriptions,Bullet Point,DDM Gen Text,CV text,Table text,F5 List Paragraph,Dot pt,List Paragraph111,FooterText,列"/>
    <w:basedOn w:val="Normal"/>
    <w:link w:val="ListParagraphChar"/>
    <w:uiPriority w:val="34"/>
    <w:qFormat/>
    <w:rsid w:val="00BE1843"/>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BE1843"/>
    <w:pPr>
      <w:numPr>
        <w:ilvl w:val="1"/>
        <w:numId w:val="4"/>
      </w:numPr>
    </w:pPr>
  </w:style>
  <w:style w:type="character" w:customStyle="1" w:styleId="ChartandTableFootnoteChar">
    <w:name w:val="Chart and Table Footnote Char"/>
    <w:link w:val="ChartandTableFootnote"/>
    <w:rsid w:val="00BE1843"/>
    <w:rPr>
      <w:rFonts w:ascii="Arial" w:hAnsi="Arial"/>
      <w:color w:val="000000"/>
      <w:sz w:val="16"/>
    </w:rPr>
  </w:style>
  <w:style w:type="paragraph" w:customStyle="1" w:styleId="PartHeading">
    <w:name w:val="Part Heading"/>
    <w:basedOn w:val="Title"/>
    <w:next w:val="Normal"/>
    <w:rsid w:val="00BE1843"/>
    <w:pPr>
      <w:spacing w:after="480"/>
      <w:outlineLvl w:val="9"/>
    </w:pPr>
    <w:rPr>
      <w:rFonts w:ascii="Arial Bold" w:hAnsi="Arial Bold"/>
      <w:smallCaps w:val="0"/>
    </w:rPr>
  </w:style>
  <w:style w:type="character" w:customStyle="1" w:styleId="BulletChar">
    <w:name w:val="Bullet Char"/>
    <w:link w:val="Bullet"/>
    <w:rsid w:val="00BE1843"/>
    <w:rPr>
      <w:rFonts w:ascii="Book Antiqua" w:hAnsi="Book Antiqua"/>
      <w:sz w:val="19"/>
    </w:rPr>
  </w:style>
  <w:style w:type="paragraph" w:customStyle="1" w:styleId="BoxTextBase">
    <w:name w:val="Box Text Base"/>
    <w:basedOn w:val="Normal"/>
    <w:rsid w:val="00BE1843"/>
    <w:pPr>
      <w:spacing w:after="120"/>
    </w:pPr>
    <w:rPr>
      <w:color w:val="000000"/>
    </w:rPr>
  </w:style>
  <w:style w:type="paragraph" w:customStyle="1" w:styleId="BoxDash">
    <w:name w:val="Box Dash"/>
    <w:basedOn w:val="Normal"/>
    <w:rsid w:val="00BE1843"/>
    <w:pPr>
      <w:numPr>
        <w:ilvl w:val="1"/>
        <w:numId w:val="5"/>
      </w:numPr>
    </w:pPr>
    <w:rPr>
      <w:color w:val="000000"/>
    </w:rPr>
  </w:style>
  <w:style w:type="paragraph" w:customStyle="1" w:styleId="BoxDoubleDot">
    <w:name w:val="Box Double Dot"/>
    <w:basedOn w:val="BoxTextBase"/>
    <w:rsid w:val="00BE1843"/>
    <w:pPr>
      <w:numPr>
        <w:ilvl w:val="2"/>
        <w:numId w:val="5"/>
      </w:numPr>
    </w:pPr>
  </w:style>
  <w:style w:type="paragraph" w:customStyle="1" w:styleId="Outcome">
    <w:name w:val="Outcome"/>
    <w:basedOn w:val="Normal"/>
    <w:rsid w:val="00BE1843"/>
    <w:pPr>
      <w:spacing w:before="120" w:after="120" w:line="280" w:lineRule="exact"/>
    </w:pPr>
    <w:rPr>
      <w:rFonts w:ascii="Arial" w:hAnsi="Arial" w:cs="Arial"/>
      <w:b/>
    </w:rPr>
  </w:style>
  <w:style w:type="paragraph" w:customStyle="1" w:styleId="ProgramHeading">
    <w:name w:val="Program Heading"/>
    <w:basedOn w:val="HeadingBase"/>
    <w:rsid w:val="00BE1843"/>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BE1843"/>
  </w:style>
  <w:style w:type="character" w:customStyle="1" w:styleId="Heading3Char">
    <w:name w:val="Heading 3 Char"/>
    <w:link w:val="Heading3"/>
    <w:rsid w:val="00BE1843"/>
    <w:rPr>
      <w:rFonts w:ascii="Arial Bold" w:hAnsi="Arial Bold"/>
      <w:b/>
      <w:sz w:val="22"/>
    </w:rPr>
  </w:style>
  <w:style w:type="character" w:customStyle="1" w:styleId="CommentTextChar">
    <w:name w:val="Comment Text Char"/>
    <w:link w:val="CommentText"/>
    <w:rsid w:val="00BE1843"/>
    <w:rPr>
      <w:rFonts w:ascii="Calibri" w:hAnsi="Calibri"/>
      <w:sz w:val="19"/>
    </w:rPr>
  </w:style>
  <w:style w:type="paragraph" w:customStyle="1" w:styleId="ExampleText0">
    <w:name w:val="Example Text"/>
    <w:basedOn w:val="Normal"/>
    <w:rsid w:val="00BE1843"/>
    <w:rPr>
      <w:i/>
      <w:color w:val="FF0000"/>
    </w:rPr>
  </w:style>
  <w:style w:type="paragraph" w:styleId="NoSpacing">
    <w:name w:val="No Spacing"/>
    <w:uiPriority w:val="1"/>
    <w:qFormat/>
    <w:rsid w:val="00BE1843"/>
    <w:rPr>
      <w:rFonts w:ascii="Book Antiqua" w:hAnsi="Book Antiqua"/>
      <w:sz w:val="19"/>
    </w:rPr>
  </w:style>
  <w:style w:type="character" w:customStyle="1" w:styleId="A5">
    <w:name w:val="A5"/>
    <w:uiPriority w:val="99"/>
    <w:rsid w:val="00BE1843"/>
    <w:rPr>
      <w:rFonts w:ascii="Swiss 721 BT" w:hAnsi="Swiss 721 BT" w:cs="Swiss 721 BT" w:hint="default"/>
      <w:color w:val="000000"/>
      <w:sz w:val="20"/>
      <w:szCs w:val="20"/>
    </w:rPr>
  </w:style>
  <w:style w:type="character" w:customStyle="1" w:styleId="HeaderChar">
    <w:name w:val="Header Char"/>
    <w:link w:val="Header"/>
    <w:rsid w:val="00BE1843"/>
    <w:rPr>
      <w:rFonts w:ascii="Arial" w:hAnsi="Arial"/>
      <w:sz w:val="18"/>
    </w:rPr>
  </w:style>
  <w:style w:type="character" w:styleId="FollowedHyperlink">
    <w:name w:val="FollowedHyperlink"/>
    <w:rsid w:val="00BE1843"/>
    <w:rPr>
      <w:color w:val="800080"/>
      <w:u w:val="single"/>
    </w:rPr>
  </w:style>
  <w:style w:type="character" w:customStyle="1" w:styleId="FooterChar">
    <w:name w:val="Footer Char"/>
    <w:link w:val="Footer"/>
    <w:rsid w:val="00BE1843"/>
    <w:rPr>
      <w:rFonts w:ascii="Arial" w:hAnsi="Arial"/>
      <w:color w:val="000000"/>
    </w:rPr>
  </w:style>
  <w:style w:type="character" w:styleId="Strong">
    <w:name w:val="Strong"/>
    <w:uiPriority w:val="22"/>
    <w:qFormat/>
    <w:rsid w:val="00BE1843"/>
    <w:rPr>
      <w:b/>
      <w:bCs/>
    </w:rPr>
  </w:style>
  <w:style w:type="paragraph" w:customStyle="1" w:styleId="Heading2NoTOC">
    <w:name w:val="Heading 2 No TOC"/>
    <w:basedOn w:val="Heading2"/>
    <w:qFormat/>
    <w:rsid w:val="00BE1843"/>
    <w:pPr>
      <w:outlineLvl w:val="9"/>
    </w:pPr>
  </w:style>
  <w:style w:type="paragraph" w:customStyle="1" w:styleId="PartHeading-TOC">
    <w:name w:val="Part Heading - TOC"/>
    <w:basedOn w:val="PartHeading"/>
    <w:rsid w:val="00BE1843"/>
  </w:style>
  <w:style w:type="paragraph" w:styleId="Revision">
    <w:name w:val="Revision"/>
    <w:hidden/>
    <w:uiPriority w:val="99"/>
    <w:semiHidden/>
    <w:rsid w:val="00BE1843"/>
    <w:rPr>
      <w:rFonts w:ascii="Book Antiqua" w:hAnsi="Book Antiqua"/>
    </w:rPr>
  </w:style>
  <w:style w:type="paragraph" w:styleId="NoteHeading">
    <w:name w:val="Note Heading"/>
    <w:basedOn w:val="Normal"/>
    <w:next w:val="Normal"/>
    <w:link w:val="NoteHeadingChar"/>
    <w:rsid w:val="00BE1843"/>
  </w:style>
  <w:style w:type="character" w:customStyle="1" w:styleId="NoteHeadingChar">
    <w:name w:val="Note Heading Char"/>
    <w:link w:val="NoteHeading"/>
    <w:rsid w:val="00BE1843"/>
    <w:rPr>
      <w:rFonts w:ascii="Calibri" w:hAnsi="Calibri"/>
      <w:sz w:val="19"/>
    </w:rPr>
  </w:style>
  <w:style w:type="paragraph" w:customStyle="1" w:styleId="SecurityClassificationHeader">
    <w:name w:val="Security Classification Header"/>
    <w:link w:val="SecurityClassificationHead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SecurityClassificationHeaderChar">
    <w:name w:val="Security Classification Header Char"/>
    <w:link w:val="SecurityClassificationHeader"/>
    <w:rsid w:val="00BE1843"/>
    <w:rPr>
      <w:rFonts w:ascii="Calibri" w:eastAsia="Calibri" w:hAnsi="Calibri" w:cs="Calibri"/>
      <w:b/>
      <w:caps/>
      <w:color w:val="44546A"/>
      <w:sz w:val="24"/>
      <w:szCs w:val="22"/>
      <w:lang w:eastAsia="en-US"/>
    </w:rPr>
  </w:style>
  <w:style w:type="paragraph" w:customStyle="1" w:styleId="SecurityClassificationFooter">
    <w:name w:val="Security Classification Footer"/>
    <w:link w:val="SecurityClassificationFoot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SecurityClassificationFooterChar">
    <w:name w:val="Security Classification Footer Char"/>
    <w:link w:val="SecurityClassificationFooter"/>
    <w:rsid w:val="00BE1843"/>
    <w:rPr>
      <w:rFonts w:ascii="Calibri" w:eastAsia="Calibri" w:hAnsi="Calibri" w:cs="Calibri"/>
      <w:b/>
      <w:caps/>
      <w:color w:val="44546A"/>
      <w:sz w:val="24"/>
      <w:szCs w:val="22"/>
      <w:lang w:eastAsia="en-US"/>
    </w:rPr>
  </w:style>
  <w:style w:type="paragraph" w:customStyle="1" w:styleId="DLMSecurityHeader">
    <w:name w:val="DLM Security Header"/>
    <w:link w:val="DLMSecurityHead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DLMSecurityHeaderChar">
    <w:name w:val="DLM Security Header Char"/>
    <w:link w:val="DLMSecurityHeader"/>
    <w:rsid w:val="00BE1843"/>
    <w:rPr>
      <w:rFonts w:ascii="Calibri" w:eastAsia="Calibri" w:hAnsi="Calibri" w:cs="Calibri"/>
      <w:b/>
      <w:caps/>
      <w:color w:val="44546A"/>
      <w:sz w:val="24"/>
      <w:szCs w:val="22"/>
      <w:lang w:val="x-none" w:eastAsia="en-US"/>
    </w:rPr>
  </w:style>
  <w:style w:type="paragraph" w:customStyle="1" w:styleId="DLMSecurityFooter">
    <w:name w:val="DLM Security Footer"/>
    <w:link w:val="DLMSecurityFoot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DLMSecurityFooterChar">
    <w:name w:val="DLM Security Footer Char"/>
    <w:link w:val="DLMSecurityFooter"/>
    <w:rsid w:val="00BE1843"/>
    <w:rPr>
      <w:rFonts w:ascii="Calibri" w:eastAsia="Calibri" w:hAnsi="Calibri" w:cs="Calibri"/>
      <w:b/>
      <w:caps/>
      <w:color w:val="44546A"/>
      <w:sz w:val="24"/>
      <w:szCs w:val="22"/>
      <w:lang w:val="x-none" w:eastAsia="en-US"/>
    </w:rPr>
  </w:style>
  <w:style w:type="paragraph" w:customStyle="1" w:styleId="FooterEven">
    <w:name w:val="Footer Even"/>
    <w:basedOn w:val="Footer"/>
    <w:qFormat/>
    <w:rsid w:val="00BE1843"/>
    <w:pPr>
      <w:pBdr>
        <w:top w:val="single" w:sz="4" w:space="10" w:color="000000"/>
      </w:pBdr>
      <w:jc w:val="left"/>
    </w:pPr>
    <w:rPr>
      <w:color w:val="auto"/>
      <w:sz w:val="18"/>
    </w:rPr>
  </w:style>
  <w:style w:type="paragraph" w:customStyle="1" w:styleId="ChartandTableFootnoteAlpha-Bullet">
    <w:name w:val="Chart and Table Footnote Alpha - Bullet"/>
    <w:basedOn w:val="ChartandTableFootnoteAlpha"/>
    <w:rsid w:val="00BE1843"/>
    <w:pPr>
      <w:numPr>
        <w:numId w:val="10"/>
      </w:numPr>
      <w:tabs>
        <w:tab w:val="left" w:pos="454"/>
      </w:tabs>
      <w:ind w:left="454" w:hanging="170"/>
    </w:pPr>
    <w:rPr>
      <w:rFonts w:cs="Arial"/>
      <w:szCs w:val="16"/>
    </w:rPr>
  </w:style>
  <w:style w:type="character" w:customStyle="1" w:styleId="Heading9Char">
    <w:name w:val="Heading 9 Char"/>
    <w:link w:val="Heading9"/>
    <w:uiPriority w:val="9"/>
    <w:rsid w:val="00BE1843"/>
    <w:rPr>
      <w:rFonts w:ascii="Cambria" w:hAnsi="Cambria"/>
      <w:sz w:val="22"/>
      <w:szCs w:val="22"/>
    </w:rPr>
  </w:style>
  <w:style w:type="paragraph" w:customStyle="1" w:styleId="ChartandTableFootnote-Dash">
    <w:name w:val="Chart and Table Footnote - Dash"/>
    <w:basedOn w:val="Normal"/>
    <w:rsid w:val="00BE1843"/>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BE1843"/>
    <w:pPr>
      <w:pBdr>
        <w:top w:val="single" w:sz="4" w:space="10" w:color="000000"/>
      </w:pBdr>
      <w:jc w:val="right"/>
    </w:pPr>
    <w:rPr>
      <w:sz w:val="18"/>
    </w:rPr>
  </w:style>
  <w:style w:type="paragraph" w:customStyle="1" w:styleId="Box-continuedon">
    <w:name w:val="Box - continued on"/>
    <w:basedOn w:val="Normal"/>
    <w:qFormat/>
    <w:rsid w:val="00BE1843"/>
    <w:pPr>
      <w:jc w:val="right"/>
    </w:pPr>
    <w:rPr>
      <w:rFonts w:ascii="Calibri Light" w:hAnsi="Calibri Light" w:cs="Calibri Light"/>
      <w:i/>
      <w:iCs/>
      <w:sz w:val="22"/>
      <w:szCs w:val="24"/>
    </w:rPr>
  </w:style>
  <w:style w:type="character" w:customStyle="1" w:styleId="BoxHeading-Continued">
    <w:name w:val="Box Heading - Continued"/>
    <w:uiPriority w:val="1"/>
    <w:qFormat/>
    <w:rsid w:val="00BE1843"/>
    <w:rPr>
      <w:sz w:val="22"/>
    </w:rPr>
  </w:style>
  <w:style w:type="character" w:customStyle="1" w:styleId="Heading6Char">
    <w:name w:val="Heading 6 Char"/>
    <w:link w:val="Heading6"/>
    <w:rsid w:val="00BE1843"/>
    <w:rPr>
      <w:rFonts w:ascii="Arial" w:hAnsi="Arial"/>
      <w:bCs/>
      <w:szCs w:val="22"/>
    </w:rPr>
  </w:style>
  <w:style w:type="paragraph" w:customStyle="1" w:styleId="BoxSubHeading">
    <w:name w:val="Box Sub Heading"/>
    <w:basedOn w:val="Heading6"/>
    <w:rsid w:val="00BE1843"/>
    <w:pPr>
      <w:spacing w:before="120" w:after="40"/>
    </w:pPr>
  </w:style>
  <w:style w:type="paragraph" w:customStyle="1" w:styleId="ChartHeading">
    <w:name w:val="Chart Heading"/>
    <w:basedOn w:val="HeadingBase"/>
    <w:next w:val="ChartGraphic"/>
    <w:qFormat/>
    <w:rsid w:val="00BE1843"/>
    <w:pPr>
      <w:spacing w:before="120" w:after="20"/>
    </w:pPr>
    <w:rPr>
      <w:b/>
      <w:sz w:val="20"/>
    </w:rPr>
  </w:style>
  <w:style w:type="paragraph" w:customStyle="1" w:styleId="ChartLine">
    <w:name w:val="Chart Line"/>
    <w:basedOn w:val="NoSpacing"/>
    <w:autoRedefine/>
    <w:qFormat/>
    <w:rsid w:val="00BE1843"/>
    <w:pPr>
      <w:pBdr>
        <w:bottom w:val="single" w:sz="4" w:space="2" w:color="D0CECE"/>
      </w:pBdr>
      <w:spacing w:after="240"/>
    </w:pPr>
    <w:rPr>
      <w:rFonts w:ascii="Calibri" w:hAnsi="Calibri"/>
      <w:noProof/>
      <w:sz w:val="4"/>
      <w:szCs w:val="4"/>
    </w:rPr>
  </w:style>
  <w:style w:type="character" w:customStyle="1" w:styleId="CommentSubjectChar">
    <w:name w:val="Comment Subject Char"/>
    <w:link w:val="CommentSubject"/>
    <w:semiHidden/>
    <w:rsid w:val="00BE1843"/>
    <w:rPr>
      <w:rFonts w:ascii="Calibri" w:hAnsi="Calibri"/>
      <w:b/>
      <w:bCs/>
      <w:sz w:val="19"/>
    </w:rPr>
  </w:style>
  <w:style w:type="character" w:customStyle="1" w:styleId="DocumentMapChar">
    <w:name w:val="Document Map Char"/>
    <w:link w:val="DocumentMap"/>
    <w:semiHidden/>
    <w:rsid w:val="00BE1843"/>
    <w:rPr>
      <w:rFonts w:ascii="Tahoma" w:hAnsi="Tahoma" w:cs="Tahoma"/>
      <w:sz w:val="19"/>
      <w:shd w:val="clear" w:color="auto" w:fill="000080"/>
    </w:rPr>
  </w:style>
  <w:style w:type="character" w:customStyle="1" w:styleId="EndnoteTextChar">
    <w:name w:val="Endnote Text Char"/>
    <w:link w:val="EndnoteText"/>
    <w:rsid w:val="00BE1843"/>
    <w:rPr>
      <w:rFonts w:ascii="Calibri" w:hAnsi="Calibri"/>
      <w:sz w:val="19"/>
    </w:rPr>
  </w:style>
  <w:style w:type="character" w:customStyle="1" w:styleId="FootnoteTextChar">
    <w:name w:val="Footnote Text Char"/>
    <w:link w:val="FootnoteText"/>
    <w:uiPriority w:val="99"/>
    <w:rsid w:val="00BE1843"/>
    <w:rPr>
      <w:rFonts w:ascii="Calibri" w:hAnsi="Calibri"/>
      <w:sz w:val="18"/>
    </w:rPr>
  </w:style>
  <w:style w:type="character" w:customStyle="1" w:styleId="Heading1Char">
    <w:name w:val="Heading 1 Char"/>
    <w:link w:val="Heading1"/>
    <w:rsid w:val="00BE1843"/>
    <w:rPr>
      <w:rFonts w:ascii="Arial Bold" w:hAnsi="Arial Bold"/>
      <w:b/>
      <w:kern w:val="34"/>
      <w:sz w:val="36"/>
    </w:rPr>
  </w:style>
  <w:style w:type="character" w:customStyle="1" w:styleId="Heading2Char">
    <w:name w:val="Heading 2 Char"/>
    <w:link w:val="Heading2"/>
    <w:rsid w:val="00BE1843"/>
    <w:rPr>
      <w:rFonts w:ascii="Arial Bold" w:hAnsi="Arial Bold"/>
      <w:b/>
      <w:sz w:val="26"/>
    </w:rPr>
  </w:style>
  <w:style w:type="paragraph" w:customStyle="1" w:styleId="Heading3noTOC">
    <w:name w:val="Heading 3 no TOC"/>
    <w:basedOn w:val="Heading3"/>
    <w:rsid w:val="00BE1843"/>
    <w:pPr>
      <w:outlineLvl w:val="9"/>
    </w:pPr>
  </w:style>
  <w:style w:type="character" w:customStyle="1" w:styleId="Heading4Char">
    <w:name w:val="Heading 4 Char"/>
    <w:link w:val="Heading4"/>
    <w:rsid w:val="00BE1843"/>
    <w:rPr>
      <w:rFonts w:ascii="Arial Bold" w:hAnsi="Arial Bold"/>
      <w:b/>
    </w:rPr>
  </w:style>
  <w:style w:type="character" w:customStyle="1" w:styleId="Heading5Char">
    <w:name w:val="Heading 5 Char"/>
    <w:link w:val="Heading5"/>
    <w:rsid w:val="00BE1843"/>
    <w:rPr>
      <w:rFonts w:ascii="Arial" w:hAnsi="Arial"/>
      <w:bCs/>
      <w:i/>
      <w:iCs/>
      <w:szCs w:val="26"/>
    </w:rPr>
  </w:style>
  <w:style w:type="character" w:customStyle="1" w:styleId="Heading7Char">
    <w:name w:val="Heading 7 Char"/>
    <w:link w:val="Heading7"/>
    <w:rsid w:val="00BE1843"/>
    <w:rPr>
      <w:rFonts w:ascii="Arial" w:hAnsi="Arial"/>
      <w:szCs w:val="24"/>
    </w:rPr>
  </w:style>
  <w:style w:type="character" w:customStyle="1" w:styleId="Heading8Char">
    <w:name w:val="Heading 8 Char"/>
    <w:link w:val="Heading8"/>
    <w:rsid w:val="00BE1843"/>
    <w:rPr>
      <w:i/>
      <w:iCs/>
      <w:sz w:val="16"/>
      <w:szCs w:val="24"/>
    </w:rPr>
  </w:style>
  <w:style w:type="character" w:customStyle="1" w:styleId="MacroTextChar">
    <w:name w:val="Macro Text Char"/>
    <w:link w:val="MacroText"/>
    <w:rsid w:val="00BE1843"/>
    <w:rPr>
      <w:rFonts w:ascii="Courier New" w:hAnsi="Courier New" w:cs="Courier New"/>
    </w:rPr>
  </w:style>
  <w:style w:type="paragraph" w:customStyle="1" w:styleId="Statement">
    <w:name w:val="Statement"/>
    <w:basedOn w:val="Normal"/>
    <w:autoRedefine/>
    <w:qFormat/>
    <w:rsid w:val="00BE1843"/>
    <w:pPr>
      <w:textboxTightWrap w:val="firstAndLastLine"/>
    </w:pPr>
    <w:rPr>
      <w:rFonts w:cs="Calibri"/>
      <w:kern w:val="18"/>
      <w:sz w:val="18"/>
    </w:rPr>
  </w:style>
  <w:style w:type="paragraph" w:customStyle="1" w:styleId="Statement-Bullet">
    <w:name w:val="Statement - Bullet"/>
    <w:basedOn w:val="Bullet"/>
    <w:qFormat/>
    <w:rsid w:val="00BE1843"/>
    <w:pPr>
      <w:ind w:left="284" w:hanging="284"/>
    </w:pPr>
  </w:style>
  <w:style w:type="paragraph" w:customStyle="1" w:styleId="TableLine">
    <w:name w:val="Table Line"/>
    <w:basedOn w:val="Normal"/>
    <w:next w:val="Normal"/>
    <w:autoRedefine/>
    <w:rsid w:val="00BE1843"/>
    <w:pPr>
      <w:pBdr>
        <w:bottom w:val="single" w:sz="4" w:space="2" w:color="D0CECE"/>
      </w:pBdr>
      <w:spacing w:before="0" w:line="240" w:lineRule="auto"/>
    </w:pPr>
    <w:rPr>
      <w:noProof/>
      <w:sz w:val="4"/>
      <w:szCs w:val="4"/>
    </w:rPr>
  </w:style>
  <w:style w:type="paragraph" w:customStyle="1" w:styleId="TPHeading3bold">
    <w:name w:val="TP Heading 3 bold"/>
    <w:basedOn w:val="TPHeading3"/>
    <w:semiHidden/>
    <w:rsid w:val="00BE1843"/>
    <w:rPr>
      <w:rFonts w:cs="Arial"/>
      <w:b/>
      <w:sz w:val="22"/>
      <w:szCs w:val="22"/>
    </w:rPr>
  </w:style>
  <w:style w:type="paragraph" w:customStyle="1" w:styleId="TPHEADING3boldspace">
    <w:name w:val="TP HEADING 3 bold space"/>
    <w:basedOn w:val="TPHeading3bold"/>
    <w:semiHidden/>
    <w:rsid w:val="00BE1843"/>
    <w:pPr>
      <w:spacing w:after="120"/>
    </w:pPr>
  </w:style>
  <w:style w:type="paragraph" w:customStyle="1" w:styleId="TPHEADING3space">
    <w:name w:val="TP HEADING 3 space"/>
    <w:basedOn w:val="TPHeading3"/>
    <w:semiHidden/>
    <w:rsid w:val="00BE1843"/>
    <w:pPr>
      <w:spacing w:before="120" w:after="120"/>
    </w:pPr>
    <w:rPr>
      <w:rFonts w:cs="Arial"/>
      <w:sz w:val="22"/>
      <w:szCs w:val="22"/>
    </w:rPr>
  </w:style>
  <w:style w:type="paragraph" w:customStyle="1" w:styleId="TPHeading4">
    <w:name w:val="TP Heading 4"/>
    <w:basedOn w:val="TPHeading3"/>
    <w:semiHidden/>
    <w:rsid w:val="00BE1843"/>
    <w:rPr>
      <w:sz w:val="20"/>
    </w:rPr>
  </w:style>
  <w:style w:type="paragraph" w:customStyle="1" w:styleId="TPHEADING4space">
    <w:name w:val="TP HEADING 4 space"/>
    <w:basedOn w:val="TPHEADING3space"/>
    <w:semiHidden/>
    <w:rsid w:val="00BE1843"/>
  </w:style>
  <w:style w:type="paragraph" w:customStyle="1" w:styleId="Default">
    <w:name w:val="Default"/>
    <w:rsid w:val="00013B52"/>
    <w:pPr>
      <w:autoSpaceDE w:val="0"/>
      <w:autoSpaceDN w:val="0"/>
      <w:adjustRightInd w:val="0"/>
    </w:pPr>
    <w:rPr>
      <w:rFonts w:ascii="Arial" w:hAnsi="Arial" w:cs="Arial"/>
      <w:color w:val="000000"/>
      <w:sz w:val="24"/>
      <w:szCs w:val="24"/>
    </w:rPr>
  </w:style>
  <w:style w:type="paragraph" w:customStyle="1" w:styleId="paragraph">
    <w:name w:val="paragraph"/>
    <w:basedOn w:val="Normal"/>
    <w:rsid w:val="00C8668E"/>
    <w:pPr>
      <w:spacing w:before="0" w:after="0" w:line="240" w:lineRule="auto"/>
    </w:pPr>
    <w:rPr>
      <w:rFonts w:ascii="Times New Roman" w:hAnsi="Times New Roman"/>
      <w:sz w:val="24"/>
      <w:szCs w:val="24"/>
      <w:lang w:eastAsia="en-US"/>
    </w:rPr>
  </w:style>
  <w:style w:type="character" w:customStyle="1" w:styleId="normaltextrun1">
    <w:name w:val="normaltextrun1"/>
    <w:basedOn w:val="DefaultParagraphFont"/>
    <w:rsid w:val="00C8668E"/>
  </w:style>
  <w:style w:type="paragraph" w:styleId="BodyText">
    <w:name w:val="Body Text"/>
    <w:basedOn w:val="Normal"/>
    <w:link w:val="BodyTextChar"/>
    <w:uiPriority w:val="1"/>
    <w:qFormat/>
    <w:rsid w:val="00967529"/>
    <w:pPr>
      <w:widowControl w:val="0"/>
      <w:autoSpaceDE w:val="0"/>
      <w:autoSpaceDN w:val="0"/>
      <w:spacing w:before="0" w:after="0" w:line="240" w:lineRule="auto"/>
    </w:pPr>
    <w:rPr>
      <w:rFonts w:eastAsia="Book Antiqua" w:cs="Book Antiqua"/>
      <w:szCs w:val="19"/>
      <w:lang w:val="en-US" w:eastAsia="en-US"/>
    </w:rPr>
  </w:style>
  <w:style w:type="character" w:customStyle="1" w:styleId="BodyTextChar">
    <w:name w:val="Body Text Char"/>
    <w:basedOn w:val="DefaultParagraphFont"/>
    <w:link w:val="BodyText"/>
    <w:uiPriority w:val="1"/>
    <w:rsid w:val="00967529"/>
    <w:rPr>
      <w:rFonts w:ascii="Book Antiqua" w:eastAsia="Book Antiqua" w:hAnsi="Book Antiqua" w:cs="Book Antiqua"/>
      <w:sz w:val="19"/>
      <w:szCs w:val="19"/>
      <w:lang w:val="en-US" w:eastAsia="en-US"/>
    </w:rPr>
  </w:style>
  <w:style w:type="character" w:customStyle="1" w:styleId="normaltextrun">
    <w:name w:val="normaltextrun"/>
    <w:basedOn w:val="DefaultParagraphFont"/>
    <w:rsid w:val="00020631"/>
  </w:style>
  <w:style w:type="character" w:customStyle="1" w:styleId="ListParagraphChar">
    <w:name w:val="List Paragraph Char"/>
    <w:aliases w:val="Recommendation Char,List Paragraph1 Char,Bulleted Para Char,NFP GP Bulleted List Char,bullet point list Char,List Paragraph11 Char,L Char,Bullet points Char,Content descriptions Char,Bullet Point Char,DDM Gen Text Char,CV text Char"/>
    <w:link w:val="ListParagraph"/>
    <w:uiPriority w:val="34"/>
    <w:qFormat/>
    <w:locked/>
    <w:rsid w:val="003029AA"/>
    <w:rPr>
      <w:rFonts w:ascii="Calibri" w:eastAsia="Calibri" w:hAnsi="Calibri"/>
      <w:sz w:val="22"/>
      <w:szCs w:val="22"/>
      <w:lang w:val="en-US" w:eastAsia="en-US"/>
    </w:rPr>
  </w:style>
  <w:style w:type="paragraph" w:customStyle="1" w:styleId="TableParagraph">
    <w:name w:val="Table Paragraph"/>
    <w:basedOn w:val="Normal"/>
    <w:uiPriority w:val="1"/>
    <w:qFormat/>
    <w:rsid w:val="00733146"/>
    <w:pPr>
      <w:widowControl w:val="0"/>
      <w:autoSpaceDE w:val="0"/>
      <w:autoSpaceDN w:val="0"/>
      <w:spacing w:before="0" w:after="0" w:line="240" w:lineRule="auto"/>
    </w:pPr>
    <w:rPr>
      <w:rFonts w:ascii="Arial" w:eastAsia="Arial" w:hAnsi="Arial" w:cs="Arial"/>
      <w:sz w:val="22"/>
      <w:szCs w:val="22"/>
      <w:lang w:val="en-US" w:eastAsia="en-US"/>
    </w:rPr>
  </w:style>
  <w:style w:type="character" w:styleId="UnresolvedMention">
    <w:name w:val="Unresolved Mention"/>
    <w:basedOn w:val="DefaultParagraphFont"/>
    <w:uiPriority w:val="99"/>
    <w:semiHidden/>
    <w:unhideWhenUsed/>
    <w:rsid w:val="009152E8"/>
    <w:rPr>
      <w:color w:val="605E5C"/>
      <w:shd w:val="clear" w:color="auto" w:fill="E1DFDD"/>
    </w:rPr>
  </w:style>
  <w:style w:type="paragraph" w:styleId="NormalWeb">
    <w:name w:val="Normal (Web)"/>
    <w:basedOn w:val="Normal"/>
    <w:uiPriority w:val="99"/>
    <w:unhideWhenUsed/>
    <w:rsid w:val="008979BB"/>
    <w:pPr>
      <w:spacing w:before="100" w:beforeAutospacing="1" w:after="100" w:afterAutospacing="1" w:line="240" w:lineRule="auto"/>
    </w:pPr>
    <w:rPr>
      <w:rFonts w:ascii="Calibri" w:eastAsiaTheme="minorHAnsi" w:hAnsi="Calibri" w:cs="Calibri"/>
      <w:sz w:val="22"/>
      <w:szCs w:val="22"/>
    </w:rPr>
  </w:style>
  <w:style w:type="paragraph" w:customStyle="1" w:styleId="Body">
    <w:name w:val="Body"/>
    <w:uiPriority w:val="99"/>
    <w:rsid w:val="00855699"/>
    <w:pPr>
      <w:spacing w:after="120" w:line="264" w:lineRule="auto"/>
      <w:jc w:val="both"/>
    </w:pPr>
    <w:rPr>
      <w:rFonts w:ascii="Calibri" w:eastAsia="Calibri" w:hAnsi="Calibri" w:cs="Calibri"/>
      <w:color w:val="000000"/>
      <w:u w:color="000000"/>
    </w:rPr>
  </w:style>
  <w:style w:type="table" w:customStyle="1" w:styleId="TableGrid1">
    <w:name w:val="Table Grid1"/>
    <w:basedOn w:val="TableNormal"/>
    <w:uiPriority w:val="39"/>
    <w:rsid w:val="0085569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644">
      <w:bodyDiv w:val="1"/>
      <w:marLeft w:val="0"/>
      <w:marRight w:val="0"/>
      <w:marTop w:val="0"/>
      <w:marBottom w:val="0"/>
      <w:divBdr>
        <w:top w:val="none" w:sz="0" w:space="0" w:color="auto"/>
        <w:left w:val="none" w:sz="0" w:space="0" w:color="auto"/>
        <w:bottom w:val="none" w:sz="0" w:space="0" w:color="auto"/>
        <w:right w:val="none" w:sz="0" w:space="0" w:color="auto"/>
      </w:divBdr>
    </w:div>
    <w:div w:id="28191789">
      <w:bodyDiv w:val="1"/>
      <w:marLeft w:val="0"/>
      <w:marRight w:val="0"/>
      <w:marTop w:val="0"/>
      <w:marBottom w:val="0"/>
      <w:divBdr>
        <w:top w:val="none" w:sz="0" w:space="0" w:color="auto"/>
        <w:left w:val="none" w:sz="0" w:space="0" w:color="auto"/>
        <w:bottom w:val="none" w:sz="0" w:space="0" w:color="auto"/>
        <w:right w:val="none" w:sz="0" w:space="0" w:color="auto"/>
      </w:divBdr>
    </w:div>
    <w:div w:id="3343357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233953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6007407">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104203608">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529957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578940">
      <w:bodyDiv w:val="1"/>
      <w:marLeft w:val="0"/>
      <w:marRight w:val="0"/>
      <w:marTop w:val="0"/>
      <w:marBottom w:val="0"/>
      <w:divBdr>
        <w:top w:val="none" w:sz="0" w:space="0" w:color="auto"/>
        <w:left w:val="none" w:sz="0" w:space="0" w:color="auto"/>
        <w:bottom w:val="none" w:sz="0" w:space="0" w:color="auto"/>
        <w:right w:val="none" w:sz="0" w:space="0" w:color="auto"/>
      </w:divBdr>
    </w:div>
    <w:div w:id="176042030">
      <w:bodyDiv w:val="1"/>
      <w:marLeft w:val="0"/>
      <w:marRight w:val="0"/>
      <w:marTop w:val="0"/>
      <w:marBottom w:val="0"/>
      <w:divBdr>
        <w:top w:val="none" w:sz="0" w:space="0" w:color="auto"/>
        <w:left w:val="none" w:sz="0" w:space="0" w:color="auto"/>
        <w:bottom w:val="none" w:sz="0" w:space="0" w:color="auto"/>
        <w:right w:val="none" w:sz="0" w:space="0" w:color="auto"/>
      </w:divBdr>
    </w:div>
    <w:div w:id="185564527">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344244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7595211">
      <w:bodyDiv w:val="1"/>
      <w:marLeft w:val="0"/>
      <w:marRight w:val="0"/>
      <w:marTop w:val="0"/>
      <w:marBottom w:val="0"/>
      <w:divBdr>
        <w:top w:val="none" w:sz="0" w:space="0" w:color="auto"/>
        <w:left w:val="none" w:sz="0" w:space="0" w:color="auto"/>
        <w:bottom w:val="none" w:sz="0" w:space="0" w:color="auto"/>
        <w:right w:val="none" w:sz="0" w:space="0" w:color="auto"/>
      </w:divBdr>
    </w:div>
    <w:div w:id="271666153">
      <w:bodyDiv w:val="1"/>
      <w:marLeft w:val="0"/>
      <w:marRight w:val="0"/>
      <w:marTop w:val="0"/>
      <w:marBottom w:val="0"/>
      <w:divBdr>
        <w:top w:val="none" w:sz="0" w:space="0" w:color="auto"/>
        <w:left w:val="none" w:sz="0" w:space="0" w:color="auto"/>
        <w:bottom w:val="none" w:sz="0" w:space="0" w:color="auto"/>
        <w:right w:val="none" w:sz="0" w:space="0" w:color="auto"/>
      </w:divBdr>
    </w:div>
    <w:div w:id="273749537">
      <w:bodyDiv w:val="1"/>
      <w:marLeft w:val="0"/>
      <w:marRight w:val="0"/>
      <w:marTop w:val="0"/>
      <w:marBottom w:val="0"/>
      <w:divBdr>
        <w:top w:val="none" w:sz="0" w:space="0" w:color="auto"/>
        <w:left w:val="none" w:sz="0" w:space="0" w:color="auto"/>
        <w:bottom w:val="none" w:sz="0" w:space="0" w:color="auto"/>
        <w:right w:val="none" w:sz="0" w:space="0" w:color="auto"/>
      </w:divBdr>
    </w:div>
    <w:div w:id="28339262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3339377">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9183052">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2245150">
      <w:bodyDiv w:val="1"/>
      <w:marLeft w:val="0"/>
      <w:marRight w:val="0"/>
      <w:marTop w:val="0"/>
      <w:marBottom w:val="0"/>
      <w:divBdr>
        <w:top w:val="none" w:sz="0" w:space="0" w:color="auto"/>
        <w:left w:val="none" w:sz="0" w:space="0" w:color="auto"/>
        <w:bottom w:val="none" w:sz="0" w:space="0" w:color="auto"/>
        <w:right w:val="none" w:sz="0" w:space="0" w:color="auto"/>
      </w:divBdr>
    </w:div>
    <w:div w:id="363601474">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8166190">
      <w:bodyDiv w:val="1"/>
      <w:marLeft w:val="0"/>
      <w:marRight w:val="0"/>
      <w:marTop w:val="0"/>
      <w:marBottom w:val="0"/>
      <w:divBdr>
        <w:top w:val="none" w:sz="0" w:space="0" w:color="auto"/>
        <w:left w:val="none" w:sz="0" w:space="0" w:color="auto"/>
        <w:bottom w:val="none" w:sz="0" w:space="0" w:color="auto"/>
        <w:right w:val="none" w:sz="0" w:space="0" w:color="auto"/>
      </w:divBdr>
    </w:div>
    <w:div w:id="382877004">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2966883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5756318">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59679060">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76405273">
      <w:bodyDiv w:val="1"/>
      <w:marLeft w:val="0"/>
      <w:marRight w:val="0"/>
      <w:marTop w:val="0"/>
      <w:marBottom w:val="0"/>
      <w:divBdr>
        <w:top w:val="none" w:sz="0" w:space="0" w:color="auto"/>
        <w:left w:val="none" w:sz="0" w:space="0" w:color="auto"/>
        <w:bottom w:val="none" w:sz="0" w:space="0" w:color="auto"/>
        <w:right w:val="none" w:sz="0" w:space="0" w:color="auto"/>
      </w:divBdr>
    </w:div>
    <w:div w:id="584459872">
      <w:bodyDiv w:val="1"/>
      <w:marLeft w:val="0"/>
      <w:marRight w:val="0"/>
      <w:marTop w:val="0"/>
      <w:marBottom w:val="0"/>
      <w:divBdr>
        <w:top w:val="none" w:sz="0" w:space="0" w:color="auto"/>
        <w:left w:val="none" w:sz="0" w:space="0" w:color="auto"/>
        <w:bottom w:val="none" w:sz="0" w:space="0" w:color="auto"/>
        <w:right w:val="none" w:sz="0" w:space="0" w:color="auto"/>
      </w:divBdr>
    </w:div>
    <w:div w:id="593363496">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4482547">
      <w:bodyDiv w:val="1"/>
      <w:marLeft w:val="0"/>
      <w:marRight w:val="0"/>
      <w:marTop w:val="0"/>
      <w:marBottom w:val="0"/>
      <w:divBdr>
        <w:top w:val="none" w:sz="0" w:space="0" w:color="auto"/>
        <w:left w:val="none" w:sz="0" w:space="0" w:color="auto"/>
        <w:bottom w:val="none" w:sz="0" w:space="0" w:color="auto"/>
        <w:right w:val="none" w:sz="0" w:space="0" w:color="auto"/>
      </w:divBdr>
    </w:div>
    <w:div w:id="634261729">
      <w:bodyDiv w:val="1"/>
      <w:marLeft w:val="0"/>
      <w:marRight w:val="0"/>
      <w:marTop w:val="0"/>
      <w:marBottom w:val="0"/>
      <w:divBdr>
        <w:top w:val="none" w:sz="0" w:space="0" w:color="auto"/>
        <w:left w:val="none" w:sz="0" w:space="0" w:color="auto"/>
        <w:bottom w:val="none" w:sz="0" w:space="0" w:color="auto"/>
        <w:right w:val="none" w:sz="0" w:space="0" w:color="auto"/>
      </w:divBdr>
    </w:div>
    <w:div w:id="641547214">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6420377">
      <w:bodyDiv w:val="1"/>
      <w:marLeft w:val="0"/>
      <w:marRight w:val="0"/>
      <w:marTop w:val="0"/>
      <w:marBottom w:val="0"/>
      <w:divBdr>
        <w:top w:val="none" w:sz="0" w:space="0" w:color="auto"/>
        <w:left w:val="none" w:sz="0" w:space="0" w:color="auto"/>
        <w:bottom w:val="none" w:sz="0" w:space="0" w:color="auto"/>
        <w:right w:val="none" w:sz="0" w:space="0" w:color="auto"/>
      </w:divBdr>
    </w:div>
    <w:div w:id="663897480">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89142043">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9452353">
      <w:bodyDiv w:val="1"/>
      <w:marLeft w:val="0"/>
      <w:marRight w:val="0"/>
      <w:marTop w:val="0"/>
      <w:marBottom w:val="0"/>
      <w:divBdr>
        <w:top w:val="none" w:sz="0" w:space="0" w:color="auto"/>
        <w:left w:val="none" w:sz="0" w:space="0" w:color="auto"/>
        <w:bottom w:val="none" w:sz="0" w:space="0" w:color="auto"/>
        <w:right w:val="none" w:sz="0" w:space="0" w:color="auto"/>
      </w:divBdr>
    </w:div>
    <w:div w:id="721833056">
      <w:bodyDiv w:val="1"/>
      <w:marLeft w:val="0"/>
      <w:marRight w:val="0"/>
      <w:marTop w:val="0"/>
      <w:marBottom w:val="0"/>
      <w:divBdr>
        <w:top w:val="none" w:sz="0" w:space="0" w:color="auto"/>
        <w:left w:val="none" w:sz="0" w:space="0" w:color="auto"/>
        <w:bottom w:val="none" w:sz="0" w:space="0" w:color="auto"/>
        <w:right w:val="none" w:sz="0" w:space="0" w:color="auto"/>
      </w:divBdr>
    </w:div>
    <w:div w:id="728185050">
      <w:bodyDiv w:val="1"/>
      <w:marLeft w:val="0"/>
      <w:marRight w:val="0"/>
      <w:marTop w:val="0"/>
      <w:marBottom w:val="0"/>
      <w:divBdr>
        <w:top w:val="none" w:sz="0" w:space="0" w:color="auto"/>
        <w:left w:val="none" w:sz="0" w:space="0" w:color="auto"/>
        <w:bottom w:val="none" w:sz="0" w:space="0" w:color="auto"/>
        <w:right w:val="none" w:sz="0" w:space="0" w:color="auto"/>
      </w:divBdr>
    </w:div>
    <w:div w:id="746075951">
      <w:bodyDiv w:val="1"/>
      <w:marLeft w:val="0"/>
      <w:marRight w:val="0"/>
      <w:marTop w:val="0"/>
      <w:marBottom w:val="0"/>
      <w:divBdr>
        <w:top w:val="none" w:sz="0" w:space="0" w:color="auto"/>
        <w:left w:val="none" w:sz="0" w:space="0" w:color="auto"/>
        <w:bottom w:val="none" w:sz="0" w:space="0" w:color="auto"/>
        <w:right w:val="none" w:sz="0" w:space="0" w:color="auto"/>
      </w:divBdr>
    </w:div>
    <w:div w:id="766578493">
      <w:bodyDiv w:val="1"/>
      <w:marLeft w:val="0"/>
      <w:marRight w:val="0"/>
      <w:marTop w:val="0"/>
      <w:marBottom w:val="0"/>
      <w:divBdr>
        <w:top w:val="none" w:sz="0" w:space="0" w:color="auto"/>
        <w:left w:val="none" w:sz="0" w:space="0" w:color="auto"/>
        <w:bottom w:val="none" w:sz="0" w:space="0" w:color="auto"/>
        <w:right w:val="none" w:sz="0" w:space="0" w:color="auto"/>
      </w:divBdr>
    </w:div>
    <w:div w:id="780339363">
      <w:bodyDiv w:val="1"/>
      <w:marLeft w:val="0"/>
      <w:marRight w:val="0"/>
      <w:marTop w:val="0"/>
      <w:marBottom w:val="0"/>
      <w:divBdr>
        <w:top w:val="none" w:sz="0" w:space="0" w:color="auto"/>
        <w:left w:val="none" w:sz="0" w:space="0" w:color="auto"/>
        <w:bottom w:val="none" w:sz="0" w:space="0" w:color="auto"/>
        <w:right w:val="none" w:sz="0" w:space="0" w:color="auto"/>
      </w:divBdr>
    </w:div>
    <w:div w:id="780566391">
      <w:bodyDiv w:val="1"/>
      <w:marLeft w:val="0"/>
      <w:marRight w:val="0"/>
      <w:marTop w:val="0"/>
      <w:marBottom w:val="0"/>
      <w:divBdr>
        <w:top w:val="none" w:sz="0" w:space="0" w:color="auto"/>
        <w:left w:val="none" w:sz="0" w:space="0" w:color="auto"/>
        <w:bottom w:val="none" w:sz="0" w:space="0" w:color="auto"/>
        <w:right w:val="none" w:sz="0" w:space="0" w:color="auto"/>
      </w:divBdr>
    </w:div>
    <w:div w:id="783771418">
      <w:bodyDiv w:val="1"/>
      <w:marLeft w:val="0"/>
      <w:marRight w:val="0"/>
      <w:marTop w:val="0"/>
      <w:marBottom w:val="0"/>
      <w:divBdr>
        <w:top w:val="none" w:sz="0" w:space="0" w:color="auto"/>
        <w:left w:val="none" w:sz="0" w:space="0" w:color="auto"/>
        <w:bottom w:val="none" w:sz="0" w:space="0" w:color="auto"/>
        <w:right w:val="none" w:sz="0" w:space="0" w:color="auto"/>
      </w:divBdr>
    </w:div>
    <w:div w:id="793519792">
      <w:bodyDiv w:val="1"/>
      <w:marLeft w:val="0"/>
      <w:marRight w:val="0"/>
      <w:marTop w:val="0"/>
      <w:marBottom w:val="0"/>
      <w:divBdr>
        <w:top w:val="none" w:sz="0" w:space="0" w:color="auto"/>
        <w:left w:val="none" w:sz="0" w:space="0" w:color="auto"/>
        <w:bottom w:val="none" w:sz="0" w:space="0" w:color="auto"/>
        <w:right w:val="none" w:sz="0" w:space="0" w:color="auto"/>
      </w:divBdr>
    </w:div>
    <w:div w:id="796409043">
      <w:bodyDiv w:val="1"/>
      <w:marLeft w:val="0"/>
      <w:marRight w:val="0"/>
      <w:marTop w:val="0"/>
      <w:marBottom w:val="0"/>
      <w:divBdr>
        <w:top w:val="none" w:sz="0" w:space="0" w:color="auto"/>
        <w:left w:val="none" w:sz="0" w:space="0" w:color="auto"/>
        <w:bottom w:val="none" w:sz="0" w:space="0" w:color="auto"/>
        <w:right w:val="none" w:sz="0" w:space="0" w:color="auto"/>
      </w:divBdr>
    </w:div>
    <w:div w:id="802115213">
      <w:bodyDiv w:val="1"/>
      <w:marLeft w:val="0"/>
      <w:marRight w:val="0"/>
      <w:marTop w:val="0"/>
      <w:marBottom w:val="0"/>
      <w:divBdr>
        <w:top w:val="none" w:sz="0" w:space="0" w:color="auto"/>
        <w:left w:val="none" w:sz="0" w:space="0" w:color="auto"/>
        <w:bottom w:val="none" w:sz="0" w:space="0" w:color="auto"/>
        <w:right w:val="none" w:sz="0" w:space="0" w:color="auto"/>
      </w:divBdr>
    </w:div>
    <w:div w:id="81186933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9049351">
      <w:bodyDiv w:val="1"/>
      <w:marLeft w:val="0"/>
      <w:marRight w:val="0"/>
      <w:marTop w:val="0"/>
      <w:marBottom w:val="0"/>
      <w:divBdr>
        <w:top w:val="none" w:sz="0" w:space="0" w:color="auto"/>
        <w:left w:val="none" w:sz="0" w:space="0" w:color="auto"/>
        <w:bottom w:val="none" w:sz="0" w:space="0" w:color="auto"/>
        <w:right w:val="none" w:sz="0" w:space="0" w:color="auto"/>
      </w:divBdr>
    </w:div>
    <w:div w:id="862867346">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7276367">
      <w:bodyDiv w:val="1"/>
      <w:marLeft w:val="0"/>
      <w:marRight w:val="0"/>
      <w:marTop w:val="0"/>
      <w:marBottom w:val="0"/>
      <w:divBdr>
        <w:top w:val="none" w:sz="0" w:space="0" w:color="auto"/>
        <w:left w:val="none" w:sz="0" w:space="0" w:color="auto"/>
        <w:bottom w:val="none" w:sz="0" w:space="0" w:color="auto"/>
        <w:right w:val="none" w:sz="0" w:space="0" w:color="auto"/>
      </w:divBdr>
    </w:div>
    <w:div w:id="884369294">
      <w:bodyDiv w:val="1"/>
      <w:marLeft w:val="0"/>
      <w:marRight w:val="0"/>
      <w:marTop w:val="0"/>
      <w:marBottom w:val="0"/>
      <w:divBdr>
        <w:top w:val="none" w:sz="0" w:space="0" w:color="auto"/>
        <w:left w:val="none" w:sz="0" w:space="0" w:color="auto"/>
        <w:bottom w:val="none" w:sz="0" w:space="0" w:color="auto"/>
        <w:right w:val="none" w:sz="0" w:space="0" w:color="auto"/>
      </w:divBdr>
    </w:div>
    <w:div w:id="885793683">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6067957">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8832495">
      <w:bodyDiv w:val="1"/>
      <w:marLeft w:val="0"/>
      <w:marRight w:val="0"/>
      <w:marTop w:val="0"/>
      <w:marBottom w:val="0"/>
      <w:divBdr>
        <w:top w:val="none" w:sz="0" w:space="0" w:color="auto"/>
        <w:left w:val="none" w:sz="0" w:space="0" w:color="auto"/>
        <w:bottom w:val="none" w:sz="0" w:space="0" w:color="auto"/>
        <w:right w:val="none" w:sz="0" w:space="0" w:color="auto"/>
      </w:divBdr>
    </w:div>
    <w:div w:id="922180034">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3509713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2185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374432">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9986298">
      <w:bodyDiv w:val="1"/>
      <w:marLeft w:val="0"/>
      <w:marRight w:val="0"/>
      <w:marTop w:val="0"/>
      <w:marBottom w:val="0"/>
      <w:divBdr>
        <w:top w:val="none" w:sz="0" w:space="0" w:color="auto"/>
        <w:left w:val="none" w:sz="0" w:space="0" w:color="auto"/>
        <w:bottom w:val="none" w:sz="0" w:space="0" w:color="auto"/>
        <w:right w:val="none" w:sz="0" w:space="0" w:color="auto"/>
      </w:divBdr>
    </w:div>
    <w:div w:id="1061028216">
      <w:bodyDiv w:val="1"/>
      <w:marLeft w:val="0"/>
      <w:marRight w:val="0"/>
      <w:marTop w:val="0"/>
      <w:marBottom w:val="0"/>
      <w:divBdr>
        <w:top w:val="none" w:sz="0" w:space="0" w:color="auto"/>
        <w:left w:val="none" w:sz="0" w:space="0" w:color="auto"/>
        <w:bottom w:val="none" w:sz="0" w:space="0" w:color="auto"/>
        <w:right w:val="none" w:sz="0" w:space="0" w:color="auto"/>
      </w:divBdr>
    </w:div>
    <w:div w:id="108772601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1141588">
      <w:bodyDiv w:val="1"/>
      <w:marLeft w:val="0"/>
      <w:marRight w:val="0"/>
      <w:marTop w:val="0"/>
      <w:marBottom w:val="0"/>
      <w:divBdr>
        <w:top w:val="none" w:sz="0" w:space="0" w:color="auto"/>
        <w:left w:val="none" w:sz="0" w:space="0" w:color="auto"/>
        <w:bottom w:val="none" w:sz="0" w:space="0" w:color="auto"/>
        <w:right w:val="none" w:sz="0" w:space="0" w:color="auto"/>
      </w:divBdr>
    </w:div>
    <w:div w:id="1102993868">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0786028">
      <w:bodyDiv w:val="1"/>
      <w:marLeft w:val="0"/>
      <w:marRight w:val="0"/>
      <w:marTop w:val="0"/>
      <w:marBottom w:val="0"/>
      <w:divBdr>
        <w:top w:val="none" w:sz="0" w:space="0" w:color="auto"/>
        <w:left w:val="none" w:sz="0" w:space="0" w:color="auto"/>
        <w:bottom w:val="none" w:sz="0" w:space="0" w:color="auto"/>
        <w:right w:val="none" w:sz="0" w:space="0" w:color="auto"/>
      </w:divBdr>
    </w:div>
    <w:div w:id="1116869160">
      <w:bodyDiv w:val="1"/>
      <w:marLeft w:val="0"/>
      <w:marRight w:val="0"/>
      <w:marTop w:val="0"/>
      <w:marBottom w:val="0"/>
      <w:divBdr>
        <w:top w:val="none" w:sz="0" w:space="0" w:color="auto"/>
        <w:left w:val="none" w:sz="0" w:space="0" w:color="auto"/>
        <w:bottom w:val="none" w:sz="0" w:space="0" w:color="auto"/>
        <w:right w:val="none" w:sz="0" w:space="0" w:color="auto"/>
      </w:divBdr>
    </w:div>
    <w:div w:id="1120802242">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4928514">
      <w:bodyDiv w:val="1"/>
      <w:marLeft w:val="0"/>
      <w:marRight w:val="0"/>
      <w:marTop w:val="0"/>
      <w:marBottom w:val="0"/>
      <w:divBdr>
        <w:top w:val="none" w:sz="0" w:space="0" w:color="auto"/>
        <w:left w:val="none" w:sz="0" w:space="0" w:color="auto"/>
        <w:bottom w:val="none" w:sz="0" w:space="0" w:color="auto"/>
        <w:right w:val="none" w:sz="0" w:space="0" w:color="auto"/>
      </w:divBdr>
    </w:div>
    <w:div w:id="116289641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7381060">
      <w:bodyDiv w:val="1"/>
      <w:marLeft w:val="0"/>
      <w:marRight w:val="0"/>
      <w:marTop w:val="0"/>
      <w:marBottom w:val="0"/>
      <w:divBdr>
        <w:top w:val="none" w:sz="0" w:space="0" w:color="auto"/>
        <w:left w:val="none" w:sz="0" w:space="0" w:color="auto"/>
        <w:bottom w:val="none" w:sz="0" w:space="0" w:color="auto"/>
        <w:right w:val="none" w:sz="0" w:space="0" w:color="auto"/>
      </w:divBdr>
    </w:div>
    <w:div w:id="1241989349">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64731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4940170">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2347660">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357192393">
      <w:bodyDiv w:val="1"/>
      <w:marLeft w:val="0"/>
      <w:marRight w:val="0"/>
      <w:marTop w:val="0"/>
      <w:marBottom w:val="0"/>
      <w:divBdr>
        <w:top w:val="none" w:sz="0" w:space="0" w:color="auto"/>
        <w:left w:val="none" w:sz="0" w:space="0" w:color="auto"/>
        <w:bottom w:val="none" w:sz="0" w:space="0" w:color="auto"/>
        <w:right w:val="none" w:sz="0" w:space="0" w:color="auto"/>
      </w:divBdr>
    </w:div>
    <w:div w:id="1360470176">
      <w:bodyDiv w:val="1"/>
      <w:marLeft w:val="0"/>
      <w:marRight w:val="0"/>
      <w:marTop w:val="0"/>
      <w:marBottom w:val="0"/>
      <w:divBdr>
        <w:top w:val="none" w:sz="0" w:space="0" w:color="auto"/>
        <w:left w:val="none" w:sz="0" w:space="0" w:color="auto"/>
        <w:bottom w:val="none" w:sz="0" w:space="0" w:color="auto"/>
        <w:right w:val="none" w:sz="0" w:space="0" w:color="auto"/>
      </w:divBdr>
    </w:div>
    <w:div w:id="1361273697">
      <w:bodyDiv w:val="1"/>
      <w:marLeft w:val="0"/>
      <w:marRight w:val="0"/>
      <w:marTop w:val="0"/>
      <w:marBottom w:val="0"/>
      <w:divBdr>
        <w:top w:val="none" w:sz="0" w:space="0" w:color="auto"/>
        <w:left w:val="none" w:sz="0" w:space="0" w:color="auto"/>
        <w:bottom w:val="none" w:sz="0" w:space="0" w:color="auto"/>
        <w:right w:val="none" w:sz="0" w:space="0" w:color="auto"/>
      </w:divBdr>
    </w:div>
    <w:div w:id="1363482098">
      <w:bodyDiv w:val="1"/>
      <w:marLeft w:val="0"/>
      <w:marRight w:val="0"/>
      <w:marTop w:val="0"/>
      <w:marBottom w:val="0"/>
      <w:divBdr>
        <w:top w:val="none" w:sz="0" w:space="0" w:color="auto"/>
        <w:left w:val="none" w:sz="0" w:space="0" w:color="auto"/>
        <w:bottom w:val="none" w:sz="0" w:space="0" w:color="auto"/>
        <w:right w:val="none" w:sz="0" w:space="0" w:color="auto"/>
      </w:divBdr>
    </w:div>
    <w:div w:id="1367944746">
      <w:bodyDiv w:val="1"/>
      <w:marLeft w:val="0"/>
      <w:marRight w:val="0"/>
      <w:marTop w:val="0"/>
      <w:marBottom w:val="0"/>
      <w:divBdr>
        <w:top w:val="none" w:sz="0" w:space="0" w:color="auto"/>
        <w:left w:val="none" w:sz="0" w:space="0" w:color="auto"/>
        <w:bottom w:val="none" w:sz="0" w:space="0" w:color="auto"/>
        <w:right w:val="none" w:sz="0" w:space="0" w:color="auto"/>
      </w:divBdr>
    </w:div>
    <w:div w:id="1394818512">
      <w:bodyDiv w:val="1"/>
      <w:marLeft w:val="0"/>
      <w:marRight w:val="0"/>
      <w:marTop w:val="0"/>
      <w:marBottom w:val="0"/>
      <w:divBdr>
        <w:top w:val="none" w:sz="0" w:space="0" w:color="auto"/>
        <w:left w:val="none" w:sz="0" w:space="0" w:color="auto"/>
        <w:bottom w:val="none" w:sz="0" w:space="0" w:color="auto"/>
        <w:right w:val="none" w:sz="0" w:space="0" w:color="auto"/>
      </w:divBdr>
    </w:div>
    <w:div w:id="1406296639">
      <w:bodyDiv w:val="1"/>
      <w:marLeft w:val="0"/>
      <w:marRight w:val="0"/>
      <w:marTop w:val="0"/>
      <w:marBottom w:val="0"/>
      <w:divBdr>
        <w:top w:val="none" w:sz="0" w:space="0" w:color="auto"/>
        <w:left w:val="none" w:sz="0" w:space="0" w:color="auto"/>
        <w:bottom w:val="none" w:sz="0" w:space="0" w:color="auto"/>
        <w:right w:val="none" w:sz="0" w:space="0" w:color="auto"/>
      </w:divBdr>
    </w:div>
    <w:div w:id="1419715767">
      <w:bodyDiv w:val="1"/>
      <w:marLeft w:val="0"/>
      <w:marRight w:val="0"/>
      <w:marTop w:val="0"/>
      <w:marBottom w:val="0"/>
      <w:divBdr>
        <w:top w:val="none" w:sz="0" w:space="0" w:color="auto"/>
        <w:left w:val="none" w:sz="0" w:space="0" w:color="auto"/>
        <w:bottom w:val="none" w:sz="0" w:space="0" w:color="auto"/>
        <w:right w:val="none" w:sz="0" w:space="0" w:color="auto"/>
      </w:divBdr>
    </w:div>
    <w:div w:id="1431386574">
      <w:bodyDiv w:val="1"/>
      <w:marLeft w:val="0"/>
      <w:marRight w:val="0"/>
      <w:marTop w:val="0"/>
      <w:marBottom w:val="0"/>
      <w:divBdr>
        <w:top w:val="none" w:sz="0" w:space="0" w:color="auto"/>
        <w:left w:val="none" w:sz="0" w:space="0" w:color="auto"/>
        <w:bottom w:val="none" w:sz="0" w:space="0" w:color="auto"/>
        <w:right w:val="none" w:sz="0" w:space="0" w:color="auto"/>
      </w:divBdr>
    </w:div>
    <w:div w:id="1439253494">
      <w:bodyDiv w:val="1"/>
      <w:marLeft w:val="0"/>
      <w:marRight w:val="0"/>
      <w:marTop w:val="0"/>
      <w:marBottom w:val="0"/>
      <w:divBdr>
        <w:top w:val="none" w:sz="0" w:space="0" w:color="auto"/>
        <w:left w:val="none" w:sz="0" w:space="0" w:color="auto"/>
        <w:bottom w:val="none" w:sz="0" w:space="0" w:color="auto"/>
        <w:right w:val="none" w:sz="0" w:space="0" w:color="auto"/>
      </w:divBdr>
    </w:div>
    <w:div w:id="1464734804">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81341612">
      <w:bodyDiv w:val="1"/>
      <w:marLeft w:val="0"/>
      <w:marRight w:val="0"/>
      <w:marTop w:val="0"/>
      <w:marBottom w:val="0"/>
      <w:divBdr>
        <w:top w:val="none" w:sz="0" w:space="0" w:color="auto"/>
        <w:left w:val="none" w:sz="0" w:space="0" w:color="auto"/>
        <w:bottom w:val="none" w:sz="0" w:space="0" w:color="auto"/>
        <w:right w:val="none" w:sz="0" w:space="0" w:color="auto"/>
      </w:divBdr>
    </w:div>
    <w:div w:id="1489709879">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0340751">
      <w:bodyDiv w:val="1"/>
      <w:marLeft w:val="0"/>
      <w:marRight w:val="0"/>
      <w:marTop w:val="0"/>
      <w:marBottom w:val="0"/>
      <w:divBdr>
        <w:top w:val="none" w:sz="0" w:space="0" w:color="auto"/>
        <w:left w:val="none" w:sz="0" w:space="0" w:color="auto"/>
        <w:bottom w:val="none" w:sz="0" w:space="0" w:color="auto"/>
        <w:right w:val="none" w:sz="0" w:space="0" w:color="auto"/>
      </w:divBdr>
    </w:div>
    <w:div w:id="1500729219">
      <w:bodyDiv w:val="1"/>
      <w:marLeft w:val="0"/>
      <w:marRight w:val="0"/>
      <w:marTop w:val="0"/>
      <w:marBottom w:val="0"/>
      <w:divBdr>
        <w:top w:val="none" w:sz="0" w:space="0" w:color="auto"/>
        <w:left w:val="none" w:sz="0" w:space="0" w:color="auto"/>
        <w:bottom w:val="none" w:sz="0" w:space="0" w:color="auto"/>
        <w:right w:val="none" w:sz="0" w:space="0" w:color="auto"/>
      </w:divBdr>
    </w:div>
    <w:div w:id="1501003073">
      <w:bodyDiv w:val="1"/>
      <w:marLeft w:val="0"/>
      <w:marRight w:val="0"/>
      <w:marTop w:val="0"/>
      <w:marBottom w:val="0"/>
      <w:divBdr>
        <w:top w:val="none" w:sz="0" w:space="0" w:color="auto"/>
        <w:left w:val="none" w:sz="0" w:space="0" w:color="auto"/>
        <w:bottom w:val="none" w:sz="0" w:space="0" w:color="auto"/>
        <w:right w:val="none" w:sz="0" w:space="0" w:color="auto"/>
      </w:divBdr>
    </w:div>
    <w:div w:id="1527405249">
      <w:bodyDiv w:val="1"/>
      <w:marLeft w:val="0"/>
      <w:marRight w:val="0"/>
      <w:marTop w:val="0"/>
      <w:marBottom w:val="0"/>
      <w:divBdr>
        <w:top w:val="none" w:sz="0" w:space="0" w:color="auto"/>
        <w:left w:val="none" w:sz="0" w:space="0" w:color="auto"/>
        <w:bottom w:val="none" w:sz="0" w:space="0" w:color="auto"/>
        <w:right w:val="none" w:sz="0" w:space="0" w:color="auto"/>
      </w:divBdr>
    </w:div>
    <w:div w:id="153689266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0285331">
      <w:bodyDiv w:val="1"/>
      <w:marLeft w:val="0"/>
      <w:marRight w:val="0"/>
      <w:marTop w:val="0"/>
      <w:marBottom w:val="0"/>
      <w:divBdr>
        <w:top w:val="none" w:sz="0" w:space="0" w:color="auto"/>
        <w:left w:val="none" w:sz="0" w:space="0" w:color="auto"/>
        <w:bottom w:val="none" w:sz="0" w:space="0" w:color="auto"/>
        <w:right w:val="none" w:sz="0" w:space="0" w:color="auto"/>
      </w:divBdr>
    </w:div>
    <w:div w:id="1587572694">
      <w:bodyDiv w:val="1"/>
      <w:marLeft w:val="0"/>
      <w:marRight w:val="0"/>
      <w:marTop w:val="0"/>
      <w:marBottom w:val="0"/>
      <w:divBdr>
        <w:top w:val="none" w:sz="0" w:space="0" w:color="auto"/>
        <w:left w:val="none" w:sz="0" w:space="0" w:color="auto"/>
        <w:bottom w:val="none" w:sz="0" w:space="0" w:color="auto"/>
        <w:right w:val="none" w:sz="0" w:space="0" w:color="auto"/>
      </w:divBdr>
    </w:div>
    <w:div w:id="1592087011">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855516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6544893">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4431178">
      <w:bodyDiv w:val="1"/>
      <w:marLeft w:val="0"/>
      <w:marRight w:val="0"/>
      <w:marTop w:val="0"/>
      <w:marBottom w:val="0"/>
      <w:divBdr>
        <w:top w:val="none" w:sz="0" w:space="0" w:color="auto"/>
        <w:left w:val="none" w:sz="0" w:space="0" w:color="auto"/>
        <w:bottom w:val="none" w:sz="0" w:space="0" w:color="auto"/>
        <w:right w:val="none" w:sz="0" w:space="0" w:color="auto"/>
      </w:divBdr>
    </w:div>
    <w:div w:id="1744453583">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07091276">
      <w:bodyDiv w:val="1"/>
      <w:marLeft w:val="0"/>
      <w:marRight w:val="0"/>
      <w:marTop w:val="0"/>
      <w:marBottom w:val="0"/>
      <w:divBdr>
        <w:top w:val="none" w:sz="0" w:space="0" w:color="auto"/>
        <w:left w:val="none" w:sz="0" w:space="0" w:color="auto"/>
        <w:bottom w:val="none" w:sz="0" w:space="0" w:color="auto"/>
        <w:right w:val="none" w:sz="0" w:space="0" w:color="auto"/>
      </w:divBdr>
    </w:div>
    <w:div w:id="1807239837">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02910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41045754">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1066816">
      <w:bodyDiv w:val="1"/>
      <w:marLeft w:val="0"/>
      <w:marRight w:val="0"/>
      <w:marTop w:val="0"/>
      <w:marBottom w:val="0"/>
      <w:divBdr>
        <w:top w:val="none" w:sz="0" w:space="0" w:color="auto"/>
        <w:left w:val="none" w:sz="0" w:space="0" w:color="auto"/>
        <w:bottom w:val="none" w:sz="0" w:space="0" w:color="auto"/>
        <w:right w:val="none" w:sz="0" w:space="0" w:color="auto"/>
      </w:divBdr>
    </w:div>
    <w:div w:id="1865513003">
      <w:bodyDiv w:val="1"/>
      <w:marLeft w:val="0"/>
      <w:marRight w:val="0"/>
      <w:marTop w:val="0"/>
      <w:marBottom w:val="0"/>
      <w:divBdr>
        <w:top w:val="none" w:sz="0" w:space="0" w:color="auto"/>
        <w:left w:val="none" w:sz="0" w:space="0" w:color="auto"/>
        <w:bottom w:val="none" w:sz="0" w:space="0" w:color="auto"/>
        <w:right w:val="none" w:sz="0" w:space="0" w:color="auto"/>
      </w:divBdr>
    </w:div>
    <w:div w:id="1869946358">
      <w:bodyDiv w:val="1"/>
      <w:marLeft w:val="0"/>
      <w:marRight w:val="0"/>
      <w:marTop w:val="0"/>
      <w:marBottom w:val="0"/>
      <w:divBdr>
        <w:top w:val="none" w:sz="0" w:space="0" w:color="auto"/>
        <w:left w:val="none" w:sz="0" w:space="0" w:color="auto"/>
        <w:bottom w:val="none" w:sz="0" w:space="0" w:color="auto"/>
        <w:right w:val="none" w:sz="0" w:space="0" w:color="auto"/>
      </w:divBdr>
    </w:div>
    <w:div w:id="1885018140">
      <w:bodyDiv w:val="1"/>
      <w:marLeft w:val="0"/>
      <w:marRight w:val="0"/>
      <w:marTop w:val="0"/>
      <w:marBottom w:val="0"/>
      <w:divBdr>
        <w:top w:val="none" w:sz="0" w:space="0" w:color="auto"/>
        <w:left w:val="none" w:sz="0" w:space="0" w:color="auto"/>
        <w:bottom w:val="none" w:sz="0" w:space="0" w:color="auto"/>
        <w:right w:val="none" w:sz="0" w:space="0" w:color="auto"/>
      </w:divBdr>
    </w:div>
    <w:div w:id="1885864891">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896113354">
      <w:bodyDiv w:val="1"/>
      <w:marLeft w:val="0"/>
      <w:marRight w:val="0"/>
      <w:marTop w:val="0"/>
      <w:marBottom w:val="0"/>
      <w:divBdr>
        <w:top w:val="none" w:sz="0" w:space="0" w:color="auto"/>
        <w:left w:val="none" w:sz="0" w:space="0" w:color="auto"/>
        <w:bottom w:val="none" w:sz="0" w:space="0" w:color="auto"/>
        <w:right w:val="none" w:sz="0" w:space="0" w:color="auto"/>
      </w:divBdr>
    </w:div>
    <w:div w:id="1912275691">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0915153">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0264020">
      <w:bodyDiv w:val="1"/>
      <w:marLeft w:val="0"/>
      <w:marRight w:val="0"/>
      <w:marTop w:val="0"/>
      <w:marBottom w:val="0"/>
      <w:divBdr>
        <w:top w:val="none" w:sz="0" w:space="0" w:color="auto"/>
        <w:left w:val="none" w:sz="0" w:space="0" w:color="auto"/>
        <w:bottom w:val="none" w:sz="0" w:space="0" w:color="auto"/>
        <w:right w:val="none" w:sz="0" w:space="0" w:color="auto"/>
      </w:divBdr>
    </w:div>
    <w:div w:id="1993485181">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29208797">
      <w:bodyDiv w:val="1"/>
      <w:marLeft w:val="0"/>
      <w:marRight w:val="0"/>
      <w:marTop w:val="0"/>
      <w:marBottom w:val="0"/>
      <w:divBdr>
        <w:top w:val="none" w:sz="0" w:space="0" w:color="auto"/>
        <w:left w:val="none" w:sz="0" w:space="0" w:color="auto"/>
        <w:bottom w:val="none" w:sz="0" w:space="0" w:color="auto"/>
        <w:right w:val="none" w:sz="0" w:space="0" w:color="auto"/>
      </w:divBdr>
    </w:div>
    <w:div w:id="2047178183">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251371">
      <w:bodyDiv w:val="1"/>
      <w:marLeft w:val="0"/>
      <w:marRight w:val="0"/>
      <w:marTop w:val="0"/>
      <w:marBottom w:val="0"/>
      <w:divBdr>
        <w:top w:val="none" w:sz="0" w:space="0" w:color="auto"/>
        <w:left w:val="none" w:sz="0" w:space="0" w:color="auto"/>
        <w:bottom w:val="none" w:sz="0" w:space="0" w:color="auto"/>
        <w:right w:val="none" w:sz="0" w:space="0" w:color="auto"/>
      </w:divBdr>
    </w:div>
    <w:div w:id="2070613730">
      <w:bodyDiv w:val="1"/>
      <w:marLeft w:val="0"/>
      <w:marRight w:val="0"/>
      <w:marTop w:val="0"/>
      <w:marBottom w:val="0"/>
      <w:divBdr>
        <w:top w:val="none" w:sz="0" w:space="0" w:color="auto"/>
        <w:left w:val="none" w:sz="0" w:space="0" w:color="auto"/>
        <w:bottom w:val="none" w:sz="0" w:space="0" w:color="auto"/>
        <w:right w:val="none" w:sz="0" w:space="0" w:color="auto"/>
      </w:divBdr>
    </w:div>
    <w:div w:id="2084134814">
      <w:bodyDiv w:val="1"/>
      <w:marLeft w:val="0"/>
      <w:marRight w:val="0"/>
      <w:marTop w:val="0"/>
      <w:marBottom w:val="0"/>
      <w:divBdr>
        <w:top w:val="none" w:sz="0" w:space="0" w:color="auto"/>
        <w:left w:val="none" w:sz="0" w:space="0" w:color="auto"/>
        <w:bottom w:val="none" w:sz="0" w:space="0" w:color="auto"/>
        <w:right w:val="none" w:sz="0" w:space="0" w:color="auto"/>
      </w:divBdr>
    </w:div>
    <w:div w:id="21385711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footer" Target="footer5.xml"/><Relationship Id="rId21" Type="http://schemas.openxmlformats.org/officeDocument/2006/relationships/hyperlink" Target="https://www.austrade.gov.au/about/corporate-information/corporate-plan" TargetMode="External"/><Relationship Id="rId34" Type="http://schemas.openxmlformats.org/officeDocument/2006/relationships/image" Target="media/image15.e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image" Target="media/image1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header" Target="header6.xml"/></Relationships>
</file>

<file path=word/_rels/header4.xml.rels><?xml version="1.0" encoding="UTF-8" standalone="yes"?>
<Relationships xmlns="http://schemas.openxmlformats.org/package/2006/relationships"><Relationship Id="rId1" Type="http://schemas.openxmlformats.org/officeDocument/2006/relationships/image" Target="media/image17.png"/></Relationships>
</file>

<file path=word/_rels/header5.xml.rels><?xml version="1.0" encoding="UTF-8" standalone="yes"?>
<Relationships xmlns="http://schemas.openxmlformats.org/package/2006/relationships"><Relationship Id="rId1" Type="http://schemas.openxmlformats.org/officeDocument/2006/relationships/image" Target="media/image17.png"/></Relationships>
</file>

<file path=word/_rels/header6.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1EDE98318743499739335C4BE70B1E" ma:contentTypeVersion="16" ma:contentTypeDescription="Create a new document." ma:contentTypeScope="" ma:versionID="024960caa74c369cb13bc463158dbcde">
  <xsd:schema xmlns:xsd="http://www.w3.org/2001/XMLSchema" xmlns:xs="http://www.w3.org/2001/XMLSchema" xmlns:p="http://schemas.microsoft.com/office/2006/metadata/properties" xmlns:ns3="a8c10e69-612e-4806-bb77-7a1317a4c771" xmlns:ns4="08acbd8d-6359-4dcc-b2c5-700dc1d2d245" targetNamespace="http://schemas.microsoft.com/office/2006/metadata/properties" ma:root="true" ma:fieldsID="3f531b9c1094a32ea3fa014741e2e4f6" ns3:_="" ns4:_="">
    <xsd:import namespace="a8c10e69-612e-4806-bb77-7a1317a4c771"/>
    <xsd:import namespace="08acbd8d-6359-4dcc-b2c5-700dc1d2d24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10e69-612e-4806-bb77-7a1317a4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acbd8d-6359-4dcc-b2c5-700dc1d2d2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a8c10e69-612e-4806-bb77-7a1317a4c771" xsi:nil="true"/>
  </documentManagement>
</p:properties>
</file>

<file path=customXml/itemProps1.xml><?xml version="1.0" encoding="utf-8"?>
<ds:datastoreItem xmlns:ds="http://schemas.openxmlformats.org/officeDocument/2006/customXml" ds:itemID="{3E624727-78C0-49FA-A6C6-B1B086528B51}">
  <ds:schemaRefs>
    <ds:schemaRef ds:uri="http://schemas.openxmlformats.org/officeDocument/2006/bibliography"/>
  </ds:schemaRefs>
</ds:datastoreItem>
</file>

<file path=customXml/itemProps2.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14483E5-3031-48C2-9EA9-5B22768CD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10e69-612e-4806-bb77-7a1317a4c771"/>
    <ds:schemaRef ds:uri="08acbd8d-6359-4dcc-b2c5-700dc1d2d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7BBAD-96A0-4995-9A19-6B9E04B702D6}">
  <ds:schemaRefs>
    <ds:schemaRef ds:uri="http://schemas.microsoft.com/sharepoint/v3/contenttype/forms"/>
  </ds:schemaRefs>
</ds:datastoreItem>
</file>

<file path=customXml/itemProps5.xml><?xml version="1.0" encoding="utf-8"?>
<ds:datastoreItem xmlns:ds="http://schemas.openxmlformats.org/officeDocument/2006/customXml" ds:itemID="{DD376B46-F85B-472D-9638-5322297AE414}">
  <ds:schemaRef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a8c10e69-612e-4806-bb77-7a1317a4c771"/>
    <ds:schemaRef ds:uri="08acbd8d-6359-4dcc-b2c5-700dc1d2d245"/>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4173</Words>
  <Characters>26560</Characters>
  <Application>Microsoft Office Word</Application>
  <DocSecurity>4</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Affairs and Trade Portfolio Budget Statements 2024-25</dc:title>
  <dc:subject/>
  <dc:creator/>
  <cp:keywords>[SEC=OFFICIAL]</cp:keywords>
  <cp:lastModifiedBy/>
  <cp:revision>1</cp:revision>
  <dcterms:created xsi:type="dcterms:W3CDTF">2024-05-16T23:54:00Z</dcterms:created>
  <dcterms:modified xsi:type="dcterms:W3CDTF">2024-05-16T23:54:00Z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v=2022.1;a=SHA256;h=20C6101AF546065D34A5091B01E8F72729B4DECB60063A520F8BB4D5718AC142</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EA6A3C8571A64656AF64DDAD65F4C07C</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2023-05-06T03:51:20Z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OriginatorUserAccountName_SHA256">
    <vt:lpwstr>3E9DB5AB808CA91EB3E8EC398CDB7F67B110581D6BB28BC88565729DCE387350</vt:lpwstr>
  </property>
  <property fmtid="{D5CDD505-2E9C-101B-9397-08002B2CF9AE}" pid="22" name="PM_OriginatorDomainName_SHA256">
    <vt:lpwstr>6F3591835F3B2A8A025B00B5BA6418010DA3A17C9C26EA9C049FFD28039489A2</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Hash_Salt_Prev">
    <vt:lpwstr>FA374A936A4000553485E58FB46247CA</vt:lpwstr>
  </property>
  <property fmtid="{D5CDD505-2E9C-101B-9397-08002B2CF9AE}" pid="26" name="PM_Hash_Salt">
    <vt:lpwstr>CA709CA510FE5F8125B4EE2F865A65AC</vt:lpwstr>
  </property>
  <property fmtid="{D5CDD505-2E9C-101B-9397-08002B2CF9AE}" pid="27" name="PM_Hash_SHA1">
    <vt:lpwstr>6F004A1B2230578EDE4DCDF915DAF579A50B0382</vt:lpwstr>
  </property>
  <property fmtid="{D5CDD505-2E9C-101B-9397-08002B2CF9AE}" pid="28" name="PM_Caveats_Count">
    <vt:lpwstr>0</vt:lpwstr>
  </property>
  <property fmtid="{D5CDD505-2E9C-101B-9397-08002B2CF9AE}" pid="29" name="ContentTypeId">
    <vt:lpwstr>0x010100F11EDE98318743499739335C4BE70B1E</vt:lpwstr>
  </property>
</Properties>
</file>