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1994" w14:textId="1C8AC443" w:rsidR="00544F35" w:rsidRPr="001D3E93" w:rsidRDefault="0098798C" w:rsidP="00397239">
      <w:pPr>
        <w:pStyle w:val="Spacer-cover"/>
      </w:pPr>
      <w:bookmarkStart w:id="0" w:name="_Toc116982766"/>
      <w:bookmarkStart w:id="1" w:name="_Toc116986016"/>
      <w:bookmarkStart w:id="2" w:name="_Toc117084521"/>
      <w:bookmarkStart w:id="3" w:name="_Toc117765791"/>
      <w:bookmarkEnd w:id="0"/>
      <w:bookmarkEnd w:id="1"/>
      <w:bookmarkEnd w:id="2"/>
      <w:bookmarkEnd w:id="3"/>
      <w:r w:rsidRPr="001D3E93">
        <w:rPr>
          <w:noProof/>
          <w:lang w:eastAsia="en-AU"/>
        </w:rPr>
        <w:drawing>
          <wp:anchor distT="0" distB="0" distL="114300" distR="114300" simplePos="0" relativeHeight="251658245" behindDoc="1" locked="1" layoutInCell="1" allowOverlap="1" wp14:anchorId="1985CDE0" wp14:editId="723C75FC">
            <wp:simplePos x="0" y="0"/>
            <wp:positionH relativeFrom="page">
              <wp:posOffset>0</wp:posOffset>
            </wp:positionH>
            <wp:positionV relativeFrom="page">
              <wp:posOffset>6550025</wp:posOffset>
            </wp:positionV>
            <wp:extent cx="8324215" cy="2286635"/>
            <wp:effectExtent l="0" t="0" r="63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24215" cy="2286635"/>
                    </a:xfrm>
                    <a:prstGeom prst="rect">
                      <a:avLst/>
                    </a:prstGeom>
                  </pic:spPr>
                </pic:pic>
              </a:graphicData>
            </a:graphic>
            <wp14:sizeRelH relativeFrom="margin">
              <wp14:pctWidth>0</wp14:pctWidth>
            </wp14:sizeRelH>
            <wp14:sizeRelV relativeFrom="margin">
              <wp14:pctHeight>0</wp14:pctHeight>
            </wp14:sizeRelV>
          </wp:anchor>
        </w:drawing>
      </w:r>
      <w:r w:rsidR="00544F35" w:rsidRPr="001D3E93">
        <w:rPr>
          <w:noProof/>
          <w:lang w:eastAsia="en-AU"/>
        </w:rPr>
        <w:drawing>
          <wp:inline distT="0" distB="0" distL="0" distR="0" wp14:anchorId="2229FB73" wp14:editId="34D9A48F">
            <wp:extent cx="3178800" cy="504000"/>
            <wp:effectExtent l="0" t="0" r="3175" b="0"/>
            <wp:docPr id="9" name="Graphic 9" descr="The Coat of Arms of Australia. Australian Government. Australian Trade and Investment Commi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he Coat of Arms of Australia. Australian Government. Australian Trade and Investment Commission. "/>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78800" cy="504000"/>
                    </a:xfrm>
                    <a:prstGeom prst="rect">
                      <a:avLst/>
                    </a:prstGeom>
                  </pic:spPr>
                </pic:pic>
              </a:graphicData>
            </a:graphic>
          </wp:inline>
        </w:drawing>
      </w:r>
      <w:r w:rsidR="004975C4" w:rsidRPr="001D3E93">
        <w:t xml:space="preserve">                                                                                                                                                                                                                                                                                                                                                                                                                                                                                                                                                                                                                                                                                                                                                                                                                        </w:t>
      </w:r>
    </w:p>
    <w:p w14:paraId="071C4C04" w14:textId="55345D06" w:rsidR="000D3EEA" w:rsidRPr="001D3E93" w:rsidRDefault="000D3EEA" w:rsidP="00397239">
      <w:pPr>
        <w:pStyle w:val="Subtitle"/>
        <w:rPr>
          <w:rFonts w:ascii="Verdana" w:hAnsi="Verdana"/>
          <w:color w:val="auto"/>
          <w:sz w:val="66"/>
          <w:szCs w:val="66"/>
        </w:rPr>
      </w:pPr>
      <w:r w:rsidRPr="001D3E93">
        <w:rPr>
          <w:rFonts w:ascii="Verdana" w:hAnsi="Verdana"/>
          <w:color w:val="auto"/>
          <w:sz w:val="66"/>
          <w:szCs w:val="66"/>
        </w:rPr>
        <w:t>E</w:t>
      </w:r>
      <w:r w:rsidR="006F2FDB" w:rsidRPr="001D3E93">
        <w:rPr>
          <w:rFonts w:ascii="Verdana" w:hAnsi="Verdana"/>
          <w:color w:val="auto"/>
          <w:sz w:val="66"/>
          <w:szCs w:val="66"/>
        </w:rPr>
        <w:t>xport Market Development Grants</w:t>
      </w:r>
      <w:r w:rsidRPr="001D3E93">
        <w:rPr>
          <w:rFonts w:ascii="Verdana" w:hAnsi="Verdana"/>
          <w:color w:val="auto"/>
          <w:sz w:val="66"/>
          <w:szCs w:val="66"/>
        </w:rPr>
        <w:t xml:space="preserve"> </w:t>
      </w:r>
    </w:p>
    <w:p w14:paraId="7EA853E9" w14:textId="28ACC55D" w:rsidR="00B96FF7" w:rsidRPr="001D3E93" w:rsidRDefault="000D3EEA" w:rsidP="00397239">
      <w:pPr>
        <w:pStyle w:val="Subtitle"/>
        <w:rPr>
          <w:color w:val="auto"/>
        </w:rPr>
      </w:pPr>
      <w:r w:rsidRPr="001D3E93">
        <w:rPr>
          <w:rFonts w:ascii="Verdana" w:hAnsi="Verdana"/>
          <w:color w:val="auto"/>
          <w:sz w:val="66"/>
          <w:szCs w:val="66"/>
        </w:rPr>
        <w:t>Operational Review</w:t>
      </w:r>
      <w:r w:rsidRPr="001D3E93">
        <w:rPr>
          <w:color w:val="auto"/>
        </w:rPr>
        <w:t xml:space="preserve"> </w:t>
      </w:r>
    </w:p>
    <w:p w14:paraId="2AC9B63C" w14:textId="746A53B4" w:rsidR="006F2FDB" w:rsidRPr="001D3E93" w:rsidRDefault="006F2FDB" w:rsidP="006F2FDB"/>
    <w:p w14:paraId="2E1A1D99" w14:textId="3AEE3E24" w:rsidR="00A40815" w:rsidRPr="001D3E93" w:rsidRDefault="00A40815" w:rsidP="006F2FDB"/>
    <w:p w14:paraId="1ECB6D7D" w14:textId="77777777" w:rsidR="006D354B" w:rsidRDefault="006D354B"/>
    <w:p w14:paraId="52D701D7" w14:textId="77777777" w:rsidR="006D354B" w:rsidRDefault="006D354B"/>
    <w:p w14:paraId="30978C1B" w14:textId="77777777" w:rsidR="006D354B" w:rsidRDefault="006D354B"/>
    <w:p w14:paraId="6C473583" w14:textId="77777777" w:rsidR="006D354B" w:rsidRDefault="006D354B"/>
    <w:p w14:paraId="6EF5577E" w14:textId="77777777" w:rsidR="006D354B" w:rsidRDefault="006D354B"/>
    <w:p w14:paraId="5543C288" w14:textId="77777777" w:rsidR="006D354B" w:rsidRDefault="006D354B"/>
    <w:p w14:paraId="1EB93CA2" w14:textId="77777777" w:rsidR="006D354B" w:rsidRDefault="006D354B"/>
    <w:p w14:paraId="1D234ADE" w14:textId="77777777" w:rsidR="006D354B" w:rsidRDefault="006D354B"/>
    <w:p w14:paraId="71EEAF2A" w14:textId="77777777" w:rsidR="006D354B" w:rsidRDefault="006D354B"/>
    <w:p w14:paraId="0A30AE61" w14:textId="77777777" w:rsidR="006D354B" w:rsidRDefault="006D354B"/>
    <w:p w14:paraId="3F704180" w14:textId="77777777" w:rsidR="006D354B" w:rsidRDefault="006D354B"/>
    <w:p w14:paraId="654C096E" w14:textId="77777777" w:rsidR="006D354B" w:rsidRDefault="006D354B"/>
    <w:p w14:paraId="356152C3" w14:textId="77777777" w:rsidR="006D354B" w:rsidRDefault="006D354B"/>
    <w:p w14:paraId="26D5AA7E" w14:textId="77777777" w:rsidR="006D354B" w:rsidRDefault="006D354B"/>
    <w:p w14:paraId="396D72DA" w14:textId="77777777" w:rsidR="006D354B" w:rsidRDefault="006D354B"/>
    <w:p w14:paraId="2D5A0A5C" w14:textId="77777777" w:rsidR="006D354B" w:rsidRDefault="006D354B"/>
    <w:p w14:paraId="6F04DB4F" w14:textId="77777777" w:rsidR="006D354B" w:rsidRDefault="006D354B"/>
    <w:p w14:paraId="4547C565" w14:textId="77777777" w:rsidR="006D354B" w:rsidRDefault="006D354B"/>
    <w:p w14:paraId="3DE0F6A6" w14:textId="57674609" w:rsidR="008C581E" w:rsidRPr="001D3E93" w:rsidRDefault="006D354B">
      <w:r>
        <w:t>February 2023</w:t>
      </w:r>
      <w:r w:rsidR="008C581E" w:rsidRPr="001D3E93">
        <w:br w:type="page"/>
      </w:r>
    </w:p>
    <w:p w14:paraId="5B1B68C8" w14:textId="77777777" w:rsidR="00A0613F" w:rsidRPr="00A3430B" w:rsidRDefault="00A0613F" w:rsidP="00A0613F">
      <w:pPr>
        <w:pStyle w:val="Heading2"/>
        <w:rPr>
          <w:b w:val="0"/>
          <w:bCs w:val="0"/>
          <w:color w:val="0F4C44" w:themeColor="background2" w:themeShade="80"/>
        </w:rPr>
      </w:pPr>
      <w:bookmarkStart w:id="4" w:name="_Toc116553927"/>
      <w:bookmarkStart w:id="5" w:name="_Toc116554132"/>
      <w:bookmarkStart w:id="6" w:name="_Toc116554858"/>
      <w:bookmarkStart w:id="7" w:name="_Toc116985989"/>
      <w:bookmarkStart w:id="8" w:name="_Toc117084406"/>
      <w:bookmarkStart w:id="9" w:name="_Toc117084487"/>
      <w:bookmarkStart w:id="10" w:name="_Toc117763145"/>
      <w:bookmarkStart w:id="11" w:name="_Toc117765764"/>
      <w:bookmarkStart w:id="12" w:name="_Toc120547681"/>
      <w:bookmarkStart w:id="13" w:name="_Toc124433363"/>
      <w:r w:rsidRPr="00A3430B">
        <w:rPr>
          <w:b w:val="0"/>
          <w:bCs w:val="0"/>
          <w:color w:val="0F4C44" w:themeColor="accent3" w:themeShade="80"/>
        </w:rPr>
        <w:lastRenderedPageBreak/>
        <w:t>Acknowledgement of Country</w:t>
      </w:r>
      <w:bookmarkEnd w:id="4"/>
      <w:bookmarkEnd w:id="5"/>
      <w:bookmarkEnd w:id="6"/>
      <w:bookmarkEnd w:id="7"/>
      <w:bookmarkEnd w:id="8"/>
      <w:bookmarkEnd w:id="9"/>
      <w:bookmarkEnd w:id="10"/>
      <w:bookmarkEnd w:id="11"/>
      <w:bookmarkEnd w:id="12"/>
      <w:bookmarkEnd w:id="13"/>
    </w:p>
    <w:p w14:paraId="458FB41F" w14:textId="77777777" w:rsidR="00A0613F" w:rsidRPr="00A3430B" w:rsidRDefault="00A0613F" w:rsidP="00A0613F">
      <w:pPr>
        <w:spacing w:after="160" w:line="259" w:lineRule="auto"/>
        <w:rPr>
          <w:rFonts w:ascii="Verdana" w:eastAsia="Verdana" w:hAnsi="Verdana" w:cs="Arial"/>
          <w:iCs/>
          <w:color w:val="000000"/>
          <w:lang w:val="en-US" w:eastAsia="en-US"/>
        </w:rPr>
      </w:pPr>
      <w:r w:rsidRPr="00A3430B">
        <w:rPr>
          <w:rFonts w:ascii="Verdana" w:eastAsia="Verdana" w:hAnsi="Verdana" w:cs="Arial"/>
          <w:iCs/>
          <w:color w:val="000000"/>
          <w:lang w:val="en-US" w:eastAsia="en-US"/>
        </w:rPr>
        <w:t>The Australian Government acknowledges the Traditional Owners and Custodians of Country throughout Australia and acknowledges their continuing connection to land, water and community. We pay our respects to them, their Elders past and present, and the continuation of cultural, spiritual and educational practices of Aboriginal and Torres Strait Islander peoples.</w:t>
      </w:r>
    </w:p>
    <w:p w14:paraId="34FDDF95" w14:textId="77777777" w:rsidR="00A0613F" w:rsidRPr="001D3E93" w:rsidRDefault="00A0613F" w:rsidP="00A0613F">
      <w:pPr>
        <w:spacing w:after="160" w:line="259" w:lineRule="auto"/>
        <w:rPr>
          <w:rFonts w:ascii="Verdana" w:eastAsia="Verdana" w:hAnsi="Verdana" w:cs="Verdana"/>
          <w:color w:val="000000"/>
          <w:sz w:val="24"/>
          <w:szCs w:val="24"/>
          <w:lang w:val="en-US" w:eastAsia="en-US"/>
        </w:rPr>
      </w:pPr>
    </w:p>
    <w:p w14:paraId="0A771433" w14:textId="77777777" w:rsidR="00A0613F" w:rsidRPr="001D3E93" w:rsidRDefault="00A0613F" w:rsidP="00A0613F">
      <w:pPr>
        <w:spacing w:after="160" w:line="259" w:lineRule="auto"/>
        <w:rPr>
          <w:rFonts w:ascii="Verdana" w:eastAsia="Verdana" w:hAnsi="Verdana" w:cs="Verdana"/>
          <w:color w:val="000000"/>
          <w:sz w:val="24"/>
          <w:szCs w:val="24"/>
          <w:lang w:val="en-US" w:eastAsia="en-US"/>
        </w:rPr>
      </w:pPr>
    </w:p>
    <w:p w14:paraId="154E9D6E" w14:textId="77777777" w:rsidR="00A0613F" w:rsidRPr="001D3E93" w:rsidRDefault="00A0613F" w:rsidP="00A0613F">
      <w:pPr>
        <w:spacing w:after="160" w:line="259" w:lineRule="auto"/>
        <w:rPr>
          <w:rFonts w:ascii="Verdana" w:eastAsia="Verdana" w:hAnsi="Verdana" w:cs="Verdana"/>
          <w:color w:val="000000"/>
          <w:sz w:val="24"/>
          <w:szCs w:val="24"/>
          <w:lang w:val="en-US" w:eastAsia="en-US"/>
        </w:rPr>
      </w:pPr>
      <w:r w:rsidRPr="001D3E93">
        <w:rPr>
          <w:rFonts w:ascii="Verdana" w:eastAsia="Verdana" w:hAnsi="Verdana" w:cs="Verdana"/>
          <w:color w:val="000000"/>
          <w:sz w:val="24"/>
          <w:szCs w:val="24"/>
          <w:lang w:val="en-US" w:eastAsia="en-US"/>
        </w:rPr>
        <w:br w:type="page"/>
      </w:r>
    </w:p>
    <w:bookmarkStart w:id="14" w:name="_Toc116554860" w:displacedByCustomXml="next"/>
    <w:bookmarkStart w:id="15" w:name="_Toc116985990" w:displacedByCustomXml="next"/>
    <w:bookmarkStart w:id="16" w:name="_Toc117084407" w:displacedByCustomXml="next"/>
    <w:bookmarkStart w:id="17" w:name="_Toc117084488" w:displacedByCustomXml="next"/>
    <w:bookmarkStart w:id="18" w:name="_Toc117763146" w:displacedByCustomXml="next"/>
    <w:bookmarkStart w:id="19" w:name="_Toc117765765" w:displacedByCustomXml="next"/>
    <w:bookmarkStart w:id="20" w:name="_Toc120547682" w:displacedByCustomXml="next"/>
    <w:sdt>
      <w:sdtPr>
        <w:rPr>
          <w:rFonts w:asciiTheme="minorHAnsi" w:eastAsiaTheme="minorEastAsia" w:hAnsiTheme="minorHAnsi" w:cstheme="minorBidi"/>
          <w:color w:val="auto"/>
          <w:sz w:val="20"/>
          <w:szCs w:val="20"/>
          <w:lang w:val="en-AU" w:eastAsia="zh-CN"/>
        </w:rPr>
        <w:id w:val="283469111"/>
        <w:docPartObj>
          <w:docPartGallery w:val="Table of Contents"/>
          <w:docPartUnique/>
        </w:docPartObj>
      </w:sdtPr>
      <w:sdtEndPr>
        <w:rPr>
          <w:noProof/>
        </w:rPr>
      </w:sdtEndPr>
      <w:sdtContent>
        <w:p w14:paraId="1AAE8092" w14:textId="6E13CB7F" w:rsidR="007E636D" w:rsidRPr="001D3E93" w:rsidRDefault="007E636D">
          <w:pPr>
            <w:pStyle w:val="TOCHeading"/>
          </w:pPr>
          <w:r w:rsidRPr="001D3E93">
            <w:t>Contents</w:t>
          </w:r>
        </w:p>
        <w:p w14:paraId="1F11994B" w14:textId="3026A9C9" w:rsidR="007E636D" w:rsidRPr="001D3E93" w:rsidRDefault="007E636D">
          <w:pPr>
            <w:pStyle w:val="TOC2"/>
            <w:rPr>
              <w:b w:val="0"/>
              <w:bCs w:val="0"/>
              <w:sz w:val="22"/>
              <w:szCs w:val="22"/>
              <w:lang w:val="en-AU" w:eastAsia="en-AU"/>
            </w:rPr>
          </w:pPr>
          <w:r w:rsidRPr="001D3E93">
            <w:rPr>
              <w:b w:val="0"/>
              <w:bCs w:val="0"/>
            </w:rPr>
            <w:fldChar w:fldCharType="begin"/>
          </w:r>
          <w:r w:rsidRPr="001D3E93">
            <w:rPr>
              <w:b w:val="0"/>
              <w:bCs w:val="0"/>
            </w:rPr>
            <w:instrText xml:space="preserve"> TOC \o "1-3" \h \z \u </w:instrText>
          </w:r>
          <w:r w:rsidRPr="001D3E93">
            <w:rPr>
              <w:b w:val="0"/>
              <w:bCs w:val="0"/>
            </w:rPr>
            <w:fldChar w:fldCharType="separate"/>
          </w:r>
          <w:hyperlink w:anchor="_Toc124433363" w:history="1">
            <w:r w:rsidRPr="004336F6">
              <w:rPr>
                <w:rStyle w:val="Hyperlink"/>
                <w:b w:val="0"/>
                <w:bCs w:val="0"/>
              </w:rPr>
              <w:t>Acknowledgement of Country</w:t>
            </w:r>
            <w:r w:rsidRPr="004336F6">
              <w:rPr>
                <w:b w:val="0"/>
                <w:bCs w:val="0"/>
                <w:webHidden/>
              </w:rPr>
              <w:tab/>
            </w:r>
            <w:r w:rsidRPr="004336F6">
              <w:rPr>
                <w:b w:val="0"/>
                <w:bCs w:val="0"/>
                <w:webHidden/>
              </w:rPr>
              <w:fldChar w:fldCharType="begin"/>
            </w:r>
            <w:r w:rsidRPr="004336F6">
              <w:rPr>
                <w:b w:val="0"/>
                <w:bCs w:val="0"/>
                <w:webHidden/>
              </w:rPr>
              <w:instrText xml:space="preserve"> PAGEREF _Toc124433363 \h </w:instrText>
            </w:r>
            <w:r w:rsidRPr="004336F6">
              <w:rPr>
                <w:b w:val="0"/>
                <w:bCs w:val="0"/>
                <w:webHidden/>
              </w:rPr>
            </w:r>
            <w:r w:rsidRPr="004336F6">
              <w:rPr>
                <w:b w:val="0"/>
                <w:bCs w:val="0"/>
                <w:webHidden/>
              </w:rPr>
              <w:fldChar w:fldCharType="separate"/>
            </w:r>
            <w:r w:rsidRPr="004336F6">
              <w:rPr>
                <w:b w:val="0"/>
                <w:bCs w:val="0"/>
                <w:webHidden/>
              </w:rPr>
              <w:t>2</w:t>
            </w:r>
            <w:r w:rsidRPr="004336F6">
              <w:rPr>
                <w:b w:val="0"/>
                <w:bCs w:val="0"/>
                <w:webHidden/>
              </w:rPr>
              <w:fldChar w:fldCharType="end"/>
            </w:r>
          </w:hyperlink>
        </w:p>
        <w:p w14:paraId="01329DA1" w14:textId="65ADEE14" w:rsidR="007E636D" w:rsidRPr="001D3E93" w:rsidRDefault="00DA2292">
          <w:pPr>
            <w:pStyle w:val="TOC2"/>
            <w:rPr>
              <w:b w:val="0"/>
              <w:bCs w:val="0"/>
              <w:sz w:val="22"/>
              <w:szCs w:val="22"/>
              <w:lang w:val="en-AU" w:eastAsia="en-AU"/>
            </w:rPr>
          </w:pPr>
          <w:hyperlink w:anchor="_Toc124433364" w:history="1">
            <w:r w:rsidR="007E636D" w:rsidRPr="004336F6">
              <w:rPr>
                <w:rStyle w:val="Hyperlink"/>
                <w:b w:val="0"/>
                <w:bCs w:val="0"/>
              </w:rPr>
              <w:t>Executive Summary</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_Toc124433364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4</w:t>
            </w:r>
            <w:r w:rsidR="007E636D" w:rsidRPr="004336F6">
              <w:rPr>
                <w:b w:val="0"/>
                <w:bCs w:val="0"/>
                <w:webHidden/>
              </w:rPr>
              <w:fldChar w:fldCharType="end"/>
            </w:r>
          </w:hyperlink>
        </w:p>
        <w:p w14:paraId="4B79024B" w14:textId="7A4EF7B5" w:rsidR="007E636D" w:rsidRPr="001D3E93" w:rsidRDefault="00DA2292">
          <w:pPr>
            <w:pStyle w:val="TOC2"/>
            <w:rPr>
              <w:b w:val="0"/>
              <w:bCs w:val="0"/>
              <w:sz w:val="22"/>
              <w:szCs w:val="22"/>
              <w:lang w:val="en-AU" w:eastAsia="en-AU"/>
            </w:rPr>
          </w:pPr>
          <w:hyperlink w:anchor="_Toc124433371" w:history="1">
            <w:r w:rsidR="007E636D" w:rsidRPr="004336F6">
              <w:rPr>
                <w:rStyle w:val="Hyperlink"/>
                <w:b w:val="0"/>
                <w:bCs w:val="0"/>
              </w:rPr>
              <w:t>1.  Scope of EMDG Operational Review</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_Toc124433371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9</w:t>
            </w:r>
            <w:r w:rsidR="007E636D" w:rsidRPr="004336F6">
              <w:rPr>
                <w:b w:val="0"/>
                <w:bCs w:val="0"/>
                <w:webHidden/>
              </w:rPr>
              <w:fldChar w:fldCharType="end"/>
            </w:r>
          </w:hyperlink>
        </w:p>
        <w:p w14:paraId="7C59D919" w14:textId="43FA89A1" w:rsidR="007E636D" w:rsidRPr="001D3E93" w:rsidRDefault="00DA2292">
          <w:pPr>
            <w:pStyle w:val="TOC2"/>
            <w:rPr>
              <w:b w:val="0"/>
              <w:bCs w:val="0"/>
              <w:sz w:val="22"/>
              <w:szCs w:val="22"/>
              <w:lang w:val="en-AU" w:eastAsia="en-AU"/>
            </w:rPr>
          </w:pPr>
          <w:hyperlink w:anchor="_Toc124433372" w:history="1">
            <w:r w:rsidR="007E636D" w:rsidRPr="004336F6">
              <w:rPr>
                <w:rStyle w:val="Hyperlink"/>
                <w:b w:val="0"/>
                <w:bCs w:val="0"/>
              </w:rPr>
              <w:t>2.  EMDG History: From 1.0 to 2.0</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_Toc124433372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10</w:t>
            </w:r>
            <w:r w:rsidR="007E636D" w:rsidRPr="004336F6">
              <w:rPr>
                <w:b w:val="0"/>
                <w:bCs w:val="0"/>
                <w:webHidden/>
              </w:rPr>
              <w:fldChar w:fldCharType="end"/>
            </w:r>
          </w:hyperlink>
        </w:p>
        <w:p w14:paraId="1DEA9CD4" w14:textId="7EABDC99" w:rsidR="007E636D" w:rsidRPr="001D3E93" w:rsidRDefault="00DA2292">
          <w:pPr>
            <w:pStyle w:val="TOC3"/>
            <w:rPr>
              <w:b w:val="0"/>
              <w:bCs w:val="0"/>
              <w:sz w:val="22"/>
              <w:szCs w:val="22"/>
              <w:lang w:eastAsia="en-AU"/>
            </w:rPr>
          </w:pPr>
          <w:hyperlink w:anchor="_Toc124433373" w:history="1">
            <w:r w:rsidR="007E636D" w:rsidRPr="004336F6">
              <w:rPr>
                <w:rStyle w:val="Hyperlink"/>
                <w:b w:val="0"/>
                <w:bCs w:val="0"/>
                <w:lang w:val="en-US" w:eastAsia="en-US"/>
              </w:rPr>
              <w:t>EMDG 2.0 Round 1</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_Toc124433373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13</w:t>
            </w:r>
            <w:r w:rsidR="007E636D" w:rsidRPr="004336F6">
              <w:rPr>
                <w:b w:val="0"/>
                <w:bCs w:val="0"/>
                <w:webHidden/>
              </w:rPr>
              <w:fldChar w:fldCharType="end"/>
            </w:r>
          </w:hyperlink>
        </w:p>
        <w:p w14:paraId="4C8F3786" w14:textId="3FC47897" w:rsidR="007E636D" w:rsidRPr="001D3E93" w:rsidRDefault="00DA2292">
          <w:pPr>
            <w:pStyle w:val="TOC3"/>
            <w:rPr>
              <w:b w:val="0"/>
              <w:bCs w:val="0"/>
              <w:sz w:val="22"/>
              <w:szCs w:val="22"/>
              <w:lang w:eastAsia="en-AU"/>
            </w:rPr>
          </w:pPr>
          <w:hyperlink w:anchor="_Toc124433374" w:history="1">
            <w:r w:rsidR="007E636D" w:rsidRPr="004336F6">
              <w:rPr>
                <w:rStyle w:val="Hyperlink"/>
                <w:b w:val="0"/>
                <w:bCs w:val="0"/>
                <w:lang w:val="en-US" w:eastAsia="en-US"/>
              </w:rPr>
              <w:t>The Role of EMDG consultants and Grant Agents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_Toc124433374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15</w:t>
            </w:r>
            <w:r w:rsidR="007E636D" w:rsidRPr="004336F6">
              <w:rPr>
                <w:b w:val="0"/>
                <w:bCs w:val="0"/>
                <w:webHidden/>
              </w:rPr>
              <w:fldChar w:fldCharType="end"/>
            </w:r>
          </w:hyperlink>
        </w:p>
        <w:p w14:paraId="2D51E699" w14:textId="235B0B37" w:rsidR="007E636D" w:rsidRPr="001D3E93" w:rsidRDefault="00DA2292">
          <w:pPr>
            <w:pStyle w:val="TOC2"/>
            <w:rPr>
              <w:b w:val="0"/>
              <w:bCs w:val="0"/>
              <w:sz w:val="22"/>
              <w:szCs w:val="22"/>
              <w:lang w:val="en-AU" w:eastAsia="en-AU"/>
            </w:rPr>
          </w:pPr>
          <w:hyperlink w:anchor="_Toc124433375" w:history="1">
            <w:r w:rsidR="007E636D" w:rsidRPr="004336F6">
              <w:rPr>
                <w:rStyle w:val="Hyperlink"/>
                <w:b w:val="0"/>
                <w:bCs w:val="0"/>
              </w:rPr>
              <w:t>3.  EMDG 2.0 Program Rollout</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_Toc124433375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17</w:t>
            </w:r>
            <w:r w:rsidR="007E636D" w:rsidRPr="004336F6">
              <w:rPr>
                <w:b w:val="0"/>
                <w:bCs w:val="0"/>
                <w:webHidden/>
              </w:rPr>
              <w:fldChar w:fldCharType="end"/>
            </w:r>
          </w:hyperlink>
        </w:p>
        <w:p w14:paraId="3A084A08" w14:textId="07D91CA1" w:rsidR="007E636D" w:rsidRPr="001D3E93" w:rsidRDefault="00DA2292">
          <w:pPr>
            <w:pStyle w:val="TOC3"/>
            <w:rPr>
              <w:b w:val="0"/>
              <w:bCs w:val="0"/>
              <w:sz w:val="22"/>
              <w:szCs w:val="22"/>
              <w:lang w:eastAsia="en-AU"/>
            </w:rPr>
          </w:pPr>
          <w:hyperlink w:anchor="_Toc124433376" w:history="1">
            <w:r w:rsidR="007E636D" w:rsidRPr="004336F6">
              <w:rPr>
                <w:rStyle w:val="Hyperlink"/>
                <w:b w:val="0"/>
                <w:bCs w:val="0"/>
                <w:lang w:val="en-US" w:eastAsia="en-US"/>
              </w:rPr>
              <w:t>Administering EMDG 2.0 Round 1 and EMDG 1.0 concurrently</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_Toc124433376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19</w:t>
            </w:r>
            <w:r w:rsidR="007E636D" w:rsidRPr="004336F6">
              <w:rPr>
                <w:b w:val="0"/>
                <w:bCs w:val="0"/>
                <w:webHidden/>
              </w:rPr>
              <w:fldChar w:fldCharType="end"/>
            </w:r>
          </w:hyperlink>
        </w:p>
        <w:p w14:paraId="6B0CF590" w14:textId="00810992" w:rsidR="007E636D" w:rsidRPr="001D3E93" w:rsidRDefault="00DA2292">
          <w:pPr>
            <w:pStyle w:val="TOC3"/>
            <w:rPr>
              <w:b w:val="0"/>
              <w:bCs w:val="0"/>
              <w:sz w:val="22"/>
              <w:szCs w:val="22"/>
              <w:lang w:eastAsia="en-AU"/>
            </w:rPr>
          </w:pPr>
          <w:hyperlink w:anchor="_Toc124433377" w:history="1">
            <w:r w:rsidR="007E636D" w:rsidRPr="004336F6">
              <w:rPr>
                <w:rStyle w:val="Hyperlink"/>
                <w:b w:val="0"/>
                <w:bCs w:val="0"/>
                <w:lang w:val="en-US" w:eastAsia="en-US"/>
              </w:rPr>
              <w:t>Financial issues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_Toc124433377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20</w:t>
            </w:r>
            <w:r w:rsidR="007E636D" w:rsidRPr="004336F6">
              <w:rPr>
                <w:b w:val="0"/>
                <w:bCs w:val="0"/>
                <w:webHidden/>
              </w:rPr>
              <w:fldChar w:fldCharType="end"/>
            </w:r>
          </w:hyperlink>
        </w:p>
        <w:p w14:paraId="6B357B4A" w14:textId="5C0613D7" w:rsidR="007E636D" w:rsidRPr="001D3E93" w:rsidRDefault="00DA2292">
          <w:pPr>
            <w:pStyle w:val="TOC2"/>
            <w:rPr>
              <w:b w:val="0"/>
              <w:bCs w:val="0"/>
              <w:sz w:val="22"/>
              <w:szCs w:val="22"/>
              <w:lang w:val="en-AU" w:eastAsia="en-AU"/>
            </w:rPr>
          </w:pPr>
          <w:hyperlink w:anchor="_Toc124433378" w:history="1">
            <w:r w:rsidR="007E636D" w:rsidRPr="004336F6">
              <w:rPr>
                <w:rStyle w:val="Hyperlink"/>
                <w:b w:val="0"/>
                <w:bCs w:val="0"/>
              </w:rPr>
              <w:t>4.  Review Consultations – feedback from external stakeholders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_Toc124433378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21</w:t>
            </w:r>
            <w:r w:rsidR="007E636D" w:rsidRPr="004336F6">
              <w:rPr>
                <w:b w:val="0"/>
                <w:bCs w:val="0"/>
                <w:webHidden/>
              </w:rPr>
              <w:fldChar w:fldCharType="end"/>
            </w:r>
          </w:hyperlink>
        </w:p>
        <w:p w14:paraId="7DC7A7F6" w14:textId="2FBFA12D" w:rsidR="007E636D" w:rsidRPr="001D3E93" w:rsidRDefault="00DA2292">
          <w:pPr>
            <w:pStyle w:val="TOC3"/>
            <w:rPr>
              <w:b w:val="0"/>
              <w:bCs w:val="0"/>
              <w:sz w:val="22"/>
              <w:szCs w:val="22"/>
              <w:lang w:eastAsia="en-AU"/>
            </w:rPr>
          </w:pPr>
          <w:hyperlink w:anchor="_Toc124433379" w:history="1">
            <w:r w:rsidR="007E636D" w:rsidRPr="004336F6">
              <w:rPr>
                <w:rStyle w:val="Hyperlink"/>
                <w:b w:val="0"/>
                <w:bCs w:val="0"/>
                <w:lang w:val="en-US" w:eastAsia="en-US"/>
              </w:rPr>
              <w:t>Key Themes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_Toc124433379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21</w:t>
            </w:r>
            <w:r w:rsidR="007E636D" w:rsidRPr="004336F6">
              <w:rPr>
                <w:b w:val="0"/>
                <w:bCs w:val="0"/>
                <w:webHidden/>
              </w:rPr>
              <w:fldChar w:fldCharType="end"/>
            </w:r>
          </w:hyperlink>
        </w:p>
        <w:p w14:paraId="6F837FBA" w14:textId="7E9CA9A8" w:rsidR="007E636D" w:rsidRPr="001D3E93" w:rsidRDefault="00DA2292">
          <w:pPr>
            <w:pStyle w:val="TOC3"/>
            <w:rPr>
              <w:b w:val="0"/>
              <w:bCs w:val="0"/>
              <w:sz w:val="22"/>
              <w:szCs w:val="22"/>
              <w:lang w:eastAsia="en-AU"/>
            </w:rPr>
          </w:pPr>
          <w:hyperlink w:anchor="_Toc124433380" w:history="1">
            <w:r w:rsidR="007E636D" w:rsidRPr="004336F6">
              <w:rPr>
                <w:rStyle w:val="Hyperlink"/>
                <w:b w:val="0"/>
                <w:bCs w:val="0"/>
              </w:rPr>
              <w:t>Tier 1 applicants (new to export)</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_Toc124433380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22</w:t>
            </w:r>
            <w:r w:rsidR="007E636D" w:rsidRPr="004336F6">
              <w:rPr>
                <w:b w:val="0"/>
                <w:bCs w:val="0"/>
                <w:webHidden/>
              </w:rPr>
              <w:fldChar w:fldCharType="end"/>
            </w:r>
          </w:hyperlink>
        </w:p>
        <w:p w14:paraId="22C7EA0C" w14:textId="4A03F67E" w:rsidR="007E636D" w:rsidRPr="001D3E93" w:rsidRDefault="00DA2292">
          <w:pPr>
            <w:pStyle w:val="TOC3"/>
            <w:rPr>
              <w:b w:val="0"/>
              <w:bCs w:val="0"/>
              <w:sz w:val="22"/>
              <w:szCs w:val="22"/>
              <w:lang w:eastAsia="en-AU"/>
            </w:rPr>
          </w:pPr>
          <w:hyperlink w:anchor="_Toc124433381" w:history="1">
            <w:r w:rsidR="007E636D" w:rsidRPr="004336F6">
              <w:rPr>
                <w:rStyle w:val="Hyperlink"/>
                <w:b w:val="0"/>
                <w:bCs w:val="0"/>
                <w:lang w:val="en-US" w:eastAsia="en-US"/>
              </w:rPr>
              <w:t>Tier 2 applicants (existing exporters)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_Toc124433381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23</w:t>
            </w:r>
            <w:r w:rsidR="007E636D" w:rsidRPr="004336F6">
              <w:rPr>
                <w:b w:val="0"/>
                <w:bCs w:val="0"/>
                <w:webHidden/>
              </w:rPr>
              <w:fldChar w:fldCharType="end"/>
            </w:r>
          </w:hyperlink>
        </w:p>
        <w:p w14:paraId="6A6AA25A" w14:textId="79D92C75" w:rsidR="007E636D" w:rsidRPr="001D3E93" w:rsidRDefault="00DA2292">
          <w:pPr>
            <w:pStyle w:val="TOC3"/>
            <w:rPr>
              <w:b w:val="0"/>
              <w:bCs w:val="0"/>
              <w:sz w:val="22"/>
              <w:szCs w:val="22"/>
              <w:lang w:eastAsia="en-AU"/>
            </w:rPr>
          </w:pPr>
          <w:hyperlink w:anchor="_Toc124433382" w:history="1">
            <w:r w:rsidR="007E636D" w:rsidRPr="004336F6">
              <w:rPr>
                <w:rStyle w:val="Hyperlink"/>
                <w:b w:val="0"/>
                <w:bCs w:val="0"/>
                <w:lang w:val="en-US" w:eastAsia="en-US"/>
              </w:rPr>
              <w:t>Tier 3 applicants (existing exporters diversifying products or markets)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_Toc124433382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24</w:t>
            </w:r>
            <w:r w:rsidR="007E636D" w:rsidRPr="004336F6">
              <w:rPr>
                <w:b w:val="0"/>
                <w:bCs w:val="0"/>
                <w:webHidden/>
              </w:rPr>
              <w:fldChar w:fldCharType="end"/>
            </w:r>
          </w:hyperlink>
        </w:p>
        <w:p w14:paraId="17E3484A" w14:textId="67D2F127" w:rsidR="007E636D" w:rsidRPr="001D3E93" w:rsidRDefault="00DA2292">
          <w:pPr>
            <w:pStyle w:val="TOC3"/>
            <w:rPr>
              <w:b w:val="0"/>
              <w:bCs w:val="0"/>
              <w:sz w:val="22"/>
              <w:szCs w:val="22"/>
              <w:lang w:eastAsia="en-AU"/>
            </w:rPr>
          </w:pPr>
          <w:hyperlink w:anchor="_Toc124433383" w:history="1">
            <w:r w:rsidR="007E636D" w:rsidRPr="004336F6">
              <w:rPr>
                <w:rStyle w:val="Hyperlink"/>
                <w:b w:val="0"/>
                <w:bCs w:val="0"/>
                <w:lang w:val="en-US" w:eastAsia="en-US"/>
              </w:rPr>
              <w:t>Grant Agents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_Toc124433383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24</w:t>
            </w:r>
            <w:r w:rsidR="007E636D" w:rsidRPr="004336F6">
              <w:rPr>
                <w:b w:val="0"/>
                <w:bCs w:val="0"/>
                <w:webHidden/>
              </w:rPr>
              <w:fldChar w:fldCharType="end"/>
            </w:r>
          </w:hyperlink>
        </w:p>
        <w:p w14:paraId="05590073" w14:textId="2D94D3FA" w:rsidR="007E636D" w:rsidRPr="001D3E93" w:rsidRDefault="00DA2292">
          <w:pPr>
            <w:pStyle w:val="TOC3"/>
            <w:rPr>
              <w:b w:val="0"/>
              <w:bCs w:val="0"/>
              <w:sz w:val="22"/>
              <w:szCs w:val="22"/>
              <w:lang w:eastAsia="en-AU"/>
            </w:rPr>
          </w:pPr>
          <w:hyperlink w:anchor="_Toc124433384" w:history="1">
            <w:r w:rsidR="007E636D" w:rsidRPr="004336F6">
              <w:rPr>
                <w:rStyle w:val="Hyperlink"/>
                <w:b w:val="0"/>
                <w:bCs w:val="0"/>
                <w:lang w:val="en-US" w:eastAsia="en-US"/>
              </w:rPr>
              <w:t>Representative Bodies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_Toc124433384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25</w:t>
            </w:r>
            <w:r w:rsidR="007E636D" w:rsidRPr="004336F6">
              <w:rPr>
                <w:b w:val="0"/>
                <w:bCs w:val="0"/>
                <w:webHidden/>
              </w:rPr>
              <w:fldChar w:fldCharType="end"/>
            </w:r>
          </w:hyperlink>
        </w:p>
        <w:p w14:paraId="4272ECC8" w14:textId="3EF666E6" w:rsidR="007E636D" w:rsidRPr="001D3E93" w:rsidRDefault="00DA2292">
          <w:pPr>
            <w:pStyle w:val="TOC3"/>
            <w:rPr>
              <w:b w:val="0"/>
              <w:bCs w:val="0"/>
              <w:sz w:val="22"/>
              <w:szCs w:val="22"/>
              <w:lang w:eastAsia="en-AU"/>
            </w:rPr>
          </w:pPr>
          <w:hyperlink w:anchor="_Toc124433385" w:history="1">
            <w:r w:rsidR="005B7C9F" w:rsidRPr="004336F6">
              <w:rPr>
                <w:rStyle w:val="Hyperlink"/>
                <w:b w:val="0"/>
                <w:bCs w:val="0"/>
              </w:rPr>
              <w:t>P</w:t>
            </w:r>
            <w:r w:rsidR="007E636D" w:rsidRPr="004336F6">
              <w:rPr>
                <w:rStyle w:val="Hyperlink"/>
                <w:b w:val="0"/>
                <w:bCs w:val="0"/>
                <w:lang w:val="en-US" w:eastAsia="en-US"/>
              </w:rPr>
              <w:t>eak and industry bodies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_Toc124433385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25</w:t>
            </w:r>
            <w:r w:rsidR="007E636D" w:rsidRPr="004336F6">
              <w:rPr>
                <w:b w:val="0"/>
                <w:bCs w:val="0"/>
                <w:webHidden/>
              </w:rPr>
              <w:fldChar w:fldCharType="end"/>
            </w:r>
          </w:hyperlink>
        </w:p>
        <w:p w14:paraId="4DF2868D" w14:textId="17E7FA1A" w:rsidR="007E636D" w:rsidRPr="001D3E93" w:rsidRDefault="00DA2292">
          <w:pPr>
            <w:pStyle w:val="TOC3"/>
            <w:rPr>
              <w:b w:val="0"/>
              <w:bCs w:val="0"/>
              <w:sz w:val="22"/>
              <w:szCs w:val="22"/>
              <w:lang w:eastAsia="en-AU"/>
            </w:rPr>
          </w:pPr>
          <w:hyperlink w:anchor="_Toc124433386" w:history="1">
            <w:r w:rsidR="007E636D" w:rsidRPr="004336F6">
              <w:rPr>
                <w:rStyle w:val="Hyperlink"/>
                <w:b w:val="0"/>
                <w:bCs w:val="0"/>
                <w:lang w:val="en-US" w:eastAsia="en-US"/>
              </w:rPr>
              <w:t>Other feedback</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_Toc124433386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26</w:t>
            </w:r>
            <w:r w:rsidR="007E636D" w:rsidRPr="004336F6">
              <w:rPr>
                <w:b w:val="0"/>
                <w:bCs w:val="0"/>
                <w:webHidden/>
              </w:rPr>
              <w:fldChar w:fldCharType="end"/>
            </w:r>
          </w:hyperlink>
        </w:p>
        <w:p w14:paraId="3F13592E" w14:textId="6513D5FD" w:rsidR="007E636D" w:rsidRPr="001D3E93" w:rsidRDefault="00DA2292">
          <w:pPr>
            <w:pStyle w:val="TOC3"/>
            <w:rPr>
              <w:b w:val="0"/>
              <w:bCs w:val="0"/>
              <w:sz w:val="22"/>
              <w:szCs w:val="22"/>
              <w:lang w:eastAsia="en-AU"/>
            </w:rPr>
          </w:pPr>
          <w:hyperlink r:id="rId14" w:anchor="_Toc124433388" w:history="1">
            <w:r w:rsidR="007E636D" w:rsidRPr="004336F6">
              <w:rPr>
                <w:rStyle w:val="Hyperlink"/>
                <w:b w:val="0"/>
                <w:bCs w:val="0"/>
              </w:rPr>
              <w:t>Reflections from John Angley, external facilitator</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_Toc124433388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27</w:t>
            </w:r>
            <w:r w:rsidR="007E636D" w:rsidRPr="004336F6">
              <w:rPr>
                <w:b w:val="0"/>
                <w:bCs w:val="0"/>
                <w:webHidden/>
              </w:rPr>
              <w:fldChar w:fldCharType="end"/>
            </w:r>
          </w:hyperlink>
        </w:p>
        <w:p w14:paraId="645106A9" w14:textId="0F5E2C34" w:rsidR="007E636D" w:rsidRPr="001D3E93" w:rsidRDefault="00DA2292">
          <w:pPr>
            <w:pStyle w:val="TOC2"/>
            <w:rPr>
              <w:b w:val="0"/>
              <w:bCs w:val="0"/>
              <w:sz w:val="22"/>
              <w:szCs w:val="22"/>
              <w:lang w:val="en-AU" w:eastAsia="en-AU"/>
            </w:rPr>
          </w:pPr>
          <w:hyperlink w:anchor="_Toc124433389" w:history="1">
            <w:r w:rsidR="007E636D" w:rsidRPr="004336F6">
              <w:rPr>
                <w:rStyle w:val="Hyperlink"/>
                <w:b w:val="0"/>
                <w:bCs w:val="0"/>
              </w:rPr>
              <w:t>EMDG Case Studies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_Toc124433389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28</w:t>
            </w:r>
            <w:r w:rsidR="007E636D" w:rsidRPr="004336F6">
              <w:rPr>
                <w:b w:val="0"/>
                <w:bCs w:val="0"/>
                <w:webHidden/>
              </w:rPr>
              <w:fldChar w:fldCharType="end"/>
            </w:r>
          </w:hyperlink>
        </w:p>
        <w:p w14:paraId="21724C59" w14:textId="23BD74AA" w:rsidR="007E636D" w:rsidRPr="001D3E93" w:rsidRDefault="00DA2292">
          <w:pPr>
            <w:pStyle w:val="TOC2"/>
            <w:rPr>
              <w:b w:val="0"/>
              <w:bCs w:val="0"/>
              <w:sz w:val="22"/>
              <w:szCs w:val="22"/>
              <w:lang w:val="en-AU" w:eastAsia="en-AU"/>
            </w:rPr>
          </w:pPr>
          <w:hyperlink w:anchor="_Toc124433393" w:history="1">
            <w:r w:rsidR="007E636D" w:rsidRPr="004336F6">
              <w:rPr>
                <w:rStyle w:val="Hyperlink"/>
                <w:b w:val="0"/>
                <w:bCs w:val="0"/>
              </w:rPr>
              <w:t>5.  Review assessment – Opportunities for Improvement</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_Toc124433393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30</w:t>
            </w:r>
            <w:r w:rsidR="007E636D" w:rsidRPr="004336F6">
              <w:rPr>
                <w:b w:val="0"/>
                <w:bCs w:val="0"/>
                <w:webHidden/>
              </w:rPr>
              <w:fldChar w:fldCharType="end"/>
            </w:r>
          </w:hyperlink>
        </w:p>
        <w:p w14:paraId="38E7A6A2" w14:textId="35E40174" w:rsidR="007E636D" w:rsidRPr="001D3E93" w:rsidRDefault="00DA2292">
          <w:pPr>
            <w:pStyle w:val="TOC3"/>
            <w:rPr>
              <w:b w:val="0"/>
              <w:bCs w:val="0"/>
              <w:sz w:val="22"/>
              <w:szCs w:val="22"/>
              <w:lang w:eastAsia="en-AU"/>
            </w:rPr>
          </w:pPr>
          <w:hyperlink w:anchor="_Toc124433394" w:history="1">
            <w:r w:rsidR="007E636D" w:rsidRPr="004336F6">
              <w:rPr>
                <w:rStyle w:val="Hyperlink"/>
                <w:b w:val="0"/>
                <w:bCs w:val="0"/>
                <w:lang w:val="en-US" w:eastAsia="en-US"/>
              </w:rPr>
              <w:t>Opportunities for Improvement - Phase 1: Short-term</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_Toc124433394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31</w:t>
            </w:r>
            <w:r w:rsidR="007E636D" w:rsidRPr="004336F6">
              <w:rPr>
                <w:b w:val="0"/>
                <w:bCs w:val="0"/>
                <w:webHidden/>
              </w:rPr>
              <w:fldChar w:fldCharType="end"/>
            </w:r>
          </w:hyperlink>
        </w:p>
        <w:p w14:paraId="29F06673" w14:textId="50689E2B" w:rsidR="007E636D" w:rsidRPr="001D3E93" w:rsidRDefault="00DA2292">
          <w:pPr>
            <w:pStyle w:val="TOC3"/>
            <w:rPr>
              <w:b w:val="0"/>
              <w:bCs w:val="0"/>
              <w:sz w:val="22"/>
              <w:szCs w:val="22"/>
              <w:lang w:eastAsia="en-AU"/>
            </w:rPr>
          </w:pPr>
          <w:hyperlink w:anchor="_Toc124433395" w:history="1">
            <w:r w:rsidR="007E636D" w:rsidRPr="004336F6">
              <w:rPr>
                <w:rStyle w:val="Hyperlink"/>
                <w:b w:val="0"/>
                <w:bCs w:val="0"/>
                <w:lang w:val="en-US" w:eastAsia="en-US"/>
              </w:rPr>
              <w:t>Opportunities for Improvement - Phase 2: Medium-term</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_Toc124433395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31</w:t>
            </w:r>
            <w:r w:rsidR="007E636D" w:rsidRPr="004336F6">
              <w:rPr>
                <w:b w:val="0"/>
                <w:bCs w:val="0"/>
                <w:webHidden/>
              </w:rPr>
              <w:fldChar w:fldCharType="end"/>
            </w:r>
          </w:hyperlink>
        </w:p>
        <w:p w14:paraId="06971C34" w14:textId="3DD81D93" w:rsidR="007E636D" w:rsidRPr="001D3E93" w:rsidRDefault="00DA2292">
          <w:pPr>
            <w:pStyle w:val="TOC2"/>
            <w:rPr>
              <w:b w:val="0"/>
              <w:bCs w:val="0"/>
              <w:sz w:val="22"/>
              <w:szCs w:val="22"/>
              <w:lang w:val="en-AU" w:eastAsia="en-AU"/>
            </w:rPr>
          </w:pPr>
          <w:hyperlink w:anchor="_Toc124433396" w:history="1">
            <w:r w:rsidR="007E636D" w:rsidRPr="004336F6">
              <w:rPr>
                <w:rStyle w:val="Hyperlink"/>
                <w:rFonts w:ascii="Verdana" w:eastAsia="MS Gothic" w:hAnsi="Verdana" w:cs="Times New Roman"/>
                <w:b w:val="0"/>
                <w:bCs w:val="0"/>
              </w:rPr>
              <w:t>Attachments</w:t>
            </w:r>
            <w:r w:rsidR="007E636D" w:rsidRPr="004336F6">
              <w:rPr>
                <w:b w:val="0"/>
                <w:bCs w:val="0"/>
                <w:webHidden/>
              </w:rPr>
              <w:tab/>
            </w:r>
            <w:r w:rsidR="007E636D" w:rsidRPr="004336F6">
              <w:rPr>
                <w:b w:val="0"/>
                <w:bCs w:val="0"/>
                <w:webHidden/>
              </w:rPr>
              <w:fldChar w:fldCharType="begin"/>
            </w:r>
            <w:r w:rsidR="007E636D" w:rsidRPr="004336F6">
              <w:rPr>
                <w:b w:val="0"/>
                <w:bCs w:val="0"/>
                <w:webHidden/>
              </w:rPr>
              <w:instrText xml:space="preserve"> PAGEREF _Toc124433396 \h </w:instrText>
            </w:r>
            <w:r w:rsidR="007E636D" w:rsidRPr="004336F6">
              <w:rPr>
                <w:b w:val="0"/>
                <w:bCs w:val="0"/>
                <w:webHidden/>
              </w:rPr>
            </w:r>
            <w:r w:rsidR="007E636D" w:rsidRPr="004336F6">
              <w:rPr>
                <w:b w:val="0"/>
                <w:bCs w:val="0"/>
                <w:webHidden/>
              </w:rPr>
              <w:fldChar w:fldCharType="separate"/>
            </w:r>
            <w:r w:rsidR="007E636D" w:rsidRPr="004336F6">
              <w:rPr>
                <w:b w:val="0"/>
                <w:bCs w:val="0"/>
                <w:webHidden/>
              </w:rPr>
              <w:t>34</w:t>
            </w:r>
            <w:r w:rsidR="007E636D" w:rsidRPr="004336F6">
              <w:rPr>
                <w:b w:val="0"/>
                <w:bCs w:val="0"/>
                <w:webHidden/>
              </w:rPr>
              <w:fldChar w:fldCharType="end"/>
            </w:r>
          </w:hyperlink>
        </w:p>
        <w:p w14:paraId="6E21A2DF" w14:textId="205969BF" w:rsidR="007E636D" w:rsidRPr="001D3E93" w:rsidRDefault="00DA2292">
          <w:pPr>
            <w:pStyle w:val="TOC1"/>
            <w:tabs>
              <w:tab w:val="right" w:leader="dot" w:pos="9628"/>
            </w:tabs>
            <w:rPr>
              <w:noProof/>
              <w:sz w:val="22"/>
              <w:szCs w:val="22"/>
              <w:lang w:eastAsia="en-AU"/>
            </w:rPr>
          </w:pPr>
          <w:hyperlink w:anchor="_Toc124433397" w:history="1">
            <w:r w:rsidR="007E636D" w:rsidRPr="004336F6">
              <w:rPr>
                <w:rStyle w:val="Hyperlink"/>
                <w:noProof/>
              </w:rPr>
              <w:t>Attachment A – EMDG Operational Review Terms of Reference</w:t>
            </w:r>
            <w:r w:rsidR="007E636D" w:rsidRPr="004336F6">
              <w:rPr>
                <w:noProof/>
                <w:webHidden/>
              </w:rPr>
              <w:tab/>
            </w:r>
            <w:r w:rsidR="007E636D" w:rsidRPr="004336F6">
              <w:rPr>
                <w:noProof/>
                <w:webHidden/>
              </w:rPr>
              <w:fldChar w:fldCharType="begin"/>
            </w:r>
            <w:r w:rsidR="007E636D" w:rsidRPr="004336F6">
              <w:rPr>
                <w:noProof/>
                <w:webHidden/>
              </w:rPr>
              <w:instrText xml:space="preserve"> PAGEREF _Toc124433397 \h </w:instrText>
            </w:r>
            <w:r w:rsidR="007E636D" w:rsidRPr="004336F6">
              <w:rPr>
                <w:noProof/>
                <w:webHidden/>
              </w:rPr>
            </w:r>
            <w:r w:rsidR="007E636D" w:rsidRPr="004336F6">
              <w:rPr>
                <w:noProof/>
                <w:webHidden/>
              </w:rPr>
              <w:fldChar w:fldCharType="separate"/>
            </w:r>
            <w:r w:rsidR="007E636D" w:rsidRPr="004336F6">
              <w:rPr>
                <w:noProof/>
                <w:webHidden/>
              </w:rPr>
              <w:t>35</w:t>
            </w:r>
            <w:r w:rsidR="007E636D" w:rsidRPr="004336F6">
              <w:rPr>
                <w:noProof/>
                <w:webHidden/>
              </w:rPr>
              <w:fldChar w:fldCharType="end"/>
            </w:r>
          </w:hyperlink>
        </w:p>
        <w:p w14:paraId="2786D5F1" w14:textId="4443D39D" w:rsidR="007E636D" w:rsidRPr="001D3E93" w:rsidRDefault="00DA2292">
          <w:pPr>
            <w:pStyle w:val="TOC1"/>
            <w:tabs>
              <w:tab w:val="right" w:leader="dot" w:pos="9628"/>
            </w:tabs>
            <w:rPr>
              <w:noProof/>
              <w:sz w:val="22"/>
              <w:szCs w:val="22"/>
              <w:lang w:eastAsia="en-AU"/>
            </w:rPr>
          </w:pPr>
          <w:hyperlink w:anchor="_Toc124433405" w:history="1">
            <w:r w:rsidR="007E636D" w:rsidRPr="004336F6">
              <w:rPr>
                <w:rStyle w:val="Hyperlink"/>
                <w:noProof/>
              </w:rPr>
              <w:t>Attachment B – Snapshot EMDG 2.0 Round 1 and Round 2</w:t>
            </w:r>
            <w:r w:rsidR="007E636D" w:rsidRPr="004336F6">
              <w:rPr>
                <w:noProof/>
                <w:webHidden/>
              </w:rPr>
              <w:tab/>
            </w:r>
            <w:r w:rsidR="007E636D" w:rsidRPr="004336F6">
              <w:rPr>
                <w:noProof/>
                <w:webHidden/>
              </w:rPr>
              <w:fldChar w:fldCharType="begin"/>
            </w:r>
            <w:r w:rsidR="007E636D" w:rsidRPr="004336F6">
              <w:rPr>
                <w:noProof/>
                <w:webHidden/>
              </w:rPr>
              <w:instrText xml:space="preserve"> PAGEREF _Toc124433405 \h </w:instrText>
            </w:r>
            <w:r w:rsidR="007E636D" w:rsidRPr="004336F6">
              <w:rPr>
                <w:noProof/>
                <w:webHidden/>
              </w:rPr>
            </w:r>
            <w:r w:rsidR="007E636D" w:rsidRPr="004336F6">
              <w:rPr>
                <w:noProof/>
                <w:webHidden/>
              </w:rPr>
              <w:fldChar w:fldCharType="separate"/>
            </w:r>
            <w:r w:rsidR="007E636D" w:rsidRPr="004336F6">
              <w:rPr>
                <w:noProof/>
                <w:webHidden/>
              </w:rPr>
              <w:t>37</w:t>
            </w:r>
            <w:r w:rsidR="007E636D" w:rsidRPr="004336F6">
              <w:rPr>
                <w:noProof/>
                <w:webHidden/>
              </w:rPr>
              <w:fldChar w:fldCharType="end"/>
            </w:r>
          </w:hyperlink>
        </w:p>
        <w:p w14:paraId="7ACA38C4" w14:textId="1C8CFD87" w:rsidR="007E636D" w:rsidRPr="001D3E93" w:rsidRDefault="00DA2292">
          <w:pPr>
            <w:pStyle w:val="TOC1"/>
            <w:tabs>
              <w:tab w:val="right" w:leader="dot" w:pos="9628"/>
            </w:tabs>
            <w:rPr>
              <w:noProof/>
              <w:sz w:val="22"/>
              <w:szCs w:val="22"/>
              <w:lang w:eastAsia="en-AU"/>
            </w:rPr>
          </w:pPr>
          <w:hyperlink w:anchor="_Toc124433406" w:history="1">
            <w:r w:rsidR="007E636D" w:rsidRPr="004336F6">
              <w:rPr>
                <w:rStyle w:val="Hyperlink"/>
                <w:noProof/>
              </w:rPr>
              <w:t>Attachment C – Survey Responses</w:t>
            </w:r>
            <w:r w:rsidR="007E636D" w:rsidRPr="004336F6">
              <w:rPr>
                <w:noProof/>
                <w:webHidden/>
              </w:rPr>
              <w:tab/>
            </w:r>
            <w:r w:rsidR="007E636D" w:rsidRPr="004336F6">
              <w:rPr>
                <w:noProof/>
                <w:webHidden/>
              </w:rPr>
              <w:fldChar w:fldCharType="begin"/>
            </w:r>
            <w:r w:rsidR="007E636D" w:rsidRPr="004336F6">
              <w:rPr>
                <w:noProof/>
                <w:webHidden/>
              </w:rPr>
              <w:instrText xml:space="preserve"> PAGEREF _Toc124433406 \h </w:instrText>
            </w:r>
            <w:r w:rsidR="007E636D" w:rsidRPr="004336F6">
              <w:rPr>
                <w:noProof/>
                <w:webHidden/>
              </w:rPr>
            </w:r>
            <w:r w:rsidR="007E636D" w:rsidRPr="004336F6">
              <w:rPr>
                <w:noProof/>
                <w:webHidden/>
              </w:rPr>
              <w:fldChar w:fldCharType="separate"/>
            </w:r>
            <w:r w:rsidR="007E636D" w:rsidRPr="004336F6">
              <w:rPr>
                <w:noProof/>
                <w:webHidden/>
              </w:rPr>
              <w:t>38</w:t>
            </w:r>
            <w:r w:rsidR="007E636D" w:rsidRPr="004336F6">
              <w:rPr>
                <w:noProof/>
                <w:webHidden/>
              </w:rPr>
              <w:fldChar w:fldCharType="end"/>
            </w:r>
          </w:hyperlink>
        </w:p>
        <w:p w14:paraId="0114A6BB" w14:textId="6411B3BB" w:rsidR="007E636D" w:rsidRPr="001D3E93" w:rsidRDefault="00DA2292">
          <w:pPr>
            <w:pStyle w:val="TOC1"/>
            <w:tabs>
              <w:tab w:val="right" w:leader="dot" w:pos="9628"/>
            </w:tabs>
            <w:rPr>
              <w:noProof/>
              <w:sz w:val="22"/>
              <w:szCs w:val="22"/>
              <w:lang w:eastAsia="en-AU"/>
            </w:rPr>
          </w:pPr>
          <w:hyperlink w:anchor="_Toc124433414" w:history="1">
            <w:r w:rsidR="007E636D" w:rsidRPr="004336F6">
              <w:rPr>
                <w:rStyle w:val="Hyperlink"/>
                <w:noProof/>
              </w:rPr>
              <w:t>Attachment D – Previous EMDG 2.0 Round 1 Consultation</w:t>
            </w:r>
            <w:r w:rsidR="007E636D" w:rsidRPr="004336F6">
              <w:rPr>
                <w:noProof/>
                <w:webHidden/>
              </w:rPr>
              <w:tab/>
            </w:r>
            <w:r w:rsidR="007E636D" w:rsidRPr="004336F6">
              <w:rPr>
                <w:noProof/>
                <w:webHidden/>
              </w:rPr>
              <w:fldChar w:fldCharType="begin"/>
            </w:r>
            <w:r w:rsidR="007E636D" w:rsidRPr="004336F6">
              <w:rPr>
                <w:noProof/>
                <w:webHidden/>
              </w:rPr>
              <w:instrText xml:space="preserve"> PAGEREF _Toc124433414 \h </w:instrText>
            </w:r>
            <w:r w:rsidR="007E636D" w:rsidRPr="004336F6">
              <w:rPr>
                <w:noProof/>
                <w:webHidden/>
              </w:rPr>
            </w:r>
            <w:r w:rsidR="007E636D" w:rsidRPr="004336F6">
              <w:rPr>
                <w:noProof/>
                <w:webHidden/>
              </w:rPr>
              <w:fldChar w:fldCharType="separate"/>
            </w:r>
            <w:r w:rsidR="007E636D" w:rsidRPr="004336F6">
              <w:rPr>
                <w:noProof/>
                <w:webHidden/>
              </w:rPr>
              <w:t>42</w:t>
            </w:r>
            <w:r w:rsidR="007E636D" w:rsidRPr="004336F6">
              <w:rPr>
                <w:noProof/>
                <w:webHidden/>
              </w:rPr>
              <w:fldChar w:fldCharType="end"/>
            </w:r>
          </w:hyperlink>
        </w:p>
        <w:p w14:paraId="104CF475" w14:textId="01694261" w:rsidR="007E636D" w:rsidRPr="001D3E93" w:rsidRDefault="00DA2292">
          <w:pPr>
            <w:pStyle w:val="TOC1"/>
            <w:tabs>
              <w:tab w:val="right" w:leader="dot" w:pos="9628"/>
            </w:tabs>
            <w:rPr>
              <w:noProof/>
              <w:sz w:val="22"/>
              <w:szCs w:val="22"/>
              <w:lang w:eastAsia="en-AU"/>
            </w:rPr>
          </w:pPr>
          <w:hyperlink w:anchor="_Toc124433415" w:history="1">
            <w:r w:rsidR="007E636D" w:rsidRPr="004336F6">
              <w:rPr>
                <w:rStyle w:val="Hyperlink"/>
                <w:noProof/>
              </w:rPr>
              <w:t>Attachment E – Complementary support available to SME exporters</w:t>
            </w:r>
            <w:r w:rsidR="007E636D" w:rsidRPr="004336F6">
              <w:rPr>
                <w:noProof/>
                <w:webHidden/>
              </w:rPr>
              <w:tab/>
            </w:r>
            <w:r w:rsidR="007E636D" w:rsidRPr="004336F6">
              <w:rPr>
                <w:noProof/>
                <w:webHidden/>
              </w:rPr>
              <w:fldChar w:fldCharType="begin"/>
            </w:r>
            <w:r w:rsidR="007E636D" w:rsidRPr="004336F6">
              <w:rPr>
                <w:noProof/>
                <w:webHidden/>
              </w:rPr>
              <w:instrText xml:space="preserve"> PAGEREF _Toc124433415 \h </w:instrText>
            </w:r>
            <w:r w:rsidR="007E636D" w:rsidRPr="004336F6">
              <w:rPr>
                <w:noProof/>
                <w:webHidden/>
              </w:rPr>
            </w:r>
            <w:r w:rsidR="007E636D" w:rsidRPr="004336F6">
              <w:rPr>
                <w:noProof/>
                <w:webHidden/>
              </w:rPr>
              <w:fldChar w:fldCharType="separate"/>
            </w:r>
            <w:r w:rsidR="007E636D" w:rsidRPr="004336F6">
              <w:rPr>
                <w:noProof/>
                <w:webHidden/>
              </w:rPr>
              <w:t>43</w:t>
            </w:r>
            <w:r w:rsidR="007E636D" w:rsidRPr="004336F6">
              <w:rPr>
                <w:noProof/>
                <w:webHidden/>
              </w:rPr>
              <w:fldChar w:fldCharType="end"/>
            </w:r>
          </w:hyperlink>
        </w:p>
        <w:p w14:paraId="734AD989" w14:textId="08BAAA24" w:rsidR="007E636D" w:rsidRPr="001D3E93" w:rsidRDefault="00DA2292">
          <w:pPr>
            <w:pStyle w:val="TOC1"/>
            <w:tabs>
              <w:tab w:val="right" w:leader="dot" w:pos="9628"/>
            </w:tabs>
            <w:rPr>
              <w:noProof/>
              <w:sz w:val="22"/>
              <w:szCs w:val="22"/>
              <w:lang w:eastAsia="en-AU"/>
            </w:rPr>
          </w:pPr>
          <w:hyperlink w:anchor="_Toc124433416" w:history="1">
            <w:r w:rsidR="007E636D" w:rsidRPr="004336F6">
              <w:rPr>
                <w:rStyle w:val="Hyperlink"/>
                <w:noProof/>
                <w:lang w:eastAsia="en-US"/>
              </w:rPr>
              <w:t>Attachment F – International programs providing export support</w:t>
            </w:r>
            <w:r w:rsidR="007E636D" w:rsidRPr="004336F6">
              <w:rPr>
                <w:noProof/>
                <w:webHidden/>
              </w:rPr>
              <w:tab/>
            </w:r>
            <w:r w:rsidR="007E636D" w:rsidRPr="004336F6">
              <w:rPr>
                <w:noProof/>
                <w:webHidden/>
              </w:rPr>
              <w:fldChar w:fldCharType="begin"/>
            </w:r>
            <w:r w:rsidR="007E636D" w:rsidRPr="004336F6">
              <w:rPr>
                <w:noProof/>
                <w:webHidden/>
              </w:rPr>
              <w:instrText xml:space="preserve"> PAGEREF _Toc124433416 \h </w:instrText>
            </w:r>
            <w:r w:rsidR="007E636D" w:rsidRPr="004336F6">
              <w:rPr>
                <w:noProof/>
                <w:webHidden/>
              </w:rPr>
            </w:r>
            <w:r w:rsidR="007E636D" w:rsidRPr="004336F6">
              <w:rPr>
                <w:noProof/>
                <w:webHidden/>
              </w:rPr>
              <w:fldChar w:fldCharType="separate"/>
            </w:r>
            <w:r w:rsidR="007E636D" w:rsidRPr="004336F6">
              <w:rPr>
                <w:noProof/>
                <w:webHidden/>
              </w:rPr>
              <w:t>44</w:t>
            </w:r>
            <w:r w:rsidR="007E636D" w:rsidRPr="004336F6">
              <w:rPr>
                <w:noProof/>
                <w:webHidden/>
              </w:rPr>
              <w:fldChar w:fldCharType="end"/>
            </w:r>
          </w:hyperlink>
        </w:p>
        <w:p w14:paraId="33872274" w14:textId="03444B92" w:rsidR="007E636D" w:rsidRPr="001D3E93" w:rsidRDefault="007E636D">
          <w:r w:rsidRPr="001D3E93">
            <w:rPr>
              <w:noProof/>
            </w:rPr>
            <w:fldChar w:fldCharType="end"/>
          </w:r>
        </w:p>
      </w:sdtContent>
    </w:sdt>
    <w:p w14:paraId="6F45E406" w14:textId="22C4B658" w:rsidR="000C3F1E" w:rsidRPr="001D3E93" w:rsidRDefault="000C3F1E" w:rsidP="000C3F1E">
      <w:pPr>
        <w:spacing w:after="160" w:line="259" w:lineRule="auto"/>
        <w:rPr>
          <w:rFonts w:ascii="Verdana" w:eastAsia="Calibri" w:hAnsi="Verdana" w:cs="Arial"/>
          <w:sz w:val="22"/>
          <w:szCs w:val="22"/>
          <w:lang w:val="en-US" w:eastAsia="en-US"/>
        </w:rPr>
      </w:pPr>
    </w:p>
    <w:sdt>
      <w:sdtPr>
        <w:rPr>
          <w:rFonts w:ascii="Calibri" w:eastAsia="Calibri" w:hAnsi="Calibri" w:cs="Arial"/>
          <w:sz w:val="22"/>
          <w:szCs w:val="22"/>
          <w:lang w:val="en-US" w:eastAsia="en-US"/>
        </w:rPr>
        <w:id w:val="2116554552"/>
        <w:docPartObj>
          <w:docPartGallery w:val="Table of Contents"/>
          <w:docPartUnique/>
        </w:docPartObj>
      </w:sdtPr>
      <w:sdtEndPr>
        <w:rPr>
          <w:rFonts w:ascii="Verdana" w:hAnsi="Verdana"/>
        </w:rPr>
      </w:sdtEndPr>
      <w:sdtContent>
        <w:p w14:paraId="6749BCEE" w14:textId="77777777" w:rsidR="000C3F1E" w:rsidRPr="001D3E93" w:rsidRDefault="000C3F1E" w:rsidP="000C3F1E">
          <w:pPr>
            <w:tabs>
              <w:tab w:val="right" w:leader="dot" w:pos="9350"/>
            </w:tabs>
            <w:spacing w:after="100" w:line="259" w:lineRule="auto"/>
            <w:rPr>
              <w:rFonts w:ascii="Calibri" w:eastAsia="Calibri" w:hAnsi="Calibri" w:cs="Arial"/>
              <w:sz w:val="22"/>
              <w:szCs w:val="22"/>
              <w:lang w:val="en-US" w:eastAsia="en-US"/>
            </w:rPr>
          </w:pPr>
        </w:p>
        <w:p w14:paraId="12E1DA7E" w14:textId="77777777" w:rsidR="000C3F1E" w:rsidRPr="001D3E93" w:rsidRDefault="00DA2292" w:rsidP="000C3F1E">
          <w:pPr>
            <w:spacing w:after="160" w:line="259" w:lineRule="auto"/>
            <w:rPr>
              <w:rFonts w:ascii="Verdana" w:eastAsia="Calibri" w:hAnsi="Verdana" w:cs="Arial"/>
              <w:sz w:val="22"/>
              <w:szCs w:val="22"/>
              <w:lang w:val="en-US" w:eastAsia="en-US"/>
            </w:rPr>
          </w:pPr>
        </w:p>
      </w:sdtContent>
    </w:sdt>
    <w:p w14:paraId="7D87DA0E" w14:textId="77777777" w:rsidR="000C3F1E" w:rsidRPr="001D3E93" w:rsidRDefault="000C3F1E" w:rsidP="000C3F1E">
      <w:pPr>
        <w:spacing w:after="160" w:line="259" w:lineRule="auto"/>
        <w:rPr>
          <w:rFonts w:ascii="Verdana" w:eastAsia="Verdana" w:hAnsi="Verdana" w:cs="Verdana"/>
          <w:i/>
          <w:color w:val="000000"/>
          <w:lang w:val="en-US" w:eastAsia="en-US"/>
        </w:rPr>
      </w:pPr>
      <w:r w:rsidRPr="001D3E93">
        <w:rPr>
          <w:rFonts w:ascii="Verdana" w:eastAsia="Verdana" w:hAnsi="Verdana" w:cs="Verdana"/>
          <w:i/>
          <w:color w:val="000000"/>
          <w:lang w:val="en-US" w:eastAsia="en-US"/>
        </w:rPr>
        <w:br w:type="page"/>
      </w:r>
    </w:p>
    <w:p w14:paraId="32B2A295" w14:textId="13907C54" w:rsidR="00A0613F" w:rsidRPr="00731183" w:rsidRDefault="00A0613F" w:rsidP="004D1A31">
      <w:pPr>
        <w:pStyle w:val="Heading2"/>
        <w:rPr>
          <w:b w:val="0"/>
          <w:bCs w:val="0"/>
          <w:color w:val="0F4C44" w:themeColor="background2" w:themeShade="80"/>
        </w:rPr>
      </w:pPr>
      <w:bookmarkStart w:id="21" w:name="_Toc124433364"/>
      <w:r w:rsidRPr="00731183">
        <w:rPr>
          <w:b w:val="0"/>
          <w:bCs w:val="0"/>
          <w:color w:val="0F4C44" w:themeColor="accent3" w:themeShade="80"/>
        </w:rPr>
        <w:lastRenderedPageBreak/>
        <w:t>Executive Summary</w:t>
      </w:r>
      <w:bookmarkStart w:id="22" w:name="_Toc116553929"/>
      <w:bookmarkStart w:id="23" w:name="_Toc116554134"/>
      <w:bookmarkEnd w:id="21"/>
      <w:bookmarkEnd w:id="20"/>
      <w:bookmarkEnd w:id="19"/>
      <w:bookmarkEnd w:id="18"/>
      <w:bookmarkEnd w:id="17"/>
      <w:bookmarkEnd w:id="16"/>
      <w:bookmarkEnd w:id="15"/>
      <w:bookmarkEnd w:id="14"/>
      <w:r w:rsidRPr="00731183">
        <w:rPr>
          <w:b w:val="0"/>
          <w:bCs w:val="0"/>
          <w:color w:val="0F4C44" w:themeColor="accent3" w:themeShade="80"/>
        </w:rPr>
        <w:t xml:space="preserve"> </w:t>
      </w:r>
      <w:bookmarkEnd w:id="22"/>
      <w:bookmarkEnd w:id="23"/>
    </w:p>
    <w:p w14:paraId="44D43A0F" w14:textId="77777777" w:rsidR="00DD3C50" w:rsidRPr="001D3E93" w:rsidRDefault="00DD3C50" w:rsidP="00DD3C50">
      <w:pPr>
        <w:spacing w:after="160" w:line="259" w:lineRule="auto"/>
        <w:rPr>
          <w:rFonts w:ascii="Verdana" w:hAnsi="Verdana"/>
          <w:color w:val="000000"/>
          <w:shd w:val="clear" w:color="auto" w:fill="FFFFFF"/>
        </w:rPr>
      </w:pPr>
      <w:r w:rsidRPr="001D3E93">
        <w:rPr>
          <w:rFonts w:ascii="Verdana" w:hAnsi="Verdana"/>
          <w:color w:val="000000"/>
          <w:shd w:val="clear" w:color="auto" w:fill="FFFFFF"/>
        </w:rPr>
        <w:t>The Export Market Development Grants (EMDG) program helps Australian businesses grow their exports in international markets. These grants encourage small to medium enterprises market and promote their goods and services globally.</w:t>
      </w:r>
    </w:p>
    <w:p w14:paraId="7F8E9D2A" w14:textId="7B7A7669" w:rsidR="005D74CE" w:rsidRPr="001D3E93" w:rsidRDefault="00DD3C50" w:rsidP="00A0613F">
      <w:pPr>
        <w:spacing w:after="160" w:line="259" w:lineRule="auto"/>
        <w:rPr>
          <w:rFonts w:ascii="Verdana" w:eastAsia="Times New Roman" w:hAnsi="Verdana" w:cs="Calibri"/>
          <w:lang w:eastAsia="en-AU"/>
        </w:rPr>
      </w:pPr>
      <w:r w:rsidRPr="001D3E93">
        <w:rPr>
          <w:rFonts w:ascii="Verdana" w:eastAsia="Times New Roman" w:hAnsi="Verdana" w:cs="Calibri"/>
          <w:lang w:eastAsia="en-AU"/>
        </w:rPr>
        <w:t>Since 1974,</w:t>
      </w:r>
      <w:r w:rsidR="00DA5E63" w:rsidRPr="001D3E93">
        <w:rPr>
          <w:rFonts w:ascii="Verdana" w:hAnsi="Verdana"/>
          <w:color w:val="000000"/>
          <w:shd w:val="clear" w:color="auto" w:fill="FFFFFF"/>
        </w:rPr>
        <w:t xml:space="preserve"> </w:t>
      </w:r>
      <w:r w:rsidR="00DA5E63" w:rsidRPr="001D3E93">
        <w:rPr>
          <w:rStyle w:val="normaltextrun"/>
          <w:rFonts w:ascii="Verdana" w:hAnsi="Verdana"/>
          <w:color w:val="000000"/>
          <w:shd w:val="clear" w:color="auto" w:fill="FFFFFF"/>
        </w:rPr>
        <w:t xml:space="preserve">as the </w:t>
      </w:r>
      <w:r w:rsidR="00CB6C59" w:rsidRPr="001D3E93">
        <w:rPr>
          <w:rStyle w:val="normaltextrun"/>
          <w:rFonts w:ascii="Verdana" w:hAnsi="Verdana"/>
          <w:color w:val="000000"/>
          <w:shd w:val="clear" w:color="auto" w:fill="FFFFFF"/>
        </w:rPr>
        <w:t>G</w:t>
      </w:r>
      <w:r w:rsidR="00DA5E63" w:rsidRPr="001D3E93">
        <w:rPr>
          <w:rStyle w:val="normaltextrun"/>
          <w:rFonts w:ascii="Verdana" w:hAnsi="Verdana"/>
          <w:color w:val="000000"/>
          <w:shd w:val="clear" w:color="auto" w:fill="FFFFFF"/>
        </w:rPr>
        <w:t>overnment’s flagship export grants scheme</w:t>
      </w:r>
      <w:r w:rsidRPr="001D3E93">
        <w:rPr>
          <w:rStyle w:val="normaltextrun"/>
          <w:rFonts w:ascii="Verdana" w:hAnsi="Verdana"/>
          <w:color w:val="000000"/>
          <w:shd w:val="clear" w:color="auto" w:fill="FFFFFF"/>
        </w:rPr>
        <w:t>,</w:t>
      </w:r>
      <w:r w:rsidRPr="001D3E93">
        <w:rPr>
          <w:rFonts w:ascii="Verdana" w:eastAsia="Times New Roman" w:hAnsi="Verdana" w:cs="Calibri"/>
          <w:lang w:eastAsia="en-AU"/>
        </w:rPr>
        <w:t xml:space="preserve"> EMDG has assisted more than 50,000 Australian small and medium-sized enterprises (SMEs) to promote and market their products and services to over </w:t>
      </w:r>
      <w:r w:rsidR="00DC0134" w:rsidRPr="001D3E93">
        <w:rPr>
          <w:rFonts w:ascii="Verdana" w:eastAsia="Times New Roman" w:hAnsi="Verdana" w:cs="Calibri"/>
          <w:lang w:eastAsia="en-AU"/>
        </w:rPr>
        <w:t>180 countries world-wide.</w:t>
      </w:r>
      <w:r w:rsidR="00542530" w:rsidRPr="001D3E93">
        <w:rPr>
          <w:rFonts w:ascii="Verdana" w:eastAsia="Times New Roman" w:hAnsi="Verdana" w:cs="Calibri"/>
          <w:lang w:eastAsia="en-AU"/>
        </w:rPr>
        <w:t xml:space="preserve"> </w:t>
      </w:r>
    </w:p>
    <w:p w14:paraId="00F1A43F" w14:textId="28DB16CA" w:rsidR="005D74CE" w:rsidRPr="001D3E93" w:rsidRDefault="00542530" w:rsidP="00A0613F">
      <w:pPr>
        <w:spacing w:after="160" w:line="259" w:lineRule="auto"/>
      </w:pPr>
      <w:r w:rsidRPr="001D3E93">
        <w:rPr>
          <w:rFonts w:ascii="Verdana" w:eastAsia="Times New Roman" w:hAnsi="Verdana" w:cs="Calibri"/>
          <w:lang w:eastAsia="en-AU"/>
        </w:rPr>
        <w:t>The most recent legislative review</w:t>
      </w:r>
      <w:r w:rsidR="007648F1" w:rsidRPr="001D3E93">
        <w:rPr>
          <w:rFonts w:ascii="Verdana" w:eastAsia="Times New Roman" w:hAnsi="Verdana" w:cs="Calibri"/>
          <w:lang w:eastAsia="en-AU"/>
        </w:rPr>
        <w:t xml:space="preserve"> of EMDG published</w:t>
      </w:r>
      <w:r w:rsidRPr="001D3E93">
        <w:rPr>
          <w:rFonts w:ascii="Verdana" w:eastAsia="Times New Roman" w:hAnsi="Verdana" w:cs="Calibri"/>
          <w:lang w:eastAsia="en-AU"/>
        </w:rPr>
        <w:t xml:space="preserve"> in 2020 found</w:t>
      </w:r>
      <w:r w:rsidR="00073CCA" w:rsidRPr="001D3E93">
        <w:rPr>
          <w:rFonts w:ascii="Verdana" w:eastAsia="Times New Roman" w:hAnsi="Verdana" w:cs="Calibri"/>
          <w:lang w:eastAsia="en-AU"/>
        </w:rPr>
        <w:t xml:space="preserve"> exporting is aligned with higher company performance</w:t>
      </w:r>
      <w:r w:rsidR="005D74CE" w:rsidRPr="001D3E93">
        <w:t xml:space="preserve"> and that government support for SME exporters is effective. Specifically the review found:</w:t>
      </w:r>
    </w:p>
    <w:p w14:paraId="1479EDA7" w14:textId="6369B3D4" w:rsidR="007648F1" w:rsidRPr="001D3E93" w:rsidRDefault="003C4502" w:rsidP="00BE681C">
      <w:pPr>
        <w:pStyle w:val="ListParagraph"/>
        <w:numPr>
          <w:ilvl w:val="0"/>
          <w:numId w:val="53"/>
        </w:numPr>
        <w:spacing w:after="160" w:line="259" w:lineRule="auto"/>
      </w:pPr>
      <w:r w:rsidRPr="001D3E93">
        <w:t>p</w:t>
      </w:r>
      <w:r w:rsidR="00542530" w:rsidRPr="001D3E93">
        <w:t>roviding financial assistance to SME exporters has a strongly positive impact on their performance</w:t>
      </w:r>
      <w:r w:rsidR="00221AF6">
        <w:t>.</w:t>
      </w:r>
      <w:r w:rsidR="00542530" w:rsidRPr="001D3E93">
        <w:t xml:space="preserve"> </w:t>
      </w:r>
    </w:p>
    <w:p w14:paraId="6404A434" w14:textId="3FE9FDFD" w:rsidR="007648F1" w:rsidRPr="001D3E93" w:rsidRDefault="003C4502" w:rsidP="00BE681C">
      <w:pPr>
        <w:pStyle w:val="ListParagraph"/>
        <w:numPr>
          <w:ilvl w:val="0"/>
          <w:numId w:val="53"/>
        </w:numPr>
        <w:spacing w:after="160" w:line="259" w:lineRule="auto"/>
      </w:pPr>
      <w:r w:rsidRPr="001D3E93">
        <w:t>t</w:t>
      </w:r>
      <w:r w:rsidR="00542530" w:rsidRPr="001D3E93">
        <w:t>he principles of the EMDG scheme remain relevant</w:t>
      </w:r>
      <w:r w:rsidR="00221AF6">
        <w:t>.</w:t>
      </w:r>
      <w:r w:rsidR="00542530" w:rsidRPr="001D3E93">
        <w:t xml:space="preserve"> </w:t>
      </w:r>
    </w:p>
    <w:p w14:paraId="0A13143C" w14:textId="343E73C1" w:rsidR="007648F1" w:rsidRPr="001D3E93" w:rsidRDefault="003C4502" w:rsidP="00BE681C">
      <w:pPr>
        <w:pStyle w:val="ListParagraph"/>
        <w:numPr>
          <w:ilvl w:val="0"/>
          <w:numId w:val="53"/>
        </w:numPr>
        <w:spacing w:after="160" w:line="259" w:lineRule="auto"/>
      </w:pPr>
      <w:r w:rsidRPr="001D3E93">
        <w:t>e</w:t>
      </w:r>
      <w:r w:rsidR="00542530" w:rsidRPr="001D3E93">
        <w:t>ach SME’s export journey is unique, and assistance needs to reflect this</w:t>
      </w:r>
      <w:r w:rsidR="00221AF6">
        <w:t>.</w:t>
      </w:r>
      <w:r w:rsidR="00542530" w:rsidRPr="001D3E93">
        <w:t xml:space="preserve"> </w:t>
      </w:r>
    </w:p>
    <w:p w14:paraId="65537E70" w14:textId="1CDE0C44" w:rsidR="00DD3C50" w:rsidRPr="001D3E93" w:rsidRDefault="003C4502" w:rsidP="00BE681C">
      <w:pPr>
        <w:pStyle w:val="ListParagraph"/>
        <w:numPr>
          <w:ilvl w:val="0"/>
          <w:numId w:val="53"/>
        </w:numPr>
        <w:spacing w:after="160" w:line="259" w:lineRule="auto"/>
        <w:rPr>
          <w:rFonts w:ascii="Verdana" w:eastAsia="Times New Roman" w:hAnsi="Verdana" w:cs="Calibri"/>
          <w:lang w:eastAsia="en-AU"/>
        </w:rPr>
      </w:pPr>
      <w:r w:rsidRPr="001D3E93">
        <w:t>t</w:t>
      </w:r>
      <w:r w:rsidR="00542530" w:rsidRPr="001D3E93">
        <w:t>he administration process needs to be simplified and streamlined</w:t>
      </w:r>
      <w:r w:rsidR="0051793A" w:rsidRPr="001D3E93">
        <w:t>.</w:t>
      </w:r>
    </w:p>
    <w:p w14:paraId="0A14037A" w14:textId="6CA76E43"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The reformed Export Market Development Grants (EMDG 2.0) program commenced in </w:t>
      </w:r>
      <w:r w:rsidR="00A15035" w:rsidRPr="001D3E93">
        <w:rPr>
          <w:rFonts w:ascii="Verdana" w:eastAsia="Calibri" w:hAnsi="Verdana" w:cs="Arial"/>
          <w:lang w:val="en-US" w:eastAsia="en-US"/>
        </w:rPr>
        <w:t>the</w:t>
      </w:r>
      <w:r w:rsidRPr="001D3E93">
        <w:rPr>
          <w:rFonts w:ascii="Verdana" w:eastAsia="Calibri" w:hAnsi="Verdana" w:cs="Arial"/>
          <w:lang w:val="en-US" w:eastAsia="en-US"/>
        </w:rPr>
        <w:t xml:space="preserve"> 2021-2022 financial year. The eligibility-based non-competitive program was a shift from the old reimbursement scheme (EMDG 1.0)</w:t>
      </w:r>
      <w:r w:rsidR="009E4771" w:rsidRPr="001D3E93">
        <w:rPr>
          <w:rFonts w:ascii="Verdana" w:eastAsia="Calibri" w:hAnsi="Verdana" w:cs="Arial"/>
          <w:lang w:val="en-US" w:eastAsia="en-US"/>
        </w:rPr>
        <w:t>,</w:t>
      </w:r>
      <w:r w:rsidRPr="001D3E93">
        <w:rPr>
          <w:rFonts w:ascii="Verdana" w:eastAsia="Calibri" w:hAnsi="Verdana" w:cs="Arial"/>
          <w:lang w:val="en-US" w:eastAsia="en-US"/>
        </w:rPr>
        <w:t xml:space="preserve"> </w:t>
      </w:r>
      <w:r w:rsidR="00CB41D9" w:rsidRPr="001D3E93">
        <w:rPr>
          <w:rFonts w:ascii="Verdana" w:eastAsia="Calibri" w:hAnsi="Verdana" w:cs="Arial"/>
          <w:lang w:val="en-US" w:eastAsia="en-US"/>
        </w:rPr>
        <w:t>which</w:t>
      </w:r>
      <w:r w:rsidRPr="001D3E93">
        <w:rPr>
          <w:rFonts w:ascii="Verdana" w:eastAsia="Calibri" w:hAnsi="Verdana" w:cs="Arial"/>
          <w:lang w:val="en-US" w:eastAsia="en-US"/>
        </w:rPr>
        <w:t xml:space="preserve"> required exporters to spend their own funds, with Austrade then paying reimbursements after auditing receipts from the previous year’s eligible spending. </w:t>
      </w:r>
    </w:p>
    <w:p w14:paraId="3CD60E87" w14:textId="620B83FB" w:rsidR="00A0613F" w:rsidRPr="001D3E93" w:rsidRDefault="00B9611A"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EMDG 2.0 is designed as an upfront multi-year grant </w:t>
      </w:r>
      <w:r w:rsidR="00FF4FBD" w:rsidRPr="001D3E93">
        <w:rPr>
          <w:rFonts w:ascii="Verdana" w:eastAsia="Calibri" w:hAnsi="Verdana" w:cs="Arial"/>
          <w:lang w:val="en-US" w:eastAsia="en-US"/>
        </w:rPr>
        <w:t>program</w:t>
      </w:r>
      <w:r w:rsidRPr="001D3E93">
        <w:rPr>
          <w:rFonts w:ascii="Verdana" w:eastAsia="Calibri" w:hAnsi="Verdana" w:cs="Arial"/>
          <w:lang w:val="en-US" w:eastAsia="en-US"/>
        </w:rPr>
        <w:t>, with a simplified, streamlined application process designed to reduce the significant administrative burden of EMDG 1.0</w:t>
      </w:r>
      <w:r w:rsidR="002D4FA4" w:rsidRPr="001D3E93">
        <w:rPr>
          <w:rFonts w:ascii="Verdana" w:eastAsia="Calibri" w:hAnsi="Verdana" w:cs="Arial"/>
          <w:lang w:val="en-US" w:eastAsia="en-US"/>
        </w:rPr>
        <w:t>.</w:t>
      </w:r>
      <w:r w:rsidR="00D34B88" w:rsidRPr="001D3E93">
        <w:rPr>
          <w:rFonts w:ascii="Verdana" w:eastAsia="Calibri" w:hAnsi="Verdana" w:cs="Arial"/>
          <w:lang w:val="en-US" w:eastAsia="en-US"/>
        </w:rPr>
        <w:t xml:space="preserve"> EMDG 2.0</w:t>
      </w:r>
      <w:r w:rsidRPr="001D3E93">
        <w:rPr>
          <w:rFonts w:ascii="Verdana" w:eastAsia="Calibri" w:hAnsi="Verdana" w:cs="Arial"/>
          <w:lang w:val="en-US" w:eastAsia="en-US"/>
        </w:rPr>
        <w:t xml:space="preserve"> provide</w:t>
      </w:r>
      <w:r w:rsidR="00D34B88" w:rsidRPr="001D3E93">
        <w:rPr>
          <w:rFonts w:ascii="Verdana" w:eastAsia="Calibri" w:hAnsi="Verdana" w:cs="Arial"/>
          <w:lang w:val="en-US" w:eastAsia="en-US"/>
        </w:rPr>
        <w:t>s</w:t>
      </w:r>
      <w:r w:rsidRPr="001D3E93">
        <w:rPr>
          <w:rFonts w:ascii="Verdana" w:eastAsia="Calibri" w:hAnsi="Verdana" w:cs="Arial"/>
          <w:lang w:val="en-US" w:eastAsia="en-US"/>
        </w:rPr>
        <w:t xml:space="preserve"> upfront certainty of grant amounts and encourage</w:t>
      </w:r>
      <w:r w:rsidR="00D34B88" w:rsidRPr="001D3E93">
        <w:rPr>
          <w:rFonts w:ascii="Verdana" w:eastAsia="Calibri" w:hAnsi="Verdana" w:cs="Arial"/>
          <w:lang w:val="en-US" w:eastAsia="en-US"/>
        </w:rPr>
        <w:t>s</w:t>
      </w:r>
      <w:r w:rsidRPr="001D3E93">
        <w:rPr>
          <w:rFonts w:ascii="Verdana" w:eastAsia="Calibri" w:hAnsi="Verdana" w:cs="Arial"/>
          <w:lang w:val="en-US" w:eastAsia="en-US"/>
        </w:rPr>
        <w:t xml:space="preserve"> more small to medium-sized enterprises (SMEs) to export.</w:t>
      </w:r>
      <w:r w:rsidR="00265BC3" w:rsidRPr="001D3E93">
        <w:rPr>
          <w:rFonts w:ascii="Verdana" w:eastAsia="Verdana" w:hAnsi="Verdana" w:cs="Calibri"/>
          <w:color w:val="000000"/>
          <w:lang w:val="en-US" w:eastAsia="en-US"/>
        </w:rPr>
        <w:t xml:space="preserve"> </w:t>
      </w:r>
      <w:r w:rsidR="00A0613F" w:rsidRPr="001D3E93">
        <w:rPr>
          <w:rFonts w:ascii="Verdana" w:eastAsia="Calibri" w:hAnsi="Verdana" w:cs="Arial"/>
          <w:lang w:val="en-US" w:eastAsia="en-US"/>
        </w:rPr>
        <w:t>The last year of the EMDG 1.0 scheme coincided with the first year of EMDG 2.0 with both</w:t>
      </w:r>
      <w:r w:rsidR="00A0613F" w:rsidRPr="001D3E93" w:rsidDel="00D008C0">
        <w:rPr>
          <w:rFonts w:ascii="Verdana" w:eastAsia="Calibri" w:hAnsi="Verdana" w:cs="Arial"/>
          <w:lang w:val="en-US" w:eastAsia="en-US"/>
        </w:rPr>
        <w:t xml:space="preserve"> </w:t>
      </w:r>
      <w:r w:rsidR="00A0613F" w:rsidRPr="001D3E93">
        <w:rPr>
          <w:rFonts w:ascii="Verdana" w:eastAsia="Calibri" w:hAnsi="Verdana" w:cs="Arial"/>
          <w:lang w:val="en-US" w:eastAsia="en-US"/>
        </w:rPr>
        <w:t>programs running concurrently in 2021-2022.</w:t>
      </w:r>
    </w:p>
    <w:p w14:paraId="27328857" w14:textId="5339F014" w:rsidR="00F93BC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Exporters responded positively to the new program</w:t>
      </w:r>
      <w:r w:rsidR="00FB6D77" w:rsidRPr="001D3E93">
        <w:rPr>
          <w:rFonts w:ascii="Verdana" w:eastAsia="Calibri" w:hAnsi="Verdana" w:cs="Arial"/>
          <w:lang w:val="en-US" w:eastAsia="en-US"/>
        </w:rPr>
        <w:t xml:space="preserve"> </w:t>
      </w:r>
      <w:r w:rsidR="0086211E" w:rsidRPr="001D3E93">
        <w:rPr>
          <w:rFonts w:ascii="Verdana" w:eastAsia="Calibri" w:hAnsi="Verdana" w:cs="Arial"/>
          <w:lang w:val="en-US" w:eastAsia="en-US"/>
        </w:rPr>
        <w:t xml:space="preserve">but </w:t>
      </w:r>
      <w:r w:rsidR="00FB6D77" w:rsidRPr="001D3E93">
        <w:rPr>
          <w:rFonts w:ascii="Verdana" w:eastAsia="Calibri" w:hAnsi="Verdana" w:cs="Arial"/>
          <w:lang w:val="en-US" w:eastAsia="en-US"/>
        </w:rPr>
        <w:t xml:space="preserve">there </w:t>
      </w:r>
      <w:r w:rsidR="00D67B56" w:rsidRPr="001D3E93">
        <w:rPr>
          <w:rFonts w:ascii="Verdana" w:eastAsia="Calibri" w:hAnsi="Verdana" w:cs="Arial"/>
          <w:lang w:val="en-US" w:eastAsia="en-US"/>
        </w:rPr>
        <w:t>was</w:t>
      </w:r>
      <w:r w:rsidR="00FB6D77" w:rsidRPr="001D3E93">
        <w:rPr>
          <w:rFonts w:ascii="Verdana" w:eastAsia="Calibri" w:hAnsi="Verdana" w:cs="Arial"/>
          <w:lang w:val="en-US" w:eastAsia="en-US"/>
        </w:rPr>
        <w:t xml:space="preserve"> </w:t>
      </w:r>
      <w:r w:rsidR="002F43E9" w:rsidRPr="001D3E93">
        <w:rPr>
          <w:rFonts w:ascii="Verdana" w:eastAsia="Calibri" w:hAnsi="Verdana" w:cs="Arial"/>
          <w:lang w:val="en-US" w:eastAsia="en-US"/>
        </w:rPr>
        <w:t>also some criticism</w:t>
      </w:r>
      <w:r w:rsidR="00110384" w:rsidRPr="001D3E93">
        <w:rPr>
          <w:rFonts w:ascii="Verdana" w:eastAsia="Calibri" w:hAnsi="Verdana" w:cs="Arial"/>
          <w:lang w:val="en-US" w:eastAsia="en-US"/>
        </w:rPr>
        <w:t xml:space="preserve"> </w:t>
      </w:r>
      <w:r w:rsidR="00F93BCF" w:rsidRPr="001D3E93">
        <w:rPr>
          <w:rFonts w:ascii="Verdana" w:eastAsia="Verdana" w:hAnsi="Verdana" w:cs="Arial"/>
          <w:color w:val="000000"/>
          <w:lang w:val="en-US" w:eastAsia="en-US"/>
        </w:rPr>
        <w:t>of EMDG 2.0. This was a result of two programs, both EMDG 1.0 and EMDG 2.0</w:t>
      </w:r>
      <w:r w:rsidR="000B3F8A" w:rsidRPr="001D3E93">
        <w:rPr>
          <w:rFonts w:ascii="Verdana" w:eastAsia="Verdana" w:hAnsi="Verdana" w:cs="Arial"/>
          <w:color w:val="000000"/>
          <w:lang w:val="en-US" w:eastAsia="en-US"/>
        </w:rPr>
        <w:t>,</w:t>
      </w:r>
      <w:r w:rsidR="00F93BCF" w:rsidRPr="001D3E93">
        <w:rPr>
          <w:rFonts w:ascii="Verdana" w:eastAsia="Verdana" w:hAnsi="Verdana" w:cs="Arial"/>
          <w:color w:val="000000"/>
          <w:lang w:val="en-US" w:eastAsia="en-US"/>
        </w:rPr>
        <w:t xml:space="preserve"> </w:t>
      </w:r>
      <w:r w:rsidR="0058547B" w:rsidRPr="001D3E93">
        <w:rPr>
          <w:rFonts w:ascii="Verdana" w:eastAsia="Verdana" w:hAnsi="Verdana" w:cs="Arial"/>
          <w:color w:val="000000"/>
          <w:lang w:val="en-US" w:eastAsia="en-US"/>
        </w:rPr>
        <w:t>operating</w:t>
      </w:r>
      <w:r w:rsidR="00F93BCF" w:rsidRPr="001D3E93">
        <w:rPr>
          <w:rFonts w:ascii="Verdana" w:eastAsia="Verdana" w:hAnsi="Verdana" w:cs="Arial"/>
          <w:color w:val="000000"/>
          <w:lang w:val="en-US" w:eastAsia="en-US"/>
        </w:rPr>
        <w:t xml:space="preserve"> at the same time, confusion</w:t>
      </w:r>
      <w:r w:rsidR="00FB6D77" w:rsidRPr="001D3E93">
        <w:rPr>
          <w:rFonts w:ascii="Verdana" w:eastAsia="Verdana" w:hAnsi="Verdana" w:cs="Arial"/>
          <w:color w:val="000000"/>
          <w:lang w:val="en-US" w:eastAsia="en-US"/>
        </w:rPr>
        <w:t xml:space="preserve"> over</w:t>
      </w:r>
      <w:r w:rsidR="00F93BCF" w:rsidRPr="001D3E93">
        <w:rPr>
          <w:rFonts w:ascii="Verdana" w:eastAsia="Verdana" w:hAnsi="Verdana" w:cs="Arial"/>
          <w:color w:val="000000"/>
          <w:lang w:val="en-US" w:eastAsia="en-US"/>
        </w:rPr>
        <w:t xml:space="preserve"> EMDG 2.0 concepts, and </w:t>
      </w:r>
      <w:r w:rsidR="0058547B" w:rsidRPr="001D3E93">
        <w:rPr>
          <w:rFonts w:ascii="Verdana" w:eastAsia="Verdana" w:hAnsi="Verdana" w:cs="Arial"/>
          <w:color w:val="000000"/>
          <w:lang w:val="en-US" w:eastAsia="en-US"/>
        </w:rPr>
        <w:t xml:space="preserve">unmet expectations for higher </w:t>
      </w:r>
      <w:r w:rsidR="00F93BCF" w:rsidRPr="001D3E93">
        <w:rPr>
          <w:rFonts w:ascii="Verdana" w:eastAsia="Verdana" w:hAnsi="Verdana" w:cs="Arial"/>
          <w:color w:val="000000"/>
          <w:lang w:val="en-US" w:eastAsia="en-US"/>
        </w:rPr>
        <w:t xml:space="preserve">grant amounts for Round 1 </w:t>
      </w:r>
      <w:r w:rsidR="0058547B" w:rsidRPr="001D3E93">
        <w:rPr>
          <w:rFonts w:ascii="Verdana" w:eastAsia="Verdana" w:hAnsi="Verdana" w:cs="Arial"/>
          <w:color w:val="000000"/>
          <w:lang w:val="en-US" w:eastAsia="en-US"/>
        </w:rPr>
        <w:t>resulting from the</w:t>
      </w:r>
      <w:r w:rsidR="00F93BCF" w:rsidRPr="001D3E93">
        <w:rPr>
          <w:rFonts w:ascii="Verdana" w:eastAsia="Verdana" w:hAnsi="Verdana" w:cs="Arial"/>
          <w:color w:val="000000"/>
          <w:lang w:val="en-US" w:eastAsia="en-US"/>
        </w:rPr>
        <w:t xml:space="preserve"> high volume of applicants.</w:t>
      </w:r>
    </w:p>
    <w:p w14:paraId="6CFAE18E" w14:textId="42965E8B" w:rsidR="001579EF" w:rsidRPr="001D3E93" w:rsidRDefault="00FB6D77" w:rsidP="00B9611A">
      <w:pPr>
        <w:spacing w:after="160" w:line="259" w:lineRule="auto"/>
        <w:rPr>
          <w:rFonts w:ascii="Verdana" w:eastAsia="Verdana" w:hAnsi="Verdana" w:cs="Calibri"/>
          <w:color w:val="000000"/>
          <w:lang w:val="en-US" w:eastAsia="en-US"/>
        </w:rPr>
      </w:pPr>
      <w:r w:rsidRPr="001D3E93">
        <w:rPr>
          <w:rFonts w:ascii="Verdana" w:eastAsia="Calibri" w:hAnsi="Verdana" w:cs="Arial"/>
          <w:lang w:val="en-US" w:eastAsia="en-US"/>
        </w:rPr>
        <w:t xml:space="preserve">The </w:t>
      </w:r>
      <w:r w:rsidR="0083065E" w:rsidRPr="001D3E93">
        <w:rPr>
          <w:rFonts w:ascii="Verdana" w:eastAsia="Calibri" w:hAnsi="Verdana" w:cs="Arial"/>
          <w:lang w:val="en-US" w:eastAsia="en-US"/>
        </w:rPr>
        <w:t>G</w:t>
      </w:r>
      <w:r w:rsidRPr="001D3E93">
        <w:rPr>
          <w:rFonts w:ascii="Verdana" w:eastAsia="Calibri" w:hAnsi="Verdana" w:cs="Arial"/>
          <w:lang w:val="en-US" w:eastAsia="en-US"/>
        </w:rPr>
        <w:t xml:space="preserve">overnment acted swiftly to </w:t>
      </w:r>
      <w:r w:rsidR="00D06B67" w:rsidRPr="001D3E93">
        <w:rPr>
          <w:rFonts w:ascii="Verdana" w:eastAsia="Calibri" w:hAnsi="Verdana" w:cs="Arial"/>
          <w:lang w:val="en-US" w:eastAsia="en-US"/>
        </w:rPr>
        <w:t>investigate</w:t>
      </w:r>
      <w:r w:rsidRPr="001D3E93">
        <w:rPr>
          <w:rFonts w:ascii="Verdana" w:eastAsia="Calibri" w:hAnsi="Verdana" w:cs="Arial"/>
          <w:lang w:val="en-US" w:eastAsia="en-US"/>
        </w:rPr>
        <w:t xml:space="preserve"> these concerns</w:t>
      </w:r>
      <w:r w:rsidR="00206447" w:rsidRPr="001D3E93">
        <w:rPr>
          <w:rFonts w:ascii="Verdana" w:eastAsia="Calibri" w:hAnsi="Verdana" w:cs="Arial"/>
          <w:lang w:val="en-US" w:eastAsia="en-US"/>
        </w:rPr>
        <w:t>.</w:t>
      </w:r>
      <w:r w:rsidRPr="001D3E93">
        <w:rPr>
          <w:rFonts w:ascii="Verdana" w:eastAsia="Calibri" w:hAnsi="Verdana" w:cs="Arial"/>
          <w:lang w:val="en-US" w:eastAsia="en-US"/>
        </w:rPr>
        <w:t xml:space="preserve">  </w:t>
      </w:r>
      <w:r w:rsidR="00206447" w:rsidRPr="001D3E93">
        <w:rPr>
          <w:rFonts w:ascii="Verdana" w:eastAsia="Verdana" w:hAnsi="Verdana" w:cs="Calibri"/>
          <w:color w:val="000000" w:themeColor="text1"/>
          <w:lang w:val="en-US" w:eastAsia="en-US"/>
        </w:rPr>
        <w:t>O</w:t>
      </w:r>
      <w:r w:rsidR="00B9611A" w:rsidRPr="001D3E93">
        <w:rPr>
          <w:rFonts w:ascii="Verdana" w:eastAsia="Verdana" w:hAnsi="Verdana" w:cs="Calibri"/>
          <w:color w:val="000000" w:themeColor="text1"/>
          <w:lang w:val="en-US" w:eastAsia="en-US"/>
        </w:rPr>
        <w:t xml:space="preserve">n 3 August 2022, the Minister for Trade and Tourism, Senator the Hon Don Farrell, announced an Operational Review of EMDG. The </w:t>
      </w:r>
      <w:r w:rsidR="001668C4" w:rsidRPr="001D3E93">
        <w:rPr>
          <w:rFonts w:ascii="Verdana" w:eastAsia="Verdana" w:hAnsi="Verdana" w:cs="Calibri"/>
          <w:color w:val="000000" w:themeColor="text1"/>
          <w:lang w:val="en-US" w:eastAsia="en-US"/>
        </w:rPr>
        <w:t>operational r</w:t>
      </w:r>
      <w:r w:rsidR="00B9611A" w:rsidRPr="001D3E93">
        <w:rPr>
          <w:rFonts w:ascii="Verdana" w:eastAsia="Verdana" w:hAnsi="Verdana" w:cs="Calibri"/>
          <w:color w:val="000000" w:themeColor="text1"/>
          <w:lang w:val="en-US" w:eastAsia="en-US"/>
        </w:rPr>
        <w:t>eview considers policy settings, client experience, systems, processes and communications to help improve delivery of the program.</w:t>
      </w:r>
    </w:p>
    <w:p w14:paraId="7AF81526" w14:textId="4DDA84AE"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Round 1 of EMDG 2.0 </w:t>
      </w:r>
      <w:r w:rsidR="00404F2B" w:rsidRPr="001D3E93">
        <w:rPr>
          <w:rFonts w:ascii="Verdana" w:eastAsia="Calibri" w:hAnsi="Verdana" w:cs="Arial"/>
          <w:lang w:val="en-US" w:eastAsia="en-US"/>
        </w:rPr>
        <w:t>(</w:t>
      </w:r>
      <w:r w:rsidR="00212A16" w:rsidRPr="001D3E93">
        <w:rPr>
          <w:rFonts w:ascii="Verdana" w:eastAsia="Calibri" w:hAnsi="Verdana" w:cs="Arial"/>
          <w:lang w:val="en-US" w:eastAsia="en-US"/>
        </w:rPr>
        <w:t>that</w:t>
      </w:r>
      <w:r w:rsidRPr="001D3E93">
        <w:rPr>
          <w:rFonts w:ascii="Verdana" w:eastAsia="Calibri" w:hAnsi="Verdana" w:cs="Arial"/>
          <w:lang w:val="en-US" w:eastAsia="en-US"/>
        </w:rPr>
        <w:t xml:space="preserve"> opened for applications in August 2021</w:t>
      </w:r>
      <w:r w:rsidR="004C0173" w:rsidRPr="001D3E93">
        <w:rPr>
          <w:rFonts w:ascii="Verdana" w:eastAsia="Calibri" w:hAnsi="Verdana" w:cs="Arial"/>
          <w:lang w:val="en-US" w:eastAsia="en-US"/>
        </w:rPr>
        <w:t xml:space="preserve"> and closed in November 2021</w:t>
      </w:r>
      <w:r w:rsidR="00841192">
        <w:rPr>
          <w:rFonts w:ascii="Verdana" w:eastAsia="Calibri" w:hAnsi="Verdana" w:cs="Arial"/>
          <w:lang w:val="en-US" w:eastAsia="en-US"/>
        </w:rPr>
        <w:t>)</w:t>
      </w:r>
      <w:r w:rsidRPr="001D3E93">
        <w:rPr>
          <w:rFonts w:ascii="Verdana" w:eastAsia="Calibri" w:hAnsi="Verdana" w:cs="Arial"/>
          <w:lang w:val="en-US" w:eastAsia="en-US"/>
        </w:rPr>
        <w:t xml:space="preserve"> attracted an unprecedented 5,384 applications. The program reached its small exporter target market</w:t>
      </w:r>
      <w:r w:rsidR="00BB651D" w:rsidRPr="001D3E93">
        <w:rPr>
          <w:rFonts w:ascii="Verdana" w:eastAsia="Calibri" w:hAnsi="Verdana" w:cs="Arial"/>
          <w:lang w:val="en-US" w:eastAsia="en-US"/>
        </w:rPr>
        <w:t xml:space="preserve"> with</w:t>
      </w:r>
      <w:r w:rsidRPr="001D3E93">
        <w:rPr>
          <w:rFonts w:ascii="Verdana" w:eastAsia="Calibri" w:hAnsi="Verdana" w:cs="Arial"/>
          <w:lang w:val="en-US" w:eastAsia="en-US"/>
        </w:rPr>
        <w:t xml:space="preserve"> 89 per cent of businesses ha</w:t>
      </w:r>
      <w:r w:rsidR="00BB651D" w:rsidRPr="001D3E93">
        <w:rPr>
          <w:rFonts w:ascii="Verdana" w:eastAsia="Calibri" w:hAnsi="Verdana" w:cs="Arial"/>
          <w:lang w:val="en-US" w:eastAsia="en-US"/>
        </w:rPr>
        <w:t>ving</w:t>
      </w:r>
      <w:r w:rsidRPr="001D3E93">
        <w:rPr>
          <w:rFonts w:ascii="Verdana" w:eastAsia="Calibri" w:hAnsi="Verdana" w:cs="Arial"/>
          <w:lang w:val="en-US" w:eastAsia="en-US"/>
        </w:rPr>
        <w:t xml:space="preserve"> an annual turnover of less than $5 million. By </w:t>
      </w:r>
      <w:r w:rsidR="00DD20D6" w:rsidRPr="001D3E93">
        <w:rPr>
          <w:rFonts w:ascii="Verdana" w:eastAsia="Calibri" w:hAnsi="Verdana" w:cs="Arial"/>
          <w:lang w:val="en-US" w:eastAsia="en-US"/>
        </w:rPr>
        <w:t xml:space="preserve">late December 2021, Austrade had </w:t>
      </w:r>
      <w:r w:rsidR="00263A1B" w:rsidRPr="001D3E93">
        <w:rPr>
          <w:rFonts w:ascii="Verdana" w:eastAsia="Calibri" w:hAnsi="Verdana" w:cs="Arial"/>
          <w:lang w:val="en-US" w:eastAsia="en-US"/>
        </w:rPr>
        <w:t>notified</w:t>
      </w:r>
      <w:r w:rsidR="00DD20D6" w:rsidRPr="001D3E93">
        <w:rPr>
          <w:rFonts w:ascii="Verdana" w:eastAsia="Calibri" w:hAnsi="Verdana" w:cs="Arial"/>
          <w:lang w:val="en-US" w:eastAsia="en-US"/>
        </w:rPr>
        <w:t xml:space="preserve"> all Round 1 applicants of the expected grant amounts</w:t>
      </w:r>
      <w:r w:rsidR="001A6B55" w:rsidRPr="001D3E93">
        <w:rPr>
          <w:rFonts w:ascii="Verdana" w:eastAsia="Calibri" w:hAnsi="Verdana" w:cs="Arial"/>
          <w:lang w:val="en-US" w:eastAsia="en-US"/>
        </w:rPr>
        <w:t xml:space="preserve"> and by F</w:t>
      </w:r>
      <w:r w:rsidRPr="001D3E93">
        <w:rPr>
          <w:rFonts w:ascii="Verdana" w:eastAsia="Calibri" w:hAnsi="Verdana" w:cs="Arial"/>
          <w:lang w:val="en-US" w:eastAsia="en-US"/>
        </w:rPr>
        <w:t xml:space="preserve">ebruary 2022, their grant outcomes. For the first time in the program’s history, recipients knew their grant amounts upfront and exporters could spend funds marketing their export products and services with certainty </w:t>
      </w:r>
      <w:r w:rsidR="00C616D1" w:rsidRPr="001D3E93">
        <w:rPr>
          <w:rFonts w:ascii="Verdana" w:eastAsia="Calibri" w:hAnsi="Verdana" w:cs="Arial"/>
          <w:lang w:val="en-US" w:eastAsia="en-US"/>
        </w:rPr>
        <w:t>about</w:t>
      </w:r>
      <w:r w:rsidRPr="001D3E93">
        <w:rPr>
          <w:rFonts w:ascii="Verdana" w:eastAsia="Calibri" w:hAnsi="Verdana" w:cs="Arial"/>
          <w:lang w:val="en-US" w:eastAsia="en-US"/>
        </w:rPr>
        <w:t xml:space="preserve"> the level of Government support</w:t>
      </w:r>
      <w:r w:rsidR="00530B9F" w:rsidRPr="001D3E93">
        <w:rPr>
          <w:rFonts w:ascii="Verdana" w:eastAsia="Calibri" w:hAnsi="Verdana" w:cs="Arial"/>
          <w:lang w:val="en-US" w:eastAsia="en-US"/>
        </w:rPr>
        <w:t xml:space="preserve"> they would receive</w:t>
      </w:r>
      <w:r w:rsidRPr="001D3E93">
        <w:rPr>
          <w:rFonts w:ascii="Verdana" w:eastAsia="Calibri" w:hAnsi="Verdana" w:cs="Arial"/>
          <w:lang w:val="en-US" w:eastAsia="en-US"/>
        </w:rPr>
        <w:t>.</w:t>
      </w:r>
    </w:p>
    <w:p w14:paraId="1A505748" w14:textId="4CBB8A5D" w:rsidR="00A0613F" w:rsidRPr="001D3E93" w:rsidRDefault="008F48B9" w:rsidP="58EC4746">
      <w:pPr>
        <w:spacing w:after="160" w:line="259" w:lineRule="auto"/>
        <w:rPr>
          <w:rFonts w:ascii="Verdana" w:eastAsia="Calibri" w:hAnsi="Verdana" w:cs="Arial"/>
          <w:lang w:val="en-US" w:eastAsia="en-US"/>
        </w:rPr>
      </w:pPr>
      <w:r w:rsidRPr="001D3E93">
        <w:rPr>
          <w:rFonts w:ascii="Verdana" w:eastAsia="Calibri" w:hAnsi="Verdana" w:cs="Arial"/>
          <w:lang w:val="en-US" w:eastAsia="en-US"/>
        </w:rPr>
        <w:t>Under E</w:t>
      </w:r>
      <w:r w:rsidR="00D549E4" w:rsidRPr="001D3E93">
        <w:rPr>
          <w:rFonts w:ascii="Verdana" w:eastAsia="Calibri" w:hAnsi="Verdana" w:cs="Arial"/>
          <w:lang w:val="en-US" w:eastAsia="en-US"/>
        </w:rPr>
        <w:t>MDG 2.0</w:t>
      </w:r>
      <w:r w:rsidR="00967C6A" w:rsidRPr="001D3E93">
        <w:rPr>
          <w:rFonts w:ascii="Verdana" w:eastAsia="Calibri" w:hAnsi="Verdana" w:cs="Arial"/>
          <w:lang w:val="en-US" w:eastAsia="en-US"/>
        </w:rPr>
        <w:t xml:space="preserve">, </w:t>
      </w:r>
      <w:r w:rsidR="000918DE" w:rsidRPr="001D3E93">
        <w:rPr>
          <w:rFonts w:ascii="Verdana" w:eastAsia="Calibri" w:hAnsi="Verdana" w:cs="Arial"/>
          <w:lang w:val="en-US" w:eastAsia="en-US"/>
        </w:rPr>
        <w:t>the</w:t>
      </w:r>
      <w:r w:rsidR="00BE75A5" w:rsidRPr="001D3E93">
        <w:rPr>
          <w:rFonts w:ascii="Verdana" w:eastAsia="Calibri" w:hAnsi="Verdana" w:cs="Arial"/>
          <w:lang w:val="en-US" w:eastAsia="en-US"/>
        </w:rPr>
        <w:t xml:space="preserve"> </w:t>
      </w:r>
      <w:r w:rsidR="00A0613F" w:rsidRPr="001D3E93">
        <w:rPr>
          <w:rFonts w:ascii="Verdana" w:eastAsia="Calibri" w:hAnsi="Verdana" w:cs="Arial"/>
          <w:lang w:val="en-US" w:eastAsia="en-US"/>
        </w:rPr>
        <w:t xml:space="preserve">grant amounts did not meet stakeholders’ expectations. The multi-year grants, which open for applications on an annual basis, </w:t>
      </w:r>
      <w:r w:rsidR="00B70B5B" w:rsidRPr="001D3E93">
        <w:rPr>
          <w:rFonts w:ascii="Verdana" w:eastAsia="Calibri" w:hAnsi="Verdana" w:cs="Arial"/>
          <w:lang w:val="en-US" w:eastAsia="en-US"/>
        </w:rPr>
        <w:t>increases</w:t>
      </w:r>
      <w:r w:rsidR="00A0613F" w:rsidRPr="001D3E93">
        <w:rPr>
          <w:rFonts w:ascii="Verdana" w:eastAsia="Calibri" w:hAnsi="Verdana" w:cs="Arial"/>
          <w:lang w:val="en-US" w:eastAsia="en-US"/>
        </w:rPr>
        <w:t xml:space="preserve"> the volume of applicants in the eligibility pool. </w:t>
      </w:r>
      <w:r w:rsidR="6581189A" w:rsidRPr="001D3E93">
        <w:rPr>
          <w:rFonts w:ascii="Verdana" w:eastAsia="Verdana" w:hAnsi="Verdana" w:cs="Verdana"/>
          <w:lang w:val="en-US"/>
        </w:rPr>
        <w:t>This means that the budget available may not sufficiently match the level of interest in the program or deliver</w:t>
      </w:r>
      <w:r w:rsidR="00DA2282" w:rsidRPr="001D3E93">
        <w:rPr>
          <w:rFonts w:ascii="Verdana" w:eastAsia="Calibri" w:hAnsi="Verdana" w:cs="Arial"/>
          <w:lang w:val="en-US" w:eastAsia="en-US"/>
        </w:rPr>
        <w:t xml:space="preserve"> amounts in line with stakeholder expectations</w:t>
      </w:r>
      <w:r w:rsidR="00C94083" w:rsidRPr="001D3E93">
        <w:rPr>
          <w:rFonts w:ascii="Verdana" w:eastAsia="Calibri" w:hAnsi="Verdana" w:cs="Arial"/>
          <w:lang w:val="en-US" w:eastAsia="en-US"/>
        </w:rPr>
        <w:t xml:space="preserve"> or requested amounts</w:t>
      </w:r>
      <w:r w:rsidR="00DA2282" w:rsidRPr="001D3E93">
        <w:rPr>
          <w:rFonts w:ascii="Verdana" w:eastAsia="Calibri" w:hAnsi="Verdana" w:cs="Arial"/>
          <w:lang w:val="en-US" w:eastAsia="en-US"/>
        </w:rPr>
        <w:t xml:space="preserve">. </w:t>
      </w:r>
      <w:r w:rsidR="00A93829" w:rsidRPr="001D3E93">
        <w:rPr>
          <w:rFonts w:ascii="Verdana" w:eastAsia="Calibri" w:hAnsi="Verdana" w:cs="Arial"/>
          <w:lang w:val="en-US" w:eastAsia="en-US"/>
        </w:rPr>
        <w:t>I</w:t>
      </w:r>
      <w:r w:rsidR="00AD55CD" w:rsidRPr="001D3E93">
        <w:rPr>
          <w:rFonts w:ascii="Verdana" w:eastAsia="Calibri" w:hAnsi="Verdana" w:cs="Arial"/>
          <w:lang w:val="en-US" w:eastAsia="en-US"/>
        </w:rPr>
        <w:t>t is predicted that application numbers will increase</w:t>
      </w:r>
      <w:r w:rsidR="002308D4" w:rsidRPr="001D3E93">
        <w:rPr>
          <w:rFonts w:ascii="Verdana" w:eastAsia="Calibri" w:hAnsi="Verdana" w:cs="Arial"/>
          <w:lang w:val="en-US" w:eastAsia="en-US"/>
        </w:rPr>
        <w:t xml:space="preserve"> and therefore </w:t>
      </w:r>
      <w:r w:rsidR="00A0613F" w:rsidRPr="001D3E93">
        <w:rPr>
          <w:rFonts w:ascii="Verdana" w:eastAsia="Calibri" w:hAnsi="Verdana" w:cs="Arial"/>
          <w:lang w:val="en-US" w:eastAsia="en-US"/>
        </w:rPr>
        <w:t>grant amounts will continue to drop</w:t>
      </w:r>
      <w:r w:rsidR="002308D4" w:rsidRPr="001D3E93">
        <w:rPr>
          <w:rFonts w:ascii="Verdana" w:eastAsia="Calibri" w:hAnsi="Verdana" w:cs="Arial"/>
          <w:lang w:val="en-US" w:eastAsia="en-US"/>
        </w:rPr>
        <w:t>. This</w:t>
      </w:r>
      <w:r w:rsidR="00A0613F" w:rsidRPr="001D3E93">
        <w:rPr>
          <w:rFonts w:ascii="Verdana" w:eastAsia="Calibri" w:hAnsi="Verdana" w:cs="Arial"/>
          <w:lang w:val="en-US" w:eastAsia="en-US"/>
        </w:rPr>
        <w:t xml:space="preserve"> need</w:t>
      </w:r>
      <w:r w:rsidR="002308D4" w:rsidRPr="001D3E93">
        <w:rPr>
          <w:rFonts w:ascii="Verdana" w:eastAsia="Calibri" w:hAnsi="Verdana" w:cs="Arial"/>
          <w:lang w:val="en-US" w:eastAsia="en-US"/>
        </w:rPr>
        <w:t>s</w:t>
      </w:r>
      <w:r w:rsidR="00A0613F" w:rsidRPr="001D3E93">
        <w:rPr>
          <w:rFonts w:ascii="Verdana" w:eastAsia="Calibri" w:hAnsi="Verdana" w:cs="Arial"/>
          <w:lang w:val="en-US" w:eastAsia="en-US"/>
        </w:rPr>
        <w:t xml:space="preserve"> to be managed</w:t>
      </w:r>
      <w:r w:rsidR="002308D4" w:rsidRPr="001D3E93">
        <w:rPr>
          <w:rFonts w:ascii="Verdana" w:eastAsia="Calibri" w:hAnsi="Verdana" w:cs="Arial"/>
          <w:lang w:val="en-US" w:eastAsia="en-US"/>
        </w:rPr>
        <w:t xml:space="preserve"> for future rounds</w:t>
      </w:r>
      <w:r w:rsidR="00A0613F" w:rsidRPr="001D3E93">
        <w:rPr>
          <w:rFonts w:ascii="Verdana" w:eastAsia="Calibri" w:hAnsi="Verdana" w:cs="Arial"/>
          <w:lang w:val="en-US" w:eastAsia="en-US"/>
        </w:rPr>
        <w:t xml:space="preserve">.    </w:t>
      </w:r>
    </w:p>
    <w:p w14:paraId="17311E08" w14:textId="131C1408" w:rsidR="00A0613F" w:rsidRPr="001D3E93" w:rsidRDefault="00FB26C8"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lastRenderedPageBreak/>
        <w:t>T</w:t>
      </w:r>
      <w:r w:rsidR="00A0613F" w:rsidRPr="001D3E93">
        <w:rPr>
          <w:rFonts w:ascii="Verdana" w:eastAsia="Calibri" w:hAnsi="Verdana" w:cs="Arial"/>
          <w:lang w:val="en-US" w:eastAsia="en-US"/>
        </w:rPr>
        <w:t>he EMDG 2.0 design, including multi-year grant agreements, is stretching the program to the point it is in danger of running at a deficit in 202</w:t>
      </w:r>
      <w:r w:rsidR="007504A8" w:rsidRPr="001D3E93">
        <w:rPr>
          <w:rFonts w:ascii="Verdana" w:eastAsia="Calibri" w:hAnsi="Verdana" w:cs="Arial"/>
          <w:lang w:val="en-US" w:eastAsia="en-US"/>
        </w:rPr>
        <w:t>5</w:t>
      </w:r>
      <w:r w:rsidR="00A0613F" w:rsidRPr="001D3E93">
        <w:rPr>
          <w:rFonts w:ascii="Verdana" w:eastAsia="Calibri" w:hAnsi="Verdana" w:cs="Arial"/>
          <w:lang w:val="en-US" w:eastAsia="en-US"/>
        </w:rPr>
        <w:t>-</w:t>
      </w:r>
      <w:r w:rsidR="00235A00" w:rsidRPr="001D3E93">
        <w:rPr>
          <w:rFonts w:ascii="Verdana" w:eastAsia="Calibri" w:hAnsi="Verdana" w:cs="Arial"/>
          <w:lang w:val="en-US" w:eastAsia="en-US"/>
        </w:rPr>
        <w:t>20</w:t>
      </w:r>
      <w:r w:rsidR="00A0613F" w:rsidRPr="001D3E93">
        <w:rPr>
          <w:rFonts w:ascii="Verdana" w:eastAsia="Calibri" w:hAnsi="Verdana" w:cs="Arial"/>
          <w:lang w:val="en-US" w:eastAsia="en-US"/>
        </w:rPr>
        <w:t>2</w:t>
      </w:r>
      <w:r w:rsidR="007504A8" w:rsidRPr="001D3E93">
        <w:rPr>
          <w:rFonts w:ascii="Verdana" w:eastAsia="Calibri" w:hAnsi="Verdana" w:cs="Arial"/>
          <w:lang w:val="en-US" w:eastAsia="en-US"/>
        </w:rPr>
        <w:t>6</w:t>
      </w:r>
      <w:r w:rsidR="00A0613F" w:rsidRPr="001D3E93">
        <w:rPr>
          <w:rFonts w:ascii="Verdana" w:eastAsia="Calibri" w:hAnsi="Verdana" w:cs="Arial"/>
          <w:lang w:val="en-US" w:eastAsia="en-US"/>
        </w:rPr>
        <w:t xml:space="preserve">. The current program design needs to be refined to ensure the program can continue to operate annually and </w:t>
      </w:r>
      <w:r w:rsidR="00214DC4" w:rsidRPr="001D3E93">
        <w:rPr>
          <w:rFonts w:ascii="Verdana" w:eastAsia="Calibri" w:hAnsi="Verdana" w:cs="Arial"/>
          <w:lang w:val="en-US" w:eastAsia="en-US"/>
        </w:rPr>
        <w:t>achieve its objectives</w:t>
      </w:r>
      <w:r w:rsidR="00A0613F" w:rsidRPr="001D3E93">
        <w:rPr>
          <w:rFonts w:ascii="Verdana" w:eastAsia="Calibri" w:hAnsi="Verdana" w:cs="Arial"/>
          <w:lang w:val="en-US" w:eastAsia="en-US"/>
        </w:rPr>
        <w:t xml:space="preserve"> within its appropriation.  </w:t>
      </w:r>
    </w:p>
    <w:p w14:paraId="5259C736" w14:textId="6CD84CC3" w:rsidR="00A0613F" w:rsidRPr="001D3E93" w:rsidRDefault="00A0613F" w:rsidP="00A0613F">
      <w:pPr>
        <w:spacing w:after="160" w:line="259" w:lineRule="auto"/>
        <w:rPr>
          <w:rFonts w:ascii="Verdana" w:eastAsia="MS Mincho" w:hAnsi="Verdana" w:cs="Arial"/>
          <w:lang w:val="en-US" w:eastAsia="en-US"/>
        </w:rPr>
      </w:pPr>
      <w:r w:rsidRPr="001D3E93">
        <w:rPr>
          <w:rFonts w:ascii="Verdana" w:eastAsia="Calibri" w:hAnsi="Verdana" w:cs="Arial"/>
          <w:lang w:val="en-US" w:eastAsia="en-US"/>
        </w:rPr>
        <w:t>During early 2022, Austrade sought fe</w:t>
      </w:r>
      <w:r w:rsidRPr="001D3E93">
        <w:rPr>
          <w:rFonts w:ascii="Verdana" w:eastAsia="MS Mincho" w:hAnsi="Verdana" w:cs="Arial"/>
          <w:lang w:val="en-US" w:eastAsia="en-US"/>
        </w:rPr>
        <w:t xml:space="preserve">edback from stakeholders about Round 1 of the </w:t>
      </w:r>
      <w:r w:rsidR="74334744" w:rsidRPr="001D3E93">
        <w:rPr>
          <w:rFonts w:ascii="Verdana" w:eastAsia="MS Mincho" w:hAnsi="Verdana" w:cs="Arial"/>
          <w:lang w:val="en-US" w:eastAsia="en-US"/>
        </w:rPr>
        <w:t xml:space="preserve">EMDG 2.0 </w:t>
      </w:r>
      <w:r w:rsidRPr="001D3E93">
        <w:rPr>
          <w:rFonts w:ascii="Verdana" w:eastAsia="MS Mincho" w:hAnsi="Verdana" w:cs="Arial"/>
          <w:lang w:val="en-US" w:eastAsia="en-US"/>
        </w:rPr>
        <w:t xml:space="preserve">program in order to make improvements for Round 2. In August and September 2022, under the scope of this review, Austrade facilitated 53 external interviews (through independent facilitator, John Angley), internal (within Austrade) interviews and a survey of EMDG 2.0 Round 1 </w:t>
      </w:r>
      <w:r w:rsidR="00CB4971" w:rsidRPr="001D3E93">
        <w:rPr>
          <w:rFonts w:ascii="Verdana" w:eastAsia="MS Mincho" w:hAnsi="Verdana" w:cs="Arial"/>
          <w:lang w:val="en-US" w:eastAsia="en-US"/>
        </w:rPr>
        <w:t>stakeholders</w:t>
      </w:r>
      <w:r w:rsidRPr="001D3E93">
        <w:rPr>
          <w:rFonts w:ascii="Verdana" w:eastAsia="MS Mincho" w:hAnsi="Verdana" w:cs="Arial"/>
          <w:lang w:val="en-US" w:eastAsia="en-US"/>
        </w:rPr>
        <w:t xml:space="preserve"> with 452 responses. In summary, we heard the following:</w:t>
      </w:r>
    </w:p>
    <w:p w14:paraId="38536357" w14:textId="13DCD620" w:rsidR="00027FC0" w:rsidRPr="00731183" w:rsidRDefault="00CA6CD3" w:rsidP="00843DA3">
      <w:pPr>
        <w:spacing w:before="160" w:after="60" w:line="259" w:lineRule="auto"/>
        <w:outlineLvl w:val="2"/>
        <w:rPr>
          <w:rFonts w:ascii="Verdana" w:eastAsia="MS Mincho" w:hAnsi="Verdana" w:cs="Arial"/>
          <w:sz w:val="24"/>
          <w:szCs w:val="24"/>
          <w:lang w:val="en-US" w:eastAsia="en-US"/>
        </w:rPr>
      </w:pPr>
      <w:bookmarkStart w:id="24" w:name="_Toc118366636"/>
      <w:bookmarkStart w:id="25" w:name="_Toc118703406"/>
      <w:bookmarkStart w:id="26" w:name="_Toc120547683"/>
      <w:bookmarkStart w:id="27" w:name="_Toc124422496"/>
      <w:bookmarkStart w:id="28" w:name="_Toc124433365"/>
      <w:r w:rsidRPr="00731183">
        <w:rPr>
          <w:rStyle w:val="Heading3Char"/>
          <w:b w:val="0"/>
          <w:bCs w:val="0"/>
          <w:caps w:val="0"/>
          <w:sz w:val="24"/>
          <w:szCs w:val="24"/>
        </w:rPr>
        <w:t>Program design</w:t>
      </w:r>
      <w:bookmarkEnd w:id="24"/>
      <w:bookmarkEnd w:id="25"/>
      <w:bookmarkEnd w:id="26"/>
      <w:bookmarkEnd w:id="27"/>
      <w:bookmarkEnd w:id="28"/>
      <w:r w:rsidR="004249F3" w:rsidRPr="00731183">
        <w:rPr>
          <w:rFonts w:ascii="Verdana" w:eastAsia="MS Mincho" w:hAnsi="Verdana" w:cs="Arial"/>
          <w:sz w:val="24"/>
          <w:szCs w:val="24"/>
          <w:lang w:val="en-US" w:eastAsia="en-US"/>
        </w:rPr>
        <w:t xml:space="preserve"> </w:t>
      </w:r>
    </w:p>
    <w:p w14:paraId="593C4632" w14:textId="10349DF5" w:rsidR="00A0613F" w:rsidRPr="001D3E93" w:rsidRDefault="00C3432B" w:rsidP="00027FC0">
      <w:pPr>
        <w:spacing w:after="160" w:line="259" w:lineRule="auto"/>
        <w:rPr>
          <w:rFonts w:ascii="Verdana" w:eastAsia="MS Mincho" w:hAnsi="Verdana" w:cs="Arial"/>
          <w:lang w:val="en-US" w:eastAsia="en-US"/>
        </w:rPr>
      </w:pPr>
      <w:r w:rsidRPr="001D3E93">
        <w:rPr>
          <w:rFonts w:ascii="Verdana" w:eastAsia="MS Mincho" w:hAnsi="Verdana" w:cs="Arial"/>
          <w:color w:val="000000"/>
          <w:lang w:val="en-US" w:eastAsia="en-US"/>
        </w:rPr>
        <w:t>While e</w:t>
      </w:r>
      <w:r w:rsidR="00A0613F" w:rsidRPr="001D3E93">
        <w:rPr>
          <w:rFonts w:ascii="Verdana" w:eastAsia="MS Mincho" w:hAnsi="Verdana" w:cs="Arial"/>
          <w:color w:val="000000"/>
          <w:lang w:val="en-US" w:eastAsia="en-US"/>
        </w:rPr>
        <w:t>xport businesses are positive about a simplified program that facilitates SME eligibility</w:t>
      </w:r>
      <w:r w:rsidRPr="001D3E93">
        <w:rPr>
          <w:rFonts w:ascii="Verdana" w:eastAsia="MS Mincho" w:hAnsi="Verdana" w:cs="Arial"/>
          <w:color w:val="000000"/>
          <w:lang w:val="en-US" w:eastAsia="en-US"/>
        </w:rPr>
        <w:t>, some issues were identified</w:t>
      </w:r>
      <w:r w:rsidR="00A0613F" w:rsidRPr="001D3E93">
        <w:rPr>
          <w:rFonts w:ascii="Verdana" w:eastAsia="MS Mincho" w:hAnsi="Verdana" w:cs="Arial"/>
          <w:color w:val="000000"/>
          <w:lang w:val="en-US" w:eastAsia="en-US"/>
        </w:rPr>
        <w:t xml:space="preserve">. </w:t>
      </w:r>
    </w:p>
    <w:p w14:paraId="785DD55C" w14:textId="330838C4" w:rsidR="00A0613F" w:rsidRPr="001D3E93" w:rsidRDefault="00A0613F" w:rsidP="001C5FD2">
      <w:pPr>
        <w:numPr>
          <w:ilvl w:val="0"/>
          <w:numId w:val="41"/>
        </w:numPr>
        <w:spacing w:line="259" w:lineRule="auto"/>
        <w:ind w:left="357" w:hanging="357"/>
        <w:rPr>
          <w:rFonts w:ascii="Verdana" w:eastAsia="MS Mincho" w:hAnsi="Verdana" w:cs="Arial"/>
          <w:lang w:val="en-US" w:eastAsia="en-US"/>
        </w:rPr>
      </w:pPr>
      <w:r w:rsidRPr="001D3E93">
        <w:rPr>
          <w:rFonts w:ascii="Verdana" w:eastAsia="MS Mincho" w:hAnsi="Verdana" w:cs="Arial"/>
          <w:color w:val="000000"/>
          <w:lang w:val="en-US" w:eastAsia="en-US"/>
        </w:rPr>
        <w:t xml:space="preserve">Grant amounts were </w:t>
      </w:r>
      <w:r w:rsidR="00517828" w:rsidRPr="001D3E93">
        <w:rPr>
          <w:rFonts w:ascii="Verdana" w:eastAsia="MS Mincho" w:hAnsi="Verdana" w:cs="Arial"/>
          <w:color w:val="000000"/>
          <w:lang w:val="en-US" w:eastAsia="en-US"/>
        </w:rPr>
        <w:t xml:space="preserve">considered </w:t>
      </w:r>
      <w:r w:rsidRPr="001D3E93">
        <w:rPr>
          <w:rFonts w:ascii="Verdana" w:eastAsia="MS Mincho" w:hAnsi="Verdana" w:cs="Arial"/>
          <w:color w:val="000000"/>
          <w:lang w:val="en-US" w:eastAsia="en-US"/>
        </w:rPr>
        <w:t>too low</w:t>
      </w:r>
      <w:r w:rsidRPr="001D3E93" w:rsidDel="007A1082">
        <w:rPr>
          <w:rFonts w:ascii="Verdana" w:eastAsia="MS Mincho" w:hAnsi="Verdana" w:cs="Arial"/>
          <w:color w:val="000000"/>
          <w:lang w:val="en-US" w:eastAsia="en-US"/>
        </w:rPr>
        <w:t xml:space="preserve"> and likely</w:t>
      </w:r>
      <w:r w:rsidRPr="001D3E93">
        <w:rPr>
          <w:rFonts w:ascii="Verdana" w:eastAsia="MS Mincho" w:hAnsi="Verdana" w:cs="Arial"/>
          <w:color w:val="000000"/>
          <w:lang w:val="en-US" w:eastAsia="en-US"/>
        </w:rPr>
        <w:t xml:space="preserve"> to decrease for </w:t>
      </w:r>
      <w:r w:rsidR="00BF3C0C" w:rsidRPr="001D3E93">
        <w:rPr>
          <w:rFonts w:ascii="Verdana" w:eastAsia="MS Mincho" w:hAnsi="Verdana" w:cs="Arial"/>
          <w:color w:val="000000"/>
          <w:lang w:val="en-US" w:eastAsia="en-US"/>
        </w:rPr>
        <w:t xml:space="preserve">applicants in </w:t>
      </w:r>
      <w:r w:rsidR="00B4269F" w:rsidRPr="001D3E93">
        <w:rPr>
          <w:rFonts w:ascii="Verdana" w:eastAsia="MS Mincho" w:hAnsi="Verdana" w:cs="Arial"/>
          <w:color w:val="000000"/>
          <w:lang w:val="en-US" w:eastAsia="en-US"/>
        </w:rPr>
        <w:t>future rounds</w:t>
      </w:r>
      <w:r w:rsidRPr="001D3E93">
        <w:rPr>
          <w:rFonts w:ascii="Verdana" w:eastAsia="MS Mincho" w:hAnsi="Verdana" w:cs="Arial"/>
          <w:color w:val="000000"/>
          <w:lang w:val="en-US" w:eastAsia="en-US"/>
        </w:rPr>
        <w:t xml:space="preserve">. </w:t>
      </w:r>
      <w:r w:rsidR="00034A9F" w:rsidRPr="001D3E93">
        <w:rPr>
          <w:rFonts w:ascii="Verdana" w:eastAsia="MS Mincho" w:hAnsi="Verdana" w:cs="Arial"/>
          <w:color w:val="000000"/>
          <w:lang w:val="en-US" w:eastAsia="en-US"/>
        </w:rPr>
        <w:t xml:space="preserve">The change to a forward-looking grant program, which provides multi-year grant agreements, created an imbalance </w:t>
      </w:r>
      <w:r w:rsidR="00713DF7" w:rsidRPr="001D3E93">
        <w:rPr>
          <w:rFonts w:ascii="Verdana" w:eastAsia="MS Mincho" w:hAnsi="Verdana" w:cs="Arial"/>
          <w:color w:val="000000"/>
          <w:lang w:val="en-US" w:eastAsia="en-US"/>
        </w:rPr>
        <w:t>between</w:t>
      </w:r>
      <w:r w:rsidR="00034A9F" w:rsidRPr="001D3E93">
        <w:rPr>
          <w:rFonts w:ascii="Verdana" w:eastAsia="MS Mincho" w:hAnsi="Verdana" w:cs="Arial"/>
          <w:color w:val="000000"/>
          <w:lang w:val="en-US" w:eastAsia="en-US"/>
        </w:rPr>
        <w:t xml:space="preserve"> the level of interest </w:t>
      </w:r>
      <w:r w:rsidR="00713DF7" w:rsidRPr="001D3E93">
        <w:rPr>
          <w:rFonts w:ascii="Verdana" w:eastAsia="MS Mincho" w:hAnsi="Verdana" w:cs="Arial"/>
          <w:color w:val="000000"/>
          <w:lang w:val="en-US" w:eastAsia="en-US"/>
        </w:rPr>
        <w:t>and</w:t>
      </w:r>
      <w:r w:rsidR="00B50D7E" w:rsidRPr="001D3E93">
        <w:rPr>
          <w:rFonts w:ascii="Verdana" w:eastAsia="MS Mincho" w:hAnsi="Verdana" w:cs="Arial"/>
          <w:color w:val="000000"/>
          <w:lang w:val="en-US" w:eastAsia="en-US"/>
        </w:rPr>
        <w:t xml:space="preserve"> </w:t>
      </w:r>
      <w:r w:rsidR="00713DF7" w:rsidRPr="001D3E93">
        <w:rPr>
          <w:rFonts w:ascii="Verdana" w:eastAsia="MS Mincho" w:hAnsi="Verdana" w:cs="Arial"/>
          <w:color w:val="000000"/>
          <w:lang w:val="en-US" w:eastAsia="en-US"/>
        </w:rPr>
        <w:t>program</w:t>
      </w:r>
      <w:r w:rsidR="00034A9F" w:rsidRPr="001D3E93">
        <w:rPr>
          <w:rFonts w:ascii="Verdana" w:eastAsia="MS Mincho" w:hAnsi="Verdana" w:cs="Arial"/>
          <w:color w:val="000000"/>
          <w:lang w:val="en-US" w:eastAsia="en-US"/>
        </w:rPr>
        <w:t xml:space="preserve"> appropriation. </w:t>
      </w:r>
      <w:r w:rsidR="00CA10B4" w:rsidRPr="001D3E93">
        <w:rPr>
          <w:rFonts w:ascii="Verdana" w:eastAsia="MS Mincho" w:hAnsi="Verdana" w:cs="Arial"/>
          <w:color w:val="000000"/>
          <w:lang w:val="en-US" w:eastAsia="en-US"/>
        </w:rPr>
        <w:t>As</w:t>
      </w:r>
      <w:r w:rsidR="00B50D7E" w:rsidRPr="001D3E93">
        <w:rPr>
          <w:rFonts w:ascii="Verdana" w:eastAsia="MS Mincho" w:hAnsi="Verdana" w:cs="Arial"/>
          <w:color w:val="000000"/>
          <w:lang w:val="en-US" w:eastAsia="en-US"/>
        </w:rPr>
        <w:t xml:space="preserve"> more exporters enter the funding pool</w:t>
      </w:r>
      <w:r w:rsidR="00AE0215" w:rsidRPr="001D3E93">
        <w:rPr>
          <w:rFonts w:ascii="Verdana" w:eastAsia="MS Mincho" w:hAnsi="Verdana" w:cs="Arial"/>
          <w:color w:val="000000"/>
          <w:lang w:val="en-US" w:eastAsia="en-US"/>
        </w:rPr>
        <w:t xml:space="preserve"> over multiple years</w:t>
      </w:r>
      <w:r w:rsidR="00B50D7E" w:rsidRPr="001D3E93">
        <w:rPr>
          <w:rFonts w:ascii="Verdana" w:eastAsia="MS Mincho" w:hAnsi="Verdana" w:cs="Arial"/>
          <w:color w:val="000000"/>
          <w:lang w:val="en-US" w:eastAsia="en-US"/>
        </w:rPr>
        <w:t xml:space="preserve">, the grant </w:t>
      </w:r>
      <w:r w:rsidR="00CA10B4" w:rsidRPr="001D3E93">
        <w:rPr>
          <w:rFonts w:ascii="Verdana" w:eastAsia="MS Mincho" w:hAnsi="Verdana" w:cs="Arial"/>
          <w:color w:val="000000"/>
          <w:lang w:val="en-US" w:eastAsia="en-US"/>
        </w:rPr>
        <w:t>amounts drop</w:t>
      </w:r>
      <w:r w:rsidR="00B50D7E" w:rsidRPr="001D3E93">
        <w:rPr>
          <w:rFonts w:ascii="Verdana" w:eastAsia="MS Mincho" w:hAnsi="Verdana" w:cs="Arial"/>
          <w:color w:val="000000"/>
          <w:lang w:val="en-US" w:eastAsia="en-US"/>
        </w:rPr>
        <w:t>. T</w:t>
      </w:r>
      <w:r w:rsidRPr="001D3E93">
        <w:rPr>
          <w:rFonts w:ascii="Verdana" w:eastAsia="MS Mincho" w:hAnsi="Verdana" w:cs="Arial"/>
          <w:color w:val="000000"/>
          <w:lang w:val="en-US" w:eastAsia="en-US"/>
        </w:rPr>
        <w:t xml:space="preserve">his </w:t>
      </w:r>
      <w:r w:rsidR="00B50D7E" w:rsidRPr="001D3E93">
        <w:rPr>
          <w:rFonts w:ascii="Verdana" w:eastAsia="MS Mincho" w:hAnsi="Verdana" w:cs="Arial"/>
          <w:color w:val="000000"/>
          <w:lang w:val="en-US" w:eastAsia="en-US"/>
        </w:rPr>
        <w:t xml:space="preserve">situation </w:t>
      </w:r>
      <w:r w:rsidRPr="001D3E93">
        <w:rPr>
          <w:rFonts w:ascii="Verdana" w:eastAsia="MS Mincho" w:hAnsi="Verdana" w:cs="Arial"/>
          <w:color w:val="000000"/>
          <w:lang w:val="en-US" w:eastAsia="en-US"/>
        </w:rPr>
        <w:t>needs to be managed</w:t>
      </w:r>
      <w:r w:rsidR="00BE6B74" w:rsidRPr="001D3E93">
        <w:rPr>
          <w:rFonts w:ascii="Verdana" w:eastAsia="MS Mincho" w:hAnsi="Verdana" w:cs="Arial"/>
          <w:color w:val="000000"/>
          <w:lang w:val="en-US" w:eastAsia="en-US"/>
        </w:rPr>
        <w:t xml:space="preserve"> in future</w:t>
      </w:r>
      <w:r w:rsidR="00991A35" w:rsidRPr="001D3E93">
        <w:rPr>
          <w:rFonts w:ascii="Verdana" w:eastAsia="MS Mincho" w:hAnsi="Verdana" w:cs="Arial"/>
          <w:color w:val="000000"/>
          <w:lang w:val="en-US" w:eastAsia="en-US"/>
        </w:rPr>
        <w:t xml:space="preserve"> to ensure meaningful grant amounts are available to meet exporter needs</w:t>
      </w:r>
      <w:r w:rsidRPr="001D3E93">
        <w:rPr>
          <w:rFonts w:ascii="Verdana" w:eastAsia="MS Mincho" w:hAnsi="Verdana" w:cs="Arial"/>
          <w:color w:val="000000"/>
          <w:lang w:val="en-US" w:eastAsia="en-US"/>
        </w:rPr>
        <w:t xml:space="preserve">. </w:t>
      </w:r>
    </w:p>
    <w:p w14:paraId="42CF2B86" w14:textId="77777777" w:rsidR="00A0613F" w:rsidRPr="001D3E93" w:rsidRDefault="00A0613F" w:rsidP="001C5FD2">
      <w:pPr>
        <w:numPr>
          <w:ilvl w:val="0"/>
          <w:numId w:val="41"/>
        </w:numPr>
        <w:spacing w:line="259" w:lineRule="auto"/>
        <w:ind w:left="357" w:hanging="357"/>
        <w:rPr>
          <w:rFonts w:ascii="Verdana" w:eastAsia="MS Mincho" w:hAnsi="Verdana" w:cs="Arial"/>
          <w:lang w:val="en-US" w:eastAsia="en-US"/>
        </w:rPr>
      </w:pPr>
      <w:r w:rsidRPr="001D3E93">
        <w:rPr>
          <w:rFonts w:ascii="Verdana" w:eastAsia="MS Mincho" w:hAnsi="Verdana" w:cs="Arial"/>
          <w:color w:val="000000"/>
          <w:lang w:val="en-US" w:eastAsia="en-US"/>
        </w:rPr>
        <w:t>Concepts new to EMDG 2.0 (for example plan to market document requirements, grant agreements, milestone reporting, tier system) caused confusion but will bed down with more familiarity. Austrade will continue to improve application and reporting templates in line with feedback.</w:t>
      </w:r>
    </w:p>
    <w:p w14:paraId="20C58C52" w14:textId="0D3B2B69" w:rsidR="00A0613F" w:rsidRPr="001D3E93" w:rsidRDefault="00A0613F" w:rsidP="0036024D">
      <w:pPr>
        <w:numPr>
          <w:ilvl w:val="0"/>
          <w:numId w:val="41"/>
        </w:numPr>
        <w:spacing w:after="160" w:line="259" w:lineRule="auto"/>
        <w:ind w:left="357" w:hanging="357"/>
        <w:rPr>
          <w:rFonts w:ascii="Verdana" w:eastAsia="MS Mincho" w:hAnsi="Verdana" w:cs="Arial"/>
          <w:lang w:val="en-US" w:eastAsia="en-US"/>
        </w:rPr>
      </w:pPr>
      <w:r w:rsidRPr="001D3E93">
        <w:rPr>
          <w:rFonts w:ascii="Verdana" w:eastAsia="MS Mincho" w:hAnsi="Verdana" w:cs="Arial"/>
          <w:color w:val="000000"/>
          <w:lang w:val="en-US" w:eastAsia="en-US"/>
        </w:rPr>
        <w:t xml:space="preserve">Tier 3 (existing exporters expanding markets through a strategic shift) </w:t>
      </w:r>
      <w:r w:rsidR="009718EE" w:rsidRPr="001D3E93">
        <w:rPr>
          <w:rFonts w:ascii="Verdana" w:eastAsia="MS Mincho" w:hAnsi="Verdana" w:cs="Arial"/>
          <w:color w:val="000000"/>
          <w:lang w:val="en-US" w:eastAsia="en-US"/>
        </w:rPr>
        <w:t xml:space="preserve">eligibility </w:t>
      </w:r>
      <w:r w:rsidRPr="001D3E93">
        <w:rPr>
          <w:rFonts w:ascii="Verdana" w:eastAsia="MS Mincho" w:hAnsi="Verdana" w:cs="Arial"/>
          <w:color w:val="000000"/>
          <w:lang w:val="en-US" w:eastAsia="en-US"/>
        </w:rPr>
        <w:t>w</w:t>
      </w:r>
      <w:r w:rsidR="00845754" w:rsidRPr="001D3E93">
        <w:rPr>
          <w:rFonts w:ascii="Verdana" w:eastAsia="MS Mincho" w:hAnsi="Verdana" w:cs="Arial"/>
          <w:color w:val="000000"/>
          <w:lang w:val="en-US" w:eastAsia="en-US"/>
        </w:rPr>
        <w:t>as</w:t>
      </w:r>
      <w:r w:rsidRPr="001D3E93">
        <w:rPr>
          <w:rFonts w:ascii="Verdana" w:eastAsia="MS Mincho" w:hAnsi="Verdana" w:cs="Arial"/>
          <w:color w:val="000000"/>
          <w:lang w:val="en-US" w:eastAsia="en-US"/>
        </w:rPr>
        <w:t xml:space="preserve"> </w:t>
      </w:r>
      <w:r w:rsidR="007C2CD0" w:rsidRPr="001D3E93">
        <w:rPr>
          <w:rFonts w:ascii="Verdana" w:eastAsia="MS Mincho" w:hAnsi="Verdana" w:cs="Arial"/>
          <w:color w:val="000000"/>
          <w:lang w:val="en-US" w:eastAsia="en-US"/>
        </w:rPr>
        <w:t xml:space="preserve">considered </w:t>
      </w:r>
      <w:r w:rsidRPr="001D3E93">
        <w:rPr>
          <w:rFonts w:ascii="Verdana" w:eastAsia="MS Mincho" w:hAnsi="Verdana" w:cs="Arial"/>
          <w:color w:val="000000"/>
          <w:lang w:val="en-US" w:eastAsia="en-US"/>
        </w:rPr>
        <w:t xml:space="preserve">unclear </w:t>
      </w:r>
      <w:r w:rsidR="00085E51" w:rsidRPr="001D3E93">
        <w:rPr>
          <w:rFonts w:ascii="Verdana" w:eastAsia="MS Mincho" w:hAnsi="Verdana" w:cs="Arial"/>
          <w:color w:val="000000"/>
          <w:lang w:val="en-US" w:eastAsia="en-US"/>
        </w:rPr>
        <w:t>especially in relation to</w:t>
      </w:r>
      <w:r w:rsidRPr="001D3E93">
        <w:rPr>
          <w:rFonts w:ascii="Verdana" w:eastAsia="MS Mincho" w:hAnsi="Verdana" w:cs="Arial"/>
          <w:color w:val="000000"/>
          <w:lang w:val="en-US" w:eastAsia="en-US"/>
        </w:rPr>
        <w:t xml:space="preserve"> the meaning of “strategic shift”, an important element of the government’s trade policy agenda. It requires a tighter definition.</w:t>
      </w:r>
    </w:p>
    <w:p w14:paraId="3830E9F7" w14:textId="5722AF2A" w:rsidR="00027FC0" w:rsidRPr="00843DA3" w:rsidRDefault="00CA6CD3" w:rsidP="00731183">
      <w:pPr>
        <w:pStyle w:val="Heading3"/>
        <w:rPr>
          <w:b w:val="0"/>
          <w:bCs w:val="0"/>
          <w:sz w:val="24"/>
          <w:szCs w:val="24"/>
        </w:rPr>
      </w:pPr>
      <w:bookmarkStart w:id="29" w:name="_Toc118366637"/>
      <w:bookmarkStart w:id="30" w:name="_Toc118703407"/>
      <w:bookmarkStart w:id="31" w:name="_Toc120547684"/>
      <w:bookmarkStart w:id="32" w:name="_Toc124422497"/>
      <w:bookmarkStart w:id="33" w:name="_Toc124433366"/>
      <w:r w:rsidRPr="00731183">
        <w:rPr>
          <w:rStyle w:val="Heading3Char"/>
          <w:sz w:val="24"/>
          <w:szCs w:val="24"/>
        </w:rPr>
        <w:t>Client experience</w:t>
      </w:r>
      <w:bookmarkEnd w:id="29"/>
      <w:bookmarkEnd w:id="30"/>
      <w:bookmarkEnd w:id="31"/>
      <w:bookmarkEnd w:id="32"/>
      <w:bookmarkEnd w:id="33"/>
      <w:r w:rsidR="004249F3" w:rsidRPr="00731183">
        <w:rPr>
          <w:b w:val="0"/>
          <w:bCs w:val="0"/>
          <w:caps w:val="0"/>
          <w:sz w:val="24"/>
          <w:szCs w:val="24"/>
        </w:rPr>
        <w:t xml:space="preserve"> </w:t>
      </w:r>
    </w:p>
    <w:p w14:paraId="55A4FB0E" w14:textId="32E91A2A" w:rsidR="00A0613F" w:rsidRPr="001D3E93" w:rsidRDefault="00A0613F" w:rsidP="58EC4746">
      <w:pPr>
        <w:spacing w:line="264" w:lineRule="auto"/>
        <w:rPr>
          <w:rFonts w:ascii="Verdana" w:eastAsia="Calibri" w:hAnsi="Verdana" w:cs="Arial"/>
          <w:lang w:val="en-US" w:eastAsia="en-US"/>
        </w:rPr>
      </w:pPr>
      <w:r w:rsidRPr="001D3E93">
        <w:rPr>
          <w:rFonts w:ascii="Verdana" w:eastAsia="Calibri" w:hAnsi="Verdana" w:cs="Arial"/>
          <w:lang w:val="en-US" w:eastAsia="en-US"/>
        </w:rPr>
        <w:t xml:space="preserve">Implementing the last year of EMDG 1.0 and the first year of EMDG 2.0 </w:t>
      </w:r>
      <w:r w:rsidR="27B3CCAB" w:rsidRPr="001D3E93">
        <w:rPr>
          <w:rFonts w:ascii="Verdana" w:eastAsia="Calibri" w:hAnsi="Verdana" w:cs="Arial"/>
          <w:lang w:val="en-US" w:eastAsia="en-US"/>
        </w:rPr>
        <w:t>concurrently</w:t>
      </w:r>
      <w:r w:rsidRPr="001D3E93">
        <w:rPr>
          <w:rFonts w:ascii="Verdana" w:eastAsia="Calibri" w:hAnsi="Verdana" w:cs="Arial"/>
          <w:lang w:val="en-US" w:eastAsia="en-US"/>
        </w:rPr>
        <w:t xml:space="preserve"> presented significant challenges</w:t>
      </w:r>
      <w:r w:rsidR="7E00423E" w:rsidRPr="001D3E93">
        <w:rPr>
          <w:rFonts w:ascii="Verdana" w:eastAsia="Calibri" w:hAnsi="Verdana" w:cs="Arial"/>
          <w:lang w:val="en-US" w:eastAsia="en-US"/>
        </w:rPr>
        <w:t xml:space="preserve"> and </w:t>
      </w:r>
      <w:r w:rsidRPr="001D3E93">
        <w:rPr>
          <w:rFonts w:ascii="Verdana" w:eastAsia="Calibri" w:hAnsi="Verdana" w:cs="Arial"/>
          <w:lang w:val="en-US" w:eastAsia="en-US"/>
        </w:rPr>
        <w:t xml:space="preserve">impacted </w:t>
      </w:r>
      <w:r w:rsidR="7B011FDD" w:rsidRPr="001D3E93">
        <w:rPr>
          <w:rFonts w:ascii="Verdana" w:eastAsia="Verdana" w:hAnsi="Verdana" w:cs="Verdana"/>
          <w:lang w:val="en-US"/>
        </w:rPr>
        <w:t>Austrade’s capacity to service</w:t>
      </w:r>
      <w:r w:rsidR="663BC1EF" w:rsidRPr="001D3E93">
        <w:rPr>
          <w:rFonts w:ascii="Verdana" w:eastAsia="Verdana" w:hAnsi="Verdana" w:cs="Verdana"/>
          <w:lang w:val="en-US"/>
        </w:rPr>
        <w:t xml:space="preserve"> clients</w:t>
      </w:r>
      <w:r w:rsidR="7B011FDD" w:rsidRPr="001D3E93">
        <w:rPr>
          <w:rFonts w:ascii="Verdana" w:eastAsia="Verdana" w:hAnsi="Verdana" w:cs="Verdana"/>
          <w:lang w:val="en-US"/>
        </w:rPr>
        <w:t xml:space="preserve"> at its usual high standard. The net effect was a lower-standard</w:t>
      </w:r>
      <w:r w:rsidR="7B011FDD" w:rsidRPr="001D3E93">
        <w:rPr>
          <w:rFonts w:ascii="Verdana" w:eastAsia="Calibri" w:hAnsi="Verdana" w:cs="Arial"/>
          <w:lang w:val="en-US" w:eastAsia="en-US"/>
        </w:rPr>
        <w:t xml:space="preserve"> </w:t>
      </w:r>
      <w:r w:rsidRPr="001D3E93">
        <w:rPr>
          <w:rFonts w:ascii="Verdana" w:eastAsia="Calibri" w:hAnsi="Verdana" w:cs="Arial"/>
          <w:lang w:val="en-US" w:eastAsia="en-US"/>
        </w:rPr>
        <w:t>client experience.</w:t>
      </w:r>
    </w:p>
    <w:p w14:paraId="35403D0D" w14:textId="2A1EB8C6" w:rsidR="00A0613F" w:rsidRPr="001D3E93" w:rsidRDefault="00CB3267"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Normally</w:t>
      </w:r>
      <w:r w:rsidR="00F833FD" w:rsidRPr="001D3E93">
        <w:rPr>
          <w:rFonts w:ascii="Verdana" w:eastAsia="Calibri" w:hAnsi="Verdana" w:cs="Arial"/>
          <w:lang w:val="en-US" w:eastAsia="en-US"/>
        </w:rPr>
        <w:t xml:space="preserve"> under </w:t>
      </w:r>
      <w:r w:rsidR="00A0613F" w:rsidRPr="001D3E93">
        <w:rPr>
          <w:rFonts w:ascii="Verdana" w:eastAsia="Calibri" w:hAnsi="Verdana" w:cs="Arial"/>
          <w:lang w:val="en-US" w:eastAsia="en-US"/>
        </w:rPr>
        <w:t>EMDG 2.0</w:t>
      </w:r>
      <w:r w:rsidR="006854C9" w:rsidRPr="001D3E93">
        <w:rPr>
          <w:rFonts w:ascii="Verdana" w:eastAsia="Calibri" w:hAnsi="Verdana" w:cs="Arial"/>
          <w:lang w:val="en-US" w:eastAsia="en-US"/>
        </w:rPr>
        <w:t>,</w:t>
      </w:r>
      <w:r w:rsidR="00A0613F" w:rsidRPr="001D3E93">
        <w:rPr>
          <w:rFonts w:ascii="Verdana" w:eastAsia="Calibri" w:hAnsi="Verdana" w:cs="Arial"/>
          <w:lang w:val="en-US" w:eastAsia="en-US"/>
        </w:rPr>
        <w:t xml:space="preserve"> applications </w:t>
      </w:r>
      <w:r w:rsidR="00754BFF" w:rsidRPr="001D3E93">
        <w:rPr>
          <w:rFonts w:ascii="Verdana" w:eastAsia="Calibri" w:hAnsi="Verdana" w:cs="Arial"/>
          <w:lang w:val="en-US" w:eastAsia="en-US"/>
        </w:rPr>
        <w:t xml:space="preserve">would </w:t>
      </w:r>
      <w:r w:rsidR="00A0613F" w:rsidRPr="001D3E93">
        <w:rPr>
          <w:rFonts w:ascii="Verdana" w:eastAsia="Calibri" w:hAnsi="Verdana" w:cs="Arial"/>
          <w:lang w:val="en-US" w:eastAsia="en-US"/>
        </w:rPr>
        <w:t xml:space="preserve">open, be assessed and grant agreements issued prior to the commencement of the grant year. </w:t>
      </w:r>
      <w:r w:rsidR="006677D6" w:rsidRPr="001D3E93">
        <w:rPr>
          <w:rFonts w:ascii="Verdana" w:eastAsia="Calibri" w:hAnsi="Verdana" w:cs="Arial"/>
          <w:lang w:val="en-US" w:eastAsia="en-US"/>
        </w:rPr>
        <w:t xml:space="preserve">However, </w:t>
      </w:r>
      <w:r w:rsidR="00033196" w:rsidRPr="001D3E93">
        <w:rPr>
          <w:rFonts w:ascii="Verdana" w:eastAsia="Calibri" w:hAnsi="Verdana" w:cs="Arial"/>
          <w:lang w:val="en-US" w:eastAsia="en-US"/>
        </w:rPr>
        <w:t xml:space="preserve">to ensure </w:t>
      </w:r>
      <w:r w:rsidR="00F07B86" w:rsidRPr="001D3E93">
        <w:rPr>
          <w:rFonts w:ascii="Verdana" w:eastAsia="Calibri" w:hAnsi="Verdana" w:cs="Arial"/>
          <w:lang w:val="en-US" w:eastAsia="en-US"/>
        </w:rPr>
        <w:t xml:space="preserve">accelerated </w:t>
      </w:r>
      <w:r w:rsidR="00A0613F" w:rsidRPr="001D3E93">
        <w:rPr>
          <w:rFonts w:ascii="Verdana" w:eastAsia="Calibri" w:hAnsi="Verdana" w:cs="Arial"/>
          <w:lang w:val="en-US" w:eastAsia="en-US"/>
        </w:rPr>
        <w:t xml:space="preserve">implementation, this </w:t>
      </w:r>
      <w:r w:rsidR="007E3185" w:rsidRPr="001D3E93">
        <w:rPr>
          <w:rFonts w:ascii="Verdana" w:eastAsia="Calibri" w:hAnsi="Verdana" w:cs="Arial"/>
          <w:lang w:val="en-US" w:eastAsia="en-US"/>
        </w:rPr>
        <w:t xml:space="preserve">was not </w:t>
      </w:r>
      <w:r w:rsidR="00A0613F" w:rsidRPr="001D3E93">
        <w:rPr>
          <w:rFonts w:ascii="Verdana" w:eastAsia="Calibri" w:hAnsi="Verdana" w:cs="Arial"/>
          <w:lang w:val="en-US" w:eastAsia="en-US"/>
        </w:rPr>
        <w:t>possible</w:t>
      </w:r>
      <w:r w:rsidR="009C60C6" w:rsidRPr="001D3E93">
        <w:rPr>
          <w:rFonts w:ascii="Verdana" w:eastAsia="Calibri" w:hAnsi="Verdana" w:cs="Arial"/>
          <w:lang w:val="en-US" w:eastAsia="en-US"/>
        </w:rPr>
        <w:t>.</w:t>
      </w:r>
      <w:r w:rsidR="00A0613F" w:rsidRPr="001D3E93">
        <w:rPr>
          <w:rFonts w:ascii="Verdana" w:eastAsia="Calibri" w:hAnsi="Verdana" w:cs="Arial"/>
          <w:lang w:val="en-US" w:eastAsia="en-US"/>
        </w:rPr>
        <w:t xml:space="preserve"> </w:t>
      </w:r>
      <w:r w:rsidR="009C60C6" w:rsidRPr="001D3E93">
        <w:rPr>
          <w:rFonts w:ascii="Verdana" w:eastAsia="Calibri" w:hAnsi="Verdana" w:cs="Arial"/>
          <w:lang w:val="en-US" w:eastAsia="en-US"/>
        </w:rPr>
        <w:t>A</w:t>
      </w:r>
      <w:r w:rsidR="00A0613F" w:rsidRPr="001D3E93">
        <w:rPr>
          <w:rFonts w:ascii="Verdana" w:eastAsia="Calibri" w:hAnsi="Verdana" w:cs="Arial"/>
          <w:lang w:val="en-US" w:eastAsia="en-US"/>
        </w:rPr>
        <w:t>pplications for Round 1 open</w:t>
      </w:r>
      <w:r w:rsidR="009C60C6" w:rsidRPr="001D3E93">
        <w:rPr>
          <w:rFonts w:ascii="Verdana" w:eastAsia="Calibri" w:hAnsi="Verdana" w:cs="Arial"/>
          <w:lang w:val="en-US" w:eastAsia="en-US"/>
        </w:rPr>
        <w:t>ed</w:t>
      </w:r>
      <w:r w:rsidR="00A0613F" w:rsidRPr="001D3E93">
        <w:rPr>
          <w:rFonts w:ascii="Verdana" w:eastAsia="Calibri" w:hAnsi="Verdana" w:cs="Arial"/>
          <w:lang w:val="en-US" w:eastAsia="en-US"/>
        </w:rPr>
        <w:t xml:space="preserve"> in the same financial year as the year in which those grants applied. The application window was 3.5 months from August to November 2021 to allow time for applicants to understand the new program and for Austrade to </w:t>
      </w:r>
      <w:r w:rsidR="008D612A" w:rsidRPr="001D3E93">
        <w:rPr>
          <w:rFonts w:ascii="Verdana" w:eastAsia="Calibri" w:hAnsi="Verdana" w:cs="Arial"/>
          <w:lang w:val="en-US" w:eastAsia="en-US"/>
        </w:rPr>
        <w:t>establish processes</w:t>
      </w:r>
      <w:r w:rsidR="008D70E3" w:rsidRPr="001D3E93">
        <w:rPr>
          <w:rFonts w:ascii="Verdana" w:eastAsia="Calibri" w:hAnsi="Verdana" w:cs="Arial"/>
          <w:lang w:val="en-US" w:eastAsia="en-US"/>
        </w:rPr>
        <w:t xml:space="preserve"> </w:t>
      </w:r>
      <w:r w:rsidR="008D612A" w:rsidRPr="001D3E93">
        <w:rPr>
          <w:rFonts w:ascii="Verdana" w:eastAsia="Calibri" w:hAnsi="Verdana" w:cs="Arial"/>
          <w:lang w:val="en-US" w:eastAsia="en-US"/>
        </w:rPr>
        <w:t xml:space="preserve">and </w:t>
      </w:r>
      <w:r w:rsidR="00A0613F" w:rsidRPr="001D3E93">
        <w:rPr>
          <w:rFonts w:ascii="Verdana" w:eastAsia="Calibri" w:hAnsi="Verdana" w:cs="Arial"/>
          <w:lang w:val="en-US" w:eastAsia="en-US"/>
        </w:rPr>
        <w:t xml:space="preserve">build the assessment component of the IT system. The required timeframes </w:t>
      </w:r>
      <w:r w:rsidR="003E4604" w:rsidRPr="001D3E93">
        <w:rPr>
          <w:rFonts w:ascii="Verdana" w:eastAsia="Calibri" w:hAnsi="Verdana" w:cs="Arial"/>
          <w:lang w:val="en-US" w:eastAsia="en-US"/>
        </w:rPr>
        <w:t xml:space="preserve">meant </w:t>
      </w:r>
      <w:r w:rsidR="00A0613F" w:rsidRPr="001D3E93">
        <w:rPr>
          <w:rFonts w:ascii="Verdana" w:eastAsia="Calibri" w:hAnsi="Verdana" w:cs="Arial"/>
          <w:lang w:val="en-US" w:eastAsia="en-US"/>
        </w:rPr>
        <w:t>applicants receiv</w:t>
      </w:r>
      <w:r w:rsidR="00ED6DC0" w:rsidRPr="001D3E93">
        <w:rPr>
          <w:rFonts w:ascii="Verdana" w:eastAsia="Calibri" w:hAnsi="Verdana" w:cs="Arial"/>
          <w:lang w:val="en-US" w:eastAsia="en-US"/>
        </w:rPr>
        <w:t>ed</w:t>
      </w:r>
      <w:r w:rsidR="00A0613F" w:rsidRPr="001D3E93">
        <w:rPr>
          <w:rFonts w:ascii="Verdana" w:eastAsia="Calibri" w:hAnsi="Verdana" w:cs="Arial"/>
          <w:lang w:val="en-US" w:eastAsia="en-US"/>
        </w:rPr>
        <w:t xml:space="preserve"> advice on likely grant amounts almost halfway through their first grant year, with final grant paperwork received in the third quarter of the grant year, which was not ideal. Business</w:t>
      </w:r>
      <w:r w:rsidR="00223F58" w:rsidRPr="001D3E93">
        <w:rPr>
          <w:rFonts w:ascii="Verdana" w:eastAsia="Calibri" w:hAnsi="Verdana" w:cs="Arial"/>
          <w:lang w:val="en-US" w:eastAsia="en-US"/>
        </w:rPr>
        <w:t>es</w:t>
      </w:r>
      <w:r w:rsidR="00A0613F" w:rsidRPr="001D3E93">
        <w:rPr>
          <w:rFonts w:ascii="Verdana" w:eastAsia="Calibri" w:hAnsi="Verdana" w:cs="Arial"/>
          <w:lang w:val="en-US" w:eastAsia="en-US"/>
        </w:rPr>
        <w:t xml:space="preserve"> would like certainty and consistency over EMDG 2.0’s annual cadence of applications and reporting.</w:t>
      </w:r>
    </w:p>
    <w:p w14:paraId="7C72E3F3" w14:textId="77777777" w:rsidR="00A0613F" w:rsidRPr="001D3E93" w:rsidRDefault="00A0613F"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Almost 2,000 more applications for EMDG 2.0 were received than had been anticipated. The available budget for EMDG administration is insufficient for this volume of clients and has required Austrade to divert other resources to it.</w:t>
      </w:r>
    </w:p>
    <w:p w14:paraId="5E9FE560" w14:textId="77777777" w:rsidR="00A0613F" w:rsidRPr="001D3E93" w:rsidRDefault="00A0613F"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 xml:space="preserve">Building the IT system in a limited timeframe within available resources resulted in the need to deliver a minimum viable product. </w:t>
      </w:r>
    </w:p>
    <w:p w14:paraId="372F76B5" w14:textId="1FBFAC33" w:rsidR="00A0613F" w:rsidRPr="001D3E93" w:rsidRDefault="00A0613F"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 xml:space="preserve">The additional staff required to manually assess significant applications and issue grant agreements for EMDG 2.0, while also assessing reimbursements for EMDG 1.0 </w:t>
      </w:r>
      <w:r w:rsidRPr="001D3E93">
        <w:rPr>
          <w:rFonts w:ascii="Verdana" w:eastAsia="Calibri" w:hAnsi="Verdana" w:cs="Arial"/>
          <w:lang w:val="en-US" w:eastAsia="en-US"/>
        </w:rPr>
        <w:lastRenderedPageBreak/>
        <w:t xml:space="preserve">concurrently, resulted in some delays in </w:t>
      </w:r>
      <w:r w:rsidR="005E3E5A" w:rsidRPr="001D3E93">
        <w:rPr>
          <w:rFonts w:ascii="Verdana" w:eastAsia="Calibri" w:hAnsi="Verdana" w:cs="Arial"/>
          <w:lang w:val="en-US" w:eastAsia="en-US"/>
        </w:rPr>
        <w:t>delivering</w:t>
      </w:r>
      <w:r w:rsidRPr="001D3E93">
        <w:rPr>
          <w:rFonts w:ascii="Verdana" w:eastAsia="Calibri" w:hAnsi="Verdana" w:cs="Arial"/>
          <w:lang w:val="en-US" w:eastAsia="en-US"/>
        </w:rPr>
        <w:t xml:space="preserve"> grant agreements and payments which generated stakeholder and client dissatisfaction. </w:t>
      </w:r>
    </w:p>
    <w:p w14:paraId="32E9C7A2" w14:textId="77777777" w:rsidR="00A0613F" w:rsidRPr="001D3E93" w:rsidRDefault="00A0613F" w:rsidP="001C5FD2">
      <w:pPr>
        <w:numPr>
          <w:ilvl w:val="0"/>
          <w:numId w:val="40"/>
        </w:numPr>
        <w:spacing w:line="264" w:lineRule="auto"/>
        <w:ind w:left="360"/>
        <w:rPr>
          <w:rFonts w:ascii="Verdana" w:eastAsia="Calibri" w:hAnsi="Verdana" w:cs="Arial"/>
          <w:lang w:val="en-US" w:eastAsia="en-US"/>
        </w:rPr>
      </w:pPr>
      <w:r w:rsidRPr="001D3E93">
        <w:rPr>
          <w:rFonts w:ascii="Verdana" w:eastAsia="Calibri" w:hAnsi="Verdana" w:cs="Arial"/>
          <w:lang w:val="en-US" w:eastAsia="en-US"/>
        </w:rPr>
        <w:t>Training staff and applicants on EMDG 2.0 while still administering and supporting EMDG 1.0 impacted program delivery.</w:t>
      </w:r>
    </w:p>
    <w:p w14:paraId="4D9C6F70" w14:textId="2FAF8419" w:rsidR="00A0613F" w:rsidRPr="001D3E93" w:rsidRDefault="00A0613F" w:rsidP="001C5FD2">
      <w:pPr>
        <w:numPr>
          <w:ilvl w:val="0"/>
          <w:numId w:val="40"/>
        </w:numPr>
        <w:spacing w:line="264" w:lineRule="auto"/>
        <w:ind w:left="357" w:hanging="357"/>
        <w:rPr>
          <w:rFonts w:ascii="Verdana" w:eastAsia="MS Mincho" w:hAnsi="Verdana" w:cs="Arial"/>
          <w:color w:val="000000"/>
          <w:lang w:val="en-US" w:eastAsia="en-US"/>
        </w:rPr>
      </w:pPr>
      <w:r w:rsidRPr="001D3E93">
        <w:rPr>
          <w:rFonts w:ascii="Verdana" w:eastAsia="MS Mincho" w:hAnsi="Verdana" w:cs="Arial"/>
          <w:color w:val="000000" w:themeColor="text1"/>
          <w:lang w:val="en-US" w:eastAsia="en-US"/>
        </w:rPr>
        <w:t xml:space="preserve">The speed with which the new EMDG application portal was created, and linked with MyGovID, resulted in a poor client experience that was at times difficult to navigate. The EMDG </w:t>
      </w:r>
      <w:r w:rsidR="00543B05" w:rsidRPr="001D3E93">
        <w:rPr>
          <w:rFonts w:ascii="Verdana" w:eastAsia="MS Mincho" w:hAnsi="Verdana" w:cs="Arial"/>
          <w:color w:val="000000" w:themeColor="text1"/>
          <w:lang w:val="en-US" w:eastAsia="en-US"/>
        </w:rPr>
        <w:t>h</w:t>
      </w:r>
      <w:r w:rsidRPr="001D3E93">
        <w:rPr>
          <w:rFonts w:ascii="Verdana" w:eastAsia="MS Mincho" w:hAnsi="Verdana" w:cs="Arial"/>
          <w:color w:val="000000" w:themeColor="text1"/>
          <w:lang w:val="en-US" w:eastAsia="en-US"/>
        </w:rPr>
        <w:t xml:space="preserve">elpline was unable to assist with queries about other Government agencies’ IT systems, which complicated </w:t>
      </w:r>
      <w:r w:rsidR="00E0161A" w:rsidRPr="001D3E93">
        <w:rPr>
          <w:rFonts w:ascii="Verdana" w:eastAsia="MS Mincho" w:hAnsi="Verdana" w:cs="Arial"/>
          <w:color w:val="000000" w:themeColor="text1"/>
          <w:lang w:val="en-US" w:eastAsia="en-US"/>
        </w:rPr>
        <w:t xml:space="preserve">Austrade’s </w:t>
      </w:r>
      <w:r w:rsidRPr="001D3E93">
        <w:rPr>
          <w:rFonts w:ascii="Verdana" w:eastAsia="MS Mincho" w:hAnsi="Verdana" w:cs="Arial"/>
          <w:color w:val="000000" w:themeColor="text1"/>
          <w:lang w:val="en-US" w:eastAsia="en-US"/>
        </w:rPr>
        <w:t xml:space="preserve">response to </w:t>
      </w:r>
      <w:r w:rsidR="00F97FA0" w:rsidRPr="001D3E93">
        <w:rPr>
          <w:rFonts w:ascii="Verdana" w:eastAsia="MS Mincho" w:hAnsi="Verdana" w:cs="Arial"/>
          <w:color w:val="000000" w:themeColor="text1"/>
          <w:lang w:val="en-US" w:eastAsia="en-US"/>
        </w:rPr>
        <w:t>clients</w:t>
      </w:r>
      <w:r w:rsidR="78E1ADAA" w:rsidRPr="001D3E93">
        <w:rPr>
          <w:rFonts w:ascii="Verdana" w:eastAsia="MS Mincho" w:hAnsi="Verdana" w:cs="Arial"/>
          <w:color w:val="000000" w:themeColor="text1"/>
          <w:lang w:val="en-US" w:eastAsia="en-US"/>
        </w:rPr>
        <w:t xml:space="preserve">’ </w:t>
      </w:r>
      <w:r w:rsidRPr="001D3E93">
        <w:rPr>
          <w:rFonts w:ascii="Verdana" w:eastAsia="MS Mincho" w:hAnsi="Verdana" w:cs="Arial"/>
          <w:color w:val="000000" w:themeColor="text1"/>
          <w:lang w:val="en-US" w:eastAsia="en-US"/>
        </w:rPr>
        <w:t xml:space="preserve">technical difficulties. </w:t>
      </w:r>
    </w:p>
    <w:p w14:paraId="56201B6B" w14:textId="25E8F20E" w:rsidR="00EE4D02" w:rsidRPr="00843DA3" w:rsidRDefault="004249F3" w:rsidP="00731183">
      <w:pPr>
        <w:pStyle w:val="Heading3"/>
        <w:rPr>
          <w:rFonts w:ascii="Verdana" w:eastAsia="Calibri" w:hAnsi="Verdana" w:cs="Arial"/>
          <w:b w:val="0"/>
          <w:bCs w:val="0"/>
          <w:sz w:val="24"/>
          <w:szCs w:val="24"/>
          <w:lang w:val="en-US" w:eastAsia="en-US"/>
        </w:rPr>
      </w:pPr>
      <w:bookmarkStart w:id="34" w:name="_Toc118366638"/>
      <w:bookmarkStart w:id="35" w:name="_Toc118703408"/>
      <w:bookmarkStart w:id="36" w:name="_Toc120547685"/>
      <w:bookmarkStart w:id="37" w:name="_Toc124422498"/>
      <w:bookmarkStart w:id="38" w:name="_Toc124433367"/>
      <w:r w:rsidRPr="00731183">
        <w:rPr>
          <w:rStyle w:val="Heading3Char"/>
          <w:sz w:val="24"/>
          <w:szCs w:val="24"/>
        </w:rPr>
        <w:t>Communication</w:t>
      </w:r>
      <w:bookmarkEnd w:id="34"/>
      <w:bookmarkEnd w:id="35"/>
      <w:bookmarkEnd w:id="36"/>
      <w:bookmarkEnd w:id="37"/>
      <w:bookmarkEnd w:id="38"/>
      <w:r w:rsidRPr="00731183">
        <w:rPr>
          <w:rFonts w:ascii="Verdana" w:eastAsia="Calibri" w:hAnsi="Verdana" w:cs="Arial"/>
          <w:b w:val="0"/>
          <w:bCs w:val="0"/>
          <w:caps w:val="0"/>
          <w:sz w:val="24"/>
          <w:szCs w:val="24"/>
          <w:lang w:val="en-US" w:eastAsia="en-US"/>
        </w:rPr>
        <w:t xml:space="preserve"> </w:t>
      </w:r>
    </w:p>
    <w:p w14:paraId="056BF083" w14:textId="3023BD1E" w:rsidR="00A0613F" w:rsidRPr="001D3E93" w:rsidRDefault="00A0613F" w:rsidP="00A0613F">
      <w:pPr>
        <w:spacing w:line="264" w:lineRule="auto"/>
        <w:rPr>
          <w:rFonts w:ascii="Verdana" w:eastAsia="Calibri" w:hAnsi="Verdana" w:cs="Arial"/>
          <w:lang w:val="en-US" w:eastAsia="en-US"/>
        </w:rPr>
      </w:pPr>
      <w:r w:rsidRPr="001D3E93">
        <w:rPr>
          <w:rFonts w:ascii="Verdana" w:eastAsia="Calibri" w:hAnsi="Verdana" w:cs="Arial"/>
          <w:lang w:val="en-US" w:eastAsia="en-US"/>
        </w:rPr>
        <w:t>Overall, stakeholders commented positively on Austrade’s responsiveness, website, newsletters and assistance from the EMDG helpline</w:t>
      </w:r>
      <w:r w:rsidR="00551752" w:rsidRPr="001D3E93">
        <w:rPr>
          <w:rFonts w:ascii="Verdana" w:eastAsia="Calibri" w:hAnsi="Verdana" w:cs="Arial"/>
          <w:lang w:val="en-US" w:eastAsia="en-US"/>
        </w:rPr>
        <w:t xml:space="preserve"> but expected more</w:t>
      </w:r>
      <w:r w:rsidRPr="001D3E93">
        <w:rPr>
          <w:rFonts w:ascii="Verdana" w:eastAsia="Calibri" w:hAnsi="Verdana" w:cs="Arial"/>
          <w:lang w:val="en-US" w:eastAsia="en-US"/>
        </w:rPr>
        <w:t xml:space="preserve">. </w:t>
      </w:r>
    </w:p>
    <w:p w14:paraId="18F67662" w14:textId="77777777" w:rsidR="00A0613F" w:rsidRPr="001D3E93" w:rsidRDefault="00A0613F" w:rsidP="001C5FD2">
      <w:pPr>
        <w:numPr>
          <w:ilvl w:val="0"/>
          <w:numId w:val="42"/>
        </w:numPr>
        <w:spacing w:line="264" w:lineRule="auto"/>
        <w:ind w:left="714" w:hanging="357"/>
        <w:rPr>
          <w:rFonts w:ascii="Verdana" w:eastAsia="Calibri" w:hAnsi="Verdana" w:cs="Arial"/>
          <w:lang w:val="en-US" w:eastAsia="en-US"/>
        </w:rPr>
      </w:pPr>
      <w:r w:rsidRPr="001D3E93">
        <w:rPr>
          <w:rFonts w:ascii="Verdana" w:eastAsia="Calibri" w:hAnsi="Verdana" w:cs="Arial"/>
          <w:lang w:val="en-US" w:eastAsia="en-US"/>
        </w:rPr>
        <w:t>Stakeholders requested additional communication, including training, targeted to their export group, whether new to export, established or diversifying.</w:t>
      </w:r>
    </w:p>
    <w:p w14:paraId="42284832" w14:textId="77777777" w:rsidR="00A0613F" w:rsidRPr="001D3E93" w:rsidRDefault="00A0613F" w:rsidP="001C5FD2">
      <w:pPr>
        <w:numPr>
          <w:ilvl w:val="0"/>
          <w:numId w:val="42"/>
        </w:numPr>
        <w:spacing w:line="264"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Stakeholders would welcome increased communications on program changes and updates. </w:t>
      </w:r>
    </w:p>
    <w:p w14:paraId="1E6681A7" w14:textId="4C4F360D" w:rsidR="00A0613F" w:rsidRPr="001D3E93" w:rsidRDefault="00BA2226" w:rsidP="00A0613F">
      <w:pPr>
        <w:spacing w:line="264" w:lineRule="auto"/>
        <w:rPr>
          <w:rFonts w:ascii="Verdana" w:eastAsia="Calibri" w:hAnsi="Verdana" w:cs="Arial"/>
          <w:color w:val="56046C"/>
          <w:lang w:val="en-US" w:eastAsia="en-US"/>
        </w:rPr>
      </w:pPr>
      <w:r w:rsidRPr="001D3E93">
        <w:rPr>
          <w:rFonts w:ascii="Verdana" w:eastAsia="Calibri" w:hAnsi="Verdana" w:cs="Arial"/>
          <w:lang w:val="en-US" w:eastAsia="en-US"/>
        </w:rPr>
        <w:t>The report identifies o</w:t>
      </w:r>
      <w:r w:rsidR="00892D57" w:rsidRPr="001D3E93">
        <w:rPr>
          <w:rFonts w:ascii="Verdana" w:eastAsia="Calibri" w:hAnsi="Verdana" w:cs="Arial"/>
          <w:lang w:val="en-US" w:eastAsia="en-US"/>
        </w:rPr>
        <w:t>pportunities</w:t>
      </w:r>
      <w:r w:rsidR="00A0613F" w:rsidRPr="001D3E93">
        <w:rPr>
          <w:rFonts w:ascii="Verdana" w:eastAsia="Calibri" w:hAnsi="Verdana" w:cs="Arial"/>
          <w:lang w:val="en-US" w:eastAsia="en-US"/>
        </w:rPr>
        <w:t xml:space="preserve"> for improvement over two phases </w:t>
      </w:r>
      <w:bookmarkStart w:id="39" w:name="_Hlk118455789"/>
      <w:r w:rsidR="00A0613F" w:rsidRPr="001D3E93">
        <w:rPr>
          <w:rFonts w:ascii="Verdana" w:eastAsia="Calibri" w:hAnsi="Verdana" w:cs="Arial"/>
          <w:lang w:val="en-US" w:eastAsia="en-US"/>
        </w:rPr>
        <w:t>–</w:t>
      </w:r>
      <w:bookmarkEnd w:id="39"/>
      <w:r w:rsidR="00A0613F" w:rsidRPr="001D3E93">
        <w:rPr>
          <w:rFonts w:ascii="Verdana" w:eastAsia="Calibri" w:hAnsi="Verdana" w:cs="Arial"/>
          <w:lang w:val="en-US" w:eastAsia="en-US"/>
        </w:rPr>
        <w:t xml:space="preserve"> short-term and medium-term </w:t>
      </w:r>
      <w:r w:rsidR="00543B05" w:rsidRPr="001D3E93">
        <w:rPr>
          <w:rFonts w:ascii="Verdana" w:eastAsia="Calibri" w:hAnsi="Verdana" w:cs="Arial"/>
          <w:lang w:val="en-US" w:eastAsia="en-US"/>
        </w:rPr>
        <w:t xml:space="preserve">– </w:t>
      </w:r>
      <w:r w:rsidR="00C53BD5" w:rsidRPr="001D3E93">
        <w:rPr>
          <w:rFonts w:ascii="Verdana" w:eastAsia="Calibri" w:hAnsi="Verdana" w:cs="Arial"/>
          <w:lang w:val="en-US" w:eastAsia="en-US"/>
        </w:rPr>
        <w:t>that respond to and build on stakeholder feedback</w:t>
      </w:r>
      <w:r w:rsidR="00A0613F" w:rsidRPr="001D3E93">
        <w:rPr>
          <w:rFonts w:ascii="Verdana" w:eastAsia="Calibri" w:hAnsi="Verdana" w:cs="Arial"/>
          <w:lang w:val="en-US" w:eastAsia="en-US"/>
        </w:rPr>
        <w:t xml:space="preserve"> to address EMDG 2.0’s program design, client experience and communications. </w:t>
      </w:r>
    </w:p>
    <w:p w14:paraId="4F734D7F" w14:textId="3DC52EED" w:rsidR="00B37514" w:rsidRPr="00843DA3" w:rsidRDefault="00CA6CD3" w:rsidP="00B37514">
      <w:pPr>
        <w:pStyle w:val="Heading3"/>
        <w:rPr>
          <w:b w:val="0"/>
          <w:bCs w:val="0"/>
          <w:sz w:val="24"/>
          <w:szCs w:val="24"/>
        </w:rPr>
      </w:pPr>
      <w:bookmarkStart w:id="40" w:name="_Toc117765766"/>
      <w:bookmarkStart w:id="41" w:name="_Toc118299446"/>
      <w:bookmarkStart w:id="42" w:name="_Toc118299556"/>
      <w:bookmarkStart w:id="43" w:name="_Toc124422499"/>
      <w:bookmarkStart w:id="44" w:name="_Toc124433368"/>
      <w:bookmarkStart w:id="45" w:name="_Toc117763147"/>
      <w:bookmarkStart w:id="46" w:name="_Toc118366639"/>
      <w:bookmarkStart w:id="47" w:name="_Toc118703409"/>
      <w:bookmarkStart w:id="48" w:name="_Toc120547686"/>
      <w:r w:rsidRPr="00731183">
        <w:rPr>
          <w:b w:val="0"/>
          <w:bCs w:val="0"/>
          <w:caps w:val="0"/>
          <w:sz w:val="24"/>
          <w:szCs w:val="24"/>
        </w:rPr>
        <w:t xml:space="preserve">Opportunities for improvement - </w:t>
      </w:r>
      <w:r w:rsidR="00712C2A" w:rsidRPr="001D3E93">
        <w:rPr>
          <w:b w:val="0"/>
          <w:bCs w:val="0"/>
          <w:caps w:val="0"/>
          <w:sz w:val="24"/>
          <w:szCs w:val="24"/>
        </w:rPr>
        <w:t>Phase 1: Short-term</w:t>
      </w:r>
      <w:bookmarkEnd w:id="40"/>
      <w:bookmarkEnd w:id="41"/>
      <w:bookmarkEnd w:id="42"/>
      <w:bookmarkEnd w:id="43"/>
      <w:bookmarkEnd w:id="44"/>
    </w:p>
    <w:p w14:paraId="609BE440" w14:textId="5B73D459" w:rsidR="00A0613F" w:rsidRPr="001D3E93" w:rsidRDefault="00A0613F" w:rsidP="00C7475F">
      <w:pPr>
        <w:pStyle w:val="Heading4"/>
        <w:rPr>
          <w:b w:val="0"/>
          <w:bCs w:val="0"/>
          <w:sz w:val="22"/>
          <w:szCs w:val="22"/>
        </w:rPr>
      </w:pPr>
      <w:r w:rsidRPr="00731183">
        <w:rPr>
          <w:b w:val="0"/>
          <w:bCs w:val="0"/>
          <w:sz w:val="22"/>
          <w:szCs w:val="22"/>
        </w:rPr>
        <w:t xml:space="preserve">Implement immediate improvements to EMDG program design, client experience and </w:t>
      </w:r>
      <w:bookmarkEnd w:id="45"/>
      <w:r w:rsidRPr="00731183">
        <w:rPr>
          <w:b w:val="0"/>
          <w:bCs w:val="0"/>
          <w:sz w:val="22"/>
          <w:szCs w:val="22"/>
        </w:rPr>
        <w:t>communication</w:t>
      </w:r>
      <w:bookmarkEnd w:id="46"/>
      <w:bookmarkEnd w:id="47"/>
      <w:bookmarkEnd w:id="48"/>
    </w:p>
    <w:p w14:paraId="57906814" w14:textId="50B15EE5" w:rsidR="00A0613F" w:rsidRPr="001D3E93" w:rsidRDefault="00A0613F" w:rsidP="00A0613F">
      <w:pPr>
        <w:spacing w:after="160" w:line="259" w:lineRule="auto"/>
        <w:rPr>
          <w:rFonts w:ascii="Verdana" w:eastAsia="Calibri" w:hAnsi="Verdana" w:cs="Arial"/>
          <w:lang w:eastAsia="en-US"/>
        </w:rPr>
      </w:pPr>
      <w:r w:rsidRPr="001D3E93">
        <w:rPr>
          <w:rFonts w:ascii="Verdana" w:eastAsia="Calibri" w:hAnsi="Verdana" w:cs="Arial"/>
          <w:lang w:eastAsia="en-US"/>
        </w:rPr>
        <w:t xml:space="preserve">In addition to improvements already undertaken by Austrade, this EMDG Operational Review provides short-term opportunities for improvement in three main categories (program design, client experience and communication) to ensure: </w:t>
      </w:r>
    </w:p>
    <w:p w14:paraId="59F5B8A2" w14:textId="0D1B92C9" w:rsidR="00A0613F" w:rsidRPr="001D3E93" w:rsidRDefault="00A0613F" w:rsidP="001C5FD2">
      <w:pPr>
        <w:numPr>
          <w:ilvl w:val="0"/>
          <w:numId w:val="33"/>
        </w:numPr>
        <w:spacing w:line="259" w:lineRule="auto"/>
        <w:ind w:left="714" w:hanging="357"/>
        <w:rPr>
          <w:rFonts w:ascii="Verdana" w:eastAsia="Verdana" w:hAnsi="Verdana" w:cs="Calibri"/>
          <w:color w:val="000000"/>
          <w:lang w:eastAsia="en-US"/>
        </w:rPr>
      </w:pPr>
      <w:r w:rsidRPr="001D3E93">
        <w:rPr>
          <w:rFonts w:ascii="Verdana" w:eastAsia="Verdana" w:hAnsi="Verdana" w:cs="Calibri"/>
          <w:color w:val="000000"/>
          <w:lang w:eastAsia="en-US"/>
        </w:rPr>
        <w:t>Processes are client-friendly and information is accessible for stakeholders. </w:t>
      </w:r>
    </w:p>
    <w:p w14:paraId="42B8F1DF" w14:textId="77777777" w:rsidR="00A0613F" w:rsidRPr="001D3E93" w:rsidRDefault="00A0613F" w:rsidP="001C5FD2">
      <w:pPr>
        <w:numPr>
          <w:ilvl w:val="0"/>
          <w:numId w:val="33"/>
        </w:numPr>
        <w:spacing w:line="259" w:lineRule="auto"/>
        <w:ind w:left="714" w:hanging="357"/>
        <w:rPr>
          <w:rFonts w:ascii="Verdana" w:eastAsia="Verdana" w:hAnsi="Verdana" w:cs="Calibri"/>
          <w:color w:val="000000"/>
          <w:lang w:eastAsia="en-US"/>
        </w:rPr>
      </w:pPr>
      <w:r w:rsidRPr="001D3E93">
        <w:rPr>
          <w:rFonts w:ascii="Verdana" w:eastAsia="Verdana" w:hAnsi="Verdana" w:cs="Calibri"/>
          <w:color w:val="000000"/>
          <w:lang w:eastAsia="en-US"/>
        </w:rPr>
        <w:t>Communication to stakeholders through various channels is timely, targeted and accurate.</w:t>
      </w:r>
    </w:p>
    <w:p w14:paraId="4C23DBBE" w14:textId="1B7660A1" w:rsidR="00A0613F" w:rsidRPr="001D3E93" w:rsidRDefault="00A0613F" w:rsidP="001C5FD2">
      <w:pPr>
        <w:numPr>
          <w:ilvl w:val="0"/>
          <w:numId w:val="33"/>
        </w:numPr>
        <w:spacing w:line="259" w:lineRule="auto"/>
        <w:ind w:left="714" w:hanging="357"/>
        <w:rPr>
          <w:rFonts w:ascii="Verdana" w:eastAsia="Verdana" w:hAnsi="Verdana" w:cs="Calibri"/>
          <w:color w:val="000000"/>
          <w:lang w:eastAsia="en-US"/>
        </w:rPr>
      </w:pPr>
      <w:r w:rsidRPr="001D3E93">
        <w:rPr>
          <w:rFonts w:ascii="Verdana" w:eastAsia="Verdana" w:hAnsi="Verdana" w:cs="Calibri"/>
          <w:color w:val="000000"/>
          <w:lang w:eastAsia="en-US"/>
        </w:rPr>
        <w:t xml:space="preserve">Round 3, applications for which </w:t>
      </w:r>
      <w:r w:rsidR="00B343DE" w:rsidRPr="001D3E93">
        <w:rPr>
          <w:rFonts w:ascii="Verdana" w:eastAsia="Verdana" w:hAnsi="Verdana" w:cs="Calibri"/>
          <w:color w:val="000000"/>
          <w:lang w:eastAsia="en-US"/>
        </w:rPr>
        <w:t xml:space="preserve">are planned to </w:t>
      </w:r>
      <w:r w:rsidRPr="001D3E93">
        <w:rPr>
          <w:rFonts w:ascii="Verdana" w:eastAsia="Verdana" w:hAnsi="Verdana" w:cs="Calibri"/>
          <w:color w:val="000000"/>
          <w:lang w:eastAsia="en-US"/>
        </w:rPr>
        <w:t>open in early 2023, operates with the benefits of these changes</w:t>
      </w:r>
      <w:r w:rsidR="00057329" w:rsidRPr="001D3E93">
        <w:rPr>
          <w:rFonts w:ascii="Verdana" w:eastAsia="Verdana" w:hAnsi="Verdana" w:cs="Calibri"/>
          <w:color w:val="000000"/>
          <w:lang w:eastAsia="en-US"/>
        </w:rPr>
        <w:t xml:space="preserve"> where possible</w:t>
      </w:r>
      <w:r w:rsidRPr="001D3E93">
        <w:rPr>
          <w:rFonts w:ascii="Verdana" w:eastAsia="Verdana" w:hAnsi="Verdana" w:cs="Calibri"/>
          <w:color w:val="000000"/>
          <w:lang w:eastAsia="en-US"/>
        </w:rPr>
        <w:t>.</w:t>
      </w:r>
    </w:p>
    <w:p w14:paraId="39D7925B" w14:textId="3314C521" w:rsidR="00C7475F" w:rsidRPr="00843DA3" w:rsidRDefault="00CA6CD3" w:rsidP="00731183">
      <w:pPr>
        <w:pStyle w:val="Heading3"/>
        <w:rPr>
          <w:sz w:val="24"/>
          <w:szCs w:val="24"/>
        </w:rPr>
      </w:pPr>
      <w:bookmarkStart w:id="49" w:name="_Toc117765767"/>
      <w:bookmarkStart w:id="50" w:name="_Toc118299447"/>
      <w:bookmarkStart w:id="51" w:name="_Toc118299557"/>
      <w:bookmarkStart w:id="52" w:name="_Toc118366640"/>
      <w:bookmarkStart w:id="53" w:name="_Toc118370885"/>
      <w:bookmarkStart w:id="54" w:name="_Toc118385782"/>
      <w:bookmarkStart w:id="55" w:name="_Toc118385905"/>
      <w:bookmarkStart w:id="56" w:name="_Toc118703410"/>
      <w:bookmarkStart w:id="57" w:name="_Toc120547687"/>
      <w:bookmarkStart w:id="58" w:name="_Toc124422500"/>
      <w:bookmarkStart w:id="59" w:name="_Toc124433369"/>
      <w:bookmarkStart w:id="60" w:name="_Toc117763148"/>
      <w:r w:rsidRPr="00731183">
        <w:rPr>
          <w:b w:val="0"/>
          <w:bCs w:val="0"/>
          <w:caps w:val="0"/>
          <w:sz w:val="24"/>
          <w:szCs w:val="24"/>
        </w:rPr>
        <w:t xml:space="preserve">Opportunities </w:t>
      </w:r>
      <w:r w:rsidRPr="001D3E93">
        <w:rPr>
          <w:b w:val="0"/>
          <w:bCs w:val="0"/>
          <w:caps w:val="0"/>
          <w:sz w:val="24"/>
          <w:szCs w:val="24"/>
        </w:rPr>
        <w:t xml:space="preserve">for improvement - </w:t>
      </w:r>
      <w:r w:rsidR="00712C2A" w:rsidRPr="001D3E93">
        <w:rPr>
          <w:b w:val="0"/>
          <w:bCs w:val="0"/>
          <w:caps w:val="0"/>
          <w:sz w:val="24"/>
          <w:szCs w:val="24"/>
        </w:rPr>
        <w:t>Phase 2: Medium-term</w:t>
      </w:r>
      <w:bookmarkEnd w:id="49"/>
      <w:bookmarkEnd w:id="50"/>
      <w:bookmarkEnd w:id="51"/>
      <w:bookmarkEnd w:id="52"/>
      <w:bookmarkEnd w:id="53"/>
      <w:bookmarkEnd w:id="54"/>
      <w:bookmarkEnd w:id="55"/>
      <w:bookmarkEnd w:id="56"/>
      <w:bookmarkEnd w:id="57"/>
      <w:bookmarkEnd w:id="58"/>
      <w:bookmarkEnd w:id="59"/>
    </w:p>
    <w:p w14:paraId="3FD6DC9B" w14:textId="76CB5B34" w:rsidR="00A0613F" w:rsidRPr="001D3E93" w:rsidRDefault="00217180" w:rsidP="004208F0">
      <w:pPr>
        <w:pStyle w:val="Heading4"/>
        <w:rPr>
          <w:b w:val="0"/>
          <w:bCs w:val="0"/>
          <w:sz w:val="22"/>
          <w:szCs w:val="22"/>
        </w:rPr>
      </w:pPr>
      <w:bookmarkStart w:id="61" w:name="_Hlk118463800"/>
      <w:r w:rsidRPr="00731183">
        <w:rPr>
          <w:b w:val="0"/>
          <w:bCs w:val="0"/>
          <w:sz w:val="22"/>
          <w:szCs w:val="22"/>
        </w:rPr>
        <w:t xml:space="preserve">Balancing demand on </w:t>
      </w:r>
      <w:r w:rsidR="00D777E6">
        <w:rPr>
          <w:b w:val="0"/>
          <w:bCs w:val="0"/>
          <w:sz w:val="22"/>
          <w:szCs w:val="22"/>
        </w:rPr>
        <w:t xml:space="preserve">the </w:t>
      </w:r>
      <w:r w:rsidRPr="00731183">
        <w:rPr>
          <w:b w:val="0"/>
          <w:bCs w:val="0"/>
          <w:sz w:val="22"/>
          <w:szCs w:val="22"/>
        </w:rPr>
        <w:t xml:space="preserve">program with meaningful grant amounts to </w:t>
      </w:r>
      <w:bookmarkStart w:id="62" w:name="_Hlk120527973"/>
      <w:bookmarkEnd w:id="60"/>
      <w:r w:rsidRPr="00731183">
        <w:rPr>
          <w:b w:val="0"/>
          <w:bCs w:val="0"/>
          <w:sz w:val="22"/>
          <w:szCs w:val="22"/>
        </w:rPr>
        <w:t>ensure quality outcomes</w:t>
      </w:r>
    </w:p>
    <w:bookmarkEnd w:id="61"/>
    <w:bookmarkEnd w:id="62"/>
    <w:p w14:paraId="30D9FFA0" w14:textId="5F7F766E" w:rsidR="00A0613F" w:rsidRPr="001D3E93" w:rsidRDefault="00A0613F" w:rsidP="00A0613F">
      <w:p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The</w:t>
      </w:r>
      <w:r w:rsidR="00CA5284" w:rsidRPr="001D3E93">
        <w:rPr>
          <w:rFonts w:ascii="Verdana" w:eastAsia="Verdana" w:hAnsi="Verdana" w:cs="Arial"/>
          <w:color w:val="000000"/>
          <w:lang w:eastAsia="en-US"/>
        </w:rPr>
        <w:t>re is a</w:t>
      </w:r>
      <w:r w:rsidRPr="001D3E93">
        <w:rPr>
          <w:rFonts w:ascii="Verdana" w:eastAsia="Verdana" w:hAnsi="Verdana" w:cs="Arial"/>
          <w:color w:val="000000"/>
          <w:lang w:eastAsia="en-US"/>
        </w:rPr>
        <w:t xml:space="preserve"> growing number of EMDG applications in the system </w:t>
      </w:r>
      <w:r w:rsidRPr="001D3E93">
        <w:rPr>
          <w:rFonts w:ascii="Verdana" w:eastAsia="Calibri" w:hAnsi="Verdana" w:cs="Arial"/>
          <w:color w:val="000000"/>
          <w:lang w:val="en-US" w:eastAsia="en-US"/>
        </w:rPr>
        <w:t>(8,107 – after two rounds and likely to increase further in future),</w:t>
      </w:r>
      <w:r w:rsidRPr="001D3E93">
        <w:rPr>
          <w:rFonts w:ascii="Verdana" w:eastAsia="Verdana" w:hAnsi="Verdana" w:cs="Arial"/>
          <w:color w:val="000000"/>
          <w:lang w:eastAsia="en-US"/>
        </w:rPr>
        <w:t xml:space="preserve"> </w:t>
      </w:r>
      <w:r w:rsidR="00DB4E3A" w:rsidRPr="001D3E93">
        <w:rPr>
          <w:rFonts w:ascii="Verdana" w:eastAsia="Verdana" w:hAnsi="Verdana" w:cs="Arial"/>
          <w:color w:val="000000"/>
          <w:lang w:eastAsia="en-US"/>
        </w:rPr>
        <w:t>which</w:t>
      </w:r>
      <w:r w:rsidR="00DC657E" w:rsidRPr="001D3E93">
        <w:rPr>
          <w:rFonts w:ascii="Verdana" w:eastAsia="Verdana" w:hAnsi="Verdana" w:cs="Arial"/>
          <w:color w:val="000000"/>
          <w:lang w:eastAsia="en-US"/>
        </w:rPr>
        <w:t xml:space="preserve"> means that grant amounts </w:t>
      </w:r>
      <w:r w:rsidR="00590D7A" w:rsidRPr="001D3E93">
        <w:rPr>
          <w:rFonts w:ascii="Verdana" w:eastAsia="Verdana" w:hAnsi="Verdana" w:cs="Arial"/>
          <w:color w:val="000000"/>
          <w:lang w:eastAsia="en-US"/>
        </w:rPr>
        <w:t xml:space="preserve">are </w:t>
      </w:r>
      <w:r w:rsidRPr="001D3E93">
        <w:rPr>
          <w:rFonts w:ascii="Verdana" w:eastAsia="Verdana" w:hAnsi="Verdana" w:cs="Arial"/>
          <w:color w:val="000000"/>
          <w:lang w:eastAsia="en-US"/>
        </w:rPr>
        <w:t>decreasing for later applicants</w:t>
      </w:r>
      <w:r w:rsidR="00727AC3" w:rsidRPr="001D3E93">
        <w:rPr>
          <w:rFonts w:ascii="Verdana" w:eastAsia="Verdana" w:hAnsi="Verdana" w:cs="Arial"/>
          <w:color w:val="000000"/>
          <w:lang w:eastAsia="en-US"/>
        </w:rPr>
        <w:t>.</w:t>
      </w:r>
      <w:r w:rsidRPr="001D3E93">
        <w:rPr>
          <w:rFonts w:ascii="Verdana" w:eastAsia="Verdana" w:hAnsi="Verdana" w:cs="Arial"/>
          <w:color w:val="000000"/>
          <w:lang w:eastAsia="en-US"/>
        </w:rPr>
        <w:t xml:space="preserve"> </w:t>
      </w:r>
      <w:r w:rsidR="000E0D83" w:rsidRPr="001D3E93">
        <w:rPr>
          <w:rFonts w:ascii="Verdana" w:eastAsia="Verdana" w:hAnsi="Verdana" w:cs="Arial"/>
          <w:color w:val="000000"/>
          <w:lang w:eastAsia="en-US"/>
        </w:rPr>
        <w:t>G</w:t>
      </w:r>
      <w:r w:rsidRPr="001D3E93">
        <w:rPr>
          <w:rFonts w:ascii="Verdana" w:eastAsia="Verdana" w:hAnsi="Verdana" w:cs="Arial"/>
          <w:color w:val="000000"/>
          <w:lang w:eastAsia="en-US"/>
        </w:rPr>
        <w:t xml:space="preserve">iven the fixed budget appropriations, adjustments to policy settings are required to </w:t>
      </w:r>
      <w:r w:rsidR="00FA54B6" w:rsidRPr="001D3E93">
        <w:rPr>
          <w:rFonts w:ascii="Verdana" w:eastAsia="Verdana" w:hAnsi="Verdana" w:cs="Arial"/>
          <w:color w:val="000000"/>
          <w:lang w:eastAsia="en-US"/>
        </w:rPr>
        <w:t>balance the level of interest in t</w:t>
      </w:r>
      <w:r w:rsidRPr="001D3E93">
        <w:rPr>
          <w:rFonts w:ascii="Verdana" w:eastAsia="Verdana" w:hAnsi="Verdana" w:cs="Arial"/>
          <w:color w:val="000000"/>
          <w:lang w:eastAsia="en-US"/>
        </w:rPr>
        <w:t>he program and provide sufficient funding for quality outcomes</w:t>
      </w:r>
      <w:r w:rsidR="00201573" w:rsidRPr="001D3E93">
        <w:rPr>
          <w:rFonts w:ascii="Verdana" w:eastAsia="Verdana" w:hAnsi="Verdana" w:cs="Arial"/>
          <w:color w:val="000000"/>
          <w:lang w:eastAsia="en-US"/>
        </w:rPr>
        <w:t xml:space="preserve"> for applicants</w:t>
      </w:r>
      <w:r w:rsidR="007865C6" w:rsidRPr="001D3E93">
        <w:rPr>
          <w:rFonts w:ascii="Verdana" w:eastAsia="Verdana" w:hAnsi="Verdana" w:cs="Arial"/>
          <w:color w:val="000000"/>
          <w:lang w:eastAsia="en-US"/>
        </w:rPr>
        <w:t xml:space="preserve">. </w:t>
      </w:r>
      <w:r w:rsidRPr="001D3E93">
        <w:rPr>
          <w:rFonts w:ascii="Verdana" w:eastAsia="Verdana" w:hAnsi="Verdana" w:cs="Arial"/>
          <w:color w:val="000000"/>
          <w:lang w:eastAsia="en-US"/>
        </w:rPr>
        <w:t xml:space="preserve">The sooner policy settings can be planned, consulted on and implemented, the sooner EMDG grant amounts could increase. </w:t>
      </w:r>
      <w:bookmarkStart w:id="63" w:name="_Hlk118634310"/>
      <w:r w:rsidR="00C13E0F" w:rsidRPr="001D3E93">
        <w:rPr>
          <w:rFonts w:ascii="Verdana" w:eastAsia="Verdana" w:hAnsi="Verdana" w:cs="Arial"/>
          <w:color w:val="000000"/>
          <w:lang w:eastAsia="en-US"/>
        </w:rPr>
        <w:t xml:space="preserve">While the Terms of Reference for this Review noted significant policy changes </w:t>
      </w:r>
      <w:r w:rsidR="00512233" w:rsidRPr="001D3E93">
        <w:rPr>
          <w:rFonts w:ascii="Verdana" w:eastAsia="Verdana" w:hAnsi="Verdana" w:cs="Arial"/>
          <w:color w:val="000000"/>
          <w:lang w:eastAsia="en-US"/>
        </w:rPr>
        <w:t xml:space="preserve">could be identified for consideration in the next legislative review, it is clear that the requirement for change is needed </w:t>
      </w:r>
      <w:r w:rsidR="008A2722" w:rsidRPr="001D3E93">
        <w:rPr>
          <w:rFonts w:ascii="Verdana" w:eastAsia="Verdana" w:hAnsi="Verdana" w:cs="Arial"/>
          <w:color w:val="000000"/>
          <w:lang w:eastAsia="en-US"/>
        </w:rPr>
        <w:t>much sooner.</w:t>
      </w:r>
      <w:r w:rsidRPr="001D3E93">
        <w:rPr>
          <w:rFonts w:ascii="Verdana" w:eastAsia="Verdana" w:hAnsi="Verdana" w:cs="Arial"/>
          <w:color w:val="000000"/>
          <w:lang w:eastAsia="en-US"/>
        </w:rPr>
        <w:t xml:space="preserve"> There is a window of opportunity between now and EMDG Round 4 in 2024-</w:t>
      </w:r>
      <w:r w:rsidR="00FB66E0" w:rsidRPr="001D3E93">
        <w:rPr>
          <w:rFonts w:ascii="Verdana" w:eastAsia="Verdana" w:hAnsi="Verdana" w:cs="Arial"/>
          <w:color w:val="000000"/>
          <w:lang w:eastAsia="en-US"/>
        </w:rPr>
        <w:t>20</w:t>
      </w:r>
      <w:r w:rsidRPr="001D3E93">
        <w:rPr>
          <w:rFonts w:ascii="Verdana" w:eastAsia="Verdana" w:hAnsi="Verdana" w:cs="Arial"/>
          <w:color w:val="000000"/>
          <w:lang w:eastAsia="en-US"/>
        </w:rPr>
        <w:t xml:space="preserve">25 to progress this work. </w:t>
      </w:r>
    </w:p>
    <w:bookmarkEnd w:id="63"/>
    <w:p w14:paraId="36306462" w14:textId="68129884" w:rsidR="00A0613F" w:rsidRPr="001D3E93" w:rsidRDefault="00665951" w:rsidP="00A0613F">
      <w:pPr>
        <w:spacing w:after="160" w:line="259" w:lineRule="auto"/>
        <w:rPr>
          <w:rFonts w:ascii="Verdana" w:eastAsia="Calibri" w:hAnsi="Verdana" w:cs="Arial"/>
          <w:lang w:val="en-US" w:eastAsia="en-US"/>
        </w:rPr>
      </w:pPr>
      <w:r w:rsidRPr="001D3E93">
        <w:rPr>
          <w:rFonts w:ascii="Verdana" w:eastAsia="Verdana" w:hAnsi="Verdana" w:cs="Arial"/>
          <w:color w:val="000000"/>
          <w:lang w:eastAsia="en-US"/>
        </w:rPr>
        <w:t>To reduce</w:t>
      </w:r>
      <w:r w:rsidR="00A0613F" w:rsidRPr="001D3E93">
        <w:rPr>
          <w:rFonts w:ascii="Verdana" w:eastAsia="Verdana" w:hAnsi="Verdana" w:cs="Arial"/>
          <w:color w:val="000000"/>
          <w:lang w:eastAsia="en-US"/>
        </w:rPr>
        <w:t xml:space="preserve"> complexity </w:t>
      </w:r>
      <w:r w:rsidR="00E365A3" w:rsidRPr="001D3E93">
        <w:rPr>
          <w:rFonts w:ascii="Verdana" w:eastAsia="Verdana" w:hAnsi="Verdana" w:cs="Arial"/>
          <w:color w:val="000000"/>
          <w:lang w:eastAsia="en-US"/>
        </w:rPr>
        <w:t xml:space="preserve">experienced </w:t>
      </w:r>
      <w:r w:rsidR="00A0613F" w:rsidRPr="001D3E93">
        <w:rPr>
          <w:rFonts w:ascii="Verdana" w:eastAsia="Verdana" w:hAnsi="Verdana" w:cs="Arial"/>
          <w:color w:val="000000"/>
          <w:lang w:eastAsia="en-US"/>
        </w:rPr>
        <w:t xml:space="preserve">by both stakeholders and Austrade in previously administering two programs </w:t>
      </w:r>
      <w:r w:rsidR="00E365A3" w:rsidRPr="001D3E93">
        <w:rPr>
          <w:rFonts w:ascii="Verdana" w:eastAsia="Verdana" w:hAnsi="Verdana" w:cs="Arial"/>
          <w:color w:val="000000"/>
          <w:lang w:eastAsia="en-US"/>
        </w:rPr>
        <w:t xml:space="preserve">with different rules </w:t>
      </w:r>
      <w:r w:rsidR="00A0613F" w:rsidRPr="001D3E93">
        <w:rPr>
          <w:rFonts w:ascii="Verdana" w:eastAsia="Verdana" w:hAnsi="Verdana" w:cs="Arial"/>
          <w:color w:val="000000"/>
          <w:lang w:eastAsia="en-US"/>
        </w:rPr>
        <w:t xml:space="preserve">at </w:t>
      </w:r>
      <w:r w:rsidR="00E365A3" w:rsidRPr="001D3E93">
        <w:rPr>
          <w:rFonts w:ascii="Verdana" w:eastAsia="Verdana" w:hAnsi="Verdana" w:cs="Arial"/>
          <w:color w:val="000000"/>
          <w:lang w:eastAsia="en-US"/>
        </w:rPr>
        <w:t>the same time</w:t>
      </w:r>
      <w:r w:rsidR="00A0613F" w:rsidRPr="001D3E93">
        <w:rPr>
          <w:rFonts w:ascii="Verdana" w:eastAsia="Verdana" w:hAnsi="Verdana" w:cs="Arial"/>
          <w:color w:val="000000"/>
          <w:lang w:eastAsia="en-US"/>
        </w:rPr>
        <w:t xml:space="preserve">, </w:t>
      </w:r>
      <w:r w:rsidR="00000248" w:rsidRPr="001D3E93">
        <w:rPr>
          <w:rFonts w:ascii="Verdana" w:eastAsia="Verdana" w:hAnsi="Verdana" w:cs="Arial"/>
          <w:color w:val="000000"/>
          <w:lang w:eastAsia="en-US"/>
        </w:rPr>
        <w:t xml:space="preserve">any </w:t>
      </w:r>
      <w:r w:rsidR="005E1682" w:rsidRPr="001D3E93">
        <w:rPr>
          <w:rFonts w:ascii="Verdana" w:eastAsia="Verdana" w:hAnsi="Verdana" w:cs="Arial"/>
          <w:color w:val="000000"/>
          <w:lang w:eastAsia="en-US"/>
        </w:rPr>
        <w:t>changes</w:t>
      </w:r>
      <w:r w:rsidR="009F3220" w:rsidRPr="001D3E93">
        <w:rPr>
          <w:rFonts w:ascii="Verdana" w:eastAsia="Verdana" w:hAnsi="Verdana" w:cs="Arial"/>
          <w:color w:val="000000"/>
          <w:lang w:eastAsia="en-US"/>
        </w:rPr>
        <w:t xml:space="preserve"> to</w:t>
      </w:r>
      <w:r w:rsidR="00A0613F" w:rsidRPr="001D3E93">
        <w:rPr>
          <w:rFonts w:ascii="Verdana" w:eastAsia="Verdana" w:hAnsi="Verdana" w:cs="Arial"/>
          <w:color w:val="000000"/>
          <w:lang w:eastAsia="en-US"/>
        </w:rPr>
        <w:t xml:space="preserve"> program rules </w:t>
      </w:r>
      <w:r w:rsidR="00F13F47" w:rsidRPr="001D3E93">
        <w:rPr>
          <w:rFonts w:ascii="Verdana" w:eastAsia="Verdana" w:hAnsi="Verdana" w:cs="Arial"/>
          <w:color w:val="000000"/>
          <w:lang w:eastAsia="en-US"/>
        </w:rPr>
        <w:t xml:space="preserve">should attempt to </w:t>
      </w:r>
      <w:r w:rsidR="004375C8" w:rsidRPr="001D3E93">
        <w:rPr>
          <w:rFonts w:ascii="Verdana" w:eastAsia="Verdana" w:hAnsi="Verdana" w:cs="Arial"/>
          <w:color w:val="000000"/>
          <w:lang w:eastAsia="en-US"/>
        </w:rPr>
        <w:t>avoid</w:t>
      </w:r>
      <w:r w:rsidR="00A0613F" w:rsidRPr="001D3E93">
        <w:rPr>
          <w:rFonts w:ascii="Verdana" w:eastAsia="Verdana" w:hAnsi="Verdana" w:cs="Arial"/>
          <w:color w:val="000000"/>
          <w:lang w:eastAsia="en-US"/>
        </w:rPr>
        <w:t xml:space="preserve"> any overlap with previous grant agreements. </w:t>
      </w:r>
      <w:r w:rsidR="00A0613F" w:rsidRPr="001D3E93">
        <w:rPr>
          <w:rFonts w:ascii="Verdana" w:eastAsia="Verdana" w:hAnsi="Verdana" w:cs="Arial"/>
          <w:color w:val="000000"/>
          <w:lang w:val="en-US" w:eastAsia="en-US"/>
        </w:rPr>
        <w:t xml:space="preserve">This can be </w:t>
      </w:r>
      <w:r w:rsidR="00A0613F" w:rsidRPr="001D3E93">
        <w:rPr>
          <w:rFonts w:ascii="Verdana" w:eastAsia="Verdana" w:hAnsi="Verdana" w:cs="Arial"/>
          <w:color w:val="000000"/>
          <w:lang w:val="en-US" w:eastAsia="en-US"/>
        </w:rPr>
        <w:lastRenderedPageBreak/>
        <w:t>achieved by issuing EMDG 2.0 Round 2 grant agreements</w:t>
      </w:r>
      <w:r w:rsidR="00E21AB6" w:rsidRPr="001D3E93">
        <w:rPr>
          <w:rFonts w:ascii="Verdana" w:eastAsia="Verdana" w:hAnsi="Verdana" w:cs="Arial"/>
          <w:color w:val="000000"/>
          <w:lang w:val="en-US" w:eastAsia="en-US"/>
        </w:rPr>
        <w:t xml:space="preserve"> for </w:t>
      </w:r>
      <w:r w:rsidR="00A0613F" w:rsidRPr="001D3E93">
        <w:rPr>
          <w:rFonts w:ascii="Verdana" w:eastAsia="Verdana" w:hAnsi="Verdana" w:cs="Arial"/>
          <w:color w:val="000000"/>
          <w:lang w:val="en-US" w:eastAsia="en-US"/>
        </w:rPr>
        <w:t xml:space="preserve">a maximum of two years and EMDG 2.0 Round 3 agreements for one year. This will allow the full appropriation for EMDG in Round 4 </w:t>
      </w:r>
      <w:r w:rsidR="00F709A6" w:rsidRPr="001D3E93">
        <w:rPr>
          <w:rFonts w:ascii="Verdana" w:eastAsia="Verdana" w:hAnsi="Verdana" w:cs="Arial"/>
          <w:color w:val="000000"/>
          <w:lang w:val="en-US" w:eastAsia="en-US"/>
        </w:rPr>
        <w:t xml:space="preserve">in 2024 </w:t>
      </w:r>
      <w:r w:rsidR="00A0613F" w:rsidRPr="001D3E93">
        <w:rPr>
          <w:rFonts w:ascii="Verdana" w:eastAsia="Verdana" w:hAnsi="Verdana" w:cs="Arial"/>
          <w:color w:val="000000"/>
          <w:lang w:val="en-US" w:eastAsia="en-US"/>
        </w:rPr>
        <w:t>(2025-</w:t>
      </w:r>
      <w:r w:rsidR="004E41A1" w:rsidRPr="001D3E93">
        <w:rPr>
          <w:rFonts w:ascii="Verdana" w:eastAsia="Verdana" w:hAnsi="Verdana" w:cs="Arial"/>
          <w:color w:val="000000"/>
          <w:lang w:val="en-US" w:eastAsia="en-US"/>
        </w:rPr>
        <w:t>20</w:t>
      </w:r>
      <w:r w:rsidR="00A0613F" w:rsidRPr="001D3E93">
        <w:rPr>
          <w:rFonts w:ascii="Verdana" w:eastAsia="Verdana" w:hAnsi="Verdana" w:cs="Arial"/>
          <w:color w:val="000000"/>
          <w:lang w:val="en-US" w:eastAsia="en-US"/>
        </w:rPr>
        <w:t>26</w:t>
      </w:r>
      <w:r w:rsidR="00DF770E" w:rsidRPr="001D3E93">
        <w:rPr>
          <w:rFonts w:ascii="Verdana" w:eastAsia="Verdana" w:hAnsi="Verdana" w:cs="Arial"/>
          <w:color w:val="000000"/>
          <w:lang w:val="en-US" w:eastAsia="en-US"/>
        </w:rPr>
        <w:t xml:space="preserve"> payment year</w:t>
      </w:r>
      <w:r w:rsidR="00A0613F" w:rsidRPr="001D3E93">
        <w:rPr>
          <w:rFonts w:ascii="Verdana" w:eastAsia="Verdana" w:hAnsi="Verdana" w:cs="Arial"/>
          <w:color w:val="000000"/>
          <w:lang w:val="en-US" w:eastAsia="en-US"/>
        </w:rPr>
        <w:t>) to be allocated to new program settings</w:t>
      </w:r>
      <w:r w:rsidR="00D351AA" w:rsidRPr="001D3E93">
        <w:rPr>
          <w:rFonts w:ascii="Verdana" w:eastAsia="Verdana" w:hAnsi="Verdana" w:cs="Arial"/>
          <w:color w:val="000000"/>
          <w:lang w:val="en-US" w:eastAsia="en-US"/>
        </w:rPr>
        <w:t xml:space="preserve"> </w:t>
      </w:r>
      <w:r w:rsidR="00A0613F" w:rsidRPr="001D3E93">
        <w:rPr>
          <w:rFonts w:ascii="Verdana" w:eastAsia="Verdana" w:hAnsi="Verdana" w:cs="Arial"/>
          <w:color w:val="000000"/>
          <w:lang w:val="en-US" w:eastAsia="en-US"/>
        </w:rPr>
        <w:t xml:space="preserve">and avoid confusion and </w:t>
      </w:r>
      <w:r w:rsidR="008C143F" w:rsidRPr="001D3E93">
        <w:rPr>
          <w:rFonts w:ascii="Verdana" w:eastAsia="Verdana" w:hAnsi="Verdana" w:cs="Arial"/>
          <w:color w:val="000000"/>
          <w:lang w:val="en-US" w:eastAsia="en-US"/>
        </w:rPr>
        <w:t xml:space="preserve">the </w:t>
      </w:r>
      <w:r w:rsidR="00A0613F" w:rsidRPr="001D3E93">
        <w:rPr>
          <w:rFonts w:ascii="Verdana" w:eastAsia="Verdana" w:hAnsi="Verdana" w:cs="Arial"/>
          <w:color w:val="000000"/>
          <w:lang w:val="en-US" w:eastAsia="en-US"/>
        </w:rPr>
        <w:t>cost associated with the concurrent application of different rules.</w:t>
      </w:r>
    </w:p>
    <w:p w14:paraId="7987D379" w14:textId="1670C436" w:rsidR="00A0613F" w:rsidRPr="001D3E93" w:rsidRDefault="00855D8A" w:rsidP="00A0613F">
      <w:pPr>
        <w:spacing w:after="160" w:line="259" w:lineRule="auto"/>
        <w:rPr>
          <w:rFonts w:ascii="Verdana" w:eastAsia="Verdana" w:hAnsi="Verdana" w:cs="Calibri"/>
          <w:color w:val="000000"/>
          <w:lang w:val="en-US" w:eastAsia="en-US"/>
        </w:rPr>
      </w:pPr>
      <w:r w:rsidRPr="001D3E93">
        <w:rPr>
          <w:rFonts w:ascii="Verdana" w:eastAsia="Verdana" w:hAnsi="Verdana" w:cs="Arial"/>
          <w:color w:val="000000"/>
          <w:lang w:eastAsia="en-US"/>
        </w:rPr>
        <w:t>T</w:t>
      </w:r>
      <w:r w:rsidR="00A0613F" w:rsidRPr="001D3E93">
        <w:rPr>
          <w:rFonts w:ascii="Verdana" w:eastAsia="Verdana" w:hAnsi="Verdana" w:cs="Arial"/>
          <w:color w:val="000000"/>
          <w:lang w:eastAsia="en-US"/>
        </w:rPr>
        <w:t>o improve the client experience and to reduce administrative costs,</w:t>
      </w:r>
      <w:r w:rsidR="00A80178" w:rsidRPr="001D3E93">
        <w:rPr>
          <w:rFonts w:ascii="Verdana" w:eastAsia="Verdana" w:hAnsi="Verdana" w:cs="Arial"/>
          <w:color w:val="000000"/>
          <w:lang w:eastAsia="en-US"/>
        </w:rPr>
        <w:t xml:space="preserve"> </w:t>
      </w:r>
      <w:r w:rsidR="00A0613F" w:rsidRPr="001D3E93">
        <w:rPr>
          <w:rFonts w:ascii="Verdana" w:eastAsia="Verdana" w:hAnsi="Verdana" w:cs="Arial"/>
          <w:color w:val="000000"/>
          <w:lang w:eastAsia="en-US"/>
        </w:rPr>
        <w:t>EMDG’s IT system</w:t>
      </w:r>
      <w:r w:rsidR="00766A6B" w:rsidRPr="001D3E93">
        <w:rPr>
          <w:rFonts w:ascii="Verdana" w:eastAsia="Verdana" w:hAnsi="Verdana" w:cs="Arial"/>
          <w:color w:val="000000"/>
          <w:lang w:eastAsia="en-US"/>
        </w:rPr>
        <w:t xml:space="preserve"> </w:t>
      </w:r>
      <w:r w:rsidR="00CB0681" w:rsidRPr="001D3E93">
        <w:rPr>
          <w:rFonts w:ascii="Verdana" w:eastAsia="Verdana" w:hAnsi="Verdana" w:cs="Arial"/>
          <w:color w:val="000000"/>
          <w:lang w:eastAsia="en-US"/>
        </w:rPr>
        <w:t xml:space="preserve">should continue </w:t>
      </w:r>
      <w:r w:rsidR="00426B05" w:rsidRPr="001D3E93">
        <w:rPr>
          <w:rFonts w:ascii="Verdana" w:eastAsia="Verdana" w:hAnsi="Verdana" w:cs="Arial"/>
          <w:color w:val="000000"/>
          <w:lang w:eastAsia="en-US"/>
        </w:rPr>
        <w:t xml:space="preserve">to be </w:t>
      </w:r>
      <w:r w:rsidR="00CB0681" w:rsidRPr="001D3E93">
        <w:rPr>
          <w:rFonts w:ascii="Verdana" w:eastAsia="Verdana" w:hAnsi="Verdana" w:cs="Arial"/>
          <w:color w:val="000000"/>
          <w:lang w:eastAsia="en-US"/>
        </w:rPr>
        <w:t>updated</w:t>
      </w:r>
      <w:r w:rsidR="00EA468C" w:rsidRPr="001D3E93">
        <w:rPr>
          <w:rFonts w:ascii="Verdana" w:eastAsia="Verdana" w:hAnsi="Verdana" w:cs="Arial"/>
          <w:color w:val="000000"/>
          <w:lang w:eastAsia="en-US"/>
        </w:rPr>
        <w:t xml:space="preserve">. </w:t>
      </w:r>
      <w:r w:rsidR="008A4B62" w:rsidRPr="001D3E93">
        <w:rPr>
          <w:rFonts w:ascii="Verdana" w:eastAsia="Verdana" w:hAnsi="Verdana" w:cs="Arial"/>
          <w:color w:val="000000"/>
          <w:lang w:eastAsia="en-US"/>
        </w:rPr>
        <w:t xml:space="preserve">Improved </w:t>
      </w:r>
      <w:r w:rsidR="00727CE0" w:rsidRPr="001D3E93">
        <w:rPr>
          <w:rFonts w:ascii="Verdana" w:eastAsia="Verdana" w:hAnsi="Verdana" w:cs="Arial"/>
          <w:color w:val="000000"/>
          <w:lang w:eastAsia="en-US"/>
        </w:rPr>
        <w:t>IT will</w:t>
      </w:r>
      <w:r w:rsidR="00A0613F" w:rsidRPr="001D3E93">
        <w:rPr>
          <w:rFonts w:ascii="Verdana" w:eastAsia="Verdana" w:hAnsi="Verdana" w:cs="Arial"/>
          <w:color w:val="000000"/>
          <w:lang w:eastAsia="en-US"/>
        </w:rPr>
        <w:t xml:space="preserve"> build greater automation, reduce manual staffing costs, </w:t>
      </w:r>
      <w:r w:rsidR="00D231D9" w:rsidRPr="001D3E93">
        <w:rPr>
          <w:rFonts w:ascii="Verdana" w:eastAsia="Verdana" w:hAnsi="Verdana" w:cs="Arial"/>
          <w:color w:val="000000"/>
          <w:lang w:eastAsia="en-US"/>
        </w:rPr>
        <w:t xml:space="preserve">allow for </w:t>
      </w:r>
      <w:r w:rsidR="00A0613F" w:rsidRPr="001D3E93">
        <w:rPr>
          <w:rFonts w:ascii="Verdana" w:eastAsia="Verdana" w:hAnsi="Verdana" w:cs="Arial"/>
          <w:color w:val="000000"/>
          <w:lang w:eastAsia="en-US"/>
        </w:rPr>
        <w:t>collect</w:t>
      </w:r>
      <w:r w:rsidR="008D4B03" w:rsidRPr="001D3E93">
        <w:rPr>
          <w:rFonts w:ascii="Verdana" w:eastAsia="Verdana" w:hAnsi="Verdana" w:cs="Arial"/>
          <w:color w:val="000000"/>
          <w:lang w:eastAsia="en-US"/>
        </w:rPr>
        <w:t>ion</w:t>
      </w:r>
      <w:r w:rsidR="003F499D" w:rsidRPr="001D3E93">
        <w:rPr>
          <w:rFonts w:ascii="Verdana" w:eastAsia="Verdana" w:hAnsi="Verdana" w:cs="Arial"/>
          <w:color w:val="000000"/>
          <w:lang w:eastAsia="en-US"/>
        </w:rPr>
        <w:t xml:space="preserve"> of</w:t>
      </w:r>
      <w:r w:rsidR="00A0613F" w:rsidRPr="001D3E93">
        <w:rPr>
          <w:rFonts w:ascii="Verdana" w:eastAsia="Verdana" w:hAnsi="Verdana" w:cs="Arial"/>
          <w:color w:val="000000"/>
          <w:lang w:eastAsia="en-US"/>
        </w:rPr>
        <w:t xml:space="preserve"> data to measure return on investment and increase opportunities for risk-assessed grant extensions</w:t>
      </w:r>
      <w:r w:rsidR="00CB21B7" w:rsidRPr="001D3E93">
        <w:rPr>
          <w:rFonts w:ascii="Verdana" w:eastAsia="Verdana" w:hAnsi="Verdana" w:cs="Arial"/>
          <w:color w:val="000000"/>
          <w:lang w:eastAsia="en-US"/>
        </w:rPr>
        <w:t>,</w:t>
      </w:r>
      <w:r w:rsidR="00A0613F" w:rsidRPr="001D3E93">
        <w:rPr>
          <w:rFonts w:ascii="Verdana" w:eastAsia="Verdana" w:hAnsi="Verdana" w:cs="Arial"/>
          <w:color w:val="000000"/>
          <w:lang w:eastAsia="en-US"/>
        </w:rPr>
        <w:t xml:space="preserve"> where warranted.</w:t>
      </w:r>
    </w:p>
    <w:p w14:paraId="6AC8BAEC" w14:textId="2CC7024F" w:rsidR="00A0613F" w:rsidRPr="001D3E93" w:rsidRDefault="00A0613F" w:rsidP="00A0613F">
      <w:pPr>
        <w:spacing w:after="0" w:line="259" w:lineRule="auto"/>
        <w:rPr>
          <w:rFonts w:ascii="Verdana" w:eastAsia="Verdana" w:hAnsi="Verdana" w:cs="Arial"/>
          <w:color w:val="000000"/>
          <w:lang w:eastAsia="en-US"/>
        </w:rPr>
      </w:pPr>
      <w:r w:rsidRPr="001D3E93">
        <w:rPr>
          <w:rFonts w:ascii="Verdana" w:eastAsia="Verdana" w:hAnsi="Verdana" w:cs="Arial"/>
          <w:color w:val="000000"/>
          <w:lang w:eastAsia="en-US"/>
        </w:rPr>
        <w:t xml:space="preserve">A consolidated list of opportunities for improvement are in Table 1 below. </w:t>
      </w:r>
    </w:p>
    <w:p w14:paraId="74550BC8" w14:textId="484A5340" w:rsidR="00A0613F" w:rsidRPr="001D3E93" w:rsidRDefault="00C93569">
      <w:pPr>
        <w:pStyle w:val="Heading3"/>
        <w:rPr>
          <w:b w:val="0"/>
          <w:bCs w:val="0"/>
          <w:caps w:val="0"/>
          <w:lang w:val="en-US" w:eastAsia="en-US"/>
        </w:rPr>
      </w:pPr>
      <w:bookmarkStart w:id="64" w:name="_Toc124422501"/>
      <w:bookmarkStart w:id="65" w:name="_Toc124433370"/>
      <w:bookmarkStart w:id="66" w:name="_Toc933438208"/>
      <w:r w:rsidRPr="00731183">
        <w:rPr>
          <w:b w:val="0"/>
          <w:bCs w:val="0"/>
          <w:caps w:val="0"/>
          <w:lang w:val="en-US" w:eastAsia="en-US"/>
        </w:rPr>
        <w:t xml:space="preserve">Table 1: </w:t>
      </w:r>
      <w:r w:rsidRPr="001D3E93">
        <w:rPr>
          <w:b w:val="0"/>
          <w:bCs w:val="0"/>
          <w:caps w:val="0"/>
          <w:lang w:val="en-US" w:eastAsia="en-US"/>
        </w:rPr>
        <w:t>EMDG</w:t>
      </w:r>
      <w:r w:rsidRPr="00731183">
        <w:rPr>
          <w:b w:val="0"/>
          <w:bCs w:val="0"/>
          <w:caps w:val="0"/>
          <w:lang w:val="en-US" w:eastAsia="en-US"/>
        </w:rPr>
        <w:t xml:space="preserve"> operational review opportunities for improvement</w:t>
      </w:r>
      <w:bookmarkEnd w:id="64"/>
      <w:bookmarkEnd w:id="65"/>
      <w:r w:rsidRPr="00731183">
        <w:rPr>
          <w:b w:val="0"/>
          <w:bCs w:val="0"/>
          <w:caps w:val="0"/>
          <w:lang w:val="en-US" w:eastAsia="en-US"/>
        </w:rPr>
        <w:t> </w:t>
      </w:r>
      <w:bookmarkEnd w:id="66"/>
    </w:p>
    <w:tbl>
      <w:tblPr>
        <w:tblStyle w:val="TableGrid"/>
        <w:tblW w:w="0" w:type="auto"/>
        <w:tblLook w:val="04A0" w:firstRow="1" w:lastRow="0" w:firstColumn="1" w:lastColumn="0" w:noHBand="0" w:noVBand="1"/>
        <w:tblCaption w:val="Table 1: EMDG operational review opportunities for improvement "/>
      </w:tblPr>
      <w:tblGrid>
        <w:gridCol w:w="9628"/>
      </w:tblGrid>
      <w:tr w:rsidR="00C1525C" w:rsidRPr="001D3E93" w14:paraId="2A3BEF4B" w14:textId="77777777" w:rsidTr="00790A95">
        <w:tc>
          <w:tcPr>
            <w:tcW w:w="9628" w:type="dxa"/>
          </w:tcPr>
          <w:p w14:paraId="5857EC68" w14:textId="7F32979D" w:rsidR="00C1525C" w:rsidRPr="001D3E93" w:rsidRDefault="00C1525C" w:rsidP="00C1525C">
            <w:pPr>
              <w:spacing w:before="120" w:after="160" w:line="259" w:lineRule="auto"/>
              <w:rPr>
                <w:rFonts w:ascii="Verdana" w:eastAsia="Times New Roman" w:hAnsi="Verdana" w:cs="Calibri"/>
                <w:sz w:val="22"/>
                <w:szCs w:val="22"/>
                <w:lang w:val="en-US" w:eastAsia="en-AU"/>
              </w:rPr>
            </w:pPr>
            <w:r w:rsidRPr="00843DA3">
              <w:rPr>
                <w:rFonts w:ascii="Verdana" w:eastAsia="Times New Roman" w:hAnsi="Verdana" w:cs="Calibri"/>
                <w:sz w:val="22"/>
                <w:szCs w:val="22"/>
                <w:lang w:val="en-US" w:eastAsia="en-AU"/>
              </w:rPr>
              <w:t>Phase 1: Short-</w:t>
            </w:r>
            <w:r w:rsidRPr="001D3E93">
              <w:rPr>
                <w:rFonts w:ascii="Verdana" w:eastAsia="Times New Roman" w:hAnsi="Verdana" w:cs="Calibri"/>
                <w:sz w:val="22"/>
                <w:szCs w:val="22"/>
                <w:lang w:val="en-US" w:eastAsia="en-AU"/>
              </w:rPr>
              <w:t>T</w:t>
            </w:r>
            <w:r w:rsidRPr="00731183">
              <w:rPr>
                <w:rFonts w:ascii="Verdana" w:eastAsia="Times New Roman" w:hAnsi="Verdana" w:cs="Calibri"/>
                <w:sz w:val="22"/>
                <w:szCs w:val="22"/>
                <w:lang w:val="en-US" w:eastAsia="en-AU"/>
              </w:rPr>
              <w:t>erm Opportunities for Improvement</w:t>
            </w:r>
          </w:p>
          <w:p w14:paraId="40153BA8" w14:textId="77777777" w:rsidR="00C1525C" w:rsidRPr="001D3E93" w:rsidRDefault="00C1525C" w:rsidP="00C1525C">
            <w:pPr>
              <w:spacing w:before="160" w:after="60" w:line="259" w:lineRule="auto"/>
              <w:rPr>
                <w:rFonts w:ascii="Verdana" w:eastAsia="Times New Roman" w:hAnsi="Verdana" w:cs="Calibri"/>
                <w:lang w:val="en-US" w:eastAsia="en-AU"/>
              </w:rPr>
            </w:pPr>
            <w:r w:rsidRPr="00731183">
              <w:rPr>
                <w:rFonts w:ascii="Verdana" w:eastAsia="Times New Roman" w:hAnsi="Verdana" w:cs="Calibri"/>
                <w:lang w:val="en-US" w:eastAsia="en-AU"/>
              </w:rPr>
              <w:t>Program Design</w:t>
            </w:r>
          </w:p>
          <w:p w14:paraId="099E68C3" w14:textId="4D7172FD" w:rsidR="00C1525C" w:rsidRPr="00731183" w:rsidRDefault="00C1525C" w:rsidP="00731183">
            <w:pPr>
              <w:pStyle w:val="ListParagraph"/>
              <w:numPr>
                <w:ilvl w:val="0"/>
                <w:numId w:val="62"/>
              </w:numPr>
              <w:spacing w:after="160" w:line="259" w:lineRule="auto"/>
              <w:ind w:left="714" w:hanging="357"/>
              <w:contextualSpacing w:val="0"/>
            </w:pPr>
            <w:r w:rsidRPr="00731183">
              <w:t>Update the definition of “</w:t>
            </w:r>
            <w:r w:rsidR="00A22EC9">
              <w:t>s</w:t>
            </w:r>
            <w:r w:rsidRPr="00731183">
              <w:t xml:space="preserve">trategic </w:t>
            </w:r>
            <w:r w:rsidR="00A22EC9">
              <w:t>s</w:t>
            </w:r>
            <w:r w:rsidRPr="00731183">
              <w:t>hift” in the EMDG Guidelines for Round 3 to align with Government’s trade policy objectives on product and market diversification and improve clarity. </w:t>
            </w:r>
          </w:p>
          <w:p w14:paraId="1D25B451" w14:textId="77777777" w:rsidR="00C1525C" w:rsidRPr="00731183" w:rsidRDefault="00C1525C" w:rsidP="00731183">
            <w:pPr>
              <w:pStyle w:val="ListParagraph"/>
              <w:numPr>
                <w:ilvl w:val="0"/>
                <w:numId w:val="62"/>
              </w:numPr>
              <w:spacing w:after="160" w:line="259" w:lineRule="auto"/>
              <w:ind w:left="714" w:hanging="357"/>
              <w:contextualSpacing w:val="0"/>
            </w:pPr>
            <w:r w:rsidRPr="00731183">
              <w:t>Limit grant agreements to a maximum of two years for all Tiers for Round 2 (a decision for the Austrade delegate within Round 2 Guidelines) and one year for Round 3 (a decision for the Minister when approving the Round 3 Guidelines).</w:t>
            </w:r>
          </w:p>
          <w:p w14:paraId="4A835919" w14:textId="77777777" w:rsidR="00C1525C" w:rsidRPr="00731183" w:rsidRDefault="00C1525C" w:rsidP="00731183">
            <w:pPr>
              <w:pStyle w:val="ListParagraph"/>
              <w:numPr>
                <w:ilvl w:val="0"/>
                <w:numId w:val="62"/>
              </w:numPr>
              <w:spacing w:after="160" w:line="259" w:lineRule="auto"/>
              <w:ind w:left="714" w:hanging="357"/>
              <w:contextualSpacing w:val="0"/>
            </w:pPr>
            <w:r w:rsidRPr="00731183">
              <w:t xml:space="preserve">Set a regular program cadence, with application dates, milestone reporting and processes occurring at same time each year. Grant recipients should ideally know their grant allocation before the commencement of the financial year to which it applies. </w:t>
            </w:r>
          </w:p>
          <w:p w14:paraId="2BFDED79" w14:textId="77777777" w:rsidR="00C1525C" w:rsidRPr="00731183" w:rsidRDefault="00C1525C" w:rsidP="00731183">
            <w:pPr>
              <w:pStyle w:val="ListParagraph"/>
              <w:numPr>
                <w:ilvl w:val="0"/>
                <w:numId w:val="62"/>
              </w:numPr>
              <w:spacing w:after="160" w:line="259" w:lineRule="auto"/>
              <w:ind w:left="714" w:hanging="357"/>
              <w:contextualSpacing w:val="0"/>
            </w:pPr>
            <w:r w:rsidRPr="00731183">
              <w:t>Where feasible, ensure administrative processes (i.e., application and milestone reporting) are scheduled to avoid applying additional pressure to SMEs during End of Financial Year and where feasible (noting requirement for Ministerial decision) communicated early. </w:t>
            </w:r>
          </w:p>
          <w:p w14:paraId="478C092F" w14:textId="77777777" w:rsidR="00C1525C" w:rsidRPr="00731183" w:rsidRDefault="00C1525C" w:rsidP="00731183">
            <w:pPr>
              <w:pStyle w:val="ListParagraph"/>
              <w:numPr>
                <w:ilvl w:val="0"/>
                <w:numId w:val="62"/>
              </w:numPr>
              <w:spacing w:after="160" w:line="259" w:lineRule="auto"/>
              <w:ind w:left="714" w:hanging="357"/>
              <w:contextualSpacing w:val="0"/>
            </w:pPr>
            <w:r w:rsidRPr="00731183">
              <w:t>Ensure that data collected in the EMDG 2.0 application and milestone reporting process allows for effective, continuous evaluation of the program against objectives. </w:t>
            </w:r>
          </w:p>
          <w:p w14:paraId="62491BD3" w14:textId="77777777" w:rsidR="00C1525C" w:rsidRPr="001D3E93" w:rsidRDefault="00C1525C" w:rsidP="00C1525C">
            <w:pPr>
              <w:pStyle w:val="ListParagraph"/>
              <w:numPr>
                <w:ilvl w:val="0"/>
                <w:numId w:val="62"/>
              </w:numPr>
              <w:spacing w:after="160" w:line="259" w:lineRule="auto"/>
              <w:ind w:left="714" w:hanging="357"/>
              <w:contextualSpacing w:val="0"/>
            </w:pPr>
            <w:r w:rsidRPr="00731183">
              <w:t xml:space="preserve">Collaborate with the Australian Taxation Office (ATO) to ensure the risks associated with EMDG applicants who are not compliant with their taxation obligations are considered appropriately prior to potentially issuing grant agreements. Austrade needs to ensure businesses are solvent and able to apply their grant funds to EMDG and not potentially to meet tax debts. </w:t>
            </w:r>
          </w:p>
          <w:p w14:paraId="29BD5FFF" w14:textId="77777777" w:rsidR="00C1525C" w:rsidRPr="001D3E93" w:rsidDel="00584E7F" w:rsidRDefault="00C1525C" w:rsidP="00C1525C">
            <w:pPr>
              <w:spacing w:before="160" w:after="60" w:line="259" w:lineRule="auto"/>
              <w:rPr>
                <w:rFonts w:ascii="Verdana" w:eastAsia="Times New Roman" w:hAnsi="Verdana" w:cs="Calibri"/>
                <w:lang w:val="en-US" w:eastAsia="en-AU"/>
              </w:rPr>
            </w:pPr>
            <w:r w:rsidRPr="00731183">
              <w:rPr>
                <w:rFonts w:ascii="Verdana" w:eastAsia="Times New Roman" w:hAnsi="Verdana" w:cs="Calibri"/>
                <w:lang w:val="en-US" w:eastAsia="en-AU"/>
              </w:rPr>
              <w:t>Client Experience</w:t>
            </w:r>
          </w:p>
          <w:p w14:paraId="61187427" w14:textId="77777777" w:rsidR="00C1525C" w:rsidRPr="00731183" w:rsidRDefault="00C1525C" w:rsidP="00731183">
            <w:pPr>
              <w:pStyle w:val="ListParagraph"/>
              <w:numPr>
                <w:ilvl w:val="0"/>
                <w:numId w:val="62"/>
              </w:numPr>
              <w:spacing w:after="160" w:line="259" w:lineRule="auto"/>
              <w:ind w:left="714" w:hanging="357"/>
              <w:contextualSpacing w:val="0"/>
            </w:pPr>
            <w:r w:rsidRPr="00731183">
              <w:t>Seek the support of other agencies (e.g., ATO and Services Australia) to provide helpful guidance for EMDG clients in relation to processes related to EMDG such as linking MyGovID.</w:t>
            </w:r>
          </w:p>
          <w:p w14:paraId="022CF70E" w14:textId="77777777" w:rsidR="00C1525C" w:rsidRPr="001D3E93" w:rsidRDefault="00C1525C" w:rsidP="00C1525C">
            <w:pPr>
              <w:pStyle w:val="ListParagraph"/>
              <w:numPr>
                <w:ilvl w:val="0"/>
                <w:numId w:val="62"/>
              </w:numPr>
              <w:spacing w:after="160" w:line="259" w:lineRule="auto"/>
              <w:ind w:left="714" w:hanging="357"/>
              <w:contextualSpacing w:val="0"/>
            </w:pPr>
            <w:r w:rsidRPr="00731183">
              <w:t>Streamline the Plan to Market and Milestone Report templates for ease of applicants’ use while ensuring these meet program requirements and objectives, especially in relation to data for evaluation.    </w:t>
            </w:r>
          </w:p>
          <w:p w14:paraId="120E835E" w14:textId="77777777" w:rsidR="00C1525C" w:rsidRPr="001D3E93" w:rsidDel="00584E7F" w:rsidRDefault="00C1525C" w:rsidP="00C1525C">
            <w:pPr>
              <w:spacing w:before="160" w:after="60" w:line="259" w:lineRule="auto"/>
              <w:rPr>
                <w:rFonts w:ascii="Verdana" w:eastAsia="Times New Roman" w:hAnsi="Verdana" w:cs="Calibri"/>
                <w:lang w:val="en-US" w:eastAsia="en-AU"/>
              </w:rPr>
            </w:pPr>
            <w:r w:rsidRPr="00731183">
              <w:rPr>
                <w:rFonts w:ascii="Verdana" w:eastAsia="Times New Roman" w:hAnsi="Verdana" w:cs="Calibri"/>
                <w:lang w:val="en-US" w:eastAsia="en-AU"/>
              </w:rPr>
              <w:t>Communications</w:t>
            </w:r>
          </w:p>
          <w:p w14:paraId="51D2783A" w14:textId="77777777" w:rsidR="00C1525C" w:rsidRPr="00731183" w:rsidRDefault="00C1525C" w:rsidP="00731183">
            <w:pPr>
              <w:pStyle w:val="ListParagraph"/>
              <w:numPr>
                <w:ilvl w:val="0"/>
                <w:numId w:val="62"/>
              </w:numPr>
              <w:spacing w:after="160" w:line="259" w:lineRule="auto"/>
              <w:ind w:left="714" w:hanging="357"/>
              <w:contextualSpacing w:val="0"/>
            </w:pPr>
            <w:r w:rsidRPr="00731183">
              <w:t>Refine and provide information materials regularly throughout the EMDG cycle. These activities, such as webinars, could be tailored to meet the needs of those who are new to EMDG, and those who are experienced with the previous EMDG program.</w:t>
            </w:r>
          </w:p>
          <w:p w14:paraId="125B3A11" w14:textId="77777777" w:rsidR="00C1525C" w:rsidRPr="00731183" w:rsidRDefault="00C1525C" w:rsidP="00731183">
            <w:pPr>
              <w:pStyle w:val="ListParagraph"/>
              <w:numPr>
                <w:ilvl w:val="0"/>
                <w:numId w:val="62"/>
              </w:numPr>
              <w:spacing w:after="160" w:line="259" w:lineRule="auto"/>
              <w:ind w:left="714" w:hanging="357"/>
              <w:contextualSpacing w:val="0"/>
            </w:pPr>
            <w:r w:rsidRPr="00731183">
              <w:lastRenderedPageBreak/>
              <w:t>Continue to provide all applicants and industry stakeholders with clear and regular communications on EMDG and the opportunity to provide regular feedback on the program.  </w:t>
            </w:r>
          </w:p>
          <w:p w14:paraId="5818F354" w14:textId="573B316A" w:rsidR="00C1525C" w:rsidRPr="001D3E93" w:rsidDel="00584E7F" w:rsidRDefault="00C1525C" w:rsidP="00C1525C">
            <w:pPr>
              <w:pStyle w:val="ListParagraph"/>
              <w:numPr>
                <w:ilvl w:val="0"/>
                <w:numId w:val="62"/>
              </w:numPr>
              <w:spacing w:after="160" w:line="259" w:lineRule="auto"/>
              <w:ind w:left="714" w:hanging="357"/>
              <w:contextualSpacing w:val="0"/>
            </w:pPr>
            <w:r w:rsidRPr="00731183">
              <w:t xml:space="preserve">Communicate key program information, including opening and closing dates, early where feasible (noting requirement for Ministerial decision) and more frequently. </w:t>
            </w:r>
          </w:p>
          <w:p w14:paraId="1262C0CF" w14:textId="48061E99" w:rsidR="00C1525C" w:rsidRPr="001D3E93" w:rsidRDefault="00C1525C" w:rsidP="00C1525C">
            <w:pPr>
              <w:rPr>
                <w:rFonts w:ascii="Verdana" w:eastAsia="Times New Roman" w:hAnsi="Verdana" w:cs="Calibri"/>
                <w:sz w:val="22"/>
                <w:szCs w:val="22"/>
                <w:lang w:val="en-US" w:eastAsia="en-AU"/>
              </w:rPr>
            </w:pPr>
            <w:r w:rsidRPr="00731183">
              <w:rPr>
                <w:rFonts w:ascii="Verdana" w:eastAsia="Times New Roman" w:hAnsi="Verdana" w:cs="Calibri"/>
                <w:sz w:val="22"/>
                <w:szCs w:val="22"/>
                <w:lang w:val="en-US" w:eastAsia="en-AU"/>
              </w:rPr>
              <w:t xml:space="preserve">Phase 2: </w:t>
            </w:r>
            <w:r w:rsidRPr="00843DA3">
              <w:rPr>
                <w:rFonts w:ascii="Verdana" w:eastAsia="Times New Roman" w:hAnsi="Verdana" w:cs="Calibri"/>
                <w:sz w:val="22"/>
                <w:szCs w:val="22"/>
                <w:lang w:val="en-US" w:eastAsia="en-AU"/>
              </w:rPr>
              <w:t>Medium-</w:t>
            </w:r>
            <w:r w:rsidRPr="001D3E93">
              <w:rPr>
                <w:rFonts w:ascii="Verdana" w:eastAsia="Times New Roman" w:hAnsi="Verdana" w:cs="Calibri"/>
                <w:sz w:val="22"/>
                <w:szCs w:val="22"/>
                <w:lang w:val="en-US" w:eastAsia="en-AU"/>
              </w:rPr>
              <w:t>T</w:t>
            </w:r>
            <w:r w:rsidRPr="00731183">
              <w:rPr>
                <w:rFonts w:ascii="Verdana" w:eastAsia="Times New Roman" w:hAnsi="Verdana" w:cs="Calibri"/>
                <w:sz w:val="22"/>
                <w:szCs w:val="22"/>
                <w:lang w:val="en-US" w:eastAsia="en-AU"/>
              </w:rPr>
              <w:t xml:space="preserve">erm Opportunities </w:t>
            </w:r>
            <w:r w:rsidRPr="00843DA3">
              <w:rPr>
                <w:rFonts w:ascii="Verdana" w:eastAsia="Times New Roman" w:hAnsi="Verdana" w:cs="Calibri"/>
                <w:sz w:val="22"/>
                <w:szCs w:val="22"/>
                <w:lang w:val="en-US" w:eastAsia="en-AU"/>
              </w:rPr>
              <w:t>f</w:t>
            </w:r>
            <w:r w:rsidRPr="00731183">
              <w:rPr>
                <w:rFonts w:ascii="Verdana" w:eastAsia="Times New Roman" w:hAnsi="Verdana" w:cs="Calibri"/>
                <w:sz w:val="22"/>
                <w:szCs w:val="22"/>
                <w:lang w:val="en-US" w:eastAsia="en-AU"/>
              </w:rPr>
              <w:t>or Improvement</w:t>
            </w:r>
          </w:p>
          <w:p w14:paraId="718B82F0" w14:textId="77777777" w:rsidR="00C1525C" w:rsidRPr="00731183" w:rsidRDefault="00C1525C" w:rsidP="00731183">
            <w:pPr>
              <w:pStyle w:val="ListParagraph"/>
              <w:numPr>
                <w:ilvl w:val="0"/>
                <w:numId w:val="62"/>
              </w:numPr>
              <w:spacing w:after="160" w:line="259" w:lineRule="auto"/>
              <w:ind w:left="714" w:hanging="357"/>
              <w:contextualSpacing w:val="0"/>
            </w:pPr>
            <w:r w:rsidRPr="00731183">
              <w:t>Ahead of Round 4, change the EMDG rules to better balance the level of interest in the EMDG with the budget appropriation, which should result in an increase in grant amounts. Stakeholder engagement is recommended to consider design changes for EMDG. Implementation of program design recommendation 2 would clear legacy grant agreements in the EMDG pool.</w:t>
            </w:r>
          </w:p>
          <w:p w14:paraId="102B24CE" w14:textId="77777777" w:rsidR="00C1525C" w:rsidRPr="001D3E93" w:rsidRDefault="00C1525C" w:rsidP="00C1525C">
            <w:pPr>
              <w:pStyle w:val="ListParagraph"/>
              <w:numPr>
                <w:ilvl w:val="0"/>
                <w:numId w:val="62"/>
              </w:numPr>
              <w:spacing w:after="160" w:line="259" w:lineRule="auto"/>
              <w:ind w:left="714" w:hanging="357"/>
              <w:contextualSpacing w:val="0"/>
            </w:pPr>
            <w:r w:rsidRPr="00731183">
              <w:t>Upgrade the EMDG IT systems to improve automation and deliver quicker and higher quality application processing.  Investment in the IT infrastructure would reduce manual processing, thereby reducing Austrade’s administration costs, which are currently above the allocated 5 per cent appropriation due to resourcing required to administer the program.</w:t>
            </w:r>
          </w:p>
          <w:p w14:paraId="5F786EB5" w14:textId="77777777" w:rsidR="00C1525C" w:rsidRPr="001D3E93" w:rsidRDefault="00C1525C" w:rsidP="00C1525C">
            <w:pPr>
              <w:rPr>
                <w:lang w:val="en-US" w:eastAsia="en-US"/>
              </w:rPr>
            </w:pPr>
          </w:p>
        </w:tc>
      </w:tr>
    </w:tbl>
    <w:p w14:paraId="56184A80" w14:textId="77777777" w:rsidR="00C1525C" w:rsidRPr="00731183" w:rsidRDefault="00C1525C" w:rsidP="00C1525C">
      <w:pPr>
        <w:rPr>
          <w:lang w:val="en-US" w:eastAsia="en-US"/>
        </w:rPr>
      </w:pPr>
    </w:p>
    <w:p w14:paraId="2E0AC0DB" w14:textId="77777777" w:rsidR="00A0613F" w:rsidRPr="00731183" w:rsidRDefault="00A0613F" w:rsidP="00B8533C">
      <w:pPr>
        <w:pStyle w:val="Heading2"/>
        <w:rPr>
          <w:b w:val="0"/>
          <w:bCs w:val="0"/>
          <w:color w:val="0F4C44" w:themeColor="background2" w:themeShade="80"/>
          <w:lang w:val="en-US" w:eastAsia="en-US"/>
        </w:rPr>
      </w:pPr>
      <w:bookmarkStart w:id="67" w:name="_Toc117765768"/>
      <w:bookmarkStart w:id="68" w:name="_Toc120547689"/>
      <w:bookmarkStart w:id="69" w:name="_Toc124433371"/>
      <w:r w:rsidRPr="00731183">
        <w:rPr>
          <w:b w:val="0"/>
          <w:bCs w:val="0"/>
          <w:color w:val="0F4C44" w:themeColor="accent3" w:themeShade="80"/>
          <w:lang w:val="en-US" w:eastAsia="en-US"/>
        </w:rPr>
        <w:t>1.  Scope of EMDG Operational Review</w:t>
      </w:r>
      <w:bookmarkEnd w:id="67"/>
      <w:bookmarkEnd w:id="68"/>
      <w:bookmarkEnd w:id="69"/>
    </w:p>
    <w:p w14:paraId="6D95694C" w14:textId="16F41FBF" w:rsidR="00A0613F" w:rsidRPr="001D3E93" w:rsidRDefault="00A0613F" w:rsidP="00A0613F">
      <w:pPr>
        <w:spacing w:after="160" w:line="259" w:lineRule="auto"/>
        <w:rPr>
          <w:rFonts w:ascii="Verdana" w:eastAsia="Verdana" w:hAnsi="Verdana" w:cs="Calibri"/>
          <w:color w:val="000000"/>
          <w:lang w:val="en-US" w:eastAsia="en-US"/>
        </w:rPr>
      </w:pPr>
      <w:r w:rsidRPr="001D3E93">
        <w:rPr>
          <w:rFonts w:ascii="Verdana" w:eastAsia="Verdana" w:hAnsi="Verdana" w:cs="Calibri"/>
          <w:color w:val="000000"/>
          <w:lang w:val="en-US" w:eastAsia="en-US"/>
        </w:rPr>
        <w:t xml:space="preserve">On 3 August 2022, the Minister for Trade and Tourism, Senator the Hon Don Farrell, announced an </w:t>
      </w:r>
      <w:r w:rsidR="001F5DD2" w:rsidRPr="001D3E93">
        <w:rPr>
          <w:rFonts w:ascii="Verdana" w:eastAsia="Verdana" w:hAnsi="Verdana" w:cs="Calibri"/>
          <w:color w:val="000000"/>
          <w:lang w:val="en-US" w:eastAsia="en-US"/>
        </w:rPr>
        <w:t>O</w:t>
      </w:r>
      <w:r w:rsidRPr="001D3E93">
        <w:rPr>
          <w:rFonts w:ascii="Verdana" w:eastAsia="Verdana" w:hAnsi="Verdana" w:cs="Calibri"/>
          <w:color w:val="000000"/>
          <w:lang w:val="en-US" w:eastAsia="en-US"/>
        </w:rPr>
        <w:t xml:space="preserve">perational </w:t>
      </w:r>
      <w:r w:rsidR="001F5DD2" w:rsidRPr="001D3E93">
        <w:rPr>
          <w:rFonts w:ascii="Verdana" w:eastAsia="Verdana" w:hAnsi="Verdana" w:cs="Calibri"/>
          <w:color w:val="000000"/>
          <w:lang w:val="en-US" w:eastAsia="en-US"/>
        </w:rPr>
        <w:t>R</w:t>
      </w:r>
      <w:r w:rsidRPr="001D3E93">
        <w:rPr>
          <w:rFonts w:ascii="Verdana" w:eastAsia="Verdana" w:hAnsi="Verdana" w:cs="Calibri"/>
          <w:color w:val="000000"/>
          <w:lang w:val="en-US" w:eastAsia="en-US"/>
        </w:rPr>
        <w:t>eview of the Export Market Development Grants (EMDG 2.0) program.</w:t>
      </w:r>
    </w:p>
    <w:p w14:paraId="17F57D5A" w14:textId="77777777" w:rsidR="00A0613F" w:rsidRPr="001D3E93" w:rsidRDefault="00A0613F" w:rsidP="00A0613F">
      <w:pPr>
        <w:spacing w:after="160" w:line="259" w:lineRule="auto"/>
        <w:rPr>
          <w:rFonts w:ascii="Verdana" w:eastAsia="Verdana" w:hAnsi="Verdana" w:cs="Calibri"/>
          <w:color w:val="000000"/>
          <w:lang w:val="en-US" w:eastAsia="en-US"/>
        </w:rPr>
      </w:pPr>
      <w:r w:rsidRPr="001D3E93">
        <w:rPr>
          <w:rFonts w:ascii="Verdana" w:eastAsia="Verdana" w:hAnsi="Verdana" w:cs="Calibri"/>
          <w:color w:val="000000"/>
          <w:lang w:val="en-US" w:eastAsia="en-US"/>
        </w:rPr>
        <w:t xml:space="preserve">The Review’s Terms of Reference, at Attachment A, state the objective was to: </w:t>
      </w:r>
    </w:p>
    <w:p w14:paraId="3FD6992C" w14:textId="6D87DD07" w:rsidR="00A0613F" w:rsidRPr="001D3E93" w:rsidRDefault="00A0613F" w:rsidP="003F5515">
      <w:pPr>
        <w:numPr>
          <w:ilvl w:val="0"/>
          <w:numId w:val="44"/>
        </w:numPr>
        <w:spacing w:after="160" w:line="259" w:lineRule="auto"/>
        <w:contextualSpacing/>
        <w:rPr>
          <w:rFonts w:ascii="Verdana" w:eastAsia="Verdana" w:hAnsi="Verdana" w:cs="Calibri"/>
          <w:color w:val="000000"/>
          <w:lang w:val="en-US" w:eastAsia="en-US"/>
        </w:rPr>
      </w:pPr>
      <w:r w:rsidRPr="001D3E93">
        <w:rPr>
          <w:rFonts w:ascii="Verdana" w:eastAsia="Verdana" w:hAnsi="Verdana" w:cs="Calibri"/>
          <w:color w:val="000000"/>
          <w:lang w:val="en-US" w:eastAsia="en-US"/>
        </w:rPr>
        <w:t>Identify and understand known and new challenges that emerged during implementation of the EMDG 2.0 program</w:t>
      </w:r>
    </w:p>
    <w:p w14:paraId="26BEFEA8" w14:textId="103734EE" w:rsidR="00A0613F" w:rsidRPr="001D3E93" w:rsidRDefault="00A0613F" w:rsidP="003F5515">
      <w:pPr>
        <w:numPr>
          <w:ilvl w:val="0"/>
          <w:numId w:val="44"/>
        </w:numPr>
        <w:spacing w:after="160" w:line="259" w:lineRule="auto"/>
        <w:contextualSpacing/>
        <w:rPr>
          <w:rFonts w:ascii="Verdana" w:eastAsia="Verdana" w:hAnsi="Verdana" w:cs="Calibri"/>
          <w:color w:val="000000"/>
          <w:lang w:val="en-US" w:eastAsia="en-US"/>
        </w:rPr>
      </w:pPr>
      <w:r w:rsidRPr="001D3E93">
        <w:rPr>
          <w:rFonts w:ascii="Verdana" w:eastAsia="Verdana" w:hAnsi="Verdana" w:cs="Calibri"/>
          <w:color w:val="000000"/>
          <w:lang w:val="en-US" w:eastAsia="en-US"/>
        </w:rPr>
        <w:t>Consider adjustments to address issues identified</w:t>
      </w:r>
    </w:p>
    <w:p w14:paraId="083C4C6D" w14:textId="77777777" w:rsidR="00A0613F" w:rsidRPr="001D3E93" w:rsidRDefault="00A0613F" w:rsidP="00740F7C">
      <w:pPr>
        <w:numPr>
          <w:ilvl w:val="0"/>
          <w:numId w:val="44"/>
        </w:numPr>
        <w:spacing w:after="160" w:line="259" w:lineRule="auto"/>
        <w:ind w:left="714" w:hanging="357"/>
        <w:rPr>
          <w:rFonts w:ascii="Verdana" w:eastAsia="Verdana" w:hAnsi="Verdana" w:cs="Calibri"/>
          <w:color w:val="000000"/>
          <w:lang w:val="en-US" w:eastAsia="en-US"/>
        </w:rPr>
      </w:pPr>
      <w:r w:rsidRPr="001D3E93">
        <w:rPr>
          <w:rFonts w:ascii="Verdana" w:eastAsia="Verdana" w:hAnsi="Verdana" w:cs="Calibri"/>
          <w:color w:val="000000"/>
          <w:lang w:val="en-US" w:eastAsia="en-US"/>
        </w:rPr>
        <w:t xml:space="preserve">Recommend further improvements to meet the Government’s objectives. </w:t>
      </w:r>
    </w:p>
    <w:p w14:paraId="0C4C9977" w14:textId="1B2849D7" w:rsidR="00A0613F" w:rsidRPr="001D3E93" w:rsidRDefault="00A0613F" w:rsidP="00A0613F">
      <w:pPr>
        <w:spacing w:after="160" w:line="259" w:lineRule="auto"/>
        <w:rPr>
          <w:rFonts w:ascii="Verdana" w:eastAsia="Verdana" w:hAnsi="Verdana" w:cs="Calibri"/>
          <w:color w:val="000000"/>
          <w:lang w:val="en-US" w:eastAsia="en-US"/>
        </w:rPr>
      </w:pPr>
      <w:r w:rsidRPr="001D3E93">
        <w:rPr>
          <w:rFonts w:ascii="Verdana" w:eastAsia="Verdana" w:hAnsi="Verdana" w:cs="Calibri"/>
          <w:color w:val="000000"/>
          <w:lang w:val="en-US" w:eastAsia="en-US"/>
        </w:rPr>
        <w:t xml:space="preserve">In August 2021, Round 1 of the new EMDG 2.0 program opened for applications. This Operational Review examines the policy settings, client experience, systems, processes and communications from Round 1, to provide measures to improve Austrade’s delivery of the program. These measures are informed by stakeholder feedback and suggestions, including a survey in August 2022 and face-to-face consultations conducted in August and September 2022 to understand the client experience of </w:t>
      </w:r>
      <w:r w:rsidRPr="001D3E93">
        <w:rPr>
          <w:rFonts w:ascii="Verdana" w:eastAsia="Verdana" w:hAnsi="Verdana" w:cs="Arial"/>
          <w:color w:val="000000"/>
          <w:lang w:val="en-US" w:eastAsia="en-US"/>
        </w:rPr>
        <w:t xml:space="preserve">EMDG 2.0 Round 1. </w:t>
      </w:r>
      <w:r w:rsidRPr="001D3E93">
        <w:rPr>
          <w:rFonts w:ascii="Verdana" w:eastAsia="Verdana" w:hAnsi="Verdana" w:cs="Calibri"/>
          <w:color w:val="000000"/>
          <w:lang w:val="en-US" w:eastAsia="en-US"/>
        </w:rPr>
        <w:t xml:space="preserve">Review findings were also informed by Austrade’s evidence-base of the EMDG 2.0 program’s operation since commencement in July 2021. </w:t>
      </w:r>
    </w:p>
    <w:p w14:paraId="71A80F9E" w14:textId="6DA47866" w:rsidR="00A0613F" w:rsidRPr="001D3E93" w:rsidRDefault="00A0613F" w:rsidP="00A0613F">
      <w:pPr>
        <w:spacing w:after="160" w:line="259" w:lineRule="auto"/>
        <w:rPr>
          <w:rFonts w:ascii="Verdana" w:eastAsia="Verdana" w:hAnsi="Verdana" w:cs="Calibri"/>
          <w:color w:val="000000"/>
          <w:lang w:val="en-US" w:eastAsia="en-US"/>
        </w:rPr>
      </w:pPr>
      <w:r w:rsidRPr="001D3E93">
        <w:rPr>
          <w:rFonts w:ascii="Verdana" w:eastAsia="Verdana" w:hAnsi="Verdana" w:cs="Calibri"/>
          <w:color w:val="000000"/>
          <w:lang w:val="en-US" w:eastAsia="en-US"/>
        </w:rPr>
        <w:t>Note this Operational Review is not a comprehensive independent review of EMDG as required by the legislation. An independent legislative review is required to be completed by 17 June 2026</w:t>
      </w:r>
      <w:r w:rsidR="000D5878" w:rsidRPr="001D3E93">
        <w:rPr>
          <w:rFonts w:ascii="Verdana" w:eastAsia="Verdana" w:hAnsi="Verdana" w:cs="Calibri"/>
          <w:color w:val="000000"/>
          <w:lang w:val="en-US" w:eastAsia="en-US"/>
        </w:rPr>
        <w:t>, five years after the legislation passed</w:t>
      </w:r>
      <w:r w:rsidR="00C47E21" w:rsidRPr="001D3E93">
        <w:rPr>
          <w:rFonts w:ascii="Verdana" w:eastAsia="Verdana" w:hAnsi="Verdana" w:cs="Calibri"/>
          <w:color w:val="000000"/>
          <w:lang w:val="en-US" w:eastAsia="en-US"/>
        </w:rPr>
        <w:t xml:space="preserve"> in 2021</w:t>
      </w:r>
      <w:r w:rsidRPr="001D3E93">
        <w:rPr>
          <w:rFonts w:ascii="Verdana" w:eastAsia="Verdana" w:hAnsi="Verdana" w:cs="Calibri"/>
          <w:color w:val="000000"/>
          <w:lang w:val="en-US" w:eastAsia="en-US"/>
        </w:rPr>
        <w:t xml:space="preserve">. </w:t>
      </w:r>
    </w:p>
    <w:p w14:paraId="576C12BD" w14:textId="77777777" w:rsidR="00A0613F" w:rsidRPr="001D3E93" w:rsidRDefault="00A0613F"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br w:type="page"/>
      </w:r>
    </w:p>
    <w:p w14:paraId="6817BDB1" w14:textId="77777777" w:rsidR="00A0613F" w:rsidRPr="00731183" w:rsidRDefault="00A0613F" w:rsidP="00AB3544">
      <w:pPr>
        <w:pStyle w:val="Heading2"/>
        <w:rPr>
          <w:b w:val="0"/>
          <w:bCs w:val="0"/>
          <w:color w:val="0F4C44" w:themeColor="background2" w:themeShade="80"/>
          <w:lang w:val="en-US" w:eastAsia="en-US"/>
        </w:rPr>
      </w:pPr>
      <w:bookmarkStart w:id="70" w:name="_Toc117765769"/>
      <w:bookmarkStart w:id="71" w:name="_Toc120547690"/>
      <w:bookmarkStart w:id="72" w:name="_Toc124433372"/>
      <w:r w:rsidRPr="00731183">
        <w:rPr>
          <w:b w:val="0"/>
          <w:bCs w:val="0"/>
          <w:color w:val="0F4C44" w:themeColor="accent3" w:themeShade="80"/>
          <w:lang w:val="en-US" w:eastAsia="en-US"/>
        </w:rPr>
        <w:lastRenderedPageBreak/>
        <w:t>2.  EMDG History: From 1.0 to 2.0</w:t>
      </w:r>
      <w:bookmarkEnd w:id="70"/>
      <w:bookmarkEnd w:id="71"/>
      <w:bookmarkEnd w:id="72"/>
    </w:p>
    <w:p w14:paraId="71D511C1" w14:textId="2C1CE7BC" w:rsidR="00A0613F" w:rsidRPr="001D3E93" w:rsidRDefault="00A0613F" w:rsidP="00A0613F">
      <w:pPr>
        <w:spacing w:after="160" w:line="259" w:lineRule="auto"/>
        <w:rPr>
          <w:rFonts w:ascii="Verdana" w:eastAsia="Times New Roman" w:hAnsi="Verdana" w:cs="Calibri"/>
          <w:lang w:eastAsia="en-AU"/>
        </w:rPr>
      </w:pPr>
      <w:r w:rsidRPr="001D3E93">
        <w:rPr>
          <w:rFonts w:ascii="Verdana" w:eastAsia="Times New Roman" w:hAnsi="Verdana" w:cs="Calibri"/>
          <w:lang w:eastAsia="en-AU"/>
        </w:rPr>
        <w:t xml:space="preserve">Since 1974, EMDG has assisted more than 50,000 </w:t>
      </w:r>
      <w:r w:rsidR="00060D34" w:rsidRPr="001D3E93">
        <w:rPr>
          <w:rFonts w:ascii="Verdana" w:eastAsia="Times New Roman" w:hAnsi="Verdana" w:cs="Calibri"/>
          <w:lang w:eastAsia="en-AU"/>
        </w:rPr>
        <w:t xml:space="preserve">Australian </w:t>
      </w:r>
      <w:r w:rsidRPr="001D3E93">
        <w:rPr>
          <w:rFonts w:ascii="Verdana" w:eastAsia="Times New Roman" w:hAnsi="Verdana" w:cs="Calibri"/>
          <w:lang w:eastAsia="en-AU"/>
        </w:rPr>
        <w:t>small and medium</w:t>
      </w:r>
      <w:r w:rsidR="00060D34" w:rsidRPr="001D3E93">
        <w:rPr>
          <w:rFonts w:ascii="Verdana" w:eastAsia="Times New Roman" w:hAnsi="Verdana" w:cs="Calibri"/>
          <w:lang w:eastAsia="en-AU"/>
        </w:rPr>
        <w:t>-</w:t>
      </w:r>
      <w:r w:rsidRPr="001D3E93">
        <w:rPr>
          <w:rFonts w:ascii="Verdana" w:eastAsia="Times New Roman" w:hAnsi="Verdana" w:cs="Calibri"/>
          <w:lang w:eastAsia="en-AU"/>
        </w:rPr>
        <w:t xml:space="preserve">sized </w:t>
      </w:r>
      <w:r w:rsidR="00060D34" w:rsidRPr="001D3E93">
        <w:rPr>
          <w:rFonts w:ascii="Verdana" w:eastAsia="Times New Roman" w:hAnsi="Verdana" w:cs="Calibri"/>
          <w:lang w:eastAsia="en-AU"/>
        </w:rPr>
        <w:t>enterprises</w:t>
      </w:r>
      <w:r w:rsidRPr="001D3E93">
        <w:rPr>
          <w:rFonts w:ascii="Verdana" w:eastAsia="Times New Roman" w:hAnsi="Verdana" w:cs="Calibri"/>
          <w:lang w:eastAsia="en-AU"/>
        </w:rPr>
        <w:t xml:space="preserve"> (SMEs) to promote and market their products and services to over </w:t>
      </w:r>
      <w:r w:rsidR="00CE7830" w:rsidRPr="001D3E93">
        <w:rPr>
          <w:rFonts w:ascii="Verdana" w:eastAsia="Times New Roman" w:hAnsi="Verdana" w:cs="Calibri"/>
          <w:lang w:eastAsia="en-AU"/>
        </w:rPr>
        <w:br/>
      </w:r>
      <w:r w:rsidRPr="001D3E93">
        <w:rPr>
          <w:rFonts w:ascii="Verdana" w:eastAsia="Times New Roman" w:hAnsi="Verdana" w:cs="Calibri"/>
          <w:lang w:eastAsia="en-AU"/>
        </w:rPr>
        <w:t xml:space="preserve">180 countries world-wide. </w:t>
      </w:r>
    </w:p>
    <w:p w14:paraId="16170CE1" w14:textId="096CC060" w:rsidR="00A0613F" w:rsidRPr="001D3E93" w:rsidRDefault="00A0613F" w:rsidP="00A0613F">
      <w:pPr>
        <w:spacing w:line="240" w:lineRule="auto"/>
        <w:textAlignment w:val="baseline"/>
        <w:rPr>
          <w:rFonts w:ascii="Verdana" w:eastAsia="Times New Roman" w:hAnsi="Verdana" w:cs="Calibri"/>
          <w:lang w:eastAsia="en-AU"/>
        </w:rPr>
      </w:pPr>
      <w:r w:rsidRPr="001D3E93">
        <w:rPr>
          <w:rFonts w:ascii="Verdana" w:eastAsia="MS Gothic" w:hAnsi="Verdana" w:cs="Times New Roman"/>
          <w:lang w:eastAsia="en-AU"/>
        </w:rPr>
        <w:t xml:space="preserve">EMDG has been reviewed 16 times, the most recent being the </w:t>
      </w:r>
      <w:r w:rsidRPr="001D3E93">
        <w:rPr>
          <w:rFonts w:ascii="Verdana" w:eastAsia="MS Gothic" w:hAnsi="Verdana" w:cs="Times New Roman"/>
          <w:i/>
          <w:lang w:eastAsia="en-AU"/>
        </w:rPr>
        <w:t>Review of Financial Assistance to Small and Medium Exporters</w:t>
      </w:r>
      <w:r w:rsidRPr="001D3E93">
        <w:rPr>
          <w:rFonts w:ascii="Verdana" w:eastAsia="MS Gothic" w:hAnsi="Verdana" w:cs="Times New Roman"/>
          <w:lang w:eastAsia="en-AU"/>
        </w:rPr>
        <w:t xml:space="preserve"> (‘the Fisher Report’) conducted by </w:t>
      </w:r>
      <w:r w:rsidR="00CE7830" w:rsidRPr="001D3E93">
        <w:rPr>
          <w:rFonts w:ascii="Verdana" w:eastAsia="MS Gothic" w:hAnsi="Verdana" w:cs="Times New Roman"/>
          <w:lang w:eastAsia="en-AU"/>
        </w:rPr>
        <w:br/>
      </w:r>
      <w:r w:rsidRPr="001D3E93">
        <w:rPr>
          <w:rFonts w:ascii="Verdana" w:eastAsia="MS Gothic" w:hAnsi="Verdana" w:cs="Times New Roman"/>
          <w:lang w:eastAsia="en-AU"/>
        </w:rPr>
        <w:t xml:space="preserve">Anna Fisher. This review was released publicly on 10 September 2020. </w:t>
      </w:r>
    </w:p>
    <w:p w14:paraId="0D55DFA5" w14:textId="77777777" w:rsidR="00A0613F" w:rsidRPr="001D3E93" w:rsidRDefault="00A0613F" w:rsidP="00A0613F">
      <w:pPr>
        <w:spacing w:line="240" w:lineRule="auto"/>
        <w:textAlignment w:val="baseline"/>
        <w:rPr>
          <w:rFonts w:ascii="Verdana" w:eastAsia="Times New Roman" w:hAnsi="Verdana" w:cs="Calibri"/>
          <w:lang w:eastAsia="en-AU"/>
        </w:rPr>
      </w:pPr>
      <w:r w:rsidRPr="001D3E93">
        <w:rPr>
          <w:rFonts w:ascii="Verdana" w:eastAsia="MS Gothic" w:hAnsi="Verdana" w:cs="Times New Roman"/>
          <w:lang w:eastAsia="en-AU"/>
        </w:rPr>
        <w:t>The Fisher Report found EMDG was supporting businesses and helping to generate strong economic outcomes. It identified a series of opportunities for improvements relating to the program’s design, aimed at simplifying and streamlining the program’s administration, as well as:  </w:t>
      </w:r>
    </w:p>
    <w:p w14:paraId="3271707E" w14:textId="5CF31752" w:rsidR="00A0613F" w:rsidRPr="001D3E93" w:rsidRDefault="00A0613F" w:rsidP="003F5515">
      <w:pPr>
        <w:numPr>
          <w:ilvl w:val="0"/>
          <w:numId w:val="16"/>
        </w:numPr>
        <w:spacing w:after="160" w:line="240" w:lineRule="auto"/>
        <w:textAlignment w:val="baseline"/>
        <w:rPr>
          <w:rFonts w:ascii="Verdana" w:eastAsia="Times New Roman" w:hAnsi="Verdana" w:cs="Calibri"/>
          <w:lang w:eastAsia="en-AU"/>
        </w:rPr>
      </w:pPr>
      <w:r w:rsidRPr="001D3E93">
        <w:rPr>
          <w:rFonts w:ascii="Verdana" w:eastAsia="MS Gothic" w:hAnsi="Verdana" w:cs="Times New Roman"/>
          <w:lang w:eastAsia="en-AU"/>
        </w:rPr>
        <w:t>Targeting assistance to small and medium sized businesses</w:t>
      </w:r>
      <w:r w:rsidR="00832CA1" w:rsidRPr="001D3E93">
        <w:rPr>
          <w:rFonts w:ascii="Verdana" w:eastAsia="MS Gothic" w:hAnsi="Verdana" w:cs="Times New Roman"/>
          <w:lang w:eastAsia="en-AU"/>
        </w:rPr>
        <w:t>.</w:t>
      </w:r>
    </w:p>
    <w:p w14:paraId="44F56A6A" w14:textId="0A7725B8" w:rsidR="00A0613F" w:rsidRPr="001D3E93" w:rsidRDefault="00A0613F" w:rsidP="003F5515">
      <w:pPr>
        <w:numPr>
          <w:ilvl w:val="0"/>
          <w:numId w:val="16"/>
        </w:numPr>
        <w:spacing w:after="160" w:line="240" w:lineRule="auto"/>
        <w:textAlignment w:val="baseline"/>
        <w:rPr>
          <w:rFonts w:ascii="Verdana" w:eastAsia="Times New Roman" w:hAnsi="Verdana" w:cs="Calibri"/>
          <w:lang w:eastAsia="en-AU"/>
        </w:rPr>
      </w:pPr>
      <w:r w:rsidRPr="001D3E93">
        <w:rPr>
          <w:rFonts w:ascii="Verdana" w:eastAsia="MS Gothic" w:hAnsi="Verdana" w:cs="Times New Roman"/>
          <w:lang w:eastAsia="en-AU"/>
        </w:rPr>
        <w:t xml:space="preserve">Providing exporters with </w:t>
      </w:r>
      <w:r w:rsidR="0039652B" w:rsidRPr="001D3E93">
        <w:rPr>
          <w:rFonts w:ascii="Verdana" w:eastAsia="MS Gothic" w:hAnsi="Verdana" w:cs="Times New Roman"/>
          <w:lang w:eastAsia="en-AU"/>
        </w:rPr>
        <w:t>upfront</w:t>
      </w:r>
      <w:r w:rsidRPr="001D3E93">
        <w:rPr>
          <w:rFonts w:ascii="Verdana" w:eastAsia="MS Gothic" w:hAnsi="Verdana" w:cs="Times New Roman"/>
          <w:lang w:eastAsia="en-AU"/>
        </w:rPr>
        <w:t xml:space="preserve"> certainty in respect of their grant amounts</w:t>
      </w:r>
      <w:r w:rsidR="00832CA1" w:rsidRPr="001D3E93">
        <w:rPr>
          <w:rFonts w:ascii="Verdana" w:eastAsia="MS Gothic" w:hAnsi="Verdana" w:cs="Times New Roman"/>
          <w:lang w:eastAsia="en-AU"/>
        </w:rPr>
        <w:t>.</w:t>
      </w:r>
    </w:p>
    <w:p w14:paraId="160039C7" w14:textId="4E25361C" w:rsidR="00A0613F" w:rsidRPr="001D3E93" w:rsidRDefault="00A0613F" w:rsidP="003F5515">
      <w:pPr>
        <w:numPr>
          <w:ilvl w:val="0"/>
          <w:numId w:val="16"/>
        </w:numPr>
        <w:spacing w:after="160" w:line="240" w:lineRule="auto"/>
        <w:textAlignment w:val="baseline"/>
        <w:rPr>
          <w:rFonts w:ascii="Verdana" w:eastAsia="Times New Roman" w:hAnsi="Verdana" w:cs="Calibri"/>
          <w:lang w:eastAsia="en-AU"/>
        </w:rPr>
      </w:pPr>
      <w:r w:rsidRPr="001D3E93">
        <w:rPr>
          <w:rFonts w:ascii="Verdana" w:eastAsia="MS Gothic" w:hAnsi="Verdana" w:cs="Times New Roman"/>
          <w:lang w:eastAsia="en-AU"/>
        </w:rPr>
        <w:t>Committing funding within the appropriation over multi-year funding agreements (two or three years)</w:t>
      </w:r>
      <w:r w:rsidR="00832CA1" w:rsidRPr="001D3E93">
        <w:rPr>
          <w:rFonts w:ascii="Verdana" w:eastAsia="MS Gothic" w:hAnsi="Verdana" w:cs="Times New Roman"/>
          <w:lang w:eastAsia="en-AU"/>
        </w:rPr>
        <w:t>.</w:t>
      </w:r>
      <w:r w:rsidRPr="001D3E93">
        <w:rPr>
          <w:rFonts w:ascii="Verdana" w:eastAsia="MS Gothic" w:hAnsi="Verdana" w:cs="Times New Roman"/>
          <w:lang w:eastAsia="en-AU"/>
        </w:rPr>
        <w:t> </w:t>
      </w:r>
    </w:p>
    <w:p w14:paraId="21B555E5" w14:textId="77777777" w:rsidR="00A0613F" w:rsidRPr="001D3E93" w:rsidRDefault="00A0613F" w:rsidP="003F5515">
      <w:pPr>
        <w:numPr>
          <w:ilvl w:val="0"/>
          <w:numId w:val="16"/>
        </w:numPr>
        <w:spacing w:after="160" w:line="240" w:lineRule="auto"/>
        <w:textAlignment w:val="baseline"/>
        <w:rPr>
          <w:rFonts w:ascii="Verdana" w:eastAsia="MS Gothic" w:hAnsi="Verdana" w:cs="Calibri"/>
          <w:lang w:eastAsia="en-AU"/>
        </w:rPr>
      </w:pPr>
      <w:r w:rsidRPr="001D3E93">
        <w:rPr>
          <w:rFonts w:ascii="Verdana" w:eastAsia="MS Gothic" w:hAnsi="Verdana" w:cs="Times New Roman"/>
          <w:lang w:eastAsia="en-AU"/>
        </w:rPr>
        <w:t>Introducing a new feature of a category / ‘Tier’ approach for eligibility (notionally reflecting the export journey). </w:t>
      </w:r>
    </w:p>
    <w:p w14:paraId="3B0FDEF8" w14:textId="214390E3" w:rsidR="00A0613F" w:rsidRPr="001D3E93" w:rsidRDefault="00A0613F" w:rsidP="00A0613F">
      <w:pPr>
        <w:spacing w:line="240" w:lineRule="auto"/>
        <w:textAlignment w:val="baseline"/>
        <w:rPr>
          <w:rFonts w:ascii="Verdana" w:eastAsia="MS Gothic" w:hAnsi="Verdana" w:cs="Times New Roman"/>
          <w:lang w:eastAsia="en-AU"/>
        </w:rPr>
      </w:pPr>
      <w:r w:rsidRPr="001D3E93">
        <w:rPr>
          <w:rFonts w:ascii="Verdana" w:eastAsia="MS Gothic" w:hAnsi="Verdana" w:cs="Times New Roman"/>
          <w:lang w:eastAsia="en-AU"/>
        </w:rPr>
        <w:t xml:space="preserve">The Fisher Report was released at the height of the COVID-19 pandemic, which was characterised by closed </w:t>
      </w:r>
      <w:r w:rsidR="00655A28" w:rsidRPr="001D3E93">
        <w:rPr>
          <w:rFonts w:ascii="Verdana" w:eastAsia="MS Gothic" w:hAnsi="Verdana" w:cs="Times New Roman"/>
          <w:lang w:eastAsia="en-AU"/>
        </w:rPr>
        <w:t xml:space="preserve">domestic and international </w:t>
      </w:r>
      <w:r w:rsidRPr="001D3E93">
        <w:rPr>
          <w:rFonts w:ascii="Verdana" w:eastAsia="MS Gothic" w:hAnsi="Verdana" w:cs="Times New Roman"/>
          <w:lang w:eastAsia="en-AU"/>
        </w:rPr>
        <w:t>borders and challenges with supply chains. In this context, the then-Government decided to widen eligibility criteria</w:t>
      </w:r>
      <w:r w:rsidR="002E5190" w:rsidRPr="001D3E93">
        <w:rPr>
          <w:rFonts w:ascii="Verdana" w:eastAsia="MS Gothic" w:hAnsi="Verdana" w:cs="Times New Roman"/>
          <w:lang w:eastAsia="en-AU"/>
        </w:rPr>
        <w:t xml:space="preserve"> of EMDG </w:t>
      </w:r>
      <w:r w:rsidRPr="001D3E93">
        <w:rPr>
          <w:rFonts w:ascii="Verdana" w:eastAsia="MS Gothic" w:hAnsi="Verdana" w:cs="Times New Roman"/>
          <w:lang w:eastAsia="en-AU"/>
        </w:rPr>
        <w:t xml:space="preserve">to assist small and medium businesses to export to weather the effects of COVID-19. Table </w:t>
      </w:r>
      <w:r w:rsidR="00CE6CA1" w:rsidRPr="001D3E93">
        <w:rPr>
          <w:rFonts w:ascii="Verdana" w:eastAsia="MS Gothic" w:hAnsi="Verdana" w:cs="Times New Roman"/>
          <w:lang w:eastAsia="en-AU"/>
        </w:rPr>
        <w:t>2</w:t>
      </w:r>
      <w:r w:rsidRPr="001D3E93">
        <w:rPr>
          <w:rFonts w:ascii="Verdana" w:eastAsia="MS Gothic" w:hAnsi="Verdana" w:cs="Times New Roman"/>
          <w:lang w:eastAsia="en-AU"/>
        </w:rPr>
        <w:t xml:space="preserve"> shows the basic features of EMDG 1.0 (EMDG reimbursement scheme running from 1974 to final reimbursement payment in 2021), and what was developed to establish the EMDG 2.0 program (from its launch on 1 July 2021). </w:t>
      </w:r>
      <w:r w:rsidR="00052AD1" w:rsidRPr="001D3E93">
        <w:rPr>
          <w:rFonts w:ascii="Verdana" w:eastAsia="MS Gothic" w:hAnsi="Verdana" w:cs="Times New Roman"/>
          <w:lang w:eastAsia="en-AU"/>
        </w:rPr>
        <w:t>Table 3</w:t>
      </w:r>
      <w:r w:rsidR="009D0537" w:rsidRPr="001D3E93">
        <w:rPr>
          <w:rFonts w:ascii="Verdana" w:eastAsia="MS Gothic" w:hAnsi="Verdana" w:cs="Times New Roman"/>
          <w:lang w:eastAsia="en-AU"/>
        </w:rPr>
        <w:t xml:space="preserve"> compares recipients of EMDG 1.0 and EMDG 2.0.</w:t>
      </w:r>
    </w:p>
    <w:p w14:paraId="6AE9B2D9" w14:textId="6C1EFCCE" w:rsidR="00A0613F" w:rsidRPr="001D3E93" w:rsidRDefault="00A0613F" w:rsidP="005321D6">
      <w:pPr>
        <w:pStyle w:val="Heading4"/>
        <w:rPr>
          <w:b w:val="0"/>
          <w:bCs w:val="0"/>
        </w:rPr>
      </w:pPr>
      <w:r w:rsidRPr="001D3E93">
        <w:rPr>
          <w:b w:val="0"/>
          <w:bCs w:val="0"/>
        </w:rPr>
        <w:t>Table 2: Comparison of EMDG 1.0 and EMDG 2.0 Features</w:t>
      </w:r>
    </w:p>
    <w:tbl>
      <w:tblPr>
        <w:tblStyle w:val="TableGrid2"/>
        <w:tblW w:w="10348" w:type="dxa"/>
        <w:tblInd w:w="-572" w:type="dxa"/>
        <w:tblLook w:val="04A0" w:firstRow="1" w:lastRow="0" w:firstColumn="1" w:lastColumn="0" w:noHBand="0" w:noVBand="1"/>
        <w:tblCaption w:val="Table 2: Comparison of EMDG 1.0 and EMDG 2.0 Features"/>
      </w:tblPr>
      <w:tblGrid>
        <w:gridCol w:w="5124"/>
        <w:gridCol w:w="5224"/>
      </w:tblGrid>
      <w:tr w:rsidR="00665951" w:rsidRPr="001D3E93" w14:paraId="45F96D45" w14:textId="77777777" w:rsidTr="00C93569">
        <w:trPr>
          <w:tblHeader/>
        </w:trPr>
        <w:tc>
          <w:tcPr>
            <w:tcW w:w="5124" w:type="dxa"/>
            <w:shd w:val="clear" w:color="auto" w:fill="412564" w:themeFill="text2" w:themeFillTint="E6"/>
          </w:tcPr>
          <w:p w14:paraId="227F181C" w14:textId="77777777" w:rsidR="00A0613F" w:rsidRPr="001D3E93" w:rsidRDefault="00A0613F" w:rsidP="00A0613F">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Features of EMDG 1.0</w:t>
            </w:r>
          </w:p>
        </w:tc>
        <w:tc>
          <w:tcPr>
            <w:tcW w:w="5224" w:type="dxa"/>
            <w:shd w:val="clear" w:color="auto" w:fill="412564" w:themeFill="text2" w:themeFillTint="E6"/>
          </w:tcPr>
          <w:p w14:paraId="00CCA598" w14:textId="77777777" w:rsidR="00A0613F" w:rsidRPr="001D3E93" w:rsidRDefault="00A0613F" w:rsidP="00A0613F">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Features of EMDG 2.0</w:t>
            </w:r>
          </w:p>
        </w:tc>
      </w:tr>
      <w:tr w:rsidR="00A0613F" w:rsidRPr="001D3E93" w14:paraId="03008734" w14:textId="77777777">
        <w:tc>
          <w:tcPr>
            <w:tcW w:w="5124" w:type="dxa"/>
          </w:tcPr>
          <w:p w14:paraId="0CE1BAA0"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Export Market Development Grants Act 1997</w:t>
            </w:r>
          </w:p>
          <w:p w14:paraId="305C2295"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Numerous guidelines and determinations </w:t>
            </w:r>
          </w:p>
          <w:p w14:paraId="4AC140CD" w14:textId="7D1765B8" w:rsidR="00FD42E7" w:rsidRPr="001D3E93" w:rsidRDefault="00FD42E7"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Grant Guidelines </w:t>
            </w:r>
            <w:r w:rsidR="006C2774" w:rsidRPr="001D3E93">
              <w:rPr>
                <w:rFonts w:ascii="Verdana" w:eastAsia="MS Gothic" w:hAnsi="Verdana" w:cs="Times New Roman"/>
                <w:sz w:val="20"/>
                <w:szCs w:val="20"/>
                <w:lang w:val="en-AU" w:eastAsia="en-AU"/>
              </w:rPr>
              <w:t>(</w:t>
            </w:r>
            <w:r w:rsidRPr="001D3E93">
              <w:rPr>
                <w:rFonts w:ascii="Verdana" w:eastAsia="MS Gothic" w:hAnsi="Verdana" w:cs="Times New Roman"/>
                <w:sz w:val="20"/>
                <w:szCs w:val="20"/>
                <w:lang w:val="en-AU" w:eastAsia="en-AU"/>
              </w:rPr>
              <w:t xml:space="preserve">length </w:t>
            </w:r>
            <w:r w:rsidR="00681A6D" w:rsidRPr="001D3E93">
              <w:rPr>
                <w:rFonts w:ascii="Verdana" w:eastAsia="MS Gothic" w:hAnsi="Verdana" w:cs="Times New Roman"/>
                <w:sz w:val="20"/>
                <w:szCs w:val="20"/>
                <w:lang w:val="en-AU" w:eastAsia="en-AU"/>
              </w:rPr>
              <w:t>189</w:t>
            </w:r>
            <w:r w:rsidRPr="001D3E93">
              <w:rPr>
                <w:rFonts w:ascii="Verdana" w:eastAsia="MS Gothic" w:hAnsi="Verdana" w:cs="Times New Roman"/>
                <w:sz w:val="20"/>
                <w:szCs w:val="20"/>
                <w:lang w:val="en-AU" w:eastAsia="en-AU"/>
              </w:rPr>
              <w:t xml:space="preserve"> pages</w:t>
            </w:r>
            <w:r w:rsidR="006C2774" w:rsidRPr="001D3E93">
              <w:rPr>
                <w:rFonts w:ascii="Verdana" w:eastAsia="MS Gothic" w:hAnsi="Verdana" w:cs="Times New Roman"/>
                <w:sz w:val="20"/>
                <w:szCs w:val="20"/>
                <w:lang w:val="en-AU" w:eastAsia="en-AU"/>
              </w:rPr>
              <w:t>)</w:t>
            </w:r>
          </w:p>
        </w:tc>
        <w:tc>
          <w:tcPr>
            <w:tcW w:w="5224" w:type="dxa"/>
          </w:tcPr>
          <w:p w14:paraId="72DFC68C"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Export Market Development Grants Act 1997</w:t>
            </w:r>
          </w:p>
          <w:p w14:paraId="0DD0CD0B"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Export Market Development Grants Rules 2021</w:t>
            </w:r>
          </w:p>
          <w:p w14:paraId="1E56CCEE" w14:textId="2F3AB8C6"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Grant Guidelines</w:t>
            </w:r>
            <w:r w:rsidR="00AB1991" w:rsidRPr="001D3E93">
              <w:rPr>
                <w:rFonts w:ascii="Verdana" w:eastAsia="MS Gothic" w:hAnsi="Verdana" w:cs="Times New Roman"/>
                <w:sz w:val="20"/>
                <w:szCs w:val="20"/>
                <w:lang w:val="en-AU" w:eastAsia="en-AU"/>
              </w:rPr>
              <w:t>:</w:t>
            </w:r>
            <w:r w:rsidR="006F2276" w:rsidRPr="001D3E93">
              <w:rPr>
                <w:rFonts w:ascii="Verdana" w:eastAsia="MS Gothic" w:hAnsi="Verdana" w:cs="Times New Roman"/>
                <w:sz w:val="20"/>
                <w:szCs w:val="20"/>
                <w:lang w:val="en-AU" w:eastAsia="en-AU"/>
              </w:rPr>
              <w:t xml:space="preserve"> Round 1 </w:t>
            </w:r>
            <w:r w:rsidR="00AB1991" w:rsidRPr="001D3E93">
              <w:rPr>
                <w:rFonts w:ascii="Verdana" w:eastAsia="MS Gothic" w:hAnsi="Verdana" w:cs="Times New Roman"/>
                <w:sz w:val="20"/>
                <w:szCs w:val="20"/>
                <w:lang w:val="en-AU" w:eastAsia="en-AU"/>
              </w:rPr>
              <w:t>(43 pages)</w:t>
            </w:r>
            <w:r w:rsidR="006F2276" w:rsidRPr="001D3E93">
              <w:rPr>
                <w:rFonts w:ascii="Verdana" w:eastAsia="MS Gothic" w:hAnsi="Verdana" w:cs="Times New Roman"/>
                <w:sz w:val="20"/>
                <w:szCs w:val="20"/>
                <w:lang w:val="en-AU" w:eastAsia="en-AU"/>
              </w:rPr>
              <w:t xml:space="preserve"> and Round 2 </w:t>
            </w:r>
            <w:r w:rsidR="00AB1991" w:rsidRPr="001D3E93">
              <w:rPr>
                <w:rFonts w:ascii="Verdana" w:eastAsia="MS Gothic" w:hAnsi="Verdana" w:cs="Times New Roman"/>
                <w:sz w:val="20"/>
                <w:szCs w:val="20"/>
                <w:lang w:val="en-AU" w:eastAsia="en-AU"/>
              </w:rPr>
              <w:t>(</w:t>
            </w:r>
            <w:r w:rsidR="006F2276" w:rsidRPr="001D3E93">
              <w:rPr>
                <w:rFonts w:ascii="Verdana" w:eastAsia="MS Gothic" w:hAnsi="Verdana" w:cs="Times New Roman"/>
                <w:sz w:val="20"/>
                <w:szCs w:val="20"/>
                <w:lang w:val="en-AU" w:eastAsia="en-AU"/>
              </w:rPr>
              <w:t>44 pages</w:t>
            </w:r>
            <w:r w:rsidR="00AB1991" w:rsidRPr="001D3E93">
              <w:rPr>
                <w:rFonts w:ascii="Verdana" w:eastAsia="MS Gothic" w:hAnsi="Verdana" w:cs="Times New Roman"/>
                <w:sz w:val="20"/>
                <w:szCs w:val="20"/>
                <w:lang w:val="en-AU" w:eastAsia="en-AU"/>
              </w:rPr>
              <w:t>)</w:t>
            </w:r>
          </w:p>
        </w:tc>
      </w:tr>
      <w:tr w:rsidR="00A0613F" w:rsidRPr="001D3E93" w14:paraId="4D06A82E" w14:textId="77777777">
        <w:tc>
          <w:tcPr>
            <w:tcW w:w="5124" w:type="dxa"/>
          </w:tcPr>
          <w:p w14:paraId="464F86F8" w14:textId="54330140"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EMDG 1.0 </w:t>
            </w:r>
            <w:r w:rsidR="00622590" w:rsidRPr="001D3E93">
              <w:rPr>
                <w:rFonts w:ascii="Verdana" w:eastAsia="MS Gothic" w:hAnsi="Verdana" w:cs="Times New Roman"/>
                <w:sz w:val="20"/>
                <w:szCs w:val="20"/>
                <w:lang w:val="en-AU" w:eastAsia="en-AU"/>
              </w:rPr>
              <w:t>closed on 30 June 2022</w:t>
            </w:r>
            <w:r w:rsidRPr="001D3E93">
              <w:rPr>
                <w:rFonts w:ascii="Verdana" w:eastAsia="MS Gothic" w:hAnsi="Verdana" w:cs="Times New Roman"/>
                <w:sz w:val="20"/>
                <w:szCs w:val="20"/>
                <w:lang w:val="en-AU" w:eastAsia="en-AU"/>
              </w:rPr>
              <w:t xml:space="preserve"> </w:t>
            </w:r>
          </w:p>
        </w:tc>
        <w:tc>
          <w:tcPr>
            <w:tcW w:w="5224" w:type="dxa"/>
          </w:tcPr>
          <w:p w14:paraId="73F9B0F5" w14:textId="43C3CDB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Amended Legislation governing EMDG 2.0 entered into force on 17 June 2021</w:t>
            </w:r>
          </w:p>
        </w:tc>
      </w:tr>
      <w:tr w:rsidR="00A0613F" w:rsidRPr="001D3E93" w14:paraId="7F5413C3" w14:textId="77777777">
        <w:tc>
          <w:tcPr>
            <w:tcW w:w="5124" w:type="dxa"/>
          </w:tcPr>
          <w:p w14:paraId="136ECC3F"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The object of this Act is to bring benefits to Australia by encouraging the creation, development and expansion of foreign markets for Australian goods, services, intellectual property and know</w:t>
            </w:r>
            <w:r w:rsidRPr="001D3E93">
              <w:rPr>
                <w:rFonts w:ascii="Cambria Math" w:eastAsia="MS Gothic" w:hAnsi="Cambria Math" w:cs="Cambria Math"/>
                <w:sz w:val="20"/>
                <w:szCs w:val="20"/>
                <w:lang w:val="en-AU" w:eastAsia="en-AU"/>
              </w:rPr>
              <w:t>‑</w:t>
            </w:r>
            <w:r w:rsidRPr="001D3E93">
              <w:rPr>
                <w:rFonts w:ascii="Verdana" w:eastAsia="MS Gothic" w:hAnsi="Verdana" w:cs="Times New Roman"/>
                <w:sz w:val="20"/>
                <w:szCs w:val="20"/>
                <w:lang w:val="en-AU" w:eastAsia="en-AU"/>
              </w:rPr>
              <w:t>how. It does so by providing an assistance scheme under which small and medium Australian exporters committed to and capable of seeking out and developing export business are repaid part of their expenses incurred in promoting those products.</w:t>
            </w:r>
          </w:p>
        </w:tc>
        <w:tc>
          <w:tcPr>
            <w:tcW w:w="5224" w:type="dxa"/>
          </w:tcPr>
          <w:p w14:paraId="1C9E5711"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The object of this Act is to bring benefits to Australia by encouraging the creation, development and expansion of foreign markets for Australian products. This is done by providing targeted financial assistance, for promotional activities and development of marketing skills, to Australian small and medium enterprises and their representative organisations.</w:t>
            </w:r>
            <w:r w:rsidRPr="001D3E93">
              <w:rPr>
                <w:rFonts w:ascii="Verdana" w:eastAsia="MS Gothic" w:hAnsi="Verdana" w:cs="Times New Roman"/>
                <w:sz w:val="20"/>
                <w:szCs w:val="20"/>
                <w:vertAlign w:val="superscript"/>
                <w:lang w:val="en-AU" w:eastAsia="en-AU"/>
              </w:rPr>
              <w:footnoteReference w:id="2"/>
            </w:r>
          </w:p>
          <w:p w14:paraId="017EFA47"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EMDG 2.0 is consistent with other grants programs administered in accordance with the Commonwealth Grants Rules and Guidelines 2017 (CGRG).   </w:t>
            </w:r>
          </w:p>
        </w:tc>
      </w:tr>
      <w:tr w:rsidR="00A0613F" w:rsidRPr="001D3E93" w14:paraId="236B80B6" w14:textId="77777777">
        <w:tc>
          <w:tcPr>
            <w:tcW w:w="5124" w:type="dxa"/>
          </w:tcPr>
          <w:p w14:paraId="578712DB"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lastRenderedPageBreak/>
              <w:t>Who could apply?</w:t>
            </w:r>
          </w:p>
          <w:p w14:paraId="73EB3A0A" w14:textId="77777777" w:rsidR="00A0613F" w:rsidRPr="001D3E93" w:rsidRDefault="00A0613F" w:rsidP="003F5515">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Income of less than $50 million for the year</w:t>
            </w:r>
          </w:p>
          <w:p w14:paraId="221E93B6" w14:textId="3E7D1B34" w:rsidR="00A0613F" w:rsidRPr="001D3E93" w:rsidRDefault="00A0613F" w:rsidP="004C16E7">
            <w:pPr>
              <w:numPr>
                <w:ilvl w:val="0"/>
                <w:numId w:val="24"/>
              </w:numPr>
              <w:spacing w:before="100" w:beforeAutospacing="1" w:after="100" w:afterAutospacing="1"/>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Spent at least $15,000 on eligible export promotional activities</w:t>
            </w:r>
          </w:p>
        </w:tc>
        <w:tc>
          <w:tcPr>
            <w:tcW w:w="5224" w:type="dxa"/>
          </w:tcPr>
          <w:p w14:paraId="0A156D2F" w14:textId="77777777" w:rsidR="00A0613F" w:rsidRPr="001D3E93" w:rsidRDefault="00A0613F" w:rsidP="00A0613F">
            <w:p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Who can apply?</w:t>
            </w:r>
          </w:p>
          <w:p w14:paraId="730A6329" w14:textId="77777777" w:rsidR="00A0613F" w:rsidRPr="001D3E93" w:rsidRDefault="00A0613F" w:rsidP="0017305C">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Turnover for the financial year is less than $20 million </w:t>
            </w:r>
          </w:p>
          <w:p w14:paraId="41D26499" w14:textId="77777777" w:rsidR="00A0613F" w:rsidRPr="001D3E93" w:rsidRDefault="00A0613F" w:rsidP="0017305C">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Eligible in one of the three business Tier categories and a Representative Bodies category</w:t>
            </w:r>
          </w:p>
          <w:p w14:paraId="708B19D9" w14:textId="36F78618" w:rsidR="00A0613F" w:rsidRPr="001D3E93" w:rsidRDefault="002D02B1" w:rsidP="0017305C">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No minimum spend required on eligible export promotional activities</w:t>
            </w:r>
          </w:p>
        </w:tc>
      </w:tr>
      <w:tr w:rsidR="00A0613F" w:rsidRPr="001D3E93" w14:paraId="430FCDF1" w14:textId="77777777">
        <w:trPr>
          <w:trHeight w:val="699"/>
        </w:trPr>
        <w:tc>
          <w:tcPr>
            <w:tcW w:w="5124" w:type="dxa"/>
          </w:tcPr>
          <w:p w14:paraId="6E3588BA" w14:textId="77777777" w:rsidR="00A0613F" w:rsidRPr="001D3E93" w:rsidRDefault="00A0613F" w:rsidP="00A0613F">
            <w:pPr>
              <w:spacing w:before="100" w:beforeAutospacing="1" w:after="120" w:afterAutospacing="1"/>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Key features of the EMDG 1.0</w:t>
            </w:r>
          </w:p>
          <w:p w14:paraId="36452B2B" w14:textId="68E2D7A3" w:rsidR="007B7371" w:rsidRPr="001D3E93" w:rsidRDefault="007B7371"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Backwards looking – apply for reimbursement after the completion of the year of expenditure</w:t>
            </w:r>
            <w:r w:rsidR="00E81003" w:rsidRPr="001D3E93">
              <w:rPr>
                <w:rFonts w:ascii="Verdana" w:eastAsia="MS Gothic" w:hAnsi="Verdana" w:cs="Times New Roman"/>
                <w:sz w:val="20"/>
                <w:szCs w:val="20"/>
                <w:lang w:val="en-AU" w:eastAsia="en-AU"/>
              </w:rPr>
              <w:t>.</w:t>
            </w:r>
          </w:p>
          <w:p w14:paraId="16CB33C5" w14:textId="22A886B9" w:rsidR="00A0613F" w:rsidRPr="001D3E93" w:rsidRDefault="00A0613F" w:rsidP="00D23A9E">
            <w:pPr>
              <w:numPr>
                <w:ilvl w:val="0"/>
                <w:numId w:val="24"/>
              </w:numPr>
              <w:spacing w:after="120"/>
              <w:ind w:left="357" w:hanging="357"/>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Up to 50 per cent reimbursement of eligible expenses, less the first $5,000.</w:t>
            </w:r>
          </w:p>
          <w:p w14:paraId="0C8DCB23" w14:textId="77777777"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Each applicant may receive a grant of up to $150,000 per application (subject to available funds), to a maximum of eight annual grants.</w:t>
            </w:r>
          </w:p>
          <w:p w14:paraId="36B6A487" w14:textId="77777777"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Eligible expenses included: overseas representation expenses; trade fairs, seminars, in-store promotions; promotional literature and advertising expenses. </w:t>
            </w:r>
          </w:p>
          <w:p w14:paraId="17D2AC55" w14:textId="77777777"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Export performance test applied for applicants after two years of reimbursements to ensure grant recipients are achieving export sales.</w:t>
            </w:r>
          </w:p>
          <w:p w14:paraId="0829F1D4" w14:textId="61776C51"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Regulation of consultants occurred under the Export Market Development Grants Act 1997. </w:t>
            </w:r>
          </w:p>
          <w:p w14:paraId="3D83530A" w14:textId="4D481635" w:rsidR="00E81003" w:rsidRPr="001D3E93" w:rsidRDefault="00E81003"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Focus on maximising reimbursements.</w:t>
            </w:r>
          </w:p>
          <w:p w14:paraId="4C2F074A" w14:textId="77777777" w:rsidR="00A0613F" w:rsidRPr="001D3E93" w:rsidRDefault="00A0613F" w:rsidP="00A0613F">
            <w:pPr>
              <w:spacing w:before="100" w:beforeAutospacing="1" w:after="120" w:afterAutospacing="1"/>
              <w:ind w:left="360"/>
              <w:textAlignment w:val="baseline"/>
              <w:rPr>
                <w:rFonts w:ascii="Verdana" w:eastAsia="MS Gothic" w:hAnsi="Verdana" w:cs="Times New Roman"/>
                <w:sz w:val="20"/>
                <w:szCs w:val="20"/>
                <w:lang w:val="en-AU" w:eastAsia="en-AU"/>
              </w:rPr>
            </w:pPr>
          </w:p>
        </w:tc>
        <w:tc>
          <w:tcPr>
            <w:tcW w:w="5224" w:type="dxa"/>
          </w:tcPr>
          <w:p w14:paraId="43378157" w14:textId="77777777" w:rsidR="00A0613F" w:rsidRPr="001D3E93" w:rsidRDefault="00A0613F" w:rsidP="00A0613F">
            <w:pPr>
              <w:spacing w:before="100" w:beforeAutospacing="1" w:after="120" w:afterAutospacing="1"/>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Key features of EMDG 2.0</w:t>
            </w:r>
          </w:p>
          <w:p w14:paraId="75DBF090" w14:textId="668F5A8B" w:rsidR="00106296" w:rsidRPr="001D3E93" w:rsidRDefault="007B7371"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Forwards looking – apply </w:t>
            </w:r>
            <w:r w:rsidR="00106296" w:rsidRPr="001D3E93">
              <w:rPr>
                <w:rFonts w:ascii="Verdana" w:eastAsia="MS Gothic" w:hAnsi="Verdana" w:cs="Times New Roman"/>
                <w:sz w:val="20"/>
                <w:szCs w:val="20"/>
                <w:lang w:val="en-AU" w:eastAsia="en-AU"/>
              </w:rPr>
              <w:t xml:space="preserve">in </w:t>
            </w:r>
            <w:r w:rsidR="00475C21" w:rsidRPr="001D3E93">
              <w:rPr>
                <w:rFonts w:ascii="Verdana" w:eastAsia="MS Gothic" w:hAnsi="Verdana" w:cs="Times New Roman"/>
                <w:sz w:val="20"/>
                <w:szCs w:val="20"/>
                <w:lang w:val="en-AU" w:eastAsia="en-AU"/>
              </w:rPr>
              <w:t xml:space="preserve">(and eventually in </w:t>
            </w:r>
            <w:r w:rsidR="00106296" w:rsidRPr="001D3E93">
              <w:rPr>
                <w:rFonts w:ascii="Verdana" w:eastAsia="MS Gothic" w:hAnsi="Verdana" w:cs="Times New Roman"/>
                <w:sz w:val="20"/>
                <w:szCs w:val="20"/>
                <w:lang w:val="en-AU" w:eastAsia="en-AU"/>
              </w:rPr>
              <w:t>advance of</w:t>
            </w:r>
            <w:r w:rsidR="00D25D25" w:rsidRPr="001D3E93">
              <w:rPr>
                <w:rFonts w:ascii="Verdana" w:eastAsia="MS Gothic" w:hAnsi="Verdana" w:cs="Times New Roman"/>
                <w:sz w:val="20"/>
                <w:szCs w:val="20"/>
                <w:lang w:val="en-AU" w:eastAsia="en-AU"/>
              </w:rPr>
              <w:t>)</w:t>
            </w:r>
            <w:r w:rsidR="00106296" w:rsidRPr="001D3E93">
              <w:rPr>
                <w:rFonts w:ascii="Verdana" w:eastAsia="MS Gothic" w:hAnsi="Verdana" w:cs="Times New Roman"/>
                <w:sz w:val="20"/>
                <w:szCs w:val="20"/>
                <w:lang w:val="en-AU" w:eastAsia="en-AU"/>
              </w:rPr>
              <w:t xml:space="preserve"> the grant year to receive certainty of funding prior to expenditure</w:t>
            </w:r>
            <w:r w:rsidR="00E81003" w:rsidRPr="001D3E93">
              <w:rPr>
                <w:rFonts w:ascii="Verdana" w:eastAsia="MS Gothic" w:hAnsi="Verdana" w:cs="Times New Roman"/>
                <w:sz w:val="20"/>
                <w:szCs w:val="20"/>
                <w:lang w:val="en-AU" w:eastAsia="en-AU"/>
              </w:rPr>
              <w:t xml:space="preserve"> through multi</w:t>
            </w:r>
            <w:r w:rsidR="005F3479" w:rsidRPr="001D3E93">
              <w:rPr>
                <w:rFonts w:ascii="Verdana" w:eastAsia="MS Gothic" w:hAnsi="Verdana" w:cs="Times New Roman"/>
                <w:sz w:val="20"/>
                <w:szCs w:val="20"/>
                <w:lang w:val="en-AU" w:eastAsia="en-AU"/>
              </w:rPr>
              <w:t>-</w:t>
            </w:r>
            <w:r w:rsidR="00E81003" w:rsidRPr="001D3E93">
              <w:rPr>
                <w:rFonts w:ascii="Verdana" w:eastAsia="MS Gothic" w:hAnsi="Verdana" w:cs="Times New Roman"/>
                <w:sz w:val="20"/>
                <w:szCs w:val="20"/>
                <w:lang w:val="en-AU" w:eastAsia="en-AU"/>
              </w:rPr>
              <w:t>year grant agreements.</w:t>
            </w:r>
          </w:p>
          <w:p w14:paraId="4369D02E" w14:textId="14AFA67D"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Three tiers of EMDG support for individuals and businesses – for new to exporters (tier 1), expanding exporters (tier 2) and diversifying exporters (tier 3)</w:t>
            </w:r>
            <w:r w:rsidR="000A30E7" w:rsidRPr="001D3E93">
              <w:rPr>
                <w:rFonts w:ascii="Verdana" w:eastAsia="MS Gothic" w:hAnsi="Verdana" w:cs="Times New Roman"/>
                <w:sz w:val="20"/>
                <w:szCs w:val="20"/>
                <w:lang w:val="en-AU" w:eastAsia="en-AU"/>
              </w:rPr>
              <w:t xml:space="preserve"> with adjusted legislated maximum grant caps</w:t>
            </w:r>
            <w:r w:rsidR="004B1FFC" w:rsidRPr="001D3E93">
              <w:rPr>
                <w:rFonts w:ascii="Verdana" w:eastAsia="MS Gothic" w:hAnsi="Verdana" w:cs="Times New Roman"/>
                <w:sz w:val="20"/>
                <w:szCs w:val="20"/>
                <w:lang w:val="en-AU" w:eastAsia="en-AU"/>
              </w:rPr>
              <w:t>. T</w:t>
            </w:r>
            <w:r w:rsidR="000A30E7" w:rsidRPr="001D3E93">
              <w:rPr>
                <w:rFonts w:ascii="Verdana" w:eastAsia="MS Gothic" w:hAnsi="Verdana" w:cs="Times New Roman"/>
                <w:sz w:val="20"/>
                <w:szCs w:val="20"/>
                <w:lang w:val="en-AU" w:eastAsia="en-AU"/>
              </w:rPr>
              <w:t>op tier and Representative Bodies hav</w:t>
            </w:r>
            <w:r w:rsidR="004B1FFC" w:rsidRPr="001D3E93">
              <w:rPr>
                <w:rFonts w:ascii="Verdana" w:eastAsia="MS Gothic" w:hAnsi="Verdana" w:cs="Times New Roman"/>
                <w:sz w:val="20"/>
                <w:szCs w:val="20"/>
                <w:lang w:val="en-AU" w:eastAsia="en-AU"/>
              </w:rPr>
              <w:t>e</w:t>
            </w:r>
            <w:r w:rsidR="000A30E7" w:rsidRPr="001D3E93">
              <w:rPr>
                <w:rFonts w:ascii="Verdana" w:eastAsia="MS Gothic" w:hAnsi="Verdana" w:cs="Times New Roman"/>
                <w:sz w:val="20"/>
                <w:szCs w:val="20"/>
                <w:lang w:val="en-AU" w:eastAsia="en-AU"/>
              </w:rPr>
              <w:t xml:space="preserve"> same $150,000 maximum</w:t>
            </w:r>
            <w:r w:rsidRPr="001D3E93">
              <w:rPr>
                <w:rFonts w:ascii="Verdana" w:eastAsia="MS Gothic" w:hAnsi="Verdana" w:cs="Times New Roman"/>
                <w:sz w:val="20"/>
                <w:szCs w:val="20"/>
                <w:lang w:val="en-AU" w:eastAsia="en-AU"/>
              </w:rPr>
              <w:t xml:space="preserve"> </w:t>
            </w:r>
            <w:r w:rsidR="000A30E7" w:rsidRPr="001D3E93">
              <w:rPr>
                <w:rFonts w:ascii="Verdana" w:eastAsia="MS Gothic" w:hAnsi="Verdana" w:cs="Times New Roman"/>
                <w:sz w:val="20"/>
                <w:szCs w:val="20"/>
                <w:lang w:val="en-AU" w:eastAsia="en-AU"/>
              </w:rPr>
              <w:t>cap</w:t>
            </w:r>
            <w:r w:rsidR="004B1FFC" w:rsidRPr="001D3E93">
              <w:rPr>
                <w:rFonts w:ascii="Verdana" w:eastAsia="MS Gothic" w:hAnsi="Verdana" w:cs="Times New Roman"/>
                <w:sz w:val="20"/>
                <w:szCs w:val="20"/>
                <w:lang w:val="en-AU" w:eastAsia="en-AU"/>
              </w:rPr>
              <w:t xml:space="preserve"> same as EMDG 1.0</w:t>
            </w:r>
          </w:p>
          <w:p w14:paraId="4D644BED" w14:textId="5F20C47B"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Representative Bodies - can apply for a grant to undertake promotional activities on behalf of members; or deliver training to assist members become export ready (</w:t>
            </w:r>
            <w:r w:rsidR="000C743F" w:rsidRPr="001D3E93">
              <w:rPr>
                <w:rFonts w:ascii="Verdana" w:eastAsia="MS Gothic" w:hAnsi="Verdana" w:cs="Times New Roman"/>
                <w:sz w:val="20"/>
                <w:szCs w:val="20"/>
                <w:lang w:val="en-AU" w:eastAsia="en-AU"/>
              </w:rPr>
              <w:t>c</w:t>
            </w:r>
            <w:r w:rsidRPr="001D3E93">
              <w:rPr>
                <w:rFonts w:ascii="Verdana" w:eastAsia="MS Gothic" w:hAnsi="Verdana" w:cs="Times New Roman"/>
                <w:sz w:val="20"/>
                <w:szCs w:val="20"/>
                <w:lang w:val="en-AU" w:eastAsia="en-AU"/>
              </w:rPr>
              <w:t xml:space="preserve">alled Approved Bodies under EMDG 1.0). Representative Bodies (and formerly approved bodies) are not subject to the eight-year cap. </w:t>
            </w:r>
          </w:p>
          <w:p w14:paraId="7026D868" w14:textId="31AC3EFC"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Eligible activities: the same as EMDG 1.0 </w:t>
            </w:r>
            <w:r w:rsidR="000808BE" w:rsidRPr="001D3E93">
              <w:rPr>
                <w:rFonts w:ascii="Verdana" w:eastAsia="MS Gothic" w:hAnsi="Verdana" w:cs="Times New Roman"/>
                <w:sz w:val="20"/>
                <w:szCs w:val="20"/>
                <w:lang w:val="en-AU" w:eastAsia="en-AU"/>
              </w:rPr>
              <w:t>and</w:t>
            </w:r>
            <w:r w:rsidRPr="001D3E93">
              <w:rPr>
                <w:rFonts w:ascii="Verdana" w:eastAsia="MS Gothic" w:hAnsi="Verdana" w:cs="Times New Roman"/>
                <w:sz w:val="20"/>
                <w:szCs w:val="20"/>
                <w:lang w:val="en-AU" w:eastAsia="en-AU"/>
              </w:rPr>
              <w:t xml:space="preserve"> expanded to include training for relevant member organisations to help members become export ready. </w:t>
            </w:r>
          </w:p>
          <w:p w14:paraId="1D48F542" w14:textId="77777777"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Eligible products: the same as EMDG 1.0, including substantially of Australian origin as a condition. </w:t>
            </w:r>
          </w:p>
          <w:p w14:paraId="12F5B8F9" w14:textId="77777777"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Eligible expenses: the same as EMDG 1.0, must be for promotional activities to market eligible products overseas. </w:t>
            </w:r>
          </w:p>
          <w:p w14:paraId="77C5F3AF" w14:textId="31EC4292" w:rsidR="00A0613F"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Grant amounts are to be at least matched by the exporter</w:t>
            </w:r>
            <w:r w:rsidR="00A6130D" w:rsidRPr="001D3E93">
              <w:rPr>
                <w:rFonts w:ascii="Verdana" w:eastAsia="MS Gothic" w:hAnsi="Verdana" w:cs="Times New Roman"/>
                <w:sz w:val="20"/>
                <w:szCs w:val="20"/>
                <w:lang w:val="en-AU" w:eastAsia="en-AU"/>
              </w:rPr>
              <w:t xml:space="preserve"> (without requirement for first $5,000 to be set aside)</w:t>
            </w:r>
            <w:r w:rsidRPr="001D3E93">
              <w:rPr>
                <w:rFonts w:ascii="Verdana" w:eastAsia="MS Gothic" w:hAnsi="Verdana" w:cs="Times New Roman"/>
                <w:sz w:val="20"/>
                <w:szCs w:val="20"/>
                <w:lang w:val="en-AU" w:eastAsia="en-AU"/>
              </w:rPr>
              <w:t>.</w:t>
            </w:r>
          </w:p>
          <w:p w14:paraId="5605017F" w14:textId="77777777" w:rsidR="00E81003" w:rsidRPr="001D3E93" w:rsidRDefault="00A0613F"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No export performance test requirement.</w:t>
            </w:r>
          </w:p>
          <w:p w14:paraId="74CE2BB2" w14:textId="62176FC5" w:rsidR="00A0613F" w:rsidRPr="001D3E93" w:rsidRDefault="00E81003" w:rsidP="004469E7">
            <w:pPr>
              <w:numPr>
                <w:ilvl w:val="0"/>
                <w:numId w:val="24"/>
              </w:numPr>
              <w:spacing w:after="120"/>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Focus on </w:t>
            </w:r>
            <w:r w:rsidR="000D28A6" w:rsidRPr="001D3E93">
              <w:rPr>
                <w:rFonts w:ascii="Verdana" w:eastAsia="MS Gothic" w:hAnsi="Verdana" w:cs="Times New Roman"/>
                <w:sz w:val="20"/>
                <w:szCs w:val="20"/>
                <w:lang w:val="en-AU" w:eastAsia="en-AU"/>
              </w:rPr>
              <w:t xml:space="preserve">supporting exporters to </w:t>
            </w:r>
            <w:r w:rsidRPr="001D3E93">
              <w:rPr>
                <w:rFonts w:ascii="Verdana" w:eastAsia="MS Gothic" w:hAnsi="Verdana" w:cs="Times New Roman"/>
                <w:sz w:val="20"/>
                <w:szCs w:val="20"/>
                <w:lang w:val="en-AU" w:eastAsia="en-AU"/>
              </w:rPr>
              <w:t>plan eligible marketing activity up front through Plan to Market</w:t>
            </w:r>
            <w:r w:rsidR="000D28A6" w:rsidRPr="001D3E93">
              <w:rPr>
                <w:rFonts w:ascii="Verdana" w:eastAsia="MS Gothic" w:hAnsi="Verdana" w:cs="Times New Roman"/>
                <w:sz w:val="20"/>
                <w:szCs w:val="20"/>
                <w:lang w:val="en-AU" w:eastAsia="en-AU"/>
              </w:rPr>
              <w:t xml:space="preserve"> activity.</w:t>
            </w:r>
          </w:p>
          <w:p w14:paraId="00226881" w14:textId="4E9784E8" w:rsidR="00A0613F" w:rsidRPr="001D3E93" w:rsidRDefault="00A0613F" w:rsidP="00A6130D">
            <w:pPr>
              <w:spacing w:after="120"/>
              <w:ind w:left="360"/>
              <w:textAlignment w:val="baseline"/>
              <w:rPr>
                <w:rFonts w:ascii="Verdana" w:eastAsia="MS Gothic" w:hAnsi="Verdana" w:cs="Times New Roman"/>
                <w:sz w:val="20"/>
                <w:szCs w:val="20"/>
                <w:lang w:val="en-AU" w:eastAsia="en-AU"/>
              </w:rPr>
            </w:pPr>
          </w:p>
        </w:tc>
      </w:tr>
    </w:tbl>
    <w:p w14:paraId="2C957D24" w14:textId="77777777" w:rsidR="00AE7B17" w:rsidRPr="001D3E93" w:rsidRDefault="00AE7B17" w:rsidP="00AE7B17">
      <w:pPr>
        <w:rPr>
          <w:lang w:eastAsia="en-AU"/>
        </w:rPr>
      </w:pPr>
    </w:p>
    <w:p w14:paraId="2E958379" w14:textId="021CFBC7" w:rsidR="00A0613F" w:rsidRPr="001D3E93" w:rsidRDefault="00A0613F" w:rsidP="005321D6">
      <w:pPr>
        <w:pStyle w:val="Heading4"/>
        <w:rPr>
          <w:b w:val="0"/>
          <w:bCs w:val="0"/>
        </w:rPr>
      </w:pPr>
      <w:r w:rsidRPr="001D3E93">
        <w:rPr>
          <w:b w:val="0"/>
          <w:bCs w:val="0"/>
        </w:rPr>
        <w:lastRenderedPageBreak/>
        <w:t xml:space="preserve">Table 3: Comparison using averages – EMDG 1.0 and EMDG 2.0 recipients </w:t>
      </w:r>
    </w:p>
    <w:tbl>
      <w:tblPr>
        <w:tblStyle w:val="TableGrid2"/>
        <w:tblW w:w="10632" w:type="dxa"/>
        <w:tblInd w:w="-572" w:type="dxa"/>
        <w:tblLook w:val="04A0" w:firstRow="1" w:lastRow="0" w:firstColumn="1" w:lastColumn="0" w:noHBand="0" w:noVBand="1"/>
        <w:tblCaption w:val="Table 3: Comparison using averages – EMDG 1.0 and EMDG 2.0 recipients "/>
      </w:tblPr>
      <w:tblGrid>
        <w:gridCol w:w="3544"/>
        <w:gridCol w:w="3544"/>
        <w:gridCol w:w="3544"/>
      </w:tblGrid>
      <w:tr w:rsidR="00483A71" w:rsidRPr="001D3E93" w14:paraId="40A6ABDD" w14:textId="77777777" w:rsidTr="00C93569">
        <w:trPr>
          <w:tblHeader/>
        </w:trPr>
        <w:tc>
          <w:tcPr>
            <w:tcW w:w="3544" w:type="dxa"/>
            <w:shd w:val="clear" w:color="auto" w:fill="412564" w:themeFill="text2" w:themeFillTint="E6"/>
          </w:tcPr>
          <w:p w14:paraId="38E192CC" w14:textId="77777777" w:rsidR="00A0613F" w:rsidRPr="001D3E93" w:rsidRDefault="00A0613F" w:rsidP="00A0613F">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Average recipient of EMDG 1.0 final year</w:t>
            </w:r>
          </w:p>
        </w:tc>
        <w:tc>
          <w:tcPr>
            <w:tcW w:w="3544" w:type="dxa"/>
            <w:shd w:val="clear" w:color="auto" w:fill="412564" w:themeFill="text2" w:themeFillTint="E6"/>
          </w:tcPr>
          <w:p w14:paraId="40C96DC8" w14:textId="77777777" w:rsidR="00A0613F" w:rsidRPr="001D3E93" w:rsidRDefault="00A0613F" w:rsidP="00A0613F">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Average recipient of EMDG 2.0 Round 1</w:t>
            </w:r>
          </w:p>
          <w:p w14:paraId="0A856B0D" w14:textId="42A990B6" w:rsidR="00A0613F" w:rsidRPr="001D3E93" w:rsidRDefault="00A0613F" w:rsidP="00A0613F">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(Average across all tiers unless specified)</w:t>
            </w:r>
          </w:p>
        </w:tc>
        <w:tc>
          <w:tcPr>
            <w:tcW w:w="3544" w:type="dxa"/>
            <w:shd w:val="clear" w:color="auto" w:fill="412564" w:themeFill="text2" w:themeFillTint="E6"/>
          </w:tcPr>
          <w:p w14:paraId="3B687996" w14:textId="680FE1AC" w:rsidR="00A0613F" w:rsidRPr="001D3E93" w:rsidRDefault="00A0613F" w:rsidP="00A0613F">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Average </w:t>
            </w:r>
            <w:r w:rsidR="00635092" w:rsidRPr="001D3E93">
              <w:rPr>
                <w:rFonts w:ascii="Verdana" w:eastAsia="MS Gothic" w:hAnsi="Verdana" w:cs="Times New Roman"/>
                <w:sz w:val="20"/>
                <w:szCs w:val="20"/>
                <w:lang w:val="en-AU" w:eastAsia="en-AU"/>
              </w:rPr>
              <w:t>applicant</w:t>
            </w:r>
            <w:r w:rsidRPr="001D3E93">
              <w:rPr>
                <w:rFonts w:ascii="Verdana" w:eastAsia="MS Gothic" w:hAnsi="Verdana" w:cs="Times New Roman"/>
                <w:sz w:val="20"/>
                <w:szCs w:val="20"/>
                <w:lang w:val="en-AU" w:eastAsia="en-AU"/>
              </w:rPr>
              <w:t xml:space="preserve"> of EMDG 2.0 Round 2 </w:t>
            </w:r>
          </w:p>
          <w:p w14:paraId="320D3B3F" w14:textId="7E217100" w:rsidR="00A0613F" w:rsidRPr="001D3E93" w:rsidRDefault="00A0613F" w:rsidP="00A0613F">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(Average across all tiers unless specified)</w:t>
            </w:r>
          </w:p>
        </w:tc>
      </w:tr>
      <w:tr w:rsidR="00A0613F" w:rsidRPr="001D3E93" w14:paraId="37302249" w14:textId="77777777">
        <w:tc>
          <w:tcPr>
            <w:tcW w:w="3544" w:type="dxa"/>
          </w:tcPr>
          <w:p w14:paraId="551C1E2B"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Average turnover of $3.6 million </w:t>
            </w:r>
          </w:p>
        </w:tc>
        <w:tc>
          <w:tcPr>
            <w:tcW w:w="3544" w:type="dxa"/>
          </w:tcPr>
          <w:p w14:paraId="32BE2C24"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Average turnover of $1.9 million </w:t>
            </w:r>
          </w:p>
        </w:tc>
        <w:tc>
          <w:tcPr>
            <w:tcW w:w="3544" w:type="dxa"/>
          </w:tcPr>
          <w:p w14:paraId="44B036B9"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Average turnover of $1.8 million</w:t>
            </w:r>
          </w:p>
        </w:tc>
      </w:tr>
      <w:tr w:rsidR="00A0613F" w:rsidRPr="001D3E93" w14:paraId="402271CE" w14:textId="77777777">
        <w:tc>
          <w:tcPr>
            <w:tcW w:w="3544" w:type="dxa"/>
            <w:shd w:val="clear" w:color="auto" w:fill="auto"/>
          </w:tcPr>
          <w:p w14:paraId="4CA02482"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Average of 12.7 employees </w:t>
            </w:r>
          </w:p>
        </w:tc>
        <w:tc>
          <w:tcPr>
            <w:tcW w:w="3544" w:type="dxa"/>
          </w:tcPr>
          <w:p w14:paraId="36A56ED6"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Average of 10.2 employees </w:t>
            </w:r>
          </w:p>
        </w:tc>
        <w:tc>
          <w:tcPr>
            <w:tcW w:w="3544" w:type="dxa"/>
          </w:tcPr>
          <w:p w14:paraId="0399D8E5"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Average of 10.7 employees </w:t>
            </w:r>
          </w:p>
        </w:tc>
      </w:tr>
      <w:tr w:rsidR="00A0613F" w:rsidRPr="001D3E93" w14:paraId="255699FA" w14:textId="77777777">
        <w:tc>
          <w:tcPr>
            <w:tcW w:w="3544" w:type="dxa"/>
            <w:shd w:val="clear" w:color="auto" w:fill="auto"/>
          </w:tcPr>
          <w:p w14:paraId="0474B08D"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3,473 claims submitted  </w:t>
            </w:r>
          </w:p>
          <w:p w14:paraId="0BA5B3FE" w14:textId="253AF2A8" w:rsidR="00A0613F" w:rsidRPr="001D3E93" w:rsidRDefault="00DA2292" w:rsidP="00AB3544">
            <w:pPr>
              <w:spacing w:after="120"/>
              <w:jc w:val="center"/>
              <w:textAlignment w:val="baseline"/>
              <w:rPr>
                <w:rFonts w:ascii="Verdana" w:eastAsia="MS Gothic" w:hAnsi="Verdana" w:cs="Times New Roman"/>
                <w:sz w:val="20"/>
                <w:szCs w:val="20"/>
                <w:lang w:val="en-AU" w:eastAsia="en-AU"/>
              </w:rPr>
            </w:pPr>
            <w:hyperlink r:id="rId15" w:history="1">
              <w:r w:rsidR="00A0613F" w:rsidRPr="00A0613F">
                <w:rPr>
                  <w:rFonts w:ascii="Verdana" w:eastAsia="MS Gothic" w:hAnsi="Verdana" w:cs="Times New Roman"/>
                  <w:sz w:val="20"/>
                  <w:szCs w:val="20"/>
                  <w:lang w:val="en-AU" w:eastAsia="en-AU"/>
                </w:rPr>
                <w:t>78 per cent of claims lodged by agents</w:t>
              </w:r>
              <w:r w:rsidR="00A0613F" w:rsidRPr="00A0613F">
                <w:rPr>
                  <w:rFonts w:ascii="Verdana" w:eastAsia="MS Gothic" w:hAnsi="Verdana" w:cs="Times New Roman"/>
                  <w:sz w:val="20"/>
                  <w:szCs w:val="20"/>
                  <w:lang w:val="en-AU" w:eastAsia="en-AU"/>
                </w:rPr>
                <w:br/>
                <w:t>22 per cent</w:t>
              </w:r>
            </w:hyperlink>
            <w:r w:rsidR="00A0613F" w:rsidRPr="00A0613F">
              <w:rPr>
                <w:rFonts w:ascii="Verdana" w:eastAsia="MS Gothic" w:hAnsi="Verdana" w:cs="Times New Roman"/>
                <w:sz w:val="20"/>
                <w:szCs w:val="20"/>
                <w:lang w:val="en-AU" w:eastAsia="en-AU"/>
              </w:rPr>
              <w:t xml:space="preserve"> lodged by self-preparers</w:t>
            </w:r>
            <w:r w:rsidR="00A0613F" w:rsidRPr="00A0613F">
              <w:rPr>
                <w:rFonts w:ascii="Verdana" w:eastAsia="MS Gothic" w:hAnsi="Verdana" w:cs="Times New Roman"/>
                <w:sz w:val="20"/>
                <w:szCs w:val="20"/>
                <w:lang w:val="en-AU" w:eastAsia="en-AU"/>
              </w:rPr>
              <w:br/>
            </w:r>
          </w:p>
        </w:tc>
        <w:tc>
          <w:tcPr>
            <w:tcW w:w="3544" w:type="dxa"/>
          </w:tcPr>
          <w:p w14:paraId="6EF6D589"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5,384 applications submitted</w:t>
            </w:r>
          </w:p>
          <w:p w14:paraId="0E6AE6CD" w14:textId="75C05494" w:rsidR="00A0613F" w:rsidRPr="001D3E93" w:rsidRDefault="005E34E1"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75</w:t>
            </w:r>
            <w:r w:rsidR="00A0613F" w:rsidRPr="001D3E93">
              <w:rPr>
                <w:rFonts w:ascii="Verdana" w:eastAsia="MS Gothic" w:hAnsi="Verdana" w:cs="Times New Roman"/>
                <w:sz w:val="20"/>
                <w:szCs w:val="20"/>
                <w:lang w:val="en-AU" w:eastAsia="en-AU"/>
              </w:rPr>
              <w:t xml:space="preserve"> per cent lodged by agents </w:t>
            </w:r>
          </w:p>
          <w:p w14:paraId="36250E08" w14:textId="4E6DE040"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25 per cent lodged by self- preparers</w:t>
            </w:r>
          </w:p>
        </w:tc>
        <w:tc>
          <w:tcPr>
            <w:tcW w:w="3544" w:type="dxa"/>
          </w:tcPr>
          <w:p w14:paraId="46980E4A"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2,723 applications submitted</w:t>
            </w:r>
          </w:p>
          <w:p w14:paraId="52690E5D" w14:textId="74995945"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6</w:t>
            </w:r>
            <w:r w:rsidR="005E34E1" w:rsidRPr="001D3E93">
              <w:rPr>
                <w:rFonts w:ascii="Verdana" w:eastAsia="MS Gothic" w:hAnsi="Verdana" w:cs="Times New Roman"/>
                <w:sz w:val="20"/>
                <w:szCs w:val="20"/>
                <w:lang w:val="en-AU" w:eastAsia="en-AU"/>
              </w:rPr>
              <w:t>3</w:t>
            </w:r>
            <w:r w:rsidRPr="001D3E93">
              <w:rPr>
                <w:rFonts w:ascii="Verdana" w:eastAsia="MS Gothic" w:hAnsi="Verdana" w:cs="Times New Roman"/>
                <w:sz w:val="20"/>
                <w:szCs w:val="20"/>
                <w:lang w:val="en-AU" w:eastAsia="en-AU"/>
              </w:rPr>
              <w:t xml:space="preserve"> per cent lodged by agents</w:t>
            </w:r>
          </w:p>
          <w:p w14:paraId="2358EBB1" w14:textId="14C42FFC"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37 per cent lodged by self- preparers</w:t>
            </w:r>
          </w:p>
        </w:tc>
      </w:tr>
      <w:tr w:rsidR="00A0613F" w:rsidRPr="001D3E93" w14:paraId="69001D3E" w14:textId="77777777">
        <w:tc>
          <w:tcPr>
            <w:tcW w:w="3544" w:type="dxa"/>
          </w:tcPr>
          <w:p w14:paraId="065DD9E6" w14:textId="54B6FBB1"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Average value of claim - </w:t>
            </w:r>
            <w:r w:rsidR="008405F6" w:rsidRPr="001D3E93">
              <w:rPr>
                <w:rFonts w:ascii="Verdana" w:eastAsia="MS Gothic" w:hAnsi="Verdana" w:cs="Times New Roman"/>
                <w:sz w:val="20"/>
                <w:szCs w:val="20"/>
                <w:lang w:val="en-AU" w:eastAsia="en-AU"/>
              </w:rPr>
              <w:br/>
            </w:r>
            <w:r w:rsidRPr="001D3E93">
              <w:rPr>
                <w:rFonts w:ascii="Verdana" w:eastAsia="MS Gothic" w:hAnsi="Verdana" w:cs="Times New Roman"/>
                <w:sz w:val="20"/>
                <w:szCs w:val="20"/>
                <w:lang w:val="en-AU" w:eastAsia="en-AU"/>
              </w:rPr>
              <w:t>$54, 800</w:t>
            </w:r>
          </w:p>
        </w:tc>
        <w:tc>
          <w:tcPr>
            <w:tcW w:w="3544" w:type="dxa"/>
          </w:tcPr>
          <w:p w14:paraId="597D0A5F"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*Average planned marketing expenditure</w:t>
            </w:r>
            <w:r w:rsidRPr="001D3E93" w:rsidDel="006D239F">
              <w:rPr>
                <w:rFonts w:ascii="Verdana" w:eastAsia="MS Gothic" w:hAnsi="Verdana" w:cs="Times New Roman"/>
                <w:sz w:val="20"/>
                <w:szCs w:val="20"/>
                <w:lang w:val="en-AU" w:eastAsia="en-AU"/>
              </w:rPr>
              <w:t xml:space="preserve"> </w:t>
            </w:r>
            <w:r w:rsidRPr="001D3E93">
              <w:rPr>
                <w:rFonts w:ascii="Verdana" w:eastAsia="MS Gothic" w:hAnsi="Verdana" w:cs="Times New Roman"/>
                <w:sz w:val="20"/>
                <w:szCs w:val="20"/>
                <w:lang w:val="en-AU" w:eastAsia="en-AU"/>
              </w:rPr>
              <w:t>by tier:</w:t>
            </w:r>
          </w:p>
          <w:p w14:paraId="2D03B2BC"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Tier 1: $</w:t>
            </w:r>
            <w:r w:rsidRPr="001D3E93" w:rsidDel="00A67141">
              <w:rPr>
                <w:rFonts w:ascii="Verdana" w:eastAsia="MS Gothic" w:hAnsi="Verdana" w:cs="Times New Roman"/>
                <w:sz w:val="20"/>
                <w:szCs w:val="20"/>
                <w:lang w:val="en-AU" w:eastAsia="en-AU"/>
              </w:rPr>
              <w:t>152,</w:t>
            </w:r>
            <w:r w:rsidRPr="001D3E93">
              <w:rPr>
                <w:rFonts w:ascii="Verdana" w:eastAsia="MS Gothic" w:hAnsi="Verdana" w:cs="Times New Roman"/>
                <w:sz w:val="20"/>
                <w:szCs w:val="20"/>
                <w:lang w:val="en-AU" w:eastAsia="en-AU"/>
              </w:rPr>
              <w:t>710</w:t>
            </w:r>
          </w:p>
          <w:p w14:paraId="01EC9012"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Tier 2: $202,751</w:t>
            </w:r>
          </w:p>
          <w:p w14:paraId="6B5FB7BC"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Tier 3: $</w:t>
            </w:r>
            <w:r w:rsidRPr="001D3E93" w:rsidDel="4B18BFC3">
              <w:rPr>
                <w:rFonts w:ascii="Verdana" w:eastAsia="MS Gothic" w:hAnsi="Verdana" w:cs="Times New Roman"/>
                <w:sz w:val="20"/>
                <w:szCs w:val="20"/>
                <w:lang w:val="en-AU" w:eastAsia="en-AU"/>
              </w:rPr>
              <w:t>604,</w:t>
            </w:r>
            <w:r w:rsidRPr="001D3E93">
              <w:rPr>
                <w:rFonts w:ascii="Verdana" w:eastAsia="MS Gothic" w:hAnsi="Verdana" w:cs="Times New Roman"/>
                <w:sz w:val="20"/>
                <w:szCs w:val="20"/>
                <w:lang w:val="en-AU" w:eastAsia="en-AU"/>
              </w:rPr>
              <w:t>757</w:t>
            </w:r>
          </w:p>
          <w:p w14:paraId="5218A627"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Representative Bodies: $408,006</w:t>
            </w:r>
          </w:p>
        </w:tc>
        <w:tc>
          <w:tcPr>
            <w:tcW w:w="3544" w:type="dxa"/>
          </w:tcPr>
          <w:p w14:paraId="16AB0481"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Average planned marketing expenditure by tier:</w:t>
            </w:r>
          </w:p>
          <w:p w14:paraId="39D896A4"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Tier 1: $59,863 </w:t>
            </w:r>
          </w:p>
          <w:p w14:paraId="4517D9E2"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Tier 2: $99,325 </w:t>
            </w:r>
          </w:p>
          <w:p w14:paraId="3F0E97CE"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Tier 3: $201,403</w:t>
            </w:r>
          </w:p>
          <w:p w14:paraId="2DE29879"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Representative Bodies: $155,744</w:t>
            </w:r>
          </w:p>
        </w:tc>
      </w:tr>
      <w:tr w:rsidR="00A0613F" w:rsidRPr="001D3E93" w14:paraId="6883FEC7" w14:textId="77777777">
        <w:trPr>
          <w:trHeight w:val="1673"/>
        </w:trPr>
        <w:tc>
          <w:tcPr>
            <w:tcW w:w="3544" w:type="dxa"/>
          </w:tcPr>
          <w:p w14:paraId="446EB1B5" w14:textId="77777777" w:rsidR="00A0613F" w:rsidRPr="001D3E93" w:rsidRDefault="00A0613F" w:rsidP="00AB3544">
            <w:pPr>
              <w:spacing w:after="120"/>
              <w:jc w:val="center"/>
              <w:textAlignment w:val="baseline"/>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Average reimbursement - $35,454</w:t>
            </w:r>
          </w:p>
        </w:tc>
        <w:tc>
          <w:tcPr>
            <w:tcW w:w="3544" w:type="dxa"/>
          </w:tcPr>
          <w:p w14:paraId="043F3069" w14:textId="4BB6D45C" w:rsidR="0019735E" w:rsidRPr="001D3E93" w:rsidRDefault="0019735E" w:rsidP="0019735E">
            <w:pPr>
              <w:rPr>
                <w:rFonts w:ascii="Verdana" w:hAnsi="Verdana"/>
                <w:sz w:val="20"/>
                <w:szCs w:val="20"/>
              </w:rPr>
            </w:pPr>
            <w:r w:rsidRPr="001D3E93">
              <w:rPr>
                <w:rFonts w:ascii="Verdana" w:hAnsi="Verdana"/>
                <w:sz w:val="20"/>
                <w:szCs w:val="20"/>
              </w:rPr>
              <w:t xml:space="preserve">Average grant amount </w:t>
            </w:r>
            <w:r w:rsidR="003D1840" w:rsidRPr="001D3E93">
              <w:rPr>
                <w:rFonts w:ascii="Verdana" w:hAnsi="Verdana"/>
                <w:sz w:val="20"/>
                <w:szCs w:val="20"/>
              </w:rPr>
              <w:t xml:space="preserve">offered </w:t>
            </w:r>
            <w:r w:rsidRPr="001D3E93">
              <w:rPr>
                <w:rFonts w:ascii="Verdana" w:hAnsi="Verdana"/>
                <w:sz w:val="20"/>
                <w:szCs w:val="20"/>
              </w:rPr>
              <w:t>in grant agreements per Tier</w:t>
            </w:r>
            <w:r w:rsidR="00A23993" w:rsidRPr="001D3E93">
              <w:rPr>
                <w:rFonts w:ascii="Verdana" w:hAnsi="Verdana"/>
                <w:sz w:val="20"/>
                <w:szCs w:val="20"/>
              </w:rPr>
              <w:t xml:space="preserve"> per financial year</w:t>
            </w:r>
            <w:r w:rsidRPr="001D3E93">
              <w:rPr>
                <w:rFonts w:ascii="Verdana" w:hAnsi="Verdana"/>
                <w:sz w:val="20"/>
                <w:szCs w:val="20"/>
              </w:rPr>
              <w:t>:</w:t>
            </w:r>
          </w:p>
          <w:p w14:paraId="6C0F518D" w14:textId="77777777" w:rsidR="00A0613F" w:rsidRPr="001D3E93" w:rsidRDefault="00A0613F" w:rsidP="00AB3544">
            <w:pPr>
              <w:jc w:val="center"/>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Tier 1: $14,879</w:t>
            </w:r>
          </w:p>
          <w:p w14:paraId="22B8722E" w14:textId="77777777" w:rsidR="00A0613F" w:rsidRPr="001D3E93" w:rsidRDefault="00A0613F" w:rsidP="00AB3544">
            <w:pPr>
              <w:jc w:val="center"/>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Tier 2: $23,616</w:t>
            </w:r>
          </w:p>
          <w:p w14:paraId="19010E2E" w14:textId="77777777" w:rsidR="00A0613F" w:rsidRPr="001D3E93" w:rsidRDefault="00A0613F" w:rsidP="00AB3544">
            <w:pPr>
              <w:jc w:val="center"/>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Tier 3: $36,396</w:t>
            </w:r>
          </w:p>
          <w:p w14:paraId="5889A86B" w14:textId="77777777" w:rsidR="00A0613F" w:rsidRPr="001D3E93" w:rsidRDefault="00A0613F" w:rsidP="00AB3544">
            <w:pPr>
              <w:jc w:val="center"/>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Representative Bodies: $69,906</w:t>
            </w:r>
          </w:p>
        </w:tc>
        <w:tc>
          <w:tcPr>
            <w:tcW w:w="3544" w:type="dxa"/>
          </w:tcPr>
          <w:p w14:paraId="2213AD62" w14:textId="30447019" w:rsidR="00334E84" w:rsidRPr="001D3E93" w:rsidRDefault="00334E84" w:rsidP="00334E84">
            <w:pPr>
              <w:rPr>
                <w:rFonts w:ascii="Verdana" w:hAnsi="Verdana"/>
                <w:sz w:val="20"/>
                <w:szCs w:val="20"/>
              </w:rPr>
            </w:pPr>
            <w:r w:rsidRPr="001D3E93">
              <w:rPr>
                <w:rFonts w:ascii="Verdana" w:hAnsi="Verdana"/>
                <w:sz w:val="20"/>
                <w:szCs w:val="20"/>
              </w:rPr>
              <w:t>Maximum grant amount to be offered in grant agreements per Tier</w:t>
            </w:r>
            <w:r w:rsidR="00143FEF" w:rsidRPr="001D3E93">
              <w:rPr>
                <w:rFonts w:ascii="Verdana" w:hAnsi="Verdana"/>
                <w:sz w:val="20"/>
                <w:szCs w:val="20"/>
              </w:rPr>
              <w:t xml:space="preserve"> per financial year for</w:t>
            </w:r>
            <w:r w:rsidR="002808CC" w:rsidRPr="001D3E93">
              <w:rPr>
                <w:rFonts w:ascii="Verdana" w:hAnsi="Verdana"/>
                <w:sz w:val="20"/>
                <w:szCs w:val="20"/>
              </w:rPr>
              <w:t xml:space="preserve"> up to</w:t>
            </w:r>
            <w:r w:rsidR="00143FEF" w:rsidRPr="001D3E93">
              <w:rPr>
                <w:rFonts w:ascii="Verdana" w:hAnsi="Verdana"/>
                <w:sz w:val="20"/>
                <w:szCs w:val="20"/>
              </w:rPr>
              <w:t xml:space="preserve"> 2 years</w:t>
            </w:r>
            <w:r w:rsidRPr="001D3E93">
              <w:rPr>
                <w:rFonts w:ascii="Verdana" w:hAnsi="Verdana"/>
                <w:sz w:val="20"/>
                <w:szCs w:val="20"/>
              </w:rPr>
              <w:t>:</w:t>
            </w:r>
          </w:p>
          <w:p w14:paraId="3A29E6FB" w14:textId="3C1CE916" w:rsidR="00A0613F" w:rsidRPr="001D3E93" w:rsidRDefault="00A0613F" w:rsidP="00AB3544">
            <w:pPr>
              <w:jc w:val="center"/>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Tier 1: </w:t>
            </w:r>
            <w:r w:rsidR="002F36C7" w:rsidRPr="001D3E93">
              <w:rPr>
                <w:rFonts w:ascii="Verdana" w:eastAsia="MS Gothic" w:hAnsi="Verdana" w:cs="Times New Roman"/>
                <w:sz w:val="20"/>
                <w:szCs w:val="20"/>
                <w:lang w:val="en-AU" w:eastAsia="en-AU"/>
              </w:rPr>
              <w:t xml:space="preserve">up to </w:t>
            </w:r>
            <w:r w:rsidRPr="001D3E93">
              <w:rPr>
                <w:rFonts w:ascii="Verdana" w:eastAsia="MS Gothic" w:hAnsi="Verdana" w:cs="Times New Roman"/>
                <w:sz w:val="20"/>
                <w:szCs w:val="20"/>
                <w:lang w:val="en-AU" w:eastAsia="en-AU"/>
              </w:rPr>
              <w:t>$</w:t>
            </w:r>
            <w:r w:rsidR="00C8251B" w:rsidRPr="001D3E93">
              <w:rPr>
                <w:rFonts w:ascii="Verdana" w:eastAsia="MS Gothic" w:hAnsi="Verdana" w:cs="Times New Roman"/>
                <w:sz w:val="20"/>
                <w:szCs w:val="20"/>
                <w:lang w:val="en-AU" w:eastAsia="en-AU"/>
              </w:rPr>
              <w:t>10,000</w:t>
            </w:r>
          </w:p>
          <w:p w14:paraId="748F02EC" w14:textId="0CF90BF4" w:rsidR="00A0613F" w:rsidRPr="001D3E93" w:rsidRDefault="00A0613F" w:rsidP="00AB3544">
            <w:pPr>
              <w:jc w:val="center"/>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Tier 2: </w:t>
            </w:r>
            <w:r w:rsidR="002F36C7" w:rsidRPr="001D3E93">
              <w:rPr>
                <w:rFonts w:ascii="Verdana" w:eastAsia="MS Gothic" w:hAnsi="Verdana" w:cs="Times New Roman"/>
                <w:sz w:val="20"/>
                <w:szCs w:val="20"/>
                <w:lang w:val="en-AU" w:eastAsia="en-AU"/>
              </w:rPr>
              <w:t xml:space="preserve">up to </w:t>
            </w:r>
            <w:r w:rsidRPr="001D3E93">
              <w:rPr>
                <w:rFonts w:ascii="Verdana" w:eastAsia="MS Gothic" w:hAnsi="Verdana" w:cs="Times New Roman"/>
                <w:sz w:val="20"/>
                <w:szCs w:val="20"/>
                <w:lang w:val="en-AU" w:eastAsia="en-AU"/>
              </w:rPr>
              <w:t>$</w:t>
            </w:r>
            <w:r w:rsidR="00C8251B" w:rsidRPr="001D3E93">
              <w:rPr>
                <w:rFonts w:ascii="Verdana" w:eastAsia="MS Gothic" w:hAnsi="Verdana" w:cs="Times New Roman"/>
                <w:sz w:val="20"/>
                <w:szCs w:val="20"/>
                <w:lang w:val="en-AU" w:eastAsia="en-AU"/>
              </w:rPr>
              <w:t>18,000</w:t>
            </w:r>
          </w:p>
          <w:p w14:paraId="3E9B57CC" w14:textId="218259B6" w:rsidR="00A0613F" w:rsidRPr="001D3E93" w:rsidRDefault="00A0613F" w:rsidP="00AB3544">
            <w:pPr>
              <w:jc w:val="center"/>
              <w:rPr>
                <w:rFonts w:ascii="Verdana" w:eastAsia="MS Gothic" w:hAnsi="Verdana" w:cs="Times New Roman"/>
                <w:sz w:val="20"/>
                <w:szCs w:val="20"/>
                <w:lang w:val="en-AU" w:eastAsia="en-AU"/>
              </w:rPr>
            </w:pPr>
            <w:r w:rsidRPr="001D3E93">
              <w:rPr>
                <w:rFonts w:ascii="Verdana" w:eastAsia="MS Gothic" w:hAnsi="Verdana" w:cs="Times New Roman"/>
                <w:sz w:val="20"/>
                <w:szCs w:val="20"/>
                <w:lang w:val="en-AU" w:eastAsia="en-AU"/>
              </w:rPr>
              <w:t xml:space="preserve">Tier 3: </w:t>
            </w:r>
            <w:r w:rsidR="002F36C7" w:rsidRPr="001D3E93">
              <w:rPr>
                <w:rFonts w:ascii="Verdana" w:eastAsia="MS Gothic" w:hAnsi="Verdana" w:cs="Times New Roman"/>
                <w:sz w:val="20"/>
                <w:szCs w:val="20"/>
                <w:lang w:val="en-AU" w:eastAsia="en-AU"/>
              </w:rPr>
              <w:t xml:space="preserve">up to </w:t>
            </w:r>
            <w:r w:rsidRPr="001D3E93">
              <w:rPr>
                <w:rFonts w:ascii="Verdana" w:eastAsia="MS Gothic" w:hAnsi="Verdana" w:cs="Times New Roman"/>
                <w:sz w:val="20"/>
                <w:szCs w:val="20"/>
                <w:lang w:val="en-AU" w:eastAsia="en-AU"/>
              </w:rPr>
              <w:t>$</w:t>
            </w:r>
            <w:r w:rsidR="00C8251B" w:rsidRPr="001D3E93">
              <w:rPr>
                <w:rFonts w:ascii="Verdana" w:eastAsia="MS Gothic" w:hAnsi="Verdana" w:cs="Times New Roman"/>
                <w:sz w:val="20"/>
                <w:szCs w:val="20"/>
                <w:lang w:val="en-AU" w:eastAsia="en-AU"/>
              </w:rPr>
              <w:t>28,000</w:t>
            </w:r>
            <w:r w:rsidR="00C8251B" w:rsidRPr="001D3E93">
              <w:rPr>
                <w:rFonts w:ascii="Verdana" w:eastAsia="MS Gothic" w:hAnsi="Verdana" w:cs="Times New Roman"/>
                <w:sz w:val="20"/>
                <w:szCs w:val="20"/>
                <w:lang w:val="en-AU" w:eastAsia="en-AU"/>
              </w:rPr>
              <w:br/>
            </w:r>
            <w:r w:rsidRPr="001D3E93">
              <w:rPr>
                <w:rFonts w:ascii="Verdana" w:eastAsia="MS Gothic" w:hAnsi="Verdana" w:cs="Times New Roman"/>
                <w:sz w:val="20"/>
                <w:szCs w:val="20"/>
                <w:lang w:val="en-AU" w:eastAsia="en-AU"/>
              </w:rPr>
              <w:t xml:space="preserve">Representative Bodies: </w:t>
            </w:r>
            <w:r w:rsidR="002F36C7" w:rsidRPr="001D3E93">
              <w:rPr>
                <w:rFonts w:ascii="Verdana" w:eastAsia="MS Gothic" w:hAnsi="Verdana" w:cs="Times New Roman"/>
                <w:sz w:val="20"/>
                <w:szCs w:val="20"/>
                <w:lang w:val="en-AU" w:eastAsia="en-AU"/>
              </w:rPr>
              <w:t xml:space="preserve">up to </w:t>
            </w:r>
            <w:r w:rsidRPr="001D3E93">
              <w:rPr>
                <w:rFonts w:ascii="Verdana" w:eastAsia="MS Gothic" w:hAnsi="Verdana" w:cs="Times New Roman"/>
                <w:sz w:val="20"/>
                <w:szCs w:val="20"/>
                <w:lang w:val="en-AU" w:eastAsia="en-AU"/>
              </w:rPr>
              <w:t>$</w:t>
            </w:r>
            <w:r w:rsidR="008D6C48" w:rsidRPr="001D3E93">
              <w:rPr>
                <w:rFonts w:ascii="Verdana" w:eastAsia="MS Gothic" w:hAnsi="Verdana" w:cs="Times New Roman"/>
                <w:sz w:val="20"/>
                <w:szCs w:val="20"/>
                <w:lang w:val="en-AU" w:eastAsia="en-AU"/>
              </w:rPr>
              <w:t>50,000</w:t>
            </w:r>
          </w:p>
        </w:tc>
      </w:tr>
    </w:tbl>
    <w:p w14:paraId="2AD2180C" w14:textId="3CE5A9CA" w:rsidR="00A0613F" w:rsidRPr="001D3E93" w:rsidRDefault="00A0613F" w:rsidP="00A0613F">
      <w:pPr>
        <w:spacing w:after="160" w:line="259" w:lineRule="auto"/>
        <w:rPr>
          <w:rFonts w:ascii="Verdana" w:eastAsia="Calibri" w:hAnsi="Verdana" w:cs="Arial"/>
          <w:iCs/>
          <w:lang w:val="en-US" w:eastAsia="en-US"/>
        </w:rPr>
      </w:pPr>
      <w:r w:rsidRPr="001D3E93">
        <w:rPr>
          <w:rFonts w:ascii="Verdana" w:eastAsia="Calibri" w:hAnsi="Verdana" w:cs="Arial"/>
          <w:iCs/>
          <w:lang w:val="en-US" w:eastAsia="en-US"/>
        </w:rPr>
        <w:t>*</w:t>
      </w:r>
      <w:r w:rsidR="00791056">
        <w:rPr>
          <w:rFonts w:ascii="Verdana" w:eastAsia="Calibri" w:hAnsi="Verdana" w:cs="Arial"/>
          <w:iCs/>
          <w:lang w:val="en-US" w:eastAsia="en-US"/>
        </w:rPr>
        <w:t>95</w:t>
      </w:r>
      <w:r w:rsidRPr="001D3E93">
        <w:rPr>
          <w:rFonts w:ascii="Verdana" w:eastAsia="Calibri" w:hAnsi="Verdana" w:cs="Arial"/>
          <w:iCs/>
          <w:lang w:val="en-US" w:eastAsia="en-US"/>
        </w:rPr>
        <w:t xml:space="preserve"> per cent of applicants in Round 1 applied for the maximum grant in their tier category, with 43 per cent applying for the highest grant category (Tier 3 had a maximum grant cap of $150,000).</w:t>
      </w:r>
    </w:p>
    <w:p w14:paraId="58F15295" w14:textId="77777777" w:rsidR="00A0613F" w:rsidRPr="001D3E93" w:rsidRDefault="00A0613F" w:rsidP="00A0613F">
      <w:pPr>
        <w:spacing w:after="160" w:line="259" w:lineRule="auto"/>
        <w:rPr>
          <w:rFonts w:ascii="Verdana" w:eastAsia="MS Gothic" w:hAnsi="Verdana" w:cs="Times New Roman"/>
          <w:color w:val="2F5496"/>
          <w:sz w:val="26"/>
          <w:szCs w:val="26"/>
          <w:lang w:val="en-US" w:eastAsia="en-US"/>
        </w:rPr>
      </w:pPr>
      <w:r w:rsidRPr="001D3E93">
        <w:rPr>
          <w:rFonts w:ascii="Verdana" w:eastAsia="MS Gothic" w:hAnsi="Verdana" w:cs="Times New Roman"/>
          <w:color w:val="2F5496"/>
          <w:sz w:val="26"/>
          <w:szCs w:val="26"/>
          <w:lang w:val="en-US" w:eastAsia="en-US"/>
        </w:rPr>
        <w:br w:type="page"/>
      </w:r>
    </w:p>
    <w:p w14:paraId="3CFA103F" w14:textId="2C1C8C73" w:rsidR="00A0613F" w:rsidRPr="001D3E93" w:rsidRDefault="00044004" w:rsidP="00AB3544">
      <w:pPr>
        <w:pStyle w:val="Heading3"/>
        <w:rPr>
          <w:b w:val="0"/>
          <w:bCs w:val="0"/>
          <w:sz w:val="24"/>
          <w:szCs w:val="24"/>
          <w:lang w:val="en-US" w:eastAsia="en-US"/>
        </w:rPr>
      </w:pPr>
      <w:bookmarkStart w:id="73" w:name="_Toc120547691"/>
      <w:bookmarkStart w:id="74" w:name="_Toc124433373"/>
      <w:r w:rsidRPr="001D3E93">
        <w:rPr>
          <w:b w:val="0"/>
          <w:bCs w:val="0"/>
          <w:caps w:val="0"/>
          <w:sz w:val="24"/>
          <w:szCs w:val="24"/>
          <w:lang w:val="en-US" w:eastAsia="en-US"/>
        </w:rPr>
        <w:lastRenderedPageBreak/>
        <w:t>EMDG 2.0 Round 1</w:t>
      </w:r>
      <w:bookmarkEnd w:id="73"/>
      <w:bookmarkEnd w:id="74"/>
    </w:p>
    <w:p w14:paraId="604E0CDD" w14:textId="4CA39228" w:rsidR="00A0613F" w:rsidRPr="001D3E93" w:rsidRDefault="00A0613F"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 xml:space="preserve">EMDG 2.0 Round 1 applications were open from 16 August 2021 and closed on </w:t>
      </w:r>
      <w:r w:rsidR="0023072C" w:rsidRPr="001D3E93">
        <w:rPr>
          <w:rFonts w:ascii="Verdana" w:eastAsia="Verdana" w:hAnsi="Verdana" w:cs="Arial"/>
          <w:color w:val="000000"/>
          <w:lang w:val="en-US" w:eastAsia="en-US"/>
        </w:rPr>
        <w:br/>
      </w:r>
      <w:r w:rsidRPr="001D3E93">
        <w:rPr>
          <w:rFonts w:ascii="Verdana" w:eastAsia="Verdana" w:hAnsi="Verdana" w:cs="Arial"/>
          <w:color w:val="000000"/>
          <w:lang w:val="en-US" w:eastAsia="en-US"/>
        </w:rPr>
        <w:t xml:space="preserve">30 November 2021. By 4 February 2022, Austrade had assessed 99.9 per cent of total applications received, updated the financial modelling and advised eligible applicants of the </w:t>
      </w:r>
      <w:r w:rsidR="00467FEF" w:rsidRPr="001D3E93">
        <w:rPr>
          <w:rFonts w:ascii="Verdana" w:eastAsia="Verdana" w:hAnsi="Verdana" w:cs="Arial"/>
          <w:color w:val="000000"/>
          <w:lang w:val="en-US" w:eastAsia="en-US"/>
        </w:rPr>
        <w:t>grant amount</w:t>
      </w:r>
      <w:r w:rsidRPr="001D3E93">
        <w:rPr>
          <w:rFonts w:ascii="Verdana" w:eastAsia="Verdana" w:hAnsi="Verdana" w:cs="Arial"/>
          <w:color w:val="000000"/>
          <w:lang w:val="en-US" w:eastAsia="en-US"/>
        </w:rPr>
        <w:t>.</w:t>
      </w:r>
      <w:r w:rsidRPr="001D3E93">
        <w:rPr>
          <w:rFonts w:ascii="Verdana" w:eastAsia="Verdana" w:hAnsi="Verdana" w:cs="Arial"/>
          <w:color w:val="000000"/>
          <w:vertAlign w:val="superscript"/>
          <w:lang w:val="en-US" w:eastAsia="en-US"/>
        </w:rPr>
        <w:footnoteReference w:id="3"/>
      </w:r>
      <w:r w:rsidRPr="001D3E93">
        <w:rPr>
          <w:rFonts w:ascii="Verdana" w:eastAsia="Verdana" w:hAnsi="Verdana" w:cs="Arial"/>
          <w:color w:val="000000"/>
          <w:lang w:val="en-US" w:eastAsia="en-US"/>
        </w:rPr>
        <w:t xml:space="preserve"> A snapshot of Round 1 is provided at Attachment B.</w:t>
      </w:r>
    </w:p>
    <w:p w14:paraId="2D505B2B" w14:textId="666A9CB1" w:rsidR="00A0613F" w:rsidRPr="001D3E93" w:rsidRDefault="00A0613F"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 xml:space="preserve">EMDG 2.0 Round 1 received 5,384 applications - a record for the program, with over 2,500 new applicant businesses to EMDG. </w:t>
      </w:r>
      <w:r w:rsidR="00B17F1E" w:rsidRPr="001D3E93">
        <w:rPr>
          <w:rFonts w:ascii="Verdana" w:eastAsia="Verdana" w:hAnsi="Verdana" w:cs="Arial"/>
          <w:color w:val="000000"/>
          <w:lang w:val="en-US" w:eastAsia="en-US"/>
        </w:rPr>
        <w:t>The majority</w:t>
      </w:r>
      <w:r w:rsidR="00D21BDB" w:rsidRPr="001D3E93">
        <w:rPr>
          <w:rFonts w:ascii="Verdana" w:eastAsia="Verdana" w:hAnsi="Verdana" w:cs="Arial"/>
          <w:color w:val="000000"/>
          <w:lang w:val="en-US" w:eastAsia="en-US"/>
        </w:rPr>
        <w:t>,</w:t>
      </w:r>
      <w:r w:rsidR="00BA6FA7" w:rsidRPr="001D3E93">
        <w:rPr>
          <w:rFonts w:ascii="Verdana" w:eastAsia="Verdana" w:hAnsi="Verdana" w:cs="Arial"/>
          <w:color w:val="000000"/>
          <w:lang w:val="en-US" w:eastAsia="en-US"/>
        </w:rPr>
        <w:t xml:space="preserve"> </w:t>
      </w:r>
      <w:r w:rsidRPr="001D3E93">
        <w:rPr>
          <w:rFonts w:ascii="Verdana" w:eastAsia="Verdana" w:hAnsi="Verdana" w:cs="Arial"/>
          <w:color w:val="000000"/>
          <w:lang w:val="en-US" w:eastAsia="en-US"/>
        </w:rPr>
        <w:t>57 per cent</w:t>
      </w:r>
      <w:r w:rsidR="00D21BDB" w:rsidRPr="001D3E93">
        <w:rPr>
          <w:rFonts w:ascii="Verdana" w:eastAsia="Verdana" w:hAnsi="Verdana" w:cs="Arial"/>
          <w:color w:val="000000"/>
          <w:lang w:val="en-US" w:eastAsia="en-US"/>
        </w:rPr>
        <w:t>,</w:t>
      </w:r>
      <w:r w:rsidRPr="001D3E93">
        <w:rPr>
          <w:rFonts w:ascii="Verdana" w:eastAsia="Verdana" w:hAnsi="Verdana" w:cs="Arial"/>
          <w:color w:val="000000"/>
          <w:lang w:val="en-US" w:eastAsia="en-US"/>
        </w:rPr>
        <w:t xml:space="preserve"> of applications were submitted in the last week, and 24 per cent of applications were received on the last day alone. </w:t>
      </w:r>
    </w:p>
    <w:p w14:paraId="7EC65523" w14:textId="4B2728FD" w:rsidR="00A0613F" w:rsidRPr="001D3E93" w:rsidRDefault="00A0613F"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 xml:space="preserve">Under both EMDG 1.0 and EMDG 2.0, all eligible applicants receive a grant. However, under EMDG 2.0 while grants need to be matched by the exporter (as </w:t>
      </w:r>
      <w:r w:rsidR="00D6375D" w:rsidRPr="001D3E93">
        <w:rPr>
          <w:rFonts w:ascii="Verdana" w:eastAsia="Verdana" w:hAnsi="Verdana" w:cs="Arial"/>
          <w:color w:val="000000"/>
          <w:lang w:val="en-US" w:eastAsia="en-US"/>
        </w:rPr>
        <w:t>occurred</w:t>
      </w:r>
      <w:r w:rsidRPr="001D3E93">
        <w:rPr>
          <w:rFonts w:ascii="Verdana" w:eastAsia="Verdana" w:hAnsi="Verdana" w:cs="Arial"/>
          <w:color w:val="000000"/>
          <w:lang w:val="en-US" w:eastAsia="en-US"/>
        </w:rPr>
        <w:t xml:space="preserve"> in EMDG 1.0), matched funding is not required at the point of grant application. For EMDG 2.0 Round 1, this meant there was ‘nothing to lose’ for applicants to apply for large grant amounts</w:t>
      </w:r>
      <w:r w:rsidR="00385614" w:rsidRPr="001D3E93">
        <w:rPr>
          <w:rFonts w:ascii="Verdana" w:eastAsia="Verdana" w:hAnsi="Verdana" w:cs="Arial"/>
          <w:color w:val="000000"/>
          <w:lang w:val="en-US" w:eastAsia="en-US"/>
        </w:rPr>
        <w:t>.</w:t>
      </w:r>
      <w:r w:rsidRPr="001D3E93">
        <w:rPr>
          <w:rFonts w:ascii="Verdana" w:eastAsia="Verdana" w:hAnsi="Verdana" w:cs="Arial"/>
          <w:color w:val="000000"/>
          <w:lang w:val="en-US" w:eastAsia="en-US"/>
        </w:rPr>
        <w:t xml:space="preserve"> </w:t>
      </w:r>
      <w:r w:rsidR="0020601A" w:rsidRPr="001D3E93">
        <w:rPr>
          <w:rFonts w:ascii="Verdana" w:eastAsia="Verdana" w:hAnsi="Verdana" w:cs="Arial"/>
          <w:color w:val="000000"/>
          <w:lang w:val="en-US" w:eastAsia="en-US"/>
        </w:rPr>
        <w:t>Ninety-five</w:t>
      </w:r>
      <w:r w:rsidRPr="001D3E93">
        <w:rPr>
          <w:rFonts w:ascii="Verdana" w:eastAsia="Verdana" w:hAnsi="Verdana" w:cs="Arial"/>
          <w:color w:val="000000"/>
          <w:lang w:val="en-US" w:eastAsia="en-US"/>
        </w:rPr>
        <w:t xml:space="preserve"> per cent of applicants appl</w:t>
      </w:r>
      <w:r w:rsidR="0020601A" w:rsidRPr="001D3E93">
        <w:rPr>
          <w:rFonts w:ascii="Verdana" w:eastAsia="Verdana" w:hAnsi="Verdana" w:cs="Arial"/>
          <w:color w:val="000000"/>
          <w:lang w:val="en-US" w:eastAsia="en-US"/>
        </w:rPr>
        <w:t>ied</w:t>
      </w:r>
      <w:r w:rsidRPr="001D3E93">
        <w:rPr>
          <w:rFonts w:ascii="Verdana" w:eastAsia="Verdana" w:hAnsi="Verdana" w:cs="Arial"/>
          <w:color w:val="000000"/>
          <w:lang w:val="en-US" w:eastAsia="en-US"/>
        </w:rPr>
        <w:t xml:space="preserve"> for the maximum grant in their tier category, with 43 per cent applying for the highest grant category, Tier 3, with a grant cap of up to $150,000. </w:t>
      </w:r>
    </w:p>
    <w:p w14:paraId="19BD1BB9" w14:textId="7C88CB0D" w:rsidR="00A0613F" w:rsidRPr="001D3E93" w:rsidRDefault="00A0613F"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 xml:space="preserve">Based on EMDG 2.0 applications, 50 per cent of Round 1 applicants anticipated a 100 per cent or more increase in export marketing expenditure compared to EMDG 1.0 applicants in 2020. </w:t>
      </w:r>
      <w:r w:rsidR="00F13586" w:rsidRPr="001D3E93">
        <w:rPr>
          <w:rFonts w:ascii="Verdana" w:eastAsia="Verdana" w:hAnsi="Verdana" w:cs="Arial"/>
          <w:color w:val="000000"/>
          <w:lang w:val="en-US" w:eastAsia="en-US"/>
        </w:rPr>
        <w:t xml:space="preserve">It is possible that some of this </w:t>
      </w:r>
      <w:r w:rsidRPr="001D3E93">
        <w:rPr>
          <w:rFonts w:ascii="Verdana" w:eastAsia="Verdana" w:hAnsi="Verdana" w:cs="Arial"/>
          <w:color w:val="000000"/>
          <w:lang w:val="en-US" w:eastAsia="en-US"/>
        </w:rPr>
        <w:t>‘planned expenditure</w:t>
      </w:r>
      <w:r w:rsidR="00916367" w:rsidRPr="001D3E93">
        <w:rPr>
          <w:rFonts w:ascii="Verdana" w:eastAsia="Verdana" w:hAnsi="Verdana" w:cs="Arial"/>
          <w:color w:val="000000"/>
          <w:lang w:val="en-US" w:eastAsia="en-US"/>
        </w:rPr>
        <w:t>’</w:t>
      </w:r>
      <w:r w:rsidR="00F13586" w:rsidRPr="001D3E93">
        <w:rPr>
          <w:rFonts w:ascii="Verdana" w:eastAsia="Verdana" w:hAnsi="Verdana" w:cs="Arial"/>
          <w:color w:val="000000"/>
          <w:lang w:val="en-US" w:eastAsia="en-US"/>
        </w:rPr>
        <w:t xml:space="preserve"> was inflated</w:t>
      </w:r>
      <w:r w:rsidR="00563FBF" w:rsidRPr="001D3E93">
        <w:rPr>
          <w:rFonts w:ascii="Verdana" w:eastAsia="Verdana" w:hAnsi="Verdana" w:cs="Arial"/>
          <w:color w:val="000000"/>
          <w:lang w:val="en-US" w:eastAsia="en-US"/>
        </w:rPr>
        <w:t xml:space="preserve"> in order</w:t>
      </w:r>
      <w:r w:rsidR="00916367" w:rsidRPr="001D3E93">
        <w:rPr>
          <w:rFonts w:ascii="Verdana" w:eastAsia="Verdana" w:hAnsi="Verdana" w:cs="Arial"/>
          <w:color w:val="000000"/>
          <w:lang w:val="en-US" w:eastAsia="en-US"/>
        </w:rPr>
        <w:t xml:space="preserve"> to</w:t>
      </w:r>
      <w:r w:rsidR="00EC3E0D" w:rsidRPr="001D3E93">
        <w:rPr>
          <w:rFonts w:ascii="Verdana" w:eastAsia="Verdana" w:hAnsi="Verdana" w:cs="Arial"/>
          <w:color w:val="000000"/>
          <w:lang w:val="en-US" w:eastAsia="en-US"/>
        </w:rPr>
        <w:t xml:space="preserve"> support application</w:t>
      </w:r>
      <w:r w:rsidR="00563FBF" w:rsidRPr="001D3E93">
        <w:rPr>
          <w:rFonts w:ascii="Verdana" w:eastAsia="Verdana" w:hAnsi="Verdana" w:cs="Arial"/>
          <w:color w:val="000000"/>
          <w:lang w:val="en-US" w:eastAsia="en-US"/>
        </w:rPr>
        <w:t>s</w:t>
      </w:r>
      <w:r w:rsidR="00EC3E0D" w:rsidRPr="001D3E93">
        <w:rPr>
          <w:rFonts w:ascii="Verdana" w:eastAsia="Verdana" w:hAnsi="Verdana" w:cs="Arial"/>
          <w:color w:val="000000"/>
          <w:lang w:val="en-US" w:eastAsia="en-US"/>
        </w:rPr>
        <w:t xml:space="preserve"> to</w:t>
      </w:r>
      <w:r w:rsidRPr="001D3E93">
        <w:rPr>
          <w:rFonts w:ascii="Verdana" w:eastAsia="Verdana" w:hAnsi="Verdana" w:cs="Arial"/>
          <w:color w:val="000000"/>
          <w:lang w:val="en-US" w:eastAsia="en-US"/>
        </w:rPr>
        <w:t xml:space="preserve"> secure the highest possible grant amount from the ‘up-to’ cap of the Tier. </w:t>
      </w:r>
      <w:r w:rsidR="00190868" w:rsidRPr="001D3E93">
        <w:rPr>
          <w:rFonts w:ascii="Verdana" w:eastAsia="Verdana" w:hAnsi="Verdana" w:cs="Arial"/>
          <w:color w:val="000000"/>
          <w:lang w:val="en-US" w:eastAsia="en-US"/>
        </w:rPr>
        <w:t>In a number of cases planned expenditure</w:t>
      </w:r>
      <w:r w:rsidR="00916367" w:rsidRPr="001D3E93">
        <w:rPr>
          <w:rFonts w:ascii="Verdana" w:eastAsia="Verdana" w:hAnsi="Verdana" w:cs="Arial"/>
          <w:color w:val="000000"/>
          <w:lang w:val="en-US" w:eastAsia="en-US"/>
        </w:rPr>
        <w:t xml:space="preserve"> was well beyond the planned business revenue. </w:t>
      </w:r>
    </w:p>
    <w:p w14:paraId="7AAD1396" w14:textId="19C95AFF" w:rsidR="00C14B92" w:rsidRPr="001D3E93" w:rsidRDefault="00C14B92"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EMDG 2.0 Round 2 opened on 6 July, closed on 17 August 2022 and received 2,723 applicants. Of these, 62.5 per</w:t>
      </w:r>
      <w:r w:rsidR="00587C93" w:rsidRPr="001D3E93">
        <w:rPr>
          <w:rFonts w:ascii="Verdana" w:eastAsia="Verdana" w:hAnsi="Verdana" w:cs="Arial"/>
          <w:color w:val="000000"/>
          <w:lang w:val="en-US" w:eastAsia="en-US"/>
        </w:rPr>
        <w:t xml:space="preserve"> </w:t>
      </w:r>
      <w:r w:rsidRPr="001D3E93">
        <w:rPr>
          <w:rFonts w:ascii="Verdana" w:eastAsia="Verdana" w:hAnsi="Verdana" w:cs="Arial"/>
          <w:color w:val="000000"/>
          <w:lang w:val="en-US" w:eastAsia="en-US"/>
        </w:rPr>
        <w:t>cent were lodged by agents, with 72 per</w:t>
      </w:r>
      <w:r w:rsidR="00587C93" w:rsidRPr="001D3E93">
        <w:rPr>
          <w:rFonts w:ascii="Verdana" w:eastAsia="Verdana" w:hAnsi="Verdana" w:cs="Arial"/>
          <w:color w:val="000000"/>
          <w:lang w:val="en-US" w:eastAsia="en-US"/>
        </w:rPr>
        <w:t xml:space="preserve"> </w:t>
      </w:r>
      <w:r w:rsidRPr="001D3E93">
        <w:rPr>
          <w:rFonts w:ascii="Verdana" w:eastAsia="Verdana" w:hAnsi="Verdana" w:cs="Arial"/>
          <w:color w:val="000000"/>
          <w:lang w:val="en-US" w:eastAsia="en-US"/>
        </w:rPr>
        <w:t xml:space="preserve">cent of applicants new to </w:t>
      </w:r>
      <w:r w:rsidR="00757AA4" w:rsidRPr="001D3E93">
        <w:rPr>
          <w:rFonts w:ascii="Verdana" w:eastAsia="Verdana" w:hAnsi="Verdana" w:cs="Arial"/>
          <w:color w:val="000000"/>
          <w:lang w:val="en-US" w:eastAsia="en-US"/>
        </w:rPr>
        <w:t>EMDG</w:t>
      </w:r>
      <w:r w:rsidR="00B545F2" w:rsidRPr="001D3E93">
        <w:rPr>
          <w:rFonts w:ascii="Verdana" w:eastAsia="Verdana" w:hAnsi="Verdana" w:cs="Arial"/>
          <w:color w:val="000000"/>
          <w:lang w:val="en-US" w:eastAsia="en-US"/>
        </w:rPr>
        <w:t>.</w:t>
      </w:r>
    </w:p>
    <w:p w14:paraId="5A8C6996" w14:textId="77777777" w:rsidR="00A650AA" w:rsidRPr="001D3E93" w:rsidRDefault="00C14B92" w:rsidP="00A650AA">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For Round 2, applicants</w:t>
      </w:r>
      <w:r w:rsidR="00B21B42" w:rsidRPr="001D3E93">
        <w:rPr>
          <w:rFonts w:ascii="Verdana" w:eastAsia="Verdana" w:hAnsi="Verdana" w:cs="Arial"/>
          <w:color w:val="000000"/>
          <w:lang w:val="en-US" w:eastAsia="en-US"/>
        </w:rPr>
        <w:t>’</w:t>
      </w:r>
      <w:r w:rsidRPr="001D3E93">
        <w:rPr>
          <w:rFonts w:ascii="Verdana" w:eastAsia="Verdana" w:hAnsi="Verdana" w:cs="Arial"/>
          <w:color w:val="000000"/>
          <w:lang w:val="en-US" w:eastAsia="en-US"/>
        </w:rPr>
        <w:t xml:space="preserve"> planned expenditure had reduced by at least 50 per</w:t>
      </w:r>
      <w:r w:rsidR="00587C93" w:rsidRPr="001D3E93">
        <w:rPr>
          <w:rFonts w:ascii="Verdana" w:eastAsia="Verdana" w:hAnsi="Verdana" w:cs="Arial"/>
          <w:color w:val="000000"/>
          <w:lang w:val="en-US" w:eastAsia="en-US"/>
        </w:rPr>
        <w:t xml:space="preserve"> </w:t>
      </w:r>
      <w:r w:rsidRPr="001D3E93">
        <w:rPr>
          <w:rFonts w:ascii="Verdana" w:eastAsia="Verdana" w:hAnsi="Verdana" w:cs="Arial"/>
          <w:color w:val="000000"/>
          <w:lang w:val="en-US" w:eastAsia="en-US"/>
        </w:rPr>
        <w:t xml:space="preserve">cent across every Tier, to </w:t>
      </w:r>
      <w:r w:rsidR="00EA493B" w:rsidRPr="001D3E93">
        <w:rPr>
          <w:rFonts w:ascii="Verdana" w:eastAsia="Verdana" w:hAnsi="Verdana" w:cs="Arial"/>
          <w:color w:val="000000"/>
          <w:lang w:val="en-US" w:eastAsia="en-US"/>
        </w:rPr>
        <w:t xml:space="preserve">potentially </w:t>
      </w:r>
      <w:r w:rsidRPr="001D3E93">
        <w:rPr>
          <w:rFonts w:ascii="Verdana" w:eastAsia="Verdana" w:hAnsi="Verdana" w:cs="Arial"/>
          <w:color w:val="000000"/>
          <w:lang w:val="en-US" w:eastAsia="en-US"/>
        </w:rPr>
        <w:t>more accurately reflect the actual needs of businesses</w:t>
      </w:r>
      <w:r w:rsidRPr="001D3E93">
        <w:rPr>
          <w:rFonts w:ascii="Verdana" w:eastAsia="Verdana" w:hAnsi="Verdana" w:cs="Arial"/>
          <w:color w:val="000000"/>
          <w:vertAlign w:val="superscript"/>
          <w:lang w:val="en-US" w:eastAsia="en-US"/>
        </w:rPr>
        <w:footnoteReference w:id="4"/>
      </w:r>
      <w:r w:rsidRPr="001D3E93">
        <w:rPr>
          <w:rFonts w:ascii="Verdana" w:eastAsia="Verdana" w:hAnsi="Verdana" w:cs="Arial"/>
          <w:color w:val="000000"/>
          <w:lang w:val="en-US" w:eastAsia="en-US"/>
        </w:rPr>
        <w:t xml:space="preserve"> and in response to Austrade’s steps to clarify misconceptions about grant </w:t>
      </w:r>
      <w:r w:rsidR="0093432C" w:rsidRPr="001D3E93">
        <w:rPr>
          <w:rFonts w:ascii="Verdana" w:eastAsia="Verdana" w:hAnsi="Verdana" w:cs="Arial"/>
          <w:color w:val="000000"/>
          <w:lang w:val="en-US" w:eastAsia="en-US"/>
        </w:rPr>
        <w:t>allocation</w:t>
      </w:r>
      <w:r w:rsidRPr="001D3E93">
        <w:rPr>
          <w:rFonts w:ascii="Verdana" w:eastAsia="Verdana" w:hAnsi="Verdana" w:cs="Arial"/>
          <w:color w:val="000000"/>
          <w:lang w:val="en-US" w:eastAsia="en-US"/>
        </w:rPr>
        <w:t>. Percentage decreases in the amount of planned expenditure by Tier comparing Rounds 1 and 2 are reflected below in Figure 1 and Table 4.</w:t>
      </w:r>
      <w:r w:rsidR="00762B06" w:rsidRPr="001D3E93">
        <w:rPr>
          <w:rFonts w:ascii="Verdana" w:eastAsia="Verdana" w:hAnsi="Verdana" w:cs="Arial"/>
          <w:color w:val="000000"/>
          <w:lang w:val="en-US" w:eastAsia="en-US"/>
        </w:rPr>
        <w:t xml:space="preserve"> </w:t>
      </w:r>
    </w:p>
    <w:p w14:paraId="1524AA76" w14:textId="536EBE6E" w:rsidR="00A650AA" w:rsidRPr="001D3E93" w:rsidRDefault="00A650AA" w:rsidP="00A650AA">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Attachment B also compares applicant data from Round 1 and Round 2. </w:t>
      </w:r>
    </w:p>
    <w:p w14:paraId="453F85AC" w14:textId="7100EB1D" w:rsidR="00230059" w:rsidRPr="001D3E93" w:rsidRDefault="00230059" w:rsidP="00230059">
      <w:pPr>
        <w:pStyle w:val="Heading4"/>
        <w:rPr>
          <w:b w:val="0"/>
          <w:bCs w:val="0"/>
          <w:lang w:eastAsia="en-US"/>
        </w:rPr>
      </w:pPr>
      <w:r w:rsidRPr="00731183">
        <w:rPr>
          <w:b w:val="0"/>
          <w:bCs w:val="0"/>
          <w:lang w:eastAsia="en-US"/>
        </w:rPr>
        <w:t>Figure 1: Average Planned Expenditure for Rounds 1 and 2</w:t>
      </w:r>
    </w:p>
    <w:p w14:paraId="12B4F4CE" w14:textId="6F187F77" w:rsidR="00E321EE" w:rsidRPr="001D3E93" w:rsidRDefault="00230059" w:rsidP="00A0613F">
      <w:pPr>
        <w:spacing w:after="160" w:line="259" w:lineRule="auto"/>
        <w:rPr>
          <w:rFonts w:ascii="Verdana" w:eastAsia="Calibri" w:hAnsi="Verdana" w:cs="Arial"/>
          <w:lang w:val="en-US" w:eastAsia="en-US"/>
        </w:rPr>
      </w:pPr>
      <w:r w:rsidRPr="001D3E93">
        <w:rPr>
          <w:rFonts w:ascii="Verdana" w:eastAsia="Calibri" w:hAnsi="Verdana" w:cs="Arial"/>
          <w:noProof/>
          <w:sz w:val="18"/>
          <w:szCs w:val="18"/>
          <w:lang w:eastAsia="en-US"/>
        </w:rPr>
        <w:drawing>
          <wp:inline distT="0" distB="0" distL="0" distR="0" wp14:anchorId="4670CF80" wp14:editId="720A472E">
            <wp:extent cx="3670893" cy="2432649"/>
            <wp:effectExtent l="0" t="0" r="6350" b="6350"/>
            <wp:docPr id="5" name="Picture 5" descr="Figure 1. A bar chart showing average planned expenditure for rounds 1 and 2 of EMDG 2.0. Average planned expenditure is shown for Grants offered at Tier 1, 2 and 3 levels and to representative bodies.&#10;Tier 1 round 1 average planned expenditure is $152,710. Tier 1 round 2 average planned expenditure is $59,863. &#10;Tier 2 round 1 average planned expenditure is $202,751. Tier 2 round 2 average planned expenditure is $99,325. &#10;Tier 3 round 1 average planned expenditure is $604,757. Tier 3 round 2 average planned expenditure is $201,403. &#10;Representative body round 1 average planned expenditure is $408,006. Representative body round 2 average planned expenditure is $155,744.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A bar chart showing average planned expenditure for rounds 1 and 2 of EMDG 2.0. Average planned expenditure is shown for Grants offered at Tier 1, 2 and 3 levels and to representative bodies.&#10;Tier 1 round 1 average planned expenditure is $152,710. Tier 1 round 2 average planned expenditure is $59,863. &#10;Tier 2 round 1 average planned expenditure is $202,751. Tier 2 round 2 average planned expenditure is $99,325. &#10;Tier 3 round 1 average planned expenditure is $604,757. Tier 3 round 2 average planned expenditure is $201,403. &#10;Representative body round 1 average planned expenditure is $408,006. Representative body round 2 average planned expenditure is $155,744. ">
                      <a:extLst>
                        <a:ext uri="{C183D7F6-B498-43B3-948B-1728B52AA6E4}">
                          <adec:decorative xmlns:adec="http://schemas.microsoft.com/office/drawing/2017/decorative" val="0"/>
                        </a:ext>
                      </a:extLst>
                    </pic:cNvPr>
                    <pic:cNvPicPr>
                      <a:picLocks noChangeAspect="1"/>
                    </pic:cNvPicPr>
                  </pic:nvPicPr>
                  <pic:blipFill rotWithShape="1">
                    <a:blip r:embed="rId16"/>
                    <a:srcRect t="2931" r="2582"/>
                    <a:stretch/>
                  </pic:blipFill>
                  <pic:spPr bwMode="auto">
                    <a:xfrm>
                      <a:off x="0" y="0"/>
                      <a:ext cx="3710397" cy="2458827"/>
                    </a:xfrm>
                    <a:prstGeom prst="rect">
                      <a:avLst/>
                    </a:prstGeom>
                    <a:ln>
                      <a:noFill/>
                    </a:ln>
                    <a:extLst>
                      <a:ext uri="{53640926-AAD7-44D8-BBD7-CCE9431645EC}">
                        <a14:shadowObscured xmlns:a14="http://schemas.microsoft.com/office/drawing/2010/main"/>
                      </a:ext>
                    </a:extLst>
                  </pic:spPr>
                </pic:pic>
              </a:graphicData>
            </a:graphic>
          </wp:inline>
        </w:drawing>
      </w:r>
    </w:p>
    <w:p w14:paraId="35DE140B" w14:textId="684E2007" w:rsidR="007F7357" w:rsidRPr="001D3E93" w:rsidRDefault="00E321EE" w:rsidP="007F7357">
      <w:pPr>
        <w:pStyle w:val="Heading4"/>
        <w:rPr>
          <w:b w:val="0"/>
          <w:bCs w:val="0"/>
          <w:lang w:val="en-US"/>
        </w:rPr>
      </w:pPr>
      <w:r w:rsidRPr="00731183">
        <w:rPr>
          <w:b w:val="0"/>
          <w:bCs w:val="0"/>
          <w:lang w:val="en-US"/>
        </w:rPr>
        <w:lastRenderedPageBreak/>
        <w:t>Table 4: Change in average planned expenditure from Round 1 to Round 2*</w:t>
      </w:r>
    </w:p>
    <w:tbl>
      <w:tblPr>
        <w:tblStyle w:val="PlainTable51"/>
        <w:tblW w:w="7498" w:type="dxa"/>
        <w:tblInd w:w="-5" w:type="dxa"/>
        <w:tblBorders>
          <w:top w:val="single" w:sz="4" w:space="0" w:color="1E988A"/>
          <w:left w:val="single" w:sz="4" w:space="0" w:color="1E988A"/>
          <w:bottom w:val="single" w:sz="4" w:space="0" w:color="1E988A"/>
          <w:right w:val="single" w:sz="4" w:space="0" w:color="1E988A"/>
          <w:insideV w:val="single" w:sz="4" w:space="0" w:color="7F7F7F"/>
        </w:tblBorders>
        <w:tblLook w:val="04A0" w:firstRow="1" w:lastRow="0" w:firstColumn="1" w:lastColumn="0" w:noHBand="0" w:noVBand="1"/>
        <w:tblCaption w:val="Table 4: Change in average planned expenditure from Round 1 to Round 2*"/>
      </w:tblPr>
      <w:tblGrid>
        <w:gridCol w:w="2549"/>
        <w:gridCol w:w="4949"/>
      </w:tblGrid>
      <w:tr w:rsidR="009D691D" w:rsidRPr="001D3E93" w14:paraId="64293A39" w14:textId="77777777" w:rsidTr="007504E1">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2549" w:type="dxa"/>
            <w:shd w:val="clear" w:color="auto" w:fill="E7E6E6"/>
            <w:vAlign w:val="center"/>
          </w:tcPr>
          <w:p w14:paraId="6040400D" w14:textId="032928B0" w:rsidR="002C715A" w:rsidRPr="001D3E93" w:rsidRDefault="002C715A" w:rsidP="007504E1">
            <w:pPr>
              <w:ind w:left="440"/>
              <w:jc w:val="center"/>
              <w:textAlignment w:val="baseline"/>
              <w:rPr>
                <w:rFonts w:asciiTheme="minorHAnsi" w:hAnsiTheme="minorHAnsi"/>
                <w:i w:val="0"/>
                <w:iCs w:val="0"/>
                <w:sz w:val="20"/>
                <w:szCs w:val="16"/>
                <w:lang w:eastAsia="en-AU"/>
              </w:rPr>
            </w:pPr>
            <w:r w:rsidRPr="001D3E93">
              <w:rPr>
                <w:rFonts w:asciiTheme="minorHAnsi" w:hAnsiTheme="minorHAnsi"/>
                <w:i w:val="0"/>
                <w:iCs w:val="0"/>
                <w:sz w:val="20"/>
                <w:szCs w:val="16"/>
                <w:lang w:eastAsia="en-AU"/>
              </w:rPr>
              <w:t>Eligibility Category</w:t>
            </w:r>
          </w:p>
        </w:tc>
        <w:tc>
          <w:tcPr>
            <w:tcW w:w="4949" w:type="dxa"/>
            <w:shd w:val="clear" w:color="auto" w:fill="E7E6E6"/>
            <w:vAlign w:val="center"/>
          </w:tcPr>
          <w:p w14:paraId="1BE6110F" w14:textId="129051FE" w:rsidR="002C715A" w:rsidRPr="001D3E93" w:rsidRDefault="002C715A" w:rsidP="007504E1">
            <w:pPr>
              <w:ind w:left="44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i w:val="0"/>
                <w:iCs w:val="0"/>
                <w:sz w:val="20"/>
                <w:szCs w:val="16"/>
                <w:lang w:eastAsia="en-AU"/>
              </w:rPr>
            </w:pPr>
            <w:r w:rsidRPr="001D3E93">
              <w:rPr>
                <w:rFonts w:asciiTheme="minorHAnsi" w:hAnsiTheme="minorHAnsi"/>
                <w:i w:val="0"/>
                <w:iCs w:val="0"/>
                <w:sz w:val="20"/>
                <w:szCs w:val="16"/>
                <w:lang w:eastAsia="en-AU"/>
              </w:rPr>
              <w:t xml:space="preserve">Change in </w:t>
            </w:r>
            <w:r w:rsidR="007504E1" w:rsidRPr="001D3E93">
              <w:rPr>
                <w:rFonts w:asciiTheme="minorHAnsi" w:hAnsiTheme="minorHAnsi"/>
                <w:i w:val="0"/>
                <w:iCs w:val="0"/>
                <w:sz w:val="20"/>
                <w:szCs w:val="16"/>
                <w:lang w:eastAsia="en-AU"/>
              </w:rPr>
              <w:t>average planned expenditure from Round 1 to Round 2*</w:t>
            </w:r>
          </w:p>
        </w:tc>
      </w:tr>
      <w:tr w:rsidR="009D691D" w:rsidRPr="001D3E93" w14:paraId="08465585" w14:textId="77777777" w:rsidTr="007504E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549" w:type="dxa"/>
            <w:shd w:val="clear" w:color="auto" w:fill="E7E6E6"/>
            <w:vAlign w:val="center"/>
          </w:tcPr>
          <w:p w14:paraId="1F9FDCE8" w14:textId="77777777" w:rsidR="00A650AA" w:rsidRPr="001D3E93" w:rsidRDefault="00A650AA" w:rsidP="007504E1">
            <w:pPr>
              <w:ind w:left="440"/>
              <w:jc w:val="center"/>
              <w:textAlignment w:val="baseline"/>
              <w:rPr>
                <w:rFonts w:asciiTheme="minorHAnsi" w:hAnsiTheme="minorHAnsi"/>
                <w:i w:val="0"/>
                <w:iCs w:val="0"/>
                <w:sz w:val="20"/>
                <w:szCs w:val="20"/>
                <w:lang w:eastAsia="en-AU"/>
              </w:rPr>
            </w:pPr>
            <w:r w:rsidRPr="001D3E93">
              <w:rPr>
                <w:rFonts w:asciiTheme="minorHAnsi" w:hAnsiTheme="minorHAnsi"/>
                <w:i w:val="0"/>
                <w:iCs w:val="0"/>
                <w:sz w:val="20"/>
                <w:szCs w:val="20"/>
                <w:lang w:eastAsia="en-AU"/>
              </w:rPr>
              <w:t>Tier 1</w:t>
            </w:r>
          </w:p>
        </w:tc>
        <w:tc>
          <w:tcPr>
            <w:tcW w:w="4949" w:type="dxa"/>
            <w:shd w:val="clear" w:color="auto" w:fill="E7E6E6"/>
            <w:vAlign w:val="center"/>
          </w:tcPr>
          <w:p w14:paraId="52EA798F" w14:textId="3D8C816E" w:rsidR="00A650AA" w:rsidRPr="001D3E93" w:rsidRDefault="00685835" w:rsidP="007504E1">
            <w:pPr>
              <w:ind w:left="440"/>
              <w:jc w:val="center"/>
              <w:textAlignment w:val="baseline"/>
              <w:cnfStyle w:val="000000100000" w:firstRow="0" w:lastRow="0" w:firstColumn="0" w:lastColumn="0" w:oddVBand="0" w:evenVBand="0" w:oddHBand="1" w:evenHBand="0" w:firstRowFirstColumn="0" w:firstRowLastColumn="0" w:lastRowFirstColumn="0" w:lastRowLastColumn="0"/>
              <w:rPr>
                <w:rFonts w:eastAsia="MS Gothic" w:cs="Calibri"/>
                <w:sz w:val="20"/>
                <w:szCs w:val="20"/>
                <w:lang w:eastAsia="en-AU"/>
              </w:rPr>
            </w:pPr>
            <w:r w:rsidRPr="001D3E93">
              <w:rPr>
                <w:rFonts w:eastAsia="MS Gothic" w:cs="Arial"/>
                <w:sz w:val="20"/>
                <w:szCs w:val="20"/>
                <w:lang w:eastAsia="en-AU"/>
              </w:rPr>
              <w:t xml:space="preserve">Decreased </w:t>
            </w:r>
            <w:r w:rsidR="00A650AA" w:rsidRPr="001D3E93">
              <w:rPr>
                <w:rFonts w:eastAsia="MS Gothic" w:cs="Calibri"/>
                <w:sz w:val="20"/>
                <w:szCs w:val="20"/>
                <w:lang w:eastAsia="en-AU"/>
              </w:rPr>
              <w:t>61 per cent</w:t>
            </w:r>
          </w:p>
        </w:tc>
      </w:tr>
      <w:tr w:rsidR="00A650AA" w:rsidRPr="001D3E93" w14:paraId="31E79E76" w14:textId="77777777" w:rsidTr="007504E1">
        <w:trPr>
          <w:trHeight w:val="102"/>
        </w:trPr>
        <w:tc>
          <w:tcPr>
            <w:cnfStyle w:val="001000000000" w:firstRow="0" w:lastRow="0" w:firstColumn="1" w:lastColumn="0" w:oddVBand="0" w:evenVBand="0" w:oddHBand="0" w:evenHBand="0" w:firstRowFirstColumn="0" w:firstRowLastColumn="0" w:lastRowFirstColumn="0" w:lastRowLastColumn="0"/>
            <w:tcW w:w="2549" w:type="dxa"/>
            <w:vAlign w:val="center"/>
          </w:tcPr>
          <w:p w14:paraId="0D4B7861" w14:textId="77777777" w:rsidR="00A650AA" w:rsidRPr="001D3E93" w:rsidRDefault="00A650AA" w:rsidP="007504E1">
            <w:pPr>
              <w:ind w:left="440"/>
              <w:jc w:val="center"/>
              <w:textAlignment w:val="baseline"/>
              <w:rPr>
                <w:rFonts w:asciiTheme="minorHAnsi" w:hAnsiTheme="minorHAnsi"/>
                <w:i w:val="0"/>
                <w:iCs w:val="0"/>
                <w:sz w:val="20"/>
                <w:szCs w:val="20"/>
                <w:lang w:eastAsia="en-AU"/>
              </w:rPr>
            </w:pPr>
            <w:r w:rsidRPr="001D3E93">
              <w:rPr>
                <w:rFonts w:asciiTheme="minorHAnsi" w:hAnsiTheme="minorHAnsi"/>
                <w:i w:val="0"/>
                <w:iCs w:val="0"/>
                <w:sz w:val="20"/>
                <w:szCs w:val="20"/>
                <w:lang w:eastAsia="en-AU"/>
              </w:rPr>
              <w:t>Tier 2</w:t>
            </w:r>
          </w:p>
        </w:tc>
        <w:tc>
          <w:tcPr>
            <w:tcW w:w="4949" w:type="dxa"/>
            <w:vAlign w:val="center"/>
          </w:tcPr>
          <w:p w14:paraId="2355E965" w14:textId="054D2203" w:rsidR="00A650AA" w:rsidRPr="001D3E93" w:rsidRDefault="00685835" w:rsidP="007504E1">
            <w:pPr>
              <w:ind w:left="440"/>
              <w:jc w:val="center"/>
              <w:textAlignment w:val="baseline"/>
              <w:cnfStyle w:val="000000000000" w:firstRow="0" w:lastRow="0" w:firstColumn="0" w:lastColumn="0" w:oddVBand="0" w:evenVBand="0" w:oddHBand="0" w:evenHBand="0" w:firstRowFirstColumn="0" w:firstRowLastColumn="0" w:lastRowFirstColumn="0" w:lastRowLastColumn="0"/>
              <w:rPr>
                <w:rFonts w:eastAsia="MS Gothic" w:cs="Calibri"/>
                <w:sz w:val="20"/>
                <w:szCs w:val="20"/>
                <w:lang w:eastAsia="en-AU"/>
              </w:rPr>
            </w:pPr>
            <w:r w:rsidRPr="001D3E93">
              <w:rPr>
                <w:rFonts w:eastAsia="MS Gothic" w:cs="Arial"/>
                <w:sz w:val="20"/>
                <w:szCs w:val="20"/>
                <w:lang w:eastAsia="en-AU"/>
              </w:rPr>
              <w:t xml:space="preserve">Decreased </w:t>
            </w:r>
            <w:r w:rsidR="00A650AA" w:rsidRPr="001D3E93">
              <w:rPr>
                <w:rFonts w:eastAsia="MS Gothic" w:cs="Calibri"/>
                <w:sz w:val="20"/>
                <w:szCs w:val="20"/>
                <w:lang w:eastAsia="en-AU"/>
              </w:rPr>
              <w:t>51 per cent</w:t>
            </w:r>
          </w:p>
        </w:tc>
      </w:tr>
      <w:tr w:rsidR="009D691D" w:rsidRPr="001D3E93" w14:paraId="41C4CAF1" w14:textId="77777777" w:rsidTr="007504E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549" w:type="dxa"/>
            <w:shd w:val="clear" w:color="auto" w:fill="E7E6E6"/>
            <w:vAlign w:val="center"/>
          </w:tcPr>
          <w:p w14:paraId="1DB6D562" w14:textId="77777777" w:rsidR="00A650AA" w:rsidRPr="001D3E93" w:rsidRDefault="00A650AA" w:rsidP="007504E1">
            <w:pPr>
              <w:ind w:left="440"/>
              <w:jc w:val="center"/>
              <w:textAlignment w:val="baseline"/>
              <w:rPr>
                <w:rFonts w:asciiTheme="minorHAnsi" w:hAnsiTheme="minorHAnsi"/>
                <w:i w:val="0"/>
                <w:iCs w:val="0"/>
                <w:sz w:val="20"/>
                <w:szCs w:val="20"/>
                <w:lang w:eastAsia="en-AU"/>
              </w:rPr>
            </w:pPr>
            <w:r w:rsidRPr="001D3E93">
              <w:rPr>
                <w:rFonts w:asciiTheme="minorHAnsi" w:hAnsiTheme="minorHAnsi"/>
                <w:i w:val="0"/>
                <w:iCs w:val="0"/>
                <w:sz w:val="20"/>
                <w:szCs w:val="20"/>
                <w:lang w:eastAsia="en-AU"/>
              </w:rPr>
              <w:t>Tier 3</w:t>
            </w:r>
          </w:p>
        </w:tc>
        <w:tc>
          <w:tcPr>
            <w:tcW w:w="4949" w:type="dxa"/>
            <w:shd w:val="clear" w:color="auto" w:fill="E7E6E6"/>
            <w:vAlign w:val="center"/>
          </w:tcPr>
          <w:p w14:paraId="0A24D324" w14:textId="4479C63F" w:rsidR="00A650AA" w:rsidRPr="001D3E93" w:rsidRDefault="00685835" w:rsidP="007504E1">
            <w:pPr>
              <w:ind w:left="440"/>
              <w:jc w:val="center"/>
              <w:textAlignment w:val="baseline"/>
              <w:cnfStyle w:val="000000100000" w:firstRow="0" w:lastRow="0" w:firstColumn="0" w:lastColumn="0" w:oddVBand="0" w:evenVBand="0" w:oddHBand="1" w:evenHBand="0" w:firstRowFirstColumn="0" w:firstRowLastColumn="0" w:lastRowFirstColumn="0" w:lastRowLastColumn="0"/>
              <w:rPr>
                <w:rFonts w:eastAsia="MS Gothic" w:cs="Calibri"/>
                <w:sz w:val="20"/>
                <w:szCs w:val="20"/>
                <w:lang w:eastAsia="en-AU"/>
              </w:rPr>
            </w:pPr>
            <w:r w:rsidRPr="001D3E93">
              <w:rPr>
                <w:rFonts w:eastAsia="MS Gothic" w:cs="Arial"/>
                <w:sz w:val="20"/>
                <w:szCs w:val="20"/>
                <w:lang w:eastAsia="en-AU"/>
              </w:rPr>
              <w:t xml:space="preserve">Decreased </w:t>
            </w:r>
            <w:r w:rsidR="00A650AA" w:rsidRPr="001D3E93">
              <w:rPr>
                <w:rFonts w:eastAsia="MS Gothic" w:cs="Calibri"/>
                <w:sz w:val="20"/>
                <w:szCs w:val="20"/>
                <w:lang w:eastAsia="en-AU"/>
              </w:rPr>
              <w:t>67 per cent</w:t>
            </w:r>
          </w:p>
        </w:tc>
      </w:tr>
      <w:tr w:rsidR="00A650AA" w:rsidRPr="001D3E93" w14:paraId="54058831" w14:textId="77777777" w:rsidTr="007504E1">
        <w:trPr>
          <w:trHeight w:val="425"/>
        </w:trPr>
        <w:tc>
          <w:tcPr>
            <w:cnfStyle w:val="001000000000" w:firstRow="0" w:lastRow="0" w:firstColumn="1" w:lastColumn="0" w:oddVBand="0" w:evenVBand="0" w:oddHBand="0" w:evenHBand="0" w:firstRowFirstColumn="0" w:firstRowLastColumn="0" w:lastRowFirstColumn="0" w:lastRowLastColumn="0"/>
            <w:tcW w:w="2549" w:type="dxa"/>
            <w:vAlign w:val="center"/>
          </w:tcPr>
          <w:p w14:paraId="35AA689A" w14:textId="3864BB75" w:rsidR="00A650AA" w:rsidRPr="001D3E93" w:rsidRDefault="00A650AA" w:rsidP="007504E1">
            <w:pPr>
              <w:ind w:left="440"/>
              <w:jc w:val="center"/>
              <w:textAlignment w:val="baseline"/>
              <w:rPr>
                <w:rFonts w:asciiTheme="minorHAnsi" w:hAnsiTheme="minorHAnsi"/>
                <w:i w:val="0"/>
                <w:iCs w:val="0"/>
                <w:sz w:val="20"/>
                <w:szCs w:val="20"/>
                <w:lang w:eastAsia="en-AU"/>
              </w:rPr>
            </w:pPr>
            <w:r w:rsidRPr="001D3E93">
              <w:rPr>
                <w:rFonts w:asciiTheme="minorHAnsi" w:hAnsiTheme="minorHAnsi"/>
                <w:i w:val="0"/>
                <w:iCs w:val="0"/>
                <w:sz w:val="20"/>
                <w:szCs w:val="20"/>
                <w:lang w:eastAsia="en-AU"/>
              </w:rPr>
              <w:t>Representative Body</w:t>
            </w:r>
          </w:p>
        </w:tc>
        <w:tc>
          <w:tcPr>
            <w:tcW w:w="4949" w:type="dxa"/>
            <w:vAlign w:val="center"/>
          </w:tcPr>
          <w:p w14:paraId="657BA8BF" w14:textId="76E066EA" w:rsidR="00A650AA" w:rsidRPr="001D3E93" w:rsidRDefault="00685835" w:rsidP="007504E1">
            <w:pPr>
              <w:ind w:left="440"/>
              <w:jc w:val="center"/>
              <w:textAlignment w:val="baseline"/>
              <w:cnfStyle w:val="000000000000" w:firstRow="0" w:lastRow="0" w:firstColumn="0" w:lastColumn="0" w:oddVBand="0" w:evenVBand="0" w:oddHBand="0" w:evenHBand="0" w:firstRowFirstColumn="0" w:firstRowLastColumn="0" w:lastRowFirstColumn="0" w:lastRowLastColumn="0"/>
              <w:rPr>
                <w:rFonts w:eastAsia="MS Gothic" w:cs="Calibri"/>
                <w:sz w:val="20"/>
                <w:szCs w:val="20"/>
                <w:lang w:eastAsia="en-AU"/>
              </w:rPr>
            </w:pPr>
            <w:r w:rsidRPr="001D3E93">
              <w:rPr>
                <w:rFonts w:eastAsia="MS Gothic" w:cs="Arial"/>
                <w:sz w:val="20"/>
                <w:szCs w:val="20"/>
                <w:lang w:eastAsia="en-AU"/>
              </w:rPr>
              <w:t xml:space="preserve">Decreased </w:t>
            </w:r>
            <w:r w:rsidR="00A650AA" w:rsidRPr="001D3E93">
              <w:rPr>
                <w:rFonts w:eastAsia="MS Gothic" w:cs="Calibri"/>
                <w:sz w:val="20"/>
                <w:szCs w:val="20"/>
                <w:lang w:eastAsia="en-AU"/>
              </w:rPr>
              <w:t>62 per cent</w:t>
            </w:r>
          </w:p>
        </w:tc>
      </w:tr>
    </w:tbl>
    <w:p w14:paraId="48E79325" w14:textId="1A4ABF3A" w:rsidR="00A650AA" w:rsidRPr="001D3E93" w:rsidRDefault="00C4324C" w:rsidP="00A0613F">
      <w:pPr>
        <w:spacing w:after="160" w:line="259" w:lineRule="auto"/>
        <w:rPr>
          <w:rFonts w:ascii="Verdana" w:eastAsia="Verdana" w:hAnsi="Verdana" w:cs="Calibri"/>
          <w:iCs/>
          <w:color w:val="000000"/>
          <w:lang w:val="en-US" w:eastAsia="en-US"/>
        </w:rPr>
      </w:pPr>
      <w:r w:rsidRPr="001D3E93">
        <w:rPr>
          <w:rFonts w:ascii="Verdana" w:eastAsia="Verdana" w:hAnsi="Verdana" w:cs="Calibri"/>
          <w:iCs/>
          <w:color w:val="000000"/>
          <w:lang w:val="en-US" w:eastAsia="en-US"/>
        </w:rPr>
        <w:t>* Round 2 average planned expenditure as at 24 Oct</w:t>
      </w:r>
      <w:r w:rsidR="00E65A94">
        <w:rPr>
          <w:rFonts w:ascii="Verdana" w:eastAsia="Verdana" w:hAnsi="Verdana" w:cs="Calibri"/>
          <w:iCs/>
          <w:color w:val="000000"/>
          <w:lang w:val="en-US" w:eastAsia="en-US"/>
        </w:rPr>
        <w:t>ober 2022</w:t>
      </w:r>
    </w:p>
    <w:p w14:paraId="33C12318" w14:textId="77777777" w:rsidR="00C4324C" w:rsidRPr="001D3E93" w:rsidRDefault="00C4324C" w:rsidP="00A0613F">
      <w:pPr>
        <w:spacing w:after="160" w:line="259" w:lineRule="auto"/>
        <w:rPr>
          <w:rFonts w:ascii="Verdana" w:eastAsia="Calibri" w:hAnsi="Verdana" w:cs="Arial"/>
          <w:lang w:val="en-US" w:eastAsia="en-US"/>
        </w:rPr>
      </w:pPr>
    </w:p>
    <w:p w14:paraId="1440E603" w14:textId="1EFFB90F" w:rsidR="00A0613F" w:rsidRPr="001D3E93" w:rsidRDefault="00A0613F" w:rsidP="00843DA3">
      <w:pPr>
        <w:spacing w:after="160" w:line="259" w:lineRule="auto"/>
        <w:rPr>
          <w:rFonts w:ascii="Verdana" w:eastAsia="Verdana" w:hAnsi="Verdana" w:cs="Calibri"/>
          <w:color w:val="000000"/>
          <w:lang w:val="en-US" w:eastAsia="en-US"/>
        </w:rPr>
      </w:pPr>
      <w:r w:rsidRPr="001D3E93">
        <w:rPr>
          <w:rFonts w:ascii="Verdana" w:eastAsia="Verdana" w:hAnsi="Verdana" w:cs="Calibri"/>
          <w:color w:val="000000"/>
          <w:lang w:val="en-US" w:eastAsia="en-US"/>
        </w:rPr>
        <w:t xml:space="preserve">In Round 1, the large pool of </w:t>
      </w:r>
      <w:r w:rsidR="003C3AC2" w:rsidRPr="001D3E93">
        <w:rPr>
          <w:rFonts w:ascii="Verdana" w:eastAsia="Verdana" w:hAnsi="Verdana" w:cs="Calibri"/>
          <w:color w:val="000000"/>
          <w:lang w:val="en-US" w:eastAsia="en-US"/>
        </w:rPr>
        <w:t xml:space="preserve">eligible </w:t>
      </w:r>
      <w:r w:rsidRPr="001D3E93">
        <w:rPr>
          <w:rFonts w:ascii="Verdana" w:eastAsia="Verdana" w:hAnsi="Verdana" w:cs="Calibri"/>
          <w:color w:val="000000"/>
          <w:lang w:val="en-US" w:eastAsia="en-US"/>
        </w:rPr>
        <w:t xml:space="preserve">applicants led to grant amounts lower than applicants had requested and expected. Some applicants and grant agents had expected the maximum grant amounts specified in the EMDG Rules. Communication by Austrade that the total EMDG allocation would be divided amongst all eligible EMDG grant applicants was not </w:t>
      </w:r>
      <w:r w:rsidR="00CE18CF" w:rsidRPr="001D3E93">
        <w:rPr>
          <w:rFonts w:ascii="Verdana" w:eastAsia="Verdana" w:hAnsi="Verdana" w:cs="Calibri"/>
          <w:color w:val="000000"/>
          <w:lang w:val="en-US" w:eastAsia="en-US"/>
        </w:rPr>
        <w:t xml:space="preserve">well </w:t>
      </w:r>
      <w:r w:rsidRPr="001D3E93">
        <w:rPr>
          <w:rFonts w:ascii="Verdana" w:eastAsia="Verdana" w:hAnsi="Verdana" w:cs="Calibri"/>
          <w:color w:val="000000"/>
          <w:lang w:val="en-US" w:eastAsia="en-US"/>
        </w:rPr>
        <w:t>understood.</w:t>
      </w:r>
    </w:p>
    <w:p w14:paraId="4BE5C0A4" w14:textId="23ABE7B3" w:rsidR="00A0613F" w:rsidRPr="001D3E93" w:rsidRDefault="00A0613F" w:rsidP="00A0613F">
      <w:pPr>
        <w:spacing w:after="0" w:line="240"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Table 5 shows the difference between the legislated financial caps, or maximum grant amounts allowable, compared to the actual grant amounts offered</w:t>
      </w:r>
      <w:r w:rsidR="0032250A" w:rsidRPr="001D3E93">
        <w:rPr>
          <w:rFonts w:ascii="Verdana" w:eastAsia="Verdana" w:hAnsi="Verdana" w:cs="Arial"/>
          <w:color w:val="000000"/>
          <w:lang w:val="en-US" w:eastAsia="en-US"/>
        </w:rPr>
        <w:t>, and what was reported in the milestone reports</w:t>
      </w:r>
      <w:r w:rsidRPr="001D3E93">
        <w:rPr>
          <w:rFonts w:ascii="Verdana" w:eastAsia="Verdana" w:hAnsi="Verdana" w:cs="Arial"/>
          <w:color w:val="000000"/>
          <w:lang w:val="en-US" w:eastAsia="en-US"/>
        </w:rPr>
        <w:t xml:space="preserve">. </w:t>
      </w:r>
    </w:p>
    <w:p w14:paraId="481C417F" w14:textId="77777777" w:rsidR="00A0613F" w:rsidRPr="001D3E93" w:rsidRDefault="00A0613F" w:rsidP="00A0613F">
      <w:pPr>
        <w:spacing w:after="0" w:line="240" w:lineRule="auto"/>
        <w:textAlignment w:val="baseline"/>
        <w:rPr>
          <w:rFonts w:ascii="Verdana" w:eastAsia="Times New Roman" w:hAnsi="Verdana" w:cs="Segoe UI"/>
          <w:color w:val="000000"/>
          <w:sz w:val="18"/>
          <w:szCs w:val="18"/>
          <w:lang w:val="en-US" w:eastAsia="en-AU"/>
        </w:rPr>
      </w:pPr>
    </w:p>
    <w:p w14:paraId="7F0990E1" w14:textId="597BFB95" w:rsidR="00A0613F" w:rsidRPr="001D3E93" w:rsidRDefault="00A0613F" w:rsidP="008E2C76">
      <w:pPr>
        <w:spacing w:after="0" w:line="240" w:lineRule="auto"/>
        <w:jc w:val="center"/>
        <w:textAlignment w:val="baseline"/>
      </w:pPr>
      <w:r w:rsidRPr="001D3E93">
        <w:t xml:space="preserve">Table 5: </w:t>
      </w:r>
      <w:r w:rsidR="00342C73" w:rsidRPr="001D3E93">
        <w:t xml:space="preserve">EMDG 2.0 </w:t>
      </w:r>
      <w:r w:rsidRPr="001D3E93">
        <w:t>Round 1 grant amounts offered compared to maximum Tier caps</w:t>
      </w:r>
    </w:p>
    <w:p w14:paraId="55BD4A93" w14:textId="77777777" w:rsidR="008C43BE" w:rsidRPr="001D3E93" w:rsidRDefault="008C43BE" w:rsidP="00A0613F">
      <w:pPr>
        <w:spacing w:after="0" w:line="240" w:lineRule="auto"/>
        <w:rPr>
          <w:rFonts w:ascii="Verdana" w:eastAsia="Verdana" w:hAnsi="Verdana" w:cs="Verdana"/>
          <w:i/>
          <w:color w:val="000000"/>
          <w:sz w:val="18"/>
          <w:szCs w:val="18"/>
          <w:lang w:val="en-US" w:eastAsia="en-US"/>
        </w:rPr>
      </w:pPr>
    </w:p>
    <w:tbl>
      <w:tblPr>
        <w:tblpPr w:leftFromText="180" w:rightFromText="180" w:vertAnchor="text" w:horzAnchor="margin" w:tblpY="-42"/>
        <w:tblW w:w="100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EMDG 2.0 Round 1 grant amounts offered compared to maxium Tier caps"/>
        <w:tblDescription w:val="Table 5 is a comparison between the average grants offered, the average grants applied for and the financial caps of each tier. &#10;"/>
      </w:tblPr>
      <w:tblGrid>
        <w:gridCol w:w="841"/>
        <w:gridCol w:w="1276"/>
        <w:gridCol w:w="1327"/>
        <w:gridCol w:w="1239"/>
        <w:gridCol w:w="1261"/>
        <w:gridCol w:w="1276"/>
        <w:gridCol w:w="1417"/>
        <w:gridCol w:w="1428"/>
      </w:tblGrid>
      <w:tr w:rsidR="00A75354" w:rsidRPr="00B6541B" w14:paraId="0DE7B83E" w14:textId="77777777" w:rsidTr="004372B8">
        <w:trPr>
          <w:trHeight w:val="1038"/>
          <w:tblHeader/>
        </w:trPr>
        <w:tc>
          <w:tcPr>
            <w:tcW w:w="841" w:type="dxa"/>
            <w:tcBorders>
              <w:top w:val="single" w:sz="8" w:space="0" w:color="auto"/>
              <w:left w:val="single" w:sz="8" w:space="0" w:color="auto"/>
              <w:bottom w:val="single" w:sz="8" w:space="0" w:color="auto"/>
              <w:right w:val="single" w:sz="4" w:space="0" w:color="auto"/>
            </w:tcBorders>
            <w:shd w:val="clear" w:color="auto" w:fill="A6A6A6"/>
            <w:hideMark/>
          </w:tcPr>
          <w:p w14:paraId="6A6B0D1A" w14:textId="393F6A58" w:rsidR="00A75354" w:rsidRPr="004372B8" w:rsidRDefault="00A75354" w:rsidP="00A75354">
            <w:pPr>
              <w:spacing w:after="0" w:line="240" w:lineRule="auto"/>
              <w:jc w:val="center"/>
              <w:textAlignment w:val="baseline"/>
              <w:rPr>
                <w:rFonts w:eastAsia="Calibri" w:cs="Calibri"/>
                <w:color w:val="000000"/>
                <w:sz w:val="18"/>
                <w:szCs w:val="18"/>
                <w:lang w:eastAsia="en-AU"/>
              </w:rPr>
            </w:pPr>
            <w:r w:rsidRPr="004372B8">
              <w:rPr>
                <w:rFonts w:eastAsia="Calibri" w:cs="Calibri"/>
                <w:color w:val="000000"/>
                <w:sz w:val="18"/>
                <w:szCs w:val="18"/>
                <w:lang w:eastAsia="en-AU"/>
              </w:rPr>
              <w:t>Eligibility Category  </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7E2894B" w14:textId="77777777" w:rsidR="00A75354" w:rsidRPr="004372B8" w:rsidRDefault="00A75354" w:rsidP="00A75354">
            <w:pPr>
              <w:spacing w:after="0" w:line="240" w:lineRule="auto"/>
              <w:jc w:val="center"/>
              <w:textAlignment w:val="baseline"/>
              <w:rPr>
                <w:rFonts w:eastAsia="Calibri" w:cs="Calibri"/>
                <w:color w:val="000000"/>
                <w:sz w:val="18"/>
                <w:szCs w:val="18"/>
                <w:lang w:eastAsia="en-AU"/>
              </w:rPr>
            </w:pPr>
            <w:r w:rsidRPr="004372B8">
              <w:rPr>
                <w:rFonts w:eastAsia="Calibri" w:cs="Calibri"/>
                <w:color w:val="000000"/>
                <w:sz w:val="18"/>
                <w:szCs w:val="18"/>
                <w:lang w:eastAsia="en-AU"/>
              </w:rPr>
              <w:t xml:space="preserve">EMDG Rules financial caps (maximum </w:t>
            </w:r>
            <w:r w:rsidRPr="004372B8">
              <w:rPr>
                <w:rFonts w:eastAsia="Calibri" w:cs="Calibri"/>
                <w:sz w:val="18"/>
                <w:szCs w:val="18"/>
                <w:lang w:eastAsia="en-AU"/>
              </w:rPr>
              <w:t>possible</w:t>
            </w:r>
            <w:r w:rsidRPr="004372B8">
              <w:rPr>
                <w:rFonts w:eastAsia="Calibri" w:cs="Calibri"/>
                <w:color w:val="000000"/>
                <w:sz w:val="18"/>
                <w:szCs w:val="18"/>
                <w:lang w:eastAsia="en-AU"/>
              </w:rPr>
              <w:t>) </w:t>
            </w:r>
          </w:p>
        </w:tc>
        <w:tc>
          <w:tcPr>
            <w:tcW w:w="1327" w:type="dxa"/>
            <w:tcBorders>
              <w:top w:val="single" w:sz="8" w:space="0" w:color="auto"/>
              <w:left w:val="single" w:sz="4" w:space="0" w:color="auto"/>
              <w:bottom w:val="single" w:sz="8" w:space="0" w:color="auto"/>
              <w:right w:val="single" w:sz="4" w:space="0" w:color="auto"/>
            </w:tcBorders>
            <w:shd w:val="clear" w:color="auto" w:fill="412564" w:themeFill="text2" w:themeFillTint="E6"/>
          </w:tcPr>
          <w:p w14:paraId="38B9DCD6" w14:textId="77777777" w:rsidR="00A75354" w:rsidRPr="00843DA3" w:rsidRDefault="00A75354" w:rsidP="00A75354">
            <w:pPr>
              <w:spacing w:after="0" w:line="240" w:lineRule="auto"/>
              <w:jc w:val="center"/>
              <w:textAlignment w:val="baseline"/>
              <w:rPr>
                <w:rFonts w:eastAsia="Calibri" w:cs="Calibri"/>
                <w:color w:val="FFFFFF"/>
                <w:sz w:val="18"/>
                <w:szCs w:val="18"/>
                <w:lang w:eastAsia="en-AU"/>
              </w:rPr>
            </w:pPr>
            <w:r w:rsidRPr="00843DA3">
              <w:rPr>
                <w:rFonts w:eastAsia="Calibri" w:cs="Calibri"/>
                <w:color w:val="FFFFFF"/>
                <w:sz w:val="18"/>
                <w:szCs w:val="18"/>
                <w:lang w:eastAsia="en-AU"/>
              </w:rPr>
              <w:t>Number</w:t>
            </w:r>
          </w:p>
          <w:p w14:paraId="4D59C85F" w14:textId="77777777" w:rsidR="00A75354" w:rsidRPr="00843DA3" w:rsidRDefault="00A75354" w:rsidP="00A75354">
            <w:pPr>
              <w:spacing w:after="0" w:line="240" w:lineRule="auto"/>
              <w:jc w:val="center"/>
              <w:textAlignment w:val="baseline"/>
              <w:rPr>
                <w:rFonts w:eastAsia="Calibri" w:cs="Calibri"/>
                <w:color w:val="FFFFFF"/>
                <w:sz w:val="18"/>
                <w:szCs w:val="18"/>
                <w:lang w:eastAsia="en-AU"/>
              </w:rPr>
            </w:pPr>
            <w:r w:rsidRPr="00843DA3">
              <w:rPr>
                <w:rFonts w:eastAsia="Calibri" w:cs="Arial"/>
                <w:color w:val="FFFFFF"/>
                <w:sz w:val="18"/>
                <w:szCs w:val="18"/>
                <w:lang w:eastAsia="en-AU"/>
              </w:rPr>
              <w:t>of</w:t>
            </w:r>
            <w:r w:rsidRPr="00843DA3">
              <w:rPr>
                <w:rFonts w:eastAsia="Calibri" w:cs="Calibri"/>
                <w:color w:val="FFFFFF"/>
                <w:sz w:val="18"/>
                <w:szCs w:val="18"/>
                <w:lang w:eastAsia="en-AU"/>
              </w:rPr>
              <w:t xml:space="preserve"> Applications</w:t>
            </w:r>
          </w:p>
        </w:tc>
        <w:tc>
          <w:tcPr>
            <w:tcW w:w="1239" w:type="dxa"/>
            <w:tcBorders>
              <w:top w:val="single" w:sz="8" w:space="0" w:color="auto"/>
              <w:left w:val="single" w:sz="4" w:space="0" w:color="auto"/>
              <w:bottom w:val="single" w:sz="8" w:space="0" w:color="auto"/>
              <w:right w:val="single" w:sz="4" w:space="0" w:color="auto"/>
            </w:tcBorders>
            <w:shd w:val="clear" w:color="auto" w:fill="412564" w:themeFill="text2" w:themeFillTint="E6"/>
          </w:tcPr>
          <w:p w14:paraId="0868BB0F" w14:textId="77777777" w:rsidR="00A75354" w:rsidRPr="004372B8" w:rsidRDefault="00A75354" w:rsidP="00A75354">
            <w:pPr>
              <w:spacing w:after="0" w:line="240" w:lineRule="auto"/>
              <w:jc w:val="center"/>
              <w:textAlignment w:val="baseline"/>
              <w:rPr>
                <w:rFonts w:eastAsia="Calibri" w:cs="Calibri"/>
                <w:color w:val="FFFFFF"/>
                <w:sz w:val="18"/>
                <w:szCs w:val="18"/>
                <w:lang w:eastAsia="en-AU"/>
              </w:rPr>
            </w:pPr>
            <w:r w:rsidRPr="004372B8">
              <w:rPr>
                <w:rFonts w:eastAsia="Calibri" w:cs="Calibri"/>
                <w:color w:val="FFFFFF"/>
                <w:sz w:val="18"/>
                <w:szCs w:val="18"/>
                <w:lang w:eastAsia="en-AU"/>
              </w:rPr>
              <w:t>Average planned expenditure</w:t>
            </w:r>
          </w:p>
        </w:tc>
        <w:tc>
          <w:tcPr>
            <w:tcW w:w="1261" w:type="dxa"/>
            <w:tcBorders>
              <w:top w:val="single" w:sz="8" w:space="0" w:color="auto"/>
              <w:left w:val="single" w:sz="4" w:space="0" w:color="auto"/>
              <w:bottom w:val="single" w:sz="8" w:space="0" w:color="auto"/>
              <w:right w:val="single" w:sz="4" w:space="0" w:color="auto"/>
            </w:tcBorders>
            <w:shd w:val="clear" w:color="auto" w:fill="412564" w:themeFill="text2" w:themeFillTint="E6"/>
          </w:tcPr>
          <w:p w14:paraId="34DCDA0F" w14:textId="77777777" w:rsidR="00A75354" w:rsidRPr="004372B8" w:rsidRDefault="00A75354" w:rsidP="00A75354">
            <w:pPr>
              <w:spacing w:after="0" w:line="240" w:lineRule="auto"/>
              <w:jc w:val="center"/>
              <w:textAlignment w:val="baseline"/>
              <w:rPr>
                <w:rFonts w:eastAsia="Calibri" w:cs="Calibri"/>
                <w:color w:val="FFFFFF"/>
                <w:sz w:val="18"/>
                <w:szCs w:val="18"/>
                <w:lang w:eastAsia="en-AU"/>
              </w:rPr>
            </w:pPr>
            <w:r w:rsidRPr="004372B8">
              <w:rPr>
                <w:rFonts w:eastAsia="Calibri" w:cs="Calibri"/>
                <w:color w:val="FFFFFF"/>
                <w:sz w:val="18"/>
                <w:szCs w:val="18"/>
                <w:lang w:eastAsia="en-AU"/>
              </w:rPr>
              <w:t>Average grant applied for</w:t>
            </w:r>
          </w:p>
        </w:tc>
        <w:tc>
          <w:tcPr>
            <w:tcW w:w="1276" w:type="dxa"/>
            <w:tcBorders>
              <w:top w:val="single" w:sz="8" w:space="0" w:color="auto"/>
              <w:left w:val="nil"/>
              <w:bottom w:val="single" w:sz="8" w:space="0" w:color="auto"/>
              <w:right w:val="single" w:sz="8" w:space="0" w:color="auto"/>
            </w:tcBorders>
            <w:shd w:val="clear" w:color="auto" w:fill="91E9DE" w:themeFill="background2" w:themeFillTint="66"/>
            <w:hideMark/>
          </w:tcPr>
          <w:p w14:paraId="17A6405A" w14:textId="77777777" w:rsidR="00A75354" w:rsidRPr="004372B8" w:rsidRDefault="00A75354" w:rsidP="00A75354">
            <w:pPr>
              <w:spacing w:after="0" w:line="240" w:lineRule="auto"/>
              <w:jc w:val="center"/>
              <w:textAlignment w:val="baseline"/>
              <w:rPr>
                <w:rFonts w:eastAsia="Calibri" w:cs="Calibri"/>
                <w:sz w:val="18"/>
                <w:szCs w:val="18"/>
                <w:lang w:eastAsia="en-AU"/>
              </w:rPr>
            </w:pPr>
            <w:r w:rsidRPr="004372B8">
              <w:rPr>
                <w:rFonts w:eastAsia="Calibri" w:cs="Calibri"/>
                <w:sz w:val="18"/>
                <w:szCs w:val="18"/>
                <w:lang w:eastAsia="en-AU"/>
              </w:rPr>
              <w:t>Actual grant amount offered </w:t>
            </w:r>
          </w:p>
        </w:tc>
        <w:tc>
          <w:tcPr>
            <w:tcW w:w="1417" w:type="dxa"/>
            <w:tcBorders>
              <w:top w:val="single" w:sz="8" w:space="0" w:color="auto"/>
              <w:left w:val="nil"/>
              <w:bottom w:val="single" w:sz="8" w:space="0" w:color="auto"/>
              <w:right w:val="single" w:sz="8" w:space="0" w:color="auto"/>
            </w:tcBorders>
            <w:shd w:val="clear" w:color="auto" w:fill="91E9DE" w:themeFill="background2" w:themeFillTint="66"/>
            <w:hideMark/>
          </w:tcPr>
          <w:p w14:paraId="5FFF7A6F" w14:textId="77777777" w:rsidR="00A75354" w:rsidRPr="004372B8" w:rsidRDefault="00A75354" w:rsidP="00A75354">
            <w:pPr>
              <w:spacing w:after="0" w:line="240" w:lineRule="auto"/>
              <w:jc w:val="center"/>
              <w:textAlignment w:val="baseline"/>
              <w:rPr>
                <w:rFonts w:eastAsia="Calibri" w:cs="Calibri"/>
                <w:sz w:val="18"/>
                <w:szCs w:val="18"/>
                <w:lang w:eastAsia="en-US"/>
              </w:rPr>
            </w:pPr>
            <w:r w:rsidRPr="004372B8">
              <w:rPr>
                <w:rFonts w:eastAsia="Calibri" w:cs="Calibri"/>
                <w:sz w:val="18"/>
                <w:szCs w:val="18"/>
                <w:lang w:eastAsia="en-US"/>
              </w:rPr>
              <w:t>Average Grant agreement issued ($)</w:t>
            </w:r>
          </w:p>
        </w:tc>
        <w:tc>
          <w:tcPr>
            <w:tcW w:w="1428" w:type="dxa"/>
            <w:tcBorders>
              <w:top w:val="single" w:sz="8" w:space="0" w:color="auto"/>
              <w:left w:val="nil"/>
              <w:bottom w:val="single" w:sz="8" w:space="0" w:color="auto"/>
              <w:right w:val="single" w:sz="8" w:space="0" w:color="auto"/>
            </w:tcBorders>
            <w:shd w:val="clear" w:color="auto" w:fill="91E9DE" w:themeFill="background2" w:themeFillTint="66"/>
            <w:hideMark/>
          </w:tcPr>
          <w:p w14:paraId="6708E7F0" w14:textId="77777777" w:rsidR="00A75354" w:rsidRPr="00B6541B" w:rsidRDefault="00A75354" w:rsidP="00A75354">
            <w:pPr>
              <w:spacing w:after="0" w:line="240" w:lineRule="auto"/>
              <w:jc w:val="center"/>
              <w:textAlignment w:val="baseline"/>
              <w:rPr>
                <w:rFonts w:eastAsia="Calibri" w:cs="Calibri"/>
                <w:sz w:val="18"/>
                <w:szCs w:val="18"/>
                <w:lang w:eastAsia="en-US"/>
              </w:rPr>
            </w:pPr>
            <w:r w:rsidRPr="00B6541B">
              <w:rPr>
                <w:rFonts w:eastAsia="Calibri" w:cs="Calibri"/>
                <w:sz w:val="18"/>
                <w:szCs w:val="18"/>
                <w:lang w:eastAsia="en-US"/>
              </w:rPr>
              <w:t>Average amount sought in milestone report</w:t>
            </w:r>
          </w:p>
          <w:p w14:paraId="5BB6C671" w14:textId="77777777" w:rsidR="00A75354" w:rsidRPr="00B6541B" w:rsidRDefault="00A75354" w:rsidP="00A75354">
            <w:pPr>
              <w:spacing w:after="0" w:line="240" w:lineRule="auto"/>
              <w:jc w:val="center"/>
              <w:textAlignment w:val="baseline"/>
              <w:rPr>
                <w:rFonts w:eastAsia="Calibri" w:cs="Calibri"/>
                <w:sz w:val="18"/>
                <w:szCs w:val="18"/>
                <w:lang w:eastAsia="en-AU"/>
              </w:rPr>
            </w:pPr>
            <w:r w:rsidRPr="00B6541B">
              <w:rPr>
                <w:rFonts w:eastAsia="Calibri" w:cs="Calibri"/>
                <w:sz w:val="18"/>
                <w:szCs w:val="18"/>
                <w:lang w:eastAsia="en-US"/>
              </w:rPr>
              <w:t>(as at 24 Oct)*</w:t>
            </w:r>
          </w:p>
        </w:tc>
      </w:tr>
      <w:tr w:rsidR="00A75354" w:rsidRPr="00B6541B" w14:paraId="3E39E17A" w14:textId="77777777" w:rsidTr="004372B8">
        <w:trPr>
          <w:trHeight w:val="518"/>
        </w:trPr>
        <w:tc>
          <w:tcPr>
            <w:tcW w:w="841" w:type="dxa"/>
            <w:tcBorders>
              <w:top w:val="nil"/>
              <w:left w:val="single" w:sz="8" w:space="0" w:color="auto"/>
              <w:bottom w:val="single" w:sz="8" w:space="0" w:color="auto"/>
              <w:right w:val="single" w:sz="4" w:space="0" w:color="auto"/>
            </w:tcBorders>
            <w:shd w:val="clear" w:color="auto" w:fill="F2F2F2"/>
            <w:vAlign w:val="center"/>
          </w:tcPr>
          <w:p w14:paraId="78174058" w14:textId="521E8372" w:rsidR="00A75354" w:rsidRPr="00843DA3" w:rsidRDefault="00A75354" w:rsidP="00A75354">
            <w:pPr>
              <w:jc w:val="center"/>
              <w:rPr>
                <w:sz w:val="18"/>
                <w:szCs w:val="18"/>
                <w:lang w:eastAsia="en-AU"/>
              </w:rPr>
            </w:pPr>
            <w:r w:rsidRPr="00843DA3">
              <w:rPr>
                <w:sz w:val="18"/>
                <w:szCs w:val="18"/>
                <w:lang w:eastAsia="en-AU"/>
              </w:rPr>
              <w:t> Tier 1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F0C6BFA" w14:textId="121EFDAF" w:rsidR="00A75354" w:rsidRPr="00843DA3" w:rsidRDefault="00A75354" w:rsidP="00A75354">
            <w:pPr>
              <w:spacing w:after="0" w:line="240" w:lineRule="auto"/>
              <w:jc w:val="center"/>
              <w:textAlignment w:val="baseline"/>
              <w:rPr>
                <w:rFonts w:eastAsia="Calibri" w:cs="Calibri"/>
                <w:color w:val="000000"/>
                <w:sz w:val="18"/>
                <w:szCs w:val="18"/>
                <w:lang w:eastAsia="en-AU"/>
              </w:rPr>
            </w:pPr>
            <w:r w:rsidRPr="00843DA3">
              <w:rPr>
                <w:rFonts w:eastAsia="Calibri" w:cs="Calibri"/>
                <w:color w:val="000000"/>
                <w:sz w:val="18"/>
                <w:szCs w:val="18"/>
                <w:lang w:eastAsia="en-AU"/>
              </w:rPr>
              <w:t> Up to $40,000 </w:t>
            </w:r>
          </w:p>
        </w:tc>
        <w:tc>
          <w:tcPr>
            <w:tcW w:w="1327" w:type="dxa"/>
            <w:tcBorders>
              <w:top w:val="single" w:sz="8" w:space="0" w:color="auto"/>
              <w:left w:val="single" w:sz="4" w:space="0" w:color="auto"/>
              <w:bottom w:val="single" w:sz="8" w:space="0" w:color="auto"/>
              <w:right w:val="single" w:sz="4" w:space="0" w:color="auto"/>
            </w:tcBorders>
            <w:shd w:val="clear" w:color="auto" w:fill="E8E0F3" w:themeFill="accent2" w:themeFillTint="1A"/>
            <w:vAlign w:val="center"/>
          </w:tcPr>
          <w:p w14:paraId="0A9720FA" w14:textId="49F6EE7A" w:rsidR="00A75354" w:rsidRPr="00843DA3" w:rsidRDefault="00A75354" w:rsidP="00A75354">
            <w:pPr>
              <w:spacing w:after="0" w:line="240" w:lineRule="auto"/>
              <w:jc w:val="center"/>
              <w:textAlignment w:val="baseline"/>
              <w:rPr>
                <w:rFonts w:eastAsia="Calibri" w:cs="Calibri"/>
                <w:color w:val="000000"/>
                <w:sz w:val="18"/>
                <w:szCs w:val="18"/>
                <w:lang w:eastAsia="en-AU"/>
              </w:rPr>
            </w:pPr>
            <w:r w:rsidRPr="00843DA3">
              <w:rPr>
                <w:rFonts w:eastAsia="Calibri" w:cs="Calibri"/>
                <w:color w:val="000000"/>
                <w:sz w:val="18"/>
                <w:szCs w:val="18"/>
                <w:lang w:eastAsia="en-AU"/>
              </w:rPr>
              <w:t>9</w:t>
            </w:r>
            <w:r w:rsidRPr="00843DA3">
              <w:rPr>
                <w:rFonts w:eastAsia="Calibri" w:cs="Calibri"/>
                <w:sz w:val="18"/>
                <w:szCs w:val="18"/>
                <w:lang w:eastAsia="en-AU"/>
              </w:rPr>
              <w:t>45</w:t>
            </w:r>
          </w:p>
        </w:tc>
        <w:tc>
          <w:tcPr>
            <w:tcW w:w="1239" w:type="dxa"/>
            <w:tcBorders>
              <w:top w:val="nil"/>
              <w:left w:val="single" w:sz="4" w:space="0" w:color="auto"/>
              <w:bottom w:val="single" w:sz="8" w:space="0" w:color="auto"/>
              <w:right w:val="single" w:sz="4" w:space="0" w:color="auto"/>
            </w:tcBorders>
            <w:shd w:val="clear" w:color="auto" w:fill="E8E0F3" w:themeFill="accent2" w:themeFillTint="1A"/>
            <w:vAlign w:val="center"/>
          </w:tcPr>
          <w:p w14:paraId="62D8D16A" w14:textId="2127983D" w:rsidR="00A75354" w:rsidRPr="00843DA3" w:rsidRDefault="00A75354" w:rsidP="00A75354">
            <w:pPr>
              <w:spacing w:after="0" w:line="240" w:lineRule="auto"/>
              <w:jc w:val="center"/>
              <w:textAlignment w:val="baseline"/>
              <w:rPr>
                <w:rFonts w:eastAsia="Calibri" w:cs="Calibri"/>
                <w:color w:val="000000"/>
                <w:sz w:val="18"/>
                <w:szCs w:val="18"/>
                <w:lang w:eastAsia="en-AU"/>
              </w:rPr>
            </w:pPr>
            <w:r w:rsidRPr="00843DA3">
              <w:rPr>
                <w:rFonts w:eastAsia="Calibri" w:cs="Calibri"/>
                <w:color w:val="000000"/>
                <w:sz w:val="18"/>
                <w:szCs w:val="18"/>
                <w:lang w:eastAsia="en-AU"/>
              </w:rPr>
              <w:t>$114,000</w:t>
            </w:r>
          </w:p>
        </w:tc>
        <w:tc>
          <w:tcPr>
            <w:tcW w:w="1261" w:type="dxa"/>
            <w:tcBorders>
              <w:top w:val="nil"/>
              <w:left w:val="single" w:sz="4" w:space="0" w:color="auto"/>
              <w:bottom w:val="single" w:sz="8" w:space="0" w:color="auto"/>
              <w:right w:val="single" w:sz="4" w:space="0" w:color="auto"/>
            </w:tcBorders>
            <w:shd w:val="clear" w:color="auto" w:fill="E8E0F3" w:themeFill="accent2" w:themeFillTint="1A"/>
            <w:vAlign w:val="center"/>
          </w:tcPr>
          <w:p w14:paraId="32E6AAFF" w14:textId="07080E71" w:rsidR="00A75354" w:rsidRPr="00843DA3" w:rsidRDefault="00A75354" w:rsidP="00A75354">
            <w:pPr>
              <w:spacing w:after="0" w:line="240" w:lineRule="auto"/>
              <w:jc w:val="center"/>
              <w:textAlignment w:val="baseline"/>
              <w:rPr>
                <w:rFonts w:eastAsia="Calibri" w:cs="Calibri"/>
                <w:color w:val="000000"/>
                <w:sz w:val="18"/>
                <w:szCs w:val="18"/>
                <w:lang w:eastAsia="en-AU"/>
              </w:rPr>
            </w:pPr>
            <w:r w:rsidRPr="00843DA3">
              <w:rPr>
                <w:rFonts w:eastAsia="Calibri" w:cs="Calibri"/>
                <w:color w:val="000000"/>
                <w:sz w:val="18"/>
                <w:szCs w:val="18"/>
                <w:lang w:eastAsia="en-AU"/>
              </w:rPr>
              <w:t>$33,000</w:t>
            </w:r>
          </w:p>
        </w:tc>
        <w:tc>
          <w:tcPr>
            <w:tcW w:w="1276" w:type="dxa"/>
            <w:tcBorders>
              <w:top w:val="nil"/>
              <w:left w:val="nil"/>
              <w:bottom w:val="single" w:sz="8" w:space="0" w:color="auto"/>
              <w:right w:val="single" w:sz="8" w:space="0" w:color="auto"/>
            </w:tcBorders>
            <w:shd w:val="clear" w:color="auto" w:fill="E6FAF8"/>
            <w:vAlign w:val="center"/>
          </w:tcPr>
          <w:p w14:paraId="563ACA28" w14:textId="5B1EB3F4" w:rsidR="00A75354" w:rsidRPr="00843DA3" w:rsidRDefault="00A75354" w:rsidP="00A75354">
            <w:pPr>
              <w:spacing w:after="0" w:line="240" w:lineRule="auto"/>
              <w:jc w:val="center"/>
              <w:textAlignment w:val="baseline"/>
              <w:rPr>
                <w:rFonts w:eastAsia="Calibri" w:cs="Calibri"/>
                <w:color w:val="000000"/>
                <w:sz w:val="18"/>
                <w:szCs w:val="18"/>
                <w:lang w:eastAsia="en-AU"/>
              </w:rPr>
            </w:pPr>
            <w:r w:rsidRPr="00843DA3">
              <w:rPr>
                <w:rFonts w:eastAsia="Calibri" w:cs="Calibri"/>
                <w:color w:val="000000"/>
                <w:sz w:val="18"/>
                <w:szCs w:val="18"/>
                <w:lang w:eastAsia="en-AU"/>
              </w:rPr>
              <w:t> Up to $15,000 </w:t>
            </w:r>
          </w:p>
        </w:tc>
        <w:tc>
          <w:tcPr>
            <w:tcW w:w="1417" w:type="dxa"/>
            <w:tcBorders>
              <w:top w:val="nil"/>
              <w:left w:val="nil"/>
              <w:bottom w:val="single" w:sz="8" w:space="0" w:color="auto"/>
              <w:right w:val="single" w:sz="8" w:space="0" w:color="auto"/>
            </w:tcBorders>
            <w:shd w:val="clear" w:color="auto" w:fill="E6FAF8"/>
            <w:vAlign w:val="center"/>
          </w:tcPr>
          <w:p w14:paraId="229B753A" w14:textId="77777777" w:rsidR="00EA6168" w:rsidRDefault="00A75354" w:rsidP="00A75354">
            <w:pPr>
              <w:spacing w:after="0" w:line="240" w:lineRule="auto"/>
              <w:jc w:val="center"/>
              <w:textAlignment w:val="baseline"/>
              <w:rPr>
                <w:rFonts w:eastAsia="Calibri" w:cs="Calibri"/>
                <w:color w:val="000000"/>
                <w:sz w:val="18"/>
                <w:szCs w:val="18"/>
                <w:lang w:eastAsia="en-US"/>
              </w:rPr>
            </w:pPr>
            <w:r w:rsidRPr="00843DA3">
              <w:rPr>
                <w:rFonts w:eastAsia="Calibri" w:cs="Calibri"/>
                <w:color w:val="000000"/>
                <w:sz w:val="18"/>
                <w:szCs w:val="18"/>
                <w:lang w:eastAsia="en-US"/>
              </w:rPr>
              <w:t>$14,87</w:t>
            </w:r>
          </w:p>
          <w:p w14:paraId="286A5259" w14:textId="1D7B69ED" w:rsidR="00A75354" w:rsidRPr="00843DA3" w:rsidRDefault="00A75354" w:rsidP="00A75354">
            <w:pPr>
              <w:spacing w:after="0" w:line="240" w:lineRule="auto"/>
              <w:jc w:val="center"/>
              <w:textAlignment w:val="baseline"/>
              <w:rPr>
                <w:rFonts w:eastAsia="Calibri" w:cs="Calibri"/>
                <w:color w:val="000000"/>
                <w:sz w:val="18"/>
                <w:szCs w:val="18"/>
                <w:lang w:eastAsia="en-US"/>
              </w:rPr>
            </w:pPr>
            <w:r w:rsidRPr="00843DA3">
              <w:rPr>
                <w:rFonts w:eastAsia="Calibri" w:cs="Calibri"/>
                <w:color w:val="000000"/>
                <w:sz w:val="18"/>
                <w:szCs w:val="18"/>
                <w:lang w:eastAsia="en-US"/>
              </w:rPr>
              <w:t>9</w:t>
            </w:r>
          </w:p>
        </w:tc>
        <w:tc>
          <w:tcPr>
            <w:tcW w:w="1428" w:type="dxa"/>
            <w:tcBorders>
              <w:top w:val="nil"/>
              <w:left w:val="nil"/>
              <w:bottom w:val="single" w:sz="8" w:space="0" w:color="auto"/>
              <w:right w:val="single" w:sz="8" w:space="0" w:color="auto"/>
            </w:tcBorders>
            <w:shd w:val="clear" w:color="auto" w:fill="E6FAF8"/>
            <w:vAlign w:val="center"/>
          </w:tcPr>
          <w:p w14:paraId="11E5F6CD" w14:textId="1820DE8B" w:rsidR="00A75354" w:rsidRPr="00843DA3" w:rsidRDefault="00A75354" w:rsidP="00A75354">
            <w:pPr>
              <w:spacing w:after="0" w:line="240" w:lineRule="auto"/>
              <w:jc w:val="center"/>
              <w:textAlignment w:val="baseline"/>
              <w:rPr>
                <w:rFonts w:eastAsia="Calibri" w:cs="Arial"/>
                <w:sz w:val="18"/>
                <w:szCs w:val="18"/>
                <w:lang w:val="en-US" w:eastAsia="en-US"/>
              </w:rPr>
            </w:pPr>
            <w:r w:rsidRPr="00843DA3">
              <w:rPr>
                <w:rFonts w:eastAsia="Calibri" w:cs="Arial"/>
                <w:sz w:val="18"/>
                <w:szCs w:val="18"/>
                <w:lang w:val="en-US" w:eastAsia="en-US"/>
              </w:rPr>
              <w:t>$12,097</w:t>
            </w:r>
          </w:p>
        </w:tc>
      </w:tr>
      <w:tr w:rsidR="00A75354" w:rsidRPr="00B6541B" w14:paraId="4A8A7098" w14:textId="77777777" w:rsidTr="004372B8">
        <w:trPr>
          <w:trHeight w:val="518"/>
        </w:trPr>
        <w:tc>
          <w:tcPr>
            <w:tcW w:w="841" w:type="dxa"/>
            <w:tcBorders>
              <w:top w:val="nil"/>
              <w:left w:val="single" w:sz="8" w:space="0" w:color="auto"/>
              <w:bottom w:val="single" w:sz="8" w:space="0" w:color="auto"/>
              <w:right w:val="single" w:sz="4" w:space="0" w:color="auto"/>
            </w:tcBorders>
            <w:shd w:val="clear" w:color="auto" w:fill="F2F2F2"/>
            <w:vAlign w:val="center"/>
            <w:hideMark/>
          </w:tcPr>
          <w:p w14:paraId="17366C31"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Tier 2</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1DE159DC"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Up to $80,000 </w:t>
            </w:r>
          </w:p>
        </w:tc>
        <w:tc>
          <w:tcPr>
            <w:tcW w:w="1327" w:type="dxa"/>
            <w:tcBorders>
              <w:top w:val="single" w:sz="8" w:space="0" w:color="auto"/>
              <w:left w:val="single" w:sz="4" w:space="0" w:color="auto"/>
              <w:bottom w:val="single" w:sz="8" w:space="0" w:color="auto"/>
              <w:right w:val="single" w:sz="4" w:space="0" w:color="auto"/>
            </w:tcBorders>
            <w:shd w:val="clear" w:color="auto" w:fill="E8E0F3" w:themeFill="accent2" w:themeFillTint="1A"/>
            <w:vAlign w:val="center"/>
          </w:tcPr>
          <w:p w14:paraId="69412064"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2</w:t>
            </w:r>
            <w:r w:rsidRPr="00A3430B">
              <w:rPr>
                <w:rFonts w:eastAsia="Calibri" w:cs="Calibri"/>
                <w:sz w:val="18"/>
                <w:szCs w:val="18"/>
                <w:lang w:eastAsia="en-AU"/>
              </w:rPr>
              <w:t>061</w:t>
            </w:r>
          </w:p>
        </w:tc>
        <w:tc>
          <w:tcPr>
            <w:tcW w:w="1239" w:type="dxa"/>
            <w:tcBorders>
              <w:top w:val="nil"/>
              <w:left w:val="single" w:sz="4" w:space="0" w:color="auto"/>
              <w:bottom w:val="single" w:sz="8" w:space="0" w:color="auto"/>
              <w:right w:val="single" w:sz="4" w:space="0" w:color="auto"/>
            </w:tcBorders>
            <w:shd w:val="clear" w:color="auto" w:fill="E8E0F3" w:themeFill="accent2" w:themeFillTint="1A"/>
            <w:vAlign w:val="center"/>
          </w:tcPr>
          <w:p w14:paraId="02848382"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$155,000</w:t>
            </w:r>
          </w:p>
        </w:tc>
        <w:tc>
          <w:tcPr>
            <w:tcW w:w="1261" w:type="dxa"/>
            <w:tcBorders>
              <w:top w:val="nil"/>
              <w:left w:val="single" w:sz="4" w:space="0" w:color="auto"/>
              <w:bottom w:val="single" w:sz="8" w:space="0" w:color="auto"/>
              <w:right w:val="single" w:sz="4" w:space="0" w:color="auto"/>
            </w:tcBorders>
            <w:shd w:val="clear" w:color="auto" w:fill="E8E0F3" w:themeFill="accent2" w:themeFillTint="1A"/>
            <w:vAlign w:val="center"/>
          </w:tcPr>
          <w:p w14:paraId="30B5CA46"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$56,000</w:t>
            </w:r>
          </w:p>
        </w:tc>
        <w:tc>
          <w:tcPr>
            <w:tcW w:w="1276" w:type="dxa"/>
            <w:tcBorders>
              <w:top w:val="nil"/>
              <w:left w:val="nil"/>
              <w:bottom w:val="single" w:sz="8" w:space="0" w:color="auto"/>
              <w:right w:val="single" w:sz="8" w:space="0" w:color="auto"/>
            </w:tcBorders>
            <w:shd w:val="clear" w:color="auto" w:fill="E6FAF8"/>
            <w:vAlign w:val="center"/>
            <w:hideMark/>
          </w:tcPr>
          <w:p w14:paraId="491DB42D"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Up to $24,600 </w:t>
            </w:r>
          </w:p>
        </w:tc>
        <w:tc>
          <w:tcPr>
            <w:tcW w:w="1417" w:type="dxa"/>
            <w:tcBorders>
              <w:top w:val="nil"/>
              <w:left w:val="nil"/>
              <w:bottom w:val="single" w:sz="8" w:space="0" w:color="auto"/>
              <w:right w:val="single" w:sz="8" w:space="0" w:color="auto"/>
            </w:tcBorders>
            <w:shd w:val="clear" w:color="auto" w:fill="E6FAF8"/>
            <w:vAlign w:val="center"/>
            <w:hideMark/>
          </w:tcPr>
          <w:p w14:paraId="1395FD8A" w14:textId="77777777" w:rsidR="00A75354" w:rsidRPr="00A3430B" w:rsidRDefault="00A75354" w:rsidP="00A75354">
            <w:pPr>
              <w:spacing w:after="0" w:line="240" w:lineRule="auto"/>
              <w:jc w:val="center"/>
              <w:textAlignment w:val="baseline"/>
              <w:rPr>
                <w:rFonts w:eastAsia="Calibri" w:cs="Calibri"/>
                <w:color w:val="000000"/>
                <w:sz w:val="18"/>
                <w:szCs w:val="18"/>
                <w:lang w:eastAsia="en-US"/>
              </w:rPr>
            </w:pPr>
            <w:r w:rsidRPr="00A3430B">
              <w:rPr>
                <w:rFonts w:eastAsia="Calibri" w:cs="Calibri"/>
                <w:color w:val="000000"/>
                <w:sz w:val="18"/>
                <w:szCs w:val="18"/>
                <w:lang w:eastAsia="en-US"/>
              </w:rPr>
              <w:t>$23,616</w:t>
            </w:r>
          </w:p>
        </w:tc>
        <w:tc>
          <w:tcPr>
            <w:tcW w:w="1428" w:type="dxa"/>
            <w:tcBorders>
              <w:top w:val="nil"/>
              <w:left w:val="nil"/>
              <w:bottom w:val="single" w:sz="8" w:space="0" w:color="auto"/>
              <w:right w:val="single" w:sz="8" w:space="0" w:color="auto"/>
            </w:tcBorders>
            <w:shd w:val="clear" w:color="auto" w:fill="E6FAF8"/>
            <w:vAlign w:val="center"/>
            <w:hideMark/>
          </w:tcPr>
          <w:p w14:paraId="7C2C4CC7"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Arial"/>
                <w:sz w:val="18"/>
                <w:szCs w:val="18"/>
                <w:lang w:val="en-US" w:eastAsia="en-US"/>
              </w:rPr>
              <w:t>$17,901</w:t>
            </w:r>
          </w:p>
        </w:tc>
      </w:tr>
      <w:tr w:rsidR="00A75354" w:rsidRPr="00B6541B" w14:paraId="2F6DF3CC" w14:textId="77777777" w:rsidTr="004372B8">
        <w:trPr>
          <w:trHeight w:val="532"/>
        </w:trPr>
        <w:tc>
          <w:tcPr>
            <w:tcW w:w="841" w:type="dxa"/>
            <w:tcBorders>
              <w:top w:val="nil"/>
              <w:left w:val="single" w:sz="8" w:space="0" w:color="auto"/>
              <w:bottom w:val="single" w:sz="8" w:space="0" w:color="auto"/>
              <w:right w:val="single" w:sz="4" w:space="0" w:color="auto"/>
            </w:tcBorders>
            <w:shd w:val="clear" w:color="auto" w:fill="F2F2F2"/>
            <w:vAlign w:val="center"/>
            <w:hideMark/>
          </w:tcPr>
          <w:p w14:paraId="3C0E4C43" w14:textId="77A588B9"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Tier 3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0B908667"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Up to $150,000 </w:t>
            </w:r>
          </w:p>
        </w:tc>
        <w:tc>
          <w:tcPr>
            <w:tcW w:w="1327" w:type="dxa"/>
            <w:tcBorders>
              <w:top w:val="single" w:sz="8" w:space="0" w:color="auto"/>
              <w:left w:val="single" w:sz="4" w:space="0" w:color="auto"/>
              <w:bottom w:val="single" w:sz="8" w:space="0" w:color="auto"/>
              <w:right w:val="single" w:sz="4" w:space="0" w:color="auto"/>
            </w:tcBorders>
            <w:shd w:val="clear" w:color="auto" w:fill="E8E0F3" w:themeFill="accent2" w:themeFillTint="1A"/>
            <w:vAlign w:val="center"/>
          </w:tcPr>
          <w:p w14:paraId="4280CBA6"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2291</w:t>
            </w:r>
          </w:p>
        </w:tc>
        <w:tc>
          <w:tcPr>
            <w:tcW w:w="1239" w:type="dxa"/>
            <w:tcBorders>
              <w:top w:val="nil"/>
              <w:left w:val="single" w:sz="4" w:space="0" w:color="auto"/>
              <w:bottom w:val="single" w:sz="8" w:space="0" w:color="auto"/>
              <w:right w:val="single" w:sz="4" w:space="0" w:color="auto"/>
            </w:tcBorders>
            <w:shd w:val="clear" w:color="auto" w:fill="E8E0F3" w:themeFill="accent2" w:themeFillTint="1A"/>
            <w:vAlign w:val="center"/>
          </w:tcPr>
          <w:p w14:paraId="62117BEA"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$422,000</w:t>
            </w:r>
          </w:p>
        </w:tc>
        <w:tc>
          <w:tcPr>
            <w:tcW w:w="1261" w:type="dxa"/>
            <w:tcBorders>
              <w:top w:val="nil"/>
              <w:left w:val="single" w:sz="4" w:space="0" w:color="auto"/>
              <w:bottom w:val="single" w:sz="8" w:space="0" w:color="auto"/>
              <w:right w:val="single" w:sz="4" w:space="0" w:color="auto"/>
            </w:tcBorders>
            <w:shd w:val="clear" w:color="auto" w:fill="E8E0F3" w:themeFill="accent2" w:themeFillTint="1A"/>
            <w:vAlign w:val="center"/>
          </w:tcPr>
          <w:p w14:paraId="53CBAD54"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$123,000</w:t>
            </w:r>
          </w:p>
        </w:tc>
        <w:tc>
          <w:tcPr>
            <w:tcW w:w="1276" w:type="dxa"/>
            <w:tcBorders>
              <w:top w:val="nil"/>
              <w:left w:val="nil"/>
              <w:bottom w:val="single" w:sz="8" w:space="0" w:color="auto"/>
              <w:right w:val="single" w:sz="8" w:space="0" w:color="auto"/>
            </w:tcBorders>
            <w:shd w:val="clear" w:color="auto" w:fill="E6FAF8"/>
            <w:vAlign w:val="center"/>
            <w:hideMark/>
          </w:tcPr>
          <w:p w14:paraId="47C549E1"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Up to $36,600 </w:t>
            </w:r>
          </w:p>
        </w:tc>
        <w:tc>
          <w:tcPr>
            <w:tcW w:w="1417" w:type="dxa"/>
            <w:tcBorders>
              <w:top w:val="nil"/>
              <w:left w:val="nil"/>
              <w:bottom w:val="single" w:sz="8" w:space="0" w:color="auto"/>
              <w:right w:val="single" w:sz="8" w:space="0" w:color="auto"/>
            </w:tcBorders>
            <w:shd w:val="clear" w:color="auto" w:fill="E6FAF8"/>
            <w:vAlign w:val="center"/>
            <w:hideMark/>
          </w:tcPr>
          <w:p w14:paraId="76B018D2" w14:textId="77777777" w:rsidR="00A75354" w:rsidRPr="00A3430B" w:rsidRDefault="00A75354" w:rsidP="00A75354">
            <w:pPr>
              <w:spacing w:after="0" w:line="240" w:lineRule="auto"/>
              <w:jc w:val="center"/>
              <w:textAlignment w:val="baseline"/>
              <w:rPr>
                <w:rFonts w:eastAsia="Calibri" w:cs="Calibri"/>
                <w:color w:val="000000"/>
                <w:sz w:val="18"/>
                <w:szCs w:val="18"/>
                <w:lang w:eastAsia="en-US"/>
              </w:rPr>
            </w:pPr>
            <w:r w:rsidRPr="00A3430B">
              <w:rPr>
                <w:rFonts w:eastAsia="Calibri" w:cs="Calibri"/>
                <w:color w:val="000000"/>
                <w:sz w:val="18"/>
                <w:szCs w:val="18"/>
                <w:lang w:eastAsia="en-US"/>
              </w:rPr>
              <w:t>$36,396</w:t>
            </w:r>
          </w:p>
        </w:tc>
        <w:tc>
          <w:tcPr>
            <w:tcW w:w="1428" w:type="dxa"/>
            <w:tcBorders>
              <w:top w:val="nil"/>
              <w:left w:val="nil"/>
              <w:bottom w:val="single" w:sz="8" w:space="0" w:color="auto"/>
              <w:right w:val="single" w:sz="8" w:space="0" w:color="auto"/>
            </w:tcBorders>
            <w:shd w:val="clear" w:color="auto" w:fill="E6FAF8"/>
            <w:vAlign w:val="center"/>
            <w:hideMark/>
          </w:tcPr>
          <w:p w14:paraId="5CB5398E"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Arial"/>
                <w:sz w:val="18"/>
                <w:szCs w:val="18"/>
                <w:lang w:val="en-US" w:eastAsia="en-US"/>
              </w:rPr>
              <w:t>$31,505</w:t>
            </w:r>
          </w:p>
        </w:tc>
      </w:tr>
      <w:tr w:rsidR="00A75354" w:rsidRPr="00B6541B" w14:paraId="4DFE01D5" w14:textId="77777777" w:rsidTr="004372B8">
        <w:trPr>
          <w:trHeight w:val="518"/>
        </w:trPr>
        <w:tc>
          <w:tcPr>
            <w:tcW w:w="841" w:type="dxa"/>
            <w:tcBorders>
              <w:top w:val="nil"/>
              <w:left w:val="single" w:sz="8" w:space="0" w:color="auto"/>
              <w:bottom w:val="single" w:sz="8" w:space="0" w:color="auto"/>
              <w:right w:val="single" w:sz="4" w:space="0" w:color="auto"/>
            </w:tcBorders>
            <w:shd w:val="clear" w:color="auto" w:fill="F2F2F2"/>
            <w:vAlign w:val="center"/>
            <w:hideMark/>
          </w:tcPr>
          <w:p w14:paraId="282EB293" w14:textId="247B1905"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Rep Bodies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2858699"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Up to $150,000 </w:t>
            </w:r>
          </w:p>
        </w:tc>
        <w:tc>
          <w:tcPr>
            <w:tcW w:w="1327" w:type="dxa"/>
            <w:tcBorders>
              <w:top w:val="single" w:sz="8" w:space="0" w:color="auto"/>
              <w:left w:val="single" w:sz="4" w:space="0" w:color="auto"/>
              <w:bottom w:val="single" w:sz="8" w:space="0" w:color="auto"/>
              <w:right w:val="single" w:sz="4" w:space="0" w:color="auto"/>
            </w:tcBorders>
            <w:shd w:val="clear" w:color="auto" w:fill="E8E0F3" w:themeFill="accent2" w:themeFillTint="1A"/>
            <w:vAlign w:val="center"/>
          </w:tcPr>
          <w:p w14:paraId="77896336"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87</w:t>
            </w:r>
          </w:p>
        </w:tc>
        <w:tc>
          <w:tcPr>
            <w:tcW w:w="1239" w:type="dxa"/>
            <w:tcBorders>
              <w:top w:val="nil"/>
              <w:left w:val="single" w:sz="4" w:space="0" w:color="auto"/>
              <w:bottom w:val="single" w:sz="8" w:space="0" w:color="auto"/>
              <w:right w:val="single" w:sz="4" w:space="0" w:color="auto"/>
            </w:tcBorders>
            <w:shd w:val="clear" w:color="auto" w:fill="E8E0F3" w:themeFill="accent2" w:themeFillTint="1A"/>
            <w:vAlign w:val="center"/>
          </w:tcPr>
          <w:p w14:paraId="6CB00154"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$371,000</w:t>
            </w:r>
          </w:p>
        </w:tc>
        <w:tc>
          <w:tcPr>
            <w:tcW w:w="1261" w:type="dxa"/>
            <w:tcBorders>
              <w:top w:val="nil"/>
              <w:left w:val="single" w:sz="4" w:space="0" w:color="auto"/>
              <w:bottom w:val="single" w:sz="8" w:space="0" w:color="auto"/>
              <w:right w:val="single" w:sz="4" w:space="0" w:color="auto"/>
            </w:tcBorders>
            <w:shd w:val="clear" w:color="auto" w:fill="E8E0F3" w:themeFill="accent2" w:themeFillTint="1A"/>
            <w:vAlign w:val="center"/>
          </w:tcPr>
          <w:p w14:paraId="372FF751"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$90,000</w:t>
            </w:r>
          </w:p>
        </w:tc>
        <w:tc>
          <w:tcPr>
            <w:tcW w:w="1276" w:type="dxa"/>
            <w:tcBorders>
              <w:top w:val="nil"/>
              <w:left w:val="nil"/>
              <w:bottom w:val="single" w:sz="8" w:space="0" w:color="auto"/>
              <w:right w:val="single" w:sz="8" w:space="0" w:color="auto"/>
            </w:tcBorders>
            <w:shd w:val="clear" w:color="auto" w:fill="E6FAF8"/>
            <w:vAlign w:val="center"/>
            <w:hideMark/>
          </w:tcPr>
          <w:p w14:paraId="462FA562"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Calibri"/>
                <w:color w:val="000000"/>
                <w:sz w:val="18"/>
                <w:szCs w:val="18"/>
                <w:lang w:eastAsia="en-AU"/>
              </w:rPr>
              <w:t> Up to $90,000 </w:t>
            </w:r>
          </w:p>
        </w:tc>
        <w:tc>
          <w:tcPr>
            <w:tcW w:w="1417" w:type="dxa"/>
            <w:tcBorders>
              <w:top w:val="nil"/>
              <w:left w:val="nil"/>
              <w:bottom w:val="single" w:sz="8" w:space="0" w:color="auto"/>
              <w:right w:val="single" w:sz="8" w:space="0" w:color="auto"/>
            </w:tcBorders>
            <w:shd w:val="clear" w:color="auto" w:fill="E6FAF8"/>
            <w:vAlign w:val="center"/>
            <w:hideMark/>
          </w:tcPr>
          <w:p w14:paraId="2CE87AF7" w14:textId="77777777" w:rsidR="00A75354" w:rsidRPr="00A3430B" w:rsidRDefault="00A75354" w:rsidP="00A75354">
            <w:pPr>
              <w:spacing w:after="0" w:line="240" w:lineRule="auto"/>
              <w:jc w:val="center"/>
              <w:textAlignment w:val="baseline"/>
              <w:rPr>
                <w:rFonts w:eastAsia="Calibri" w:cs="Calibri"/>
                <w:color w:val="000000"/>
                <w:sz w:val="18"/>
                <w:szCs w:val="18"/>
                <w:lang w:eastAsia="en-US"/>
              </w:rPr>
            </w:pPr>
            <w:r w:rsidRPr="00A3430B">
              <w:rPr>
                <w:rFonts w:eastAsia="Calibri" w:cs="Calibri"/>
                <w:color w:val="000000"/>
                <w:sz w:val="18"/>
                <w:szCs w:val="18"/>
                <w:lang w:eastAsia="en-US"/>
              </w:rPr>
              <w:t>$69,906</w:t>
            </w:r>
          </w:p>
        </w:tc>
        <w:tc>
          <w:tcPr>
            <w:tcW w:w="1428" w:type="dxa"/>
            <w:tcBorders>
              <w:top w:val="nil"/>
              <w:left w:val="nil"/>
              <w:bottom w:val="single" w:sz="8" w:space="0" w:color="auto"/>
              <w:right w:val="single" w:sz="8" w:space="0" w:color="auto"/>
            </w:tcBorders>
            <w:shd w:val="clear" w:color="auto" w:fill="E6FAF8"/>
            <w:vAlign w:val="center"/>
            <w:hideMark/>
          </w:tcPr>
          <w:p w14:paraId="6DC231D1" w14:textId="77777777" w:rsidR="00A75354" w:rsidRPr="00A3430B" w:rsidRDefault="00A75354" w:rsidP="00A75354">
            <w:pPr>
              <w:spacing w:after="0" w:line="240" w:lineRule="auto"/>
              <w:jc w:val="center"/>
              <w:textAlignment w:val="baseline"/>
              <w:rPr>
                <w:rFonts w:eastAsia="Calibri" w:cs="Calibri"/>
                <w:color w:val="000000"/>
                <w:sz w:val="18"/>
                <w:szCs w:val="18"/>
                <w:lang w:eastAsia="en-AU"/>
              </w:rPr>
            </w:pPr>
            <w:r w:rsidRPr="00A3430B">
              <w:rPr>
                <w:rFonts w:eastAsia="Calibri" w:cs="Arial"/>
                <w:sz w:val="18"/>
                <w:szCs w:val="18"/>
                <w:lang w:val="en-US" w:eastAsia="en-US"/>
              </w:rPr>
              <w:t>$51,038</w:t>
            </w:r>
          </w:p>
        </w:tc>
      </w:tr>
    </w:tbl>
    <w:p w14:paraId="4D6BAC60" w14:textId="3B337DF6" w:rsidR="00A0613F" w:rsidRPr="001D3E93" w:rsidRDefault="00A0613F" w:rsidP="00A0613F">
      <w:pPr>
        <w:spacing w:after="0" w:line="240" w:lineRule="auto"/>
        <w:rPr>
          <w:rFonts w:ascii="Verdana" w:eastAsia="Verdana" w:hAnsi="Verdana" w:cs="Verdana"/>
          <w:iCs/>
          <w:color w:val="000000"/>
          <w:lang w:val="en-US" w:eastAsia="en-US"/>
        </w:rPr>
      </w:pPr>
      <w:r w:rsidRPr="001D3E93">
        <w:rPr>
          <w:rFonts w:ascii="Verdana" w:eastAsia="Verdana" w:hAnsi="Verdana" w:cs="Verdana"/>
          <w:iCs/>
          <w:color w:val="000000"/>
          <w:lang w:val="en-US" w:eastAsia="en-US"/>
        </w:rPr>
        <w:t>*Round 1 milestone reports are still being assessed, so these numbers will likely change.</w:t>
      </w:r>
    </w:p>
    <w:p w14:paraId="36C0B7BE" w14:textId="77777777" w:rsidR="00A0613F" w:rsidRPr="001D3E93" w:rsidRDefault="00A0613F" w:rsidP="00A0613F">
      <w:pPr>
        <w:spacing w:after="0" w:line="240" w:lineRule="auto"/>
        <w:rPr>
          <w:rFonts w:ascii="Calibri" w:eastAsia="Verdana" w:hAnsi="Calibri" w:cs="Calibri"/>
          <w:iCs/>
          <w:color w:val="000000"/>
          <w:sz w:val="24"/>
          <w:szCs w:val="24"/>
          <w:lang w:val="en-US" w:eastAsia="en-US"/>
        </w:rPr>
      </w:pPr>
    </w:p>
    <w:p w14:paraId="657A4EFA" w14:textId="46257C0F" w:rsidR="00A0613F" w:rsidRPr="001D3E93" w:rsidRDefault="00A0613F" w:rsidP="005321D6">
      <w:pPr>
        <w:spacing w:after="160" w:line="259" w:lineRule="auto"/>
        <w:rPr>
          <w:rFonts w:ascii="Verdana" w:eastAsia="Verdana" w:hAnsi="Verdana" w:cs="Calibri"/>
          <w:color w:val="000000"/>
          <w:lang w:val="en-US" w:eastAsia="en-US"/>
        </w:rPr>
      </w:pPr>
      <w:r w:rsidRPr="001D3E93">
        <w:rPr>
          <w:rFonts w:ascii="Verdana" w:eastAsia="Verdana" w:hAnsi="Verdana" w:cs="Calibri"/>
          <w:color w:val="000000"/>
          <w:lang w:val="en-US" w:eastAsia="en-US"/>
        </w:rPr>
        <w:t xml:space="preserve">On examining historical data, the grant amounts in </w:t>
      </w:r>
      <w:r w:rsidRPr="001D3E93">
        <w:rPr>
          <w:rFonts w:ascii="Verdana" w:eastAsia="Verdana" w:hAnsi="Verdana" w:cs="Arial"/>
          <w:color w:val="000000"/>
          <w:lang w:val="en-US" w:eastAsia="en-US"/>
        </w:rPr>
        <w:t>Round 1</w:t>
      </w:r>
      <w:r w:rsidRPr="001D3E93">
        <w:rPr>
          <w:rFonts w:ascii="Verdana" w:eastAsia="Verdana" w:hAnsi="Verdana" w:cs="Calibri"/>
          <w:color w:val="000000"/>
          <w:lang w:val="en-US" w:eastAsia="en-US"/>
        </w:rPr>
        <w:t xml:space="preserve"> are not significantly different from past EMDG rounds. From 2011-</w:t>
      </w:r>
      <w:r w:rsidR="00611A68" w:rsidRPr="001D3E93">
        <w:rPr>
          <w:rFonts w:ascii="Verdana" w:eastAsia="Verdana" w:hAnsi="Verdana" w:cs="Calibri"/>
          <w:color w:val="000000"/>
          <w:lang w:val="en-US" w:eastAsia="en-US"/>
        </w:rPr>
        <w:t>20</w:t>
      </w:r>
      <w:r w:rsidRPr="001D3E93">
        <w:rPr>
          <w:rFonts w:ascii="Verdana" w:eastAsia="Verdana" w:hAnsi="Verdana" w:cs="Calibri"/>
          <w:color w:val="000000"/>
          <w:lang w:val="en-US" w:eastAsia="en-US"/>
        </w:rPr>
        <w:t>12 to 2020-</w:t>
      </w:r>
      <w:r w:rsidR="00611A68" w:rsidRPr="001D3E93">
        <w:rPr>
          <w:rFonts w:ascii="Verdana" w:eastAsia="Verdana" w:hAnsi="Verdana" w:cs="Calibri"/>
          <w:color w:val="000000"/>
          <w:lang w:val="en-US" w:eastAsia="en-US"/>
        </w:rPr>
        <w:t>20</w:t>
      </w:r>
      <w:r w:rsidRPr="001D3E93">
        <w:rPr>
          <w:rFonts w:ascii="Verdana" w:eastAsia="Verdana" w:hAnsi="Verdana" w:cs="Calibri"/>
          <w:color w:val="000000"/>
          <w:lang w:val="en-US" w:eastAsia="en-US"/>
        </w:rPr>
        <w:t>21, 56 per cent of reimbursement amounts were under $40,000 (70 per cent under $60,000 and 84 per cent under $100,000)</w:t>
      </w:r>
      <w:r w:rsidRPr="001D3E93">
        <w:rPr>
          <w:rFonts w:ascii="Verdana" w:eastAsia="Verdana" w:hAnsi="Verdana" w:cs="Verdana"/>
          <w:color w:val="000000"/>
          <w:lang w:val="en-US" w:eastAsia="en-US"/>
        </w:rPr>
        <w:t>.</w:t>
      </w:r>
      <w:r w:rsidRPr="001D3E93">
        <w:rPr>
          <w:rFonts w:ascii="Verdana" w:eastAsia="Verdana" w:hAnsi="Verdana" w:cs="Calibri"/>
          <w:color w:val="000000"/>
          <w:lang w:val="en-US" w:eastAsia="en-US"/>
        </w:rPr>
        <w:t xml:space="preserve"> Table 6 shows the distribution of reimbursement amounts awarded under EMDG 1.0 between the 2011-</w:t>
      </w:r>
      <w:r w:rsidR="00E912A4" w:rsidRPr="001D3E93">
        <w:rPr>
          <w:rFonts w:ascii="Verdana" w:eastAsia="Verdana" w:hAnsi="Verdana" w:cs="Calibri"/>
          <w:color w:val="000000"/>
          <w:lang w:val="en-US" w:eastAsia="en-US"/>
        </w:rPr>
        <w:t>20</w:t>
      </w:r>
      <w:r w:rsidRPr="001D3E93">
        <w:rPr>
          <w:rFonts w:ascii="Verdana" w:eastAsia="Verdana" w:hAnsi="Verdana" w:cs="Calibri"/>
          <w:color w:val="000000"/>
          <w:lang w:val="en-US" w:eastAsia="en-US"/>
        </w:rPr>
        <w:t>12 to 2020-</w:t>
      </w:r>
      <w:r w:rsidR="00E912A4" w:rsidRPr="001D3E93">
        <w:rPr>
          <w:rFonts w:ascii="Verdana" w:eastAsia="Verdana" w:hAnsi="Verdana" w:cs="Calibri"/>
          <w:color w:val="000000"/>
          <w:lang w:val="en-US" w:eastAsia="en-US"/>
        </w:rPr>
        <w:t>20</w:t>
      </w:r>
      <w:r w:rsidRPr="001D3E93">
        <w:rPr>
          <w:rFonts w:ascii="Verdana" w:eastAsia="Verdana" w:hAnsi="Verdana" w:cs="Calibri"/>
          <w:color w:val="000000"/>
          <w:lang w:val="en-US" w:eastAsia="en-US"/>
        </w:rPr>
        <w:t xml:space="preserve">21 financial year. Table 7 shows the average amounts for each financial year. </w:t>
      </w:r>
    </w:p>
    <w:p w14:paraId="271520F2" w14:textId="7961BACD" w:rsidR="00BE4653" w:rsidRPr="001D3E93" w:rsidRDefault="00BE4653" w:rsidP="005321D6">
      <w:pPr>
        <w:spacing w:after="160" w:line="259" w:lineRule="auto"/>
        <w:rPr>
          <w:rFonts w:ascii="Verdana" w:eastAsia="Verdana" w:hAnsi="Verdana" w:cs="Verdana"/>
          <w:color w:val="000000"/>
          <w:lang w:val="en-US" w:eastAsia="en-US"/>
        </w:rPr>
      </w:pPr>
    </w:p>
    <w:p w14:paraId="35483A44" w14:textId="77777777" w:rsidR="003870F8" w:rsidRPr="001D3E93" w:rsidRDefault="003870F8" w:rsidP="005321D6">
      <w:pPr>
        <w:spacing w:after="160" w:line="259" w:lineRule="auto"/>
        <w:rPr>
          <w:rFonts w:ascii="Verdana" w:eastAsia="Verdana" w:hAnsi="Verdana" w:cs="Verdana"/>
          <w:color w:val="000000"/>
          <w:lang w:val="en-US" w:eastAsia="en-US"/>
        </w:rPr>
      </w:pPr>
    </w:p>
    <w:p w14:paraId="2034BC8A" w14:textId="77777777" w:rsidR="00A0613F" w:rsidRPr="001D3E93" w:rsidRDefault="00A0613F" w:rsidP="005321D6">
      <w:pPr>
        <w:pStyle w:val="Heading4"/>
        <w:rPr>
          <w:b w:val="0"/>
          <w:bCs w:val="0"/>
        </w:rPr>
      </w:pPr>
      <w:r w:rsidRPr="001D3E93">
        <w:rPr>
          <w:b w:val="0"/>
          <w:bCs w:val="0"/>
        </w:rPr>
        <w:t>Table 6: EMDG 1.0 Distribution of Grants 2011-12 to 2020-21, by average value</w:t>
      </w:r>
    </w:p>
    <w:tbl>
      <w:tblPr>
        <w:tblStyle w:val="GridTable2-Accent11"/>
        <w:tblpPr w:leftFromText="180" w:rightFromText="180" w:vertAnchor="text" w:horzAnchor="margin" w:tblpY="116"/>
        <w:tblW w:w="5307" w:type="dxa"/>
        <w:tblLook w:val="04A0" w:firstRow="1" w:lastRow="0" w:firstColumn="1" w:lastColumn="0" w:noHBand="0" w:noVBand="1"/>
        <w:tblCaption w:val="Table 6: EMDG 1.0 Distribution of Grants 2011-12 to 2020-21, by average value"/>
      </w:tblPr>
      <w:tblGrid>
        <w:gridCol w:w="1607"/>
        <w:gridCol w:w="1617"/>
        <w:gridCol w:w="2083"/>
      </w:tblGrid>
      <w:tr w:rsidR="00A0613F" w:rsidRPr="001D3E93" w14:paraId="2B74056B" w14:textId="77777777" w:rsidTr="00B97BFE">
        <w:trPr>
          <w:cnfStyle w:val="100000000000" w:firstRow="1" w:lastRow="0" w:firstColumn="0" w:lastColumn="0" w:oddVBand="0" w:evenVBand="0" w:oddHBand="0" w:evenHBand="0" w:firstRowFirstColumn="0" w:firstRowLastColumn="0" w:lastRowFirstColumn="0" w:lastRowLastColumn="0"/>
          <w:trHeight w:val="374"/>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412564" w:themeFill="text2" w:themeFillTint="E6"/>
            <w:noWrap/>
            <w:hideMark/>
          </w:tcPr>
          <w:p w14:paraId="2231CD4E" w14:textId="77777777" w:rsidR="00A0613F" w:rsidRPr="001D3E93" w:rsidRDefault="00A0613F" w:rsidP="0059425E">
            <w:pPr>
              <w:rPr>
                <w:rFonts w:ascii="Verdana" w:eastAsia="Times New Roman" w:hAnsi="Verdana" w:cs="Calibri"/>
                <w:b w:val="0"/>
                <w:bCs w:val="0"/>
                <w:color w:val="FFFFFF"/>
                <w:lang w:eastAsia="en-AU"/>
              </w:rPr>
            </w:pPr>
            <w:r w:rsidRPr="001D3E93">
              <w:rPr>
                <w:rFonts w:ascii="Verdana" w:eastAsia="Times New Roman" w:hAnsi="Verdana" w:cs="Calibri"/>
                <w:b w:val="0"/>
                <w:bCs w:val="0"/>
                <w:color w:val="FFFFFF"/>
                <w:lang w:eastAsia="en-AU"/>
              </w:rPr>
              <w:t>Grant Amount</w:t>
            </w:r>
          </w:p>
        </w:tc>
        <w:tc>
          <w:tcPr>
            <w:tcW w:w="0" w:type="dxa"/>
            <w:shd w:val="clear" w:color="auto" w:fill="412564" w:themeFill="text2" w:themeFillTint="E6"/>
            <w:noWrap/>
            <w:hideMark/>
          </w:tcPr>
          <w:p w14:paraId="6B9DF4A3" w14:textId="36A421CC" w:rsidR="00A0613F" w:rsidRPr="001D3E93" w:rsidRDefault="00A0613F" w:rsidP="00A0613F">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FFFFFF"/>
                <w:lang w:eastAsia="en-AU"/>
              </w:rPr>
            </w:pPr>
            <w:r w:rsidRPr="001D3E93">
              <w:rPr>
                <w:rFonts w:ascii="Verdana" w:eastAsia="Times New Roman" w:hAnsi="Verdana" w:cs="Calibri"/>
                <w:b w:val="0"/>
                <w:bCs w:val="0"/>
                <w:color w:val="FFFFFF"/>
                <w:lang w:eastAsia="en-AU"/>
              </w:rPr>
              <w:t>Number of claims</w:t>
            </w:r>
          </w:p>
        </w:tc>
        <w:tc>
          <w:tcPr>
            <w:tcW w:w="0" w:type="dxa"/>
            <w:shd w:val="clear" w:color="auto" w:fill="412564" w:themeFill="text2" w:themeFillTint="E6"/>
            <w:noWrap/>
            <w:hideMark/>
          </w:tcPr>
          <w:p w14:paraId="25BF001C" w14:textId="51B16846" w:rsidR="00A0613F" w:rsidRPr="001D3E93" w:rsidRDefault="00A0613F" w:rsidP="00A0613F">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FFFFFF"/>
                <w:lang w:eastAsia="en-AU"/>
              </w:rPr>
            </w:pPr>
            <w:r w:rsidRPr="001D3E93">
              <w:rPr>
                <w:rFonts w:ascii="Verdana" w:eastAsia="Times New Roman" w:hAnsi="Verdana" w:cs="Calibri"/>
                <w:b w:val="0"/>
                <w:bCs w:val="0"/>
                <w:color w:val="FFFFFF"/>
                <w:lang w:eastAsia="en-AU"/>
              </w:rPr>
              <w:t>Percentage</w:t>
            </w:r>
          </w:p>
        </w:tc>
      </w:tr>
      <w:tr w:rsidR="00A0613F" w:rsidRPr="001D3E93" w14:paraId="4D7D49AD" w14:textId="77777777" w:rsidTr="00E77BC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dxa"/>
            <w:shd w:val="clear" w:color="auto" w:fill="E8E0F3" w:themeFill="accent2" w:themeFillTint="1A"/>
            <w:noWrap/>
            <w:hideMark/>
          </w:tcPr>
          <w:p w14:paraId="1D00AC25" w14:textId="77777777" w:rsidR="00A0613F" w:rsidRPr="001D3E93" w:rsidRDefault="00A0613F" w:rsidP="00A0613F">
            <w:pPr>
              <w:jc w:val="right"/>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Up to $20k</w:t>
            </w:r>
          </w:p>
        </w:tc>
        <w:tc>
          <w:tcPr>
            <w:tcW w:w="0" w:type="dxa"/>
            <w:shd w:val="clear" w:color="auto" w:fill="E8E0F3" w:themeFill="accent2" w:themeFillTint="1A"/>
            <w:noWrap/>
            <w:hideMark/>
          </w:tcPr>
          <w:p w14:paraId="3DD8CBDA" w14:textId="77777777" w:rsidR="00A0613F" w:rsidRPr="001D3E93" w:rsidRDefault="00A0613F" w:rsidP="00A0613F">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12,801</w:t>
            </w:r>
          </w:p>
        </w:tc>
        <w:tc>
          <w:tcPr>
            <w:tcW w:w="0" w:type="dxa"/>
            <w:shd w:val="clear" w:color="auto" w:fill="E8E0F3" w:themeFill="accent2" w:themeFillTint="1A"/>
            <w:noWrap/>
            <w:hideMark/>
          </w:tcPr>
          <w:p w14:paraId="41113DD1" w14:textId="5DBE2F61" w:rsidR="00A0613F" w:rsidRPr="001D3E93" w:rsidRDefault="00A0613F" w:rsidP="00A0613F">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29 per cent</w:t>
            </w:r>
          </w:p>
        </w:tc>
      </w:tr>
      <w:tr w:rsidR="00A0613F" w:rsidRPr="001D3E93" w14:paraId="5644DC1A" w14:textId="77777777">
        <w:trPr>
          <w:trHeight w:val="374"/>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noWrap/>
            <w:hideMark/>
          </w:tcPr>
          <w:p w14:paraId="5A804804" w14:textId="77777777" w:rsidR="00A0613F" w:rsidRPr="001D3E93" w:rsidRDefault="00A0613F" w:rsidP="00A0613F">
            <w:pPr>
              <w:jc w:val="right"/>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lastRenderedPageBreak/>
              <w:t xml:space="preserve">$20k-$40k </w:t>
            </w:r>
          </w:p>
        </w:tc>
        <w:tc>
          <w:tcPr>
            <w:tcW w:w="1617" w:type="dxa"/>
            <w:shd w:val="clear" w:color="auto" w:fill="auto"/>
            <w:noWrap/>
            <w:hideMark/>
          </w:tcPr>
          <w:p w14:paraId="065796F3" w14:textId="77777777" w:rsidR="00A0613F" w:rsidRPr="001D3E93" w:rsidRDefault="00A0613F" w:rsidP="00A0613F">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11,925</w:t>
            </w:r>
          </w:p>
        </w:tc>
        <w:tc>
          <w:tcPr>
            <w:tcW w:w="2083" w:type="dxa"/>
            <w:shd w:val="clear" w:color="auto" w:fill="auto"/>
            <w:noWrap/>
            <w:hideMark/>
          </w:tcPr>
          <w:p w14:paraId="6946A56B" w14:textId="315668DB" w:rsidR="00A0613F" w:rsidRPr="001D3E93" w:rsidRDefault="00A0613F" w:rsidP="00A0613F">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27 per cent</w:t>
            </w:r>
          </w:p>
        </w:tc>
      </w:tr>
      <w:tr w:rsidR="00A0613F" w:rsidRPr="001D3E93" w14:paraId="07D1999D" w14:textId="77777777" w:rsidTr="00E77BC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dxa"/>
            <w:shd w:val="clear" w:color="auto" w:fill="E8E0F3" w:themeFill="accent2" w:themeFillTint="1A"/>
            <w:noWrap/>
            <w:hideMark/>
          </w:tcPr>
          <w:p w14:paraId="2ABCB04E" w14:textId="77777777" w:rsidR="00A0613F" w:rsidRPr="001D3E93" w:rsidRDefault="00A0613F" w:rsidP="00A0613F">
            <w:pPr>
              <w:jc w:val="right"/>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 xml:space="preserve">$40k-$60k </w:t>
            </w:r>
          </w:p>
        </w:tc>
        <w:tc>
          <w:tcPr>
            <w:tcW w:w="0" w:type="dxa"/>
            <w:shd w:val="clear" w:color="auto" w:fill="E8E0F3" w:themeFill="accent2" w:themeFillTint="1A"/>
            <w:noWrap/>
            <w:hideMark/>
          </w:tcPr>
          <w:p w14:paraId="23C47887" w14:textId="77777777" w:rsidR="00A0613F" w:rsidRPr="001D3E93" w:rsidRDefault="00A0613F" w:rsidP="00A0613F">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6,387</w:t>
            </w:r>
          </w:p>
        </w:tc>
        <w:tc>
          <w:tcPr>
            <w:tcW w:w="0" w:type="dxa"/>
            <w:shd w:val="clear" w:color="auto" w:fill="E8E0F3" w:themeFill="accent2" w:themeFillTint="1A"/>
            <w:noWrap/>
            <w:hideMark/>
          </w:tcPr>
          <w:p w14:paraId="4350A4DD" w14:textId="6B810340" w:rsidR="00A0613F" w:rsidRPr="001D3E93" w:rsidRDefault="00A0613F" w:rsidP="00A0613F">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15 per cent</w:t>
            </w:r>
          </w:p>
        </w:tc>
      </w:tr>
      <w:tr w:rsidR="00A0613F" w:rsidRPr="001D3E93" w14:paraId="0EE0033F" w14:textId="77777777">
        <w:trPr>
          <w:trHeight w:val="374"/>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noWrap/>
            <w:hideMark/>
          </w:tcPr>
          <w:p w14:paraId="0EFEE206" w14:textId="77777777" w:rsidR="00A0613F" w:rsidRPr="001D3E93" w:rsidRDefault="00A0613F" w:rsidP="00A0613F">
            <w:pPr>
              <w:jc w:val="right"/>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$60k-$80k</w:t>
            </w:r>
          </w:p>
        </w:tc>
        <w:tc>
          <w:tcPr>
            <w:tcW w:w="1617" w:type="dxa"/>
            <w:shd w:val="clear" w:color="auto" w:fill="auto"/>
            <w:noWrap/>
            <w:hideMark/>
          </w:tcPr>
          <w:p w14:paraId="6331A651" w14:textId="77777777" w:rsidR="00A0613F" w:rsidRPr="001D3E93" w:rsidRDefault="00A0613F" w:rsidP="00A0613F">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3,680</w:t>
            </w:r>
          </w:p>
        </w:tc>
        <w:tc>
          <w:tcPr>
            <w:tcW w:w="2083" w:type="dxa"/>
            <w:shd w:val="clear" w:color="auto" w:fill="auto"/>
            <w:noWrap/>
            <w:hideMark/>
          </w:tcPr>
          <w:p w14:paraId="02C65CBA" w14:textId="18339505" w:rsidR="00A0613F" w:rsidRPr="001D3E93" w:rsidRDefault="00A0613F" w:rsidP="00A0613F">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8 per cent</w:t>
            </w:r>
          </w:p>
        </w:tc>
      </w:tr>
      <w:tr w:rsidR="00A0613F" w:rsidRPr="001D3E93" w14:paraId="1DF17498" w14:textId="77777777" w:rsidTr="00E77BC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dxa"/>
            <w:shd w:val="clear" w:color="auto" w:fill="E8E0F3" w:themeFill="accent2" w:themeFillTint="1A"/>
            <w:noWrap/>
            <w:hideMark/>
          </w:tcPr>
          <w:p w14:paraId="42E939CB" w14:textId="77777777" w:rsidR="00A0613F" w:rsidRPr="001D3E93" w:rsidRDefault="00A0613F" w:rsidP="00A0613F">
            <w:pPr>
              <w:jc w:val="right"/>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 xml:space="preserve">$80k-$100k </w:t>
            </w:r>
          </w:p>
        </w:tc>
        <w:tc>
          <w:tcPr>
            <w:tcW w:w="0" w:type="dxa"/>
            <w:shd w:val="clear" w:color="auto" w:fill="E8E0F3" w:themeFill="accent2" w:themeFillTint="1A"/>
            <w:noWrap/>
            <w:hideMark/>
          </w:tcPr>
          <w:p w14:paraId="085AEA2E" w14:textId="77777777" w:rsidR="00A0613F" w:rsidRPr="001D3E93" w:rsidRDefault="00A0613F" w:rsidP="00A0613F">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2,433</w:t>
            </w:r>
          </w:p>
        </w:tc>
        <w:tc>
          <w:tcPr>
            <w:tcW w:w="0" w:type="dxa"/>
            <w:shd w:val="clear" w:color="auto" w:fill="E8E0F3" w:themeFill="accent2" w:themeFillTint="1A"/>
            <w:noWrap/>
            <w:hideMark/>
          </w:tcPr>
          <w:p w14:paraId="22D69A7D" w14:textId="402549A9" w:rsidR="00A0613F" w:rsidRPr="001D3E93" w:rsidRDefault="00047454" w:rsidP="00A0613F">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6</w:t>
            </w:r>
            <w:r w:rsidR="00A0613F" w:rsidRPr="001D3E93">
              <w:rPr>
                <w:rFonts w:ascii="Verdana" w:eastAsia="Times New Roman" w:hAnsi="Verdana" w:cs="Calibri Light"/>
                <w:color w:val="000000"/>
                <w:sz w:val="20"/>
                <w:szCs w:val="20"/>
                <w:lang w:eastAsia="en-AU"/>
              </w:rPr>
              <w:t xml:space="preserve"> per cent</w:t>
            </w:r>
          </w:p>
        </w:tc>
      </w:tr>
      <w:tr w:rsidR="00A0613F" w:rsidRPr="001D3E93" w14:paraId="557CFF11" w14:textId="77777777">
        <w:trPr>
          <w:trHeight w:val="377"/>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noWrap/>
            <w:hideMark/>
          </w:tcPr>
          <w:p w14:paraId="5312B420" w14:textId="77777777" w:rsidR="00A0613F" w:rsidRPr="001D3E93" w:rsidRDefault="00A0613F" w:rsidP="00A0613F">
            <w:pPr>
              <w:jc w:val="right"/>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Over $100k</w:t>
            </w:r>
          </w:p>
        </w:tc>
        <w:tc>
          <w:tcPr>
            <w:tcW w:w="1617" w:type="dxa"/>
            <w:shd w:val="clear" w:color="auto" w:fill="auto"/>
            <w:noWrap/>
            <w:hideMark/>
          </w:tcPr>
          <w:p w14:paraId="0F94FF5A" w14:textId="77777777" w:rsidR="00A0613F" w:rsidRPr="001D3E93" w:rsidRDefault="00A0613F" w:rsidP="00A0613F">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6,862</w:t>
            </w:r>
          </w:p>
        </w:tc>
        <w:tc>
          <w:tcPr>
            <w:tcW w:w="2083" w:type="dxa"/>
            <w:shd w:val="clear" w:color="auto" w:fill="auto"/>
            <w:noWrap/>
            <w:hideMark/>
          </w:tcPr>
          <w:p w14:paraId="6214DD5C" w14:textId="2EC47076" w:rsidR="00A0613F" w:rsidRPr="001D3E93" w:rsidRDefault="00A0613F" w:rsidP="00A0613F">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16 per cent</w:t>
            </w:r>
          </w:p>
        </w:tc>
      </w:tr>
    </w:tbl>
    <w:p w14:paraId="3752178D" w14:textId="77777777" w:rsidR="00A0613F" w:rsidRPr="001D3E93" w:rsidRDefault="00A0613F" w:rsidP="00A0613F">
      <w:pPr>
        <w:spacing w:after="0" w:line="240" w:lineRule="auto"/>
        <w:rPr>
          <w:rFonts w:ascii="Verdana" w:eastAsia="Calibri" w:hAnsi="Verdana" w:cs="Arial"/>
          <w:sz w:val="22"/>
          <w:szCs w:val="22"/>
          <w:lang w:val="en-US" w:eastAsia="en-US"/>
        </w:rPr>
      </w:pPr>
    </w:p>
    <w:p w14:paraId="635E5709" w14:textId="77777777" w:rsidR="00A0613F" w:rsidRPr="001D3E93" w:rsidRDefault="00A0613F" w:rsidP="00A0613F">
      <w:pPr>
        <w:spacing w:after="0" w:line="240" w:lineRule="auto"/>
        <w:rPr>
          <w:rFonts w:ascii="Verdana" w:eastAsia="Calibri" w:hAnsi="Verdana" w:cs="Arial"/>
          <w:sz w:val="18"/>
          <w:szCs w:val="18"/>
          <w:lang w:val="en-US" w:eastAsia="en-US"/>
        </w:rPr>
      </w:pPr>
    </w:p>
    <w:p w14:paraId="353DD3CE" w14:textId="77777777" w:rsidR="00A0613F" w:rsidRPr="001D3E93" w:rsidRDefault="00A0613F" w:rsidP="00A0613F">
      <w:pPr>
        <w:spacing w:after="0" w:line="240" w:lineRule="auto"/>
        <w:rPr>
          <w:rFonts w:ascii="Verdana" w:eastAsia="Calibri" w:hAnsi="Verdana" w:cs="Arial"/>
          <w:sz w:val="18"/>
          <w:szCs w:val="18"/>
          <w:lang w:val="en-US" w:eastAsia="en-US"/>
        </w:rPr>
      </w:pPr>
    </w:p>
    <w:p w14:paraId="1FF35004" w14:textId="77777777" w:rsidR="00A0613F" w:rsidRPr="001D3E93" w:rsidRDefault="00A0613F" w:rsidP="00A0613F">
      <w:pPr>
        <w:spacing w:after="0" w:line="240" w:lineRule="auto"/>
        <w:rPr>
          <w:rFonts w:ascii="Verdana" w:eastAsia="Calibri" w:hAnsi="Verdana" w:cs="Arial"/>
          <w:sz w:val="18"/>
          <w:szCs w:val="18"/>
          <w:lang w:val="en-US" w:eastAsia="en-US"/>
        </w:rPr>
      </w:pPr>
    </w:p>
    <w:p w14:paraId="54517C8C" w14:textId="77777777" w:rsidR="00A0613F" w:rsidRPr="001D3E93" w:rsidRDefault="00A0613F" w:rsidP="00A0613F">
      <w:pPr>
        <w:spacing w:after="0" w:line="240" w:lineRule="auto"/>
        <w:rPr>
          <w:rFonts w:ascii="Verdana" w:eastAsia="Calibri" w:hAnsi="Verdana" w:cs="Arial"/>
          <w:sz w:val="18"/>
          <w:szCs w:val="18"/>
          <w:lang w:val="en-US" w:eastAsia="en-US"/>
        </w:rPr>
      </w:pPr>
    </w:p>
    <w:p w14:paraId="5523F18E" w14:textId="77777777" w:rsidR="00A0613F" w:rsidRPr="001D3E93" w:rsidRDefault="00A0613F" w:rsidP="00A0613F">
      <w:pPr>
        <w:spacing w:after="0" w:line="240" w:lineRule="auto"/>
        <w:rPr>
          <w:rFonts w:ascii="Verdana" w:eastAsia="Calibri" w:hAnsi="Verdana" w:cs="Arial"/>
          <w:sz w:val="18"/>
          <w:szCs w:val="18"/>
          <w:lang w:val="en-US" w:eastAsia="en-US"/>
        </w:rPr>
      </w:pPr>
    </w:p>
    <w:p w14:paraId="5EF6C799" w14:textId="77777777" w:rsidR="00A0613F" w:rsidRPr="001D3E93" w:rsidRDefault="00A0613F" w:rsidP="00A0613F">
      <w:pPr>
        <w:spacing w:after="0" w:line="240" w:lineRule="auto"/>
        <w:rPr>
          <w:rFonts w:ascii="Verdana" w:eastAsia="Calibri" w:hAnsi="Verdana" w:cs="Arial"/>
          <w:sz w:val="18"/>
          <w:szCs w:val="18"/>
          <w:lang w:val="en-US" w:eastAsia="en-US"/>
        </w:rPr>
      </w:pPr>
    </w:p>
    <w:p w14:paraId="3C5431D1" w14:textId="77777777" w:rsidR="00A0613F" w:rsidRPr="001D3E93" w:rsidRDefault="00A0613F" w:rsidP="00A0613F">
      <w:pPr>
        <w:spacing w:after="0" w:line="240" w:lineRule="auto"/>
        <w:rPr>
          <w:rFonts w:ascii="Verdana" w:eastAsia="Calibri" w:hAnsi="Verdana" w:cs="Arial"/>
          <w:sz w:val="18"/>
          <w:szCs w:val="18"/>
          <w:lang w:val="en-US" w:eastAsia="en-US"/>
        </w:rPr>
      </w:pPr>
    </w:p>
    <w:p w14:paraId="0507F4B9" w14:textId="77777777" w:rsidR="00A0613F" w:rsidRPr="001D3E93" w:rsidRDefault="00A0613F" w:rsidP="00A0613F">
      <w:pPr>
        <w:spacing w:after="0" w:line="240" w:lineRule="auto"/>
        <w:rPr>
          <w:rFonts w:ascii="Verdana" w:eastAsia="Calibri" w:hAnsi="Verdana" w:cs="Arial"/>
          <w:sz w:val="18"/>
          <w:szCs w:val="18"/>
          <w:lang w:val="en-US" w:eastAsia="en-US"/>
        </w:rPr>
      </w:pPr>
    </w:p>
    <w:p w14:paraId="1D440FDC" w14:textId="77777777" w:rsidR="00A0613F" w:rsidRPr="001D3E93" w:rsidRDefault="00A0613F" w:rsidP="00A0613F">
      <w:pPr>
        <w:spacing w:after="0" w:line="240" w:lineRule="auto"/>
        <w:rPr>
          <w:rFonts w:ascii="Verdana" w:eastAsia="Calibri" w:hAnsi="Verdana" w:cs="Arial"/>
          <w:sz w:val="18"/>
          <w:szCs w:val="18"/>
          <w:lang w:val="en-US" w:eastAsia="en-US"/>
        </w:rPr>
      </w:pPr>
    </w:p>
    <w:p w14:paraId="57213CAB" w14:textId="77777777" w:rsidR="00A0613F" w:rsidRPr="001D3E93" w:rsidRDefault="00A0613F" w:rsidP="00A0613F">
      <w:pPr>
        <w:spacing w:after="0" w:line="240" w:lineRule="auto"/>
        <w:rPr>
          <w:rFonts w:ascii="Verdana" w:eastAsia="Calibri" w:hAnsi="Verdana" w:cs="Arial"/>
          <w:sz w:val="18"/>
          <w:szCs w:val="18"/>
          <w:lang w:val="en-US" w:eastAsia="en-US"/>
        </w:rPr>
      </w:pPr>
    </w:p>
    <w:p w14:paraId="31214C7B" w14:textId="77777777" w:rsidR="00A0613F" w:rsidRPr="001D3E93" w:rsidRDefault="00A0613F" w:rsidP="00A0613F">
      <w:pPr>
        <w:spacing w:after="0" w:line="240" w:lineRule="auto"/>
        <w:rPr>
          <w:rFonts w:ascii="Verdana" w:eastAsia="Calibri" w:hAnsi="Verdana" w:cs="Arial"/>
          <w:sz w:val="18"/>
          <w:szCs w:val="18"/>
          <w:lang w:val="en-US" w:eastAsia="en-US"/>
        </w:rPr>
      </w:pPr>
    </w:p>
    <w:p w14:paraId="657FD4C9" w14:textId="77777777" w:rsidR="00A0613F" w:rsidRPr="001D3E93" w:rsidRDefault="00A0613F" w:rsidP="00A0613F">
      <w:pPr>
        <w:spacing w:after="0" w:line="240" w:lineRule="auto"/>
        <w:rPr>
          <w:rFonts w:ascii="Verdana" w:eastAsia="Calibri" w:hAnsi="Verdana" w:cs="Arial"/>
          <w:sz w:val="18"/>
          <w:szCs w:val="18"/>
          <w:lang w:val="en-US" w:eastAsia="en-US"/>
        </w:rPr>
      </w:pPr>
    </w:p>
    <w:p w14:paraId="74131582" w14:textId="77777777" w:rsidR="00A0613F" w:rsidRPr="001D3E93" w:rsidRDefault="00A0613F" w:rsidP="00A0613F">
      <w:pPr>
        <w:spacing w:after="0" w:line="240" w:lineRule="auto"/>
        <w:ind w:left="360"/>
        <w:rPr>
          <w:rFonts w:ascii="Verdana" w:eastAsia="Calibri" w:hAnsi="Verdana" w:cs="Arial"/>
          <w:sz w:val="6"/>
          <w:szCs w:val="6"/>
          <w:lang w:val="en-US" w:eastAsia="en-US"/>
        </w:rPr>
      </w:pPr>
    </w:p>
    <w:p w14:paraId="2A0D97B7" w14:textId="6B58D03E" w:rsidR="00A0613F" w:rsidRPr="001D3E93" w:rsidRDefault="00A0613F" w:rsidP="00A0613F">
      <w:pPr>
        <w:spacing w:after="160" w:line="259" w:lineRule="auto"/>
        <w:rPr>
          <w:rFonts w:ascii="Calibri" w:eastAsia="Calibri" w:hAnsi="Calibri" w:cs="Arial"/>
          <w:sz w:val="24"/>
          <w:szCs w:val="24"/>
          <w:lang w:val="en-US" w:eastAsia="en-US"/>
        </w:rPr>
      </w:pPr>
      <w:r w:rsidRPr="001D3E93">
        <w:rPr>
          <w:rFonts w:ascii="Verdana" w:eastAsia="Calibri" w:hAnsi="Verdana" w:cs="Arial"/>
          <w:lang w:val="en-US" w:eastAsia="en-US"/>
        </w:rPr>
        <w:t xml:space="preserve"> </w:t>
      </w:r>
      <w:r w:rsidRPr="001D3E93">
        <w:rPr>
          <w:rFonts w:ascii="Calibri" w:eastAsia="Calibri" w:hAnsi="Calibri" w:cs="Arial"/>
          <w:sz w:val="24"/>
          <w:szCs w:val="24"/>
          <w:lang w:val="en-US" w:eastAsia="en-US"/>
        </w:rPr>
        <w:t>*Components may not add to totals due to rounding    </w:t>
      </w:r>
    </w:p>
    <w:p w14:paraId="64AFECA3" w14:textId="77777777" w:rsidR="00632CFD" w:rsidRPr="001D3E93" w:rsidRDefault="00632CFD" w:rsidP="00A0613F">
      <w:pPr>
        <w:spacing w:after="160" w:line="259" w:lineRule="auto"/>
        <w:rPr>
          <w:rFonts w:ascii="Calibri" w:eastAsia="Calibri" w:hAnsi="Calibri" w:cs="Arial"/>
          <w:sz w:val="22"/>
          <w:szCs w:val="22"/>
          <w:lang w:val="en-US" w:eastAsia="en-US"/>
        </w:rPr>
      </w:pPr>
    </w:p>
    <w:p w14:paraId="6681FE7A" w14:textId="77777777" w:rsidR="00A0613F" w:rsidRPr="001D3E93" w:rsidRDefault="00A0613F" w:rsidP="00D72EDD">
      <w:pPr>
        <w:pStyle w:val="Heading4"/>
        <w:rPr>
          <w:b w:val="0"/>
          <w:bCs w:val="0"/>
        </w:rPr>
      </w:pPr>
      <w:r w:rsidRPr="001D3E93">
        <w:rPr>
          <w:b w:val="0"/>
          <w:bCs w:val="0"/>
        </w:rPr>
        <w:t>Table 7: EMDG 10 Year Grant History, by average grant amount</w:t>
      </w:r>
    </w:p>
    <w:tbl>
      <w:tblPr>
        <w:tblStyle w:val="GridTable6Colorful-Accent51"/>
        <w:tblW w:w="9427" w:type="dxa"/>
        <w:tblLook w:val="04A0" w:firstRow="1" w:lastRow="0" w:firstColumn="1" w:lastColumn="0" w:noHBand="0" w:noVBand="1"/>
        <w:tblCaption w:val="Table 7: EMDG 10 Year Grant History, by average grant amount"/>
      </w:tblPr>
      <w:tblGrid>
        <w:gridCol w:w="1564"/>
        <w:gridCol w:w="2621"/>
        <w:gridCol w:w="2621"/>
        <w:gridCol w:w="2621"/>
      </w:tblGrid>
      <w:tr w:rsidR="00A0613F" w:rsidRPr="001D3E93" w14:paraId="0083E16F" w14:textId="77777777" w:rsidTr="00B97BFE">
        <w:trPr>
          <w:cnfStyle w:val="100000000000" w:firstRow="1" w:lastRow="0" w:firstColumn="0" w:lastColumn="0" w:oddVBand="0" w:evenVBand="0" w:oddHBand="0" w:evenHBand="0" w:firstRowFirstColumn="0" w:firstRowLastColumn="0" w:lastRowFirstColumn="0" w:lastRowLastColumn="0"/>
          <w:trHeight w:val="160"/>
          <w:tblHeader/>
        </w:trPr>
        <w:tc>
          <w:tcPr>
            <w:cnfStyle w:val="001000000000" w:firstRow="0" w:lastRow="0" w:firstColumn="1" w:lastColumn="0" w:oddVBand="0" w:evenVBand="0" w:oddHBand="0" w:evenHBand="0" w:firstRowFirstColumn="0" w:firstRowLastColumn="0" w:lastRowFirstColumn="0" w:lastRowLastColumn="0"/>
            <w:tcW w:w="1564" w:type="dxa"/>
            <w:shd w:val="clear" w:color="auto" w:fill="412564" w:themeFill="text2" w:themeFillTint="E6"/>
            <w:noWrap/>
            <w:hideMark/>
          </w:tcPr>
          <w:p w14:paraId="0CE1E91A" w14:textId="77777777" w:rsidR="00A0613F" w:rsidRPr="001D3E93" w:rsidRDefault="00A0613F" w:rsidP="00A0613F">
            <w:pPr>
              <w:jc w:val="center"/>
              <w:rPr>
                <w:rFonts w:ascii="Verdana" w:eastAsia="Times New Roman" w:hAnsi="Verdana" w:cs="Calibri"/>
                <w:b w:val="0"/>
                <w:bCs w:val="0"/>
                <w:color w:val="FFFFFF"/>
                <w:lang w:eastAsia="en-AU"/>
              </w:rPr>
            </w:pPr>
            <w:r w:rsidRPr="001D3E93">
              <w:rPr>
                <w:rFonts w:ascii="Verdana" w:eastAsia="Times New Roman" w:hAnsi="Verdana" w:cs="Calibri"/>
                <w:b w:val="0"/>
                <w:bCs w:val="0"/>
                <w:color w:val="FFFFFF"/>
                <w:lang w:eastAsia="en-AU"/>
              </w:rPr>
              <w:t>Financial Year</w:t>
            </w:r>
          </w:p>
        </w:tc>
        <w:tc>
          <w:tcPr>
            <w:tcW w:w="2621" w:type="dxa"/>
            <w:shd w:val="clear" w:color="auto" w:fill="412564" w:themeFill="text2" w:themeFillTint="E6"/>
            <w:noWrap/>
            <w:hideMark/>
          </w:tcPr>
          <w:p w14:paraId="51B843EA" w14:textId="77777777" w:rsidR="00A0613F" w:rsidRPr="001D3E93" w:rsidRDefault="00A0613F" w:rsidP="00A0613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FFFFFF"/>
                <w:lang w:eastAsia="en-AU"/>
              </w:rPr>
            </w:pPr>
            <w:r w:rsidRPr="001D3E93">
              <w:rPr>
                <w:rFonts w:ascii="Verdana" w:eastAsia="Times New Roman" w:hAnsi="Verdana" w:cs="Calibri"/>
                <w:b w:val="0"/>
                <w:bCs w:val="0"/>
                <w:color w:val="FFFFFF"/>
                <w:lang w:eastAsia="en-AU"/>
              </w:rPr>
              <w:t>Appropriation</w:t>
            </w:r>
          </w:p>
        </w:tc>
        <w:tc>
          <w:tcPr>
            <w:tcW w:w="2621" w:type="dxa"/>
            <w:shd w:val="clear" w:color="auto" w:fill="412564" w:themeFill="text2" w:themeFillTint="E6"/>
            <w:noWrap/>
            <w:hideMark/>
          </w:tcPr>
          <w:p w14:paraId="25124E10" w14:textId="77777777" w:rsidR="00A0613F" w:rsidRPr="001D3E93" w:rsidRDefault="00A0613F" w:rsidP="00A0613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FFFFFF"/>
                <w:lang w:eastAsia="en-AU"/>
              </w:rPr>
            </w:pPr>
            <w:r w:rsidRPr="001D3E93">
              <w:rPr>
                <w:rFonts w:ascii="Verdana" w:eastAsia="Times New Roman" w:hAnsi="Verdana" w:cs="Calibri"/>
                <w:b w:val="0"/>
                <w:bCs w:val="0"/>
                <w:color w:val="FFFFFF"/>
                <w:lang w:eastAsia="en-AU"/>
              </w:rPr>
              <w:t>Grants Paid</w:t>
            </w:r>
          </w:p>
        </w:tc>
        <w:tc>
          <w:tcPr>
            <w:tcW w:w="2621" w:type="dxa"/>
            <w:shd w:val="clear" w:color="auto" w:fill="412564" w:themeFill="text2" w:themeFillTint="E6"/>
            <w:noWrap/>
            <w:hideMark/>
          </w:tcPr>
          <w:p w14:paraId="4A497E6C" w14:textId="77777777" w:rsidR="00A0613F" w:rsidRPr="001D3E93" w:rsidRDefault="00A0613F" w:rsidP="00A0613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FFFFFF"/>
                <w:lang w:eastAsia="en-AU"/>
              </w:rPr>
            </w:pPr>
            <w:r w:rsidRPr="001D3E93">
              <w:rPr>
                <w:rFonts w:ascii="Verdana" w:eastAsia="Times New Roman" w:hAnsi="Verdana" w:cs="Calibri"/>
                <w:b w:val="0"/>
                <w:bCs w:val="0"/>
                <w:color w:val="FFFFFF"/>
                <w:lang w:eastAsia="en-AU"/>
              </w:rPr>
              <w:t>Avg Grant Amount (Application Year)</w:t>
            </w:r>
          </w:p>
        </w:tc>
      </w:tr>
      <w:tr w:rsidR="00A0613F" w:rsidRPr="001D3E93" w14:paraId="6757AEAF" w14:textId="77777777" w:rsidTr="00E77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4" w:type="dxa"/>
            <w:shd w:val="clear" w:color="auto" w:fill="E8E0F3" w:themeFill="accent2" w:themeFillTint="1A"/>
            <w:noWrap/>
            <w:hideMark/>
          </w:tcPr>
          <w:p w14:paraId="5E6C1DE3"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2011/12</w:t>
            </w:r>
          </w:p>
        </w:tc>
        <w:tc>
          <w:tcPr>
            <w:tcW w:w="2621" w:type="dxa"/>
            <w:shd w:val="clear" w:color="auto" w:fill="E8E0F3" w:themeFill="accent2" w:themeFillTint="1A"/>
            <w:noWrap/>
            <w:hideMark/>
          </w:tcPr>
          <w:p w14:paraId="74C38101"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$150,400,000</w:t>
            </w:r>
          </w:p>
        </w:tc>
        <w:tc>
          <w:tcPr>
            <w:tcW w:w="2621" w:type="dxa"/>
            <w:shd w:val="clear" w:color="auto" w:fill="E8E0F3" w:themeFill="accent2" w:themeFillTint="1A"/>
            <w:hideMark/>
          </w:tcPr>
          <w:p w14:paraId="0B38EC1E"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2,994</w:t>
            </w:r>
          </w:p>
        </w:tc>
        <w:tc>
          <w:tcPr>
            <w:tcW w:w="2621" w:type="dxa"/>
            <w:shd w:val="clear" w:color="auto" w:fill="E8E0F3" w:themeFill="accent2" w:themeFillTint="1A"/>
            <w:noWrap/>
            <w:hideMark/>
          </w:tcPr>
          <w:p w14:paraId="21C6EBFB"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$42,711</w:t>
            </w:r>
          </w:p>
        </w:tc>
      </w:tr>
      <w:tr w:rsidR="00A0613F" w:rsidRPr="001D3E93" w14:paraId="0F392A8D" w14:textId="77777777">
        <w:trPr>
          <w:trHeight w:val="367"/>
        </w:trPr>
        <w:tc>
          <w:tcPr>
            <w:cnfStyle w:val="001000000000" w:firstRow="0" w:lastRow="0" w:firstColumn="1" w:lastColumn="0" w:oddVBand="0" w:evenVBand="0" w:oddHBand="0" w:evenHBand="0" w:firstRowFirstColumn="0" w:firstRowLastColumn="0" w:lastRowFirstColumn="0" w:lastRowLastColumn="0"/>
            <w:tcW w:w="1564" w:type="dxa"/>
            <w:noWrap/>
            <w:hideMark/>
          </w:tcPr>
          <w:p w14:paraId="29D559C0"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2012/13*</w:t>
            </w:r>
          </w:p>
        </w:tc>
        <w:tc>
          <w:tcPr>
            <w:tcW w:w="2621" w:type="dxa"/>
            <w:noWrap/>
            <w:hideMark/>
          </w:tcPr>
          <w:p w14:paraId="78E0DCFC"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$125,400,000</w:t>
            </w:r>
          </w:p>
        </w:tc>
        <w:tc>
          <w:tcPr>
            <w:tcW w:w="2621" w:type="dxa"/>
            <w:hideMark/>
          </w:tcPr>
          <w:p w14:paraId="658A9F43"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2,749</w:t>
            </w:r>
          </w:p>
        </w:tc>
        <w:tc>
          <w:tcPr>
            <w:tcW w:w="2621" w:type="dxa"/>
            <w:noWrap/>
            <w:hideMark/>
          </w:tcPr>
          <w:p w14:paraId="120CC6F4"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$43,567</w:t>
            </w:r>
          </w:p>
        </w:tc>
      </w:tr>
      <w:tr w:rsidR="00A0613F" w:rsidRPr="001D3E93" w14:paraId="142BDD1A" w14:textId="77777777" w:rsidTr="00E77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4" w:type="dxa"/>
            <w:shd w:val="clear" w:color="auto" w:fill="E8E0F3" w:themeFill="accent2" w:themeFillTint="1A"/>
            <w:noWrap/>
            <w:hideMark/>
          </w:tcPr>
          <w:p w14:paraId="1F2227A2"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2013/14</w:t>
            </w:r>
          </w:p>
        </w:tc>
        <w:tc>
          <w:tcPr>
            <w:tcW w:w="2621" w:type="dxa"/>
            <w:shd w:val="clear" w:color="auto" w:fill="E8E0F3" w:themeFill="accent2" w:themeFillTint="1A"/>
            <w:noWrap/>
            <w:hideMark/>
          </w:tcPr>
          <w:p w14:paraId="7C574578"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$137,900,000</w:t>
            </w:r>
          </w:p>
        </w:tc>
        <w:tc>
          <w:tcPr>
            <w:tcW w:w="2621" w:type="dxa"/>
            <w:shd w:val="clear" w:color="auto" w:fill="E8E0F3" w:themeFill="accent2" w:themeFillTint="1A"/>
            <w:hideMark/>
          </w:tcPr>
          <w:p w14:paraId="3B1101B5"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2,530</w:t>
            </w:r>
          </w:p>
        </w:tc>
        <w:tc>
          <w:tcPr>
            <w:tcW w:w="2621" w:type="dxa"/>
            <w:shd w:val="clear" w:color="auto" w:fill="E8E0F3" w:themeFill="accent2" w:themeFillTint="1A"/>
            <w:noWrap/>
            <w:hideMark/>
          </w:tcPr>
          <w:p w14:paraId="167B5300"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$46,312</w:t>
            </w:r>
          </w:p>
        </w:tc>
      </w:tr>
      <w:tr w:rsidR="00A0613F" w:rsidRPr="001D3E93" w14:paraId="1D4E0CAE" w14:textId="77777777">
        <w:trPr>
          <w:trHeight w:val="367"/>
        </w:trPr>
        <w:tc>
          <w:tcPr>
            <w:cnfStyle w:val="001000000000" w:firstRow="0" w:lastRow="0" w:firstColumn="1" w:lastColumn="0" w:oddVBand="0" w:evenVBand="0" w:oddHBand="0" w:evenHBand="0" w:firstRowFirstColumn="0" w:firstRowLastColumn="0" w:lastRowFirstColumn="0" w:lastRowLastColumn="0"/>
            <w:tcW w:w="1564" w:type="dxa"/>
            <w:noWrap/>
            <w:hideMark/>
          </w:tcPr>
          <w:p w14:paraId="71CDE777"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2014/15</w:t>
            </w:r>
          </w:p>
        </w:tc>
        <w:tc>
          <w:tcPr>
            <w:tcW w:w="2621" w:type="dxa"/>
            <w:noWrap/>
            <w:hideMark/>
          </w:tcPr>
          <w:p w14:paraId="0335A2D7"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$137,900,000</w:t>
            </w:r>
          </w:p>
        </w:tc>
        <w:tc>
          <w:tcPr>
            <w:tcW w:w="2621" w:type="dxa"/>
            <w:hideMark/>
          </w:tcPr>
          <w:p w14:paraId="3BB4C715"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3,032</w:t>
            </w:r>
          </w:p>
        </w:tc>
        <w:tc>
          <w:tcPr>
            <w:tcW w:w="2621" w:type="dxa"/>
            <w:noWrap/>
            <w:hideMark/>
          </w:tcPr>
          <w:p w14:paraId="21463438"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$44,553</w:t>
            </w:r>
          </w:p>
        </w:tc>
      </w:tr>
      <w:tr w:rsidR="00A0613F" w:rsidRPr="001D3E93" w14:paraId="60191C5E" w14:textId="77777777" w:rsidTr="00E77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4" w:type="dxa"/>
            <w:shd w:val="clear" w:color="auto" w:fill="E8E0F3" w:themeFill="accent2" w:themeFillTint="1A"/>
            <w:noWrap/>
            <w:hideMark/>
          </w:tcPr>
          <w:p w14:paraId="56493BDD"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2015/16</w:t>
            </w:r>
          </w:p>
        </w:tc>
        <w:tc>
          <w:tcPr>
            <w:tcW w:w="2621" w:type="dxa"/>
            <w:shd w:val="clear" w:color="auto" w:fill="E8E0F3" w:themeFill="accent2" w:themeFillTint="1A"/>
            <w:noWrap/>
            <w:hideMark/>
          </w:tcPr>
          <w:p w14:paraId="528A6028"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$137,900,000</w:t>
            </w:r>
          </w:p>
        </w:tc>
        <w:tc>
          <w:tcPr>
            <w:tcW w:w="2621" w:type="dxa"/>
            <w:shd w:val="clear" w:color="auto" w:fill="E8E0F3" w:themeFill="accent2" w:themeFillTint="1A"/>
            <w:hideMark/>
          </w:tcPr>
          <w:p w14:paraId="2197B454"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3,132</w:t>
            </w:r>
          </w:p>
        </w:tc>
        <w:tc>
          <w:tcPr>
            <w:tcW w:w="2621" w:type="dxa"/>
            <w:shd w:val="clear" w:color="auto" w:fill="E8E0F3" w:themeFill="accent2" w:themeFillTint="1A"/>
            <w:noWrap/>
            <w:hideMark/>
          </w:tcPr>
          <w:p w14:paraId="53EDAD2B"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$43,134</w:t>
            </w:r>
          </w:p>
        </w:tc>
      </w:tr>
      <w:tr w:rsidR="00A0613F" w:rsidRPr="001D3E93" w14:paraId="7E792459" w14:textId="77777777">
        <w:trPr>
          <w:trHeight w:val="367"/>
        </w:trPr>
        <w:tc>
          <w:tcPr>
            <w:cnfStyle w:val="001000000000" w:firstRow="0" w:lastRow="0" w:firstColumn="1" w:lastColumn="0" w:oddVBand="0" w:evenVBand="0" w:oddHBand="0" w:evenHBand="0" w:firstRowFirstColumn="0" w:firstRowLastColumn="0" w:lastRowFirstColumn="0" w:lastRowLastColumn="0"/>
            <w:tcW w:w="1564" w:type="dxa"/>
            <w:noWrap/>
            <w:hideMark/>
          </w:tcPr>
          <w:p w14:paraId="3E622282"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2016/17</w:t>
            </w:r>
          </w:p>
        </w:tc>
        <w:tc>
          <w:tcPr>
            <w:tcW w:w="2621" w:type="dxa"/>
            <w:noWrap/>
            <w:hideMark/>
          </w:tcPr>
          <w:p w14:paraId="55D29F54"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$137,900,000</w:t>
            </w:r>
          </w:p>
        </w:tc>
        <w:tc>
          <w:tcPr>
            <w:tcW w:w="2621" w:type="dxa"/>
            <w:hideMark/>
          </w:tcPr>
          <w:p w14:paraId="0C374C02"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3,331</w:t>
            </w:r>
          </w:p>
        </w:tc>
        <w:tc>
          <w:tcPr>
            <w:tcW w:w="2621" w:type="dxa"/>
            <w:noWrap/>
            <w:hideMark/>
          </w:tcPr>
          <w:p w14:paraId="406BB12F"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$41,958</w:t>
            </w:r>
          </w:p>
        </w:tc>
      </w:tr>
      <w:tr w:rsidR="00A0613F" w:rsidRPr="001D3E93" w14:paraId="1E4204C7" w14:textId="77777777" w:rsidTr="00E77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4" w:type="dxa"/>
            <w:shd w:val="clear" w:color="auto" w:fill="E8E0F3" w:themeFill="accent2" w:themeFillTint="1A"/>
            <w:noWrap/>
            <w:hideMark/>
          </w:tcPr>
          <w:p w14:paraId="08746717"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2017/18</w:t>
            </w:r>
          </w:p>
        </w:tc>
        <w:tc>
          <w:tcPr>
            <w:tcW w:w="2621" w:type="dxa"/>
            <w:shd w:val="clear" w:color="auto" w:fill="E8E0F3" w:themeFill="accent2" w:themeFillTint="1A"/>
            <w:noWrap/>
            <w:hideMark/>
          </w:tcPr>
          <w:p w14:paraId="74A3A176"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$137,900,000</w:t>
            </w:r>
          </w:p>
        </w:tc>
        <w:tc>
          <w:tcPr>
            <w:tcW w:w="2621" w:type="dxa"/>
            <w:shd w:val="clear" w:color="auto" w:fill="E8E0F3" w:themeFill="accent2" w:themeFillTint="1A"/>
            <w:hideMark/>
          </w:tcPr>
          <w:p w14:paraId="44763057"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3,567</w:t>
            </w:r>
          </w:p>
        </w:tc>
        <w:tc>
          <w:tcPr>
            <w:tcW w:w="2621" w:type="dxa"/>
            <w:shd w:val="clear" w:color="auto" w:fill="E8E0F3" w:themeFill="accent2" w:themeFillTint="1A"/>
            <w:noWrap/>
            <w:hideMark/>
          </w:tcPr>
          <w:p w14:paraId="052958D8"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$34,433</w:t>
            </w:r>
          </w:p>
        </w:tc>
      </w:tr>
      <w:tr w:rsidR="00A0613F" w:rsidRPr="001D3E93" w14:paraId="10B8D981" w14:textId="77777777">
        <w:trPr>
          <w:trHeight w:val="367"/>
        </w:trPr>
        <w:tc>
          <w:tcPr>
            <w:cnfStyle w:val="001000000000" w:firstRow="0" w:lastRow="0" w:firstColumn="1" w:lastColumn="0" w:oddVBand="0" w:evenVBand="0" w:oddHBand="0" w:evenHBand="0" w:firstRowFirstColumn="0" w:firstRowLastColumn="0" w:lastRowFirstColumn="0" w:lastRowLastColumn="0"/>
            <w:tcW w:w="1564" w:type="dxa"/>
            <w:noWrap/>
            <w:hideMark/>
          </w:tcPr>
          <w:p w14:paraId="65BE0382"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2018/19</w:t>
            </w:r>
          </w:p>
        </w:tc>
        <w:tc>
          <w:tcPr>
            <w:tcW w:w="2621" w:type="dxa"/>
            <w:noWrap/>
            <w:hideMark/>
          </w:tcPr>
          <w:p w14:paraId="45997B6D"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$137,900,000</w:t>
            </w:r>
          </w:p>
        </w:tc>
        <w:tc>
          <w:tcPr>
            <w:tcW w:w="2621" w:type="dxa"/>
            <w:hideMark/>
          </w:tcPr>
          <w:p w14:paraId="2C20DF56"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3,797</w:t>
            </w:r>
          </w:p>
        </w:tc>
        <w:tc>
          <w:tcPr>
            <w:tcW w:w="2621" w:type="dxa"/>
            <w:noWrap/>
            <w:hideMark/>
          </w:tcPr>
          <w:p w14:paraId="0424BED0"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$33,134</w:t>
            </w:r>
          </w:p>
        </w:tc>
      </w:tr>
      <w:tr w:rsidR="00A0613F" w:rsidRPr="001D3E93" w14:paraId="4A0317AC" w14:textId="77777777" w:rsidTr="00E77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4" w:type="dxa"/>
            <w:shd w:val="clear" w:color="auto" w:fill="E8E0F3" w:themeFill="accent2" w:themeFillTint="1A"/>
            <w:noWrap/>
            <w:hideMark/>
          </w:tcPr>
          <w:p w14:paraId="1E7CD639"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2019/20^</w:t>
            </w:r>
          </w:p>
        </w:tc>
        <w:tc>
          <w:tcPr>
            <w:tcW w:w="2621" w:type="dxa"/>
            <w:shd w:val="clear" w:color="auto" w:fill="E8E0F3" w:themeFill="accent2" w:themeFillTint="1A"/>
            <w:noWrap/>
            <w:hideMark/>
          </w:tcPr>
          <w:p w14:paraId="36331090"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$207,700,000</w:t>
            </w:r>
          </w:p>
        </w:tc>
        <w:tc>
          <w:tcPr>
            <w:tcW w:w="2621" w:type="dxa"/>
            <w:shd w:val="clear" w:color="auto" w:fill="E8E0F3" w:themeFill="accent2" w:themeFillTint="1A"/>
            <w:hideMark/>
          </w:tcPr>
          <w:p w14:paraId="600F4591"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4,037</w:t>
            </w:r>
          </w:p>
        </w:tc>
        <w:tc>
          <w:tcPr>
            <w:tcW w:w="2621" w:type="dxa"/>
            <w:shd w:val="clear" w:color="auto" w:fill="E8E0F3" w:themeFill="accent2" w:themeFillTint="1A"/>
            <w:noWrap/>
            <w:hideMark/>
          </w:tcPr>
          <w:p w14:paraId="44ECC309"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$47,710</w:t>
            </w:r>
          </w:p>
        </w:tc>
      </w:tr>
      <w:tr w:rsidR="00A0613F" w:rsidRPr="001D3E93" w14:paraId="257B02C7" w14:textId="77777777">
        <w:trPr>
          <w:trHeight w:val="367"/>
        </w:trPr>
        <w:tc>
          <w:tcPr>
            <w:cnfStyle w:val="001000000000" w:firstRow="0" w:lastRow="0" w:firstColumn="1" w:lastColumn="0" w:oddVBand="0" w:evenVBand="0" w:oddHBand="0" w:evenHBand="0" w:firstRowFirstColumn="0" w:firstRowLastColumn="0" w:lastRowFirstColumn="0" w:lastRowLastColumn="0"/>
            <w:tcW w:w="1564" w:type="dxa"/>
            <w:noWrap/>
            <w:hideMark/>
          </w:tcPr>
          <w:p w14:paraId="73AFEE6F"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2020/21**</w:t>
            </w:r>
          </w:p>
        </w:tc>
        <w:tc>
          <w:tcPr>
            <w:tcW w:w="2621" w:type="dxa"/>
            <w:noWrap/>
            <w:hideMark/>
          </w:tcPr>
          <w:p w14:paraId="3F5B0712"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$218,853,196</w:t>
            </w:r>
          </w:p>
        </w:tc>
        <w:tc>
          <w:tcPr>
            <w:tcW w:w="2621" w:type="dxa"/>
            <w:hideMark/>
          </w:tcPr>
          <w:p w14:paraId="222B0300"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4,721</w:t>
            </w:r>
          </w:p>
        </w:tc>
        <w:tc>
          <w:tcPr>
            <w:tcW w:w="2621" w:type="dxa"/>
            <w:noWrap/>
            <w:hideMark/>
          </w:tcPr>
          <w:p w14:paraId="671ED916" w14:textId="77777777" w:rsidR="00A0613F" w:rsidRPr="001D3E93" w:rsidRDefault="00A0613F" w:rsidP="00A0613F">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$45,437</w:t>
            </w:r>
          </w:p>
        </w:tc>
      </w:tr>
      <w:tr w:rsidR="00A0613F" w:rsidRPr="001D3E93" w14:paraId="5ACEB62B" w14:textId="77777777" w:rsidTr="00E77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4" w:type="dxa"/>
            <w:shd w:val="clear" w:color="auto" w:fill="E8E0F3" w:themeFill="accent2" w:themeFillTint="1A"/>
            <w:noWrap/>
            <w:hideMark/>
          </w:tcPr>
          <w:p w14:paraId="7B264157" w14:textId="77777777" w:rsidR="00A0613F" w:rsidRPr="001D3E93" w:rsidRDefault="00A0613F" w:rsidP="00A0613F">
            <w:pPr>
              <w:rPr>
                <w:rFonts w:ascii="Verdana" w:eastAsia="Times New Roman" w:hAnsi="Verdana" w:cs="Calibri Light"/>
                <w:b w:val="0"/>
                <w:bCs w:val="0"/>
                <w:color w:val="000000"/>
                <w:sz w:val="20"/>
                <w:szCs w:val="20"/>
                <w:lang w:eastAsia="en-AU"/>
              </w:rPr>
            </w:pPr>
            <w:r w:rsidRPr="001D3E93">
              <w:rPr>
                <w:rFonts w:ascii="Verdana" w:eastAsia="Times New Roman" w:hAnsi="Verdana" w:cs="Calibri Light"/>
                <w:b w:val="0"/>
                <w:bCs w:val="0"/>
                <w:color w:val="000000"/>
                <w:sz w:val="20"/>
                <w:szCs w:val="20"/>
                <w:lang w:eastAsia="en-AU"/>
              </w:rPr>
              <w:t>2021/22^^</w:t>
            </w:r>
          </w:p>
        </w:tc>
        <w:tc>
          <w:tcPr>
            <w:tcW w:w="2621" w:type="dxa"/>
            <w:shd w:val="clear" w:color="auto" w:fill="E8E0F3" w:themeFill="accent2" w:themeFillTint="1A"/>
            <w:noWrap/>
            <w:hideMark/>
          </w:tcPr>
          <w:p w14:paraId="05A59787"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$129,800,000</w:t>
            </w:r>
          </w:p>
        </w:tc>
        <w:tc>
          <w:tcPr>
            <w:tcW w:w="2621" w:type="dxa"/>
            <w:shd w:val="clear" w:color="auto" w:fill="E8E0F3" w:themeFill="accent2" w:themeFillTint="1A"/>
            <w:hideMark/>
          </w:tcPr>
          <w:p w14:paraId="3CB2BF54"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3,291</w:t>
            </w:r>
          </w:p>
        </w:tc>
        <w:tc>
          <w:tcPr>
            <w:tcW w:w="2621" w:type="dxa"/>
            <w:shd w:val="clear" w:color="auto" w:fill="E8E0F3" w:themeFill="accent2" w:themeFillTint="1A"/>
            <w:noWrap/>
            <w:hideMark/>
          </w:tcPr>
          <w:p w14:paraId="3062D694" w14:textId="77777777" w:rsidR="00A0613F" w:rsidRPr="001D3E93" w:rsidRDefault="00A0613F" w:rsidP="00A0613F">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Light"/>
                <w:color w:val="000000"/>
                <w:sz w:val="20"/>
                <w:szCs w:val="20"/>
                <w:lang w:eastAsia="en-AU"/>
              </w:rPr>
            </w:pPr>
            <w:r w:rsidRPr="001D3E93">
              <w:rPr>
                <w:rFonts w:ascii="Verdana" w:eastAsia="Times New Roman" w:hAnsi="Verdana" w:cs="Calibri Light"/>
                <w:color w:val="000000"/>
                <w:sz w:val="20"/>
                <w:szCs w:val="20"/>
                <w:lang w:eastAsia="en-AU"/>
              </w:rPr>
              <w:t>$35,454</w:t>
            </w:r>
          </w:p>
        </w:tc>
      </w:tr>
    </w:tbl>
    <w:p w14:paraId="030CED1A" w14:textId="77777777" w:rsidR="00A0613F" w:rsidRPr="001D3E93" w:rsidRDefault="00A0613F" w:rsidP="00A0613F">
      <w:pPr>
        <w:spacing w:after="160" w:line="259" w:lineRule="auto"/>
        <w:rPr>
          <w:rFonts w:ascii="Verdana" w:eastAsia="Times New Roman" w:hAnsi="Verdana" w:cs="Calibri Light"/>
          <w:color w:val="000000"/>
          <w:lang w:val="en-US" w:eastAsia="en-AU"/>
        </w:rPr>
      </w:pPr>
      <w:r w:rsidRPr="001D3E93">
        <w:rPr>
          <w:rFonts w:ascii="Verdana" w:eastAsia="Times New Roman" w:hAnsi="Verdana" w:cs="Calibri Light"/>
          <w:color w:val="000000"/>
          <w:lang w:val="en-US" w:eastAsia="en-AU"/>
        </w:rPr>
        <w:t>* Appropriation reduced by $25 million to $125 million (Budget is $132.2 million because of unspent carried-over funds from previous year)</w:t>
      </w:r>
    </w:p>
    <w:p w14:paraId="21F0A5DC" w14:textId="2FAF07BD" w:rsidR="00A0613F" w:rsidRPr="001D3E93" w:rsidRDefault="00A0613F" w:rsidP="00A0613F">
      <w:pPr>
        <w:spacing w:after="160" w:line="259" w:lineRule="auto"/>
        <w:rPr>
          <w:rFonts w:ascii="Verdana" w:eastAsia="Times New Roman" w:hAnsi="Verdana" w:cs="Calibri Light"/>
          <w:color w:val="000000"/>
          <w:lang w:val="en-US" w:eastAsia="en-AU"/>
        </w:rPr>
      </w:pPr>
      <w:r w:rsidRPr="001D3E93">
        <w:rPr>
          <w:rFonts w:ascii="Verdana" w:eastAsia="Times New Roman" w:hAnsi="Verdana" w:cs="Calibri Light"/>
          <w:color w:val="000000"/>
          <w:lang w:val="en-US" w:eastAsia="en-AU"/>
        </w:rPr>
        <w:t xml:space="preserve">^ Budget increased by $49.8 million </w:t>
      </w:r>
      <w:r w:rsidR="006015ED" w:rsidRPr="001D3E93">
        <w:rPr>
          <w:rFonts w:ascii="Verdana" w:eastAsia="Times New Roman" w:hAnsi="Verdana" w:cs="Calibri Light"/>
          <w:color w:val="000000"/>
          <w:lang w:val="en-US" w:eastAsia="en-AU"/>
        </w:rPr>
        <w:t>as COVID</w:t>
      </w:r>
      <w:r w:rsidR="00DA1A63" w:rsidRPr="001D3E93">
        <w:rPr>
          <w:rFonts w:ascii="Verdana" w:eastAsia="Times New Roman" w:hAnsi="Verdana" w:cs="Calibri Light"/>
          <w:color w:val="000000"/>
          <w:lang w:val="en-US" w:eastAsia="en-AU"/>
        </w:rPr>
        <w:t>-19</w:t>
      </w:r>
      <w:r w:rsidR="006015ED" w:rsidRPr="001D3E93">
        <w:rPr>
          <w:rFonts w:ascii="Verdana" w:eastAsia="Times New Roman" w:hAnsi="Verdana" w:cs="Calibri Light"/>
          <w:color w:val="000000"/>
          <w:lang w:val="en-US" w:eastAsia="en-AU"/>
        </w:rPr>
        <w:t xml:space="preserve"> support measure</w:t>
      </w:r>
    </w:p>
    <w:p w14:paraId="2817B13B" w14:textId="24DA9BE6" w:rsidR="00A0613F" w:rsidRPr="001D3E93" w:rsidRDefault="00A0613F" w:rsidP="00A0613F">
      <w:pPr>
        <w:spacing w:after="160" w:line="259" w:lineRule="auto"/>
        <w:rPr>
          <w:rFonts w:ascii="Verdana" w:eastAsia="Times New Roman" w:hAnsi="Verdana" w:cs="Calibri Light"/>
          <w:color w:val="000000"/>
          <w:lang w:val="en-US" w:eastAsia="en-AU"/>
        </w:rPr>
      </w:pPr>
      <w:r w:rsidRPr="001D3E93">
        <w:rPr>
          <w:rFonts w:ascii="Verdana" w:eastAsia="Times New Roman" w:hAnsi="Verdana" w:cs="Calibri Light"/>
          <w:color w:val="000000"/>
          <w:lang w:val="en-US" w:eastAsia="en-AU"/>
        </w:rPr>
        <w:t>** Budget increased by $60 million</w:t>
      </w:r>
      <w:r w:rsidR="00593F81" w:rsidRPr="001D3E93">
        <w:rPr>
          <w:rFonts w:ascii="Verdana" w:eastAsia="Times New Roman" w:hAnsi="Verdana" w:cs="Calibri Light"/>
          <w:color w:val="000000"/>
          <w:lang w:val="en-US" w:eastAsia="en-AU"/>
        </w:rPr>
        <w:t xml:space="preserve"> as COVID-19 support measure</w:t>
      </w:r>
    </w:p>
    <w:p w14:paraId="2FF6F9C7" w14:textId="4CA8BA3F" w:rsidR="00A0613F" w:rsidRPr="001D3E93" w:rsidRDefault="00A0613F" w:rsidP="00A0613F">
      <w:pPr>
        <w:spacing w:after="160" w:line="259" w:lineRule="auto"/>
        <w:rPr>
          <w:rFonts w:ascii="Verdana" w:eastAsia="Times New Roman" w:hAnsi="Verdana" w:cs="Calibri Light"/>
          <w:color w:val="000000"/>
          <w:lang w:val="en-US" w:eastAsia="en-AU"/>
        </w:rPr>
      </w:pPr>
      <w:r w:rsidRPr="001D3E93">
        <w:rPr>
          <w:rFonts w:ascii="Verdana" w:eastAsia="Times New Roman" w:hAnsi="Verdana" w:cs="Calibri Light"/>
          <w:color w:val="000000"/>
          <w:lang w:val="en-US" w:eastAsia="en-AU"/>
        </w:rPr>
        <w:t>^^$26 million diverted to EMDG 2</w:t>
      </w:r>
      <w:r w:rsidR="005708D1" w:rsidRPr="001D3E93">
        <w:rPr>
          <w:rFonts w:ascii="Verdana" w:eastAsia="Times New Roman" w:hAnsi="Verdana" w:cs="Calibri Light"/>
          <w:color w:val="000000"/>
          <w:lang w:val="en-US" w:eastAsia="en-AU"/>
        </w:rPr>
        <w:t>.0</w:t>
      </w:r>
      <w:r w:rsidRPr="001D3E93">
        <w:rPr>
          <w:rFonts w:ascii="Verdana" w:eastAsia="Times New Roman" w:hAnsi="Verdana" w:cs="Calibri Light"/>
          <w:color w:val="000000"/>
          <w:lang w:val="en-US" w:eastAsia="en-AU"/>
        </w:rPr>
        <w:t xml:space="preserve"> </w:t>
      </w:r>
      <w:r w:rsidR="005708D1" w:rsidRPr="001D3E93">
        <w:rPr>
          <w:rFonts w:ascii="Verdana" w:eastAsia="Times New Roman" w:hAnsi="Verdana" w:cs="Calibri Light"/>
          <w:color w:val="000000"/>
          <w:lang w:val="en-US" w:eastAsia="en-AU"/>
        </w:rPr>
        <w:t>grant commitments</w:t>
      </w:r>
      <w:r w:rsidR="003D7856" w:rsidRPr="001D3E93">
        <w:rPr>
          <w:rFonts w:ascii="Verdana" w:eastAsia="Times New Roman" w:hAnsi="Verdana" w:cs="Calibri Light"/>
          <w:color w:val="000000"/>
          <w:lang w:val="en-US" w:eastAsia="en-AU"/>
        </w:rPr>
        <w:t>, approved on 12 May 2021</w:t>
      </w:r>
      <w:r w:rsidR="00B37A4F" w:rsidRPr="001D3E93">
        <w:rPr>
          <w:rFonts w:ascii="Verdana" w:eastAsia="Times New Roman" w:hAnsi="Verdana" w:cs="Calibri Light"/>
          <w:color w:val="000000"/>
          <w:lang w:val="en-US" w:eastAsia="en-AU"/>
        </w:rPr>
        <w:t>.</w:t>
      </w:r>
    </w:p>
    <w:p w14:paraId="7FFDCF29" w14:textId="77777777" w:rsidR="00511A83" w:rsidRPr="001D3E93" w:rsidRDefault="00511A83" w:rsidP="00A0613F">
      <w:pPr>
        <w:spacing w:after="160" w:line="259" w:lineRule="auto"/>
        <w:rPr>
          <w:rFonts w:ascii="Calibri Light" w:eastAsia="Times New Roman" w:hAnsi="Calibri Light" w:cs="Calibri Light"/>
          <w:color w:val="000000"/>
          <w:sz w:val="18"/>
          <w:szCs w:val="18"/>
          <w:lang w:val="en-US" w:eastAsia="en-AU"/>
        </w:rPr>
      </w:pPr>
    </w:p>
    <w:p w14:paraId="30D91CDD" w14:textId="5A5D506C" w:rsidR="00A0613F" w:rsidRPr="001D3E93" w:rsidRDefault="00CE13D9" w:rsidP="0054361F">
      <w:pPr>
        <w:pStyle w:val="Heading3"/>
        <w:rPr>
          <w:b w:val="0"/>
          <w:bCs w:val="0"/>
          <w:sz w:val="24"/>
          <w:szCs w:val="24"/>
          <w:lang w:val="en-US" w:eastAsia="en-US"/>
        </w:rPr>
      </w:pPr>
      <w:bookmarkStart w:id="75" w:name="_Toc120547692"/>
      <w:bookmarkStart w:id="76" w:name="_Toc124433374"/>
      <w:r w:rsidRPr="001D3E93">
        <w:rPr>
          <w:b w:val="0"/>
          <w:bCs w:val="0"/>
          <w:caps w:val="0"/>
          <w:sz w:val="24"/>
          <w:szCs w:val="24"/>
          <w:lang w:val="en-US" w:eastAsia="en-US"/>
        </w:rPr>
        <w:t xml:space="preserve">The </w:t>
      </w:r>
      <w:r w:rsidR="00FE7F0F" w:rsidRPr="001D3E93">
        <w:rPr>
          <w:b w:val="0"/>
          <w:bCs w:val="0"/>
          <w:caps w:val="0"/>
          <w:sz w:val="24"/>
          <w:szCs w:val="24"/>
          <w:lang w:val="en-US" w:eastAsia="en-US"/>
        </w:rPr>
        <w:t>R</w:t>
      </w:r>
      <w:r w:rsidRPr="001D3E93">
        <w:rPr>
          <w:b w:val="0"/>
          <w:bCs w:val="0"/>
          <w:caps w:val="0"/>
          <w:sz w:val="24"/>
          <w:szCs w:val="24"/>
          <w:lang w:val="en-US" w:eastAsia="en-US"/>
        </w:rPr>
        <w:t xml:space="preserve">ole of EMDG consultants and </w:t>
      </w:r>
      <w:r w:rsidR="00FE7F0F" w:rsidRPr="001D3E93">
        <w:rPr>
          <w:b w:val="0"/>
          <w:bCs w:val="0"/>
          <w:caps w:val="0"/>
          <w:sz w:val="24"/>
          <w:szCs w:val="24"/>
          <w:lang w:val="en-US" w:eastAsia="en-US"/>
        </w:rPr>
        <w:t>G</w:t>
      </w:r>
      <w:r w:rsidRPr="001D3E93">
        <w:rPr>
          <w:b w:val="0"/>
          <w:bCs w:val="0"/>
          <w:caps w:val="0"/>
          <w:sz w:val="24"/>
          <w:szCs w:val="24"/>
          <w:lang w:val="en-US" w:eastAsia="en-US"/>
        </w:rPr>
        <w:t xml:space="preserve">rant </w:t>
      </w:r>
      <w:r w:rsidR="00FE7F0F" w:rsidRPr="001D3E93">
        <w:rPr>
          <w:b w:val="0"/>
          <w:bCs w:val="0"/>
          <w:caps w:val="0"/>
          <w:sz w:val="24"/>
          <w:szCs w:val="24"/>
          <w:lang w:val="en-US" w:eastAsia="en-US"/>
        </w:rPr>
        <w:t>A</w:t>
      </w:r>
      <w:r w:rsidRPr="001D3E93">
        <w:rPr>
          <w:b w:val="0"/>
          <w:bCs w:val="0"/>
          <w:caps w:val="0"/>
          <w:sz w:val="24"/>
          <w:szCs w:val="24"/>
          <w:lang w:val="en-US" w:eastAsia="en-US"/>
        </w:rPr>
        <w:t>gents</w:t>
      </w:r>
      <w:bookmarkEnd w:id="75"/>
      <w:bookmarkEnd w:id="76"/>
    </w:p>
    <w:p w14:paraId="14350E66" w14:textId="6D82C890" w:rsidR="00A0613F" w:rsidRPr="001D3E93" w:rsidRDefault="00A0613F" w:rsidP="00A0613F">
      <w:pPr>
        <w:spacing w:after="160" w:line="259" w:lineRule="auto"/>
        <w:rPr>
          <w:rFonts w:ascii="Verdana" w:eastAsia="Calibri" w:hAnsi="Verdana" w:cs="Arial"/>
          <w:lang w:eastAsia="en-US"/>
        </w:rPr>
      </w:pPr>
      <w:r w:rsidRPr="001D3E93">
        <w:rPr>
          <w:rFonts w:ascii="Verdana" w:eastAsia="Calibri" w:hAnsi="Verdana" w:cs="Arial"/>
          <w:lang w:eastAsia="en-US"/>
        </w:rPr>
        <w:t>EMDG consultants</w:t>
      </w:r>
      <w:r w:rsidRPr="001D3E93" w:rsidDel="00C06900">
        <w:rPr>
          <w:rFonts w:ascii="Verdana" w:eastAsia="Calibri" w:hAnsi="Verdana" w:cs="Arial"/>
          <w:lang w:eastAsia="en-US"/>
        </w:rPr>
        <w:t xml:space="preserve"> </w:t>
      </w:r>
      <w:r w:rsidRPr="001D3E93">
        <w:rPr>
          <w:rFonts w:ascii="Verdana" w:eastAsia="Calibri" w:hAnsi="Verdana" w:cs="Arial"/>
          <w:lang w:eastAsia="en-US"/>
        </w:rPr>
        <w:t xml:space="preserve">played a key role in the EMDG 1.0 reimbursement scheme under arrangements </w:t>
      </w:r>
      <w:r w:rsidR="00062394" w:rsidRPr="001D3E93">
        <w:rPr>
          <w:rFonts w:ascii="Verdana" w:eastAsia="Calibri" w:hAnsi="Verdana" w:cs="Arial"/>
          <w:lang w:eastAsia="en-US"/>
        </w:rPr>
        <w:t>that were</w:t>
      </w:r>
      <w:r w:rsidRPr="001D3E93">
        <w:rPr>
          <w:rFonts w:ascii="Verdana" w:eastAsia="Calibri" w:hAnsi="Verdana" w:cs="Arial"/>
          <w:lang w:eastAsia="en-US"/>
        </w:rPr>
        <w:t xml:space="preserve"> not carried over into the new EMDG 2.0 program.  </w:t>
      </w:r>
    </w:p>
    <w:p w14:paraId="527616CD" w14:textId="77777777" w:rsidR="00A0613F" w:rsidRPr="001D3E93" w:rsidRDefault="00A0613F" w:rsidP="00A0613F">
      <w:pPr>
        <w:spacing w:after="160" w:line="259" w:lineRule="auto"/>
        <w:rPr>
          <w:rFonts w:ascii="Verdana" w:eastAsia="Calibri" w:hAnsi="Verdana" w:cs="Arial"/>
          <w:lang w:eastAsia="en-US"/>
        </w:rPr>
      </w:pPr>
      <w:r w:rsidRPr="001D3E93">
        <w:rPr>
          <w:rFonts w:ascii="Verdana" w:eastAsia="Calibri" w:hAnsi="Verdana" w:cs="Arial"/>
          <w:lang w:eastAsia="en-US"/>
        </w:rPr>
        <w:t xml:space="preserve">As identified in the </w:t>
      </w:r>
      <w:r w:rsidRPr="001D3E93">
        <w:rPr>
          <w:rFonts w:ascii="Verdana" w:eastAsia="Calibri" w:hAnsi="Verdana" w:cs="Arial"/>
          <w:iCs/>
          <w:lang w:eastAsia="en-US"/>
        </w:rPr>
        <w:t>Fisher Review</w:t>
      </w:r>
      <w:r w:rsidRPr="001D3E93">
        <w:rPr>
          <w:rFonts w:ascii="Verdana" w:eastAsia="Calibri" w:hAnsi="Verdana" w:cs="Arial"/>
          <w:lang w:eastAsia="en-US"/>
        </w:rPr>
        <w:t xml:space="preserve">, EMDG 1.0 was complex and difficult to navigate. This resulted in many exporting businesses depending on EMDG consultants to navigate the scheme to ensure they were able to maximise the amount they were entitled to claim. EMDG consultants representing multiple clients could seek accreditation under the Quality Incentive Program (QIP - now discontinued). The QIP scheme was designed to encourage accurate </w:t>
      </w:r>
      <w:r w:rsidRPr="001D3E93">
        <w:rPr>
          <w:rFonts w:ascii="Verdana" w:eastAsia="Calibri" w:hAnsi="Verdana" w:cs="Arial"/>
          <w:lang w:eastAsia="en-US"/>
        </w:rPr>
        <w:lastRenderedPageBreak/>
        <w:t xml:space="preserve">EDMG claims by providing consultants who lodged high-quality claims with an extended lodgement period and a listing on the Austrade website. </w:t>
      </w:r>
    </w:p>
    <w:p w14:paraId="175595B6" w14:textId="34CF786F" w:rsidR="00A0613F" w:rsidRPr="001D3E93" w:rsidRDefault="00A0613F" w:rsidP="00A0613F">
      <w:pPr>
        <w:spacing w:after="160" w:line="259" w:lineRule="auto"/>
        <w:rPr>
          <w:rFonts w:ascii="Verdana" w:eastAsia="Calibri" w:hAnsi="Verdana" w:cs="Arial"/>
          <w:lang w:eastAsia="en-US"/>
        </w:rPr>
      </w:pPr>
      <w:r w:rsidRPr="001D3E93">
        <w:rPr>
          <w:rFonts w:ascii="Verdana" w:eastAsia="Calibri" w:hAnsi="Verdana" w:cs="Arial"/>
          <w:lang w:eastAsia="en-US"/>
        </w:rPr>
        <w:t>EMDG 2.0 is designed to be as simple as possible to support exporters focussing their time and funds on exporting with a simplified application and grant process. Under the EMDG 2.0 program, EMDG consultants, grant writers and grant agents</w:t>
      </w:r>
      <w:r w:rsidR="003A6BAD" w:rsidRPr="001D3E93">
        <w:rPr>
          <w:rFonts w:ascii="Verdana" w:eastAsia="Calibri" w:hAnsi="Verdana" w:cs="Arial"/>
          <w:lang w:eastAsia="en-US"/>
        </w:rPr>
        <w:t xml:space="preserve"> (for the purposes of the EMDG Operational Review collectively called grant agents)</w:t>
      </w:r>
      <w:r w:rsidRPr="001D3E93">
        <w:rPr>
          <w:rFonts w:ascii="Verdana" w:eastAsia="Calibri" w:hAnsi="Verdana" w:cs="Arial"/>
          <w:lang w:eastAsia="en-US"/>
        </w:rPr>
        <w:t xml:space="preserve"> have no status under the </w:t>
      </w:r>
      <w:r w:rsidRPr="001D3E93">
        <w:rPr>
          <w:rFonts w:ascii="Verdana" w:eastAsia="Calibri" w:hAnsi="Verdana" w:cs="Arial"/>
          <w:iCs/>
          <w:lang w:eastAsia="en-US"/>
        </w:rPr>
        <w:t>Export Market Development Grants Act 1997</w:t>
      </w:r>
      <w:r w:rsidRPr="001D3E93">
        <w:rPr>
          <w:rFonts w:ascii="Verdana" w:eastAsia="Calibri" w:hAnsi="Verdana" w:cs="Arial"/>
          <w:i/>
          <w:lang w:eastAsia="en-US"/>
        </w:rPr>
        <w:t xml:space="preserve">. </w:t>
      </w:r>
      <w:r w:rsidRPr="001D3E93">
        <w:rPr>
          <w:rFonts w:ascii="Verdana" w:eastAsia="Calibri" w:hAnsi="Verdana" w:cs="Arial"/>
          <w:lang w:eastAsia="en-US"/>
        </w:rPr>
        <w:t xml:space="preserve">This is consistent with other Commonwealth grants programs. </w:t>
      </w:r>
    </w:p>
    <w:p w14:paraId="495D156C" w14:textId="7576C2A2" w:rsidR="00A0613F" w:rsidRPr="001D3E93" w:rsidRDefault="00A0613F" w:rsidP="00A0613F">
      <w:pPr>
        <w:spacing w:after="160" w:line="259" w:lineRule="auto"/>
        <w:rPr>
          <w:rFonts w:ascii="Verdana" w:eastAsia="Calibri" w:hAnsi="Verdana" w:cs="Arial"/>
          <w:lang w:eastAsia="en-US"/>
        </w:rPr>
      </w:pPr>
      <w:r w:rsidRPr="001D3E93">
        <w:rPr>
          <w:rFonts w:ascii="Verdana" w:eastAsia="Calibri" w:hAnsi="Verdana" w:cs="Arial"/>
          <w:lang w:eastAsia="en-US"/>
        </w:rPr>
        <w:t>Under EMDG 2.0, applicants may use businesses to assist them throughout the grant process. To maintain consistency, probity and integrity in the EMDG</w:t>
      </w:r>
      <w:r w:rsidR="0021138C" w:rsidRPr="001D3E93">
        <w:rPr>
          <w:rFonts w:ascii="Verdana" w:eastAsia="Calibri" w:hAnsi="Verdana" w:cs="Arial"/>
          <w:lang w:eastAsia="en-US"/>
        </w:rPr>
        <w:t xml:space="preserve"> program</w:t>
      </w:r>
      <w:r w:rsidRPr="001D3E93">
        <w:rPr>
          <w:rFonts w:ascii="Verdana" w:eastAsia="Calibri" w:hAnsi="Verdana" w:cs="Arial"/>
          <w:lang w:eastAsia="en-US"/>
        </w:rPr>
        <w:t xml:space="preserve">, Austrade provides the same level of communication, education, support and assistance to all applicants and grant agents. There are many consulting and grant writing businesses </w:t>
      </w:r>
      <w:r w:rsidR="00C354E6" w:rsidRPr="001D3E93">
        <w:rPr>
          <w:rFonts w:ascii="Verdana" w:eastAsia="Calibri" w:hAnsi="Verdana" w:cs="Arial"/>
          <w:lang w:eastAsia="en-US"/>
        </w:rPr>
        <w:t>that</w:t>
      </w:r>
      <w:r w:rsidRPr="001D3E93">
        <w:rPr>
          <w:rFonts w:ascii="Verdana" w:eastAsia="Calibri" w:hAnsi="Verdana" w:cs="Arial"/>
          <w:lang w:eastAsia="en-US"/>
        </w:rPr>
        <w:t xml:space="preserve"> support organisations to lodge a variety of </w:t>
      </w:r>
      <w:r w:rsidR="00185CF3" w:rsidRPr="001D3E93">
        <w:rPr>
          <w:rFonts w:ascii="Verdana" w:eastAsia="Calibri" w:hAnsi="Verdana" w:cs="Arial"/>
          <w:lang w:eastAsia="en-US"/>
        </w:rPr>
        <w:t xml:space="preserve">government and charitable </w:t>
      </w:r>
      <w:r w:rsidRPr="001D3E93">
        <w:rPr>
          <w:rFonts w:ascii="Verdana" w:eastAsia="Calibri" w:hAnsi="Verdana" w:cs="Arial"/>
          <w:lang w:eastAsia="en-US"/>
        </w:rPr>
        <w:t>grant applications. Some of these businesses promoted EMDG 2.0 and engaged with it for the first time. An Austrade survey undertaken of grant agents post-Round 1 reveals significant differences in views between QIP and non-QIP agents. Many new applicants to EMDG 2.0 were introduced to the program by agents. Austrade has undertaken a review of grant agents’ websites and provided information to seek correction where information about EMDG was inconsistent with the program rules and guidelines.</w:t>
      </w:r>
    </w:p>
    <w:p w14:paraId="42FE1BC3" w14:textId="203F2203" w:rsidR="00A0613F" w:rsidRPr="001D3E93" w:rsidRDefault="00A0613F" w:rsidP="00A0613F">
      <w:pPr>
        <w:spacing w:after="0" w:line="257"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Table 8 shows a breakdown of EMDG applications by grant agents.</w:t>
      </w:r>
    </w:p>
    <w:p w14:paraId="297BE294" w14:textId="77777777" w:rsidR="00A0613F" w:rsidRPr="001D3E93" w:rsidRDefault="00A0613F" w:rsidP="004E6261">
      <w:pPr>
        <w:pStyle w:val="Heading4"/>
        <w:rPr>
          <w:b w:val="0"/>
          <w:bCs w:val="0"/>
        </w:rPr>
      </w:pPr>
      <w:r w:rsidRPr="001D3E93">
        <w:rPr>
          <w:b w:val="0"/>
          <w:bCs w:val="0"/>
        </w:rPr>
        <w:t>Table 8: Applicants submitted by grant agents</w:t>
      </w:r>
    </w:p>
    <w:tbl>
      <w:tblPr>
        <w:tblStyle w:val="TableGrid1"/>
        <w:tblW w:w="9880" w:type="dxa"/>
        <w:tblInd w:w="-113" w:type="dxa"/>
        <w:tblLook w:val="0420" w:firstRow="1" w:lastRow="0" w:firstColumn="0" w:lastColumn="0" w:noHBand="0" w:noVBand="1"/>
        <w:tblCaption w:val="Table 8: Applicants submitted by grant agents"/>
      </w:tblPr>
      <w:tblGrid>
        <w:gridCol w:w="4940"/>
        <w:gridCol w:w="4940"/>
      </w:tblGrid>
      <w:tr w:rsidR="00483A71" w:rsidRPr="001D3E93" w14:paraId="3FE6566F" w14:textId="77777777" w:rsidTr="00B97BFE">
        <w:trPr>
          <w:trHeight w:val="305"/>
          <w:tblHeader/>
        </w:trPr>
        <w:tc>
          <w:tcPr>
            <w:tcW w:w="4940" w:type="dxa"/>
            <w:shd w:val="clear" w:color="auto" w:fill="412564" w:themeFill="text2" w:themeFillTint="E6"/>
            <w:vAlign w:val="bottom"/>
          </w:tcPr>
          <w:p w14:paraId="10B02056" w14:textId="77777777" w:rsidR="00A0613F" w:rsidRPr="001D3E93" w:rsidRDefault="00A0613F" w:rsidP="00A0613F">
            <w:pPr>
              <w:spacing w:after="160" w:line="259" w:lineRule="auto"/>
              <w:rPr>
                <w:rFonts w:ascii="Verdana" w:eastAsia="Times New Roman" w:hAnsi="Verdana" w:cs="Calibri"/>
                <w:color w:val="FFFFFF"/>
                <w:kern w:val="24"/>
                <w:lang w:val="en-US" w:eastAsia="en-AU"/>
              </w:rPr>
            </w:pPr>
            <w:r w:rsidRPr="001D3E93">
              <w:rPr>
                <w:rFonts w:ascii="Verdana" w:eastAsia="Times New Roman" w:hAnsi="Verdana" w:cs="Calibri"/>
                <w:color w:val="FFFFFF"/>
                <w:kern w:val="24"/>
                <w:lang w:val="en-US" w:eastAsia="en-AU"/>
              </w:rPr>
              <w:t>EMDG 2.0 Round 1</w:t>
            </w:r>
          </w:p>
        </w:tc>
        <w:tc>
          <w:tcPr>
            <w:tcW w:w="4940" w:type="dxa"/>
            <w:shd w:val="clear" w:color="auto" w:fill="412564" w:themeFill="text2" w:themeFillTint="E6"/>
          </w:tcPr>
          <w:p w14:paraId="4FD52B2E" w14:textId="77777777" w:rsidR="00A0613F" w:rsidRPr="001D3E93" w:rsidRDefault="00A0613F" w:rsidP="00A0613F">
            <w:pPr>
              <w:spacing w:after="160" w:line="259" w:lineRule="auto"/>
              <w:rPr>
                <w:rFonts w:ascii="Verdana" w:eastAsia="MS Mincho" w:hAnsi="Verdana" w:cs="Arial"/>
                <w:color w:val="FFFFFF"/>
                <w:kern w:val="24"/>
                <w:lang w:val="en-US" w:eastAsia="en-AU"/>
              </w:rPr>
            </w:pPr>
            <w:r w:rsidRPr="001D3E93">
              <w:rPr>
                <w:rFonts w:ascii="Verdana" w:eastAsia="Times New Roman" w:hAnsi="Verdana" w:cs="Arial"/>
                <w:color w:val="FFFFFF"/>
                <w:lang w:val="en-US" w:eastAsia="en-AU"/>
              </w:rPr>
              <w:t>EMDG 2.0 Round 2</w:t>
            </w:r>
          </w:p>
        </w:tc>
      </w:tr>
      <w:tr w:rsidR="00A0613F" w:rsidRPr="001D3E93" w14:paraId="272E1F15" w14:textId="77777777" w:rsidTr="00C43FB9">
        <w:trPr>
          <w:trHeight w:val="2461"/>
        </w:trPr>
        <w:tc>
          <w:tcPr>
            <w:tcW w:w="4940" w:type="dxa"/>
            <w:hideMark/>
          </w:tcPr>
          <w:p w14:paraId="028EA82F" w14:textId="77777777" w:rsidR="00A0613F" w:rsidRPr="001D3E93" w:rsidRDefault="00A0613F" w:rsidP="00D23A9E">
            <w:pPr>
              <w:spacing w:after="120"/>
              <w:rPr>
                <w:lang w:val="en-US" w:eastAsia="en-AU"/>
              </w:rPr>
            </w:pPr>
            <w:r w:rsidRPr="001D3E93">
              <w:rPr>
                <w:lang w:val="en-US" w:eastAsia="en-AU"/>
              </w:rPr>
              <w:t>247 agents submitted applications; 36 agents were new to EMDG:</w:t>
            </w:r>
          </w:p>
          <w:p w14:paraId="35D6CDF8" w14:textId="473F4C34" w:rsidR="00A0613F" w:rsidRPr="001D3E93" w:rsidRDefault="00A0613F" w:rsidP="00D23A9E">
            <w:pPr>
              <w:spacing w:after="120"/>
              <w:rPr>
                <w:lang w:val="en-US" w:eastAsia="en-AU"/>
              </w:rPr>
            </w:pPr>
            <w:r w:rsidRPr="001D3E93">
              <w:rPr>
                <w:lang w:val="en-US" w:eastAsia="en-AU"/>
              </w:rPr>
              <w:t xml:space="preserve">50 </w:t>
            </w:r>
            <w:r w:rsidR="005C75DA" w:rsidRPr="001D3E93">
              <w:rPr>
                <w:lang w:val="en-US" w:eastAsia="en-AU"/>
              </w:rPr>
              <w:t>agents</w:t>
            </w:r>
            <w:r w:rsidRPr="001D3E93">
              <w:rPr>
                <w:lang w:val="en-US" w:eastAsia="en-AU"/>
              </w:rPr>
              <w:t xml:space="preserve"> submitted 1 application (20 per cent)</w:t>
            </w:r>
          </w:p>
          <w:p w14:paraId="0CA87419" w14:textId="42A36D41" w:rsidR="00A0613F" w:rsidRPr="001D3E93" w:rsidRDefault="00A0613F" w:rsidP="00D23A9E">
            <w:pPr>
              <w:spacing w:after="120"/>
              <w:rPr>
                <w:lang w:val="en-US" w:eastAsia="en-AU"/>
              </w:rPr>
            </w:pPr>
            <w:r w:rsidRPr="001D3E93">
              <w:rPr>
                <w:lang w:val="en-US" w:eastAsia="en-AU"/>
              </w:rPr>
              <w:t xml:space="preserve">103 </w:t>
            </w:r>
            <w:r w:rsidR="005C75DA" w:rsidRPr="001D3E93">
              <w:rPr>
                <w:lang w:val="en-US" w:eastAsia="en-AU"/>
              </w:rPr>
              <w:t>agents</w:t>
            </w:r>
            <w:r w:rsidRPr="001D3E93">
              <w:rPr>
                <w:lang w:val="en-US" w:eastAsia="en-AU"/>
              </w:rPr>
              <w:t xml:space="preserve"> submitted between 2 to 9 applications (42 per cent)</w:t>
            </w:r>
          </w:p>
          <w:p w14:paraId="357A94C3" w14:textId="237F642B" w:rsidR="00A0613F" w:rsidRPr="001D3E93" w:rsidRDefault="00A0613F" w:rsidP="00D23A9E">
            <w:pPr>
              <w:spacing w:after="120"/>
              <w:rPr>
                <w:lang w:val="en-US" w:eastAsia="en-AU"/>
              </w:rPr>
            </w:pPr>
            <w:r w:rsidRPr="001D3E93">
              <w:rPr>
                <w:lang w:val="en-US" w:eastAsia="en-AU"/>
              </w:rPr>
              <w:t xml:space="preserve">43 </w:t>
            </w:r>
            <w:r w:rsidR="005C75DA" w:rsidRPr="001D3E93">
              <w:rPr>
                <w:lang w:val="en-US" w:eastAsia="en-AU"/>
              </w:rPr>
              <w:t>agents</w:t>
            </w:r>
            <w:r w:rsidRPr="001D3E93">
              <w:rPr>
                <w:lang w:val="en-US" w:eastAsia="en-AU"/>
              </w:rPr>
              <w:t xml:space="preserve"> submitted between 10 to 19 applications (17 per cent)</w:t>
            </w:r>
          </w:p>
          <w:p w14:paraId="3AA9C0BA" w14:textId="22C82CED" w:rsidR="00A0613F" w:rsidRPr="001D3E93" w:rsidRDefault="00A0613F" w:rsidP="00D23A9E">
            <w:pPr>
              <w:spacing w:after="120"/>
              <w:rPr>
                <w:lang w:val="en-US" w:eastAsia="en-AU"/>
              </w:rPr>
            </w:pPr>
            <w:r w:rsidRPr="001D3E93">
              <w:rPr>
                <w:lang w:val="en-US" w:eastAsia="en-AU"/>
              </w:rPr>
              <w:t xml:space="preserve">29 </w:t>
            </w:r>
            <w:r w:rsidR="005C75DA" w:rsidRPr="001D3E93">
              <w:rPr>
                <w:lang w:val="en-US" w:eastAsia="en-AU"/>
              </w:rPr>
              <w:t>agents</w:t>
            </w:r>
            <w:r w:rsidRPr="001D3E93">
              <w:rPr>
                <w:lang w:val="en-US" w:eastAsia="en-AU"/>
              </w:rPr>
              <w:t xml:space="preserve"> submitted 20 to 49 applications (12 per cent)</w:t>
            </w:r>
          </w:p>
          <w:p w14:paraId="1D5368C7" w14:textId="4D8C27F4" w:rsidR="00A0613F" w:rsidRPr="001D3E93" w:rsidRDefault="00A0613F" w:rsidP="00D23A9E">
            <w:pPr>
              <w:spacing w:after="120"/>
              <w:rPr>
                <w:lang w:val="en-US" w:eastAsia="en-AU"/>
              </w:rPr>
            </w:pPr>
            <w:r w:rsidRPr="001D3E93">
              <w:rPr>
                <w:lang w:val="en-US" w:eastAsia="en-AU"/>
              </w:rPr>
              <w:t xml:space="preserve">15 </w:t>
            </w:r>
            <w:r w:rsidR="005C75DA" w:rsidRPr="001D3E93">
              <w:rPr>
                <w:lang w:val="en-US" w:eastAsia="en-AU"/>
              </w:rPr>
              <w:t>agents</w:t>
            </w:r>
            <w:r w:rsidRPr="001D3E93">
              <w:rPr>
                <w:lang w:val="en-US" w:eastAsia="en-AU"/>
              </w:rPr>
              <w:t xml:space="preserve"> submitted 50 to 99 applications (6 per cent)</w:t>
            </w:r>
          </w:p>
          <w:p w14:paraId="23E75F87" w14:textId="5D69C1A8" w:rsidR="00A0613F" w:rsidRPr="001D3E93" w:rsidRDefault="00A0613F" w:rsidP="00D23A9E">
            <w:pPr>
              <w:spacing w:after="120"/>
              <w:rPr>
                <w:lang w:val="en-US" w:eastAsia="en-AU"/>
              </w:rPr>
            </w:pPr>
            <w:r w:rsidRPr="001D3E93">
              <w:rPr>
                <w:lang w:val="en-US" w:eastAsia="en-AU"/>
              </w:rPr>
              <w:t xml:space="preserve">7 </w:t>
            </w:r>
            <w:r w:rsidR="005C75DA" w:rsidRPr="001D3E93">
              <w:rPr>
                <w:lang w:val="en-US" w:eastAsia="en-AU"/>
              </w:rPr>
              <w:t>agents</w:t>
            </w:r>
            <w:r w:rsidRPr="001D3E93">
              <w:rPr>
                <w:lang w:val="en-US" w:eastAsia="en-AU"/>
              </w:rPr>
              <w:t xml:space="preserve"> submitted 100 or more applications (3 per cent)</w:t>
            </w:r>
          </w:p>
        </w:tc>
        <w:tc>
          <w:tcPr>
            <w:tcW w:w="4940" w:type="dxa"/>
            <w:hideMark/>
          </w:tcPr>
          <w:p w14:paraId="7E489196" w14:textId="77777777" w:rsidR="00A0613F" w:rsidRPr="001D3E93" w:rsidRDefault="00A0613F" w:rsidP="00D23A9E">
            <w:pPr>
              <w:spacing w:after="120"/>
              <w:rPr>
                <w:lang w:val="en-US" w:eastAsia="en-AU"/>
              </w:rPr>
            </w:pPr>
            <w:r w:rsidRPr="001D3E93">
              <w:rPr>
                <w:rFonts w:eastAsia="MS Mincho"/>
                <w:lang w:val="en-US" w:eastAsia="en-AU"/>
              </w:rPr>
              <w:t>189 agents submitted applications; 23 agents were new to EMDG:</w:t>
            </w:r>
          </w:p>
          <w:p w14:paraId="410615A3" w14:textId="299EE947" w:rsidR="00A0613F" w:rsidRPr="001D3E93" w:rsidRDefault="00A0613F" w:rsidP="00D23A9E">
            <w:pPr>
              <w:spacing w:after="120"/>
              <w:rPr>
                <w:lang w:val="en-US" w:eastAsia="en-AU"/>
              </w:rPr>
            </w:pPr>
            <w:r w:rsidRPr="001D3E93">
              <w:rPr>
                <w:rFonts w:eastAsia="MS Mincho"/>
                <w:lang w:val="en-US" w:eastAsia="en-AU"/>
              </w:rPr>
              <w:t>50 agents submitted 1 application (26 per cent)</w:t>
            </w:r>
          </w:p>
          <w:p w14:paraId="2178E8A8" w14:textId="77777777" w:rsidR="00A0613F" w:rsidRPr="001D3E93" w:rsidRDefault="00A0613F" w:rsidP="00D23A9E">
            <w:pPr>
              <w:spacing w:after="120"/>
              <w:rPr>
                <w:lang w:val="en-US" w:eastAsia="en-AU"/>
              </w:rPr>
            </w:pPr>
            <w:r w:rsidRPr="001D3E93">
              <w:rPr>
                <w:rFonts w:eastAsia="MS Mincho"/>
                <w:lang w:val="en-US" w:eastAsia="en-AU"/>
              </w:rPr>
              <w:t>92 agents submitted between 2 to 9 applications (49 per cent)</w:t>
            </w:r>
          </w:p>
          <w:p w14:paraId="368231B9" w14:textId="77777777" w:rsidR="00A0613F" w:rsidRPr="001D3E93" w:rsidRDefault="00A0613F" w:rsidP="00D23A9E">
            <w:pPr>
              <w:spacing w:after="120"/>
              <w:rPr>
                <w:lang w:val="en-US" w:eastAsia="en-AU"/>
              </w:rPr>
            </w:pPr>
            <w:r w:rsidRPr="001D3E93">
              <w:rPr>
                <w:rFonts w:eastAsia="MS Mincho"/>
                <w:lang w:val="en-US" w:eastAsia="en-AU"/>
              </w:rPr>
              <w:t>26 agents submitted between 10 to 19 applications (14 per cent)</w:t>
            </w:r>
          </w:p>
          <w:p w14:paraId="3BBA64FE" w14:textId="5BF99A73" w:rsidR="00A0613F" w:rsidRPr="001D3E93" w:rsidRDefault="00A0613F" w:rsidP="00D23A9E">
            <w:pPr>
              <w:spacing w:after="120"/>
              <w:rPr>
                <w:lang w:val="en-US" w:eastAsia="en-AU"/>
              </w:rPr>
            </w:pPr>
            <w:r w:rsidRPr="001D3E93">
              <w:rPr>
                <w:rFonts w:eastAsia="MS Mincho"/>
                <w:lang w:val="en-US" w:eastAsia="en-AU"/>
              </w:rPr>
              <w:t>15 agents submitted 20 to 49 applications (8 per cent)</w:t>
            </w:r>
          </w:p>
          <w:p w14:paraId="78C1357E" w14:textId="725D91C7" w:rsidR="00A0613F" w:rsidRPr="001D3E93" w:rsidRDefault="00A0613F" w:rsidP="00D23A9E">
            <w:pPr>
              <w:spacing w:after="120"/>
              <w:rPr>
                <w:lang w:val="en-US" w:eastAsia="en-AU"/>
              </w:rPr>
            </w:pPr>
            <w:r w:rsidRPr="001D3E93">
              <w:rPr>
                <w:rFonts w:eastAsia="MS Mincho"/>
                <w:lang w:val="en-US" w:eastAsia="en-AU"/>
              </w:rPr>
              <w:t>6 agents submitted 50 or more applications (3 per cent)</w:t>
            </w:r>
          </w:p>
        </w:tc>
      </w:tr>
    </w:tbl>
    <w:p w14:paraId="2F6B294B" w14:textId="1133165D" w:rsidR="00A0613F" w:rsidRPr="001D3E93" w:rsidRDefault="00A0613F">
      <w:pPr>
        <w:spacing w:after="160" w:line="259" w:lineRule="auto"/>
        <w:rPr>
          <w:rFonts w:eastAsia="Calibri" w:cs="Arial"/>
          <w:lang w:val="en-US" w:eastAsia="en-US"/>
        </w:rPr>
      </w:pPr>
      <w:r w:rsidRPr="001D3E93">
        <w:rPr>
          <w:rFonts w:eastAsia="Calibri" w:cs="Arial"/>
          <w:lang w:val="en-US" w:eastAsia="en-US"/>
        </w:rPr>
        <w:t>*</w:t>
      </w:r>
      <w:r w:rsidR="00A618BD" w:rsidRPr="001D3E93">
        <w:rPr>
          <w:rFonts w:eastAsia="Calibri" w:cs="Arial"/>
          <w:lang w:val="en-US" w:eastAsia="en-US"/>
        </w:rPr>
        <w:t>Components</w:t>
      </w:r>
      <w:r w:rsidRPr="001D3E93">
        <w:rPr>
          <w:rFonts w:eastAsia="Calibri" w:cs="Arial"/>
          <w:lang w:val="en-US" w:eastAsia="en-US"/>
        </w:rPr>
        <w:t xml:space="preserve"> may not add to totals due to rounding    </w:t>
      </w:r>
    </w:p>
    <w:p w14:paraId="49E0A122" w14:textId="7F91D25A" w:rsidR="00F06F0B" w:rsidRPr="001D3E93" w:rsidRDefault="00F06F0B" w:rsidP="00F06F0B">
      <w:pPr>
        <w:spacing w:after="160" w:line="259" w:lineRule="auto"/>
        <w:rPr>
          <w:rFonts w:ascii="Calibri" w:eastAsia="Calibri" w:hAnsi="Calibri" w:cs="Arial"/>
          <w:sz w:val="22"/>
          <w:szCs w:val="22"/>
          <w:lang w:val="en-US" w:eastAsia="en-US"/>
        </w:rPr>
      </w:pPr>
    </w:p>
    <w:p w14:paraId="183FC8EC" w14:textId="41E7B803" w:rsidR="00F06F0B" w:rsidRPr="001D3E93" w:rsidRDefault="00F06F0B" w:rsidP="00F06F0B">
      <w:pPr>
        <w:spacing w:after="160" w:line="259" w:lineRule="auto"/>
        <w:rPr>
          <w:rFonts w:ascii="Calibri" w:eastAsia="Calibri" w:hAnsi="Calibri" w:cs="Arial"/>
          <w:sz w:val="22"/>
          <w:szCs w:val="22"/>
          <w:lang w:val="en-US" w:eastAsia="en-US"/>
        </w:rPr>
      </w:pPr>
    </w:p>
    <w:p w14:paraId="718B132B" w14:textId="5106AA7B" w:rsidR="00F06F0B" w:rsidRPr="001D3E93" w:rsidRDefault="00F06F0B" w:rsidP="00F06F0B">
      <w:pPr>
        <w:spacing w:after="160" w:line="259" w:lineRule="auto"/>
        <w:rPr>
          <w:rFonts w:ascii="Calibri" w:eastAsia="Calibri" w:hAnsi="Calibri" w:cs="Arial"/>
          <w:sz w:val="22"/>
          <w:szCs w:val="22"/>
          <w:lang w:val="en-US" w:eastAsia="en-US"/>
        </w:rPr>
      </w:pPr>
    </w:p>
    <w:p w14:paraId="07C71EAF" w14:textId="70AC6CA5" w:rsidR="00F06F0B" w:rsidRPr="001D3E93" w:rsidRDefault="00F06F0B" w:rsidP="00F06F0B">
      <w:pPr>
        <w:spacing w:after="160" w:line="259" w:lineRule="auto"/>
        <w:rPr>
          <w:rFonts w:ascii="Calibri" w:eastAsia="Calibri" w:hAnsi="Calibri" w:cs="Arial"/>
          <w:sz w:val="22"/>
          <w:szCs w:val="22"/>
          <w:lang w:val="en-US" w:eastAsia="en-US"/>
        </w:rPr>
      </w:pPr>
    </w:p>
    <w:p w14:paraId="21D0DF5E" w14:textId="3FBE7193" w:rsidR="00F06F0B" w:rsidRPr="001D3E93" w:rsidRDefault="00F06F0B" w:rsidP="00F06F0B">
      <w:pPr>
        <w:spacing w:after="160" w:line="259" w:lineRule="auto"/>
        <w:rPr>
          <w:rFonts w:ascii="Calibri" w:eastAsia="Calibri" w:hAnsi="Calibri" w:cs="Arial"/>
          <w:sz w:val="22"/>
          <w:szCs w:val="22"/>
          <w:lang w:val="en-US" w:eastAsia="en-US"/>
        </w:rPr>
      </w:pPr>
    </w:p>
    <w:p w14:paraId="7F0A6035" w14:textId="41B49FC4" w:rsidR="0054361F" w:rsidRPr="001D3E93" w:rsidRDefault="0054361F" w:rsidP="00A3430B">
      <w:pPr>
        <w:spacing w:after="160" w:line="259" w:lineRule="auto"/>
        <w:rPr>
          <w:color w:val="1E988A" w:themeColor="background2"/>
          <w:sz w:val="26"/>
          <w:szCs w:val="26"/>
          <w:lang w:val="en-US" w:eastAsia="en-US"/>
        </w:rPr>
      </w:pPr>
      <w:bookmarkStart w:id="77" w:name="_Toc116985993"/>
      <w:bookmarkStart w:id="78" w:name="_Toc117765771"/>
      <w:bookmarkStart w:id="79" w:name="_Toc116982742"/>
      <w:bookmarkStart w:id="80" w:name="_Hlk115957005"/>
    </w:p>
    <w:p w14:paraId="3D1BF2B8" w14:textId="1CB9006D" w:rsidR="00A0613F" w:rsidRPr="00A3430B" w:rsidRDefault="00A0613F" w:rsidP="0054361F">
      <w:pPr>
        <w:pStyle w:val="Heading2"/>
        <w:rPr>
          <w:rFonts w:eastAsia="Verdana" w:cs="Verdana"/>
          <w:b w:val="0"/>
          <w:bCs w:val="0"/>
          <w:color w:val="0F4C44" w:themeColor="background2" w:themeShade="80"/>
          <w:lang w:val="en-US" w:eastAsia="en-US"/>
        </w:rPr>
      </w:pPr>
      <w:bookmarkStart w:id="81" w:name="_Toc120547693"/>
      <w:bookmarkStart w:id="82" w:name="_Toc124433375"/>
      <w:r w:rsidRPr="00A3430B">
        <w:rPr>
          <w:b w:val="0"/>
          <w:bCs w:val="0"/>
          <w:color w:val="0F4C44" w:themeColor="accent3" w:themeShade="80"/>
          <w:lang w:val="en-US" w:eastAsia="en-US"/>
        </w:rPr>
        <w:lastRenderedPageBreak/>
        <w:t xml:space="preserve">3.  EMDG </w:t>
      </w:r>
      <w:r w:rsidR="00721A77" w:rsidRPr="00A3430B">
        <w:rPr>
          <w:b w:val="0"/>
          <w:bCs w:val="0"/>
          <w:color w:val="0F4C44" w:themeColor="accent3" w:themeShade="80"/>
          <w:lang w:val="en-US" w:eastAsia="en-US"/>
        </w:rPr>
        <w:t>2.0</w:t>
      </w:r>
      <w:r w:rsidRPr="00A3430B">
        <w:rPr>
          <w:b w:val="0"/>
          <w:bCs w:val="0"/>
          <w:color w:val="0F4C44" w:themeColor="accent3" w:themeShade="80"/>
          <w:lang w:val="en-US" w:eastAsia="en-US"/>
        </w:rPr>
        <w:t xml:space="preserve"> Program Rollout</w:t>
      </w:r>
      <w:bookmarkEnd w:id="77"/>
      <w:bookmarkEnd w:id="78"/>
      <w:bookmarkEnd w:id="81"/>
      <w:bookmarkEnd w:id="82"/>
      <w:r w:rsidRPr="00A3430B">
        <w:rPr>
          <w:b w:val="0"/>
          <w:bCs w:val="0"/>
          <w:color w:val="0F4C44" w:themeColor="accent3" w:themeShade="80"/>
          <w:lang w:val="en-US" w:eastAsia="en-US"/>
        </w:rPr>
        <w:t xml:space="preserve"> </w:t>
      </w:r>
      <w:bookmarkEnd w:id="79"/>
    </w:p>
    <w:bookmarkEnd w:id="80"/>
    <w:p w14:paraId="743B59D4" w14:textId="31899359" w:rsidR="00A0613F" w:rsidRPr="001D3E93" w:rsidRDefault="00A0613F" w:rsidP="00A0613F">
      <w:pPr>
        <w:spacing w:line="240"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Austrade was directed to launch the reformed EMDG 2.0 program on 1 July 2021. This resulted in Austrade delivering EMDG 1.0 and designing and delivering EMDG 2.0 concurrently in financial year 2021-2022. The</w:t>
      </w:r>
      <w:r w:rsidR="00E65202" w:rsidRPr="001D3E93">
        <w:rPr>
          <w:rFonts w:ascii="Verdana" w:eastAsia="Verdana" w:hAnsi="Verdana" w:cs="Arial"/>
          <w:color w:val="000000"/>
          <w:lang w:val="en-US" w:eastAsia="en-US"/>
        </w:rPr>
        <w:t xml:space="preserve">re was no funding increase </w:t>
      </w:r>
      <w:r w:rsidRPr="001D3E93">
        <w:rPr>
          <w:rFonts w:ascii="Verdana" w:eastAsia="Verdana" w:hAnsi="Verdana" w:cs="Arial"/>
          <w:color w:val="000000"/>
          <w:lang w:val="en-US" w:eastAsia="en-US"/>
        </w:rPr>
        <w:t>for EMDG in 2021-</w:t>
      </w:r>
      <w:r w:rsidR="00CD132A" w:rsidRPr="001D3E93">
        <w:rPr>
          <w:rFonts w:ascii="Verdana" w:eastAsia="Verdana" w:hAnsi="Verdana" w:cs="Arial"/>
          <w:color w:val="000000"/>
          <w:lang w:val="en-US" w:eastAsia="en-US"/>
        </w:rPr>
        <w:t>20</w:t>
      </w:r>
      <w:r w:rsidRPr="001D3E93">
        <w:rPr>
          <w:rFonts w:ascii="Verdana" w:eastAsia="Verdana" w:hAnsi="Verdana" w:cs="Arial"/>
          <w:color w:val="000000"/>
          <w:lang w:val="en-US" w:eastAsia="en-US"/>
        </w:rPr>
        <w:t>22</w:t>
      </w:r>
      <w:r w:rsidR="00E65202" w:rsidRPr="001D3E93">
        <w:rPr>
          <w:rFonts w:ascii="Verdana" w:eastAsia="Verdana" w:hAnsi="Verdana" w:cs="Arial"/>
          <w:color w:val="000000"/>
          <w:lang w:val="en-US" w:eastAsia="en-US"/>
        </w:rPr>
        <w:t xml:space="preserve"> to account for delivering the two schemes with $26 million set aside </w:t>
      </w:r>
      <w:r w:rsidR="005A3C87" w:rsidRPr="001D3E93">
        <w:rPr>
          <w:rFonts w:ascii="Verdana" w:eastAsia="Verdana" w:hAnsi="Verdana" w:cs="Arial"/>
          <w:color w:val="000000"/>
          <w:lang w:val="en-US" w:eastAsia="en-US"/>
        </w:rPr>
        <w:t>specifically from the appropriation to dedicate to</w:t>
      </w:r>
      <w:r w:rsidR="00E65202" w:rsidRPr="001D3E93">
        <w:rPr>
          <w:rFonts w:ascii="Verdana" w:eastAsia="Verdana" w:hAnsi="Verdana" w:cs="Arial"/>
          <w:color w:val="000000"/>
          <w:lang w:val="en-US" w:eastAsia="en-US"/>
        </w:rPr>
        <w:t xml:space="preserve"> EMDG 2.0 Round 1 payments for Tier 1 and representative body applicants. In that year,</w:t>
      </w:r>
      <w:r w:rsidRPr="001D3E93">
        <w:rPr>
          <w:rFonts w:ascii="Verdana" w:eastAsia="Verdana" w:hAnsi="Verdana" w:cs="Arial"/>
          <w:color w:val="000000"/>
          <w:lang w:val="en-US" w:eastAsia="en-US"/>
        </w:rPr>
        <w:t xml:space="preserve"> as a temporary measure, Austrade was granted approval to spend 7 per cent of the appropriation funding on program rollout and administration costs to cover both EMDG 1.0 and EMDG 2.0 programs. </w:t>
      </w:r>
      <w:r w:rsidR="00E65202" w:rsidRPr="001D3E93">
        <w:rPr>
          <w:rFonts w:ascii="Verdana" w:eastAsia="Verdana" w:hAnsi="Verdana" w:cs="Arial"/>
          <w:color w:val="000000"/>
          <w:lang w:val="en-US" w:eastAsia="en-US"/>
        </w:rPr>
        <w:t>The normal administrative allocation is 5 per cent.</w:t>
      </w:r>
      <w:r w:rsidRPr="001D3E93">
        <w:rPr>
          <w:rFonts w:ascii="Verdana" w:eastAsia="Verdana" w:hAnsi="Verdana" w:cs="Arial"/>
          <w:color w:val="000000"/>
          <w:lang w:val="en-US" w:eastAsia="en-US"/>
        </w:rPr>
        <w:t xml:space="preserve"> </w:t>
      </w:r>
    </w:p>
    <w:p w14:paraId="23F203D1" w14:textId="27EC7443" w:rsidR="00A0613F" w:rsidRPr="001D3E93" w:rsidRDefault="00A0613F" w:rsidP="00A0613F">
      <w:pPr>
        <w:spacing w:line="240"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The timeline for Austrade to design and deliver the program was compressed, as illustrated in Figure 2.</w:t>
      </w:r>
    </w:p>
    <w:p w14:paraId="16892EB0" w14:textId="14FDCEB5" w:rsidR="00A0613F" w:rsidRPr="001D3E93" w:rsidRDefault="00A0613F" w:rsidP="00A3430B">
      <w:pPr>
        <w:pStyle w:val="Heading4"/>
        <w:rPr>
          <w:lang w:val="en-US" w:eastAsia="en-US"/>
        </w:rPr>
      </w:pPr>
      <w:r w:rsidRPr="001D3E93">
        <w:rPr>
          <w:b w:val="0"/>
          <w:bCs w:val="0"/>
          <w:lang w:val="en-US" w:eastAsia="en-US"/>
        </w:rPr>
        <w:lastRenderedPageBreak/>
        <w:t>Figure 2: Timeline for EMDG 2.0 rollout</w:t>
      </w:r>
    </w:p>
    <w:p w14:paraId="27D0CD89" w14:textId="0BA5F1B1" w:rsidR="00A0613F" w:rsidRPr="001D3E93" w:rsidRDefault="000A3F2D" w:rsidP="00A0613F">
      <w:pPr>
        <w:spacing w:line="240" w:lineRule="auto"/>
        <w:rPr>
          <w:rFonts w:ascii="Verdana" w:eastAsia="Verdana" w:hAnsi="Verdana" w:cs="Arial"/>
          <w:color w:val="000000"/>
          <w:sz w:val="22"/>
          <w:szCs w:val="22"/>
          <w:lang w:val="en-US" w:eastAsia="en-US"/>
        </w:rPr>
      </w:pPr>
      <w:r w:rsidRPr="001D3E93">
        <w:rPr>
          <w:rFonts w:ascii="Verdana" w:eastAsia="Verdana" w:hAnsi="Verdana" w:cs="Arial"/>
          <w:noProof/>
          <w:color w:val="000000"/>
          <w:sz w:val="22"/>
          <w:szCs w:val="22"/>
          <w:lang w:val="en-US" w:eastAsia="en-US"/>
        </w:rPr>
        <w:drawing>
          <wp:inline distT="0" distB="0" distL="0" distR="0" wp14:anchorId="7835D54F" wp14:editId="0079B04F">
            <wp:extent cx="5703257" cy="8332967"/>
            <wp:effectExtent l="0" t="0" r="0" b="0"/>
            <wp:docPr id="29" name="Picture 29" descr="Figure 2: Timeline for EMDG 2.0 rollout. &#10;10 September 2020: Government announce EMDG reforms. Austrade commence consultations. &#10;7 October 2020: legislation Amendment Bill 2020 Introduced into House of Representatives. &#10;December 2020: Operational rules released for consultation. Implementing legislation passed by Parliament. &#10;January to March 2021: Grant guideline consultation and development with stakeholders. &#10;11 May 2021: EMDG 2.0: Rules tabled. &#10;17 June 2021: EMDG Act 1997 amended and in force. &#10;30 June 2021: EMDG Act 1997 Rules registered. &#10;1 July 2021: EMDG 2.0: Round 1 guidelines, website and supporting information launched.&#10;1 July 2021: EMDG 1.0: open &#10;1 July to &#10;16 August 2021: EMDG 2.0: Round 1 open.&#10;12 October 2021: EMDG 2.0: Round 1 assessment start. &#10;30 Nov 2021: EMDG 2.0: Round 1 close (5,384 applications).&#10;30 Nov 2021: EMDG 1.0: close (2,382 applications).&#10;23 December 2021: EMDG 2.0: Round 2 likely grant amounts released.&#10;10 to 15 February 2022: EMDG 2.0: Round 1 assessment complete. Issuing of Representative Bodies and Tier 1 grant agreements commence. &#10;28 February 2022: EMDG 1.0: close To Quality Incentive Program claims (additional 1,066 – total 3,437) &#10;30 March 2022: EMDG 2.0: Round 1 issuing Tier 2 and Tier 3 grant agreements commence. &#10;31 March 2022: EMDG 2.0: Round 1 Representative Bodies and Tier 1 upfront payments commence. &#10;28 June 2022: EMDG 1.0: assessments complete. &#10;1 July 2022: EMDG 2.0: Round 1 Milestone report portal opens. &#10;6 July 2022: EMDG 2.0: Round 1 21/22 Payments made.&#10;11 August 2022: EMDG 2.0: Round 2 assessment commences. &#10;17 August 2022: EMDG 2.0: Round 2 close (2,723 applications). &#10;August 2022: EMDG 2.0: Round 1 Milestone assessments commence. &#10;5 September 2022: EMDG 2.0: Round 1 21/2 Payments made.&#10;30 September 2022: EMDG 2.0: Round 1 milestones report portal clos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2: Timeline for EMDG 2.0 rollout. &#10;10 September 2020: Government announce EMDG reforms. Austrade commence consultations. &#10;7 October 2020: legislation Amendment Bill 2020 Introduced into House of Representatives. &#10;December 2020: Operational rules released for consultation. Implementing legislation passed by Parliament. &#10;January to March 2021: Grant guideline consultation and development with stakeholders. &#10;11 May 2021: EMDG 2.0: Rules tabled. &#10;17 June 2021: EMDG Act 1997 amended and in force. &#10;30 June 2021: EMDG Act 1997 Rules registered. &#10;1 July 2021: EMDG 2.0: Round 1 guidelines, website and supporting information launched.&#10;1 July 2021: EMDG 1.0: open &#10;1 July to &#10;16 August 2021: EMDG 2.0: Round 1 open.&#10;12 October 2021: EMDG 2.0: Round 1 assessment start. &#10;30 Nov 2021: EMDG 2.0: Round 1 close (5,384 applications).&#10;30 Nov 2021: EMDG 1.0: close (2,382 applications).&#10;23 December 2021: EMDG 2.0: Round 2 likely grant amounts released.&#10;10 to 15 February 2022: EMDG 2.0: Round 1 assessment complete. Issuing of Representative Bodies and Tier 1 grant agreements commence. &#10;28 February 2022: EMDG 1.0: close To Quality Incentive Program claims (additional 1,066 – total 3,437) &#10;30 March 2022: EMDG 2.0: Round 1 issuing Tier 2 and Tier 3 grant agreements commence. &#10;31 March 2022: EMDG 2.0: Round 1 Representative Bodies and Tier 1 upfront payments commence. &#10;28 June 2022: EMDG 1.0: assessments complete. &#10;1 July 2022: EMDG 2.0: Round 1 Milestone report portal opens. &#10;6 July 2022: EMDG 2.0: Round 1 21/22 Payments made.&#10;11 August 2022: EMDG 2.0: Round 2 assessment commences. &#10;17 August 2022: EMDG 2.0: Round 2 close (2,723 applications). &#10;August 2022: EMDG 2.0: Round 1 Milestone assessments commence. &#10;5 September 2022: EMDG 2.0: Round 1 21/2 Payments made.&#10;30 September 2022: EMDG 2.0: Round 1 milestones report portal closes.  &#10;"/>
                    <pic:cNvPicPr/>
                  </pic:nvPicPr>
                  <pic:blipFill>
                    <a:blip r:embed="rId17"/>
                    <a:stretch>
                      <a:fillRect/>
                    </a:stretch>
                  </pic:blipFill>
                  <pic:spPr>
                    <a:xfrm>
                      <a:off x="0" y="0"/>
                      <a:ext cx="5727301" cy="8368097"/>
                    </a:xfrm>
                    <a:prstGeom prst="rect">
                      <a:avLst/>
                    </a:prstGeom>
                  </pic:spPr>
                </pic:pic>
              </a:graphicData>
            </a:graphic>
          </wp:inline>
        </w:drawing>
      </w:r>
      <w:r w:rsidR="00A0613F" w:rsidRPr="001D3E93">
        <w:rPr>
          <w:rFonts w:ascii="Verdana" w:eastAsia="Verdana" w:hAnsi="Verdana" w:cs="Arial"/>
          <w:color w:val="000000"/>
          <w:sz w:val="22"/>
          <w:szCs w:val="22"/>
          <w:lang w:val="en-US" w:eastAsia="en-US"/>
        </w:rPr>
        <w:br w:type="page"/>
      </w:r>
    </w:p>
    <w:p w14:paraId="1069D212" w14:textId="28244192" w:rsidR="00A0613F" w:rsidRPr="001D3E93" w:rsidRDefault="00AC533B" w:rsidP="0054361F">
      <w:pPr>
        <w:pStyle w:val="Heading3"/>
        <w:rPr>
          <w:b w:val="0"/>
          <w:bCs w:val="0"/>
          <w:sz w:val="24"/>
          <w:szCs w:val="24"/>
          <w:lang w:val="en-US" w:eastAsia="en-US"/>
        </w:rPr>
      </w:pPr>
      <w:bookmarkStart w:id="83" w:name="_Toc116982744"/>
      <w:bookmarkStart w:id="84" w:name="_Toc116985995"/>
      <w:bookmarkStart w:id="85" w:name="_Toc117084412"/>
      <w:bookmarkStart w:id="86" w:name="_Toc117084493"/>
      <w:bookmarkStart w:id="87" w:name="_Toc120547694"/>
      <w:bookmarkStart w:id="88" w:name="_Toc124433376"/>
      <w:r w:rsidRPr="001D3E93">
        <w:rPr>
          <w:b w:val="0"/>
          <w:bCs w:val="0"/>
          <w:caps w:val="0"/>
          <w:sz w:val="24"/>
          <w:szCs w:val="24"/>
          <w:lang w:val="en-US" w:eastAsia="en-US"/>
        </w:rPr>
        <w:lastRenderedPageBreak/>
        <w:t>Administering EMDG 2.0 Round 1</w:t>
      </w:r>
      <w:bookmarkEnd w:id="83"/>
      <w:bookmarkEnd w:id="84"/>
      <w:r w:rsidRPr="001D3E93">
        <w:rPr>
          <w:b w:val="0"/>
          <w:bCs w:val="0"/>
          <w:caps w:val="0"/>
          <w:sz w:val="24"/>
          <w:szCs w:val="24"/>
          <w:lang w:val="en-US" w:eastAsia="en-US"/>
        </w:rPr>
        <w:t xml:space="preserve"> and EMDG 1.0 concurrently</w:t>
      </w:r>
      <w:bookmarkEnd w:id="85"/>
      <w:bookmarkEnd w:id="86"/>
      <w:bookmarkEnd w:id="87"/>
      <w:bookmarkEnd w:id="88"/>
      <w:r w:rsidRPr="001D3E93">
        <w:rPr>
          <w:b w:val="0"/>
          <w:bCs w:val="0"/>
          <w:caps w:val="0"/>
          <w:sz w:val="24"/>
          <w:szCs w:val="24"/>
          <w:lang w:val="en-US" w:eastAsia="en-US"/>
        </w:rPr>
        <w:t xml:space="preserve"> </w:t>
      </w:r>
    </w:p>
    <w:p w14:paraId="46ACB316" w14:textId="35543D69" w:rsidR="00A0613F" w:rsidRPr="001D3E93" w:rsidRDefault="00A0613F" w:rsidP="00A0613F">
      <w:pPr>
        <w:spacing w:after="160" w:line="257" w:lineRule="auto"/>
        <w:rPr>
          <w:rFonts w:ascii="Verdana" w:eastAsia="Verdana" w:hAnsi="Verdana" w:cs="Calibri"/>
          <w:color w:val="000000"/>
          <w:lang w:val="en-US" w:eastAsia="en-US"/>
        </w:rPr>
      </w:pPr>
      <w:r w:rsidRPr="001D3E93">
        <w:rPr>
          <w:rFonts w:ascii="Verdana" w:eastAsia="Verdana" w:hAnsi="Verdana" w:cs="Calibri"/>
          <w:color w:val="000000"/>
          <w:lang w:val="en-US" w:eastAsia="en-US"/>
        </w:rPr>
        <w:t xml:space="preserve">While implementing EMDG 2.0 Round 1, Austrade was also finalising the final round of reimbursements for </w:t>
      </w:r>
      <w:r w:rsidRPr="001D3E93">
        <w:rPr>
          <w:rFonts w:ascii="Verdana" w:eastAsia="Calibri" w:hAnsi="Verdana" w:cs="Calibri"/>
          <w:lang w:val="en-US" w:eastAsia="en-US"/>
        </w:rPr>
        <w:t xml:space="preserve">EMDG 1.0. This required </w:t>
      </w:r>
      <w:r w:rsidRPr="001D3E93">
        <w:rPr>
          <w:rFonts w:ascii="Verdana" w:eastAsia="Verdana" w:hAnsi="Verdana" w:cs="Calibri"/>
          <w:color w:val="000000"/>
          <w:lang w:val="en-US" w:eastAsia="en-US"/>
        </w:rPr>
        <w:t xml:space="preserve">sustaining the staffing, systems and processes required for that scheme in parallel with the development and rollout of EMDG 2.0.  </w:t>
      </w:r>
      <w:r w:rsidR="006B0C8E" w:rsidRPr="001D3E93">
        <w:rPr>
          <w:rFonts w:ascii="Verdana" w:eastAsia="Verdana" w:hAnsi="Verdana" w:cs="Calibri"/>
          <w:color w:val="000000"/>
          <w:lang w:val="en-US" w:eastAsia="en-US"/>
        </w:rPr>
        <w:t xml:space="preserve">Austrade then </w:t>
      </w:r>
      <w:r w:rsidRPr="001D3E93">
        <w:rPr>
          <w:rFonts w:ascii="Verdana" w:eastAsia="Verdana" w:hAnsi="Verdana" w:cs="Calibri"/>
          <w:color w:val="000000"/>
          <w:lang w:val="en-US" w:eastAsia="en-US"/>
        </w:rPr>
        <w:t>assess</w:t>
      </w:r>
      <w:r w:rsidR="006B0C8E" w:rsidRPr="001D3E93">
        <w:rPr>
          <w:rFonts w:ascii="Verdana" w:eastAsia="Verdana" w:hAnsi="Verdana" w:cs="Calibri"/>
          <w:color w:val="000000"/>
          <w:lang w:val="en-US" w:eastAsia="en-US"/>
        </w:rPr>
        <w:t>ed</w:t>
      </w:r>
      <w:r w:rsidRPr="001D3E93">
        <w:rPr>
          <w:rFonts w:ascii="Verdana" w:eastAsia="Verdana" w:hAnsi="Verdana" w:cs="Calibri"/>
          <w:color w:val="000000"/>
          <w:lang w:val="en-US" w:eastAsia="en-US"/>
        </w:rPr>
        <w:t xml:space="preserve"> 3,437 EMDG 1.0 claims, alongside 5,384 new EMDG 2.0 Round 1 applications</w:t>
      </w:r>
      <w:r w:rsidR="006651E9" w:rsidRPr="001D3E93">
        <w:rPr>
          <w:rFonts w:ascii="Verdana" w:eastAsia="Verdana" w:hAnsi="Verdana" w:cs="Calibri"/>
          <w:color w:val="000000"/>
          <w:lang w:val="en-US" w:eastAsia="en-US"/>
        </w:rPr>
        <w:t>. This</w:t>
      </w:r>
      <w:r w:rsidRPr="001D3E93">
        <w:rPr>
          <w:rFonts w:ascii="Verdana" w:eastAsia="Verdana" w:hAnsi="Verdana" w:cs="Calibri"/>
          <w:color w:val="000000"/>
          <w:lang w:val="en-US" w:eastAsia="en-US"/>
        </w:rPr>
        <w:t xml:space="preserve"> was challenging, particularly with the unexpected increased application numbers in EMDG 2.0 Round 1 and the processing timeframes Austrade had publicly committed to achieve</w:t>
      </w:r>
      <w:r w:rsidRPr="001D3E93" w:rsidDel="006C62C0">
        <w:rPr>
          <w:rFonts w:ascii="Verdana" w:eastAsia="Verdana" w:hAnsi="Verdana" w:cs="Calibri"/>
          <w:color w:val="000000"/>
          <w:lang w:val="en-US" w:eastAsia="en-US"/>
        </w:rPr>
        <w:t>.</w:t>
      </w:r>
      <w:r w:rsidRPr="001D3E93">
        <w:rPr>
          <w:rFonts w:ascii="Verdana" w:eastAsia="Verdana" w:hAnsi="Verdana" w:cs="Calibri"/>
          <w:color w:val="000000"/>
          <w:lang w:val="en-US" w:eastAsia="en-US"/>
        </w:rPr>
        <w:t xml:space="preserve"> </w:t>
      </w:r>
    </w:p>
    <w:p w14:paraId="6A5F35D2" w14:textId="77777777" w:rsidR="00A0613F" w:rsidRPr="001D3E93" w:rsidRDefault="00A0613F" w:rsidP="00A0613F">
      <w:pPr>
        <w:spacing w:after="160" w:line="257" w:lineRule="auto"/>
        <w:rPr>
          <w:rFonts w:ascii="Verdana" w:eastAsia="Calibri" w:hAnsi="Verdana" w:cs="Calibri"/>
          <w:lang w:val="en-US" w:eastAsia="en-US"/>
        </w:rPr>
      </w:pPr>
      <w:r w:rsidRPr="001D3E93">
        <w:rPr>
          <w:rFonts w:ascii="Verdana" w:eastAsia="Calibri" w:hAnsi="Verdana" w:cs="Calibri"/>
          <w:lang w:val="en-US" w:eastAsia="en-US"/>
        </w:rPr>
        <w:t>With finite resources, prioritisation and compromises were required, including:</w:t>
      </w:r>
    </w:p>
    <w:p w14:paraId="61A0A988" w14:textId="77777777" w:rsidR="00A0613F" w:rsidRPr="001D3E93" w:rsidRDefault="00A0613F" w:rsidP="00D23A9E">
      <w:pPr>
        <w:numPr>
          <w:ilvl w:val="0"/>
          <w:numId w:val="18"/>
        </w:numPr>
        <w:spacing w:line="259" w:lineRule="auto"/>
        <w:ind w:left="357" w:hanging="357"/>
        <w:rPr>
          <w:rFonts w:ascii="Verdana" w:eastAsia="Calibri" w:hAnsi="Verdana" w:cs="Calibri"/>
          <w:lang w:val="en-US" w:eastAsia="en-US"/>
        </w:rPr>
      </w:pPr>
      <w:r w:rsidRPr="001D3E93">
        <w:rPr>
          <w:rFonts w:ascii="Verdana" w:eastAsia="Calibri" w:hAnsi="Verdana" w:cs="Calibri"/>
          <w:lang w:val="en-US" w:eastAsia="en-US"/>
        </w:rPr>
        <w:t>Dedicating all systems resources to the front-end development of the EMDG 2.0 system to enable a viable product available for applications. The compressed timeframes, tight IT labor market and whole-of-government IT platform limitations necessitated a less than ideal minimum viable product being launched.</w:t>
      </w:r>
    </w:p>
    <w:p w14:paraId="6B94A3FD" w14:textId="210DF705" w:rsidR="00A0613F" w:rsidRPr="001D3E93" w:rsidRDefault="00A0613F" w:rsidP="00D23A9E">
      <w:pPr>
        <w:numPr>
          <w:ilvl w:val="0"/>
          <w:numId w:val="18"/>
        </w:numPr>
        <w:spacing w:line="259" w:lineRule="auto"/>
        <w:ind w:left="357" w:hanging="357"/>
        <w:rPr>
          <w:rFonts w:ascii="Verdana" w:eastAsia="Calibri" w:hAnsi="Verdana" w:cs="Arial"/>
          <w:lang w:val="en-US" w:eastAsia="en-US"/>
        </w:rPr>
      </w:pPr>
      <w:r w:rsidRPr="001D3E93">
        <w:rPr>
          <w:rFonts w:ascii="Verdana" w:eastAsia="Calibri" w:hAnsi="Verdana" w:cs="Arial"/>
          <w:lang w:val="en-US" w:eastAsia="en-US"/>
        </w:rPr>
        <w:t xml:space="preserve">Doing some processes manually. The new platform was not completed in time but was designed to be integrated into existing Austrade and external systems like MyGov and SAP. The time and financial constraints meant that systems were sub-optimal and internally </w:t>
      </w:r>
      <w:r w:rsidR="00791467" w:rsidRPr="001D3E93">
        <w:rPr>
          <w:rFonts w:ascii="Verdana" w:eastAsia="Calibri" w:hAnsi="Verdana" w:cs="Arial"/>
          <w:lang w:val="en-US" w:eastAsia="en-US"/>
        </w:rPr>
        <w:t>disconnected</w:t>
      </w:r>
      <w:r w:rsidRPr="001D3E93">
        <w:rPr>
          <w:rFonts w:ascii="Verdana" w:eastAsia="Calibri" w:hAnsi="Verdana" w:cs="Arial"/>
          <w:lang w:val="en-US" w:eastAsia="en-US"/>
        </w:rPr>
        <w:t xml:space="preserve">. This necessitated information and payments needing to be made manually. </w:t>
      </w:r>
    </w:p>
    <w:p w14:paraId="53B0BCB2" w14:textId="39F5D5CE" w:rsidR="006427A6" w:rsidRPr="001D3E93" w:rsidRDefault="00A0613F" w:rsidP="00D23A9E">
      <w:pPr>
        <w:numPr>
          <w:ilvl w:val="0"/>
          <w:numId w:val="18"/>
        </w:numPr>
        <w:spacing w:line="259" w:lineRule="auto"/>
        <w:ind w:left="357" w:hanging="357"/>
        <w:rPr>
          <w:rFonts w:ascii="Verdana" w:eastAsia="Calibri" w:hAnsi="Verdana" w:cs="Arial"/>
          <w:lang w:val="en-US" w:eastAsia="en-US"/>
        </w:rPr>
      </w:pPr>
      <w:r w:rsidRPr="001D3E93">
        <w:rPr>
          <w:rFonts w:ascii="Verdana" w:eastAsia="Verdana" w:hAnsi="Verdana" w:cs="Arial"/>
          <w:color w:val="000000" w:themeColor="text1"/>
          <w:lang w:val="en-US" w:eastAsia="en-US"/>
        </w:rPr>
        <w:t xml:space="preserve">Limited ability to communicate in detail about decisions that were not yet known – for instance the grant amounts which could not be communicated until all applications were assessed and demand was clearly known. Austrade </w:t>
      </w:r>
      <w:r w:rsidR="00EA72C2" w:rsidRPr="001D3E93">
        <w:rPr>
          <w:rFonts w:ascii="Verdana" w:eastAsia="Verdana" w:hAnsi="Verdana" w:cs="Arial"/>
          <w:color w:val="000000" w:themeColor="text1"/>
          <w:lang w:val="en-US" w:eastAsia="en-US"/>
        </w:rPr>
        <w:t xml:space="preserve">attempted to </w:t>
      </w:r>
      <w:r w:rsidRPr="001D3E93">
        <w:rPr>
          <w:rFonts w:ascii="Verdana" w:eastAsia="Verdana" w:hAnsi="Verdana" w:cs="Arial"/>
          <w:color w:val="000000" w:themeColor="text1"/>
          <w:lang w:val="en-US" w:eastAsia="en-US"/>
        </w:rPr>
        <w:t>provide</w:t>
      </w:r>
      <w:r w:rsidR="00EA72C2" w:rsidRPr="001D3E93">
        <w:rPr>
          <w:rFonts w:ascii="Verdana" w:eastAsia="Verdana" w:hAnsi="Verdana" w:cs="Arial"/>
          <w:color w:val="000000" w:themeColor="text1"/>
          <w:lang w:val="en-US" w:eastAsia="en-US"/>
        </w:rPr>
        <w:t xml:space="preserve"> an appropriate</w:t>
      </w:r>
      <w:r w:rsidRPr="001D3E93">
        <w:rPr>
          <w:rFonts w:ascii="Verdana" w:eastAsia="Verdana" w:hAnsi="Verdana" w:cs="Arial"/>
          <w:color w:val="000000" w:themeColor="text1"/>
          <w:lang w:val="en-US" w:eastAsia="en-US"/>
        </w:rPr>
        <w:t xml:space="preserve"> level of </w:t>
      </w:r>
      <w:r w:rsidR="2A8D1326" w:rsidRPr="001D3E93">
        <w:rPr>
          <w:rFonts w:ascii="Verdana" w:eastAsia="Verdana" w:hAnsi="Verdana" w:cs="Arial"/>
          <w:color w:val="000000" w:themeColor="text1"/>
          <w:lang w:val="en-US" w:eastAsia="en-US"/>
        </w:rPr>
        <w:t xml:space="preserve">concurrent </w:t>
      </w:r>
      <w:r w:rsidRPr="001D3E93">
        <w:rPr>
          <w:rFonts w:ascii="Verdana" w:eastAsia="Verdana" w:hAnsi="Verdana" w:cs="Arial"/>
          <w:color w:val="000000" w:themeColor="text1"/>
          <w:lang w:val="en-US" w:eastAsia="en-US"/>
        </w:rPr>
        <w:t xml:space="preserve">communications about EMDG 1.0 and 2.0 </w:t>
      </w:r>
      <w:r w:rsidR="00EA72C2" w:rsidRPr="001D3E93">
        <w:rPr>
          <w:rFonts w:ascii="Verdana" w:eastAsia="Verdana" w:hAnsi="Verdana" w:cs="Arial"/>
          <w:color w:val="000000" w:themeColor="text1"/>
          <w:lang w:val="en-US" w:eastAsia="en-US"/>
        </w:rPr>
        <w:t>but feedback indicates more was needed</w:t>
      </w:r>
      <w:r w:rsidRPr="001D3E93">
        <w:rPr>
          <w:rFonts w:ascii="Verdana" w:eastAsia="Verdana" w:hAnsi="Verdana" w:cs="Arial"/>
          <w:color w:val="000000" w:themeColor="text1"/>
          <w:lang w:val="en-US" w:eastAsia="en-US"/>
        </w:rPr>
        <w:t xml:space="preserve">. </w:t>
      </w:r>
    </w:p>
    <w:p w14:paraId="40641C18" w14:textId="18427CE4" w:rsidR="00A0613F" w:rsidRPr="001D3E93" w:rsidRDefault="00A0613F" w:rsidP="00D23A9E">
      <w:pPr>
        <w:numPr>
          <w:ilvl w:val="0"/>
          <w:numId w:val="18"/>
        </w:numPr>
        <w:spacing w:line="259" w:lineRule="auto"/>
        <w:ind w:left="357" w:hanging="357"/>
        <w:rPr>
          <w:rFonts w:ascii="Verdana" w:eastAsia="Calibri" w:hAnsi="Verdana" w:cs="Arial"/>
          <w:lang w:val="en-US" w:eastAsia="en-US"/>
        </w:rPr>
      </w:pPr>
      <w:r w:rsidRPr="001D3E93">
        <w:rPr>
          <w:rFonts w:ascii="Verdana" w:eastAsia="Verdana" w:hAnsi="Verdana" w:cs="Arial"/>
          <w:color w:val="000000"/>
          <w:lang w:val="en-US" w:eastAsia="en-US"/>
        </w:rPr>
        <w:t xml:space="preserve">With most EMDG 1.0 applicants participating in both the EMDG 1.0 and 2.0, Austrade engaged a dedicated communication manager, to focus on clear, differentiated messaging on each program. However, considerable frustration was felt by those wanting more detail than was available. </w:t>
      </w:r>
    </w:p>
    <w:p w14:paraId="5B968FDF" w14:textId="79AFC6EF" w:rsidR="00A0613F" w:rsidRPr="001D3E93" w:rsidRDefault="00A0613F" w:rsidP="00D23A9E">
      <w:pPr>
        <w:numPr>
          <w:ilvl w:val="0"/>
          <w:numId w:val="18"/>
        </w:numPr>
        <w:spacing w:line="259" w:lineRule="auto"/>
        <w:ind w:left="357" w:hanging="357"/>
        <w:rPr>
          <w:rFonts w:ascii="Verdana" w:eastAsia="Calibri" w:hAnsi="Verdana" w:cs="Arial"/>
          <w:lang w:val="en-US" w:eastAsia="en-US"/>
        </w:rPr>
      </w:pPr>
      <w:r w:rsidRPr="001D3E93">
        <w:rPr>
          <w:rFonts w:ascii="Verdana" w:eastAsia="Verdana" w:hAnsi="Verdana" w:cs="Arial"/>
          <w:color w:val="000000"/>
          <w:lang w:val="en-US" w:eastAsia="en-US"/>
        </w:rPr>
        <w:t xml:space="preserve">Training for staff was limited largely to the EMDG delivery team. Austrade’s other client facing teams (offshore networks and TradeStart advisors) </w:t>
      </w:r>
      <w:r w:rsidR="00631C48" w:rsidRPr="001D3E93">
        <w:rPr>
          <w:rFonts w:ascii="Verdana" w:eastAsia="Verdana" w:hAnsi="Verdana" w:cs="Arial"/>
          <w:color w:val="000000"/>
          <w:lang w:val="en-US" w:eastAsia="en-US"/>
        </w:rPr>
        <w:t xml:space="preserve">received communications but noted they </w:t>
      </w:r>
      <w:r w:rsidRPr="001D3E93">
        <w:rPr>
          <w:rFonts w:ascii="Verdana" w:eastAsia="Verdana" w:hAnsi="Verdana" w:cs="Arial"/>
          <w:color w:val="000000"/>
          <w:lang w:val="en-US" w:eastAsia="en-US"/>
        </w:rPr>
        <w:t xml:space="preserve">would have benefited from more training to assist their clients. This would likely have increased applications and demand. </w:t>
      </w:r>
    </w:p>
    <w:p w14:paraId="79D8E209" w14:textId="6FBA2CAA" w:rsidR="004736EF" w:rsidRPr="001D3E93" w:rsidRDefault="00A0613F" w:rsidP="00716928">
      <w:pPr>
        <w:numPr>
          <w:ilvl w:val="0"/>
          <w:numId w:val="18"/>
        </w:numPr>
        <w:spacing w:line="259" w:lineRule="auto"/>
        <w:ind w:left="357" w:hanging="357"/>
        <w:rPr>
          <w:rFonts w:ascii="Verdana" w:eastAsia="Verdana" w:hAnsi="Verdana" w:cs="Arial"/>
          <w:color w:val="000000"/>
          <w:lang w:val="en-US" w:eastAsia="en-US"/>
        </w:rPr>
      </w:pPr>
      <w:r w:rsidRPr="001D3E93">
        <w:rPr>
          <w:rFonts w:ascii="Verdana" w:eastAsia="Verdana" w:hAnsi="Verdana" w:cs="Arial"/>
          <w:color w:val="000000"/>
          <w:lang w:val="en-US" w:eastAsia="en-US"/>
        </w:rPr>
        <w:t xml:space="preserve">Austrade communicated the EMDG 2.0 program settings well ahead of the opening of Round 1 across a number of channels. However, concepts </w:t>
      </w:r>
      <w:r w:rsidR="004B4E64" w:rsidRPr="001D3E93">
        <w:rPr>
          <w:rFonts w:ascii="Verdana" w:eastAsia="Verdana" w:hAnsi="Verdana" w:cs="Arial"/>
          <w:color w:val="000000"/>
          <w:lang w:val="en-US" w:eastAsia="en-US"/>
        </w:rPr>
        <w:t>which were new to EMDG 2.0 caused some confusion</w:t>
      </w:r>
      <w:r w:rsidR="00414A7B" w:rsidRPr="001D3E93">
        <w:rPr>
          <w:rFonts w:ascii="Verdana" w:eastAsia="Verdana" w:hAnsi="Verdana" w:cs="Arial"/>
          <w:color w:val="000000"/>
          <w:lang w:val="en-US" w:eastAsia="en-US"/>
        </w:rPr>
        <w:t xml:space="preserve"> in areas such as </w:t>
      </w:r>
      <w:r w:rsidRPr="001D3E93">
        <w:rPr>
          <w:rFonts w:ascii="Verdana" w:eastAsia="Verdana" w:hAnsi="Verdana" w:cs="Arial"/>
          <w:color w:val="000000"/>
          <w:lang w:val="en-US" w:eastAsia="en-US"/>
        </w:rPr>
        <w:t>maximum tier amounts within an eligibility-based, fixed budget program.</w:t>
      </w:r>
    </w:p>
    <w:p w14:paraId="1BEE8B95" w14:textId="7A80FBD8" w:rsidR="00A0613F" w:rsidRPr="001D3E93" w:rsidRDefault="0011036E" w:rsidP="00A0613F">
      <w:pPr>
        <w:spacing w:after="160" w:line="259" w:lineRule="auto"/>
        <w:rPr>
          <w:rFonts w:ascii="Verdana" w:eastAsia="Verdana" w:hAnsi="Verdana" w:cs="Arial"/>
          <w:color w:val="000000"/>
          <w:lang w:val="en-US" w:eastAsia="en-US"/>
        </w:rPr>
      </w:pPr>
      <w:bookmarkStart w:id="89" w:name="_Hlk120528934"/>
      <w:r w:rsidRPr="001D3E93">
        <w:rPr>
          <w:rFonts w:ascii="Verdana" w:eastAsia="Verdana" w:hAnsi="Verdana" w:cs="Arial"/>
          <w:color w:val="000000"/>
          <w:lang w:val="en-US" w:eastAsia="en-US"/>
        </w:rPr>
        <w:t xml:space="preserve">Some stakeholders were </w:t>
      </w:r>
      <w:r w:rsidR="008B593C" w:rsidRPr="001D3E93">
        <w:rPr>
          <w:rFonts w:ascii="Verdana" w:eastAsia="Verdana" w:hAnsi="Verdana" w:cs="Arial"/>
          <w:color w:val="000000"/>
          <w:lang w:val="en-US" w:eastAsia="en-US"/>
        </w:rPr>
        <w:t>critical of EMDG 2.0.</w:t>
      </w:r>
      <w:r w:rsidR="00DE5830" w:rsidRPr="001D3E93">
        <w:rPr>
          <w:rFonts w:ascii="Verdana" w:eastAsia="Verdana" w:hAnsi="Verdana" w:cs="Arial"/>
          <w:color w:val="000000"/>
          <w:lang w:val="en-US" w:eastAsia="en-US"/>
        </w:rPr>
        <w:t xml:space="preserve"> This was a result of two programs, both EMDG 1.0 and</w:t>
      </w:r>
      <w:r w:rsidR="00A0613F" w:rsidRPr="001D3E93">
        <w:rPr>
          <w:rFonts w:ascii="Verdana" w:eastAsia="Verdana" w:hAnsi="Verdana" w:cs="Arial"/>
          <w:color w:val="000000"/>
          <w:lang w:val="en-US" w:eastAsia="en-US"/>
        </w:rPr>
        <w:t xml:space="preserve"> EMDG 2.0</w:t>
      </w:r>
      <w:r w:rsidR="00DE5830" w:rsidRPr="001D3E93">
        <w:rPr>
          <w:rFonts w:ascii="Verdana" w:eastAsia="Verdana" w:hAnsi="Verdana" w:cs="Arial"/>
          <w:color w:val="000000"/>
          <w:lang w:val="en-US" w:eastAsia="en-US"/>
        </w:rPr>
        <w:t xml:space="preserve"> being available at the same time, confusion over EMDG 2.0</w:t>
      </w:r>
      <w:r w:rsidR="00A0613F" w:rsidRPr="001D3E93">
        <w:rPr>
          <w:rFonts w:ascii="Verdana" w:eastAsia="Verdana" w:hAnsi="Verdana" w:cs="Arial"/>
          <w:color w:val="000000"/>
          <w:lang w:val="en-US" w:eastAsia="en-US"/>
        </w:rPr>
        <w:t xml:space="preserve"> concepts, </w:t>
      </w:r>
      <w:r w:rsidR="003C20A9" w:rsidRPr="001D3E93">
        <w:rPr>
          <w:rFonts w:ascii="Verdana" w:eastAsia="Verdana" w:hAnsi="Verdana" w:cs="Arial"/>
          <w:color w:val="000000"/>
          <w:lang w:val="en-US" w:eastAsia="en-US"/>
        </w:rPr>
        <w:t>and</w:t>
      </w:r>
      <w:r w:rsidR="00A0613F" w:rsidRPr="001D3E93">
        <w:rPr>
          <w:rFonts w:ascii="Verdana" w:eastAsia="Verdana" w:hAnsi="Verdana" w:cs="Arial"/>
          <w:color w:val="000000"/>
          <w:lang w:val="en-US" w:eastAsia="en-US"/>
        </w:rPr>
        <w:t xml:space="preserve"> low grant amounts for Round 1 driven by the high volume of applicants</w:t>
      </w:r>
      <w:r w:rsidR="00E315CC" w:rsidRPr="001D3E93">
        <w:rPr>
          <w:rFonts w:ascii="Verdana" w:eastAsia="Verdana" w:hAnsi="Verdana" w:cs="Arial"/>
          <w:color w:val="000000"/>
          <w:lang w:val="en-US" w:eastAsia="en-US"/>
        </w:rPr>
        <w:t>.</w:t>
      </w:r>
      <w:r w:rsidR="00275135" w:rsidRPr="001D3E93">
        <w:rPr>
          <w:rFonts w:ascii="Verdana" w:eastAsia="Verdana" w:hAnsi="Verdana" w:cs="Arial"/>
          <w:color w:val="000000"/>
          <w:lang w:val="en-US" w:eastAsia="en-US"/>
        </w:rPr>
        <w:t xml:space="preserve"> </w:t>
      </w:r>
      <w:bookmarkEnd w:id="89"/>
      <w:r w:rsidR="00275135" w:rsidRPr="001D3E93">
        <w:rPr>
          <w:rFonts w:ascii="Verdana" w:eastAsia="Verdana" w:hAnsi="Verdana" w:cs="Arial"/>
          <w:color w:val="000000"/>
          <w:lang w:val="en-US" w:eastAsia="en-US"/>
        </w:rPr>
        <w:t>Howe</w:t>
      </w:r>
      <w:r w:rsidR="000C1E10" w:rsidRPr="001D3E93">
        <w:rPr>
          <w:rFonts w:ascii="Verdana" w:eastAsia="Verdana" w:hAnsi="Verdana" w:cs="Arial"/>
          <w:color w:val="000000"/>
          <w:lang w:val="en-US" w:eastAsia="en-US"/>
        </w:rPr>
        <w:t xml:space="preserve">ver, EMDG 2.0 delivered the policy intent </w:t>
      </w:r>
      <w:r w:rsidR="00724E5A" w:rsidRPr="001D3E93">
        <w:rPr>
          <w:rFonts w:ascii="Verdana" w:eastAsia="Verdana" w:hAnsi="Verdana" w:cs="Arial"/>
          <w:color w:val="000000"/>
          <w:lang w:val="en-US" w:eastAsia="en-US"/>
        </w:rPr>
        <w:t>to provide</w:t>
      </w:r>
      <w:r w:rsidR="00E3026C" w:rsidRPr="001D3E93">
        <w:rPr>
          <w:rFonts w:ascii="Verdana" w:eastAsia="Verdana" w:hAnsi="Verdana" w:cs="Arial"/>
          <w:color w:val="000000"/>
          <w:lang w:val="en-US" w:eastAsia="en-US"/>
        </w:rPr>
        <w:t xml:space="preserve"> </w:t>
      </w:r>
      <w:r w:rsidR="00A0613F" w:rsidRPr="001D3E93">
        <w:rPr>
          <w:rFonts w:ascii="Verdana" w:eastAsia="Verdana" w:hAnsi="Verdana" w:cs="Arial"/>
          <w:color w:val="000000"/>
          <w:lang w:val="en-US" w:eastAsia="en-US"/>
        </w:rPr>
        <w:t xml:space="preserve">an easier mechanism for smaller businesses to simply apply for upfront grants. </w:t>
      </w:r>
    </w:p>
    <w:p w14:paraId="6E52661E" w14:textId="4C6882C3" w:rsidR="00A0613F" w:rsidRPr="001D3E93" w:rsidRDefault="00A0613F" w:rsidP="00A0613F">
      <w:pPr>
        <w:spacing w:after="160" w:line="259" w:lineRule="auto"/>
        <w:rPr>
          <w:rFonts w:ascii="Verdana" w:eastAsia="Verdana" w:hAnsi="Verdana" w:cs="Verdana"/>
          <w:color w:val="000000"/>
          <w:sz w:val="18"/>
          <w:szCs w:val="18"/>
          <w:lang w:val="en-US" w:eastAsia="en-US"/>
        </w:rPr>
      </w:pPr>
      <w:bookmarkStart w:id="90" w:name="_Toc117765772"/>
    </w:p>
    <w:p w14:paraId="09275F68" w14:textId="77777777" w:rsidR="00D15CA4" w:rsidRPr="001D3E93" w:rsidRDefault="00D15CA4">
      <w:pPr>
        <w:rPr>
          <w:caps/>
          <w:color w:val="2E1A47" w:themeColor="text2"/>
          <w:lang w:val="en-US" w:eastAsia="en-US"/>
        </w:rPr>
      </w:pPr>
      <w:r w:rsidRPr="001D3E93">
        <w:rPr>
          <w:lang w:val="en-US" w:eastAsia="en-US"/>
        </w:rPr>
        <w:br w:type="page"/>
      </w:r>
    </w:p>
    <w:p w14:paraId="6A2489BA" w14:textId="38AD5DD1" w:rsidR="00A0613F" w:rsidRPr="001D3E93" w:rsidRDefault="00AC533B" w:rsidP="0054361F">
      <w:pPr>
        <w:pStyle w:val="Heading3"/>
        <w:rPr>
          <w:b w:val="0"/>
          <w:bCs w:val="0"/>
          <w:sz w:val="24"/>
          <w:szCs w:val="24"/>
          <w:lang w:val="en-US" w:eastAsia="en-US"/>
        </w:rPr>
      </w:pPr>
      <w:bookmarkStart w:id="91" w:name="_Toc120547695"/>
      <w:bookmarkStart w:id="92" w:name="_Toc124433377"/>
      <w:bookmarkEnd w:id="90"/>
      <w:r w:rsidRPr="001D3E93">
        <w:rPr>
          <w:b w:val="0"/>
          <w:bCs w:val="0"/>
          <w:caps w:val="0"/>
          <w:sz w:val="24"/>
          <w:szCs w:val="24"/>
          <w:lang w:val="en-US" w:eastAsia="en-US"/>
        </w:rPr>
        <w:lastRenderedPageBreak/>
        <w:t>Financial issues</w:t>
      </w:r>
      <w:bookmarkEnd w:id="91"/>
      <w:bookmarkEnd w:id="92"/>
      <w:r w:rsidR="00A0613F" w:rsidRPr="001D3E93">
        <w:rPr>
          <w:b w:val="0"/>
          <w:bCs w:val="0"/>
          <w:sz w:val="24"/>
          <w:szCs w:val="24"/>
          <w:lang w:val="en-US" w:eastAsia="en-US"/>
        </w:rPr>
        <w:t xml:space="preserve"> </w:t>
      </w:r>
    </w:p>
    <w:p w14:paraId="16C49617" w14:textId="77777777" w:rsidR="00A0613F" w:rsidRPr="001D3E93" w:rsidRDefault="00A0613F" w:rsidP="0054361F">
      <w:pPr>
        <w:pStyle w:val="Heading4"/>
        <w:rPr>
          <w:b w:val="0"/>
          <w:bCs w:val="0"/>
          <w:sz w:val="22"/>
          <w:szCs w:val="22"/>
          <w:lang w:val="en-US" w:eastAsia="en-US"/>
        </w:rPr>
      </w:pPr>
      <w:r w:rsidRPr="001D3E93">
        <w:rPr>
          <w:b w:val="0"/>
          <w:bCs w:val="0"/>
          <w:sz w:val="22"/>
          <w:szCs w:val="22"/>
          <w:lang w:val="en-US" w:eastAsia="en-US"/>
        </w:rPr>
        <w:t>Administering two and three-year grant agreements – financial impacts</w:t>
      </w:r>
    </w:p>
    <w:p w14:paraId="0EBEAAF4" w14:textId="77777777" w:rsidR="00A0613F" w:rsidRPr="001D3E93" w:rsidRDefault="00A0613F"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Even in the early stages of EMDG 2.0, it became apparent that administering three-year grant agreements was difficult.</w:t>
      </w:r>
    </w:p>
    <w:p w14:paraId="43B107C4" w14:textId="43D5DB03" w:rsidR="00A0613F" w:rsidRPr="001D3E93" w:rsidRDefault="00A3641B" w:rsidP="00D23A9E">
      <w:pPr>
        <w:numPr>
          <w:ilvl w:val="0"/>
          <w:numId w:val="38"/>
        </w:numPr>
        <w:spacing w:line="259" w:lineRule="auto"/>
        <w:contextualSpacing/>
        <w:rPr>
          <w:rFonts w:ascii="Verdana" w:eastAsia="Calibri" w:hAnsi="Verdana" w:cs="Arial"/>
          <w:lang w:val="en-US" w:eastAsia="en-US"/>
        </w:rPr>
      </w:pPr>
      <w:r w:rsidRPr="001D3E93">
        <w:rPr>
          <w:rFonts w:ascii="Verdana" w:eastAsia="Calibri" w:hAnsi="Verdana" w:cs="Arial"/>
          <w:lang w:val="en-US" w:eastAsia="en-US"/>
        </w:rPr>
        <w:t>While some increase was expected</w:t>
      </w:r>
      <w:r w:rsidR="00FF2949" w:rsidRPr="001D3E93">
        <w:rPr>
          <w:rFonts w:ascii="Verdana" w:eastAsia="Calibri" w:hAnsi="Verdana" w:cs="Arial"/>
          <w:lang w:val="en-US" w:eastAsia="en-US"/>
        </w:rPr>
        <w:t>,</w:t>
      </w:r>
      <w:r w:rsidRPr="001D3E93">
        <w:rPr>
          <w:rFonts w:ascii="Verdana" w:eastAsia="Calibri" w:hAnsi="Verdana" w:cs="Arial"/>
          <w:lang w:val="en-US" w:eastAsia="en-US"/>
        </w:rPr>
        <w:t xml:space="preserve"> t</w:t>
      </w:r>
      <w:r w:rsidR="00A0613F" w:rsidRPr="001D3E93">
        <w:rPr>
          <w:rFonts w:ascii="Verdana" w:eastAsia="Calibri" w:hAnsi="Verdana" w:cs="Arial"/>
          <w:lang w:val="en-US" w:eastAsia="en-US"/>
        </w:rPr>
        <w:t>he surge of applications in Round 1 was unforeseen.</w:t>
      </w:r>
    </w:p>
    <w:p w14:paraId="7983BBB9" w14:textId="71136015" w:rsidR="00A0613F" w:rsidRPr="001D3E93" w:rsidRDefault="00A0613F" w:rsidP="00D23A9E">
      <w:pPr>
        <w:numPr>
          <w:ilvl w:val="0"/>
          <w:numId w:val="38"/>
        </w:numPr>
        <w:spacing w:line="259" w:lineRule="auto"/>
        <w:contextualSpacing/>
        <w:rPr>
          <w:rFonts w:ascii="Verdana" w:eastAsia="Calibri" w:hAnsi="Verdana" w:cs="Arial"/>
          <w:lang w:val="en-US" w:eastAsia="en-US"/>
        </w:rPr>
      </w:pPr>
      <w:r w:rsidRPr="001D3E93">
        <w:rPr>
          <w:rFonts w:ascii="Verdana" w:eastAsia="Calibri" w:hAnsi="Verdana" w:cs="Arial"/>
          <w:lang w:val="en-US" w:eastAsia="en-US"/>
        </w:rPr>
        <w:t xml:space="preserve">This large volume of 5,384 applicants will remain in the eligibility pool for future years under multiple-year grant arrangements, for two or three years and </w:t>
      </w:r>
      <w:r w:rsidR="009E5A5E" w:rsidRPr="001D3E93">
        <w:rPr>
          <w:rFonts w:ascii="Verdana" w:eastAsia="Calibri" w:hAnsi="Verdana" w:cs="Arial"/>
          <w:lang w:val="en-US" w:eastAsia="en-US"/>
        </w:rPr>
        <w:t>could</w:t>
      </w:r>
      <w:r w:rsidRPr="001D3E93">
        <w:rPr>
          <w:rFonts w:ascii="Verdana" w:eastAsia="Calibri" w:hAnsi="Verdana" w:cs="Arial"/>
          <w:lang w:val="en-US" w:eastAsia="en-US"/>
        </w:rPr>
        <w:t xml:space="preserve"> lead to further reapplications in future years.</w:t>
      </w:r>
    </w:p>
    <w:p w14:paraId="4DC59A06" w14:textId="081DB67B" w:rsidR="00A0613F" w:rsidRPr="001D3E93" w:rsidRDefault="00A0613F" w:rsidP="00D23A9E">
      <w:pPr>
        <w:numPr>
          <w:ilvl w:val="0"/>
          <w:numId w:val="38"/>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The compounding effect of this, coupled with new applicants entering the eligibility pool each year (under multiple</w:t>
      </w:r>
      <w:r w:rsidR="00624DA8" w:rsidRPr="001D3E93">
        <w:rPr>
          <w:rFonts w:ascii="Verdana" w:eastAsia="Calibri" w:hAnsi="Verdana" w:cs="Arial"/>
          <w:lang w:val="en-US" w:eastAsia="en-US"/>
        </w:rPr>
        <w:t>-</w:t>
      </w:r>
      <w:r w:rsidRPr="001D3E93">
        <w:rPr>
          <w:rFonts w:ascii="Verdana" w:eastAsia="Calibri" w:hAnsi="Verdana" w:cs="Arial"/>
          <w:lang w:val="en-US" w:eastAsia="en-US"/>
        </w:rPr>
        <w:t xml:space="preserve">year agreements), leads to larger pools of applicants and progressively lower grant amounts </w:t>
      </w:r>
      <w:r w:rsidR="00217EF0" w:rsidRPr="001D3E93">
        <w:rPr>
          <w:rFonts w:ascii="Verdana" w:eastAsia="Calibri" w:hAnsi="Verdana" w:cs="Arial"/>
          <w:lang w:val="en-US" w:eastAsia="en-US"/>
        </w:rPr>
        <w:t>given</w:t>
      </w:r>
      <w:r w:rsidRPr="001D3E93">
        <w:rPr>
          <w:rFonts w:ascii="Verdana" w:eastAsia="Calibri" w:hAnsi="Verdana" w:cs="Arial"/>
          <w:lang w:val="en-US" w:eastAsia="en-US"/>
        </w:rPr>
        <w:t xml:space="preserve"> the fixed appropriation funding.</w:t>
      </w:r>
    </w:p>
    <w:p w14:paraId="30B2AEB9" w14:textId="779EE17F" w:rsidR="00A0613F" w:rsidRPr="001D3E93" w:rsidRDefault="00F40340" w:rsidP="00FB1DD0">
      <w:pPr>
        <w:spacing w:before="120" w:after="160" w:line="259" w:lineRule="auto"/>
        <w:rPr>
          <w:rFonts w:ascii="Verdana" w:eastAsia="Calibri" w:hAnsi="Verdana" w:cs="Arial"/>
          <w:lang w:val="en-US" w:eastAsia="en-US"/>
        </w:rPr>
      </w:pPr>
      <w:r w:rsidRPr="001D3E93">
        <w:rPr>
          <w:rFonts w:ascii="Verdana" w:eastAsia="Calibri" w:hAnsi="Verdana" w:cs="Arial"/>
          <w:lang w:val="en-US" w:eastAsia="en-US"/>
        </w:rPr>
        <w:t>T</w:t>
      </w:r>
      <w:r w:rsidR="00A0613F" w:rsidRPr="001D3E93">
        <w:rPr>
          <w:rFonts w:ascii="Verdana" w:eastAsia="Calibri" w:hAnsi="Verdana" w:cs="Arial"/>
          <w:lang w:val="en-US" w:eastAsia="en-US"/>
        </w:rPr>
        <w:t>here is a need to contain the multi-</w:t>
      </w:r>
      <w:r w:rsidR="00DB25B2" w:rsidRPr="001D3E93">
        <w:rPr>
          <w:rFonts w:ascii="Verdana" w:eastAsia="Calibri" w:hAnsi="Verdana" w:cs="Arial"/>
          <w:lang w:val="en-US" w:eastAsia="en-US"/>
        </w:rPr>
        <w:t>year</w:t>
      </w:r>
      <w:r w:rsidR="00A0613F" w:rsidRPr="001D3E93">
        <w:rPr>
          <w:rFonts w:ascii="Verdana" w:eastAsia="Calibri" w:hAnsi="Verdana" w:cs="Arial"/>
          <w:lang w:val="en-US" w:eastAsia="en-US"/>
        </w:rPr>
        <w:t xml:space="preserve"> grant agreements to ensure applicant numbers remain at manageable levels against budget appropriation. </w:t>
      </w:r>
    </w:p>
    <w:p w14:paraId="51E5C12E" w14:textId="77777777" w:rsidR="00A0613F" w:rsidRPr="001D3E93" w:rsidRDefault="00A0613F" w:rsidP="0054361F">
      <w:pPr>
        <w:pStyle w:val="Heading4"/>
        <w:rPr>
          <w:rFonts w:eastAsia="MS Gothic" w:cs="Times New Roman"/>
          <w:b w:val="0"/>
          <w:bCs w:val="0"/>
          <w:color w:val="2F5496"/>
          <w:sz w:val="22"/>
          <w:szCs w:val="22"/>
          <w:lang w:val="en-US" w:eastAsia="en-US"/>
        </w:rPr>
      </w:pPr>
      <w:bookmarkStart w:id="93" w:name="_Toc117765773"/>
      <w:bookmarkStart w:id="94" w:name="_Toc118299451"/>
      <w:bookmarkStart w:id="95" w:name="_Toc118299561"/>
      <w:r w:rsidRPr="001D3E93">
        <w:rPr>
          <w:b w:val="0"/>
          <w:bCs w:val="0"/>
          <w:sz w:val="22"/>
          <w:szCs w:val="22"/>
          <w:lang w:val="en-US" w:eastAsia="en-US"/>
        </w:rPr>
        <w:t>Limited funding for IT system-build and rollout</w:t>
      </w:r>
      <w:bookmarkEnd w:id="93"/>
      <w:bookmarkEnd w:id="94"/>
      <w:bookmarkEnd w:id="95"/>
      <w:r w:rsidRPr="001D3E93">
        <w:rPr>
          <w:b w:val="0"/>
          <w:bCs w:val="0"/>
          <w:sz w:val="22"/>
          <w:szCs w:val="22"/>
          <w:lang w:val="en-US" w:eastAsia="en-US"/>
        </w:rPr>
        <w:t xml:space="preserve"> </w:t>
      </w:r>
    </w:p>
    <w:p w14:paraId="7630D09C" w14:textId="512CED45"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During 202</w:t>
      </w:r>
      <w:r w:rsidR="00F40340" w:rsidRPr="001D3E93">
        <w:rPr>
          <w:rFonts w:ascii="Verdana" w:eastAsia="Calibri" w:hAnsi="Verdana" w:cs="Arial"/>
          <w:lang w:val="en-US" w:eastAsia="en-US"/>
        </w:rPr>
        <w:t>1</w:t>
      </w:r>
      <w:r w:rsidRPr="001D3E93">
        <w:rPr>
          <w:rFonts w:ascii="Verdana" w:eastAsia="Calibri" w:hAnsi="Verdana" w:cs="Arial"/>
          <w:lang w:val="en-US" w:eastAsia="en-US"/>
        </w:rPr>
        <w:t>-2</w:t>
      </w:r>
      <w:r w:rsidR="006D4F8D" w:rsidRPr="001D3E93">
        <w:rPr>
          <w:rFonts w:ascii="Verdana" w:eastAsia="Calibri" w:hAnsi="Verdana" w:cs="Arial"/>
          <w:lang w:val="en-US" w:eastAsia="en-US"/>
        </w:rPr>
        <w:t>02</w:t>
      </w:r>
      <w:r w:rsidRPr="001D3E93">
        <w:rPr>
          <w:rFonts w:ascii="Verdana" w:eastAsia="Calibri" w:hAnsi="Verdana" w:cs="Arial"/>
          <w:lang w:val="en-US" w:eastAsia="en-US"/>
        </w:rPr>
        <w:t xml:space="preserve">2, the former government increased the administrative component for EMDG appropriation to 7 per cent to support the development and implementation of EMDG 2.0 while simultaneously managing processing of the EMDG 1.0 scheme. </w:t>
      </w:r>
    </w:p>
    <w:p w14:paraId="49BFD4C7" w14:textId="6EE5B33A" w:rsidR="00A0613F" w:rsidRPr="001D3E93" w:rsidRDefault="00A0613F" w:rsidP="00A0613F">
      <w:pPr>
        <w:spacing w:before="100" w:beforeAutospacing="1" w:after="100" w:afterAutospacing="1" w:line="240" w:lineRule="auto"/>
        <w:rPr>
          <w:rFonts w:ascii="Verdana" w:eastAsia="MS Mincho" w:hAnsi="Verdana" w:cs="Arial"/>
          <w:lang w:val="en-US" w:eastAsia="en-US"/>
        </w:rPr>
      </w:pPr>
      <w:r w:rsidRPr="001D3E93">
        <w:rPr>
          <w:rFonts w:ascii="Verdana" w:eastAsia="MS Mincho" w:hAnsi="Verdana" w:cs="Arial"/>
          <w:lang w:val="en-US" w:eastAsia="en-US"/>
        </w:rPr>
        <w:t>The platform evaluation recommended building a new grants management platform (EMDG 2.0) that was fit</w:t>
      </w:r>
      <w:r w:rsidR="00DB25B2" w:rsidRPr="001D3E93">
        <w:rPr>
          <w:rFonts w:ascii="Verdana" w:eastAsia="MS Mincho" w:hAnsi="Verdana" w:cs="Arial"/>
          <w:lang w:val="en-US" w:eastAsia="en-US"/>
        </w:rPr>
        <w:t>-</w:t>
      </w:r>
      <w:r w:rsidRPr="001D3E93">
        <w:rPr>
          <w:rFonts w:ascii="Verdana" w:eastAsia="MS Mincho" w:hAnsi="Verdana" w:cs="Arial"/>
          <w:lang w:val="en-US" w:eastAsia="en-US"/>
        </w:rPr>
        <w:t>for</w:t>
      </w:r>
      <w:r w:rsidR="00DB25B2" w:rsidRPr="001D3E93">
        <w:rPr>
          <w:rFonts w:ascii="Verdana" w:eastAsia="MS Mincho" w:hAnsi="Verdana" w:cs="Arial"/>
          <w:lang w:val="en-US" w:eastAsia="en-US"/>
        </w:rPr>
        <w:t>-</w:t>
      </w:r>
      <w:r w:rsidRPr="001D3E93">
        <w:rPr>
          <w:rFonts w:ascii="Verdana" w:eastAsia="MS Mincho" w:hAnsi="Verdana" w:cs="Arial"/>
          <w:lang w:val="en-US" w:eastAsia="en-US"/>
        </w:rPr>
        <w:t>purpose for the new EMDG program. The platform needed to be integrated with Austrade’s enterprise client engagement system (ACE)</w:t>
      </w:r>
      <w:r w:rsidR="00F3105A" w:rsidRPr="001D3E93">
        <w:rPr>
          <w:rFonts w:ascii="Verdana" w:eastAsia="MS Mincho" w:hAnsi="Verdana" w:cs="Arial"/>
          <w:lang w:val="en-US" w:eastAsia="en-US"/>
        </w:rPr>
        <w:t xml:space="preserve"> and with the whole-of-government’s Digital Identity and MyGovID systems.</w:t>
      </w:r>
      <w:r w:rsidRPr="001D3E93">
        <w:rPr>
          <w:rFonts w:ascii="Verdana" w:eastAsia="MS Mincho" w:hAnsi="Verdana" w:cs="Arial"/>
          <w:lang w:val="en-US" w:eastAsia="en-US"/>
        </w:rPr>
        <w:t xml:space="preserve"> </w:t>
      </w:r>
      <w:r w:rsidR="00274FE5" w:rsidRPr="001D3E93">
        <w:rPr>
          <w:rFonts w:ascii="Verdana" w:eastAsia="MS Mincho" w:hAnsi="Verdana" w:cs="Arial"/>
          <w:lang w:val="en-US" w:eastAsia="en-US"/>
        </w:rPr>
        <w:t xml:space="preserve">It also needed to meet business commitment dates and co-exist with the EMDG 1.0 system. </w:t>
      </w:r>
      <w:r w:rsidRPr="001D3E93">
        <w:rPr>
          <w:rFonts w:ascii="Verdana" w:eastAsia="MS Mincho" w:hAnsi="Verdana" w:cs="Arial"/>
          <w:lang w:val="en-US" w:eastAsia="en-US"/>
        </w:rPr>
        <w:t>The EMDG 1.0</w:t>
      </w:r>
      <w:r w:rsidR="00335BA1" w:rsidRPr="001D3E93">
        <w:rPr>
          <w:rFonts w:ascii="Verdana" w:eastAsia="MS Mincho" w:hAnsi="Verdana" w:cs="Arial"/>
          <w:lang w:val="en-US" w:eastAsia="en-US"/>
        </w:rPr>
        <w:t xml:space="preserve"> IT</w:t>
      </w:r>
      <w:r w:rsidRPr="001D3E93">
        <w:rPr>
          <w:rFonts w:ascii="Verdana" w:eastAsia="MS Mincho" w:hAnsi="Verdana" w:cs="Arial"/>
          <w:lang w:val="en-US" w:eastAsia="en-US"/>
        </w:rPr>
        <w:t xml:space="preserve"> system was built on old technology and could not be moved to </w:t>
      </w:r>
      <w:r w:rsidR="00D046FC" w:rsidRPr="001D3E93">
        <w:rPr>
          <w:rFonts w:ascii="Verdana" w:eastAsia="MS Mincho" w:hAnsi="Verdana" w:cs="Arial"/>
          <w:lang w:val="en-US" w:eastAsia="en-US"/>
        </w:rPr>
        <w:t>c</w:t>
      </w:r>
      <w:r w:rsidRPr="001D3E93">
        <w:rPr>
          <w:rFonts w:ascii="Verdana" w:eastAsia="MS Mincho" w:hAnsi="Verdana" w:cs="Arial"/>
          <w:lang w:val="en-US" w:eastAsia="en-US"/>
        </w:rPr>
        <w:t>loud-based technology as per Austrade’s ICT strategy.</w:t>
      </w:r>
    </w:p>
    <w:p w14:paraId="5F52A38B" w14:textId="650D62E9" w:rsidR="00A0613F" w:rsidRPr="001D3E93" w:rsidRDefault="00A0613F" w:rsidP="00A0613F">
      <w:pPr>
        <w:spacing w:after="160" w:line="259" w:lineRule="auto"/>
        <w:rPr>
          <w:rFonts w:ascii="Verdana" w:eastAsia="Calibri" w:hAnsi="Verdana" w:cs="Segoe UI"/>
          <w:lang w:val="en-US" w:eastAsia="en-US"/>
        </w:rPr>
      </w:pPr>
      <w:r w:rsidRPr="001D3E93">
        <w:rPr>
          <w:rFonts w:ascii="Verdana" w:eastAsia="Calibri" w:hAnsi="Verdana" w:cs="Arial"/>
          <w:lang w:val="en-US" w:eastAsia="en-US"/>
        </w:rPr>
        <w:t>Market conditions</w:t>
      </w:r>
      <w:r w:rsidR="0001406A" w:rsidRPr="001D3E93">
        <w:rPr>
          <w:rFonts w:ascii="Verdana" w:eastAsia="Calibri" w:hAnsi="Verdana" w:cs="Arial"/>
          <w:lang w:val="en-US" w:eastAsia="en-US"/>
        </w:rPr>
        <w:t>,</w:t>
      </w:r>
      <w:r w:rsidRPr="001D3E93">
        <w:rPr>
          <w:rFonts w:ascii="Verdana" w:eastAsia="Calibri" w:hAnsi="Verdana" w:cs="Arial"/>
          <w:lang w:val="en-US" w:eastAsia="en-US"/>
        </w:rPr>
        <w:t xml:space="preserve"> </w:t>
      </w:r>
      <w:r w:rsidR="00335BA1" w:rsidRPr="001D3E93">
        <w:rPr>
          <w:rFonts w:ascii="Verdana" w:eastAsia="Calibri" w:hAnsi="Verdana" w:cs="Arial"/>
          <w:lang w:val="en-US" w:eastAsia="en-US"/>
        </w:rPr>
        <w:t>which pushed</w:t>
      </w:r>
      <w:r w:rsidRPr="001D3E93">
        <w:rPr>
          <w:rFonts w:ascii="Verdana" w:eastAsia="Calibri" w:hAnsi="Verdana" w:cs="Arial"/>
          <w:lang w:val="en-US" w:eastAsia="en-US"/>
        </w:rPr>
        <w:t xml:space="preserve"> the </w:t>
      </w:r>
      <w:r w:rsidR="00335BA1" w:rsidRPr="001D3E93">
        <w:rPr>
          <w:rFonts w:ascii="Verdana" w:eastAsia="Calibri" w:hAnsi="Verdana" w:cs="Arial"/>
          <w:lang w:val="en-US" w:eastAsia="en-US"/>
        </w:rPr>
        <w:t>actual IT</w:t>
      </w:r>
      <w:r w:rsidRPr="001D3E93">
        <w:rPr>
          <w:rFonts w:ascii="Verdana" w:eastAsia="Calibri" w:hAnsi="Verdana" w:cs="Arial"/>
          <w:lang w:val="en-US" w:eastAsia="en-US"/>
        </w:rPr>
        <w:t xml:space="preserve"> build cost </w:t>
      </w:r>
      <w:r w:rsidR="00335BA1" w:rsidRPr="001D3E93">
        <w:rPr>
          <w:rFonts w:ascii="Verdana" w:eastAsia="Calibri" w:hAnsi="Verdana" w:cs="Arial"/>
          <w:lang w:val="en-US" w:eastAsia="en-US"/>
        </w:rPr>
        <w:t>beyond the budget allocation</w:t>
      </w:r>
      <w:r w:rsidR="0001406A" w:rsidRPr="001D3E93">
        <w:rPr>
          <w:rFonts w:ascii="Verdana" w:eastAsia="Calibri" w:hAnsi="Verdana" w:cs="Arial"/>
          <w:lang w:val="en-US" w:eastAsia="en-US"/>
        </w:rPr>
        <w:t>,</w:t>
      </w:r>
      <w:r w:rsidRPr="001D3E93">
        <w:rPr>
          <w:rFonts w:ascii="Verdana" w:eastAsia="Calibri" w:hAnsi="Verdana" w:cs="Arial"/>
          <w:lang w:val="en-US" w:eastAsia="en-US"/>
        </w:rPr>
        <w:t xml:space="preserve"> resulted in Austrade needing to put its own, non-EMDG, funding into the program (beyond the </w:t>
      </w:r>
      <w:r w:rsidRPr="001D3E93">
        <w:br/>
      </w:r>
      <w:r w:rsidRPr="001D3E93">
        <w:rPr>
          <w:rFonts w:ascii="Verdana" w:eastAsia="Calibri" w:hAnsi="Verdana" w:cs="Arial"/>
          <w:lang w:val="en-US" w:eastAsia="en-US"/>
        </w:rPr>
        <w:t xml:space="preserve">7 per cent </w:t>
      </w:r>
      <w:r w:rsidR="0078767C" w:rsidRPr="001D3E93">
        <w:rPr>
          <w:rFonts w:ascii="Verdana" w:eastAsia="Calibri" w:hAnsi="Verdana" w:cs="Arial"/>
          <w:lang w:val="en-US" w:eastAsia="en-US"/>
        </w:rPr>
        <w:t>administration</w:t>
      </w:r>
      <w:r w:rsidRPr="001D3E93">
        <w:rPr>
          <w:rFonts w:ascii="Verdana" w:eastAsia="Calibri" w:hAnsi="Verdana" w:cs="Arial"/>
          <w:lang w:val="en-US" w:eastAsia="en-US"/>
        </w:rPr>
        <w:t xml:space="preserve"> appropriation) to deliver a minimum viable IT system, with limited automation and functionality. </w:t>
      </w:r>
      <w:r w:rsidRPr="001D3E93">
        <w:rPr>
          <w:rFonts w:ascii="Verdana" w:eastAsia="Calibri" w:hAnsi="Verdana" w:cs="Segoe UI"/>
          <w:lang w:val="en-US" w:eastAsia="en-US"/>
        </w:rPr>
        <w:t xml:space="preserve">Once live, the EMDG 2.0 system delivered as per the agreed minimum viable product for each stage of the grant program lifecycle (i.e., online application, assessment and approval of applications, grant agreement processing, and milestone report payments). </w:t>
      </w:r>
      <w:r w:rsidR="003947A0" w:rsidRPr="001D3E93">
        <w:rPr>
          <w:rFonts w:ascii="Verdana" w:eastAsia="Calibri" w:hAnsi="Verdana" w:cs="Segoe UI"/>
          <w:lang w:val="en-US" w:eastAsia="en-US"/>
        </w:rPr>
        <w:t>There were unforeseen business requirements and processes that were not taken into account during the build b</w:t>
      </w:r>
      <w:r w:rsidRPr="001D3E93">
        <w:rPr>
          <w:rFonts w:ascii="Verdana" w:eastAsia="Calibri" w:hAnsi="Verdana" w:cs="Segoe UI"/>
          <w:lang w:val="en-US" w:eastAsia="en-US"/>
        </w:rPr>
        <w:t>ecause EMDG 2.0 was roll</w:t>
      </w:r>
      <w:r w:rsidR="001E4746" w:rsidRPr="001D3E93">
        <w:rPr>
          <w:rFonts w:ascii="Verdana" w:eastAsia="Calibri" w:hAnsi="Verdana" w:cs="Segoe UI"/>
          <w:lang w:val="en-US" w:eastAsia="en-US"/>
        </w:rPr>
        <w:t>ed</w:t>
      </w:r>
      <w:r w:rsidRPr="001D3E93">
        <w:rPr>
          <w:rFonts w:ascii="Verdana" w:eastAsia="Calibri" w:hAnsi="Verdana" w:cs="Segoe UI"/>
          <w:lang w:val="en-US" w:eastAsia="en-US"/>
        </w:rPr>
        <w:t xml:space="preserve"> out at the same time as the IT systems were being built</w:t>
      </w:r>
      <w:r w:rsidR="00993888" w:rsidRPr="001D3E93">
        <w:rPr>
          <w:rFonts w:ascii="Verdana" w:eastAsia="Calibri" w:hAnsi="Verdana" w:cs="Segoe UI"/>
          <w:lang w:val="en-US" w:eastAsia="en-US"/>
        </w:rPr>
        <w:t>.</w:t>
      </w:r>
      <w:r w:rsidRPr="001D3E93">
        <w:rPr>
          <w:rFonts w:ascii="Verdana" w:eastAsia="Calibri" w:hAnsi="Verdana" w:cs="Segoe UI"/>
          <w:lang w:val="en-US" w:eastAsia="en-US"/>
        </w:rPr>
        <w:t xml:space="preserve"> </w:t>
      </w:r>
      <w:r w:rsidRPr="001D3E93">
        <w:rPr>
          <w:rFonts w:ascii="Verdana" w:eastAsia="Calibri" w:hAnsi="Verdana" w:cs="Arial"/>
          <w:lang w:val="en-US" w:eastAsia="en-US"/>
        </w:rPr>
        <w:t xml:space="preserve">The limited functionality of the system impacts on the speed and quality of service delivery (with </w:t>
      </w:r>
      <w:r w:rsidR="000D0CEA" w:rsidRPr="001D3E93">
        <w:rPr>
          <w:rFonts w:ascii="Verdana" w:eastAsia="Calibri" w:hAnsi="Verdana" w:cs="Arial"/>
          <w:lang w:val="en-US" w:eastAsia="en-US"/>
        </w:rPr>
        <w:t xml:space="preserve">some </w:t>
      </w:r>
      <w:r w:rsidRPr="001D3E93">
        <w:rPr>
          <w:rFonts w:ascii="Verdana" w:eastAsia="Calibri" w:hAnsi="Verdana" w:cs="Arial"/>
          <w:lang w:val="en-US" w:eastAsia="en-US"/>
        </w:rPr>
        <w:t>processing delays causing criticism).</w:t>
      </w:r>
      <w:r w:rsidRPr="001D3E93">
        <w:rPr>
          <w:rFonts w:ascii="Verdana" w:eastAsia="Calibri" w:hAnsi="Verdana" w:cs="Segoe UI"/>
          <w:lang w:val="en-US" w:eastAsia="en-US"/>
        </w:rPr>
        <w:t xml:space="preserve"> </w:t>
      </w:r>
    </w:p>
    <w:p w14:paraId="0058EFC1" w14:textId="77777777" w:rsidR="00A0613F" w:rsidRPr="001D3E93" w:rsidRDefault="00A0613F" w:rsidP="00A0613F">
      <w:pPr>
        <w:spacing w:after="160" w:line="259" w:lineRule="auto"/>
        <w:rPr>
          <w:rFonts w:ascii="Verdana" w:eastAsia="Times New Roman" w:hAnsi="Verdana" w:cs="Calibri"/>
          <w:lang w:val="en-US" w:eastAsia="en-AU"/>
        </w:rPr>
      </w:pPr>
      <w:r w:rsidRPr="001D3E93">
        <w:rPr>
          <w:rFonts w:ascii="Verdana" w:eastAsia="Calibri" w:hAnsi="Verdana" w:cs="Segoe UI"/>
          <w:lang w:val="en-US" w:eastAsia="en-US"/>
        </w:rPr>
        <w:t>The design of the EMDG 2.0 IT system allows for future enhancements and automation.</w:t>
      </w:r>
      <w:r w:rsidRPr="001D3E93">
        <w:rPr>
          <w:rFonts w:ascii="Verdana" w:eastAsia="Times New Roman" w:hAnsi="Verdana" w:cs="Calibri"/>
          <w:lang w:val="en-US" w:eastAsia="en-AU"/>
        </w:rPr>
        <w:t xml:space="preserve"> It is possible to upgrade systems to address the changes required between rounds, introduce more automation, integrate EMDG App (CRM)-SAP payment systems and make systems improvements based on learnings and feedback from </w:t>
      </w:r>
      <w:r w:rsidR="008126A3" w:rsidRPr="001D3E93">
        <w:rPr>
          <w:rFonts w:ascii="Verdana" w:eastAsia="Times New Roman" w:hAnsi="Verdana" w:cs="Calibri"/>
          <w:lang w:val="en-US" w:eastAsia="en-AU"/>
        </w:rPr>
        <w:t xml:space="preserve">the </w:t>
      </w:r>
      <w:r w:rsidRPr="001D3E93">
        <w:rPr>
          <w:rFonts w:ascii="Verdana" w:eastAsia="Times New Roman" w:hAnsi="Verdana" w:cs="Calibri"/>
          <w:lang w:val="en-US" w:eastAsia="en-AU"/>
        </w:rPr>
        <w:t>previous round.</w:t>
      </w:r>
      <w:r w:rsidR="00571F03" w:rsidRPr="001D3E93">
        <w:rPr>
          <w:rFonts w:ascii="Verdana" w:eastAsia="Times New Roman" w:hAnsi="Verdana" w:cs="Calibri"/>
          <w:lang w:val="en-US" w:eastAsia="en-AU"/>
        </w:rPr>
        <w:t xml:space="preserve"> </w:t>
      </w:r>
      <w:r w:rsidR="006578AF" w:rsidRPr="001D3E93">
        <w:rPr>
          <w:rFonts w:ascii="Verdana" w:eastAsia="Times New Roman" w:hAnsi="Verdana" w:cs="Calibri"/>
          <w:lang w:val="en-US" w:eastAsia="en-AU"/>
        </w:rPr>
        <w:t xml:space="preserve">Austrade has commenced work to </w:t>
      </w:r>
      <w:r w:rsidR="006B1206" w:rsidRPr="001D3E93">
        <w:rPr>
          <w:rFonts w:ascii="Verdana" w:eastAsia="Times New Roman" w:hAnsi="Verdana" w:cs="Calibri"/>
          <w:lang w:val="en-US" w:eastAsia="en-AU"/>
        </w:rPr>
        <w:t xml:space="preserve">enhance EMDG’s IT infrastructure. </w:t>
      </w:r>
      <w:r w:rsidR="00CA4FD5" w:rsidRPr="001D3E93">
        <w:rPr>
          <w:rFonts w:ascii="Verdana" w:eastAsia="Times New Roman" w:hAnsi="Verdana" w:cs="Calibri"/>
          <w:lang w:val="en-US" w:eastAsia="en-AU"/>
        </w:rPr>
        <w:t xml:space="preserve">Further upgrades </w:t>
      </w:r>
      <w:r w:rsidR="006B1206" w:rsidRPr="001D3E93">
        <w:rPr>
          <w:rFonts w:ascii="Verdana" w:eastAsia="Times New Roman" w:hAnsi="Verdana" w:cs="Calibri"/>
          <w:lang w:val="en-US" w:eastAsia="en-AU"/>
        </w:rPr>
        <w:t xml:space="preserve">to </w:t>
      </w:r>
      <w:r w:rsidR="00FA1219" w:rsidRPr="001D3E93">
        <w:rPr>
          <w:rFonts w:ascii="Verdana" w:eastAsia="Times New Roman" w:hAnsi="Verdana" w:cs="Calibri"/>
          <w:lang w:val="en-US" w:eastAsia="en-AU"/>
        </w:rPr>
        <w:t xml:space="preserve">EMDG’s IT infrastructure is recommended. </w:t>
      </w:r>
      <w:r w:rsidRPr="001D3E93">
        <w:rPr>
          <w:rFonts w:ascii="Verdana" w:eastAsia="Times New Roman" w:hAnsi="Verdana" w:cs="Calibri"/>
          <w:lang w:val="en-US" w:eastAsia="en-AU"/>
        </w:rPr>
        <w:t xml:space="preserve"> </w:t>
      </w:r>
    </w:p>
    <w:p w14:paraId="6EF273EF" w14:textId="7C04C1F9" w:rsidR="00A0613F" w:rsidRPr="00A3430B" w:rsidRDefault="00A0613F" w:rsidP="0054361F">
      <w:pPr>
        <w:pStyle w:val="Heading2"/>
        <w:rPr>
          <w:b w:val="0"/>
          <w:bCs w:val="0"/>
          <w:color w:val="0F4C44" w:themeColor="background2" w:themeShade="80"/>
          <w:lang w:val="en-US" w:eastAsia="en-US"/>
        </w:rPr>
      </w:pPr>
      <w:bookmarkStart w:id="96" w:name="_Toc117765774"/>
      <w:bookmarkStart w:id="97" w:name="_Toc118299452"/>
      <w:bookmarkStart w:id="98" w:name="_Toc120547696"/>
      <w:bookmarkStart w:id="99" w:name="_Toc124433378"/>
      <w:r w:rsidRPr="00A3430B">
        <w:rPr>
          <w:b w:val="0"/>
          <w:bCs w:val="0"/>
          <w:color w:val="0F4C44" w:themeColor="accent3" w:themeShade="80"/>
          <w:lang w:val="en-US" w:eastAsia="en-US"/>
        </w:rPr>
        <w:lastRenderedPageBreak/>
        <w:t>4.  Review Consultations</w:t>
      </w:r>
      <w:r w:rsidR="00E76C75" w:rsidRPr="00A3430B">
        <w:rPr>
          <w:b w:val="0"/>
          <w:bCs w:val="0"/>
          <w:color w:val="0F4C44" w:themeColor="accent3" w:themeShade="80"/>
          <w:lang w:val="en-US" w:eastAsia="en-US"/>
        </w:rPr>
        <w:t xml:space="preserve"> – </w:t>
      </w:r>
      <w:r w:rsidR="00A04FFC">
        <w:rPr>
          <w:b w:val="0"/>
          <w:bCs w:val="0"/>
          <w:color w:val="0F4C44" w:themeColor="accent3" w:themeShade="80"/>
          <w:lang w:val="en-US" w:eastAsia="en-US"/>
        </w:rPr>
        <w:t>F</w:t>
      </w:r>
      <w:r w:rsidRPr="00A3430B">
        <w:rPr>
          <w:b w:val="0"/>
          <w:bCs w:val="0"/>
          <w:color w:val="0F4C44" w:themeColor="accent3" w:themeShade="80"/>
          <w:lang w:val="en-US" w:eastAsia="en-US"/>
        </w:rPr>
        <w:t>eedback from external stakeholders</w:t>
      </w:r>
      <w:bookmarkEnd w:id="96"/>
      <w:bookmarkEnd w:id="97"/>
      <w:bookmarkEnd w:id="98"/>
      <w:bookmarkEnd w:id="99"/>
    </w:p>
    <w:p w14:paraId="66569A33" w14:textId="0E0DA46F" w:rsidR="00A0613F" w:rsidRPr="001D3E93" w:rsidRDefault="00A0613F" w:rsidP="00A3430B">
      <w:pPr>
        <w:keepNext/>
        <w:keepLines/>
        <w:spacing w:before="40" w:after="0" w:line="259" w:lineRule="auto"/>
        <w:rPr>
          <w:rFonts w:ascii="Verdana" w:eastAsia="MS Gothic" w:hAnsi="Verdana" w:cs="Times New Roman"/>
          <w:lang w:val="en-US" w:eastAsia="en-US"/>
        </w:rPr>
      </w:pPr>
      <w:bookmarkStart w:id="100" w:name="_Toc118366649"/>
      <w:bookmarkStart w:id="101" w:name="_Toc118370894"/>
      <w:bookmarkStart w:id="102" w:name="_Toc118385791"/>
      <w:bookmarkStart w:id="103" w:name="_Toc118385914"/>
      <w:bookmarkStart w:id="104" w:name="_Toc118703317"/>
      <w:bookmarkStart w:id="105" w:name="_Toc118703420"/>
      <w:bookmarkStart w:id="106" w:name="_Toc120547697"/>
      <w:bookmarkStart w:id="107" w:name="_Toc118299453"/>
      <w:bookmarkStart w:id="108" w:name="_Toc118299563"/>
      <w:r w:rsidRPr="001D3E93">
        <w:rPr>
          <w:rFonts w:ascii="Verdana" w:eastAsia="MS Gothic" w:hAnsi="Verdana" w:cs="Times New Roman"/>
          <w:lang w:val="en-US" w:eastAsia="en-US"/>
        </w:rPr>
        <w:t xml:space="preserve">Austrade had committed to </w:t>
      </w:r>
      <w:r w:rsidR="00D55EE6" w:rsidRPr="001D3E93">
        <w:rPr>
          <w:rFonts w:ascii="Verdana" w:eastAsia="MS Gothic" w:hAnsi="Verdana" w:cs="Times New Roman"/>
          <w:lang w:val="en-US" w:eastAsia="en-US"/>
        </w:rPr>
        <w:t>assess</w:t>
      </w:r>
      <w:r w:rsidRPr="001D3E93">
        <w:rPr>
          <w:rFonts w:ascii="Verdana" w:eastAsia="MS Gothic" w:hAnsi="Verdana" w:cs="Times New Roman"/>
          <w:lang w:val="en-US" w:eastAsia="en-US"/>
        </w:rPr>
        <w:t xml:space="preserve"> and improve its implementation of the scheme following Round 1. </w:t>
      </w:r>
      <w:r w:rsidR="004E2A28" w:rsidRPr="001D3E93">
        <w:rPr>
          <w:rFonts w:ascii="Verdana" w:eastAsia="MS Gothic" w:hAnsi="Verdana" w:cs="Times New Roman"/>
          <w:lang w:val="en-US" w:eastAsia="en-US"/>
        </w:rPr>
        <w:t>I</w:t>
      </w:r>
      <w:r w:rsidRPr="001D3E93">
        <w:rPr>
          <w:rFonts w:ascii="Verdana" w:eastAsia="MS Gothic" w:hAnsi="Verdana" w:cs="Times New Roman"/>
          <w:lang w:val="en-US" w:eastAsia="en-US"/>
        </w:rPr>
        <w:t>n early 2022 Austrade surveyed and consulted with applicants and grant</w:t>
      </w:r>
      <w:r w:rsidRPr="001D3E93" w:rsidDel="004C2CD8">
        <w:rPr>
          <w:rFonts w:ascii="Verdana" w:eastAsia="MS Gothic" w:hAnsi="Verdana" w:cs="Times New Roman"/>
          <w:lang w:val="en-US" w:eastAsia="en-US"/>
        </w:rPr>
        <w:t xml:space="preserve"> </w:t>
      </w:r>
      <w:r w:rsidRPr="001D3E93">
        <w:rPr>
          <w:rFonts w:ascii="Verdana" w:eastAsia="MS Gothic" w:hAnsi="Verdana" w:cs="Times New Roman"/>
          <w:lang w:val="en-US" w:eastAsia="en-US"/>
        </w:rPr>
        <w:t xml:space="preserve">agents to improve the processes and client experiences for </w:t>
      </w:r>
      <w:r w:rsidR="00C95584" w:rsidRPr="001D3E93">
        <w:rPr>
          <w:rFonts w:ascii="Verdana" w:eastAsia="MS Gothic" w:hAnsi="Verdana" w:cs="Times New Roman"/>
          <w:lang w:val="en-US" w:eastAsia="en-US"/>
        </w:rPr>
        <w:t>Round 2</w:t>
      </w:r>
      <w:r w:rsidRPr="001D3E93">
        <w:rPr>
          <w:rFonts w:ascii="Verdana" w:eastAsia="MS Gothic" w:hAnsi="Verdana" w:cs="Times New Roman"/>
          <w:lang w:val="en-US" w:eastAsia="en-US"/>
        </w:rPr>
        <w:t xml:space="preserve">. This data is useful for this Operational Review and </w:t>
      </w:r>
      <w:r w:rsidR="0083655C" w:rsidRPr="001D3E93">
        <w:rPr>
          <w:rFonts w:ascii="Verdana" w:eastAsia="MS Gothic" w:hAnsi="Verdana" w:cs="Times New Roman"/>
          <w:lang w:val="en-US" w:eastAsia="en-US"/>
        </w:rPr>
        <w:t>had previously been</w:t>
      </w:r>
      <w:r w:rsidRPr="001D3E93">
        <w:rPr>
          <w:rFonts w:ascii="Verdana" w:eastAsia="MS Gothic" w:hAnsi="Verdana" w:cs="Times New Roman"/>
          <w:lang w:val="en-US" w:eastAsia="en-US"/>
        </w:rPr>
        <w:t xml:space="preserve"> publicly released on Austrade’s website</w:t>
      </w:r>
      <w:r w:rsidRPr="001D3E93">
        <w:rPr>
          <w:rFonts w:ascii="Verdana" w:eastAsia="MS Gothic" w:hAnsi="Verdana" w:cs="Times New Roman"/>
          <w:vertAlign w:val="superscript"/>
          <w:lang w:val="en-US" w:eastAsia="en-US"/>
        </w:rPr>
        <w:footnoteReference w:id="5"/>
      </w:r>
      <w:r w:rsidRPr="001D3E93">
        <w:rPr>
          <w:rFonts w:ascii="Verdana" w:eastAsia="MS Gothic" w:hAnsi="Verdana" w:cs="Times New Roman"/>
          <w:lang w:val="en-US" w:eastAsia="en-US"/>
        </w:rPr>
        <w:t>.</w:t>
      </w:r>
      <w:bookmarkEnd w:id="100"/>
      <w:bookmarkEnd w:id="101"/>
      <w:bookmarkEnd w:id="102"/>
      <w:bookmarkEnd w:id="103"/>
      <w:bookmarkEnd w:id="104"/>
      <w:bookmarkEnd w:id="105"/>
      <w:bookmarkEnd w:id="106"/>
      <w:r w:rsidRPr="001D3E93">
        <w:rPr>
          <w:rFonts w:ascii="Verdana" w:eastAsia="MS Gothic" w:hAnsi="Verdana" w:cs="Times New Roman"/>
          <w:lang w:val="en-US" w:eastAsia="en-US"/>
        </w:rPr>
        <w:t xml:space="preserve"> </w:t>
      </w:r>
      <w:bookmarkEnd w:id="107"/>
      <w:bookmarkEnd w:id="108"/>
    </w:p>
    <w:p w14:paraId="24411855" w14:textId="77777777" w:rsidR="00DA4F95" w:rsidRPr="001D3E93" w:rsidRDefault="00DA4F95" w:rsidP="00A3430B">
      <w:pPr>
        <w:keepNext/>
        <w:keepLines/>
        <w:spacing w:before="40" w:after="0" w:line="259" w:lineRule="auto"/>
        <w:rPr>
          <w:rFonts w:ascii="Verdana" w:eastAsia="MS Gothic" w:hAnsi="Verdana" w:cs="Times New Roman"/>
          <w:lang w:val="en-US" w:eastAsia="en-US"/>
        </w:rPr>
      </w:pPr>
    </w:p>
    <w:p w14:paraId="236680DA" w14:textId="77777777" w:rsidR="00A0613F" w:rsidRPr="001D3E93" w:rsidRDefault="00A0613F" w:rsidP="00A3430B">
      <w:pPr>
        <w:keepNext/>
        <w:keepLines/>
        <w:spacing w:before="40" w:after="0" w:line="259" w:lineRule="auto"/>
        <w:rPr>
          <w:rFonts w:ascii="Verdana" w:eastAsia="MS Gothic" w:hAnsi="Verdana" w:cs="Times New Roman"/>
          <w:lang w:val="en-US" w:eastAsia="en-US"/>
        </w:rPr>
      </w:pPr>
      <w:bookmarkStart w:id="109" w:name="_Toc118299454"/>
      <w:bookmarkStart w:id="110" w:name="_Toc118299564"/>
      <w:bookmarkStart w:id="111" w:name="_Toc118366650"/>
      <w:bookmarkStart w:id="112" w:name="_Toc118370895"/>
      <w:bookmarkStart w:id="113" w:name="_Toc118385792"/>
      <w:bookmarkStart w:id="114" w:name="_Toc118385915"/>
      <w:bookmarkStart w:id="115" w:name="_Toc118703318"/>
      <w:bookmarkStart w:id="116" w:name="_Toc118703421"/>
      <w:bookmarkStart w:id="117" w:name="_Toc120547698"/>
      <w:r w:rsidRPr="001D3E93">
        <w:rPr>
          <w:rFonts w:ascii="Verdana" w:eastAsia="MS Gothic" w:hAnsi="Verdana" w:cs="Times New Roman"/>
          <w:lang w:val="en-US" w:eastAsia="en-US"/>
        </w:rPr>
        <w:t>Further, as part of this EMDG Operational Review, during August-September 2022 Austrade conducted:</w:t>
      </w:r>
      <w:bookmarkEnd w:id="109"/>
      <w:bookmarkEnd w:id="110"/>
      <w:bookmarkEnd w:id="111"/>
      <w:bookmarkEnd w:id="112"/>
      <w:bookmarkEnd w:id="113"/>
      <w:bookmarkEnd w:id="114"/>
      <w:bookmarkEnd w:id="115"/>
      <w:bookmarkEnd w:id="116"/>
      <w:bookmarkEnd w:id="117"/>
    </w:p>
    <w:p w14:paraId="2E69FB5F" w14:textId="77777777" w:rsidR="00A0613F" w:rsidRPr="001D3E93" w:rsidRDefault="00A0613F" w:rsidP="00A3430B">
      <w:pPr>
        <w:keepNext/>
        <w:keepLines/>
        <w:numPr>
          <w:ilvl w:val="0"/>
          <w:numId w:val="29"/>
        </w:numPr>
        <w:spacing w:before="40" w:after="0" w:line="259" w:lineRule="auto"/>
        <w:rPr>
          <w:rFonts w:ascii="Verdana" w:eastAsia="MS Gothic" w:hAnsi="Verdana" w:cs="Times New Roman"/>
          <w:lang w:val="en-US" w:eastAsia="en-US"/>
        </w:rPr>
      </w:pPr>
      <w:bookmarkStart w:id="118" w:name="_Toc118299455"/>
      <w:bookmarkStart w:id="119" w:name="_Toc118299565"/>
      <w:bookmarkStart w:id="120" w:name="_Toc118366651"/>
      <w:bookmarkStart w:id="121" w:name="_Toc118370896"/>
      <w:bookmarkStart w:id="122" w:name="_Toc118385793"/>
      <w:bookmarkStart w:id="123" w:name="_Toc118385916"/>
      <w:bookmarkStart w:id="124" w:name="_Toc118703319"/>
      <w:bookmarkStart w:id="125" w:name="_Toc118703422"/>
      <w:bookmarkStart w:id="126" w:name="_Toc120547699"/>
      <w:r w:rsidRPr="001D3E93">
        <w:rPr>
          <w:rFonts w:ascii="Verdana" w:eastAsia="MS Gothic" w:hAnsi="Verdana" w:cs="Times New Roman"/>
          <w:lang w:val="en-US" w:eastAsia="en-US"/>
        </w:rPr>
        <w:t>53 in-person and virtual consultations led by independent facilitator, John Angley, with stakeholders including exporters, peak bodies, industry associations, EMDG agents and consultants, in Canberra, Sydney, Melbourne and Adelaide.</w:t>
      </w:r>
      <w:bookmarkEnd w:id="118"/>
      <w:bookmarkEnd w:id="119"/>
      <w:bookmarkEnd w:id="120"/>
      <w:bookmarkEnd w:id="121"/>
      <w:bookmarkEnd w:id="122"/>
      <w:bookmarkEnd w:id="123"/>
      <w:bookmarkEnd w:id="124"/>
      <w:bookmarkEnd w:id="125"/>
      <w:bookmarkEnd w:id="126"/>
      <w:r w:rsidRPr="001D3E93">
        <w:rPr>
          <w:rFonts w:ascii="Verdana" w:eastAsia="MS Gothic" w:hAnsi="Verdana" w:cs="Times New Roman"/>
          <w:lang w:val="en-US" w:eastAsia="en-US"/>
        </w:rPr>
        <w:t> </w:t>
      </w:r>
    </w:p>
    <w:p w14:paraId="6A05CA0B" w14:textId="59EE1BB0" w:rsidR="00A0613F" w:rsidRPr="001D3E93" w:rsidRDefault="00A0613F" w:rsidP="00A3430B">
      <w:pPr>
        <w:keepNext/>
        <w:keepLines/>
        <w:numPr>
          <w:ilvl w:val="0"/>
          <w:numId w:val="29"/>
        </w:numPr>
        <w:spacing w:before="40" w:after="0" w:line="259" w:lineRule="auto"/>
        <w:rPr>
          <w:rFonts w:ascii="Verdana" w:eastAsia="MS Gothic" w:hAnsi="Verdana" w:cs="Times New Roman"/>
          <w:lang w:val="en-US" w:eastAsia="en-US"/>
        </w:rPr>
      </w:pPr>
      <w:bookmarkStart w:id="127" w:name="_Toc118299456"/>
      <w:bookmarkStart w:id="128" w:name="_Toc118299566"/>
      <w:bookmarkStart w:id="129" w:name="_Toc118366652"/>
      <w:bookmarkStart w:id="130" w:name="_Toc118370897"/>
      <w:bookmarkStart w:id="131" w:name="_Toc118385794"/>
      <w:bookmarkStart w:id="132" w:name="_Toc118385917"/>
      <w:bookmarkStart w:id="133" w:name="_Toc118703320"/>
      <w:bookmarkStart w:id="134" w:name="_Toc118703423"/>
      <w:bookmarkStart w:id="135" w:name="_Toc120547700"/>
      <w:r w:rsidRPr="001D3E93">
        <w:rPr>
          <w:rFonts w:ascii="Verdana" w:eastAsia="MS Gothic" w:hAnsi="Verdana" w:cs="Times New Roman"/>
          <w:lang w:val="en-US" w:eastAsia="en-US"/>
        </w:rPr>
        <w:t>An online survey completed by 452 people (and available to all EMDG recipients and key stakeholders from 3 August for three weeks).</w:t>
      </w:r>
      <w:bookmarkEnd w:id="127"/>
      <w:bookmarkEnd w:id="128"/>
      <w:bookmarkEnd w:id="129"/>
      <w:bookmarkEnd w:id="130"/>
      <w:bookmarkEnd w:id="131"/>
      <w:bookmarkEnd w:id="132"/>
      <w:bookmarkEnd w:id="133"/>
      <w:bookmarkEnd w:id="134"/>
      <w:bookmarkEnd w:id="135"/>
    </w:p>
    <w:p w14:paraId="7B24F29E" w14:textId="1EAE6225" w:rsidR="00A0613F" w:rsidRPr="001D3E93" w:rsidRDefault="00BE6F0C" w:rsidP="0054361F">
      <w:pPr>
        <w:pStyle w:val="Heading3"/>
        <w:rPr>
          <w:b w:val="0"/>
          <w:bCs w:val="0"/>
          <w:sz w:val="24"/>
          <w:szCs w:val="24"/>
          <w:lang w:val="en-US" w:eastAsia="en-US"/>
        </w:rPr>
      </w:pPr>
      <w:bookmarkStart w:id="136" w:name="_Toc118299457"/>
      <w:bookmarkStart w:id="137" w:name="_Toc118299567"/>
      <w:bookmarkStart w:id="138" w:name="_Toc120547701"/>
      <w:bookmarkStart w:id="139" w:name="_Toc124433379"/>
      <w:r w:rsidRPr="001D3E93">
        <w:rPr>
          <w:b w:val="0"/>
          <w:bCs w:val="0"/>
          <w:caps w:val="0"/>
          <w:sz w:val="24"/>
          <w:szCs w:val="24"/>
          <w:lang w:val="en-US" w:eastAsia="en-US"/>
        </w:rPr>
        <w:t xml:space="preserve">Key </w:t>
      </w:r>
      <w:r w:rsidR="007A7A3F" w:rsidRPr="001D3E93">
        <w:rPr>
          <w:b w:val="0"/>
          <w:bCs w:val="0"/>
          <w:caps w:val="0"/>
          <w:sz w:val="24"/>
          <w:szCs w:val="24"/>
          <w:lang w:val="en-US" w:eastAsia="en-US"/>
        </w:rPr>
        <w:t>T</w:t>
      </w:r>
      <w:r w:rsidRPr="001D3E93">
        <w:rPr>
          <w:b w:val="0"/>
          <w:bCs w:val="0"/>
          <w:caps w:val="0"/>
          <w:sz w:val="24"/>
          <w:szCs w:val="24"/>
          <w:lang w:val="en-US" w:eastAsia="en-US"/>
        </w:rPr>
        <w:t>hemes</w:t>
      </w:r>
      <w:bookmarkEnd w:id="136"/>
      <w:bookmarkEnd w:id="137"/>
      <w:bookmarkEnd w:id="138"/>
      <w:bookmarkEnd w:id="139"/>
    </w:p>
    <w:p w14:paraId="537C8372" w14:textId="77777777" w:rsidR="00A0613F" w:rsidRPr="001D3E93" w:rsidRDefault="00A0613F" w:rsidP="00A3430B">
      <w:pPr>
        <w:keepNext/>
        <w:keepLines/>
        <w:spacing w:before="40" w:after="0" w:line="259" w:lineRule="auto"/>
        <w:rPr>
          <w:rFonts w:ascii="Calibri Light" w:eastAsia="MS Gothic" w:hAnsi="Calibri Light" w:cs="Times New Roman"/>
          <w:color w:val="2F5496"/>
          <w:sz w:val="26"/>
          <w:szCs w:val="26"/>
          <w:lang w:val="en-US" w:eastAsia="en-US"/>
        </w:rPr>
      </w:pPr>
      <w:bookmarkStart w:id="140" w:name="_Toc118299458"/>
      <w:bookmarkStart w:id="141" w:name="_Toc118299568"/>
      <w:bookmarkStart w:id="142" w:name="_Toc118366654"/>
      <w:bookmarkStart w:id="143" w:name="_Toc118370899"/>
      <w:bookmarkStart w:id="144" w:name="_Toc118385796"/>
      <w:bookmarkStart w:id="145" w:name="_Toc118385919"/>
      <w:bookmarkStart w:id="146" w:name="_Toc118703322"/>
      <w:bookmarkStart w:id="147" w:name="_Toc118703425"/>
      <w:bookmarkStart w:id="148" w:name="_Toc120547702"/>
      <w:r w:rsidRPr="001D3E93">
        <w:rPr>
          <w:rFonts w:ascii="Verdana" w:eastAsia="MS Gothic" w:hAnsi="Verdana" w:cs="Times New Roman"/>
          <w:lang w:val="en-US" w:eastAsia="en-US"/>
        </w:rPr>
        <w:t>The key themes that emerged across external consultations, both survey and interviews, included the following:</w:t>
      </w:r>
      <w:bookmarkEnd w:id="140"/>
      <w:bookmarkEnd w:id="141"/>
      <w:bookmarkEnd w:id="142"/>
      <w:bookmarkEnd w:id="143"/>
      <w:bookmarkEnd w:id="144"/>
      <w:bookmarkEnd w:id="145"/>
      <w:bookmarkEnd w:id="146"/>
      <w:bookmarkEnd w:id="147"/>
      <w:bookmarkEnd w:id="148"/>
    </w:p>
    <w:p w14:paraId="4B87644C" w14:textId="5543C3F9" w:rsidR="00DA4F95" w:rsidRPr="001D3E93" w:rsidRDefault="00A0613F" w:rsidP="00A3430B">
      <w:pPr>
        <w:keepNext/>
        <w:keepLines/>
        <w:numPr>
          <w:ilvl w:val="0"/>
          <w:numId w:val="28"/>
        </w:numPr>
        <w:spacing w:before="40" w:after="0" w:line="259" w:lineRule="auto"/>
        <w:rPr>
          <w:rFonts w:ascii="Verdana" w:eastAsia="MS Gothic" w:hAnsi="Verdana" w:cs="Times New Roman"/>
          <w:lang w:val="en-US" w:eastAsia="en-US"/>
        </w:rPr>
      </w:pPr>
      <w:bookmarkStart w:id="149" w:name="_Toc118299459"/>
      <w:bookmarkStart w:id="150" w:name="_Toc118299569"/>
      <w:bookmarkStart w:id="151" w:name="_Toc118366655"/>
      <w:bookmarkStart w:id="152" w:name="_Toc118370900"/>
      <w:bookmarkStart w:id="153" w:name="_Toc118385797"/>
      <w:bookmarkStart w:id="154" w:name="_Toc118385920"/>
      <w:bookmarkStart w:id="155" w:name="_Toc118703323"/>
      <w:bookmarkStart w:id="156" w:name="_Toc118703426"/>
      <w:bookmarkStart w:id="157" w:name="_Toc120547703"/>
      <w:r w:rsidRPr="001D3E93">
        <w:rPr>
          <w:rFonts w:ascii="Verdana" w:eastAsia="MS Gothic" w:hAnsi="Verdana" w:cs="Times New Roman"/>
          <w:lang w:val="en-US" w:eastAsia="en-US"/>
        </w:rPr>
        <w:t>Overall, both the consultations and the survey results left no doubt that businesses are positive about the EMDG 2.0 program. It is valued (“a brilliant program”), working well, and is reaching its target cohort of SMEs - evidenced by a record number of 5,384 eligible applicants. EMDG 2.0’s simplified application and</w:t>
      </w:r>
      <w:r w:rsidR="00DA07E3" w:rsidRPr="001D3E93">
        <w:rPr>
          <w:rFonts w:ascii="Verdana" w:eastAsia="MS Gothic" w:hAnsi="Verdana" w:cs="Times New Roman"/>
          <w:lang w:val="en-US" w:eastAsia="en-US"/>
        </w:rPr>
        <w:t xml:space="preserve"> grant amount</w:t>
      </w:r>
      <w:r w:rsidRPr="001D3E93">
        <w:rPr>
          <w:rFonts w:ascii="Verdana" w:eastAsia="MS Gothic" w:hAnsi="Verdana" w:cs="Times New Roman"/>
          <w:lang w:val="en-US" w:eastAsia="en-US"/>
        </w:rPr>
        <w:t xml:space="preserve"> certainty was also well received.</w:t>
      </w:r>
      <w:bookmarkEnd w:id="149"/>
      <w:bookmarkEnd w:id="150"/>
      <w:bookmarkEnd w:id="151"/>
      <w:bookmarkEnd w:id="152"/>
      <w:bookmarkEnd w:id="153"/>
      <w:bookmarkEnd w:id="154"/>
      <w:bookmarkEnd w:id="155"/>
      <w:bookmarkEnd w:id="156"/>
      <w:bookmarkEnd w:id="157"/>
      <w:r w:rsidRPr="001D3E93">
        <w:rPr>
          <w:rFonts w:ascii="Verdana" w:eastAsia="MS Gothic" w:hAnsi="Verdana" w:cs="Times New Roman"/>
          <w:lang w:val="en-US" w:eastAsia="en-US"/>
        </w:rPr>
        <w:t xml:space="preserve"> </w:t>
      </w:r>
      <w:r w:rsidR="00DA4F95" w:rsidRPr="001D3E93">
        <w:rPr>
          <w:rFonts w:ascii="Verdana" w:eastAsia="MS Gothic" w:hAnsi="Verdana" w:cs="Times New Roman"/>
          <w:lang w:val="en-US" w:eastAsia="en-US"/>
        </w:rPr>
        <w:br/>
      </w:r>
    </w:p>
    <w:p w14:paraId="1C82C1F1" w14:textId="77777777" w:rsidR="00A0613F" w:rsidRPr="001D3E93" w:rsidRDefault="00A0613F" w:rsidP="00A3430B">
      <w:pPr>
        <w:keepNext/>
        <w:keepLines/>
        <w:spacing w:before="40" w:after="0" w:line="259" w:lineRule="auto"/>
        <w:rPr>
          <w:rFonts w:ascii="Verdana" w:eastAsia="MS Gothic" w:hAnsi="Verdana" w:cs="Times New Roman"/>
          <w:lang w:val="en-US" w:eastAsia="en-US"/>
        </w:rPr>
      </w:pPr>
      <w:bookmarkStart w:id="158" w:name="_Toc118299460"/>
      <w:bookmarkStart w:id="159" w:name="_Toc118299570"/>
      <w:bookmarkStart w:id="160" w:name="_Toc118366656"/>
      <w:bookmarkStart w:id="161" w:name="_Toc118370901"/>
      <w:bookmarkStart w:id="162" w:name="_Toc118385798"/>
      <w:bookmarkStart w:id="163" w:name="_Toc118385921"/>
      <w:bookmarkStart w:id="164" w:name="_Toc118703324"/>
      <w:bookmarkStart w:id="165" w:name="_Toc118703427"/>
      <w:bookmarkStart w:id="166" w:name="_Toc120547704"/>
      <w:r w:rsidRPr="001D3E93">
        <w:rPr>
          <w:rFonts w:ascii="Verdana" w:eastAsia="MS Gothic" w:hAnsi="Verdana" w:cs="Times New Roman"/>
          <w:lang w:val="en-US" w:eastAsia="en-US"/>
        </w:rPr>
        <w:t>Stakeholders noted that in some instances they expected more from the program, including:</w:t>
      </w:r>
      <w:bookmarkEnd w:id="158"/>
      <w:bookmarkEnd w:id="159"/>
      <w:bookmarkEnd w:id="160"/>
      <w:bookmarkEnd w:id="161"/>
      <w:bookmarkEnd w:id="162"/>
      <w:bookmarkEnd w:id="163"/>
      <w:bookmarkEnd w:id="164"/>
      <w:bookmarkEnd w:id="165"/>
      <w:bookmarkEnd w:id="166"/>
    </w:p>
    <w:p w14:paraId="5F570EFE" w14:textId="5C9A9FEF" w:rsidR="00A0613F" w:rsidRPr="001D3E93" w:rsidRDefault="00A0613F" w:rsidP="00A3430B">
      <w:pPr>
        <w:keepNext/>
        <w:keepLines/>
        <w:numPr>
          <w:ilvl w:val="0"/>
          <w:numId w:val="28"/>
        </w:numPr>
        <w:spacing w:line="259" w:lineRule="auto"/>
        <w:ind w:hanging="357"/>
        <w:rPr>
          <w:rFonts w:ascii="Verdana" w:eastAsia="MS Gothic" w:hAnsi="Verdana" w:cs="Times New Roman"/>
          <w:lang w:val="en-US" w:eastAsia="en-US"/>
        </w:rPr>
      </w:pPr>
      <w:bookmarkStart w:id="167" w:name="_Toc118299461"/>
      <w:bookmarkStart w:id="168" w:name="_Toc118299571"/>
      <w:bookmarkStart w:id="169" w:name="_Toc118366657"/>
      <w:bookmarkStart w:id="170" w:name="_Toc118370902"/>
      <w:bookmarkStart w:id="171" w:name="_Toc118385799"/>
      <w:bookmarkStart w:id="172" w:name="_Toc118385922"/>
      <w:bookmarkStart w:id="173" w:name="_Toc118703325"/>
      <w:bookmarkStart w:id="174" w:name="_Toc118703428"/>
      <w:bookmarkStart w:id="175" w:name="_Toc120547705"/>
      <w:r w:rsidRPr="001D3E93">
        <w:rPr>
          <w:rFonts w:ascii="Verdana" w:eastAsia="MS Gothic" w:hAnsi="Verdana" w:cs="Times New Roman"/>
          <w:lang w:val="en-US" w:eastAsia="en-US"/>
        </w:rPr>
        <w:t>The program design was consistently raised, notably in terms of significant dissatisfaction with lower-than-expected grant amounts. Other issues causing confusion and providing opportunities for improvement included the tier system (including the recommendation to tighten the definition of diversification and clarify “strategic shift”), plan to market</w:t>
      </w:r>
      <w:r w:rsidR="00D55EE6" w:rsidRPr="001D3E93">
        <w:rPr>
          <w:rFonts w:ascii="Verdana" w:eastAsia="MS Gothic" w:hAnsi="Verdana" w:cs="Times New Roman"/>
          <w:lang w:val="en-US" w:eastAsia="en-US"/>
        </w:rPr>
        <w:t xml:space="preserve"> requirement</w:t>
      </w:r>
      <w:r w:rsidRPr="001D3E93">
        <w:rPr>
          <w:rFonts w:ascii="Verdana" w:eastAsia="MS Gothic" w:hAnsi="Verdana" w:cs="Times New Roman"/>
          <w:lang w:val="en-US" w:eastAsia="en-US"/>
        </w:rPr>
        <w:t xml:space="preserve">, milestone reporting and timelines. Applicants also wanted more clarity on timelines and when applicants could expect certain activities to occur, including clear notice on when Austrade expected to open application rounds, and required milestone reports. Further, it was </w:t>
      </w:r>
      <w:r w:rsidR="009C7CF4" w:rsidRPr="001D3E93">
        <w:rPr>
          <w:rFonts w:ascii="Verdana" w:eastAsia="MS Gothic" w:hAnsi="Verdana" w:cs="Times New Roman"/>
          <w:lang w:val="en-US" w:eastAsia="en-US"/>
        </w:rPr>
        <w:t>suggested</w:t>
      </w:r>
      <w:r w:rsidRPr="001D3E93">
        <w:rPr>
          <w:rFonts w:ascii="Verdana" w:eastAsia="MS Gothic" w:hAnsi="Verdana" w:cs="Times New Roman"/>
          <w:lang w:val="en-US" w:eastAsia="en-US"/>
        </w:rPr>
        <w:t xml:space="preserve"> grant agreements be provided as early in the financial year as possible to allow businesses to spend their matched grant amounts.</w:t>
      </w:r>
      <w:bookmarkEnd w:id="167"/>
      <w:bookmarkEnd w:id="168"/>
      <w:bookmarkEnd w:id="169"/>
      <w:bookmarkEnd w:id="170"/>
      <w:bookmarkEnd w:id="171"/>
      <w:bookmarkEnd w:id="172"/>
      <w:bookmarkEnd w:id="173"/>
      <w:bookmarkEnd w:id="174"/>
      <w:bookmarkEnd w:id="175"/>
    </w:p>
    <w:p w14:paraId="29E71B50" w14:textId="32C5FC96" w:rsidR="00A0613F" w:rsidRPr="001D3E93" w:rsidRDefault="00A0613F" w:rsidP="00A3430B">
      <w:pPr>
        <w:keepNext/>
        <w:keepLines/>
        <w:numPr>
          <w:ilvl w:val="0"/>
          <w:numId w:val="28"/>
        </w:numPr>
        <w:spacing w:line="259" w:lineRule="auto"/>
        <w:ind w:hanging="357"/>
        <w:rPr>
          <w:rFonts w:ascii="Verdana" w:eastAsia="MS Gothic" w:hAnsi="Verdana" w:cs="Times New Roman"/>
          <w:lang w:val="en-US" w:eastAsia="en-US"/>
        </w:rPr>
      </w:pPr>
      <w:bookmarkStart w:id="176" w:name="_Toc118299462"/>
      <w:bookmarkStart w:id="177" w:name="_Toc118299572"/>
      <w:bookmarkStart w:id="178" w:name="_Toc118366658"/>
      <w:bookmarkStart w:id="179" w:name="_Toc118370903"/>
      <w:bookmarkStart w:id="180" w:name="_Toc118385800"/>
      <w:bookmarkStart w:id="181" w:name="_Toc118385923"/>
      <w:bookmarkStart w:id="182" w:name="_Toc118703326"/>
      <w:bookmarkStart w:id="183" w:name="_Toc118703429"/>
      <w:bookmarkStart w:id="184" w:name="_Toc120547706"/>
      <w:r w:rsidRPr="001D3E93">
        <w:rPr>
          <w:rFonts w:ascii="Verdana" w:eastAsia="MS Gothic" w:hAnsi="Verdana" w:cs="Times New Roman"/>
          <w:lang w:val="en-US" w:eastAsia="en-US"/>
        </w:rPr>
        <w:t>The client experience was also flagged as an area for improvement, including MyGov (Services Australia) and Relationship Authorization Manager (RAM) (ATO), processing timeframes and updates/status, technical assistance, and timelines for EMDG rounds.</w:t>
      </w:r>
      <w:bookmarkEnd w:id="176"/>
      <w:bookmarkEnd w:id="177"/>
      <w:bookmarkEnd w:id="178"/>
      <w:bookmarkEnd w:id="179"/>
      <w:bookmarkEnd w:id="180"/>
      <w:bookmarkEnd w:id="181"/>
      <w:bookmarkEnd w:id="182"/>
      <w:bookmarkEnd w:id="183"/>
      <w:bookmarkEnd w:id="184"/>
      <w:r w:rsidRPr="001D3E93">
        <w:rPr>
          <w:rFonts w:ascii="Verdana" w:eastAsia="MS Gothic" w:hAnsi="Verdana" w:cs="Times New Roman"/>
          <w:lang w:val="en-US" w:eastAsia="en-US"/>
        </w:rPr>
        <w:t xml:space="preserve"> </w:t>
      </w:r>
    </w:p>
    <w:p w14:paraId="220F9B44" w14:textId="4C0EF511" w:rsidR="00A0613F" w:rsidRPr="001D3E93" w:rsidRDefault="00A52645" w:rsidP="00A3430B">
      <w:pPr>
        <w:keepNext/>
        <w:keepLines/>
        <w:numPr>
          <w:ilvl w:val="1"/>
          <w:numId w:val="4"/>
        </w:numPr>
        <w:spacing w:line="259" w:lineRule="auto"/>
        <w:ind w:hanging="357"/>
        <w:rPr>
          <w:rFonts w:ascii="Verdana" w:eastAsia="MS Gothic" w:hAnsi="Verdana" w:cs="Times New Roman"/>
          <w:lang w:val="en-US" w:eastAsia="en-US"/>
        </w:rPr>
      </w:pPr>
      <w:bookmarkStart w:id="185" w:name="_Toc118299463"/>
      <w:bookmarkStart w:id="186" w:name="_Toc118299573"/>
      <w:bookmarkStart w:id="187" w:name="_Toc118366659"/>
      <w:bookmarkStart w:id="188" w:name="_Toc118370904"/>
      <w:bookmarkStart w:id="189" w:name="_Toc118385801"/>
      <w:bookmarkStart w:id="190" w:name="_Toc118385924"/>
      <w:bookmarkStart w:id="191" w:name="_Toc118703327"/>
      <w:bookmarkStart w:id="192" w:name="_Toc118703430"/>
      <w:bookmarkStart w:id="193" w:name="_Toc120547707"/>
      <w:r w:rsidRPr="001D3E93">
        <w:rPr>
          <w:rFonts w:ascii="Verdana" w:eastAsia="MS Gothic" w:hAnsi="Verdana" w:cs="Times New Roman"/>
          <w:lang w:val="en-US" w:eastAsia="en-US"/>
        </w:rPr>
        <w:t xml:space="preserve">Stakeholders said </w:t>
      </w:r>
      <w:r w:rsidR="00A0613F" w:rsidRPr="001D3E93">
        <w:rPr>
          <w:rFonts w:ascii="Verdana" w:eastAsia="MS Gothic" w:hAnsi="Verdana" w:cs="Times New Roman"/>
          <w:lang w:val="en-US" w:eastAsia="en-US"/>
        </w:rPr>
        <w:t>that Austrade’s communication could be clearer, more regular and delivered through multiple channels. Stakeholders from all groups requested greater consideration of updating websites and providing consistent advice. This included:</w:t>
      </w:r>
      <w:bookmarkEnd w:id="185"/>
      <w:bookmarkEnd w:id="186"/>
      <w:bookmarkEnd w:id="187"/>
      <w:bookmarkEnd w:id="188"/>
      <w:bookmarkEnd w:id="189"/>
      <w:bookmarkEnd w:id="190"/>
      <w:bookmarkEnd w:id="191"/>
      <w:bookmarkEnd w:id="192"/>
      <w:bookmarkEnd w:id="193"/>
      <w:r w:rsidR="00A0613F" w:rsidRPr="001D3E93">
        <w:rPr>
          <w:rFonts w:ascii="Verdana" w:eastAsia="MS Gothic" w:hAnsi="Verdana" w:cs="Times New Roman"/>
          <w:lang w:val="en-US" w:eastAsia="en-US"/>
        </w:rPr>
        <w:t xml:space="preserve"> </w:t>
      </w:r>
    </w:p>
    <w:p w14:paraId="4BC432F4" w14:textId="7077E0B4" w:rsidR="00A0613F" w:rsidRPr="001D3E93" w:rsidRDefault="00A0613F" w:rsidP="00A3430B">
      <w:pPr>
        <w:keepNext/>
        <w:keepLines/>
        <w:numPr>
          <w:ilvl w:val="0"/>
          <w:numId w:val="20"/>
        </w:numPr>
        <w:spacing w:line="259" w:lineRule="auto"/>
        <w:ind w:hanging="357"/>
        <w:rPr>
          <w:rFonts w:ascii="Verdana" w:eastAsia="MS Gothic" w:hAnsi="Verdana" w:cs="Times New Roman"/>
          <w:lang w:val="en-US" w:eastAsia="en-US"/>
        </w:rPr>
      </w:pPr>
      <w:bookmarkStart w:id="194" w:name="_Toc118299464"/>
      <w:bookmarkStart w:id="195" w:name="_Toc118299574"/>
      <w:bookmarkStart w:id="196" w:name="_Toc118366660"/>
      <w:bookmarkStart w:id="197" w:name="_Toc118370905"/>
      <w:bookmarkStart w:id="198" w:name="_Toc118385802"/>
      <w:bookmarkStart w:id="199" w:name="_Toc118385925"/>
      <w:bookmarkStart w:id="200" w:name="_Toc118703328"/>
      <w:bookmarkStart w:id="201" w:name="_Toc118703431"/>
      <w:bookmarkStart w:id="202" w:name="_Toc120547708"/>
      <w:r w:rsidRPr="001D3E93">
        <w:rPr>
          <w:rFonts w:ascii="Verdana" w:eastAsia="MS Gothic" w:hAnsi="Verdana" w:cs="Times New Roman"/>
          <w:lang w:val="en-US" w:eastAsia="en-US"/>
        </w:rPr>
        <w:t xml:space="preserve">More communication </w:t>
      </w:r>
      <w:r w:rsidR="003C14D8" w:rsidRPr="001D3E93">
        <w:rPr>
          <w:rFonts w:ascii="Verdana" w:eastAsia="MS Gothic" w:hAnsi="Verdana" w:cs="Times New Roman"/>
          <w:lang w:val="en-US" w:eastAsia="en-US"/>
        </w:rPr>
        <w:t>associated with</w:t>
      </w:r>
      <w:r w:rsidRPr="001D3E93">
        <w:rPr>
          <w:rFonts w:ascii="Verdana" w:eastAsia="MS Gothic" w:hAnsi="Verdana" w:cs="Times New Roman"/>
          <w:lang w:val="en-US" w:eastAsia="en-US"/>
        </w:rPr>
        <w:t xml:space="preserve"> processing </w:t>
      </w:r>
      <w:r w:rsidR="003C14D8" w:rsidRPr="001D3E93">
        <w:rPr>
          <w:rFonts w:ascii="Verdana" w:eastAsia="MS Gothic" w:hAnsi="Verdana" w:cs="Times New Roman"/>
          <w:lang w:val="en-US" w:eastAsia="en-US"/>
        </w:rPr>
        <w:t>timeframes</w:t>
      </w:r>
      <w:r w:rsidRPr="001D3E93">
        <w:rPr>
          <w:rFonts w:ascii="Verdana" w:eastAsia="MS Gothic" w:hAnsi="Verdana" w:cs="Times New Roman"/>
          <w:lang w:val="en-US" w:eastAsia="en-US"/>
        </w:rPr>
        <w:t xml:space="preserve"> – including updates within their application portal, or indications on the website of general processing timelines for different tiers of applicant. Many applicants found long </w:t>
      </w:r>
      <w:r w:rsidR="003C14D8" w:rsidRPr="001D3E93">
        <w:rPr>
          <w:rFonts w:ascii="Verdana" w:eastAsia="MS Gothic" w:hAnsi="Verdana" w:cs="Times New Roman"/>
          <w:lang w:val="en-US" w:eastAsia="en-US"/>
        </w:rPr>
        <w:t>processing timeframes,</w:t>
      </w:r>
      <w:r w:rsidR="00C56E41" w:rsidRPr="001D3E93">
        <w:rPr>
          <w:rFonts w:ascii="Verdana" w:eastAsia="MS Gothic" w:hAnsi="Verdana" w:cs="Times New Roman"/>
          <w:lang w:val="en-US" w:eastAsia="en-US"/>
        </w:rPr>
        <w:t xml:space="preserve"> </w:t>
      </w:r>
      <w:r w:rsidRPr="001D3E93">
        <w:rPr>
          <w:rFonts w:ascii="Verdana" w:eastAsia="MS Gothic" w:hAnsi="Verdana" w:cs="Times New Roman"/>
          <w:lang w:val="en-US" w:eastAsia="en-US"/>
        </w:rPr>
        <w:t>delays and silence from Austrade unacceptable.</w:t>
      </w:r>
      <w:bookmarkEnd w:id="194"/>
      <w:bookmarkEnd w:id="195"/>
      <w:bookmarkEnd w:id="196"/>
      <w:bookmarkEnd w:id="197"/>
      <w:bookmarkEnd w:id="198"/>
      <w:bookmarkEnd w:id="199"/>
      <w:bookmarkEnd w:id="200"/>
      <w:bookmarkEnd w:id="201"/>
      <w:bookmarkEnd w:id="202"/>
      <w:r w:rsidRPr="001D3E93">
        <w:rPr>
          <w:rFonts w:ascii="Verdana" w:eastAsia="MS Gothic" w:hAnsi="Verdana" w:cs="Times New Roman"/>
          <w:lang w:val="en-US" w:eastAsia="en-US"/>
        </w:rPr>
        <w:t xml:space="preserve"> </w:t>
      </w:r>
    </w:p>
    <w:p w14:paraId="40E39DC5" w14:textId="77777777" w:rsidR="00A0613F" w:rsidRPr="001D3E93" w:rsidRDefault="00A0613F" w:rsidP="00A3430B">
      <w:pPr>
        <w:keepNext/>
        <w:keepLines/>
        <w:numPr>
          <w:ilvl w:val="0"/>
          <w:numId w:val="20"/>
        </w:numPr>
        <w:spacing w:line="259" w:lineRule="auto"/>
        <w:ind w:hanging="357"/>
        <w:rPr>
          <w:rFonts w:ascii="Verdana" w:eastAsia="MS Gothic" w:hAnsi="Verdana" w:cs="Times New Roman"/>
          <w:lang w:val="en-US" w:eastAsia="en-US"/>
        </w:rPr>
      </w:pPr>
      <w:bookmarkStart w:id="203" w:name="_Toc118299465"/>
      <w:bookmarkStart w:id="204" w:name="_Toc118299575"/>
      <w:bookmarkStart w:id="205" w:name="_Toc118366661"/>
      <w:bookmarkStart w:id="206" w:name="_Toc118370906"/>
      <w:bookmarkStart w:id="207" w:name="_Toc118385803"/>
      <w:bookmarkStart w:id="208" w:name="_Toc118385926"/>
      <w:bookmarkStart w:id="209" w:name="_Toc118703329"/>
      <w:bookmarkStart w:id="210" w:name="_Toc118703432"/>
      <w:bookmarkStart w:id="211" w:name="_Toc120547709"/>
      <w:r w:rsidRPr="001D3E93">
        <w:rPr>
          <w:rFonts w:ascii="Verdana" w:eastAsia="MS Gothic" w:hAnsi="Verdana" w:cs="Times New Roman"/>
          <w:lang w:val="en-US" w:eastAsia="en-US"/>
        </w:rPr>
        <w:t>In terms of general communications, the survey results from most stakeholders found Austrade’s communication channels helpful, including the website and the emailed newsletter. This suggests the timing and frequency of communications is a key issue, rather than the format or channel of the communications.</w:t>
      </w:r>
      <w:bookmarkEnd w:id="203"/>
      <w:bookmarkEnd w:id="204"/>
      <w:bookmarkEnd w:id="205"/>
      <w:bookmarkEnd w:id="206"/>
      <w:bookmarkEnd w:id="207"/>
      <w:bookmarkEnd w:id="208"/>
      <w:bookmarkEnd w:id="209"/>
      <w:bookmarkEnd w:id="210"/>
      <w:bookmarkEnd w:id="211"/>
    </w:p>
    <w:p w14:paraId="66033AE3" w14:textId="7AFD7C10" w:rsidR="00A0613F" w:rsidRPr="001D3E93" w:rsidRDefault="00A0613F" w:rsidP="00A3430B">
      <w:pPr>
        <w:keepNext/>
        <w:keepLines/>
        <w:spacing w:before="40" w:after="0" w:line="259" w:lineRule="auto"/>
        <w:rPr>
          <w:rFonts w:ascii="Verdana" w:eastAsia="MS Gothic" w:hAnsi="Verdana" w:cs="Times New Roman"/>
          <w:lang w:val="en-US" w:eastAsia="en-US"/>
        </w:rPr>
      </w:pPr>
      <w:bookmarkStart w:id="212" w:name="_Toc118299466"/>
      <w:bookmarkStart w:id="213" w:name="_Toc118299576"/>
      <w:bookmarkStart w:id="214" w:name="_Toc118366662"/>
      <w:bookmarkStart w:id="215" w:name="_Toc118370907"/>
      <w:bookmarkStart w:id="216" w:name="_Toc118385804"/>
      <w:bookmarkStart w:id="217" w:name="_Toc118385927"/>
      <w:bookmarkStart w:id="218" w:name="_Toc118703330"/>
      <w:bookmarkStart w:id="219" w:name="_Toc118703433"/>
      <w:bookmarkStart w:id="220" w:name="_Toc120547710"/>
      <w:r w:rsidRPr="001D3E93">
        <w:rPr>
          <w:rFonts w:ascii="Verdana" w:eastAsia="MS Gothic" w:hAnsi="Verdana" w:cs="Times New Roman"/>
          <w:lang w:val="en-US" w:eastAsia="en-US"/>
        </w:rPr>
        <w:lastRenderedPageBreak/>
        <w:t>Views in stakeholder consultation sessions and survey results differed markedly according to whether the stakeholder was brand new to EMDG or had experience under the old EMDG 1.0 scheme. Stakeholders with no previous experience of EMDG generally found EMDG 2.0 concepts, such as plan to market and milestone reporting, easy to navigate;</w:t>
      </w:r>
      <w:r w:rsidR="00F2484B" w:rsidRPr="001D3E93">
        <w:rPr>
          <w:rFonts w:ascii="Verdana" w:eastAsia="MS Gothic" w:hAnsi="Verdana" w:cs="Times New Roman"/>
          <w:lang w:val="en-US" w:eastAsia="en-US"/>
        </w:rPr>
        <w:t xml:space="preserve"> and</w:t>
      </w:r>
      <w:r w:rsidRPr="001D3E93">
        <w:rPr>
          <w:rFonts w:ascii="Verdana" w:eastAsia="MS Gothic" w:hAnsi="Verdana" w:cs="Times New Roman"/>
          <w:lang w:val="en-US" w:eastAsia="en-US"/>
        </w:rPr>
        <w:t xml:space="preserve"> felt supported by upfront grant amount certainty and were </w:t>
      </w:r>
      <w:r w:rsidR="0008210C" w:rsidRPr="001D3E93">
        <w:rPr>
          <w:rFonts w:ascii="Verdana" w:eastAsia="MS Gothic" w:hAnsi="Verdana" w:cs="Times New Roman"/>
          <w:lang w:val="en-US" w:eastAsia="en-US"/>
        </w:rPr>
        <w:t xml:space="preserve">generally </w:t>
      </w:r>
      <w:r w:rsidRPr="001D3E93">
        <w:rPr>
          <w:rFonts w:ascii="Verdana" w:eastAsia="MS Gothic" w:hAnsi="Verdana" w:cs="Times New Roman"/>
          <w:lang w:val="en-US" w:eastAsia="en-US"/>
        </w:rPr>
        <w:t xml:space="preserve">less focused on grant amounts. Stakeholders who were experienced with EMDG 1.0 were more likely to raise criticisms of EMDG 2.0, notably they expected higher grant amounts, found adapting to the settings of EMDG 2.0 (plan to market, milestone reporting) difficult, and suggested a return to the </w:t>
      </w:r>
      <w:r w:rsidR="00DF5F82" w:rsidRPr="001D3E93">
        <w:rPr>
          <w:rFonts w:ascii="Verdana" w:eastAsia="MS Gothic" w:hAnsi="Verdana" w:cs="Times New Roman"/>
          <w:lang w:val="en-US" w:eastAsia="en-US"/>
        </w:rPr>
        <w:t xml:space="preserve">familiar </w:t>
      </w:r>
      <w:r w:rsidRPr="001D3E93">
        <w:rPr>
          <w:rFonts w:ascii="Verdana" w:eastAsia="MS Gothic" w:hAnsi="Verdana" w:cs="Times New Roman"/>
          <w:lang w:val="en-US" w:eastAsia="en-US"/>
        </w:rPr>
        <w:t>policy settings of the old EMDG 1.0 scheme. Therefore, it is instructive to understand a breakdown of feedback by cohort.</w:t>
      </w:r>
      <w:bookmarkEnd w:id="212"/>
      <w:bookmarkEnd w:id="213"/>
      <w:bookmarkEnd w:id="214"/>
      <w:bookmarkEnd w:id="215"/>
      <w:bookmarkEnd w:id="216"/>
      <w:bookmarkEnd w:id="217"/>
      <w:bookmarkEnd w:id="218"/>
      <w:bookmarkEnd w:id="219"/>
      <w:bookmarkEnd w:id="220"/>
      <w:r w:rsidRPr="001D3E93">
        <w:rPr>
          <w:rFonts w:ascii="Verdana" w:eastAsia="MS Gothic" w:hAnsi="Verdana" w:cs="Times New Roman"/>
          <w:lang w:val="en-US" w:eastAsia="en-US"/>
        </w:rPr>
        <w:t xml:space="preserve"> </w:t>
      </w:r>
    </w:p>
    <w:p w14:paraId="3A195143" w14:textId="28EB122A" w:rsidR="00FC02F8" w:rsidRPr="001D3E93" w:rsidRDefault="00FC02F8" w:rsidP="00FC02F8">
      <w:pPr>
        <w:pStyle w:val="Heading4"/>
        <w:rPr>
          <w:rFonts w:ascii="Verdana" w:eastAsia="Times New Roman" w:hAnsi="Verdana" w:cs="Segoe UI"/>
          <w:b w:val="0"/>
          <w:bCs w:val="0"/>
          <w:lang w:eastAsia="en-AU"/>
        </w:rPr>
      </w:pPr>
      <w:bookmarkStart w:id="221" w:name="_Toc117084414"/>
      <w:bookmarkStart w:id="222" w:name="_Toc117084495"/>
      <w:r w:rsidRPr="001D3E93">
        <w:rPr>
          <w:b w:val="0"/>
          <w:bCs w:val="0"/>
          <w:lang w:eastAsia="en-AU"/>
        </w:rPr>
        <w:t xml:space="preserve">Figure </w:t>
      </w:r>
      <w:r w:rsidRPr="00A3430B">
        <w:rPr>
          <w:rFonts w:ascii="Verdana" w:eastAsia="Times New Roman" w:hAnsi="Verdana" w:cs="Segoe UI"/>
          <w:b w:val="0"/>
          <w:bCs w:val="0"/>
          <w:lang w:eastAsia="en-AU"/>
        </w:rPr>
        <w:t xml:space="preserve">3: EMDG Applicants – Business Annual Turnover </w:t>
      </w:r>
    </w:p>
    <w:p w14:paraId="5D249E03" w14:textId="5FB15130" w:rsidR="00282B82" w:rsidRPr="001D3E93" w:rsidRDefault="00C74C3C" w:rsidP="00A3430B">
      <w:pPr>
        <w:jc w:val="center"/>
        <w:rPr>
          <w:lang w:eastAsia="en-AU"/>
        </w:rPr>
      </w:pPr>
      <w:r w:rsidRPr="00C74C3C">
        <w:rPr>
          <w:noProof/>
          <w:lang w:eastAsia="en-AU"/>
        </w:rPr>
        <w:drawing>
          <wp:inline distT="0" distB="0" distL="0" distR="0" wp14:anchorId="3084816B" wp14:editId="4A239B15">
            <wp:extent cx="6120130" cy="3381375"/>
            <wp:effectExtent l="0" t="0" r="0" b="9525"/>
            <wp:docPr id="1" name="Picture 1" descr="Figure 3. A donut chart showing the business annual turnover of EMDG applicants. Figures are shown in AUD and percentages. &#10;$0 to $100k 21.80%&#10;$100k to $500k 25.50%&#10;$500k to $1m 13.20%&#10;$1m to $5m 28.40% &#10;$10m to $20m 4.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A donut chart showing the business annual turnover of EMDG applicants. Figures are shown in AUD and percentages. &#10;$0 to $100k 21.80%&#10;$100k to $500k 25.50%&#10;$500k to $1m 13.20%&#10;$1m to $5m 28.40% &#10;$10m to $20m 4.20%&#10;"/>
                    <pic:cNvPicPr/>
                  </pic:nvPicPr>
                  <pic:blipFill>
                    <a:blip r:embed="rId18"/>
                    <a:stretch>
                      <a:fillRect/>
                    </a:stretch>
                  </pic:blipFill>
                  <pic:spPr>
                    <a:xfrm>
                      <a:off x="0" y="0"/>
                      <a:ext cx="6120130" cy="3381375"/>
                    </a:xfrm>
                    <a:prstGeom prst="rect">
                      <a:avLst/>
                    </a:prstGeom>
                  </pic:spPr>
                </pic:pic>
              </a:graphicData>
            </a:graphic>
          </wp:inline>
        </w:drawing>
      </w:r>
    </w:p>
    <w:p w14:paraId="35A935BE" w14:textId="2C830AA7" w:rsidR="00A0613F" w:rsidRPr="001D3E93" w:rsidRDefault="00980807" w:rsidP="00980807">
      <w:pPr>
        <w:pStyle w:val="Heading3"/>
        <w:rPr>
          <w:b w:val="0"/>
          <w:bCs w:val="0"/>
          <w:sz w:val="24"/>
          <w:szCs w:val="24"/>
        </w:rPr>
      </w:pPr>
      <w:bookmarkStart w:id="223" w:name="_Toc118703332"/>
      <w:bookmarkStart w:id="224" w:name="_Toc118703435"/>
      <w:bookmarkStart w:id="225" w:name="_Toc120547712"/>
      <w:bookmarkStart w:id="226" w:name="_Toc124433380"/>
      <w:r w:rsidRPr="001D3E93">
        <w:rPr>
          <w:b w:val="0"/>
          <w:bCs w:val="0"/>
          <w:caps w:val="0"/>
          <w:sz w:val="24"/>
          <w:szCs w:val="24"/>
        </w:rPr>
        <w:t>What we heard</w:t>
      </w:r>
      <w:bookmarkEnd w:id="223"/>
      <w:bookmarkEnd w:id="224"/>
      <w:bookmarkEnd w:id="225"/>
      <w:r w:rsidRPr="001D3E93">
        <w:rPr>
          <w:b w:val="0"/>
          <w:bCs w:val="0"/>
          <w:sz w:val="24"/>
          <w:szCs w:val="24"/>
        </w:rPr>
        <w:t>:</w:t>
      </w:r>
      <w:bookmarkStart w:id="227" w:name="_Toc118370909"/>
      <w:bookmarkStart w:id="228" w:name="_Toc118385806"/>
      <w:bookmarkStart w:id="229" w:name="_Toc118385929"/>
      <w:bookmarkStart w:id="230" w:name="_Toc120547713"/>
      <w:r w:rsidRPr="001D3E93">
        <w:rPr>
          <w:b w:val="0"/>
          <w:bCs w:val="0"/>
          <w:sz w:val="24"/>
          <w:szCs w:val="24"/>
        </w:rPr>
        <w:t xml:space="preserve"> </w:t>
      </w:r>
      <w:r w:rsidRPr="001D3E93">
        <w:rPr>
          <w:b w:val="0"/>
          <w:bCs w:val="0"/>
          <w:caps w:val="0"/>
          <w:sz w:val="24"/>
          <w:szCs w:val="24"/>
        </w:rPr>
        <w:t>Tier 1 applicants (new to export)</w:t>
      </w:r>
      <w:bookmarkEnd w:id="221"/>
      <w:bookmarkEnd w:id="222"/>
      <w:bookmarkEnd w:id="226"/>
      <w:bookmarkEnd w:id="227"/>
      <w:bookmarkEnd w:id="228"/>
      <w:bookmarkEnd w:id="229"/>
      <w:bookmarkEnd w:id="230"/>
      <w:r w:rsidRPr="001D3E93">
        <w:rPr>
          <w:b w:val="0"/>
          <w:bCs w:val="0"/>
          <w:caps w:val="0"/>
          <w:sz w:val="24"/>
          <w:szCs w:val="24"/>
        </w:rPr>
        <w:t xml:space="preserve">  </w:t>
      </w:r>
      <w:bookmarkStart w:id="231" w:name="_Toc117084415"/>
      <w:bookmarkStart w:id="232" w:name="_Toc117084496"/>
    </w:p>
    <w:p w14:paraId="377F912A" w14:textId="77777777" w:rsidR="00A0613F" w:rsidRPr="00A3430B" w:rsidRDefault="00A0613F">
      <w:pPr>
        <w:pStyle w:val="Heading4"/>
        <w:rPr>
          <w:rFonts w:eastAsia="Calibri" w:cs="Arial"/>
          <w:b w:val="0"/>
          <w:bCs w:val="0"/>
          <w:sz w:val="22"/>
          <w:szCs w:val="22"/>
          <w:lang w:val="en-US" w:eastAsia="en-AU"/>
        </w:rPr>
      </w:pPr>
      <w:r w:rsidRPr="00A3430B">
        <w:rPr>
          <w:b w:val="0"/>
          <w:bCs w:val="0"/>
          <w:sz w:val="22"/>
          <w:szCs w:val="22"/>
          <w:lang w:val="en-US" w:eastAsia="en-AU"/>
        </w:rPr>
        <w:t>Survey (71 respo</w:t>
      </w:r>
      <w:r w:rsidRPr="00A3430B">
        <w:rPr>
          <w:rFonts w:eastAsia="Calibri" w:cs="Arial"/>
          <w:b w:val="0"/>
          <w:bCs w:val="0"/>
          <w:sz w:val="22"/>
          <w:szCs w:val="22"/>
          <w:lang w:val="en-US" w:eastAsia="en-AU"/>
        </w:rPr>
        <w:t>nses)</w:t>
      </w:r>
      <w:bookmarkEnd w:id="231"/>
      <w:bookmarkEnd w:id="232"/>
    </w:p>
    <w:p w14:paraId="33F0DB9D" w14:textId="76E44032" w:rsidR="00A0613F" w:rsidRPr="001D3E93" w:rsidRDefault="00A0613F" w:rsidP="00A0613F">
      <w:pPr>
        <w:spacing w:after="0" w:line="240" w:lineRule="auto"/>
        <w:textAlignment w:val="baseline"/>
        <w:rPr>
          <w:rFonts w:ascii="Verdana" w:eastAsia="Times New Roman" w:hAnsi="Verdana" w:cs="Calibri"/>
          <w:lang w:val="en-US" w:eastAsia="en-AU"/>
        </w:rPr>
      </w:pPr>
      <w:r w:rsidRPr="001D3E93">
        <w:rPr>
          <w:rFonts w:ascii="Verdana" w:eastAsia="Times New Roman" w:hAnsi="Verdana" w:cs="Calibri"/>
          <w:lang w:val="en-US" w:eastAsia="en-AU"/>
        </w:rPr>
        <w:t>Tier 1 specific survey results:</w:t>
      </w:r>
    </w:p>
    <w:p w14:paraId="5E52036A" w14:textId="67E2892B"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66 per cent of total survey respondents and 79 per cent of Tier 1 respondents agreed that the relaxed eligibility criteria, particularly the ‘no minimum spend threshold’ facilitated their entry to the program. </w:t>
      </w:r>
    </w:p>
    <w:p w14:paraId="0B59F00C" w14:textId="10B6682D"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Two-thirds of respondents agreed or strongly agreed that the agreements helped them with their export planning, with Tier 1 particularly supportive at over 72 per cent. </w:t>
      </w:r>
    </w:p>
    <w:p w14:paraId="145ABD7A" w14:textId="37E7EF78"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To improve their plan to market, 64 per cent of survey respondents agreed that resources or training on how to put together a plan to market would be helpful. Tier 1 </w:t>
      </w:r>
      <w:r w:rsidR="00A15264" w:rsidRPr="001D3E93">
        <w:rPr>
          <w:rFonts w:ascii="Verdana" w:eastAsia="Calibri" w:hAnsi="Verdana" w:cs="Arial"/>
          <w:lang w:val="en-US" w:eastAsia="en-US"/>
        </w:rPr>
        <w:t>(</w:t>
      </w:r>
      <w:r w:rsidRPr="001D3E93">
        <w:rPr>
          <w:rFonts w:ascii="Verdana" w:eastAsia="Calibri" w:hAnsi="Verdana" w:cs="Arial"/>
          <w:lang w:val="en-US" w:eastAsia="en-US"/>
        </w:rPr>
        <w:t>and Tier 2</w:t>
      </w:r>
      <w:r w:rsidR="00A15264" w:rsidRPr="001D3E93">
        <w:rPr>
          <w:rFonts w:ascii="Verdana" w:eastAsia="Calibri" w:hAnsi="Verdana" w:cs="Arial"/>
          <w:lang w:val="en-US" w:eastAsia="en-US"/>
        </w:rPr>
        <w:t>)</w:t>
      </w:r>
      <w:r w:rsidRPr="001D3E93">
        <w:rPr>
          <w:rFonts w:ascii="Verdana" w:eastAsia="Calibri" w:hAnsi="Verdana" w:cs="Arial"/>
          <w:lang w:val="en-US" w:eastAsia="en-US"/>
        </w:rPr>
        <w:t xml:space="preserve"> respondents were particularly interested (68 per cent for both). </w:t>
      </w:r>
    </w:p>
    <w:p w14:paraId="78239EE0" w14:textId="6390BEE9"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66 per cent of respondents were in favour of multi-year agreements which set a maximum amount for a financial year. Tier 1</w:t>
      </w:r>
      <w:r w:rsidR="1A998293" w:rsidRPr="001D3E93">
        <w:rPr>
          <w:rFonts w:ascii="Verdana" w:eastAsia="Calibri" w:hAnsi="Verdana" w:cs="Arial"/>
          <w:lang w:val="en-US" w:eastAsia="en-US"/>
        </w:rPr>
        <w:t>,</w:t>
      </w:r>
      <w:r w:rsidRPr="001D3E93">
        <w:rPr>
          <w:rFonts w:ascii="Verdana" w:eastAsia="Calibri" w:hAnsi="Verdana" w:cs="Arial"/>
          <w:lang w:val="en-US" w:eastAsia="en-US"/>
        </w:rPr>
        <w:t xml:space="preserve"> and Representative Bodies</w:t>
      </w:r>
      <w:r w:rsidR="4D2D8435" w:rsidRPr="001D3E93">
        <w:rPr>
          <w:rFonts w:ascii="Verdana" w:eastAsia="Calibri" w:hAnsi="Verdana" w:cs="Arial"/>
          <w:lang w:val="en-US" w:eastAsia="en-US"/>
        </w:rPr>
        <w:t>,</w:t>
      </w:r>
      <w:r w:rsidRPr="001D3E93">
        <w:rPr>
          <w:rFonts w:ascii="Verdana" w:eastAsia="Calibri" w:hAnsi="Verdana" w:cs="Arial"/>
          <w:lang w:val="en-US" w:eastAsia="en-US"/>
        </w:rPr>
        <w:t xml:space="preserve"> were particularly supportive (72 per cent and 84 per cent respectively). </w:t>
      </w:r>
    </w:p>
    <w:p w14:paraId="0992E200" w14:textId="133924D9"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Tier 1 respondents were more positive about receiving ‘any’ funds to begin exporting (and 25 per cent of Representative Bodies also said any grant amount was worthwhile).</w:t>
      </w:r>
    </w:p>
    <w:p w14:paraId="62F4DFC2" w14:textId="2FD69C57" w:rsidR="00A0613F" w:rsidRPr="00A3430B" w:rsidRDefault="00A0613F" w:rsidP="00A3430B">
      <w:pPr>
        <w:outlineLvl w:val="3"/>
      </w:pPr>
      <w:bookmarkStart w:id="233" w:name="_Toc117084416"/>
      <w:bookmarkStart w:id="234" w:name="_Toc117084497"/>
      <w:r w:rsidRPr="00A3430B">
        <w:rPr>
          <w:rStyle w:val="Heading4Char"/>
          <w:b w:val="0"/>
          <w:bCs w:val="0"/>
          <w:sz w:val="22"/>
          <w:szCs w:val="22"/>
        </w:rPr>
        <w:lastRenderedPageBreak/>
        <w:t>Consultations</w:t>
      </w:r>
      <w:bookmarkEnd w:id="233"/>
      <w:bookmarkEnd w:id="234"/>
      <w:r w:rsidRPr="00A3430B">
        <w:rPr>
          <w:rStyle w:val="Heading4Char"/>
          <w:b w:val="0"/>
          <w:bCs w:val="0"/>
          <w:sz w:val="22"/>
          <w:szCs w:val="22"/>
        </w:rPr>
        <w:t xml:space="preserve"> (5 meetings)</w:t>
      </w:r>
      <w:r w:rsidRPr="001D3E93">
        <w:br/>
      </w:r>
      <w:r w:rsidRPr="00A3430B">
        <w:t>The themes emerging from the consultations from Tier 1 were consistent with the survey results. This included that:</w:t>
      </w:r>
    </w:p>
    <w:p w14:paraId="6738F36F" w14:textId="2FB8AA93"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The EMDG application process was easier than other Commonwealth Government grant processes.</w:t>
      </w:r>
    </w:p>
    <w:p w14:paraId="0EDFE0FD" w14:textId="47426ACC"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EMDG 2.0 is more attractive to businesses than EMDG 1.0; </w:t>
      </w:r>
      <w:r w:rsidR="0039652B" w:rsidRPr="001D3E93">
        <w:rPr>
          <w:rFonts w:ascii="Verdana" w:eastAsia="Calibri" w:hAnsi="Verdana" w:cs="Arial"/>
          <w:lang w:val="en-US" w:eastAsia="en-US"/>
        </w:rPr>
        <w:t>upfront</w:t>
      </w:r>
      <w:r w:rsidRPr="001D3E93">
        <w:rPr>
          <w:rFonts w:ascii="Verdana" w:eastAsia="Calibri" w:hAnsi="Verdana" w:cs="Arial"/>
          <w:lang w:val="en-US" w:eastAsia="en-US"/>
        </w:rPr>
        <w:t xml:space="preserve"> certainty is important for business decisions.</w:t>
      </w:r>
    </w:p>
    <w:p w14:paraId="3DC70075" w14:textId="569F9AAC" w:rsidR="00A0613F" w:rsidRPr="001D3E93" w:rsidRDefault="0039652B"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Upfront</w:t>
      </w:r>
      <w:r w:rsidR="00A0613F" w:rsidRPr="001D3E93">
        <w:rPr>
          <w:rFonts w:ascii="Verdana" w:eastAsia="Calibri" w:hAnsi="Verdana" w:cs="Arial"/>
          <w:lang w:val="en-US" w:eastAsia="en-US"/>
        </w:rPr>
        <w:t xml:space="preserve"> certainty on grant amounts is much better as small businesses do not have the capital </w:t>
      </w:r>
      <w:r w:rsidRPr="001D3E93">
        <w:rPr>
          <w:rFonts w:ascii="Verdana" w:eastAsia="Calibri" w:hAnsi="Verdana" w:cs="Arial"/>
          <w:lang w:val="en-US" w:eastAsia="en-US"/>
        </w:rPr>
        <w:t>upfront</w:t>
      </w:r>
      <w:r w:rsidR="00A0613F" w:rsidRPr="001D3E93">
        <w:rPr>
          <w:rFonts w:ascii="Verdana" w:eastAsia="Calibri" w:hAnsi="Verdana" w:cs="Arial"/>
          <w:lang w:val="en-US" w:eastAsia="en-US"/>
        </w:rPr>
        <w:t xml:space="preserve"> – the previous reimbursement scheme only worked for long-established businesses with good cash reserves.</w:t>
      </w:r>
    </w:p>
    <w:p w14:paraId="16696B56" w14:textId="5AF57A9E"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Even the small</w:t>
      </w:r>
      <w:r w:rsidR="00F45651" w:rsidRPr="001D3E93">
        <w:rPr>
          <w:rFonts w:ascii="Verdana" w:eastAsia="Calibri" w:hAnsi="Verdana" w:cs="Arial"/>
          <w:lang w:val="en-US" w:eastAsia="en-US"/>
        </w:rPr>
        <w:t>er than expected grant</w:t>
      </w:r>
      <w:r w:rsidRPr="001D3E93">
        <w:rPr>
          <w:rFonts w:ascii="Verdana" w:eastAsia="Calibri" w:hAnsi="Verdana" w:cs="Arial"/>
          <w:lang w:val="en-US" w:eastAsia="en-US"/>
        </w:rPr>
        <w:t xml:space="preserve"> amounts under EMDG 2.0 have been instrumental.</w:t>
      </w:r>
    </w:p>
    <w:p w14:paraId="65478C1F" w14:textId="5A748964"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The required plan to market was straightforward and concise. </w:t>
      </w:r>
    </w:p>
    <w:p w14:paraId="66BAD749" w14:textId="16703A3A" w:rsidR="007256EB" w:rsidRPr="001D3E93" w:rsidRDefault="007256EB"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O</w:t>
      </w:r>
      <w:r w:rsidR="00FD7450" w:rsidRPr="001D3E93">
        <w:rPr>
          <w:rFonts w:ascii="Verdana" w:eastAsia="Calibri" w:hAnsi="Verdana" w:cs="Arial"/>
          <w:lang w:val="en-US" w:eastAsia="en-US"/>
        </w:rPr>
        <w:t>f the Tier system, o</w:t>
      </w:r>
      <w:r w:rsidRPr="001D3E93">
        <w:rPr>
          <w:rFonts w:ascii="Verdana" w:eastAsia="Calibri" w:hAnsi="Verdana" w:cs="Arial"/>
          <w:lang w:val="en-US" w:eastAsia="en-US"/>
        </w:rPr>
        <w:t>ne applicant remarked</w:t>
      </w:r>
      <w:r w:rsidR="00743B85" w:rsidRPr="001D3E93">
        <w:rPr>
          <w:rFonts w:ascii="Verdana" w:eastAsia="Calibri" w:hAnsi="Verdana" w:cs="Arial"/>
          <w:lang w:val="en-US" w:eastAsia="en-US"/>
        </w:rPr>
        <w:t>:</w:t>
      </w:r>
      <w:r w:rsidRPr="001D3E93">
        <w:rPr>
          <w:rFonts w:ascii="Verdana" w:eastAsia="Calibri" w:hAnsi="Verdana" w:cs="Arial"/>
          <w:lang w:val="en-US" w:eastAsia="en-US"/>
        </w:rPr>
        <w:t xml:space="preserve"> “</w:t>
      </w:r>
      <w:r w:rsidRPr="001D3E93">
        <w:rPr>
          <w:rFonts w:ascii="Verdana" w:eastAsia="Calibri" w:hAnsi="Verdana" w:cs="Arial"/>
          <w:i/>
          <w:lang w:val="en-US" w:eastAsia="en-US"/>
        </w:rPr>
        <w:t>Current tiered system does not fit all exporters and there are new exporters planning to spend $180,000 on export activities, but $15,000 for Tier 1 makes the grant not worth the effort to appl</w:t>
      </w:r>
      <w:r w:rsidR="00743B85" w:rsidRPr="001D3E93">
        <w:rPr>
          <w:rFonts w:ascii="Verdana" w:eastAsia="Calibri" w:hAnsi="Verdana" w:cs="Arial"/>
          <w:i/>
          <w:lang w:val="en-US" w:eastAsia="en-US"/>
        </w:rPr>
        <w:t>y”</w:t>
      </w:r>
      <w:r w:rsidRPr="001D3E93">
        <w:rPr>
          <w:rFonts w:ascii="Verdana" w:eastAsia="Calibri" w:hAnsi="Verdana" w:cs="Arial"/>
          <w:i/>
          <w:lang w:val="en-US" w:eastAsia="en-US"/>
        </w:rPr>
        <w:t>.</w:t>
      </w:r>
    </w:p>
    <w:p w14:paraId="6B71C7B5" w14:textId="4B66B824" w:rsidR="00A20004" w:rsidRPr="001D3E93" w:rsidRDefault="00743B85"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Another commented</w:t>
      </w:r>
      <w:r w:rsidR="007F7FC5" w:rsidRPr="001D3E93">
        <w:rPr>
          <w:rFonts w:ascii="Verdana" w:eastAsia="Calibri" w:hAnsi="Verdana" w:cs="Arial"/>
          <w:lang w:val="en-US" w:eastAsia="en-US"/>
        </w:rPr>
        <w:t xml:space="preserve"> on </w:t>
      </w:r>
      <w:r w:rsidR="007279B9" w:rsidRPr="001D3E93">
        <w:rPr>
          <w:rFonts w:ascii="Verdana" w:eastAsia="Calibri" w:hAnsi="Verdana" w:cs="Arial"/>
          <w:lang w:val="en-US" w:eastAsia="en-US"/>
        </w:rPr>
        <w:t>the “up to”</w:t>
      </w:r>
      <w:r w:rsidR="007F7FC5" w:rsidRPr="001D3E93">
        <w:rPr>
          <w:rFonts w:ascii="Verdana" w:eastAsia="Calibri" w:hAnsi="Verdana" w:cs="Arial"/>
          <w:lang w:val="en-US" w:eastAsia="en-US"/>
        </w:rPr>
        <w:t xml:space="preserve"> Tier cap</w:t>
      </w:r>
      <w:r w:rsidRPr="001D3E93">
        <w:rPr>
          <w:rFonts w:ascii="Verdana" w:eastAsia="Calibri" w:hAnsi="Verdana" w:cs="Arial"/>
          <w:lang w:val="en-US" w:eastAsia="en-US"/>
        </w:rPr>
        <w:t xml:space="preserve">: </w:t>
      </w:r>
      <w:r w:rsidR="00A20004" w:rsidRPr="001D3E93">
        <w:rPr>
          <w:rFonts w:ascii="Verdana" w:eastAsia="Calibri" w:hAnsi="Verdana" w:cs="Arial"/>
          <w:i/>
          <w:lang w:val="en-US" w:eastAsia="en-US"/>
        </w:rPr>
        <w:t>“The changes might benefit some industries, however in my field - music performance - where there are significant barriers to export already, the reduction of funding to tier one businesses will simply mean that artists will choose not to export at all</w:t>
      </w:r>
      <w:r w:rsidR="006B27D3" w:rsidRPr="001D3E93">
        <w:rPr>
          <w:rFonts w:ascii="Verdana" w:eastAsia="Calibri" w:hAnsi="Verdana" w:cs="Arial"/>
          <w:i/>
          <w:iCs/>
          <w:lang w:val="en-US" w:eastAsia="en-US"/>
        </w:rPr>
        <w:t>”</w:t>
      </w:r>
      <w:r w:rsidR="000E7B87" w:rsidRPr="001D3E93">
        <w:rPr>
          <w:rFonts w:ascii="Verdana" w:eastAsia="Calibri" w:hAnsi="Verdana" w:cs="Arial"/>
          <w:lang w:val="en-US" w:eastAsia="en-US"/>
        </w:rPr>
        <w:t>.</w:t>
      </w:r>
      <w:r w:rsidR="000E7B87" w:rsidRPr="001D3E93">
        <w:rPr>
          <w:rFonts w:ascii="Verdana" w:eastAsia="Calibri" w:hAnsi="Verdana" w:cs="Arial"/>
          <w:lang w:val="en-US" w:eastAsia="en-US"/>
        </w:rPr>
        <w:br/>
      </w:r>
    </w:p>
    <w:p w14:paraId="04D75EDA" w14:textId="1596BBC6" w:rsidR="00A0613F" w:rsidRPr="001D3E93" w:rsidRDefault="00980807">
      <w:pPr>
        <w:pStyle w:val="Heading3"/>
        <w:rPr>
          <w:b w:val="0"/>
          <w:bCs w:val="0"/>
          <w:sz w:val="24"/>
          <w:szCs w:val="24"/>
          <w:lang w:eastAsia="en-US"/>
        </w:rPr>
      </w:pPr>
      <w:bookmarkStart w:id="235" w:name="_Toc117084417"/>
      <w:bookmarkStart w:id="236" w:name="_Toc117084498"/>
      <w:bookmarkStart w:id="237" w:name="_Toc118370910"/>
      <w:bookmarkStart w:id="238" w:name="_Toc118385807"/>
      <w:bookmarkStart w:id="239" w:name="_Toc118385930"/>
      <w:bookmarkStart w:id="240" w:name="_Toc120547714"/>
      <w:bookmarkStart w:id="241" w:name="_Toc124433381"/>
      <w:r w:rsidRPr="001D3E93">
        <w:rPr>
          <w:b w:val="0"/>
          <w:bCs w:val="0"/>
          <w:caps w:val="0"/>
          <w:sz w:val="24"/>
          <w:szCs w:val="24"/>
          <w:lang w:val="en-US" w:eastAsia="en-US"/>
        </w:rPr>
        <w:t>What we heard: Tier 2 applicants (existing exporters)</w:t>
      </w:r>
      <w:bookmarkEnd w:id="235"/>
      <w:bookmarkEnd w:id="236"/>
      <w:bookmarkEnd w:id="237"/>
      <w:bookmarkEnd w:id="238"/>
      <w:bookmarkEnd w:id="239"/>
      <w:bookmarkEnd w:id="240"/>
      <w:bookmarkEnd w:id="241"/>
      <w:r w:rsidRPr="001D3E93">
        <w:rPr>
          <w:b w:val="0"/>
          <w:bCs w:val="0"/>
          <w:caps w:val="0"/>
          <w:sz w:val="24"/>
          <w:szCs w:val="24"/>
          <w:lang w:val="en-US" w:eastAsia="en-US"/>
        </w:rPr>
        <w:t xml:space="preserve"> </w:t>
      </w:r>
      <w:r w:rsidR="00A0613F" w:rsidRPr="001D3E93">
        <w:rPr>
          <w:b w:val="0"/>
          <w:bCs w:val="0"/>
          <w:sz w:val="24"/>
          <w:szCs w:val="24"/>
          <w:lang w:eastAsia="en-US"/>
        </w:rPr>
        <w:t> </w:t>
      </w:r>
    </w:p>
    <w:p w14:paraId="555E7FA6" w14:textId="77777777" w:rsidR="00A0613F" w:rsidRPr="00A3430B" w:rsidRDefault="00A0613F">
      <w:pPr>
        <w:pStyle w:val="Heading4"/>
        <w:rPr>
          <w:b w:val="0"/>
          <w:bCs w:val="0"/>
          <w:sz w:val="22"/>
          <w:szCs w:val="22"/>
          <w:lang w:eastAsia="en-US"/>
        </w:rPr>
      </w:pPr>
      <w:bookmarkStart w:id="242" w:name="_Toc117084418"/>
      <w:bookmarkStart w:id="243" w:name="_Toc117084499"/>
      <w:r w:rsidRPr="00A3430B">
        <w:rPr>
          <w:b w:val="0"/>
          <w:bCs w:val="0"/>
          <w:sz w:val="22"/>
          <w:szCs w:val="22"/>
          <w:lang w:eastAsia="en-US"/>
        </w:rPr>
        <w:t>Survey (165 responses)</w:t>
      </w:r>
      <w:bookmarkEnd w:id="242"/>
      <w:bookmarkEnd w:id="243"/>
    </w:p>
    <w:p w14:paraId="2553F4D3" w14:textId="77777777" w:rsidR="00A0613F" w:rsidRPr="001D3E93" w:rsidRDefault="00A0613F" w:rsidP="004625D6">
      <w:pPr>
        <w:numPr>
          <w:ilvl w:val="0"/>
          <w:numId w:val="32"/>
        </w:numPr>
        <w:spacing w:after="160" w:line="259" w:lineRule="auto"/>
        <w:rPr>
          <w:rFonts w:ascii="Verdana" w:eastAsia="Calibri" w:hAnsi="Verdana" w:cs="Arial"/>
          <w:lang w:val="en-US" w:eastAsia="en-US"/>
        </w:rPr>
      </w:pPr>
      <w:r w:rsidRPr="001D3E93">
        <w:rPr>
          <w:rFonts w:ascii="Verdana" w:eastAsia="Calibri" w:hAnsi="Verdana" w:cs="Arial"/>
          <w:lang w:val="en-US" w:eastAsia="en-US"/>
        </w:rPr>
        <w:t>23 per cent of Tier 2 survey respondents said navigating the MyGov process was difficult. Austrade’s EMDG Helpline was not able to provide detailed assistance to navigate MyGov as it was not an Austrade hosted website or system.</w:t>
      </w:r>
    </w:p>
    <w:p w14:paraId="20E3FD40" w14:textId="2D0C143C" w:rsidR="00A0613F" w:rsidRPr="001D3E93" w:rsidRDefault="00A0613F" w:rsidP="004625D6">
      <w:pPr>
        <w:numPr>
          <w:ilvl w:val="0"/>
          <w:numId w:val="32"/>
        </w:num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64 per cent of Tier 2 survey respondents said reducing the complexity of the </w:t>
      </w:r>
      <w:r w:rsidR="00504650" w:rsidRPr="001D3E93">
        <w:rPr>
          <w:rFonts w:ascii="Verdana" w:eastAsia="Calibri" w:hAnsi="Verdana" w:cs="Arial"/>
          <w:lang w:val="en-US" w:eastAsia="en-US"/>
        </w:rPr>
        <w:br/>
      </w:r>
      <w:r w:rsidRPr="001D3E93">
        <w:rPr>
          <w:rFonts w:ascii="Verdana" w:eastAsia="Calibri" w:hAnsi="Verdana" w:cs="Arial"/>
          <w:lang w:val="en-US" w:eastAsia="en-US"/>
        </w:rPr>
        <w:t xml:space="preserve">EMDG </w:t>
      </w:r>
      <w:r w:rsidR="005014F8" w:rsidRPr="001D3E93">
        <w:rPr>
          <w:rFonts w:ascii="Verdana" w:eastAsia="Calibri" w:hAnsi="Verdana" w:cs="Arial"/>
          <w:lang w:val="en-US" w:eastAsia="en-US"/>
        </w:rPr>
        <w:t>1</w:t>
      </w:r>
      <w:r w:rsidRPr="001D3E93">
        <w:rPr>
          <w:rFonts w:ascii="Verdana" w:eastAsia="Calibri" w:hAnsi="Verdana" w:cs="Arial"/>
          <w:lang w:val="en-US" w:eastAsia="en-US"/>
        </w:rPr>
        <w:t>.0 program was the most important priority</w:t>
      </w:r>
      <w:r w:rsidR="005014F8" w:rsidRPr="001D3E93">
        <w:rPr>
          <w:rFonts w:ascii="Verdana" w:eastAsia="Calibri" w:hAnsi="Verdana" w:cs="Arial"/>
          <w:lang w:val="en-US" w:eastAsia="en-US"/>
        </w:rPr>
        <w:t xml:space="preserve"> in the EMDG reforms</w:t>
      </w:r>
      <w:r w:rsidRPr="001D3E93">
        <w:rPr>
          <w:rFonts w:ascii="Verdana" w:eastAsia="Calibri" w:hAnsi="Verdana" w:cs="Arial"/>
          <w:lang w:val="en-US" w:eastAsia="en-US"/>
        </w:rPr>
        <w:t>. This was the overall most important priority for all surveyed groups except Tier 3s.</w:t>
      </w:r>
    </w:p>
    <w:p w14:paraId="6577355F" w14:textId="77777777" w:rsidR="00A0613F" w:rsidRPr="00A3430B" w:rsidRDefault="00A0613F">
      <w:pPr>
        <w:pStyle w:val="Heading4"/>
        <w:rPr>
          <w:b w:val="0"/>
          <w:bCs w:val="0"/>
          <w:sz w:val="22"/>
          <w:szCs w:val="22"/>
          <w:lang w:val="en-US" w:eastAsia="en-US"/>
        </w:rPr>
      </w:pPr>
      <w:bookmarkStart w:id="244" w:name="_Toc117084419"/>
      <w:bookmarkStart w:id="245" w:name="_Toc117084500"/>
      <w:r w:rsidRPr="00A3430B">
        <w:rPr>
          <w:b w:val="0"/>
          <w:bCs w:val="0"/>
          <w:sz w:val="22"/>
          <w:szCs w:val="22"/>
          <w:lang w:val="en-US" w:eastAsia="en-US"/>
        </w:rPr>
        <w:t>Consultations (4 meetings)</w:t>
      </w:r>
      <w:bookmarkEnd w:id="244"/>
      <w:bookmarkEnd w:id="245"/>
    </w:p>
    <w:p w14:paraId="29477566" w14:textId="3B5A42B3"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The themes emerging from the consultations from Tier 2 applicants were consistent with the survey results</w:t>
      </w:r>
      <w:r w:rsidR="00981061" w:rsidRPr="001D3E93">
        <w:rPr>
          <w:rFonts w:ascii="Verdana" w:eastAsia="Calibri" w:hAnsi="Verdana" w:cs="Arial"/>
          <w:lang w:val="en-US" w:eastAsia="en-US"/>
        </w:rPr>
        <w:t xml:space="preserve"> </w:t>
      </w:r>
      <w:r w:rsidR="00D70431" w:rsidRPr="001D3E93">
        <w:rPr>
          <w:rFonts w:ascii="Verdana" w:eastAsia="Calibri" w:hAnsi="Verdana" w:cs="Arial"/>
          <w:lang w:val="en-US" w:eastAsia="en-US"/>
        </w:rPr>
        <w:t>from this cohort</w:t>
      </w:r>
      <w:r w:rsidRPr="001D3E93">
        <w:rPr>
          <w:rFonts w:ascii="Verdana" w:eastAsia="Calibri" w:hAnsi="Verdana" w:cs="Arial"/>
          <w:lang w:val="en-US" w:eastAsia="en-US"/>
        </w:rPr>
        <w:t>. This included that:</w:t>
      </w:r>
    </w:p>
    <w:p w14:paraId="356F9582" w14:textId="77777777"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Some said they were evaluating the effort required to apply against the grant amount awarded.</w:t>
      </w:r>
    </w:p>
    <w:p w14:paraId="14C772B2" w14:textId="3143C76D" w:rsidR="00A0613F" w:rsidRPr="001D3E93" w:rsidRDefault="00A0613F"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Small amounts did not incentivize </w:t>
      </w:r>
      <w:r w:rsidR="00CA03BD" w:rsidRPr="001D3E93">
        <w:rPr>
          <w:rFonts w:ascii="Verdana" w:eastAsia="Calibri" w:hAnsi="Verdana" w:cs="Arial"/>
          <w:lang w:val="en-US" w:eastAsia="en-US"/>
        </w:rPr>
        <w:t xml:space="preserve">their </w:t>
      </w:r>
      <w:r w:rsidRPr="001D3E93">
        <w:rPr>
          <w:rFonts w:ascii="Verdana" w:eastAsia="Calibri" w:hAnsi="Verdana" w:cs="Arial"/>
          <w:lang w:val="en-US" w:eastAsia="en-US"/>
        </w:rPr>
        <w:t>export market development</w:t>
      </w:r>
      <w:r w:rsidR="006D17D8" w:rsidRPr="001D3E93">
        <w:rPr>
          <w:rFonts w:ascii="Verdana" w:eastAsia="Calibri" w:hAnsi="Verdana" w:cs="Arial"/>
          <w:lang w:val="en-US" w:eastAsia="en-US"/>
        </w:rPr>
        <w:t xml:space="preserve">. </w:t>
      </w:r>
      <w:r w:rsidR="007279B9" w:rsidRPr="001D3E93">
        <w:rPr>
          <w:rFonts w:ascii="Verdana" w:eastAsia="Calibri" w:hAnsi="Verdana" w:cs="Arial"/>
          <w:lang w:val="en-US" w:eastAsia="en-US"/>
        </w:rPr>
        <w:t xml:space="preserve">Applicant comment: </w:t>
      </w:r>
      <w:r w:rsidR="00DD3922" w:rsidRPr="001D3E93">
        <w:rPr>
          <w:rFonts w:ascii="Verdana" w:eastAsia="Calibri" w:hAnsi="Verdana" w:cs="Arial"/>
          <w:lang w:val="en-US" w:eastAsia="en-US"/>
        </w:rPr>
        <w:t>“</w:t>
      </w:r>
      <w:r w:rsidR="00DD3922" w:rsidRPr="001D3E93">
        <w:rPr>
          <w:rFonts w:ascii="Verdana" w:eastAsia="Calibri" w:hAnsi="Verdana" w:cs="Arial"/>
          <w:i/>
          <w:lang w:val="en-US" w:eastAsia="en-US"/>
        </w:rPr>
        <w:t>Small grant amounts have not been worth the reporting and auditing so disadvantages small businesses in the early stage of growth wh</w:t>
      </w:r>
      <w:r w:rsidR="00874302" w:rsidRPr="001D3E93">
        <w:rPr>
          <w:rFonts w:ascii="Verdana" w:eastAsia="Calibri" w:hAnsi="Verdana" w:cs="Arial"/>
          <w:i/>
          <w:lang w:val="en-US" w:eastAsia="en-US"/>
        </w:rPr>
        <w:t xml:space="preserve">o </w:t>
      </w:r>
      <w:r w:rsidR="008B6B13" w:rsidRPr="001D3E93">
        <w:rPr>
          <w:rFonts w:ascii="Verdana" w:eastAsia="Calibri" w:hAnsi="Verdana" w:cs="Arial"/>
          <w:i/>
          <w:lang w:val="en-US" w:eastAsia="en-US"/>
        </w:rPr>
        <w:t>might only be eligible for a small grant but have to wear the same time</w:t>
      </w:r>
      <w:r w:rsidR="00B94260" w:rsidRPr="001D3E93">
        <w:rPr>
          <w:rFonts w:ascii="Verdana" w:eastAsia="Calibri" w:hAnsi="Verdana" w:cs="Arial"/>
          <w:i/>
          <w:lang w:val="en-US" w:eastAsia="en-US"/>
        </w:rPr>
        <w:t>-</w:t>
      </w:r>
      <w:r w:rsidR="008B6B13" w:rsidRPr="001D3E93">
        <w:rPr>
          <w:rFonts w:ascii="Verdana" w:eastAsia="Calibri" w:hAnsi="Verdana" w:cs="Arial"/>
          <w:i/>
          <w:lang w:val="en-US" w:eastAsia="en-US"/>
        </w:rPr>
        <w:t>costs as larger companies getting larger grant amounts</w:t>
      </w:r>
      <w:r w:rsidR="008B6B13" w:rsidRPr="001D3E93">
        <w:rPr>
          <w:rFonts w:ascii="Verdana" w:eastAsia="Calibri" w:hAnsi="Verdana" w:cs="Arial"/>
          <w:i/>
          <w:iCs/>
          <w:lang w:val="en-US" w:eastAsia="en-US"/>
        </w:rPr>
        <w:t>”</w:t>
      </w:r>
      <w:r w:rsidR="00BF2D32" w:rsidRPr="001D3E93">
        <w:rPr>
          <w:rFonts w:ascii="Verdana" w:eastAsia="Calibri" w:hAnsi="Verdana" w:cs="Arial"/>
          <w:lang w:val="en-US" w:eastAsia="en-US"/>
        </w:rPr>
        <w:t xml:space="preserve"> (Note: auditing is not a feature of EMDG 2.0)</w:t>
      </w:r>
      <w:r w:rsidR="00423FB1" w:rsidRPr="001D3E93">
        <w:rPr>
          <w:rFonts w:ascii="Verdana" w:eastAsia="Calibri" w:hAnsi="Verdana" w:cs="Arial"/>
          <w:lang w:val="en-US" w:eastAsia="en-US"/>
        </w:rPr>
        <w:t>.</w:t>
      </w:r>
    </w:p>
    <w:p w14:paraId="71E93024" w14:textId="03D11CCA" w:rsidR="00A0613F" w:rsidRPr="001D3E93" w:rsidRDefault="00BF2D32" w:rsidP="00E67C5D">
      <w:pPr>
        <w:numPr>
          <w:ilvl w:val="0"/>
          <w:numId w:val="30"/>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It was expected </w:t>
      </w:r>
      <w:r w:rsidR="00A0613F" w:rsidRPr="001D3E93">
        <w:rPr>
          <w:rFonts w:ascii="Verdana" w:eastAsia="Calibri" w:hAnsi="Verdana" w:cs="Arial"/>
          <w:lang w:val="en-US" w:eastAsia="en-US"/>
        </w:rPr>
        <w:t xml:space="preserve">Austrade should have provided assistance to </w:t>
      </w:r>
      <w:r w:rsidR="00CA03BD" w:rsidRPr="001D3E93">
        <w:rPr>
          <w:rFonts w:ascii="Verdana" w:eastAsia="Calibri" w:hAnsi="Verdana" w:cs="Arial"/>
          <w:lang w:val="en-US" w:eastAsia="en-US"/>
        </w:rPr>
        <w:t xml:space="preserve">EMDG 1.0 </w:t>
      </w:r>
      <w:r w:rsidR="00A0613F" w:rsidRPr="001D3E93">
        <w:rPr>
          <w:rFonts w:ascii="Verdana" w:eastAsia="Calibri" w:hAnsi="Verdana" w:cs="Arial"/>
          <w:lang w:val="en-US" w:eastAsia="en-US"/>
        </w:rPr>
        <w:t>businesses on how to transition or adapt to EMDG 2.0</w:t>
      </w:r>
      <w:r w:rsidR="00040209" w:rsidRPr="001D3E93">
        <w:rPr>
          <w:rFonts w:ascii="Verdana" w:eastAsia="Calibri" w:hAnsi="Verdana" w:cs="Arial"/>
          <w:lang w:val="en-US" w:eastAsia="en-US"/>
        </w:rPr>
        <w:t xml:space="preserve"> beyond the communication and webinars</w:t>
      </w:r>
      <w:r w:rsidR="00A0613F" w:rsidRPr="001D3E93">
        <w:rPr>
          <w:rFonts w:ascii="Verdana" w:eastAsia="Calibri" w:hAnsi="Verdana" w:cs="Arial"/>
          <w:lang w:val="en-US" w:eastAsia="en-US"/>
        </w:rPr>
        <w:t>. </w:t>
      </w:r>
      <w:r w:rsidR="00A0613F" w:rsidRPr="001D3E93">
        <w:rPr>
          <w:rFonts w:ascii="Verdana" w:eastAsia="Calibri" w:hAnsi="Verdana" w:cs="Arial"/>
          <w:lang w:eastAsia="en-US"/>
        </w:rPr>
        <w:t> </w:t>
      </w:r>
    </w:p>
    <w:p w14:paraId="19E8B8CF" w14:textId="287C8705" w:rsidR="00A0613F" w:rsidRPr="001D3E93" w:rsidRDefault="000E611C">
      <w:pPr>
        <w:pStyle w:val="Heading3"/>
        <w:rPr>
          <w:b w:val="0"/>
          <w:bCs w:val="0"/>
          <w:sz w:val="24"/>
          <w:szCs w:val="24"/>
          <w:lang w:val="en-US" w:eastAsia="en-US"/>
        </w:rPr>
      </w:pPr>
      <w:bookmarkStart w:id="246" w:name="_Toc118370911"/>
      <w:bookmarkStart w:id="247" w:name="_Toc118385808"/>
      <w:bookmarkStart w:id="248" w:name="_Toc118385931"/>
      <w:bookmarkStart w:id="249" w:name="_Toc120547715"/>
      <w:bookmarkStart w:id="250" w:name="_Toc124433382"/>
      <w:r w:rsidRPr="001D3E93">
        <w:rPr>
          <w:b w:val="0"/>
          <w:bCs w:val="0"/>
          <w:caps w:val="0"/>
          <w:sz w:val="24"/>
          <w:szCs w:val="24"/>
          <w:lang w:val="en-US" w:eastAsia="en-US"/>
        </w:rPr>
        <w:lastRenderedPageBreak/>
        <w:t>What we heard</w:t>
      </w:r>
      <w:r w:rsidRPr="001D3E93">
        <w:rPr>
          <w:b w:val="0"/>
          <w:bCs w:val="0"/>
          <w:sz w:val="24"/>
          <w:szCs w:val="24"/>
          <w:lang w:val="en-US" w:eastAsia="en-US"/>
        </w:rPr>
        <w:t xml:space="preserve">: </w:t>
      </w:r>
      <w:r w:rsidRPr="001D3E93">
        <w:rPr>
          <w:b w:val="0"/>
          <w:bCs w:val="0"/>
          <w:caps w:val="0"/>
          <w:sz w:val="24"/>
          <w:szCs w:val="24"/>
          <w:lang w:val="en-US" w:eastAsia="en-US"/>
        </w:rPr>
        <w:t>Tier 3 applicants (existing exporters diversifying products or markets)</w:t>
      </w:r>
      <w:bookmarkEnd w:id="246"/>
      <w:bookmarkEnd w:id="247"/>
      <w:bookmarkEnd w:id="248"/>
      <w:bookmarkEnd w:id="249"/>
      <w:bookmarkEnd w:id="250"/>
      <w:r w:rsidRPr="001D3E93">
        <w:rPr>
          <w:b w:val="0"/>
          <w:bCs w:val="0"/>
          <w:caps w:val="0"/>
          <w:sz w:val="24"/>
          <w:szCs w:val="24"/>
          <w:lang w:val="en-US" w:eastAsia="en-US"/>
        </w:rPr>
        <w:t xml:space="preserve">  </w:t>
      </w:r>
    </w:p>
    <w:p w14:paraId="1006AE0D" w14:textId="77777777" w:rsidR="00A0613F" w:rsidRPr="00A3430B" w:rsidRDefault="00A0613F">
      <w:pPr>
        <w:pStyle w:val="Heading4"/>
        <w:rPr>
          <w:b w:val="0"/>
          <w:bCs w:val="0"/>
          <w:sz w:val="22"/>
          <w:szCs w:val="22"/>
          <w:lang w:val="en-US" w:eastAsia="en-US"/>
        </w:rPr>
      </w:pPr>
      <w:r w:rsidRPr="00A3430B">
        <w:rPr>
          <w:b w:val="0"/>
          <w:bCs w:val="0"/>
          <w:sz w:val="22"/>
          <w:szCs w:val="22"/>
          <w:lang w:val="en-US" w:eastAsia="en-US"/>
        </w:rPr>
        <w:t>Survey (91 Responses)</w:t>
      </w:r>
    </w:p>
    <w:p w14:paraId="6B4FDBD2" w14:textId="77777777" w:rsidR="00A0613F" w:rsidRPr="001D3E93" w:rsidRDefault="00A0613F" w:rsidP="00BF0EB8">
      <w:pPr>
        <w:numPr>
          <w:ilvl w:val="0"/>
          <w:numId w:val="32"/>
        </w:numPr>
        <w:spacing w:line="259" w:lineRule="auto"/>
        <w:ind w:left="782" w:hanging="357"/>
        <w:rPr>
          <w:rFonts w:ascii="Verdana" w:eastAsia="Calibri" w:hAnsi="Verdana" w:cs="Arial"/>
          <w:lang w:val="en-US" w:eastAsia="en-US"/>
        </w:rPr>
      </w:pPr>
      <w:r w:rsidRPr="001D3E93">
        <w:rPr>
          <w:rFonts w:ascii="Verdana" w:eastAsia="Calibri" w:hAnsi="Verdana" w:cs="Arial"/>
          <w:lang w:val="en-US" w:eastAsia="en-US"/>
        </w:rPr>
        <w:t>Nearly two-thirds of Tier 3 exporters in the survey disagreed that funding should be shared among all eligible applicants, resulting in a lesser share of funding per grant.</w:t>
      </w:r>
    </w:p>
    <w:p w14:paraId="71B102D8" w14:textId="3EF250D3" w:rsidR="00A0613F" w:rsidRPr="001D3E93" w:rsidRDefault="00A0613F" w:rsidP="00BF0EB8">
      <w:pPr>
        <w:numPr>
          <w:ilvl w:val="0"/>
          <w:numId w:val="17"/>
        </w:numPr>
        <w:spacing w:line="259" w:lineRule="auto"/>
        <w:ind w:left="782" w:hanging="357"/>
        <w:rPr>
          <w:rFonts w:ascii="Verdana" w:eastAsia="Calibri" w:hAnsi="Verdana" w:cs="Arial"/>
          <w:lang w:val="en-US" w:eastAsia="en-US"/>
        </w:rPr>
      </w:pPr>
      <w:r w:rsidRPr="001D3E93">
        <w:rPr>
          <w:rFonts w:ascii="Verdana" w:eastAsia="Calibri" w:hAnsi="Verdana" w:cs="Arial"/>
          <w:lang w:val="en-US" w:eastAsia="en-US"/>
        </w:rPr>
        <w:t>Some commented that small amounts do not incentivise export market development. One Tier 3 survey respondent said</w:t>
      </w:r>
      <w:r w:rsidR="327A3979" w:rsidRPr="001D3E93">
        <w:rPr>
          <w:rFonts w:ascii="Verdana" w:eastAsia="Calibri" w:hAnsi="Verdana" w:cs="Arial"/>
          <w:lang w:val="en-US" w:eastAsia="en-US"/>
        </w:rPr>
        <w:t>,</w:t>
      </w:r>
      <w:r w:rsidRPr="001D3E93">
        <w:rPr>
          <w:rFonts w:ascii="Verdana" w:eastAsia="Calibri" w:hAnsi="Verdana" w:cs="Arial"/>
          <w:lang w:val="en-US" w:eastAsia="en-US"/>
        </w:rPr>
        <w:t xml:space="preserve"> </w:t>
      </w:r>
      <w:r w:rsidRPr="001D3E93">
        <w:rPr>
          <w:rFonts w:ascii="Verdana" w:eastAsia="Calibri" w:hAnsi="Verdana" w:cs="Arial"/>
          <w:i/>
          <w:iCs/>
          <w:lang w:val="en-US" w:eastAsia="en-US"/>
        </w:rPr>
        <w:t>"</w:t>
      </w:r>
      <w:r w:rsidR="00423FB1" w:rsidRPr="001D3E93">
        <w:rPr>
          <w:rFonts w:ascii="Verdana" w:eastAsia="Calibri" w:hAnsi="Verdana" w:cs="Arial"/>
          <w:i/>
          <w:iCs/>
          <w:lang w:val="en-US" w:eastAsia="en-US"/>
        </w:rPr>
        <w:t>t</w:t>
      </w:r>
      <w:r w:rsidRPr="001D3E93">
        <w:rPr>
          <w:rFonts w:ascii="Verdana" w:eastAsia="Calibri" w:hAnsi="Verdana" w:cs="Arial"/>
          <w:i/>
          <w:iCs/>
          <w:lang w:val="en-US" w:eastAsia="en-US"/>
        </w:rPr>
        <w:t>he reduction in $ made us rethink our presence in the USA which is our key market".</w:t>
      </w:r>
      <w:r w:rsidRPr="001D3E93">
        <w:rPr>
          <w:rFonts w:ascii="Verdana" w:eastAsia="Calibri" w:hAnsi="Verdana" w:cs="Arial"/>
          <w:lang w:val="en-US" w:eastAsia="en-US"/>
        </w:rPr>
        <w:t xml:space="preserve"> Another Tier 3 respondent noted they had to </w:t>
      </w:r>
      <w:r w:rsidRPr="001D3E93">
        <w:rPr>
          <w:rFonts w:ascii="Verdana" w:eastAsia="Calibri" w:hAnsi="Verdana" w:cs="Arial"/>
          <w:i/>
          <w:iCs/>
          <w:lang w:val="en-US" w:eastAsia="en-US"/>
        </w:rPr>
        <w:t>"rein in our marketing activities"</w:t>
      </w:r>
      <w:r w:rsidRPr="001D3E93">
        <w:rPr>
          <w:rFonts w:ascii="Verdana" w:eastAsia="Calibri" w:hAnsi="Verdana" w:cs="Arial"/>
          <w:lang w:val="en-US" w:eastAsia="en-US"/>
        </w:rPr>
        <w:t xml:space="preserve">. </w:t>
      </w:r>
    </w:p>
    <w:p w14:paraId="2EC7068A" w14:textId="77777777" w:rsidR="00A0613F" w:rsidRPr="00A3430B" w:rsidRDefault="00A0613F">
      <w:pPr>
        <w:pStyle w:val="Heading4"/>
        <w:rPr>
          <w:b w:val="0"/>
          <w:bCs w:val="0"/>
          <w:sz w:val="22"/>
          <w:szCs w:val="22"/>
        </w:rPr>
      </w:pPr>
      <w:r w:rsidRPr="00A3430B">
        <w:rPr>
          <w:b w:val="0"/>
          <w:bCs w:val="0"/>
          <w:sz w:val="22"/>
          <w:szCs w:val="22"/>
        </w:rPr>
        <w:t>Consultations (5 meetings)</w:t>
      </w:r>
    </w:p>
    <w:p w14:paraId="2452AF88" w14:textId="7A2C72CB"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The themes emerging from the consultations from Tier 3 applicants were consistent with the survey results</w:t>
      </w:r>
      <w:r w:rsidR="00D70431" w:rsidRPr="001D3E93">
        <w:rPr>
          <w:rFonts w:ascii="Verdana" w:eastAsia="Calibri" w:hAnsi="Verdana" w:cs="Arial"/>
          <w:lang w:val="en-US" w:eastAsia="en-US"/>
        </w:rPr>
        <w:t xml:space="preserve"> from Tier 3 recipients</w:t>
      </w:r>
      <w:r w:rsidRPr="001D3E93">
        <w:rPr>
          <w:rFonts w:ascii="Verdana" w:eastAsia="Calibri" w:hAnsi="Verdana" w:cs="Arial"/>
          <w:lang w:val="en-US" w:eastAsia="en-US"/>
        </w:rPr>
        <w:t>. These included that:</w:t>
      </w:r>
    </w:p>
    <w:p w14:paraId="1324AE41" w14:textId="5D614D1E" w:rsidR="00A0613F" w:rsidRPr="001D3E93" w:rsidRDefault="00A0613F" w:rsidP="009103F8">
      <w:pPr>
        <w:numPr>
          <w:ilvl w:val="0"/>
          <w:numId w:val="32"/>
        </w:numPr>
        <w:spacing w:line="259" w:lineRule="auto"/>
        <w:ind w:left="782" w:hanging="357"/>
        <w:rPr>
          <w:rFonts w:ascii="Verdana" w:eastAsia="Calibri" w:hAnsi="Verdana" w:cs="Arial"/>
          <w:lang w:val="en-US" w:eastAsia="en-US"/>
        </w:rPr>
      </w:pPr>
      <w:r w:rsidRPr="001D3E93">
        <w:rPr>
          <w:rFonts w:ascii="Verdana" w:eastAsia="Calibri" w:hAnsi="Verdana" w:cs="Arial"/>
          <w:lang w:val="en-US" w:eastAsia="en-US"/>
        </w:rPr>
        <w:t>Some who had experience with EMDG 1.0 found the transition to EMDG 2.0 tiers confusing,</w:t>
      </w:r>
      <w:r w:rsidR="00B142D4" w:rsidRPr="001D3E93">
        <w:rPr>
          <w:rFonts w:ascii="Verdana" w:eastAsia="Calibri" w:hAnsi="Verdana" w:cs="Arial"/>
          <w:lang w:val="en-US" w:eastAsia="en-US"/>
        </w:rPr>
        <w:t xml:space="preserve"> therefore,</w:t>
      </w:r>
      <w:r w:rsidRPr="001D3E93">
        <w:rPr>
          <w:rFonts w:ascii="Verdana" w:eastAsia="Calibri" w:hAnsi="Verdana" w:cs="Arial"/>
          <w:lang w:val="en-US" w:eastAsia="en-US"/>
        </w:rPr>
        <w:t xml:space="preserve"> some used a grant agen</w:t>
      </w:r>
      <w:r w:rsidR="00B142D4" w:rsidRPr="001D3E93">
        <w:rPr>
          <w:rFonts w:ascii="Verdana" w:eastAsia="Calibri" w:hAnsi="Verdana" w:cs="Arial"/>
          <w:lang w:val="en-US" w:eastAsia="en-US"/>
        </w:rPr>
        <w:t>t</w:t>
      </w:r>
      <w:r w:rsidRPr="001D3E93">
        <w:rPr>
          <w:rFonts w:ascii="Verdana" w:eastAsia="Calibri" w:hAnsi="Verdana" w:cs="Arial"/>
          <w:lang w:val="en-US" w:eastAsia="en-US"/>
        </w:rPr>
        <w:t xml:space="preserve">. </w:t>
      </w:r>
      <w:r w:rsidR="009E0582" w:rsidRPr="001D3E93">
        <w:rPr>
          <w:rFonts w:ascii="Verdana" w:eastAsia="Calibri" w:hAnsi="Verdana" w:cs="Arial"/>
          <w:lang w:val="en-US" w:eastAsia="en-US"/>
        </w:rPr>
        <w:t>International diversification is important however s</w:t>
      </w:r>
      <w:r w:rsidRPr="001D3E93">
        <w:rPr>
          <w:rFonts w:ascii="Verdana" w:eastAsia="Calibri" w:hAnsi="Verdana" w:cs="Arial"/>
          <w:lang w:val="en-US" w:eastAsia="en-US"/>
        </w:rPr>
        <w:t>ome were confused over terminology such as strategic shift.</w:t>
      </w:r>
    </w:p>
    <w:p w14:paraId="4CD4DB07" w14:textId="44280AC0" w:rsidR="009E0582" w:rsidRPr="001D3E93" w:rsidRDefault="00231978" w:rsidP="009103F8">
      <w:pPr>
        <w:numPr>
          <w:ilvl w:val="0"/>
          <w:numId w:val="32"/>
        </w:numPr>
        <w:spacing w:line="259" w:lineRule="auto"/>
        <w:ind w:left="782" w:hanging="357"/>
        <w:rPr>
          <w:rFonts w:ascii="Verdana" w:eastAsia="Calibri" w:hAnsi="Verdana" w:cs="Arial"/>
          <w:lang w:val="en-US" w:eastAsia="en-US"/>
        </w:rPr>
      </w:pPr>
      <w:r w:rsidRPr="001D3E93">
        <w:rPr>
          <w:rFonts w:ascii="Verdana" w:eastAsia="Calibri" w:hAnsi="Verdana" w:cs="Arial"/>
          <w:lang w:val="en-US" w:eastAsia="en-US"/>
        </w:rPr>
        <w:t>Many applicants commented that</w:t>
      </w:r>
      <w:r w:rsidR="00A0613F" w:rsidRPr="001D3E93">
        <w:rPr>
          <w:rFonts w:ascii="Verdana" w:eastAsia="Calibri" w:hAnsi="Verdana" w:cs="Arial"/>
          <w:lang w:val="en-US" w:eastAsia="en-US"/>
        </w:rPr>
        <w:t xml:space="preserve"> </w:t>
      </w:r>
      <w:r w:rsidRPr="001D3E93">
        <w:rPr>
          <w:rFonts w:ascii="Verdana" w:eastAsia="Calibri" w:hAnsi="Verdana" w:cs="Arial"/>
          <w:lang w:val="en-US" w:eastAsia="en-US"/>
        </w:rPr>
        <w:t>the</w:t>
      </w:r>
      <w:r w:rsidR="00A0613F" w:rsidRPr="001D3E93">
        <w:rPr>
          <w:rFonts w:ascii="Verdana" w:eastAsia="Calibri" w:hAnsi="Verdana" w:cs="Arial"/>
          <w:lang w:val="en-US" w:eastAsia="en-US"/>
        </w:rPr>
        <w:t xml:space="preserve"> three-year plan to market was difficult to </w:t>
      </w:r>
      <w:r w:rsidR="00B142D4" w:rsidRPr="001D3E93">
        <w:rPr>
          <w:rFonts w:ascii="Verdana" w:eastAsia="Calibri" w:hAnsi="Verdana" w:cs="Arial"/>
          <w:lang w:val="en-US" w:eastAsia="en-US"/>
        </w:rPr>
        <w:t>construct</w:t>
      </w:r>
      <w:r w:rsidR="00A0613F" w:rsidRPr="001D3E93">
        <w:rPr>
          <w:rFonts w:ascii="Verdana" w:eastAsia="Calibri" w:hAnsi="Verdana" w:cs="Arial"/>
          <w:lang w:val="en-US" w:eastAsia="en-US"/>
        </w:rPr>
        <w:t xml:space="preserve"> accurately, especially for year three.</w:t>
      </w:r>
      <w:r w:rsidR="00B0026B" w:rsidRPr="001D3E93">
        <w:rPr>
          <w:rFonts w:eastAsia="Times New Roman"/>
        </w:rPr>
        <w:t xml:space="preserve"> </w:t>
      </w:r>
    </w:p>
    <w:p w14:paraId="368D6007" w14:textId="1789E450" w:rsidR="00A0613F" w:rsidRPr="001D3E93" w:rsidRDefault="00975BA8" w:rsidP="009103F8">
      <w:pPr>
        <w:numPr>
          <w:ilvl w:val="0"/>
          <w:numId w:val="32"/>
        </w:numPr>
        <w:spacing w:line="259" w:lineRule="auto"/>
        <w:ind w:left="782" w:hanging="357"/>
        <w:rPr>
          <w:rFonts w:ascii="Verdana" w:eastAsia="Calibri" w:hAnsi="Verdana" w:cs="Arial"/>
          <w:lang w:val="en-US" w:eastAsia="en-US"/>
        </w:rPr>
      </w:pPr>
      <w:r w:rsidRPr="001D3E93">
        <w:rPr>
          <w:rFonts w:eastAsia="Times New Roman"/>
        </w:rPr>
        <w:t xml:space="preserve">A </w:t>
      </w:r>
      <w:r w:rsidR="007279B9" w:rsidRPr="001D3E93">
        <w:rPr>
          <w:rFonts w:eastAsia="Times New Roman"/>
        </w:rPr>
        <w:t>Tier 3 applicant commented</w:t>
      </w:r>
      <w:r w:rsidR="009C66BB" w:rsidRPr="001D3E93">
        <w:rPr>
          <w:rFonts w:eastAsia="Times New Roman"/>
        </w:rPr>
        <w:t xml:space="preserve"> that </w:t>
      </w:r>
      <w:r w:rsidR="009E0582" w:rsidRPr="001D3E93">
        <w:rPr>
          <w:rFonts w:eastAsia="Times New Roman"/>
        </w:rPr>
        <w:t xml:space="preserve">EMDG 2.0 </w:t>
      </w:r>
      <w:r w:rsidR="009E0582" w:rsidRPr="001D3E93">
        <w:rPr>
          <w:rFonts w:eastAsia="Times New Roman"/>
          <w:i/>
        </w:rPr>
        <w:t>“</w:t>
      </w:r>
      <w:r w:rsidR="00B0026B" w:rsidRPr="001D3E93">
        <w:rPr>
          <w:rFonts w:eastAsia="Times New Roman"/>
          <w:i/>
        </w:rPr>
        <w:t>opens the scheme up to unproven businesses with higher fail rate.</w:t>
      </w:r>
      <w:r w:rsidR="009E0582" w:rsidRPr="001D3E93">
        <w:rPr>
          <w:rFonts w:eastAsia="Times New Roman"/>
          <w:i/>
        </w:rPr>
        <w:t xml:space="preserve"> T</w:t>
      </w:r>
      <w:r w:rsidR="00B0026B" w:rsidRPr="001D3E93">
        <w:rPr>
          <w:rFonts w:eastAsia="Times New Roman"/>
          <w:i/>
        </w:rPr>
        <w:t>he new scheme allow</w:t>
      </w:r>
      <w:r w:rsidR="00B42D9F" w:rsidRPr="001D3E93">
        <w:rPr>
          <w:rFonts w:eastAsia="Times New Roman"/>
          <w:i/>
        </w:rPr>
        <w:t>s</w:t>
      </w:r>
      <w:r w:rsidR="00B0026B" w:rsidRPr="001D3E93">
        <w:rPr>
          <w:rFonts w:eastAsia="Times New Roman"/>
          <w:i/>
        </w:rPr>
        <w:t xml:space="preserve"> access to anyone - so of </w:t>
      </w:r>
      <w:r w:rsidR="009E0582" w:rsidRPr="001D3E93">
        <w:rPr>
          <w:rFonts w:eastAsia="Times New Roman"/>
          <w:i/>
        </w:rPr>
        <w:t>course</w:t>
      </w:r>
      <w:r w:rsidR="00B0026B" w:rsidRPr="001D3E93">
        <w:rPr>
          <w:rFonts w:eastAsia="Times New Roman"/>
          <w:i/>
        </w:rPr>
        <w:t xml:space="preserve"> smaller business with little to no export experience will be applying. I believe business should have a track record of success for this grant</w:t>
      </w:r>
      <w:r w:rsidR="009E0582" w:rsidRPr="001D3E93">
        <w:rPr>
          <w:rFonts w:eastAsia="Times New Roman"/>
          <w:i/>
        </w:rPr>
        <w:t>”</w:t>
      </w:r>
    </w:p>
    <w:p w14:paraId="200891E1" w14:textId="77777777" w:rsidR="005C6E75" w:rsidRPr="001D3E93" w:rsidRDefault="005C6E75" w:rsidP="005C6E75">
      <w:pPr>
        <w:spacing w:line="259" w:lineRule="auto"/>
        <w:ind w:left="782"/>
        <w:rPr>
          <w:rFonts w:ascii="Verdana" w:eastAsia="Calibri" w:hAnsi="Verdana" w:cs="Arial"/>
          <w:lang w:val="en-US" w:eastAsia="en-US"/>
        </w:rPr>
      </w:pPr>
    </w:p>
    <w:p w14:paraId="68A9B440" w14:textId="02E89F46" w:rsidR="00A0613F" w:rsidRPr="001D3E93" w:rsidRDefault="007A6495">
      <w:pPr>
        <w:pStyle w:val="Heading3"/>
        <w:rPr>
          <w:b w:val="0"/>
          <w:bCs w:val="0"/>
          <w:sz w:val="22"/>
          <w:szCs w:val="22"/>
          <w:lang w:val="en-US" w:eastAsia="en-US"/>
        </w:rPr>
      </w:pPr>
      <w:bookmarkStart w:id="251" w:name="_Toc118370912"/>
      <w:bookmarkStart w:id="252" w:name="_Toc118385809"/>
      <w:bookmarkStart w:id="253" w:name="_Toc118385932"/>
      <w:bookmarkStart w:id="254" w:name="_Toc120547716"/>
      <w:bookmarkStart w:id="255" w:name="_Toc124433383"/>
      <w:r w:rsidRPr="001D3E93">
        <w:rPr>
          <w:b w:val="0"/>
          <w:bCs w:val="0"/>
          <w:caps w:val="0"/>
          <w:sz w:val="22"/>
          <w:szCs w:val="22"/>
          <w:lang w:val="en-US" w:eastAsia="en-US"/>
        </w:rPr>
        <w:t>What we heard: Grant Agents</w:t>
      </w:r>
      <w:bookmarkEnd w:id="251"/>
      <w:bookmarkEnd w:id="252"/>
      <w:bookmarkEnd w:id="253"/>
      <w:bookmarkEnd w:id="254"/>
      <w:bookmarkEnd w:id="255"/>
    </w:p>
    <w:p w14:paraId="5174DA09" w14:textId="77777777" w:rsidR="00A0613F" w:rsidRPr="00A3430B" w:rsidRDefault="00A0613F">
      <w:pPr>
        <w:pStyle w:val="Heading4"/>
        <w:rPr>
          <w:b w:val="0"/>
          <w:bCs w:val="0"/>
          <w:sz w:val="22"/>
          <w:szCs w:val="22"/>
        </w:rPr>
      </w:pPr>
      <w:r w:rsidRPr="00A3430B">
        <w:rPr>
          <w:b w:val="0"/>
          <w:bCs w:val="0"/>
          <w:sz w:val="22"/>
          <w:szCs w:val="22"/>
        </w:rPr>
        <w:t>Survey (55 respondents)</w:t>
      </w:r>
    </w:p>
    <w:p w14:paraId="0ADD5C7F" w14:textId="7527C630" w:rsidR="00A0613F" w:rsidRPr="001D3E93" w:rsidRDefault="00A0613F" w:rsidP="00BF0EB8">
      <w:pPr>
        <w:numPr>
          <w:ilvl w:val="0"/>
          <w:numId w:val="17"/>
        </w:num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A key feature of EMDG 2.0 was the shift to </w:t>
      </w:r>
      <w:r w:rsidR="0039652B" w:rsidRPr="001D3E93">
        <w:rPr>
          <w:rFonts w:ascii="Verdana" w:eastAsia="Calibri" w:hAnsi="Verdana" w:cs="Arial"/>
          <w:lang w:val="en-US" w:eastAsia="en-US"/>
        </w:rPr>
        <w:t>upfront</w:t>
      </w:r>
      <w:r w:rsidRPr="001D3E93">
        <w:rPr>
          <w:rFonts w:ascii="Verdana" w:eastAsia="Calibri" w:hAnsi="Verdana" w:cs="Arial"/>
          <w:lang w:val="en-US" w:eastAsia="en-US"/>
        </w:rPr>
        <w:t xml:space="preserve"> clarity on grant amounts in multi-year grant agreements. Some stakeholders, including grant agents, noted this feature provided certainty for business decisions and allowed small businesses with limited upfront capital to access the EMDG 2.0 program, such as new exporters in Tier 1. Some grant agents noted that the three-year outlook was helpful in getting companies “to think ahead in that frame of mind”. </w:t>
      </w:r>
    </w:p>
    <w:p w14:paraId="693223B7" w14:textId="4FF31FC0" w:rsidR="00A0613F" w:rsidRPr="001D3E93" w:rsidRDefault="001C2A54" w:rsidP="00BF0EB8">
      <w:pPr>
        <w:spacing w:after="160" w:line="259" w:lineRule="auto"/>
        <w:rPr>
          <w:rFonts w:ascii="Verdana" w:eastAsia="Calibri" w:hAnsi="Verdana" w:cs="Arial"/>
          <w:lang w:val="en-US" w:eastAsia="en-US"/>
        </w:rPr>
      </w:pPr>
      <w:r w:rsidRPr="001D3E93">
        <w:rPr>
          <w:rFonts w:ascii="Verdana" w:eastAsia="Calibri" w:hAnsi="Verdana" w:cs="Arial"/>
          <w:lang w:val="en-US" w:eastAsia="en-US"/>
        </w:rPr>
        <w:t>S</w:t>
      </w:r>
      <w:r w:rsidR="00A0613F" w:rsidRPr="001D3E93">
        <w:rPr>
          <w:rFonts w:ascii="Verdana" w:eastAsia="Calibri" w:hAnsi="Verdana" w:cs="Arial"/>
          <w:lang w:val="en-US" w:eastAsia="en-US"/>
        </w:rPr>
        <w:t>urvey results:</w:t>
      </w:r>
    </w:p>
    <w:p w14:paraId="43910A6F" w14:textId="10235744" w:rsidR="00A0613F" w:rsidRPr="001D3E93" w:rsidRDefault="00A0613F" w:rsidP="00BF0EB8">
      <w:pPr>
        <w:numPr>
          <w:ilvl w:val="0"/>
          <w:numId w:val="23"/>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71 per cent of grant agent survey respondents said that the change from an audited reimbursement scheme to an upfront grant program was useful to reduce workload for applicants and Austrade (86 per cent of all survey respondents more broadly agreed).  </w:t>
      </w:r>
    </w:p>
    <w:p w14:paraId="2E4A0DD5" w14:textId="77777777" w:rsidR="00A0613F" w:rsidRPr="001D3E93" w:rsidRDefault="00A0613F" w:rsidP="00BF0EB8">
      <w:pPr>
        <w:numPr>
          <w:ilvl w:val="0"/>
          <w:numId w:val="23"/>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However, EMDG agents were the least supportive cohort of the new program – while overall nearly half of all respondents thought the reforms improved EMDG, 60 per cent of agents disagreed.</w:t>
      </w:r>
    </w:p>
    <w:p w14:paraId="51AB11AF" w14:textId="36D78FBD" w:rsidR="00A0613F" w:rsidRPr="001D3E93" w:rsidRDefault="00A0613F" w:rsidP="00BF0EB8">
      <w:pPr>
        <w:numPr>
          <w:ilvl w:val="0"/>
          <w:numId w:val="19"/>
        </w:numPr>
        <w:spacing w:line="259" w:lineRule="auto"/>
        <w:ind w:left="714" w:hanging="357"/>
        <w:rPr>
          <w:rFonts w:ascii="Verdana" w:eastAsia="Calibri" w:hAnsi="Verdana" w:cs="Arial"/>
          <w:lang w:val="en-US" w:eastAsia="en-US"/>
        </w:rPr>
      </w:pPr>
      <w:r w:rsidRPr="001D3E93">
        <w:rPr>
          <w:rFonts w:ascii="Verdana" w:eastAsia="Calibri" w:hAnsi="Verdana" w:cs="Arial"/>
          <w:lang w:val="en-US" w:eastAsia="en-US"/>
        </w:rPr>
        <w:t xml:space="preserve">The timing of rounds and reporting was </w:t>
      </w:r>
      <w:r w:rsidR="00D66CDA" w:rsidRPr="001D3E93">
        <w:rPr>
          <w:rFonts w:ascii="Verdana" w:eastAsia="Calibri" w:hAnsi="Verdana" w:cs="Arial"/>
          <w:lang w:val="en-US" w:eastAsia="en-US"/>
        </w:rPr>
        <w:t>felt</w:t>
      </w:r>
      <w:r w:rsidRPr="001D3E93">
        <w:rPr>
          <w:rFonts w:ascii="Verdana" w:eastAsia="Calibri" w:hAnsi="Verdana" w:cs="Arial"/>
          <w:lang w:val="en-US" w:eastAsia="en-US"/>
        </w:rPr>
        <w:t xml:space="preserve"> inappropriate for the business cycle within a financial year, </w:t>
      </w:r>
      <w:r w:rsidR="00BA6D8E" w:rsidRPr="001D3E93">
        <w:rPr>
          <w:rFonts w:ascii="Verdana" w:eastAsia="Calibri" w:hAnsi="Verdana" w:cs="Arial"/>
          <w:lang w:val="en-US" w:eastAsia="en-US"/>
        </w:rPr>
        <w:t xml:space="preserve">commonly </w:t>
      </w:r>
      <w:r w:rsidRPr="001D3E93">
        <w:rPr>
          <w:rFonts w:ascii="Verdana" w:eastAsia="Calibri" w:hAnsi="Verdana" w:cs="Arial"/>
          <w:lang w:val="en-US" w:eastAsia="en-US"/>
        </w:rPr>
        <w:t>raised by grant agents</w:t>
      </w:r>
      <w:r w:rsidR="00A61B85" w:rsidRPr="001D3E93">
        <w:rPr>
          <w:rFonts w:ascii="Verdana" w:eastAsia="Calibri" w:hAnsi="Verdana" w:cs="Arial"/>
          <w:lang w:val="en-US" w:eastAsia="en-US"/>
        </w:rPr>
        <w:t xml:space="preserve"> (and applicants)</w:t>
      </w:r>
      <w:r w:rsidRPr="001D3E93">
        <w:rPr>
          <w:rFonts w:ascii="Verdana" w:eastAsia="Calibri" w:hAnsi="Verdana" w:cs="Arial"/>
          <w:lang w:val="en-US" w:eastAsia="en-US"/>
        </w:rPr>
        <w:t xml:space="preserve">. </w:t>
      </w:r>
      <w:r w:rsidR="009D22EE" w:rsidRPr="001D3E93">
        <w:rPr>
          <w:rFonts w:ascii="Verdana" w:eastAsia="Calibri" w:hAnsi="Verdana" w:cs="Arial"/>
          <w:lang w:val="en-US" w:eastAsia="en-US"/>
        </w:rPr>
        <w:t xml:space="preserve">This was raised for both Round 1 and Round 2: </w:t>
      </w:r>
      <w:r w:rsidR="009D22EE" w:rsidRPr="001D3E93">
        <w:rPr>
          <w:rFonts w:ascii="Verdana" w:eastAsia="Calibri" w:hAnsi="Verdana" w:cs="Arial"/>
          <w:i/>
          <w:lang w:val="en-US" w:eastAsia="en-US"/>
        </w:rPr>
        <w:t>“Having Round 2 during July-August is probably the worst timing as this coincides with R&amp;D applications and other end of financial year reporting requirements. The ideal time in my opinion would be January-March before the relevant income year</w:t>
      </w:r>
      <w:r w:rsidR="009D22EE" w:rsidRPr="001D3E93">
        <w:rPr>
          <w:rFonts w:ascii="Verdana" w:eastAsia="Calibri" w:hAnsi="Verdana" w:cs="Arial"/>
          <w:i/>
          <w:iCs/>
          <w:lang w:val="en-US" w:eastAsia="en-US"/>
        </w:rPr>
        <w:t>”</w:t>
      </w:r>
      <w:r w:rsidR="00D66CDA" w:rsidRPr="001D3E93">
        <w:rPr>
          <w:rFonts w:ascii="Verdana" w:eastAsia="Calibri" w:hAnsi="Verdana" w:cs="Arial"/>
          <w:lang w:val="en-US" w:eastAsia="en-US"/>
        </w:rPr>
        <w:t>.</w:t>
      </w:r>
      <w:r w:rsidR="009D22EE" w:rsidRPr="001D3E93">
        <w:rPr>
          <w:rFonts w:ascii="Verdana" w:eastAsia="Calibri" w:hAnsi="Verdana" w:cs="Arial"/>
          <w:lang w:val="en-US" w:eastAsia="en-US"/>
        </w:rPr>
        <w:t xml:space="preserve"> </w:t>
      </w:r>
    </w:p>
    <w:p w14:paraId="06B21CCE" w14:textId="038EDEC3" w:rsidR="005C6E75" w:rsidRPr="001D3E93" w:rsidRDefault="005C6E75" w:rsidP="00BF0EB8">
      <w:pPr>
        <w:spacing w:line="259" w:lineRule="auto"/>
        <w:ind w:left="714"/>
        <w:rPr>
          <w:rFonts w:ascii="Verdana" w:eastAsia="Calibri" w:hAnsi="Verdana" w:cs="Arial"/>
          <w:lang w:val="en-US" w:eastAsia="en-US"/>
        </w:rPr>
      </w:pPr>
    </w:p>
    <w:p w14:paraId="1B0499BC" w14:textId="77777777" w:rsidR="005C6E75" w:rsidRPr="001D3E93" w:rsidRDefault="005C6E75" w:rsidP="00BF0EB8">
      <w:pPr>
        <w:spacing w:line="259" w:lineRule="auto"/>
        <w:ind w:left="714"/>
        <w:rPr>
          <w:rFonts w:ascii="Verdana" w:eastAsia="Calibri" w:hAnsi="Verdana" w:cs="Arial"/>
          <w:lang w:val="en-US" w:eastAsia="en-US"/>
        </w:rPr>
      </w:pPr>
    </w:p>
    <w:p w14:paraId="2AD25638" w14:textId="77777777" w:rsidR="00A0613F" w:rsidRPr="00A3430B" w:rsidRDefault="00A0613F">
      <w:pPr>
        <w:pStyle w:val="Heading4"/>
        <w:rPr>
          <w:b w:val="0"/>
          <w:bCs w:val="0"/>
          <w:sz w:val="22"/>
          <w:szCs w:val="22"/>
        </w:rPr>
      </w:pPr>
      <w:r w:rsidRPr="00A3430B">
        <w:rPr>
          <w:b w:val="0"/>
          <w:bCs w:val="0"/>
          <w:sz w:val="22"/>
          <w:szCs w:val="22"/>
        </w:rPr>
        <w:lastRenderedPageBreak/>
        <w:t>Consultations (28 meetings)</w:t>
      </w:r>
    </w:p>
    <w:p w14:paraId="62426E8B" w14:textId="56371517" w:rsidR="00A0613F" w:rsidRPr="001D3E93" w:rsidRDefault="00A0613F" w:rsidP="00A0613F">
      <w:pPr>
        <w:spacing w:after="160" w:line="259" w:lineRule="auto"/>
        <w:rPr>
          <w:rFonts w:ascii="Verdana" w:eastAsia="Calibri" w:hAnsi="Verdana" w:cs="Arial"/>
          <w:lang w:eastAsia="en-US"/>
        </w:rPr>
      </w:pPr>
      <w:r w:rsidRPr="001D3E93">
        <w:rPr>
          <w:rFonts w:ascii="Verdana" w:eastAsia="Calibri" w:hAnsi="Verdana" w:cs="Arial"/>
          <w:lang w:val="en-US" w:eastAsia="en-US"/>
        </w:rPr>
        <w:t xml:space="preserve">Most in this group had long experience in EMDG 1.0 </w:t>
      </w:r>
      <w:r w:rsidR="008C0EC9" w:rsidRPr="001D3E93">
        <w:rPr>
          <w:rFonts w:ascii="Verdana" w:eastAsia="Calibri" w:hAnsi="Verdana" w:cs="Arial"/>
          <w:lang w:val="en-US" w:eastAsia="en-US"/>
        </w:rPr>
        <w:t xml:space="preserve">and </w:t>
      </w:r>
      <w:r w:rsidRPr="001D3E93">
        <w:rPr>
          <w:rFonts w:ascii="Verdana" w:eastAsia="Calibri" w:hAnsi="Verdana" w:cs="Arial"/>
          <w:lang w:val="en-US" w:eastAsia="en-US"/>
        </w:rPr>
        <w:t xml:space="preserve">expressed a preference to return to </w:t>
      </w:r>
      <w:r w:rsidR="006221C8" w:rsidRPr="001D3E93">
        <w:rPr>
          <w:rFonts w:ascii="Verdana" w:eastAsia="Calibri" w:hAnsi="Verdana" w:cs="Arial"/>
          <w:lang w:val="en-US" w:eastAsia="en-US"/>
        </w:rPr>
        <w:t>its</w:t>
      </w:r>
      <w:r w:rsidRPr="001D3E93">
        <w:rPr>
          <w:rFonts w:ascii="Verdana" w:eastAsia="Calibri" w:hAnsi="Verdana" w:cs="Arial"/>
          <w:lang w:val="en-US" w:eastAsia="en-US"/>
        </w:rPr>
        <w:t xml:space="preserve"> former policy settings and eligibility criteria.</w:t>
      </w:r>
      <w:r w:rsidRPr="001D3E93">
        <w:rPr>
          <w:rFonts w:ascii="Verdana" w:eastAsia="Calibri" w:hAnsi="Verdana" w:cs="Arial"/>
          <w:i/>
          <w:lang w:val="en-US" w:eastAsia="en-US"/>
        </w:rPr>
        <w:t> </w:t>
      </w:r>
    </w:p>
    <w:p w14:paraId="2997C049" w14:textId="30262945" w:rsidR="00A0613F" w:rsidRPr="001D3E93" w:rsidRDefault="00A0613F" w:rsidP="009103F8">
      <w:pPr>
        <w:numPr>
          <w:ilvl w:val="0"/>
          <w:numId w:val="31"/>
        </w:numPr>
        <w:spacing w:line="259" w:lineRule="auto"/>
        <w:ind w:left="714" w:hanging="357"/>
        <w:rPr>
          <w:rFonts w:ascii="Verdana" w:eastAsia="Calibri" w:hAnsi="Verdana" w:cs="Arial"/>
          <w:i/>
          <w:lang w:eastAsia="en-US"/>
        </w:rPr>
      </w:pPr>
      <w:r w:rsidRPr="001D3E93">
        <w:rPr>
          <w:rFonts w:ascii="Verdana" w:eastAsia="Calibri" w:hAnsi="Verdana" w:cs="Arial"/>
          <w:lang w:val="en-US" w:eastAsia="en-US"/>
        </w:rPr>
        <w:t xml:space="preserve">All grant agents who participated in consultations raised that Round 1 grant amounts did not meet expectations and were lower than requested. </w:t>
      </w:r>
    </w:p>
    <w:p w14:paraId="430A13E2" w14:textId="62A79752" w:rsidR="00C847E7" w:rsidRPr="001D3E93" w:rsidRDefault="00C847E7" w:rsidP="009103F8">
      <w:pPr>
        <w:numPr>
          <w:ilvl w:val="0"/>
          <w:numId w:val="31"/>
        </w:numPr>
        <w:spacing w:line="259" w:lineRule="auto"/>
        <w:ind w:left="714" w:hanging="357"/>
        <w:rPr>
          <w:rFonts w:ascii="Verdana" w:eastAsia="Calibri" w:hAnsi="Verdana" w:cs="Arial"/>
          <w:lang w:eastAsia="en-US"/>
        </w:rPr>
      </w:pPr>
      <w:r w:rsidRPr="001D3E93">
        <w:rPr>
          <w:rFonts w:ascii="Verdana" w:eastAsia="Calibri" w:hAnsi="Verdana" w:cs="Arial"/>
          <w:lang w:val="en-US" w:eastAsia="en-US"/>
        </w:rPr>
        <w:t xml:space="preserve">Many raised that a longer milestone reporting period would be helpful, </w:t>
      </w:r>
      <w:r w:rsidR="000B7A42" w:rsidRPr="001D3E93">
        <w:rPr>
          <w:rFonts w:ascii="Verdana" w:eastAsia="Calibri" w:hAnsi="Verdana" w:cs="Arial"/>
          <w:lang w:val="en-US" w:eastAsia="en-US"/>
        </w:rPr>
        <w:t>some suggested it could be on a “rolling” basis to allow lodgment throughout the year</w:t>
      </w:r>
      <w:r w:rsidR="00BD0E6F" w:rsidRPr="001D3E93">
        <w:rPr>
          <w:rFonts w:ascii="Verdana" w:eastAsia="Calibri" w:hAnsi="Verdana" w:cs="Arial"/>
          <w:lang w:val="en-US" w:eastAsia="en-US"/>
        </w:rPr>
        <w:t xml:space="preserve"> as a longer milestone reporting period would be helpful; and suggested the milestone report is not logical and too simple.</w:t>
      </w:r>
      <w:r w:rsidR="00BD0E6F" w:rsidRPr="001D3E93">
        <w:rPr>
          <w:rFonts w:ascii="Verdana" w:eastAsia="Calibri" w:hAnsi="Verdana" w:cs="Arial"/>
          <w:lang w:eastAsia="en-US"/>
        </w:rPr>
        <w:t> </w:t>
      </w:r>
    </w:p>
    <w:p w14:paraId="3DB878AD" w14:textId="507F0783" w:rsidR="00A0613F" w:rsidRPr="001D3E93" w:rsidRDefault="007E3185" w:rsidP="009103F8">
      <w:pPr>
        <w:numPr>
          <w:ilvl w:val="0"/>
          <w:numId w:val="31"/>
        </w:numPr>
        <w:spacing w:line="259" w:lineRule="auto"/>
        <w:ind w:left="714" w:hanging="357"/>
        <w:rPr>
          <w:rFonts w:ascii="Verdana" w:eastAsia="Calibri" w:hAnsi="Verdana" w:cs="Arial"/>
          <w:lang w:eastAsia="en-US"/>
        </w:rPr>
      </w:pPr>
      <w:r w:rsidRPr="001D3E93">
        <w:rPr>
          <w:rFonts w:ascii="Verdana" w:eastAsia="Calibri" w:hAnsi="Verdana" w:cs="Arial"/>
          <w:lang w:val="en-US" w:eastAsia="en-US"/>
        </w:rPr>
        <w:t>S</w:t>
      </w:r>
      <w:r w:rsidR="00A0613F" w:rsidRPr="001D3E93">
        <w:rPr>
          <w:rFonts w:ascii="Verdana" w:eastAsia="Calibri" w:hAnsi="Verdana" w:cs="Arial"/>
          <w:lang w:val="en-US" w:eastAsia="en-US"/>
        </w:rPr>
        <w:t xml:space="preserve">ome </w:t>
      </w:r>
      <w:r w:rsidR="008E4537" w:rsidRPr="001D3E93">
        <w:rPr>
          <w:rFonts w:ascii="Verdana" w:eastAsia="Calibri" w:hAnsi="Verdana" w:cs="Arial"/>
          <w:lang w:val="en-US" w:eastAsia="en-US"/>
        </w:rPr>
        <w:t xml:space="preserve">stakeholders </w:t>
      </w:r>
      <w:r w:rsidR="00E467EA" w:rsidRPr="001D3E93">
        <w:rPr>
          <w:rFonts w:ascii="Verdana" w:eastAsia="Calibri" w:hAnsi="Verdana" w:cs="Arial"/>
          <w:lang w:val="en-US" w:eastAsia="en-US"/>
        </w:rPr>
        <w:t>s</w:t>
      </w:r>
      <w:r w:rsidR="002B1AC1" w:rsidRPr="001D3E93">
        <w:rPr>
          <w:rFonts w:ascii="Verdana" w:eastAsia="Calibri" w:hAnsi="Verdana" w:cs="Arial"/>
          <w:lang w:val="en-US" w:eastAsia="en-US"/>
        </w:rPr>
        <w:t>aid</w:t>
      </w:r>
      <w:r w:rsidR="00E467EA" w:rsidRPr="001D3E93">
        <w:rPr>
          <w:rFonts w:ascii="Verdana" w:eastAsia="Calibri" w:hAnsi="Verdana" w:cs="Arial"/>
          <w:lang w:val="en-US" w:eastAsia="en-US"/>
        </w:rPr>
        <w:t xml:space="preserve"> that there were </w:t>
      </w:r>
      <w:r w:rsidR="00A0613F" w:rsidRPr="001D3E93">
        <w:rPr>
          <w:rFonts w:ascii="Verdana" w:eastAsia="Calibri" w:hAnsi="Verdana" w:cs="Arial"/>
          <w:lang w:val="en-US" w:eastAsia="en-US"/>
        </w:rPr>
        <w:t xml:space="preserve">instances of incorrect advice </w:t>
      </w:r>
      <w:r w:rsidR="00292A26" w:rsidRPr="001D3E93">
        <w:rPr>
          <w:rFonts w:ascii="Verdana" w:eastAsia="Calibri" w:hAnsi="Verdana" w:cs="Arial"/>
          <w:lang w:val="en-US" w:eastAsia="en-US"/>
        </w:rPr>
        <w:t xml:space="preserve">given </w:t>
      </w:r>
      <w:r w:rsidR="00A0613F" w:rsidRPr="001D3E93">
        <w:rPr>
          <w:rFonts w:ascii="Verdana" w:eastAsia="Calibri" w:hAnsi="Verdana" w:cs="Arial"/>
          <w:lang w:val="en-US" w:eastAsia="en-US"/>
        </w:rPr>
        <w:t>to client</w:t>
      </w:r>
      <w:r w:rsidRPr="001D3E93">
        <w:rPr>
          <w:rFonts w:ascii="Verdana" w:eastAsia="Calibri" w:hAnsi="Verdana" w:cs="Arial"/>
          <w:lang w:val="en-US" w:eastAsia="en-US"/>
        </w:rPr>
        <w:t>s, and lack of clarity provided to applicants</w:t>
      </w:r>
      <w:r w:rsidR="00A0613F" w:rsidRPr="001D3E93">
        <w:rPr>
          <w:rFonts w:ascii="Verdana" w:eastAsia="Calibri" w:hAnsi="Verdana" w:cs="Arial"/>
          <w:lang w:val="en-US" w:eastAsia="en-US"/>
        </w:rPr>
        <w:t xml:space="preserve">. </w:t>
      </w:r>
    </w:p>
    <w:p w14:paraId="1F6E90A5" w14:textId="7D867675" w:rsidR="000473A6" w:rsidRPr="001D3E93" w:rsidRDefault="000473A6" w:rsidP="009103F8">
      <w:pPr>
        <w:numPr>
          <w:ilvl w:val="0"/>
          <w:numId w:val="31"/>
        </w:numPr>
        <w:spacing w:line="259" w:lineRule="auto"/>
        <w:ind w:left="714" w:hanging="357"/>
        <w:rPr>
          <w:rFonts w:ascii="Verdana" w:eastAsia="Calibri" w:hAnsi="Verdana" w:cs="Arial"/>
          <w:lang w:eastAsia="en-US"/>
        </w:rPr>
      </w:pPr>
      <w:r w:rsidRPr="001D3E93">
        <w:rPr>
          <w:rFonts w:ascii="Verdana" w:eastAsia="Calibri" w:hAnsi="Verdana" w:cs="Arial"/>
          <w:lang w:val="en-US" w:eastAsia="en-US"/>
        </w:rPr>
        <w:t>Grant agents suggested that the plan to market and forecasting le</w:t>
      </w:r>
      <w:r w:rsidR="00292A26" w:rsidRPr="001D3E93">
        <w:rPr>
          <w:rFonts w:ascii="Verdana" w:eastAsia="Calibri" w:hAnsi="Verdana" w:cs="Arial"/>
          <w:lang w:val="en-US" w:eastAsia="en-US"/>
        </w:rPr>
        <w:t>a</w:t>
      </w:r>
      <w:r w:rsidRPr="001D3E93">
        <w:rPr>
          <w:rFonts w:ascii="Verdana" w:eastAsia="Calibri" w:hAnsi="Verdana" w:cs="Arial"/>
          <w:lang w:val="en-US" w:eastAsia="en-US"/>
        </w:rPr>
        <w:t>d</w:t>
      </w:r>
      <w:r w:rsidR="00292A26" w:rsidRPr="001D3E93">
        <w:rPr>
          <w:rFonts w:ascii="Verdana" w:eastAsia="Calibri" w:hAnsi="Verdana" w:cs="Arial"/>
          <w:lang w:val="en-US" w:eastAsia="en-US"/>
        </w:rPr>
        <w:t>s</w:t>
      </w:r>
      <w:r w:rsidRPr="001D3E93">
        <w:rPr>
          <w:rFonts w:ascii="Verdana" w:eastAsia="Calibri" w:hAnsi="Verdana" w:cs="Arial"/>
          <w:lang w:val="en-US" w:eastAsia="en-US"/>
        </w:rPr>
        <w:t xml:space="preserve"> to guesswork and ambiguity. They noted it is difficult to accurately advise </w:t>
      </w:r>
      <w:r w:rsidR="006221C8" w:rsidRPr="001D3E93">
        <w:rPr>
          <w:rFonts w:ascii="Verdana" w:eastAsia="Calibri" w:hAnsi="Verdana" w:cs="Arial"/>
          <w:lang w:val="en-US" w:eastAsia="en-US"/>
        </w:rPr>
        <w:t>clients.</w:t>
      </w:r>
      <w:r w:rsidRPr="001D3E93">
        <w:rPr>
          <w:rFonts w:ascii="Verdana" w:eastAsia="Calibri" w:hAnsi="Verdana" w:cs="Arial"/>
          <w:lang w:val="en-US" w:eastAsia="en-US"/>
        </w:rPr>
        <w:t xml:space="preserve"> </w:t>
      </w:r>
    </w:p>
    <w:p w14:paraId="383CB0CD" w14:textId="77777777" w:rsidR="00FF5AC3" w:rsidRPr="001D3E93" w:rsidRDefault="000473A6" w:rsidP="009103F8">
      <w:pPr>
        <w:numPr>
          <w:ilvl w:val="0"/>
          <w:numId w:val="31"/>
        </w:numPr>
        <w:spacing w:line="259" w:lineRule="auto"/>
        <w:ind w:left="714" w:hanging="357"/>
        <w:rPr>
          <w:rFonts w:ascii="Verdana" w:eastAsia="Calibri" w:hAnsi="Verdana" w:cs="Arial"/>
          <w:i/>
          <w:iCs/>
          <w:lang w:eastAsia="en-US"/>
        </w:rPr>
      </w:pPr>
      <w:r w:rsidRPr="001D3E93">
        <w:rPr>
          <w:rFonts w:ascii="Verdana" w:eastAsia="Calibri" w:hAnsi="Verdana" w:cs="Arial"/>
          <w:lang w:val="en-US" w:eastAsia="en-US"/>
        </w:rPr>
        <w:t>Many of the suggestions from grant agents were a re-statement of the more complex settings of the old EMDG 1.0 scheme. Suggestions included</w:t>
      </w:r>
      <w:r w:rsidR="00E55E93" w:rsidRPr="001D3E93">
        <w:rPr>
          <w:rFonts w:ascii="Verdana" w:eastAsia="Calibri" w:hAnsi="Verdana" w:cs="Arial"/>
          <w:lang w:eastAsia="en-US"/>
        </w:rPr>
        <w:t xml:space="preserve"> reinstating:</w:t>
      </w:r>
      <w:r w:rsidRPr="001D3E93">
        <w:rPr>
          <w:rFonts w:ascii="Verdana" w:eastAsia="Calibri" w:hAnsi="Verdana" w:cs="Arial"/>
          <w:lang w:val="en-US" w:eastAsia="en-US"/>
        </w:rPr>
        <w:t xml:space="preserve"> </w:t>
      </w:r>
      <w:r w:rsidR="00E55E93" w:rsidRPr="001D3E93">
        <w:rPr>
          <w:rFonts w:ascii="Verdana" w:eastAsia="Calibri" w:hAnsi="Verdana" w:cs="Arial"/>
          <w:lang w:val="en-US" w:eastAsia="en-US"/>
        </w:rPr>
        <w:t xml:space="preserve">the </w:t>
      </w:r>
      <w:r w:rsidRPr="001D3E93">
        <w:rPr>
          <w:rFonts w:ascii="Verdana" w:eastAsia="Calibri" w:hAnsi="Verdana" w:cs="Arial"/>
          <w:lang w:val="en-US" w:eastAsia="en-US"/>
        </w:rPr>
        <w:t>export earnings test</w:t>
      </w:r>
      <w:r w:rsidR="00372902" w:rsidRPr="001D3E93">
        <w:rPr>
          <w:rFonts w:ascii="Verdana" w:eastAsia="Calibri" w:hAnsi="Verdana" w:cs="Arial"/>
          <w:lang w:val="en-US" w:eastAsia="en-US"/>
        </w:rPr>
        <w:t xml:space="preserve">, </w:t>
      </w:r>
      <w:r w:rsidRPr="001D3E93">
        <w:rPr>
          <w:rFonts w:ascii="Verdana" w:eastAsia="Calibri" w:hAnsi="Verdana" w:cs="Arial"/>
          <w:lang w:val="en-US" w:eastAsia="en-US"/>
        </w:rPr>
        <w:t xml:space="preserve">the </w:t>
      </w:r>
      <w:r w:rsidR="00372902" w:rsidRPr="001D3E93">
        <w:rPr>
          <w:rFonts w:ascii="Verdana" w:eastAsia="Calibri" w:hAnsi="Verdana" w:cs="Arial"/>
          <w:lang w:val="en-US" w:eastAsia="en-US"/>
        </w:rPr>
        <w:t xml:space="preserve">$15,000 </w:t>
      </w:r>
      <w:r w:rsidRPr="001D3E93">
        <w:rPr>
          <w:rFonts w:ascii="Verdana" w:eastAsia="Calibri" w:hAnsi="Verdana" w:cs="Arial"/>
          <w:lang w:val="en-US" w:eastAsia="en-US"/>
        </w:rPr>
        <w:t>minimum spend threshold</w:t>
      </w:r>
      <w:r w:rsidR="00372902" w:rsidRPr="001D3E93">
        <w:rPr>
          <w:rFonts w:ascii="Verdana" w:eastAsia="Calibri" w:hAnsi="Verdana" w:cs="Arial"/>
          <w:lang w:val="en-US" w:eastAsia="en-US"/>
        </w:rPr>
        <w:t>,</w:t>
      </w:r>
      <w:r w:rsidRPr="001D3E93">
        <w:rPr>
          <w:rFonts w:ascii="Verdana" w:eastAsia="Calibri" w:hAnsi="Verdana" w:cs="Arial"/>
          <w:lang w:val="en-US" w:eastAsia="en-US"/>
        </w:rPr>
        <w:t> </w:t>
      </w:r>
      <w:r w:rsidRPr="001D3E93">
        <w:rPr>
          <w:rFonts w:ascii="Verdana" w:eastAsia="Calibri" w:hAnsi="Verdana" w:cs="Arial"/>
          <w:lang w:eastAsia="en-US"/>
        </w:rPr>
        <w:t xml:space="preserve">an </w:t>
      </w:r>
      <w:r w:rsidRPr="001D3E93">
        <w:rPr>
          <w:rFonts w:ascii="Verdana" w:eastAsia="Calibri" w:hAnsi="Verdana" w:cs="Arial"/>
          <w:lang w:val="en-US" w:eastAsia="en-US"/>
        </w:rPr>
        <w:t xml:space="preserve">intellectual property (IP) definition, </w:t>
      </w:r>
      <w:r w:rsidR="00372902" w:rsidRPr="001D3E93">
        <w:rPr>
          <w:rFonts w:ascii="Verdana" w:eastAsia="Calibri" w:hAnsi="Verdana" w:cs="Arial"/>
          <w:lang w:val="en-US" w:eastAsia="en-US"/>
        </w:rPr>
        <w:t>the</w:t>
      </w:r>
      <w:r w:rsidR="001D5917" w:rsidRPr="001D3E93">
        <w:rPr>
          <w:rFonts w:ascii="Verdana" w:eastAsia="Calibri" w:hAnsi="Verdana" w:cs="Arial"/>
          <w:lang w:val="en-US" w:eastAsia="en-US"/>
        </w:rPr>
        <w:t xml:space="preserve"> </w:t>
      </w:r>
      <w:r w:rsidRPr="001D3E93">
        <w:rPr>
          <w:rFonts w:ascii="Verdana" w:eastAsia="Calibri" w:hAnsi="Verdana" w:cs="Arial"/>
          <w:lang w:val="en-US" w:eastAsia="en-US"/>
        </w:rPr>
        <w:t>‘exclusive’ IP license; expense caps (for example $50,000 on IP)</w:t>
      </w:r>
      <w:r w:rsidR="0008683A" w:rsidRPr="001D3E93">
        <w:rPr>
          <w:rFonts w:ascii="Verdana" w:eastAsia="Calibri" w:hAnsi="Verdana" w:cs="Arial"/>
          <w:lang w:val="en-US" w:eastAsia="en-US"/>
        </w:rPr>
        <w:t>,</w:t>
      </w:r>
      <w:r w:rsidRPr="001D3E93">
        <w:rPr>
          <w:rFonts w:ascii="Verdana" w:eastAsia="Calibri" w:hAnsi="Verdana" w:cs="Arial"/>
          <w:lang w:val="en-US" w:eastAsia="en-US"/>
        </w:rPr>
        <w:t xml:space="preserve"> grant payments to third parties</w:t>
      </w:r>
      <w:r w:rsidR="0008683A" w:rsidRPr="001D3E93">
        <w:rPr>
          <w:rFonts w:ascii="Verdana" w:eastAsia="Calibri" w:hAnsi="Verdana" w:cs="Arial"/>
          <w:lang w:val="en-US" w:eastAsia="en-US"/>
        </w:rPr>
        <w:t>,</w:t>
      </w:r>
      <w:r w:rsidRPr="001D3E93">
        <w:rPr>
          <w:rFonts w:ascii="Verdana" w:eastAsia="Calibri" w:hAnsi="Verdana" w:cs="Arial"/>
          <w:lang w:val="en-US" w:eastAsia="en-US"/>
        </w:rPr>
        <w:t xml:space="preserve"> </w:t>
      </w:r>
      <w:r w:rsidRPr="001D3E93">
        <w:rPr>
          <w:rFonts w:ascii="Verdana" w:eastAsia="Calibri" w:hAnsi="Verdana" w:cs="Arial"/>
          <w:lang w:eastAsia="en-US"/>
        </w:rPr>
        <w:t xml:space="preserve">and </w:t>
      </w:r>
      <w:r w:rsidRPr="001D3E93">
        <w:rPr>
          <w:rFonts w:ascii="Verdana" w:eastAsia="Calibri" w:hAnsi="Verdana" w:cs="Arial"/>
          <w:lang w:val="en-US" w:eastAsia="en-US"/>
        </w:rPr>
        <w:t>the information required under EMDG 1.0 due to their perceived ‘higher risk of fraud’</w:t>
      </w:r>
      <w:r w:rsidRPr="001D3E93">
        <w:rPr>
          <w:rFonts w:ascii="Verdana" w:eastAsia="Calibri" w:hAnsi="Verdana" w:cs="Arial"/>
          <w:vertAlign w:val="superscript"/>
          <w:lang w:val="en-US" w:eastAsia="en-US"/>
        </w:rPr>
        <w:footnoteReference w:id="6"/>
      </w:r>
      <w:r w:rsidRPr="001D3E93">
        <w:rPr>
          <w:rFonts w:ascii="Verdana" w:eastAsia="Calibri" w:hAnsi="Verdana" w:cs="Arial"/>
          <w:lang w:val="en-US" w:eastAsia="en-US"/>
        </w:rPr>
        <w:t>.</w:t>
      </w:r>
      <w:r w:rsidR="008C28D8" w:rsidRPr="001D3E93">
        <w:rPr>
          <w:rFonts w:ascii="Verdana" w:eastAsia="Calibri" w:hAnsi="Verdana" w:cs="Arial"/>
          <w:lang w:val="en-US" w:eastAsia="en-US"/>
        </w:rPr>
        <w:t xml:space="preserve"> </w:t>
      </w:r>
    </w:p>
    <w:p w14:paraId="4D67BA9A" w14:textId="38F2087F" w:rsidR="000473A6" w:rsidRPr="001D3E93" w:rsidRDefault="008C28D8" w:rsidP="00A40815">
      <w:pPr>
        <w:numPr>
          <w:ilvl w:val="1"/>
          <w:numId w:val="31"/>
        </w:numPr>
        <w:spacing w:line="259" w:lineRule="auto"/>
        <w:rPr>
          <w:rFonts w:ascii="Verdana" w:eastAsia="Calibri" w:hAnsi="Verdana" w:cs="Arial"/>
          <w:i/>
          <w:iCs/>
          <w:lang w:eastAsia="en-US"/>
        </w:rPr>
      </w:pPr>
      <w:r w:rsidRPr="001D3E93">
        <w:rPr>
          <w:rFonts w:ascii="Verdana" w:eastAsia="Calibri" w:hAnsi="Verdana" w:cs="Arial"/>
          <w:lang w:val="en-US" w:eastAsia="en-US"/>
        </w:rPr>
        <w:t xml:space="preserve">One agent commented: </w:t>
      </w:r>
      <w:r w:rsidR="000473A6" w:rsidRPr="001D3E93">
        <w:rPr>
          <w:rFonts w:ascii="Verdana" w:eastAsia="Calibri" w:hAnsi="Verdana" w:cs="Arial"/>
          <w:i/>
          <w:iCs/>
          <w:lang w:val="en-US" w:eastAsia="en-US"/>
        </w:rPr>
        <w:t>“EMDG 2.0 has become too loose, so just anyone can apply, dilutes its value</w:t>
      </w:r>
      <w:r w:rsidR="00835E56" w:rsidRPr="001D3E93">
        <w:rPr>
          <w:rFonts w:ascii="Verdana" w:eastAsia="Calibri" w:hAnsi="Verdana" w:cs="Arial"/>
          <w:i/>
          <w:iCs/>
          <w:lang w:val="en-US" w:eastAsia="en-US"/>
        </w:rPr>
        <w:t>.”</w:t>
      </w:r>
    </w:p>
    <w:p w14:paraId="68FA5B9D" w14:textId="1AD96342" w:rsidR="00A0613F" w:rsidRPr="001D3E93" w:rsidRDefault="00A0613F" w:rsidP="00A0613F">
      <w:pPr>
        <w:spacing w:after="160" w:line="259" w:lineRule="auto"/>
        <w:rPr>
          <w:rFonts w:ascii="Verdana" w:eastAsia="Calibri" w:hAnsi="Verdana" w:cs="Arial"/>
          <w:i/>
          <w:lang w:val="en-US" w:eastAsia="en-US"/>
        </w:rPr>
      </w:pPr>
      <w:r w:rsidRPr="001D3E93">
        <w:rPr>
          <w:rFonts w:ascii="Verdana" w:eastAsia="Calibri" w:hAnsi="Verdana" w:cs="Arial"/>
          <w:i/>
          <w:lang w:val="en-US" w:eastAsia="en-US"/>
        </w:rPr>
        <w:t xml:space="preserve">Note that following Round 1, in light of feedback received, Austrade took steps to expand and improve communications ahead of Round 2. </w:t>
      </w:r>
    </w:p>
    <w:p w14:paraId="20C1A35C" w14:textId="77777777" w:rsidR="005C6E75" w:rsidRPr="001D3E93" w:rsidRDefault="005C6E75" w:rsidP="00A0613F">
      <w:pPr>
        <w:spacing w:after="160" w:line="259" w:lineRule="auto"/>
        <w:rPr>
          <w:rFonts w:ascii="Verdana" w:eastAsia="Calibri" w:hAnsi="Verdana" w:cs="Arial"/>
          <w:i/>
          <w:lang w:val="en-US" w:eastAsia="en-US"/>
        </w:rPr>
      </w:pPr>
    </w:p>
    <w:p w14:paraId="67997CE9" w14:textId="09BA40D5" w:rsidR="00A0613F" w:rsidRPr="001D3E93" w:rsidRDefault="007A6495">
      <w:pPr>
        <w:pStyle w:val="Heading3"/>
        <w:rPr>
          <w:b w:val="0"/>
          <w:bCs w:val="0"/>
          <w:sz w:val="24"/>
          <w:szCs w:val="24"/>
          <w:lang w:val="en-US" w:eastAsia="en-US"/>
        </w:rPr>
      </w:pPr>
      <w:bookmarkStart w:id="256" w:name="_Toc118370913"/>
      <w:bookmarkStart w:id="257" w:name="_Toc118385810"/>
      <w:bookmarkStart w:id="258" w:name="_Toc118385933"/>
      <w:bookmarkStart w:id="259" w:name="_Toc120547717"/>
      <w:bookmarkStart w:id="260" w:name="_Toc124433384"/>
      <w:r w:rsidRPr="001D3E93">
        <w:rPr>
          <w:b w:val="0"/>
          <w:bCs w:val="0"/>
          <w:caps w:val="0"/>
          <w:sz w:val="24"/>
          <w:szCs w:val="24"/>
          <w:lang w:val="en-US" w:eastAsia="en-US"/>
        </w:rPr>
        <w:t>What we heard: Representative Bodies</w:t>
      </w:r>
      <w:bookmarkEnd w:id="256"/>
      <w:bookmarkEnd w:id="257"/>
      <w:bookmarkEnd w:id="258"/>
      <w:bookmarkEnd w:id="259"/>
      <w:bookmarkEnd w:id="260"/>
      <w:r w:rsidRPr="001D3E93">
        <w:rPr>
          <w:b w:val="0"/>
          <w:bCs w:val="0"/>
          <w:caps w:val="0"/>
          <w:sz w:val="24"/>
          <w:szCs w:val="24"/>
          <w:lang w:val="en-US" w:eastAsia="en-US"/>
        </w:rPr>
        <w:t xml:space="preserve"> </w:t>
      </w:r>
    </w:p>
    <w:p w14:paraId="0659DF8C" w14:textId="77777777" w:rsidR="00A0613F" w:rsidRPr="00A3430B" w:rsidRDefault="00A0613F">
      <w:pPr>
        <w:pStyle w:val="Heading4"/>
        <w:rPr>
          <w:b w:val="0"/>
          <w:bCs w:val="0"/>
        </w:rPr>
      </w:pPr>
      <w:r w:rsidRPr="00A3430B">
        <w:rPr>
          <w:b w:val="0"/>
          <w:bCs w:val="0"/>
          <w:sz w:val="22"/>
          <w:szCs w:val="22"/>
        </w:rPr>
        <w:t>Consultations (3 meetings)</w:t>
      </w:r>
    </w:p>
    <w:p w14:paraId="40E1BCB9" w14:textId="77777777" w:rsidR="00A0613F" w:rsidRPr="001D3E93" w:rsidRDefault="00A0613F" w:rsidP="00A0613F">
      <w:pPr>
        <w:spacing w:after="160" w:line="259" w:lineRule="auto"/>
        <w:rPr>
          <w:rFonts w:ascii="Verdana" w:eastAsia="Calibri" w:hAnsi="Verdana" w:cs="Arial"/>
          <w:lang w:eastAsia="en-US"/>
        </w:rPr>
      </w:pPr>
      <w:r w:rsidRPr="001D3E93">
        <w:rPr>
          <w:rFonts w:ascii="Verdana" w:eastAsia="Calibri" w:hAnsi="Verdana" w:cs="Arial"/>
          <w:lang w:val="en-US" w:eastAsia="en-US"/>
        </w:rPr>
        <w:t>The key theme emerging from the consultations from Representative Bodies was that they were positive about the new EMDG 2.0 program and that upfront knowledge of the grant amount was beneficial to their business type.</w:t>
      </w:r>
    </w:p>
    <w:p w14:paraId="2F11EE42" w14:textId="07BF28B2" w:rsidR="00A0613F" w:rsidRPr="001D3E93" w:rsidRDefault="00A0613F" w:rsidP="009103F8">
      <w:pPr>
        <w:numPr>
          <w:ilvl w:val="0"/>
          <w:numId w:val="34"/>
        </w:numPr>
        <w:spacing w:line="259" w:lineRule="auto"/>
        <w:ind w:left="714" w:hanging="357"/>
        <w:rPr>
          <w:rFonts w:ascii="Verdana" w:eastAsia="Calibri" w:hAnsi="Verdana" w:cs="Arial"/>
          <w:lang w:eastAsia="en-US"/>
        </w:rPr>
      </w:pPr>
      <w:r w:rsidRPr="001D3E93">
        <w:rPr>
          <w:rFonts w:ascii="Verdana" w:eastAsia="Calibri" w:hAnsi="Verdana" w:cs="Arial"/>
          <w:lang w:eastAsia="en-US"/>
        </w:rPr>
        <w:t>Some said it takes time to develop relationships and suggested that for their clients</w:t>
      </w:r>
      <w:r w:rsidR="000F7FB1" w:rsidRPr="001D3E93">
        <w:rPr>
          <w:rFonts w:ascii="Verdana" w:eastAsia="Calibri" w:hAnsi="Verdana" w:cs="Arial"/>
          <w:lang w:eastAsia="en-US"/>
        </w:rPr>
        <w:t>/members</w:t>
      </w:r>
      <w:r w:rsidRPr="001D3E93">
        <w:rPr>
          <w:rFonts w:ascii="Verdana" w:eastAsia="Calibri" w:hAnsi="Verdana" w:cs="Arial"/>
          <w:lang w:eastAsia="en-US"/>
        </w:rPr>
        <w:t xml:space="preserve">, the 8-year grant cap could be longer. </w:t>
      </w:r>
    </w:p>
    <w:p w14:paraId="5DEE26C7" w14:textId="3FA4C5BB" w:rsidR="00A0613F" w:rsidRPr="001D3E93" w:rsidRDefault="00A0613F" w:rsidP="009103F8">
      <w:pPr>
        <w:numPr>
          <w:ilvl w:val="0"/>
          <w:numId w:val="34"/>
        </w:numPr>
        <w:spacing w:line="259" w:lineRule="auto"/>
        <w:ind w:left="714" w:hanging="357"/>
        <w:rPr>
          <w:rFonts w:ascii="Verdana" w:eastAsia="Calibri" w:hAnsi="Verdana" w:cs="Arial"/>
          <w:lang w:eastAsia="en-US"/>
        </w:rPr>
      </w:pPr>
      <w:r w:rsidRPr="001D3E93">
        <w:rPr>
          <w:rFonts w:ascii="Verdana" w:eastAsia="Calibri" w:hAnsi="Verdana" w:cs="Arial"/>
          <w:lang w:eastAsia="en-US"/>
        </w:rPr>
        <w:t>They noted the change from EMDG 1.0 to EMDG 2.0 was managed well by Austrade</w:t>
      </w:r>
      <w:r w:rsidR="006A2811" w:rsidRPr="001D3E93">
        <w:rPr>
          <w:rFonts w:ascii="Verdana" w:eastAsia="Calibri" w:hAnsi="Verdana" w:cs="Arial"/>
          <w:lang w:eastAsia="en-US"/>
        </w:rPr>
        <w:t>.</w:t>
      </w:r>
    </w:p>
    <w:p w14:paraId="2F427173" w14:textId="77777777" w:rsidR="005C6E75" w:rsidRPr="001D3E93" w:rsidRDefault="005C6E75" w:rsidP="005C6E75">
      <w:pPr>
        <w:spacing w:line="259" w:lineRule="auto"/>
        <w:ind w:left="714"/>
        <w:rPr>
          <w:rFonts w:ascii="Verdana" w:eastAsia="Calibri" w:hAnsi="Verdana" w:cs="Arial"/>
          <w:lang w:eastAsia="en-US"/>
        </w:rPr>
      </w:pPr>
    </w:p>
    <w:p w14:paraId="1452811A" w14:textId="23B768AD" w:rsidR="00A0613F" w:rsidRPr="001D3E93" w:rsidRDefault="009B74FC">
      <w:pPr>
        <w:pStyle w:val="Heading3"/>
        <w:rPr>
          <w:b w:val="0"/>
          <w:bCs w:val="0"/>
          <w:sz w:val="24"/>
          <w:szCs w:val="24"/>
          <w:lang w:val="en-US" w:eastAsia="en-US"/>
        </w:rPr>
      </w:pPr>
      <w:bookmarkStart w:id="261" w:name="_Toc118370914"/>
      <w:bookmarkStart w:id="262" w:name="_Toc118385811"/>
      <w:bookmarkStart w:id="263" w:name="_Toc118385934"/>
      <w:bookmarkStart w:id="264" w:name="_Toc120547718"/>
      <w:bookmarkStart w:id="265" w:name="_Toc124433385"/>
      <w:r w:rsidRPr="001D3E93">
        <w:rPr>
          <w:b w:val="0"/>
          <w:bCs w:val="0"/>
          <w:caps w:val="0"/>
          <w:sz w:val="24"/>
          <w:szCs w:val="24"/>
          <w:lang w:val="en-US" w:eastAsia="en-US"/>
        </w:rPr>
        <w:t>What we heard: peak and industry bodies</w:t>
      </w:r>
      <w:bookmarkEnd w:id="261"/>
      <w:bookmarkEnd w:id="262"/>
      <w:bookmarkEnd w:id="263"/>
      <w:bookmarkEnd w:id="264"/>
      <w:bookmarkEnd w:id="265"/>
      <w:r w:rsidRPr="001D3E93">
        <w:rPr>
          <w:b w:val="0"/>
          <w:bCs w:val="0"/>
          <w:caps w:val="0"/>
          <w:sz w:val="24"/>
          <w:szCs w:val="24"/>
          <w:lang w:val="en-US" w:eastAsia="en-US"/>
        </w:rPr>
        <w:t> </w:t>
      </w:r>
    </w:p>
    <w:p w14:paraId="3C2F8FFF" w14:textId="3D6B0738"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Overall peak and industry peak bodies were supportive of EMDG 2.0 and provided statements of support. </w:t>
      </w:r>
    </w:p>
    <w:p w14:paraId="612C4B7E" w14:textId="762D75C9" w:rsidR="005C037B" w:rsidRPr="001D3E93" w:rsidRDefault="005C037B" w:rsidP="005C037B">
      <w:pPr>
        <w:spacing w:after="160" w:line="259" w:lineRule="auto"/>
        <w:rPr>
          <w:rFonts w:ascii="Verdana" w:eastAsia="Calibri" w:hAnsi="Verdana" w:cs="Arial"/>
          <w:iCs/>
          <w:lang w:eastAsia="en-US"/>
        </w:rPr>
      </w:pPr>
      <w:r w:rsidRPr="001D3E93">
        <w:rPr>
          <w:rFonts w:ascii="Verdana" w:eastAsia="Calibri" w:hAnsi="Verdana" w:cs="Arial"/>
          <w:iCs/>
          <w:lang w:eastAsia="en-US"/>
        </w:rPr>
        <w:t>Louise McGrath, Head of Industry Development and Policy at The Australian Industry Group pro</w:t>
      </w:r>
      <w:r w:rsidR="00716280" w:rsidRPr="001D3E93">
        <w:rPr>
          <w:rFonts w:ascii="Verdana" w:eastAsia="Calibri" w:hAnsi="Verdana" w:cs="Arial"/>
          <w:iCs/>
          <w:lang w:eastAsia="en-US"/>
        </w:rPr>
        <w:t xml:space="preserve">vided the following statement: </w:t>
      </w:r>
    </w:p>
    <w:p w14:paraId="07B40368" w14:textId="2AD1F14C" w:rsidR="00A0613F" w:rsidRPr="001D3E93" w:rsidRDefault="00A0613F" w:rsidP="00A0613F">
      <w:pPr>
        <w:spacing w:after="160" w:line="259" w:lineRule="auto"/>
        <w:rPr>
          <w:rFonts w:ascii="Verdana" w:eastAsia="Calibri" w:hAnsi="Verdana" w:cs="Arial"/>
          <w:iCs/>
          <w:lang w:eastAsia="en-US"/>
        </w:rPr>
      </w:pPr>
      <w:r w:rsidRPr="001D3E93">
        <w:rPr>
          <w:rFonts w:ascii="Verdana" w:eastAsia="Calibri" w:hAnsi="Verdana" w:cs="Arial"/>
          <w:iCs/>
          <w:lang w:val="en-US" w:eastAsia="en-US"/>
        </w:rPr>
        <w:t>T</w:t>
      </w:r>
      <w:r w:rsidRPr="001D3E93">
        <w:rPr>
          <w:rFonts w:ascii="Verdana" w:eastAsia="Calibri" w:hAnsi="Verdana" w:cs="Arial"/>
          <w:iCs/>
          <w:lang w:eastAsia="en-US"/>
        </w:rPr>
        <w:t xml:space="preserve">he Export Market Development Grants scheme (EMDG) plays an important role in encouraging small and medium-sized businesses to export new products and services, and to reduce the risks associated with accessing new markets. In the current environment of </w:t>
      </w:r>
      <w:r w:rsidRPr="001D3E93">
        <w:rPr>
          <w:rFonts w:ascii="Verdana" w:eastAsia="Calibri" w:hAnsi="Verdana" w:cs="Arial"/>
          <w:iCs/>
          <w:lang w:eastAsia="en-US"/>
        </w:rPr>
        <w:lastRenderedPageBreak/>
        <w:t>uncertainty in international markets, exporters count on the EMDG scheme to support their efforts to promote Australian products around the world. Many household names exist today because of the confidence they derived from knowing that the Australian Government was backing their international ambitions</w:t>
      </w:r>
      <w:r w:rsidR="008A4465" w:rsidRPr="001D3E93">
        <w:rPr>
          <w:rFonts w:ascii="Verdana" w:eastAsia="Calibri" w:hAnsi="Verdana" w:cs="Arial"/>
          <w:iCs/>
          <w:lang w:eastAsia="en-US"/>
        </w:rPr>
        <w:t>.</w:t>
      </w:r>
    </w:p>
    <w:p w14:paraId="705D449B" w14:textId="347B3C93" w:rsidR="00716280" w:rsidRPr="001D3E93" w:rsidRDefault="00716280" w:rsidP="00A0613F">
      <w:pPr>
        <w:spacing w:after="160" w:line="259" w:lineRule="auto"/>
        <w:rPr>
          <w:rFonts w:ascii="Verdana" w:eastAsia="Calibri" w:hAnsi="Verdana" w:cs="Arial"/>
          <w:iCs/>
          <w:lang w:eastAsia="en-US"/>
        </w:rPr>
      </w:pPr>
      <w:r w:rsidRPr="001D3E93">
        <w:rPr>
          <w:rFonts w:ascii="Verdana" w:eastAsia="Calibri" w:hAnsi="Verdana" w:cs="Arial"/>
          <w:iCs/>
          <w:lang w:eastAsia="en-US"/>
        </w:rPr>
        <w:t>Chris Barnes, Head of Trade and International Affairs at the Australian Chamber of Commerce and Industry (ACCI) provided the following statement:</w:t>
      </w:r>
    </w:p>
    <w:p w14:paraId="31AA4CC8" w14:textId="6BE5F7B8" w:rsidR="00A0613F" w:rsidRPr="001D3E93" w:rsidRDefault="00A0613F" w:rsidP="00A0613F">
      <w:pPr>
        <w:spacing w:after="160" w:line="259" w:lineRule="auto"/>
        <w:rPr>
          <w:rFonts w:ascii="Verdana" w:eastAsia="Calibri" w:hAnsi="Verdana" w:cs="Arial"/>
          <w:iCs/>
          <w:lang w:eastAsia="en-US"/>
        </w:rPr>
      </w:pPr>
      <w:r w:rsidRPr="001D3E93">
        <w:rPr>
          <w:rFonts w:ascii="Verdana" w:eastAsia="Calibri" w:hAnsi="Verdana" w:cs="Arial"/>
          <w:iCs/>
          <w:lang w:eastAsia="en-US"/>
        </w:rPr>
        <w:t>Exporters value the EMDG scheme and want it to be robust and fit-for-purpose to meet the challenges and opportunities in the current and future business environments. For decades, exporters have relied on the EMDG scheme. Never has this been more important as Australian business seeks to diversify its export markets.</w:t>
      </w:r>
    </w:p>
    <w:p w14:paraId="5C9DDAF8" w14:textId="77777777" w:rsidR="00716280" w:rsidRPr="001D3E93" w:rsidRDefault="00716280" w:rsidP="00A0613F">
      <w:pPr>
        <w:spacing w:after="160" w:line="259" w:lineRule="auto"/>
        <w:rPr>
          <w:rFonts w:ascii="Verdana" w:eastAsia="Calibri" w:hAnsi="Verdana" w:cs="Arial"/>
          <w:iCs/>
          <w:lang w:eastAsia="en-US"/>
        </w:rPr>
      </w:pPr>
    </w:p>
    <w:p w14:paraId="4016820B" w14:textId="2F91EEAE" w:rsidR="00A0613F" w:rsidRPr="001D3E93" w:rsidRDefault="005C41A8">
      <w:pPr>
        <w:pStyle w:val="Heading3"/>
        <w:rPr>
          <w:b w:val="0"/>
          <w:bCs w:val="0"/>
          <w:i/>
          <w:sz w:val="24"/>
          <w:szCs w:val="24"/>
          <w:lang w:val="en-US" w:eastAsia="en-US"/>
        </w:rPr>
      </w:pPr>
      <w:bookmarkStart w:id="266" w:name="_Toc118370915"/>
      <w:bookmarkStart w:id="267" w:name="_Toc118385812"/>
      <w:bookmarkStart w:id="268" w:name="_Toc118385935"/>
      <w:bookmarkStart w:id="269" w:name="_Toc120547719"/>
      <w:bookmarkStart w:id="270" w:name="_Toc124433386"/>
      <w:r w:rsidRPr="001D3E93">
        <w:rPr>
          <w:b w:val="0"/>
          <w:bCs w:val="0"/>
          <w:caps w:val="0"/>
          <w:sz w:val="24"/>
          <w:szCs w:val="24"/>
          <w:lang w:val="en-US" w:eastAsia="en-US"/>
        </w:rPr>
        <w:t xml:space="preserve">What we heard: </w:t>
      </w:r>
      <w:r w:rsidR="007E636D" w:rsidRPr="001D3E93">
        <w:rPr>
          <w:b w:val="0"/>
          <w:bCs w:val="0"/>
          <w:caps w:val="0"/>
          <w:sz w:val="24"/>
          <w:szCs w:val="24"/>
          <w:lang w:val="en-US" w:eastAsia="en-US"/>
        </w:rPr>
        <w:t>Other feedback</w:t>
      </w:r>
      <w:bookmarkEnd w:id="266"/>
      <w:bookmarkEnd w:id="267"/>
      <w:bookmarkEnd w:id="268"/>
      <w:bookmarkEnd w:id="269"/>
      <w:bookmarkEnd w:id="270"/>
    </w:p>
    <w:p w14:paraId="3A87BF15" w14:textId="307FCF35" w:rsidR="00A0613F" w:rsidRPr="001D3E93" w:rsidRDefault="00A0613F" w:rsidP="00A0613F">
      <w:pPr>
        <w:spacing w:after="160" w:line="259" w:lineRule="auto"/>
        <w:rPr>
          <w:rFonts w:ascii="Verdana" w:eastAsia="Calibri" w:hAnsi="Verdana" w:cs="Arial"/>
          <w:i/>
          <w:lang w:val="en-US" w:eastAsia="en-US"/>
        </w:rPr>
      </w:pPr>
      <w:r w:rsidRPr="001D3E93">
        <w:rPr>
          <w:rFonts w:ascii="Verdana" w:eastAsia="Calibri" w:hAnsi="Verdana" w:cs="Arial"/>
          <w:lang w:val="en-US" w:eastAsia="en-US"/>
        </w:rPr>
        <w:t>Further feedback from the consultations include</w:t>
      </w:r>
      <w:r w:rsidR="006417A1" w:rsidRPr="001D3E93">
        <w:rPr>
          <w:rFonts w:ascii="Verdana" w:eastAsia="Calibri" w:hAnsi="Verdana" w:cs="Arial"/>
          <w:lang w:val="en-US" w:eastAsia="en-US"/>
        </w:rPr>
        <w:t>d</w:t>
      </w:r>
      <w:r w:rsidRPr="001D3E93">
        <w:rPr>
          <w:rFonts w:ascii="Verdana" w:eastAsia="Calibri" w:hAnsi="Verdana" w:cs="Arial"/>
          <w:lang w:val="en-US" w:eastAsia="en-US"/>
        </w:rPr>
        <w:t>:</w:t>
      </w:r>
    </w:p>
    <w:p w14:paraId="04BA4F5D" w14:textId="36D08ED8" w:rsidR="00A0613F" w:rsidRPr="001D3E93" w:rsidRDefault="00A0613F" w:rsidP="009103F8">
      <w:pPr>
        <w:numPr>
          <w:ilvl w:val="0"/>
          <w:numId w:val="31"/>
        </w:numPr>
        <w:spacing w:line="259" w:lineRule="auto"/>
        <w:ind w:left="714" w:hanging="357"/>
        <w:rPr>
          <w:rFonts w:ascii="Verdana" w:eastAsia="Calibri" w:hAnsi="Verdana" w:cs="Arial"/>
          <w:lang w:eastAsia="en-US"/>
        </w:rPr>
      </w:pPr>
      <w:r w:rsidRPr="001D3E93">
        <w:rPr>
          <w:rFonts w:ascii="Verdana" w:eastAsia="Calibri" w:hAnsi="Verdana" w:cs="Arial"/>
          <w:lang w:val="en-US" w:eastAsia="en-US"/>
        </w:rPr>
        <w:t>Upfront grant amounts provided certainty. Tiers made sense and represented the export journey. There was a view that it was not easy for businesses to move between tiers given the multi-year grant agreement format</w:t>
      </w:r>
      <w:r w:rsidR="00610EC1" w:rsidRPr="001D3E93">
        <w:rPr>
          <w:rFonts w:ascii="Verdana" w:eastAsia="Calibri" w:hAnsi="Verdana" w:cs="Arial"/>
          <w:lang w:val="en-US" w:eastAsia="en-US"/>
        </w:rPr>
        <w:t xml:space="preserve"> although businesses</w:t>
      </w:r>
      <w:r w:rsidR="00CA1B99" w:rsidRPr="001D3E93">
        <w:rPr>
          <w:rFonts w:ascii="Verdana" w:eastAsia="Calibri" w:hAnsi="Verdana" w:cs="Arial"/>
          <w:lang w:val="en-US" w:eastAsia="en-US"/>
        </w:rPr>
        <w:t xml:space="preserve"> can</w:t>
      </w:r>
      <w:r w:rsidR="00610EC1" w:rsidRPr="001D3E93">
        <w:rPr>
          <w:rFonts w:ascii="Verdana" w:eastAsia="Calibri" w:hAnsi="Verdana" w:cs="Arial"/>
          <w:lang w:val="en-US" w:eastAsia="en-US"/>
        </w:rPr>
        <w:t xml:space="preserve"> cancel their agreement </w:t>
      </w:r>
      <w:r w:rsidR="00317ECE" w:rsidRPr="001D3E93">
        <w:rPr>
          <w:rFonts w:ascii="Verdana" w:eastAsia="Calibri" w:hAnsi="Verdana" w:cs="Arial"/>
          <w:lang w:val="en-US" w:eastAsia="en-US"/>
        </w:rPr>
        <w:t>and apply in a new tier</w:t>
      </w:r>
      <w:r w:rsidR="00CA1B99" w:rsidRPr="001D3E93">
        <w:rPr>
          <w:rFonts w:ascii="Verdana" w:eastAsia="Calibri" w:hAnsi="Verdana" w:cs="Arial"/>
          <w:lang w:val="en-US" w:eastAsia="en-US"/>
        </w:rPr>
        <w:t xml:space="preserve"> in the next round</w:t>
      </w:r>
      <w:r w:rsidR="00317ECE" w:rsidRPr="001D3E93">
        <w:rPr>
          <w:rFonts w:ascii="Verdana" w:eastAsia="Calibri" w:hAnsi="Verdana" w:cs="Arial"/>
          <w:lang w:val="en-US" w:eastAsia="en-US"/>
        </w:rPr>
        <w:t>.</w:t>
      </w:r>
    </w:p>
    <w:p w14:paraId="7A83683E" w14:textId="563A5F43" w:rsidR="00A0613F" w:rsidRPr="001D3E93" w:rsidRDefault="00A0613F" w:rsidP="009103F8">
      <w:pPr>
        <w:numPr>
          <w:ilvl w:val="0"/>
          <w:numId w:val="31"/>
        </w:numPr>
        <w:spacing w:line="259" w:lineRule="auto"/>
        <w:ind w:left="714" w:hanging="357"/>
        <w:rPr>
          <w:rFonts w:ascii="Verdana" w:eastAsia="Calibri" w:hAnsi="Verdana" w:cs="Arial"/>
          <w:lang w:eastAsia="en-US"/>
        </w:rPr>
      </w:pPr>
      <w:r w:rsidRPr="001D3E93">
        <w:rPr>
          <w:rFonts w:ascii="Verdana" w:eastAsia="Calibri" w:hAnsi="Verdana" w:cs="Arial"/>
          <w:lang w:val="en-US" w:eastAsia="en-US"/>
        </w:rPr>
        <w:t>Some considered the timing of the round</w:t>
      </w:r>
      <w:r w:rsidR="00317ECE" w:rsidRPr="001D3E93">
        <w:rPr>
          <w:rFonts w:ascii="Verdana" w:eastAsia="Calibri" w:hAnsi="Verdana" w:cs="Arial"/>
          <w:lang w:val="en-US" w:eastAsia="en-US"/>
        </w:rPr>
        <w:t xml:space="preserve"> and its processes</w:t>
      </w:r>
      <w:r w:rsidRPr="001D3E93">
        <w:rPr>
          <w:rFonts w:ascii="Verdana" w:eastAsia="Calibri" w:hAnsi="Verdana" w:cs="Arial"/>
          <w:lang w:val="en-US" w:eastAsia="en-US"/>
        </w:rPr>
        <w:t xml:space="preserve"> w</w:t>
      </w:r>
      <w:r w:rsidR="50386ABF" w:rsidRPr="001D3E93">
        <w:rPr>
          <w:rFonts w:ascii="Verdana" w:eastAsia="Calibri" w:hAnsi="Verdana" w:cs="Arial"/>
          <w:lang w:val="en-US" w:eastAsia="en-US"/>
        </w:rPr>
        <w:t xml:space="preserve">ere </w:t>
      </w:r>
      <w:r w:rsidRPr="001D3E93">
        <w:rPr>
          <w:rFonts w:ascii="Verdana" w:eastAsia="Calibri" w:hAnsi="Verdana" w:cs="Arial"/>
          <w:lang w:val="en-US" w:eastAsia="en-US"/>
        </w:rPr>
        <w:t>not appropriate for business needs within the financial year. Managing deadlines on a financial year basis was now more confusing. Milestone reporting was</w:t>
      </w:r>
      <w:r w:rsidR="005D06BB" w:rsidRPr="001D3E93">
        <w:rPr>
          <w:rFonts w:ascii="Verdana" w:eastAsia="Calibri" w:hAnsi="Verdana" w:cs="Arial"/>
          <w:lang w:val="en-US" w:eastAsia="en-US"/>
        </w:rPr>
        <w:t xml:space="preserve"> felt to be</w:t>
      </w:r>
      <w:r w:rsidRPr="001D3E93">
        <w:rPr>
          <w:rFonts w:ascii="Verdana" w:eastAsia="Calibri" w:hAnsi="Verdana" w:cs="Arial"/>
          <w:lang w:val="en-US" w:eastAsia="en-US"/>
        </w:rPr>
        <w:t xml:space="preserve"> onerous</w:t>
      </w:r>
      <w:r w:rsidR="005D06BB" w:rsidRPr="001D3E93">
        <w:rPr>
          <w:rFonts w:ascii="Verdana" w:eastAsia="Calibri" w:hAnsi="Verdana" w:cs="Arial"/>
          <w:lang w:val="en-US" w:eastAsia="en-US"/>
        </w:rPr>
        <w:t xml:space="preserve"> (even though it is simpler process than the EMDG 1.0 claims process)</w:t>
      </w:r>
      <w:r w:rsidRPr="001D3E93">
        <w:rPr>
          <w:rFonts w:ascii="Verdana" w:eastAsia="Calibri" w:hAnsi="Verdana" w:cs="Arial"/>
          <w:lang w:val="en-US" w:eastAsia="en-US"/>
        </w:rPr>
        <w:t xml:space="preserve">, and agents were unclear about its purpose; the old scheme was </w:t>
      </w:r>
      <w:r w:rsidR="008269B4" w:rsidRPr="001D3E93">
        <w:rPr>
          <w:rFonts w:ascii="Verdana" w:eastAsia="Calibri" w:hAnsi="Verdana" w:cs="Arial"/>
          <w:lang w:val="en-US" w:eastAsia="en-US"/>
        </w:rPr>
        <w:t xml:space="preserve">felt </w:t>
      </w:r>
      <w:r w:rsidRPr="001D3E93">
        <w:rPr>
          <w:rFonts w:ascii="Verdana" w:eastAsia="Calibri" w:hAnsi="Verdana" w:cs="Arial"/>
          <w:lang w:val="en-US" w:eastAsia="en-US"/>
        </w:rPr>
        <w:t>simpler.</w:t>
      </w:r>
    </w:p>
    <w:p w14:paraId="1E42FAFA" w14:textId="18FDD63A" w:rsidR="00A0613F" w:rsidRPr="001D3E93" w:rsidRDefault="00A0613F" w:rsidP="009103F8">
      <w:pPr>
        <w:numPr>
          <w:ilvl w:val="0"/>
          <w:numId w:val="31"/>
        </w:numPr>
        <w:spacing w:line="259" w:lineRule="auto"/>
        <w:ind w:left="714" w:hanging="357"/>
        <w:rPr>
          <w:rFonts w:ascii="Verdana" w:eastAsia="Calibri" w:hAnsi="Verdana" w:cs="Arial"/>
          <w:lang w:eastAsia="en-US"/>
        </w:rPr>
      </w:pPr>
      <w:r w:rsidRPr="001D3E93">
        <w:rPr>
          <w:rFonts w:ascii="Verdana" w:eastAsia="Calibri" w:hAnsi="Verdana" w:cs="Arial"/>
          <w:lang w:val="en-US" w:eastAsia="en-US"/>
        </w:rPr>
        <w:t>There were delays with no explanation from Austrade</w:t>
      </w:r>
      <w:r w:rsidR="00173120" w:rsidRPr="001D3E93">
        <w:rPr>
          <w:rFonts w:ascii="Verdana" w:eastAsia="Calibri" w:hAnsi="Verdana" w:cs="Arial"/>
          <w:lang w:val="en-US" w:eastAsia="en-US"/>
        </w:rPr>
        <w:t xml:space="preserve"> and d</w:t>
      </w:r>
      <w:r w:rsidRPr="001D3E93">
        <w:rPr>
          <w:rFonts w:ascii="Verdana" w:eastAsia="Calibri" w:hAnsi="Verdana" w:cs="Arial"/>
          <w:lang w:val="en-US" w:eastAsia="en-US"/>
        </w:rPr>
        <w:t xml:space="preserve">ifficulty getting processing status updates. </w:t>
      </w:r>
    </w:p>
    <w:p w14:paraId="7E41B898" w14:textId="6384C7D2" w:rsidR="00A0613F" w:rsidRPr="001D3E93" w:rsidRDefault="00A0613F" w:rsidP="00A0613F">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A detailed breakdown of the Operational Review Survey is at Attachment C. Attachment D contains a list of previous consultation on EMDG 2.0 Round 1. </w:t>
      </w:r>
    </w:p>
    <w:tbl>
      <w:tblPr>
        <w:tblStyle w:val="TableGrid"/>
        <w:tblpPr w:leftFromText="180" w:rightFromText="180" w:vertAnchor="page" w:horzAnchor="margin" w:tblpY="1237"/>
        <w:tblW w:w="0" w:type="auto"/>
        <w:tblLook w:val="04A0" w:firstRow="1" w:lastRow="0" w:firstColumn="1" w:lastColumn="0" w:noHBand="0" w:noVBand="1"/>
      </w:tblPr>
      <w:tblGrid>
        <w:gridCol w:w="9628"/>
      </w:tblGrid>
      <w:tr w:rsidR="00A03C89" w:rsidRPr="001D3E93" w14:paraId="64E8BE8C" w14:textId="77777777" w:rsidTr="00A3430B">
        <w:tc>
          <w:tcPr>
            <w:tcW w:w="9628" w:type="dxa"/>
            <w:shd w:val="clear" w:color="auto" w:fill="2E1A47" w:themeFill="accent2"/>
          </w:tcPr>
          <w:p w14:paraId="1DBF44BE" w14:textId="1E29D6D3" w:rsidR="00A03C89" w:rsidRPr="001D3E93" w:rsidRDefault="000F2FE4" w:rsidP="00A03C89">
            <w:pPr>
              <w:pStyle w:val="Heading3"/>
              <w:outlineLvl w:val="2"/>
              <w:rPr>
                <w:b w:val="0"/>
                <w:bCs w:val="0"/>
                <w:color w:val="FFFFFF" w:themeColor="background1"/>
              </w:rPr>
            </w:pPr>
            <w:bookmarkStart w:id="271" w:name="_Toc124422512"/>
            <w:bookmarkStart w:id="272" w:name="_Toc124430910"/>
            <w:bookmarkStart w:id="273" w:name="_Toc124433387"/>
            <w:r w:rsidRPr="001D3E93">
              <w:rPr>
                <w:b w:val="0"/>
                <w:bCs w:val="0"/>
                <w:caps w:val="0"/>
                <w:color w:val="FFFFFF" w:themeColor="background1"/>
              </w:rPr>
              <w:lastRenderedPageBreak/>
              <w:t>Reflections from John Angley, External Facilitator</w:t>
            </w:r>
            <w:bookmarkEnd w:id="271"/>
            <w:bookmarkEnd w:id="272"/>
            <w:bookmarkEnd w:id="273"/>
          </w:p>
          <w:p w14:paraId="4DBCF3FB" w14:textId="77777777" w:rsidR="00A03C89" w:rsidRPr="001D3E93" w:rsidRDefault="00A03C89" w:rsidP="00A03C89">
            <w:pPr>
              <w:spacing w:after="160" w:line="259" w:lineRule="auto"/>
              <w:rPr>
                <w:rFonts w:ascii="Verdana" w:eastAsia="Calibri" w:hAnsi="Verdana" w:cs="Arial"/>
                <w:lang w:val="en-US" w:eastAsia="en-US"/>
              </w:rPr>
            </w:pPr>
          </w:p>
        </w:tc>
      </w:tr>
      <w:tr w:rsidR="00A03C89" w:rsidRPr="001D3E93" w14:paraId="395F9EDC" w14:textId="77777777" w:rsidTr="00A3430B">
        <w:tc>
          <w:tcPr>
            <w:tcW w:w="9628" w:type="dxa"/>
            <w:shd w:val="clear" w:color="auto" w:fill="E8E0F3" w:themeFill="accent2" w:themeFillTint="1A"/>
          </w:tcPr>
          <w:p w14:paraId="4FE2DCF2" w14:textId="77777777" w:rsidR="00A03C89" w:rsidRPr="001D3E93" w:rsidRDefault="00A03C89" w:rsidP="00A3430B">
            <w:pPr>
              <w:spacing w:before="240" w:after="120" w:line="252" w:lineRule="auto"/>
              <w:rPr>
                <w:rFonts w:ascii="Verdana" w:hAnsi="Verdana"/>
                <w:color w:val="000000"/>
              </w:rPr>
            </w:pPr>
            <w:r w:rsidRPr="001D3E93">
              <w:rPr>
                <w:rFonts w:ascii="Verdana" w:hAnsi="Verdana"/>
                <w:color w:val="000000"/>
              </w:rPr>
              <w:t>There were a lot of positive comments, as well as plenty of frank views on the EMDG 2.0 program. What was common among all participants was support for the continuation of EMDG, and a determination to offer constructive advice on how to make it ‘work better’ for a sustainable future.</w:t>
            </w:r>
          </w:p>
          <w:p w14:paraId="4D4312D2" w14:textId="77777777" w:rsidR="00A03C89" w:rsidRPr="001D3E93" w:rsidRDefault="00A03C89" w:rsidP="00A3430B">
            <w:pPr>
              <w:spacing w:after="120" w:line="252" w:lineRule="auto"/>
              <w:rPr>
                <w:rFonts w:ascii="Verdana" w:hAnsi="Verdana"/>
                <w:color w:val="000000"/>
              </w:rPr>
            </w:pPr>
            <w:r w:rsidRPr="001D3E93">
              <w:rPr>
                <w:rFonts w:ascii="Verdana" w:hAnsi="Verdana"/>
                <w:color w:val="000000"/>
              </w:rPr>
              <w:t>The issue of change resonated strongly through the consultations. Exporters and consultants highlighted challenges around changes to the policy settings for the new program; changes to procedures with new requirements introduced; and changes to reporting and timelines. These changes affected how Austrade adapted and managed new processes, with consultations often flagging areas for improvement. I learned that it was not an easy shift, from a long-embedded reimbursement scheme to the new upfront grants program.</w:t>
            </w:r>
          </w:p>
          <w:p w14:paraId="2135D324" w14:textId="77777777" w:rsidR="00A03C89" w:rsidRPr="001D3E93" w:rsidRDefault="00A03C89" w:rsidP="00A3430B">
            <w:pPr>
              <w:spacing w:after="120" w:line="21" w:lineRule="atLeast"/>
              <w:rPr>
                <w:rFonts w:ascii="Verdana" w:hAnsi="Verdana"/>
                <w:color w:val="000000"/>
              </w:rPr>
            </w:pPr>
            <w:r w:rsidRPr="001D3E93">
              <w:rPr>
                <w:rFonts w:ascii="Verdana" w:hAnsi="Verdana"/>
                <w:color w:val="000000"/>
              </w:rPr>
              <w:t>While there were many issues discussed during the meetings, I heard three key themes constantly emerging throughout the consultations:</w:t>
            </w:r>
          </w:p>
          <w:p w14:paraId="28F1BF2E" w14:textId="77777777" w:rsidR="00A03C89" w:rsidRPr="001D3E93" w:rsidRDefault="00A03C89" w:rsidP="00A3430B">
            <w:pPr>
              <w:pStyle w:val="AList1"/>
              <w:numPr>
                <w:ilvl w:val="0"/>
                <w:numId w:val="14"/>
              </w:numPr>
              <w:shd w:val="clear" w:color="auto" w:fill="E8E0F3" w:themeFill="accent2" w:themeFillTint="1A"/>
              <w:spacing w:after="120" w:line="21" w:lineRule="atLeast"/>
              <w:contextualSpacing w:val="0"/>
              <w:rPr>
                <w:rFonts w:ascii="Verdana" w:hAnsi="Verdana"/>
                <w:color w:val="000000"/>
                <w:sz w:val="20"/>
                <w:szCs w:val="20"/>
              </w:rPr>
            </w:pPr>
            <w:r w:rsidRPr="001D3E93">
              <w:rPr>
                <w:rFonts w:ascii="Verdana" w:hAnsi="Verdana"/>
                <w:color w:val="000000"/>
                <w:sz w:val="20"/>
                <w:szCs w:val="20"/>
              </w:rPr>
              <w:t xml:space="preserve">Austrade’s communications, direct and online, must improve. Timing, frequency and the use of clear language are all areas for improvement raised in our discussions. I also heard that communication should be tailored for those who are new to EMDG, and those with years of experience. This work has already started, so thanks to those who recognised the efforts Austrade has taken to improve. </w:t>
            </w:r>
          </w:p>
          <w:p w14:paraId="5D401CE7" w14:textId="77777777" w:rsidR="00A03C89" w:rsidRPr="001D3E93" w:rsidRDefault="00A03C89" w:rsidP="00A03C89">
            <w:pPr>
              <w:pStyle w:val="AList1"/>
              <w:numPr>
                <w:ilvl w:val="0"/>
                <w:numId w:val="14"/>
              </w:numPr>
              <w:spacing w:after="120" w:line="252" w:lineRule="auto"/>
              <w:contextualSpacing w:val="0"/>
              <w:rPr>
                <w:rFonts w:ascii="Verdana" w:hAnsi="Verdana"/>
                <w:color w:val="000000"/>
                <w:sz w:val="20"/>
                <w:szCs w:val="20"/>
              </w:rPr>
            </w:pPr>
            <w:r w:rsidRPr="001D3E93">
              <w:rPr>
                <w:rFonts w:ascii="Verdana" w:hAnsi="Verdana"/>
                <w:color w:val="000000"/>
                <w:sz w:val="20"/>
                <w:szCs w:val="20"/>
              </w:rPr>
              <w:t xml:space="preserve">Process improvements – including limitations of the portal, opportunities to streamline and improve the application, plan to market and milestone reporting documents.  Again, while some improvements have been made already, stakeholders’ insights and suggestions will be incorporated into the report. </w:t>
            </w:r>
          </w:p>
          <w:p w14:paraId="7FA1B7E9" w14:textId="77777777" w:rsidR="00A03C89" w:rsidRPr="001D3E93" w:rsidRDefault="00A03C89" w:rsidP="00A03C89">
            <w:pPr>
              <w:pStyle w:val="AList1"/>
              <w:numPr>
                <w:ilvl w:val="0"/>
                <w:numId w:val="14"/>
              </w:numPr>
              <w:spacing w:after="120" w:line="252" w:lineRule="auto"/>
              <w:contextualSpacing w:val="0"/>
              <w:rPr>
                <w:rFonts w:ascii="Verdana" w:hAnsi="Verdana"/>
                <w:color w:val="000000"/>
                <w:sz w:val="20"/>
                <w:szCs w:val="20"/>
              </w:rPr>
            </w:pPr>
            <w:r w:rsidRPr="001D3E93">
              <w:rPr>
                <w:rFonts w:ascii="Verdana" w:hAnsi="Verdana"/>
                <w:color w:val="000000"/>
                <w:sz w:val="20"/>
                <w:szCs w:val="20"/>
              </w:rPr>
              <w:t xml:space="preserve">Finally, the issue of annual grant amounts was consistently raised. While all were happy with the support the program provided to assist them exporting, many were concerned about the amount of grants they were receiving.    </w:t>
            </w:r>
          </w:p>
          <w:p w14:paraId="7A19585B" w14:textId="77777777" w:rsidR="00A03C89" w:rsidRPr="00A3430B" w:rsidRDefault="00A03C89" w:rsidP="00A3430B">
            <w:pPr>
              <w:spacing w:before="240" w:after="40" w:line="259" w:lineRule="auto"/>
              <w:rPr>
                <w:rFonts w:ascii="Verdana" w:eastAsia="Calibri" w:hAnsi="Verdana" w:cs="Arial"/>
                <w:lang w:val="en-US" w:eastAsia="en-US"/>
              </w:rPr>
            </w:pPr>
          </w:p>
        </w:tc>
      </w:tr>
    </w:tbl>
    <w:p w14:paraId="3A539143" w14:textId="15F18BDC" w:rsidR="00A0613F" w:rsidRPr="001D3E93" w:rsidRDefault="00A0613F" w:rsidP="00A0613F">
      <w:pPr>
        <w:spacing w:after="160" w:line="259" w:lineRule="auto"/>
        <w:rPr>
          <w:rFonts w:ascii="Verdana" w:eastAsia="Calibri" w:hAnsi="Verdana" w:cs="Arial"/>
          <w:sz w:val="24"/>
          <w:szCs w:val="24"/>
          <w:lang w:val="en-US" w:eastAsia="en-US"/>
        </w:rPr>
      </w:pPr>
    </w:p>
    <w:p w14:paraId="56452F91" w14:textId="77777777" w:rsidR="00A03C89" w:rsidRPr="001D3E93" w:rsidRDefault="00A03C89">
      <w:pPr>
        <w:rPr>
          <w:rFonts w:ascii="Calibri" w:eastAsia="SimSun" w:hAnsi="Calibri" w:cs="Arial"/>
          <w:color w:val="0F4C44" w:themeColor="background2" w:themeShade="80"/>
          <w:sz w:val="24"/>
          <w:szCs w:val="24"/>
        </w:rPr>
      </w:pPr>
      <w:r w:rsidRPr="001D3E93">
        <w:rPr>
          <w:rFonts w:ascii="Calibri" w:eastAsia="SimSun" w:hAnsi="Calibri" w:cs="Arial"/>
          <w:color w:val="0F4C44" w:themeColor="background2" w:themeShade="80"/>
          <w:sz w:val="24"/>
          <w:szCs w:val="24"/>
        </w:rPr>
        <w:br w:type="page"/>
      </w:r>
    </w:p>
    <w:p w14:paraId="01CD0715" w14:textId="4F394803" w:rsidR="00A0613F" w:rsidRPr="00A3430B" w:rsidRDefault="00A0613F" w:rsidP="00757476">
      <w:pPr>
        <w:pStyle w:val="Heading2"/>
        <w:rPr>
          <w:b w:val="0"/>
          <w:bCs w:val="0"/>
          <w:color w:val="0F4C44" w:themeColor="background2" w:themeShade="80"/>
          <w:lang w:val="en-US" w:eastAsia="en-US"/>
        </w:rPr>
      </w:pPr>
      <w:bookmarkStart w:id="274" w:name="_Toc120547721"/>
      <w:bookmarkStart w:id="275" w:name="_Toc124433389"/>
      <w:r w:rsidRPr="00A3430B">
        <w:rPr>
          <w:b w:val="0"/>
          <w:bCs w:val="0"/>
          <w:color w:val="0F4C44" w:themeColor="accent3" w:themeShade="80"/>
          <w:lang w:val="en-US" w:eastAsia="en-US"/>
        </w:rPr>
        <w:lastRenderedPageBreak/>
        <w:t>EMDG Case Studies</w:t>
      </w:r>
      <w:bookmarkEnd w:id="274"/>
      <w:bookmarkEnd w:id="275"/>
    </w:p>
    <w:p w14:paraId="21B757D9" w14:textId="5E2CACDE" w:rsidR="001714CE" w:rsidRPr="001D3E93" w:rsidRDefault="000974D8" w:rsidP="000974D8">
      <w:pPr>
        <w:pStyle w:val="Heading3"/>
        <w:rPr>
          <w:b w:val="0"/>
          <w:bCs w:val="0"/>
          <w:sz w:val="24"/>
          <w:szCs w:val="24"/>
        </w:rPr>
      </w:pPr>
      <w:bookmarkStart w:id="276" w:name="_Toc124433390"/>
      <w:r w:rsidRPr="001D3E93">
        <w:rPr>
          <w:b w:val="0"/>
          <w:bCs w:val="0"/>
          <w:caps w:val="0"/>
          <w:sz w:val="24"/>
          <w:szCs w:val="24"/>
        </w:rPr>
        <w:t>Case study 1: Allinfun</w:t>
      </w:r>
      <w:bookmarkEnd w:id="276"/>
      <w:r w:rsidRPr="001D3E93">
        <w:rPr>
          <w:b w:val="0"/>
          <w:bCs w:val="0"/>
          <w:caps w:val="0"/>
          <w:sz w:val="24"/>
          <w:szCs w:val="24"/>
        </w:rPr>
        <w:t xml:space="preserve"> </w:t>
      </w:r>
    </w:p>
    <w:p w14:paraId="2C21A662" w14:textId="1DF41B7F" w:rsidR="001714CE" w:rsidRPr="001D3E93" w:rsidRDefault="001714CE" w:rsidP="001714CE">
      <w:pPr>
        <w:rPr>
          <w:rFonts w:eastAsia="SimSun" w:cs="Arial"/>
        </w:rPr>
      </w:pPr>
      <w:r w:rsidRPr="001D3E93">
        <w:rPr>
          <w:rFonts w:eastAsia="SimSun" w:cs="Arial"/>
          <w:iCs/>
        </w:rPr>
        <w:t>Allinfun</w:t>
      </w:r>
      <w:r w:rsidRPr="001D3E93">
        <w:rPr>
          <w:rFonts w:eastAsia="SimSun" w:cs="Arial"/>
          <w:i/>
        </w:rPr>
        <w:t xml:space="preserve"> </w:t>
      </w:r>
      <w:r w:rsidRPr="001D3E93">
        <w:rPr>
          <w:rFonts w:eastAsia="SimSun" w:cs="Arial"/>
          <w:iCs/>
        </w:rPr>
        <w:t>is an Australian company. It develops and creates the intellectual property for high tech children’s toys.</w:t>
      </w:r>
      <w:r w:rsidRPr="001D3E93">
        <w:rPr>
          <w:rFonts w:eastAsia="SimSun" w:cs="Arial"/>
        </w:rPr>
        <w:t xml:space="preserve"> Founded in 2015, the company distributes its products worldwide. The company continues to push into new markets with a focus on Latin America, Central Europe and Japan.</w:t>
      </w:r>
    </w:p>
    <w:p w14:paraId="62AFF8BF" w14:textId="77777777" w:rsidR="001714CE" w:rsidRPr="001D3E93" w:rsidRDefault="001714CE" w:rsidP="001714CE">
      <w:pPr>
        <w:rPr>
          <w:rFonts w:eastAsia="SimSun" w:cs="Arial"/>
        </w:rPr>
      </w:pPr>
      <w:r w:rsidRPr="001D3E93">
        <w:rPr>
          <w:rFonts w:eastAsia="SimSun" w:cs="Arial"/>
        </w:rPr>
        <w:t>Managing Director Andrew Bedford has successfully received EMDG 1.0 grants and noted that EMDG 2.0, “from an administration and application point, the program is now easier to navigate than it was previously. The support available was really good and there was a quick turnaround time which was a noticeable change for me”.</w:t>
      </w:r>
    </w:p>
    <w:p w14:paraId="1257ED79" w14:textId="77777777" w:rsidR="001714CE" w:rsidRPr="001D3E93" w:rsidRDefault="001714CE" w:rsidP="001714CE">
      <w:pPr>
        <w:rPr>
          <w:rFonts w:eastAsia="SimSun" w:cs="Arial"/>
        </w:rPr>
      </w:pPr>
      <w:r w:rsidRPr="001D3E93">
        <w:rPr>
          <w:rFonts w:eastAsia="SimSun" w:cs="Arial"/>
        </w:rPr>
        <w:t xml:space="preserve">“As a small to medium enterprise business, being able to save on any fees, including consultant fees, allows you to reinvest that money into new expenses that we want to use to help grow our business. The main thing is getting into the discipline of filing and storing all documents you have used in an EMDG application or subsequent grant milestone report to help you manage the next application.” </w:t>
      </w:r>
    </w:p>
    <w:p w14:paraId="2FF06778" w14:textId="04DD5F49" w:rsidR="001714CE" w:rsidRPr="001D3E93" w:rsidRDefault="001714CE" w:rsidP="001714CE">
      <w:pPr>
        <w:rPr>
          <w:rFonts w:eastAsia="SimSun" w:cs="Arial"/>
        </w:rPr>
      </w:pPr>
      <w:r w:rsidRPr="001D3E93">
        <w:rPr>
          <w:rFonts w:eastAsia="SimSun" w:cs="Arial"/>
        </w:rPr>
        <w:t>Allinfun benefited from the multi-year plan-to-market, “the process was really helpful as was communicating broad goals which gives a clear sense for direction and structure at a more in-depth level. The need to submit a yearly review for your application gives you the opportunity to explain the changes and reality of what’s happening within your business so you can adjust your yearly plan for the future if required”.</w:t>
      </w:r>
    </w:p>
    <w:p w14:paraId="0447B3AF" w14:textId="2075420F" w:rsidR="00053061" w:rsidRPr="001D3E93" w:rsidRDefault="001714CE" w:rsidP="001714CE">
      <w:pPr>
        <w:rPr>
          <w:rFonts w:ascii="Calibri Light" w:eastAsia="MS Gothic" w:hAnsi="Calibri Light" w:cs="Times New Roman"/>
          <w:i/>
          <w:noProof/>
          <w:color w:val="2F5496"/>
          <w:sz w:val="32"/>
          <w:szCs w:val="32"/>
        </w:rPr>
      </w:pPr>
      <w:r w:rsidRPr="001D3E93">
        <w:rPr>
          <w:rFonts w:eastAsia="SimSun" w:cs="Arial"/>
        </w:rPr>
        <w:t>When asked what advice he would give to anyone thinking about applying with EMDG, “Do your research, use the tools that are already available. If they have any questions, reach out to the support team directly. List your concerns and questions to the support, our recent experience has been that the response time is quite quick and feedback extremely useful”.</w:t>
      </w:r>
      <w:r w:rsidR="00B163F8" w:rsidRPr="001D3E93">
        <w:rPr>
          <w:rFonts w:ascii="Calibri Light" w:eastAsia="MS Gothic" w:hAnsi="Calibri Light" w:cs="Times New Roman"/>
          <w:i/>
          <w:noProof/>
          <w:color w:val="2F5496"/>
          <w:sz w:val="32"/>
          <w:szCs w:val="32"/>
        </w:rPr>
        <w:t xml:space="preserve"> </w:t>
      </w:r>
    </w:p>
    <w:p w14:paraId="4D73FFCE" w14:textId="77777777" w:rsidR="00B163F8" w:rsidRPr="001D3E93" w:rsidRDefault="00B163F8" w:rsidP="001714CE">
      <w:pPr>
        <w:rPr>
          <w:rFonts w:eastAsia="SimSun" w:cs="Arial"/>
        </w:rPr>
      </w:pPr>
    </w:p>
    <w:p w14:paraId="4CC214A2" w14:textId="5147C670" w:rsidR="00053061" w:rsidRPr="001D3E93" w:rsidRDefault="00053061" w:rsidP="753EC435">
      <w:pPr>
        <w:pStyle w:val="Heading3"/>
        <w:rPr>
          <w:b w:val="0"/>
          <w:bCs w:val="0"/>
          <w:caps w:val="0"/>
          <w:sz w:val="24"/>
          <w:szCs w:val="24"/>
        </w:rPr>
      </w:pPr>
      <w:bookmarkStart w:id="277" w:name="_Toc124433391"/>
      <w:r w:rsidRPr="001D3E93">
        <w:rPr>
          <w:b w:val="0"/>
          <w:bCs w:val="0"/>
          <w:caps w:val="0"/>
          <w:sz w:val="24"/>
          <w:szCs w:val="24"/>
        </w:rPr>
        <w:t>Case study</w:t>
      </w:r>
      <w:r w:rsidRPr="001D3E93">
        <w:rPr>
          <w:b w:val="0"/>
          <w:bCs w:val="0"/>
          <w:sz w:val="24"/>
          <w:szCs w:val="24"/>
        </w:rPr>
        <w:t xml:space="preserve"> 2: </w:t>
      </w:r>
      <w:r w:rsidRPr="001D3E93">
        <w:rPr>
          <w:b w:val="0"/>
          <w:bCs w:val="0"/>
          <w:caps w:val="0"/>
          <w:sz w:val="24"/>
          <w:szCs w:val="24"/>
        </w:rPr>
        <w:t>Gali Swimwear</w:t>
      </w:r>
      <w:bookmarkEnd w:id="277"/>
    </w:p>
    <w:p w14:paraId="650EAA7A" w14:textId="77777777" w:rsidR="00053061" w:rsidRPr="001D3E93" w:rsidRDefault="00053061" w:rsidP="00053061">
      <w:pPr>
        <w:rPr>
          <w:rFonts w:eastAsia="SimSun" w:cs="Arial"/>
        </w:rPr>
      </w:pPr>
      <w:r w:rsidRPr="001D3E93">
        <w:rPr>
          <w:rFonts w:eastAsia="SimSun" w:cs="Arial"/>
        </w:rPr>
        <w:t>EMDG 2.0 supports Tier 1 exporters like Gali Swimwear. Gali Swimwear collaborates with First Nations artists and communities to create premium men's swimwear. The designs celebrate Australia’s rich First Nations culture.</w:t>
      </w:r>
    </w:p>
    <w:p w14:paraId="1B4AB2D4" w14:textId="77777777" w:rsidR="00053061" w:rsidRPr="001D3E93" w:rsidRDefault="00053061" w:rsidP="00053061">
      <w:pPr>
        <w:rPr>
          <w:rFonts w:eastAsia="SimSun" w:cs="Arial"/>
        </w:rPr>
      </w:pPr>
      <w:r w:rsidRPr="001D3E93">
        <w:rPr>
          <w:rFonts w:eastAsia="SimSun" w:cs="Arial"/>
        </w:rPr>
        <w:t>EMDG has helped Gali Swimwear to launch and sell directly into overseas markets. The funding has helped:</w:t>
      </w:r>
    </w:p>
    <w:p w14:paraId="1BBB3D05" w14:textId="77777777" w:rsidR="00053061" w:rsidRPr="001D3E93" w:rsidRDefault="00053061" w:rsidP="00053061">
      <w:pPr>
        <w:numPr>
          <w:ilvl w:val="0"/>
          <w:numId w:val="27"/>
        </w:numPr>
        <w:spacing w:after="0" w:line="240" w:lineRule="auto"/>
        <w:contextualSpacing/>
        <w:rPr>
          <w:rFonts w:eastAsia="SimSun" w:cs="Arial"/>
        </w:rPr>
      </w:pPr>
      <w:r w:rsidRPr="001D3E93">
        <w:rPr>
          <w:rFonts w:eastAsia="SimSun" w:cs="Arial"/>
        </w:rPr>
        <w:t>build and launch the brand’s e-commerce store</w:t>
      </w:r>
    </w:p>
    <w:p w14:paraId="79209FA9" w14:textId="77777777" w:rsidR="00053061" w:rsidRPr="001D3E93" w:rsidRDefault="00053061" w:rsidP="00053061">
      <w:pPr>
        <w:numPr>
          <w:ilvl w:val="0"/>
          <w:numId w:val="27"/>
        </w:numPr>
        <w:spacing w:after="0" w:line="240" w:lineRule="auto"/>
        <w:contextualSpacing/>
        <w:rPr>
          <w:rFonts w:eastAsia="SimSun" w:cs="Arial"/>
        </w:rPr>
      </w:pPr>
      <w:r w:rsidRPr="001D3E93">
        <w:rPr>
          <w:rFonts w:eastAsia="SimSun" w:cs="Arial"/>
        </w:rPr>
        <w:t>create marketing materials and content for international promotion</w:t>
      </w:r>
    </w:p>
    <w:p w14:paraId="739A1518" w14:textId="77777777" w:rsidR="00053061" w:rsidRPr="001D3E93" w:rsidRDefault="00053061" w:rsidP="00053061">
      <w:pPr>
        <w:numPr>
          <w:ilvl w:val="0"/>
          <w:numId w:val="27"/>
        </w:numPr>
        <w:spacing w:after="0" w:line="240" w:lineRule="auto"/>
        <w:contextualSpacing/>
        <w:rPr>
          <w:rFonts w:eastAsia="SimSun" w:cs="Arial"/>
        </w:rPr>
      </w:pPr>
      <w:r w:rsidRPr="001D3E93">
        <w:rPr>
          <w:rFonts w:eastAsia="SimSun" w:cs="Arial"/>
        </w:rPr>
        <w:t xml:space="preserve">launch an influencer marketing campaign targeting specific customer personas </w:t>
      </w:r>
    </w:p>
    <w:p w14:paraId="79283FEA" w14:textId="77777777" w:rsidR="00053061" w:rsidRPr="001D3E93" w:rsidRDefault="00053061" w:rsidP="00053061">
      <w:pPr>
        <w:numPr>
          <w:ilvl w:val="0"/>
          <w:numId w:val="27"/>
        </w:numPr>
        <w:spacing w:after="0" w:line="240" w:lineRule="auto"/>
        <w:contextualSpacing/>
        <w:rPr>
          <w:rFonts w:eastAsia="SimSun" w:cs="Arial"/>
        </w:rPr>
      </w:pPr>
      <w:r w:rsidRPr="001D3E93">
        <w:rPr>
          <w:rFonts w:eastAsia="SimSun" w:cs="Arial"/>
        </w:rPr>
        <w:t>execute Facebook and Instagram paid advertising campaigns in target markets</w:t>
      </w:r>
    </w:p>
    <w:p w14:paraId="1828DA23" w14:textId="0A674460" w:rsidR="00053061" w:rsidRPr="001D3E93" w:rsidRDefault="00053061" w:rsidP="00053061">
      <w:pPr>
        <w:numPr>
          <w:ilvl w:val="0"/>
          <w:numId w:val="27"/>
        </w:numPr>
        <w:spacing w:after="0" w:line="240" w:lineRule="auto"/>
        <w:contextualSpacing/>
        <w:rPr>
          <w:rFonts w:eastAsia="SimSun" w:cs="Arial"/>
        </w:rPr>
      </w:pPr>
      <w:r w:rsidRPr="001D3E93">
        <w:rPr>
          <w:rFonts w:eastAsia="SimSun" w:cs="Arial"/>
        </w:rPr>
        <w:t>engage with a US-based fashion PR firm to drive brand awareness in the US.</w:t>
      </w:r>
    </w:p>
    <w:p w14:paraId="36B6C149" w14:textId="77777777" w:rsidR="00053061" w:rsidRPr="001D3E93" w:rsidRDefault="00053061" w:rsidP="00053061">
      <w:pPr>
        <w:spacing w:after="0" w:line="240" w:lineRule="auto"/>
        <w:ind w:left="927"/>
        <w:contextualSpacing/>
        <w:rPr>
          <w:rFonts w:eastAsia="SimSun" w:cs="Arial"/>
        </w:rPr>
      </w:pPr>
    </w:p>
    <w:p w14:paraId="64DD1731" w14:textId="77777777" w:rsidR="00053061" w:rsidRPr="001D3E93" w:rsidRDefault="00053061" w:rsidP="00053061">
      <w:pPr>
        <w:rPr>
          <w:rFonts w:eastAsia="SimSun" w:cs="Arial"/>
        </w:rPr>
      </w:pPr>
      <w:r w:rsidRPr="001D3E93">
        <w:rPr>
          <w:rFonts w:eastAsia="SimSun" w:cs="Arial"/>
        </w:rPr>
        <w:t>Founder David Leslie found the EMDG application process to be “clear and straightforward”.</w:t>
      </w:r>
    </w:p>
    <w:p w14:paraId="0672B452" w14:textId="77777777" w:rsidR="00053061" w:rsidRPr="001D3E93" w:rsidRDefault="00053061" w:rsidP="00053061">
      <w:pPr>
        <w:rPr>
          <w:rFonts w:eastAsia="SimSun" w:cs="Arial"/>
        </w:rPr>
      </w:pPr>
      <w:r w:rsidRPr="001D3E93">
        <w:rPr>
          <w:rFonts w:eastAsia="SimSun" w:cs="Arial"/>
        </w:rPr>
        <w:t>“The team has been extremely helpful, resourceful and responsive when it comes to answering questions,” he said.</w:t>
      </w:r>
    </w:p>
    <w:p w14:paraId="35166F15" w14:textId="77777777" w:rsidR="00053061" w:rsidRPr="001D3E93" w:rsidRDefault="00053061" w:rsidP="00053061">
      <w:pPr>
        <w:rPr>
          <w:rFonts w:eastAsia="SimSun" w:cs="Arial"/>
        </w:rPr>
      </w:pPr>
      <w:r w:rsidRPr="001D3E93">
        <w:rPr>
          <w:rFonts w:eastAsia="SimSun" w:cs="Arial"/>
        </w:rPr>
        <w:t>Mr Leslie encourages businesses looking to expand into overseas markets, especially other First Nations businesses, to apply for EMDG.</w:t>
      </w:r>
    </w:p>
    <w:p w14:paraId="5C33BB7A" w14:textId="77777777" w:rsidR="00053061" w:rsidRPr="001D3E93" w:rsidRDefault="00053061" w:rsidP="00053061">
      <w:pPr>
        <w:rPr>
          <w:rFonts w:eastAsia="SimSun" w:cs="Arial"/>
        </w:rPr>
      </w:pPr>
      <w:r w:rsidRPr="001D3E93">
        <w:rPr>
          <w:rFonts w:eastAsia="SimSun" w:cs="Arial"/>
        </w:rPr>
        <w:t>“Being able to use the grant for photography, hiring PR agencies, and developing marketing strategies using influential overseas content creators has been incredibly valuable for Gali Swimwear,” he said.</w:t>
      </w:r>
    </w:p>
    <w:p w14:paraId="49949B17" w14:textId="77777777" w:rsidR="00053061" w:rsidRPr="001D3E93" w:rsidRDefault="00053061" w:rsidP="00053061"/>
    <w:p w14:paraId="22948085" w14:textId="0B3DD6C7" w:rsidR="00053061" w:rsidRPr="001D3E93" w:rsidRDefault="00D40143" w:rsidP="00D40143">
      <w:pPr>
        <w:pStyle w:val="Heading3"/>
        <w:rPr>
          <w:b w:val="0"/>
          <w:bCs w:val="0"/>
          <w:sz w:val="24"/>
          <w:szCs w:val="24"/>
        </w:rPr>
      </w:pPr>
      <w:bookmarkStart w:id="278" w:name="_Toc124433392"/>
      <w:r w:rsidRPr="001D3E93">
        <w:rPr>
          <w:b w:val="0"/>
          <w:bCs w:val="0"/>
          <w:caps w:val="0"/>
          <w:sz w:val="24"/>
          <w:szCs w:val="24"/>
        </w:rPr>
        <w:lastRenderedPageBreak/>
        <w:t>Case study 3: endota</w:t>
      </w:r>
      <w:bookmarkEnd w:id="278"/>
      <w:r w:rsidRPr="001D3E93">
        <w:rPr>
          <w:b w:val="0"/>
          <w:bCs w:val="0"/>
          <w:caps w:val="0"/>
          <w:sz w:val="24"/>
          <w:szCs w:val="24"/>
        </w:rPr>
        <w:t xml:space="preserve"> </w:t>
      </w:r>
    </w:p>
    <w:p w14:paraId="3613411D" w14:textId="3FE3891C" w:rsidR="00053061" w:rsidRPr="001D3E93" w:rsidRDefault="00D40143" w:rsidP="00053061">
      <w:pPr>
        <w:rPr>
          <w:rFonts w:eastAsia="SimSun" w:cs="Arial"/>
        </w:rPr>
      </w:pPr>
      <w:r w:rsidRPr="001D3E93">
        <w:rPr>
          <w:rFonts w:eastAsia="SimSun" w:cs="Arial"/>
        </w:rPr>
        <w:t>e</w:t>
      </w:r>
      <w:r w:rsidR="00053061" w:rsidRPr="001D3E93">
        <w:rPr>
          <w:rFonts w:eastAsia="SimSun" w:cs="Arial"/>
        </w:rPr>
        <w:t>ndota is Australia’s largest network of day spas with over 100 spas nationally and the producer of professional and retail skincare products. endota’s exporting journey has seen the company recently acquire nine spas in New Zealand and export their treatment protocols and skincare products internationally.  </w:t>
      </w:r>
    </w:p>
    <w:p w14:paraId="273ADA8F" w14:textId="2E1C53A4" w:rsidR="00053061" w:rsidRPr="001D3E93" w:rsidRDefault="00053061" w:rsidP="00053061">
      <w:pPr>
        <w:rPr>
          <w:rFonts w:eastAsia="SimSun" w:cs="Arial"/>
        </w:rPr>
      </w:pPr>
      <w:r w:rsidRPr="001D3E93">
        <w:rPr>
          <w:rFonts w:eastAsia="SimSun" w:cs="Arial"/>
        </w:rPr>
        <w:t>Now on their fifth grant with the EMDG program, the grant has helped the business to focus their export activity in select export markets and undertake direct-to- consumer (DTC) e-commerce research.</w:t>
      </w:r>
    </w:p>
    <w:p w14:paraId="720B3AAA" w14:textId="77777777" w:rsidR="00053061" w:rsidRPr="001D3E93" w:rsidRDefault="00053061" w:rsidP="00053061">
      <w:pPr>
        <w:rPr>
          <w:rFonts w:eastAsia="SimSun" w:cs="Arial"/>
        </w:rPr>
      </w:pPr>
      <w:r w:rsidRPr="001D3E93">
        <w:rPr>
          <w:rFonts w:eastAsia="SimSun" w:cs="Arial"/>
        </w:rPr>
        <w:t>“EMDG funding has given us the opportunity to invest in research as a critical step in our international growth,” endota Export Manager, Yufang Mao, said.</w:t>
      </w:r>
    </w:p>
    <w:p w14:paraId="497F05A2" w14:textId="77777777" w:rsidR="00053061" w:rsidRPr="001D3E93" w:rsidRDefault="00053061" w:rsidP="00053061">
      <w:pPr>
        <w:rPr>
          <w:rFonts w:eastAsia="SimSun" w:cs="Arial"/>
        </w:rPr>
      </w:pPr>
      <w:r w:rsidRPr="001D3E93">
        <w:rPr>
          <w:rFonts w:eastAsia="SimSun" w:cs="Arial"/>
        </w:rPr>
        <w:t>“Knowing that a portion of the costs will be covered gives us confidence to use the funds in further export promotional activity.”</w:t>
      </w:r>
    </w:p>
    <w:p w14:paraId="30D88496" w14:textId="77777777" w:rsidR="00053061" w:rsidRPr="001D3E93" w:rsidRDefault="00053061" w:rsidP="00053061">
      <w:pPr>
        <w:rPr>
          <w:rFonts w:eastAsia="SimSun" w:cs="Arial"/>
        </w:rPr>
      </w:pPr>
      <w:r w:rsidRPr="001D3E93">
        <w:rPr>
          <w:rFonts w:eastAsia="SimSun" w:cs="Arial"/>
        </w:rPr>
        <w:t>2022 has been endota’s first experience self-lodging their application under the new EMDG application process.  “The new process has helped better align our export strategy to our export spend,” Yufang said.</w:t>
      </w:r>
    </w:p>
    <w:p w14:paraId="62EF2CAA" w14:textId="77777777" w:rsidR="00053061" w:rsidRPr="001D3E93" w:rsidRDefault="00053061" w:rsidP="00053061">
      <w:pPr>
        <w:rPr>
          <w:rFonts w:eastAsia="SimSun" w:cs="Arial"/>
        </w:rPr>
      </w:pPr>
      <w:r w:rsidRPr="001D3E93">
        <w:rPr>
          <w:rFonts w:eastAsia="SimSun" w:cs="Arial"/>
        </w:rPr>
        <w:t>“Being able to identify and plan our export marketing spend in targeted activities and knowing EMDG will assist with a portion of the cost has been a welcome addition to the program.”</w:t>
      </w:r>
    </w:p>
    <w:p w14:paraId="3FB85A75" w14:textId="77777777" w:rsidR="00053061" w:rsidRPr="001D3E93" w:rsidRDefault="00053061" w:rsidP="00053061">
      <w:pPr>
        <w:rPr>
          <w:rFonts w:eastAsia="SimSun" w:cs="Arial"/>
        </w:rPr>
      </w:pPr>
      <w:r w:rsidRPr="001D3E93">
        <w:rPr>
          <w:rFonts w:eastAsia="SimSun" w:cs="Arial"/>
        </w:rPr>
        <w:t>endota is an experiential brand and is evaluating alternative strategies for market entry that focus on the offer of an endota experience.  </w:t>
      </w:r>
    </w:p>
    <w:p w14:paraId="4127F6E6" w14:textId="77777777" w:rsidR="00053061" w:rsidRPr="001D3E93" w:rsidRDefault="00053061" w:rsidP="00053061">
      <w:pPr>
        <w:rPr>
          <w:rFonts w:eastAsia="SimSun" w:cs="Arial"/>
        </w:rPr>
      </w:pPr>
      <w:r w:rsidRPr="001D3E93">
        <w:rPr>
          <w:rFonts w:eastAsia="SimSun" w:cs="Arial"/>
        </w:rPr>
        <w:t>“As a business with aspirations of growing internationally to be the world’s most loved wellness brand, we are appreciative of Austrade’s ongoing support in both the export market development grant, and from the team of Austrade representatives in overseas markets,” Yufang said. </w:t>
      </w:r>
    </w:p>
    <w:p w14:paraId="7B513FB2" w14:textId="4819D887" w:rsidR="00431989" w:rsidRPr="001D3E93" w:rsidRDefault="00431989">
      <w:r w:rsidRPr="001D3E93">
        <w:br w:type="page"/>
      </w:r>
    </w:p>
    <w:p w14:paraId="742B48B3" w14:textId="0CF3A5B2" w:rsidR="00A0613F" w:rsidRPr="00A3430B" w:rsidRDefault="00A0613F" w:rsidP="00886A7A">
      <w:pPr>
        <w:pStyle w:val="Heading2"/>
        <w:rPr>
          <w:b w:val="0"/>
          <w:bCs w:val="0"/>
          <w:color w:val="0F4C44" w:themeColor="background2" w:themeShade="80"/>
          <w:lang w:val="en-US" w:eastAsia="en-US"/>
        </w:rPr>
      </w:pPr>
      <w:bookmarkStart w:id="279" w:name="_Toc117765782"/>
      <w:bookmarkStart w:id="280" w:name="_Toc120547722"/>
      <w:bookmarkStart w:id="281" w:name="_Toc124433393"/>
      <w:r w:rsidRPr="00A3430B">
        <w:rPr>
          <w:b w:val="0"/>
          <w:bCs w:val="0"/>
          <w:color w:val="0F4C44" w:themeColor="accent3" w:themeShade="80"/>
          <w:lang w:val="en-US" w:eastAsia="en-US"/>
        </w:rPr>
        <w:lastRenderedPageBreak/>
        <w:t xml:space="preserve">5.  Review assessment – Opportunities for </w:t>
      </w:r>
      <w:bookmarkEnd w:id="279"/>
      <w:r w:rsidR="005F6304" w:rsidRPr="001D3E93">
        <w:rPr>
          <w:b w:val="0"/>
          <w:bCs w:val="0"/>
          <w:color w:val="0F4C44" w:themeColor="accent3" w:themeShade="80"/>
          <w:lang w:val="en-US" w:eastAsia="en-US"/>
        </w:rPr>
        <w:t>i</w:t>
      </w:r>
      <w:r w:rsidRPr="00A3430B">
        <w:rPr>
          <w:b w:val="0"/>
          <w:bCs w:val="0"/>
          <w:color w:val="0F4C44" w:themeColor="accent3" w:themeShade="80"/>
          <w:lang w:val="en-US" w:eastAsia="en-US"/>
        </w:rPr>
        <w:t>mprovement</w:t>
      </w:r>
      <w:bookmarkEnd w:id="280"/>
      <w:bookmarkEnd w:id="281"/>
    </w:p>
    <w:p w14:paraId="3B90F2D7" w14:textId="789C229F" w:rsidR="00A0613F" w:rsidRPr="001D3E93" w:rsidRDefault="00A0613F" w:rsidP="00A0613F">
      <w:p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 xml:space="preserve">The EMDG Operational Review has found that the EMDG 2.0 program has reached its objective of providing simplified and streamlined financial assistance, for promotional activities and development of marketing skills to SMEs. </w:t>
      </w:r>
      <w:r w:rsidR="00D60A9C" w:rsidRPr="001D3E93">
        <w:rPr>
          <w:rFonts w:ascii="Verdana" w:eastAsia="Verdana" w:hAnsi="Verdana" w:cs="Arial"/>
          <w:color w:val="000000"/>
          <w:lang w:eastAsia="en-US"/>
        </w:rPr>
        <w:t>Internal and external s</w:t>
      </w:r>
      <w:r w:rsidR="00C83F03" w:rsidRPr="001D3E93">
        <w:rPr>
          <w:rFonts w:ascii="Verdana" w:eastAsia="Verdana" w:hAnsi="Verdana" w:cs="Arial"/>
          <w:color w:val="000000"/>
          <w:lang w:eastAsia="en-US"/>
        </w:rPr>
        <w:t>takeholders</w:t>
      </w:r>
      <w:r w:rsidRPr="001D3E93">
        <w:rPr>
          <w:rFonts w:ascii="Verdana" w:eastAsia="Verdana" w:hAnsi="Verdana" w:cs="Arial"/>
          <w:color w:val="000000"/>
          <w:lang w:eastAsia="en-US"/>
        </w:rPr>
        <w:t xml:space="preserve"> consulted during the EMDG Operational Review were positive about the program and overwhelmingly wanted the assistance provided by Government for EMDG to continue into the future. </w:t>
      </w:r>
    </w:p>
    <w:p w14:paraId="5DC18777" w14:textId="696A7AB3" w:rsidR="00A0613F" w:rsidRPr="001D3E93" w:rsidRDefault="00A0613F"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 xml:space="preserve">The context of the COVID-19 situation was also important. At the time of introduction of the EMDG program on 1 July 2021, the policy settings for eligibility were deliberately made easier for SME businesses to facilitate their access to EMDG support. Austrade </w:t>
      </w:r>
      <w:r w:rsidR="005655B8" w:rsidRPr="001D3E93">
        <w:rPr>
          <w:rFonts w:ascii="Verdana" w:eastAsia="Verdana" w:hAnsi="Verdana" w:cs="Arial"/>
          <w:color w:val="000000"/>
          <w:lang w:val="en-US" w:eastAsia="en-US"/>
        </w:rPr>
        <w:t>assessed</w:t>
      </w:r>
      <w:r w:rsidRPr="001D3E93">
        <w:rPr>
          <w:rFonts w:ascii="Verdana" w:eastAsia="Verdana" w:hAnsi="Verdana" w:cs="Arial"/>
          <w:color w:val="000000"/>
          <w:lang w:val="en-US" w:eastAsia="en-US"/>
        </w:rPr>
        <w:t xml:space="preserve"> the impacts of COVID-19 </w:t>
      </w:r>
      <w:r w:rsidR="005655B8" w:rsidRPr="001D3E93">
        <w:rPr>
          <w:rFonts w:ascii="Verdana" w:eastAsia="Verdana" w:hAnsi="Verdana" w:cs="Arial"/>
          <w:color w:val="000000"/>
          <w:lang w:val="en-US" w:eastAsia="en-US"/>
        </w:rPr>
        <w:t>may</w:t>
      </w:r>
      <w:r w:rsidRPr="001D3E93">
        <w:rPr>
          <w:rFonts w:ascii="Verdana" w:eastAsia="Verdana" w:hAnsi="Verdana" w:cs="Arial"/>
          <w:color w:val="000000"/>
          <w:lang w:val="en-US" w:eastAsia="en-US"/>
        </w:rPr>
        <w:t xml:space="preserve"> reduce the number of exporters engaging with the program as had occurred during other periods of economic downturn. </w:t>
      </w:r>
      <w:r w:rsidR="00F947C4" w:rsidRPr="001D3E93">
        <w:rPr>
          <w:rFonts w:ascii="Verdana" w:eastAsia="Verdana" w:hAnsi="Verdana" w:cs="Arial"/>
          <w:color w:val="000000"/>
          <w:lang w:val="en-US" w:eastAsia="en-US"/>
        </w:rPr>
        <w:t>However,</w:t>
      </w:r>
      <w:r w:rsidRPr="001D3E93">
        <w:rPr>
          <w:rFonts w:ascii="Verdana" w:eastAsia="Verdana" w:hAnsi="Verdana" w:cs="Arial"/>
          <w:color w:val="000000"/>
          <w:lang w:val="en-US" w:eastAsia="en-US"/>
        </w:rPr>
        <w:t xml:space="preserve"> the opposite occurred, with far more applications than expected. </w:t>
      </w:r>
    </w:p>
    <w:p w14:paraId="544F45D3" w14:textId="78BE3442" w:rsidR="0026492F" w:rsidRPr="001D3E93" w:rsidRDefault="005E140D" w:rsidP="00B449F8">
      <w:pPr>
        <w:spacing w:after="160" w:line="259" w:lineRule="auto"/>
        <w:rPr>
          <w:rFonts w:ascii="Verdana" w:eastAsiaTheme="minorHAnsi" w:hAnsi="Verdana" w:cs="Calibri"/>
          <w:color w:val="000000"/>
          <w:lang w:eastAsia="en-AU"/>
        </w:rPr>
      </w:pPr>
      <w:r w:rsidRPr="001D3E93">
        <w:rPr>
          <w:rFonts w:ascii="Verdana" w:eastAsia="Verdana" w:hAnsi="Verdana" w:cs="Arial"/>
          <w:color w:val="000000"/>
          <w:lang w:val="en-US" w:eastAsia="en-US"/>
        </w:rPr>
        <w:t xml:space="preserve">The increased </w:t>
      </w:r>
      <w:r w:rsidR="00C21D0A" w:rsidRPr="001D3E93">
        <w:rPr>
          <w:rFonts w:ascii="Verdana" w:eastAsia="Verdana" w:hAnsi="Verdana" w:cs="Arial"/>
          <w:color w:val="000000"/>
          <w:lang w:val="en-US" w:eastAsia="en-US"/>
        </w:rPr>
        <w:t xml:space="preserve">number </w:t>
      </w:r>
      <w:r w:rsidRPr="001D3E93">
        <w:rPr>
          <w:rFonts w:ascii="Verdana" w:eastAsia="Verdana" w:hAnsi="Verdana" w:cs="Arial"/>
          <w:color w:val="000000"/>
          <w:lang w:val="en-US" w:eastAsia="en-US"/>
        </w:rPr>
        <w:t xml:space="preserve">of </w:t>
      </w:r>
      <w:r w:rsidR="00D10769" w:rsidRPr="001D3E93">
        <w:rPr>
          <w:rFonts w:ascii="Verdana" w:eastAsia="Verdana" w:hAnsi="Verdana" w:cs="Arial"/>
          <w:color w:val="000000"/>
          <w:lang w:val="en-US" w:eastAsia="en-US"/>
        </w:rPr>
        <w:t>eligible</w:t>
      </w:r>
      <w:r w:rsidRPr="001D3E93">
        <w:rPr>
          <w:rFonts w:ascii="Verdana" w:eastAsia="Verdana" w:hAnsi="Verdana" w:cs="Arial"/>
          <w:color w:val="000000"/>
          <w:lang w:val="en-US" w:eastAsia="en-US"/>
        </w:rPr>
        <w:t xml:space="preserve"> </w:t>
      </w:r>
      <w:r w:rsidR="00B80BB5" w:rsidRPr="001D3E93">
        <w:rPr>
          <w:rFonts w:ascii="Verdana" w:eastAsia="Verdana" w:hAnsi="Verdana" w:cs="Arial"/>
          <w:color w:val="000000"/>
          <w:lang w:val="en-US" w:eastAsia="en-US"/>
        </w:rPr>
        <w:t xml:space="preserve">applications for </w:t>
      </w:r>
      <w:r w:rsidRPr="001D3E93">
        <w:rPr>
          <w:rFonts w:ascii="Verdana" w:eastAsia="Verdana" w:hAnsi="Verdana" w:cs="Arial"/>
          <w:color w:val="000000"/>
          <w:lang w:val="en-US" w:eastAsia="en-US"/>
        </w:rPr>
        <w:t xml:space="preserve">the </w:t>
      </w:r>
      <w:r w:rsidR="00A0613F" w:rsidRPr="001D3E93">
        <w:rPr>
          <w:rFonts w:ascii="Verdana" w:eastAsia="Verdana" w:hAnsi="Verdana" w:cs="Arial"/>
          <w:color w:val="000000"/>
          <w:lang w:val="en-US" w:eastAsia="en-US"/>
        </w:rPr>
        <w:t>program resulted in lower grant amounts being allocated from the fixed budget for the program. Even in the early stages of program implementation</w:t>
      </w:r>
      <w:r w:rsidR="00D30303" w:rsidRPr="001D3E93">
        <w:rPr>
          <w:rFonts w:ascii="Verdana" w:eastAsia="Verdana" w:hAnsi="Verdana" w:cs="Arial"/>
          <w:color w:val="000000"/>
          <w:lang w:val="en-US" w:eastAsia="en-US"/>
        </w:rPr>
        <w:t>,</w:t>
      </w:r>
      <w:r w:rsidR="00A0613F" w:rsidRPr="001D3E93">
        <w:rPr>
          <w:rFonts w:ascii="Verdana" w:eastAsia="Verdana" w:hAnsi="Verdana" w:cs="Arial"/>
          <w:color w:val="000000"/>
          <w:lang w:val="en-US" w:eastAsia="en-US"/>
        </w:rPr>
        <w:t xml:space="preserve"> it </w:t>
      </w:r>
      <w:r w:rsidR="00AF29CE" w:rsidRPr="001D3E93">
        <w:rPr>
          <w:rFonts w:ascii="Verdana" w:eastAsia="Verdana" w:hAnsi="Verdana" w:cs="Arial"/>
          <w:color w:val="000000"/>
          <w:lang w:val="en-US" w:eastAsia="en-US"/>
        </w:rPr>
        <w:t>was</w:t>
      </w:r>
      <w:r w:rsidR="00A0613F" w:rsidRPr="001D3E93">
        <w:rPr>
          <w:rFonts w:ascii="Verdana" w:eastAsia="Verdana" w:hAnsi="Verdana" w:cs="Arial"/>
          <w:color w:val="000000"/>
          <w:lang w:val="en-US" w:eastAsia="en-US"/>
        </w:rPr>
        <w:t xml:space="preserve"> apparent that the compounding effect of multi-year grant agreements, w</w:t>
      </w:r>
      <w:r w:rsidR="004970F8" w:rsidRPr="001D3E93">
        <w:rPr>
          <w:rFonts w:ascii="Verdana" w:eastAsia="Verdana" w:hAnsi="Verdana" w:cs="Arial"/>
          <w:color w:val="000000"/>
          <w:lang w:val="en-US" w:eastAsia="en-US"/>
        </w:rPr>
        <w:t>ould</w:t>
      </w:r>
      <w:r w:rsidR="00A0613F" w:rsidRPr="001D3E93">
        <w:rPr>
          <w:rFonts w:ascii="Verdana" w:eastAsia="Verdana" w:hAnsi="Verdana" w:cs="Arial"/>
          <w:color w:val="000000"/>
          <w:lang w:val="en-US" w:eastAsia="en-US"/>
        </w:rPr>
        <w:t xml:space="preserve"> progressively lessen grant amounts.  Austrade will explore possibilities to </w:t>
      </w:r>
      <w:r w:rsidR="00B80BB5" w:rsidRPr="001D3E93">
        <w:rPr>
          <w:rFonts w:ascii="Verdana" w:eastAsia="Verdana" w:hAnsi="Verdana" w:cs="Arial"/>
          <w:color w:val="000000"/>
          <w:lang w:val="en-US" w:eastAsia="en-US"/>
        </w:rPr>
        <w:t xml:space="preserve">address the </w:t>
      </w:r>
      <w:r w:rsidR="00D10769" w:rsidRPr="001D3E93">
        <w:rPr>
          <w:rFonts w:ascii="Verdana" w:eastAsia="Verdana" w:hAnsi="Verdana" w:cs="Arial"/>
          <w:color w:val="000000"/>
          <w:lang w:val="en-US" w:eastAsia="en-US"/>
        </w:rPr>
        <w:t xml:space="preserve">imbalance </w:t>
      </w:r>
      <w:r w:rsidR="00C14067" w:rsidRPr="001D3E93">
        <w:rPr>
          <w:rFonts w:ascii="Verdana" w:eastAsia="Verdana" w:hAnsi="Verdana" w:cs="Arial"/>
          <w:color w:val="000000"/>
          <w:lang w:val="en-US" w:eastAsia="en-US"/>
        </w:rPr>
        <w:t xml:space="preserve">between </w:t>
      </w:r>
      <w:r w:rsidR="00D7719A" w:rsidRPr="001D3E93">
        <w:rPr>
          <w:rFonts w:ascii="Verdana" w:eastAsia="Verdana" w:hAnsi="Verdana" w:cs="Arial"/>
          <w:color w:val="000000"/>
          <w:lang w:val="en-US" w:eastAsia="en-US"/>
        </w:rPr>
        <w:t>the size of</w:t>
      </w:r>
      <w:r w:rsidR="00C14067" w:rsidRPr="001D3E93">
        <w:rPr>
          <w:rFonts w:ascii="Verdana" w:eastAsia="Verdana" w:hAnsi="Verdana" w:cs="Arial"/>
          <w:color w:val="000000"/>
          <w:lang w:val="en-US" w:eastAsia="en-US"/>
        </w:rPr>
        <w:t xml:space="preserve"> </w:t>
      </w:r>
      <w:r w:rsidR="00A0613F" w:rsidRPr="001D3E93">
        <w:rPr>
          <w:lang w:val="en-US" w:eastAsia="en-US"/>
        </w:rPr>
        <w:t>the applicant pool</w:t>
      </w:r>
      <w:r w:rsidR="009751C6" w:rsidRPr="001D3E93">
        <w:rPr>
          <w:lang w:val="en-US" w:eastAsia="en-US"/>
        </w:rPr>
        <w:t xml:space="preserve"> </w:t>
      </w:r>
      <w:r w:rsidR="00D10769" w:rsidRPr="001D3E93">
        <w:rPr>
          <w:lang w:val="en-US" w:eastAsia="en-US"/>
        </w:rPr>
        <w:t>and</w:t>
      </w:r>
      <w:r w:rsidR="00565CD1" w:rsidRPr="001D3E93">
        <w:rPr>
          <w:lang w:val="en-US" w:eastAsia="en-US"/>
        </w:rPr>
        <w:t xml:space="preserve"> the </w:t>
      </w:r>
      <w:r w:rsidR="00D7719A" w:rsidRPr="001D3E93">
        <w:rPr>
          <w:lang w:val="en-US" w:eastAsia="en-US"/>
        </w:rPr>
        <w:t xml:space="preserve">fixed </w:t>
      </w:r>
      <w:r w:rsidR="00565CD1" w:rsidRPr="001D3E93">
        <w:rPr>
          <w:lang w:val="en-US" w:eastAsia="en-US"/>
        </w:rPr>
        <w:t>budget</w:t>
      </w:r>
      <w:r w:rsidR="00D10769" w:rsidRPr="001D3E93">
        <w:rPr>
          <w:lang w:val="en-US" w:eastAsia="en-US"/>
        </w:rPr>
        <w:t xml:space="preserve"> in order</w:t>
      </w:r>
      <w:r w:rsidR="00565CD1" w:rsidRPr="001D3E93">
        <w:rPr>
          <w:lang w:val="en-US" w:eastAsia="en-US"/>
        </w:rPr>
        <w:t xml:space="preserve"> to </w:t>
      </w:r>
      <w:r w:rsidR="009751C6" w:rsidRPr="001D3E93">
        <w:rPr>
          <w:lang w:val="en-US" w:eastAsia="en-US"/>
        </w:rPr>
        <w:t>improve outcomes</w:t>
      </w:r>
      <w:r w:rsidR="00A0613F" w:rsidRPr="001D3E93">
        <w:rPr>
          <w:lang w:val="en-US" w:eastAsia="en-US"/>
        </w:rPr>
        <w:t>.</w:t>
      </w:r>
      <w:r w:rsidR="002D45EC" w:rsidRPr="001D3E93">
        <w:rPr>
          <w:rFonts w:ascii="Verdana" w:eastAsiaTheme="minorHAnsi" w:hAnsi="Verdana" w:cs="Calibri"/>
          <w:color w:val="000000"/>
          <w:lang w:eastAsia="en-AU"/>
        </w:rPr>
        <w:t xml:space="preserve"> </w:t>
      </w:r>
      <w:r w:rsidR="00B449F8" w:rsidRPr="001D3E93">
        <w:rPr>
          <w:rFonts w:ascii="Verdana" w:eastAsia="MS Mincho" w:hAnsi="Verdana" w:cs="Arial"/>
          <w:color w:val="000000"/>
          <w:lang w:val="en-US" w:eastAsia="en-US"/>
        </w:rPr>
        <w:t xml:space="preserve">This situation needs to be managed in future to ensure meaningful grant amounts are available to meet exporter needs. </w:t>
      </w:r>
    </w:p>
    <w:p w14:paraId="0139A65A" w14:textId="1FD215EA" w:rsidR="00BD76FE" w:rsidRPr="001D3E93" w:rsidRDefault="00052173" w:rsidP="002D45EC">
      <w:pPr>
        <w:rPr>
          <w:lang w:eastAsia="en-US"/>
        </w:rPr>
      </w:pPr>
      <w:r w:rsidRPr="001D3E93">
        <w:rPr>
          <w:rFonts w:ascii="Verdana" w:eastAsia="Verdana" w:hAnsi="Verdana" w:cs="Arial"/>
          <w:color w:val="000000"/>
          <w:lang w:eastAsia="en-US"/>
        </w:rPr>
        <w:t xml:space="preserve">Austrade </w:t>
      </w:r>
      <w:r w:rsidR="00565CD1" w:rsidRPr="001D3E93">
        <w:rPr>
          <w:rFonts w:ascii="Verdana" w:eastAsia="Verdana" w:hAnsi="Verdana" w:cs="Arial"/>
          <w:color w:val="000000"/>
          <w:lang w:eastAsia="en-US"/>
        </w:rPr>
        <w:t xml:space="preserve">also </w:t>
      </w:r>
      <w:r w:rsidRPr="001D3E93">
        <w:rPr>
          <w:rFonts w:ascii="Verdana" w:eastAsia="Verdana" w:hAnsi="Verdana" w:cs="Arial"/>
          <w:color w:val="000000"/>
          <w:lang w:eastAsia="en-US"/>
        </w:rPr>
        <w:t>needs to ensure businesses are solvent and able to apply their grant funds to EMDG and not potentially to meet tax debts.</w:t>
      </w:r>
      <w:r w:rsidRPr="001D3E93">
        <w:rPr>
          <w:lang w:eastAsia="en-US"/>
        </w:rPr>
        <w:t xml:space="preserve"> </w:t>
      </w:r>
      <w:r w:rsidR="000B5634" w:rsidRPr="001D3E93">
        <w:rPr>
          <w:lang w:eastAsia="en-US"/>
        </w:rPr>
        <w:t>T</w:t>
      </w:r>
      <w:r w:rsidR="002D45EC" w:rsidRPr="001D3E93">
        <w:rPr>
          <w:lang w:eastAsia="en-US"/>
        </w:rPr>
        <w:t xml:space="preserve">o </w:t>
      </w:r>
      <w:r w:rsidR="00DF5DEA" w:rsidRPr="001D3E93">
        <w:rPr>
          <w:lang w:eastAsia="en-US"/>
        </w:rPr>
        <w:t>manage risks</w:t>
      </w:r>
      <w:r w:rsidR="002D45EC" w:rsidRPr="001D3E93">
        <w:rPr>
          <w:lang w:eastAsia="en-US"/>
        </w:rPr>
        <w:t>, increase probity</w:t>
      </w:r>
      <w:r w:rsidR="00DF5DEA" w:rsidRPr="001D3E93">
        <w:rPr>
          <w:lang w:eastAsia="en-US"/>
        </w:rPr>
        <w:t xml:space="preserve">, </w:t>
      </w:r>
      <w:r w:rsidR="002D45EC" w:rsidRPr="001D3E93">
        <w:rPr>
          <w:lang w:eastAsia="en-US"/>
        </w:rPr>
        <w:t>enhance efficiency</w:t>
      </w:r>
      <w:r w:rsidR="00DF5DEA" w:rsidRPr="001D3E93">
        <w:rPr>
          <w:lang w:eastAsia="en-US"/>
        </w:rPr>
        <w:t xml:space="preserve"> and </w:t>
      </w:r>
      <w:r w:rsidR="00A37C99" w:rsidRPr="001D3E93">
        <w:rPr>
          <w:lang w:eastAsia="en-US"/>
        </w:rPr>
        <w:t xml:space="preserve">ensure the EMDG funding </w:t>
      </w:r>
      <w:r w:rsidR="002D45EC" w:rsidRPr="001D3E93">
        <w:rPr>
          <w:lang w:eastAsia="en-US"/>
        </w:rPr>
        <w:t xml:space="preserve">is </w:t>
      </w:r>
      <w:r w:rsidR="00A37C99" w:rsidRPr="001D3E93">
        <w:rPr>
          <w:lang w:eastAsia="en-US"/>
        </w:rPr>
        <w:t>used for it</w:t>
      </w:r>
      <w:r w:rsidR="00DF5DEA" w:rsidRPr="001D3E93">
        <w:rPr>
          <w:lang w:eastAsia="en-US"/>
        </w:rPr>
        <w:t>s</w:t>
      </w:r>
      <w:r w:rsidR="00A37C99" w:rsidRPr="001D3E93">
        <w:rPr>
          <w:lang w:eastAsia="en-US"/>
        </w:rPr>
        <w:t xml:space="preserve"> purpose</w:t>
      </w:r>
      <w:r w:rsidR="002D45EC" w:rsidRPr="001D3E93">
        <w:rPr>
          <w:lang w:eastAsia="en-US"/>
        </w:rPr>
        <w:t xml:space="preserve">, </w:t>
      </w:r>
      <w:r w:rsidR="00DF5DEA" w:rsidRPr="001D3E93">
        <w:rPr>
          <w:lang w:eastAsia="en-US"/>
        </w:rPr>
        <w:t xml:space="preserve">Austrade will </w:t>
      </w:r>
      <w:r w:rsidR="00DF5DEA" w:rsidRPr="001D3E93">
        <w:rPr>
          <w:rFonts w:ascii="Verdana" w:eastAsia="Verdana" w:hAnsi="Verdana" w:cs="Arial"/>
          <w:color w:val="000000"/>
          <w:lang w:eastAsia="en-US"/>
        </w:rPr>
        <w:t>c</w:t>
      </w:r>
      <w:r w:rsidR="003E6A04" w:rsidRPr="001D3E93">
        <w:rPr>
          <w:rFonts w:ascii="Verdana" w:eastAsia="Verdana" w:hAnsi="Verdana" w:cs="Arial"/>
          <w:color w:val="000000"/>
          <w:lang w:eastAsia="en-US"/>
        </w:rPr>
        <w:t>ollaborate</w:t>
      </w:r>
      <w:r w:rsidR="002D45EC" w:rsidRPr="001D3E93">
        <w:rPr>
          <w:rFonts w:ascii="Verdana" w:eastAsia="Verdana" w:hAnsi="Verdana" w:cs="Arial"/>
          <w:color w:val="000000"/>
          <w:lang w:eastAsia="en-US"/>
        </w:rPr>
        <w:t xml:space="preserve"> with the </w:t>
      </w:r>
      <w:r w:rsidR="003E6A04" w:rsidRPr="001D3E93">
        <w:rPr>
          <w:rFonts w:ascii="Verdana" w:eastAsia="Verdana" w:hAnsi="Verdana" w:cs="Arial"/>
          <w:color w:val="000000"/>
          <w:lang w:eastAsia="en-US"/>
        </w:rPr>
        <w:t xml:space="preserve">ATO to ensure the risks associated with EMDG applicants who are not compliant with their taxation obligations are considered appropriately prior to potentially issuing grant agreements. </w:t>
      </w:r>
      <w:r w:rsidR="002F5A6D" w:rsidRPr="001D3E93">
        <w:rPr>
          <w:lang w:eastAsia="en-US"/>
        </w:rPr>
        <w:t xml:space="preserve">The </w:t>
      </w:r>
      <w:r w:rsidR="002D45EC" w:rsidRPr="001D3E93">
        <w:rPr>
          <w:lang w:eastAsia="en-US"/>
        </w:rPr>
        <w:t xml:space="preserve">ATO </w:t>
      </w:r>
      <w:r w:rsidR="002F5A6D" w:rsidRPr="001D3E93">
        <w:rPr>
          <w:lang w:eastAsia="en-US"/>
        </w:rPr>
        <w:t xml:space="preserve">is supporting Austrade </w:t>
      </w:r>
      <w:r w:rsidR="002D45EC" w:rsidRPr="001D3E93">
        <w:rPr>
          <w:lang w:eastAsia="en-US"/>
        </w:rPr>
        <w:t xml:space="preserve">regarding how compliance information may be used to inform eligibility. </w:t>
      </w:r>
      <w:r w:rsidR="002F5A6D" w:rsidRPr="001D3E93">
        <w:rPr>
          <w:lang w:eastAsia="en-US"/>
        </w:rPr>
        <w:t xml:space="preserve">Through this work Austrade </w:t>
      </w:r>
      <w:r w:rsidR="00D14BC0" w:rsidRPr="001D3E93">
        <w:rPr>
          <w:lang w:eastAsia="en-US"/>
        </w:rPr>
        <w:t>learned</w:t>
      </w:r>
      <w:r w:rsidR="002D45EC" w:rsidRPr="001D3E93">
        <w:rPr>
          <w:lang w:eastAsia="en-US"/>
        </w:rPr>
        <w:t xml:space="preserve"> that </w:t>
      </w:r>
      <w:r w:rsidR="00D14BC0" w:rsidRPr="001D3E93">
        <w:rPr>
          <w:lang w:eastAsia="en-US"/>
        </w:rPr>
        <w:t>for</w:t>
      </w:r>
      <w:r w:rsidR="002D45EC" w:rsidRPr="001D3E93">
        <w:rPr>
          <w:lang w:eastAsia="en-US"/>
        </w:rPr>
        <w:t xml:space="preserve"> 2020-2021, approximately 16 per cent of EMDG recipients were not up-to date with income tax lodgements as at July 2022. These </w:t>
      </w:r>
      <w:r w:rsidR="00D14BC0" w:rsidRPr="001D3E93">
        <w:rPr>
          <w:lang w:eastAsia="en-US"/>
        </w:rPr>
        <w:t>clients</w:t>
      </w:r>
      <w:r w:rsidR="002D45EC" w:rsidRPr="001D3E93">
        <w:rPr>
          <w:lang w:eastAsia="en-US"/>
        </w:rPr>
        <w:t xml:space="preserve"> received approximately $30m in EMDG grants in 2020-21. </w:t>
      </w:r>
      <w:r w:rsidR="00D14BC0" w:rsidRPr="001D3E93">
        <w:rPr>
          <w:lang w:eastAsia="en-US"/>
        </w:rPr>
        <w:t>Further,</w:t>
      </w:r>
      <w:r w:rsidR="002D45EC" w:rsidRPr="001D3E93">
        <w:rPr>
          <w:lang w:eastAsia="en-US"/>
        </w:rPr>
        <w:t xml:space="preserve"> approximately 8 per cent of EMDG recipients had significant ATO debts with no payment arrangements in place as at July 2022. These recipients received approximately $17m in EMDG grants in 2020-21. </w:t>
      </w:r>
    </w:p>
    <w:p w14:paraId="3A14F2FA" w14:textId="7C338852" w:rsidR="00A0613F" w:rsidRPr="001D3E93" w:rsidRDefault="00A0613F" w:rsidP="00A0613F">
      <w:p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 xml:space="preserve">Throughout the EMDG Operational Review, external EMDG stakeholders have provided constructive feedback on both Austrade’s design and administration of EMDG 2.0. </w:t>
      </w:r>
      <w:r w:rsidR="005F719E" w:rsidRPr="001D3E93">
        <w:rPr>
          <w:rFonts w:ascii="Verdana" w:eastAsia="Verdana" w:hAnsi="Verdana" w:cs="Arial"/>
          <w:color w:val="000000"/>
          <w:lang w:eastAsia="en-US"/>
        </w:rPr>
        <w:t xml:space="preserve">Stakeholders commented </w:t>
      </w:r>
      <w:r w:rsidR="00C23A50" w:rsidRPr="001D3E93">
        <w:rPr>
          <w:rFonts w:ascii="Verdana" w:eastAsia="Verdana" w:hAnsi="Verdana" w:cs="Arial"/>
          <w:color w:val="000000"/>
          <w:lang w:eastAsia="en-US"/>
        </w:rPr>
        <w:t xml:space="preserve">positively about </w:t>
      </w:r>
      <w:r w:rsidRPr="001D3E93">
        <w:rPr>
          <w:rFonts w:ascii="Verdana" w:eastAsia="Verdana" w:hAnsi="Verdana" w:cs="Arial"/>
          <w:color w:val="000000"/>
          <w:lang w:eastAsia="en-US"/>
        </w:rPr>
        <w:t xml:space="preserve">Austrade’s engagement, website, newsletters and helpfulness, including the EMDG helpline. </w:t>
      </w:r>
      <w:r w:rsidR="000F5CB4" w:rsidRPr="001D3E93">
        <w:rPr>
          <w:rFonts w:ascii="Verdana" w:eastAsia="Verdana" w:hAnsi="Verdana" w:cs="Arial"/>
          <w:color w:val="000000"/>
          <w:lang w:eastAsia="en-US"/>
        </w:rPr>
        <w:t xml:space="preserve">Stakeholders also raised </w:t>
      </w:r>
      <w:r w:rsidRPr="001D3E93">
        <w:rPr>
          <w:rFonts w:ascii="Verdana" w:eastAsia="Verdana" w:hAnsi="Verdana" w:cs="Arial"/>
          <w:color w:val="000000"/>
          <w:lang w:eastAsia="en-US"/>
        </w:rPr>
        <w:t xml:space="preserve">opportunities for improvement to address </w:t>
      </w:r>
      <w:r w:rsidR="009F6A68" w:rsidRPr="001D3E93">
        <w:rPr>
          <w:rFonts w:ascii="Verdana" w:eastAsia="Verdana" w:hAnsi="Verdana" w:cs="Arial"/>
          <w:color w:val="000000"/>
          <w:lang w:eastAsia="en-US"/>
        </w:rPr>
        <w:t>concerns,</w:t>
      </w:r>
      <w:r w:rsidR="003B25C7" w:rsidRPr="001D3E93">
        <w:rPr>
          <w:rFonts w:ascii="Verdana" w:eastAsia="Verdana" w:hAnsi="Verdana" w:cs="Arial"/>
          <w:color w:val="000000"/>
          <w:lang w:eastAsia="en-US"/>
        </w:rPr>
        <w:t xml:space="preserve"> dissatisfaction </w:t>
      </w:r>
      <w:r w:rsidR="009F6A68" w:rsidRPr="001D3E93">
        <w:rPr>
          <w:rFonts w:ascii="Verdana" w:eastAsia="Verdana" w:hAnsi="Verdana" w:cs="Arial"/>
          <w:color w:val="000000"/>
          <w:lang w:eastAsia="en-US"/>
        </w:rPr>
        <w:t xml:space="preserve">and </w:t>
      </w:r>
      <w:r w:rsidR="000F5CB4" w:rsidRPr="001D3E93">
        <w:rPr>
          <w:rFonts w:ascii="Verdana" w:eastAsia="Verdana" w:hAnsi="Verdana" w:cs="Arial"/>
          <w:color w:val="000000"/>
          <w:lang w:eastAsia="en-US"/>
        </w:rPr>
        <w:t xml:space="preserve">confusion </w:t>
      </w:r>
      <w:r w:rsidR="00B65359" w:rsidRPr="001D3E93">
        <w:rPr>
          <w:rFonts w:ascii="Verdana" w:eastAsia="Verdana" w:hAnsi="Verdana" w:cs="Arial"/>
          <w:color w:val="000000"/>
          <w:lang w:eastAsia="en-US"/>
        </w:rPr>
        <w:t xml:space="preserve">about </w:t>
      </w:r>
      <w:r w:rsidR="00EA7983" w:rsidRPr="001D3E93">
        <w:rPr>
          <w:rFonts w:ascii="Verdana" w:eastAsia="Verdana" w:hAnsi="Verdana" w:cs="Arial"/>
          <w:color w:val="000000"/>
          <w:lang w:eastAsia="en-US"/>
        </w:rPr>
        <w:t>EMDG 2.0</w:t>
      </w:r>
      <w:r w:rsidRPr="001D3E93">
        <w:rPr>
          <w:rFonts w:ascii="Verdana" w:eastAsia="Verdana" w:hAnsi="Verdana" w:cs="Arial"/>
          <w:color w:val="000000"/>
          <w:lang w:eastAsia="en-US"/>
        </w:rPr>
        <w:t xml:space="preserve">. </w:t>
      </w:r>
      <w:r w:rsidR="00582287" w:rsidRPr="001D3E93">
        <w:rPr>
          <w:rFonts w:ascii="Verdana" w:eastAsia="Verdana" w:hAnsi="Verdana" w:cs="Arial"/>
          <w:color w:val="000000"/>
          <w:lang w:eastAsia="en-US"/>
        </w:rPr>
        <w:t>Opportunities for improvements</w:t>
      </w:r>
      <w:r w:rsidRPr="001D3E93">
        <w:rPr>
          <w:rFonts w:ascii="Verdana" w:eastAsia="Verdana" w:hAnsi="Verdana" w:cs="Arial"/>
          <w:color w:val="000000"/>
          <w:lang w:eastAsia="en-US"/>
        </w:rPr>
        <w:t xml:space="preserve"> centre around three key themes: program design, client experience and communications and recognise the importance of continually improving program delivery. </w:t>
      </w:r>
    </w:p>
    <w:p w14:paraId="50BA4646" w14:textId="77777777" w:rsidR="00A0613F" w:rsidRPr="001D3E93" w:rsidRDefault="00A0613F" w:rsidP="00A0613F">
      <w:p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Austrade has already made improvements to EMDG 2.0 including:  </w:t>
      </w:r>
    </w:p>
    <w:p w14:paraId="1526C306" w14:textId="77777777" w:rsidR="00A0613F" w:rsidRPr="001D3E93" w:rsidRDefault="00A0613F" w:rsidP="009103F8">
      <w:pPr>
        <w:numPr>
          <w:ilvl w:val="0"/>
          <w:numId w:val="21"/>
        </w:numPr>
        <w:spacing w:line="259" w:lineRule="auto"/>
        <w:ind w:left="714" w:hanging="357"/>
        <w:rPr>
          <w:rFonts w:ascii="Verdana" w:eastAsia="Verdana" w:hAnsi="Verdana" w:cs="Arial"/>
          <w:color w:val="000000"/>
          <w:lang w:eastAsia="en-US"/>
        </w:rPr>
      </w:pPr>
      <w:r w:rsidRPr="001D3E93">
        <w:rPr>
          <w:rFonts w:ascii="Verdana" w:eastAsia="Verdana" w:hAnsi="Verdana" w:cs="Arial"/>
          <w:color w:val="000000"/>
          <w:lang w:eastAsia="en-US"/>
        </w:rPr>
        <w:t>Publishing application statistics for each EMDG Round on the Austrade website.  </w:t>
      </w:r>
    </w:p>
    <w:p w14:paraId="0B147D9F" w14:textId="77777777" w:rsidR="00A0613F" w:rsidRPr="001D3E93" w:rsidRDefault="00A0613F" w:rsidP="009103F8">
      <w:pPr>
        <w:numPr>
          <w:ilvl w:val="0"/>
          <w:numId w:val="21"/>
        </w:numPr>
        <w:spacing w:line="259" w:lineRule="auto"/>
        <w:ind w:left="714" w:hanging="357"/>
        <w:rPr>
          <w:rFonts w:ascii="Verdana" w:eastAsia="Verdana" w:hAnsi="Verdana" w:cs="Arial"/>
          <w:color w:val="000000"/>
          <w:lang w:eastAsia="en-US"/>
        </w:rPr>
      </w:pPr>
      <w:r w:rsidRPr="001D3E93">
        <w:rPr>
          <w:rFonts w:ascii="Verdana" w:eastAsia="Verdana" w:hAnsi="Verdana" w:cs="Arial"/>
          <w:color w:val="000000"/>
          <w:lang w:eastAsia="en-US"/>
        </w:rPr>
        <w:t>Links to government information to assist applicants fulfil application requirements (e.g., MyGov ID). </w:t>
      </w:r>
    </w:p>
    <w:p w14:paraId="2C23F855" w14:textId="77777777" w:rsidR="00A0613F" w:rsidRPr="001D3E93" w:rsidRDefault="00A0613F" w:rsidP="009103F8">
      <w:pPr>
        <w:numPr>
          <w:ilvl w:val="0"/>
          <w:numId w:val="21"/>
        </w:numPr>
        <w:spacing w:line="259" w:lineRule="auto"/>
        <w:ind w:left="714" w:hanging="357"/>
        <w:rPr>
          <w:rFonts w:ascii="Verdana" w:eastAsia="Verdana" w:hAnsi="Verdana" w:cs="Arial"/>
          <w:color w:val="000000"/>
          <w:lang w:eastAsia="en-US"/>
        </w:rPr>
      </w:pPr>
      <w:r w:rsidRPr="001D3E93">
        <w:rPr>
          <w:rFonts w:ascii="Verdana" w:eastAsia="Verdana" w:hAnsi="Verdana" w:cs="Arial"/>
          <w:color w:val="000000"/>
          <w:lang w:eastAsia="en-US"/>
        </w:rPr>
        <w:t>Increased and targeted communication to provide updates and notify all EMDG applicants of systems and program updates and changes including:</w:t>
      </w:r>
    </w:p>
    <w:p w14:paraId="7AFA97DD" w14:textId="77777777" w:rsidR="00A0613F" w:rsidRPr="001D3E93" w:rsidRDefault="00A0613F" w:rsidP="003F5515">
      <w:pPr>
        <w:numPr>
          <w:ilvl w:val="1"/>
          <w:numId w:val="21"/>
        </w:num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Expected timelines and expected processing times.</w:t>
      </w:r>
    </w:p>
    <w:p w14:paraId="7AA0E1F5" w14:textId="77777777" w:rsidR="00A0613F" w:rsidRPr="001D3E93" w:rsidRDefault="00A0613F" w:rsidP="009103F8">
      <w:pPr>
        <w:numPr>
          <w:ilvl w:val="1"/>
          <w:numId w:val="21"/>
        </w:numPr>
        <w:spacing w:line="259" w:lineRule="auto"/>
        <w:ind w:left="1434" w:hanging="357"/>
        <w:rPr>
          <w:rFonts w:ascii="Verdana" w:eastAsia="Verdana" w:hAnsi="Verdana" w:cs="Arial"/>
          <w:color w:val="000000"/>
          <w:lang w:eastAsia="en-US"/>
        </w:rPr>
      </w:pPr>
      <w:r w:rsidRPr="001D3E93">
        <w:rPr>
          <w:rFonts w:ascii="Verdana" w:eastAsia="Verdana" w:hAnsi="Verdana" w:cs="Arial"/>
          <w:color w:val="000000"/>
          <w:lang w:eastAsia="en-US"/>
        </w:rPr>
        <w:t>Defining and providing examples of ‘currently exporting’ in the EMDG Guidelines (Section 6.3) and adding definitions of ‘exporting businesses’ and ‘strategic shift’ on the website.</w:t>
      </w:r>
    </w:p>
    <w:p w14:paraId="09096AC5" w14:textId="77777777" w:rsidR="00A0613F" w:rsidRPr="001D3E93" w:rsidRDefault="00A0613F" w:rsidP="009103F8">
      <w:pPr>
        <w:numPr>
          <w:ilvl w:val="1"/>
          <w:numId w:val="21"/>
        </w:numPr>
        <w:spacing w:line="259" w:lineRule="auto"/>
        <w:ind w:left="1434" w:hanging="357"/>
        <w:rPr>
          <w:rFonts w:ascii="Verdana" w:eastAsia="Verdana" w:hAnsi="Verdana" w:cs="Arial"/>
          <w:color w:val="000000"/>
          <w:lang w:eastAsia="en-US"/>
        </w:rPr>
      </w:pPr>
      <w:r w:rsidRPr="001D3E93">
        <w:rPr>
          <w:rFonts w:ascii="Verdana" w:eastAsia="Verdana" w:hAnsi="Verdana" w:cs="Arial"/>
          <w:color w:val="000000"/>
          <w:lang w:eastAsia="en-US"/>
        </w:rPr>
        <w:lastRenderedPageBreak/>
        <w:t>Changing the way possible grant amounts by tier are promoted and communicated.</w:t>
      </w:r>
    </w:p>
    <w:p w14:paraId="4951B74C" w14:textId="77777777" w:rsidR="00A0613F" w:rsidRPr="001D3E93" w:rsidRDefault="00A0613F" w:rsidP="009103F8">
      <w:pPr>
        <w:numPr>
          <w:ilvl w:val="1"/>
          <w:numId w:val="22"/>
        </w:numPr>
        <w:spacing w:line="259" w:lineRule="auto"/>
        <w:ind w:left="1434" w:hanging="357"/>
        <w:rPr>
          <w:rFonts w:ascii="Verdana" w:eastAsia="Verdana" w:hAnsi="Verdana" w:cs="Arial"/>
          <w:color w:val="000000"/>
          <w:lang w:eastAsia="en-US"/>
        </w:rPr>
      </w:pPr>
      <w:r w:rsidRPr="001D3E93">
        <w:rPr>
          <w:rFonts w:ascii="Verdana" w:eastAsia="Verdana" w:hAnsi="Verdana" w:cs="Arial"/>
          <w:color w:val="000000"/>
          <w:lang w:eastAsia="en-US"/>
        </w:rPr>
        <w:t>Systems improvements to expedite application, approval and process procedures for applicants under the EMDG program.</w:t>
      </w:r>
    </w:p>
    <w:p w14:paraId="5EF1AD22" w14:textId="33E8EFF1" w:rsidR="00A0613F" w:rsidRPr="001D3E93" w:rsidRDefault="00A0613F"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val="en-US" w:eastAsia="en-US"/>
        </w:rPr>
        <w:t xml:space="preserve">Building on key areas flagged by stakeholders, opportunities for </w:t>
      </w:r>
      <w:r w:rsidR="00271343" w:rsidRPr="001D3E93">
        <w:rPr>
          <w:rFonts w:ascii="Verdana" w:eastAsia="Verdana" w:hAnsi="Verdana" w:cs="Arial"/>
          <w:color w:val="000000"/>
          <w:lang w:val="en-US" w:eastAsia="en-US"/>
        </w:rPr>
        <w:t xml:space="preserve">EMDG 2.0 </w:t>
      </w:r>
      <w:r w:rsidRPr="001D3E93">
        <w:rPr>
          <w:rFonts w:ascii="Verdana" w:eastAsia="Verdana" w:hAnsi="Verdana" w:cs="Arial"/>
          <w:color w:val="000000"/>
          <w:lang w:val="en-US" w:eastAsia="en-US"/>
        </w:rPr>
        <w:t>improvement over two phases are identified</w:t>
      </w:r>
      <w:r w:rsidR="00271343" w:rsidRPr="001D3E93">
        <w:rPr>
          <w:rFonts w:ascii="Verdana" w:eastAsia="Verdana" w:hAnsi="Verdana" w:cs="Arial"/>
          <w:color w:val="000000"/>
          <w:lang w:val="en-US" w:eastAsia="en-US"/>
        </w:rPr>
        <w:t xml:space="preserve"> below</w:t>
      </w:r>
      <w:r w:rsidRPr="001D3E93">
        <w:rPr>
          <w:rFonts w:ascii="Verdana" w:eastAsia="Verdana" w:hAnsi="Verdana" w:cs="Arial"/>
          <w:color w:val="000000"/>
          <w:lang w:val="en-US" w:eastAsia="en-US"/>
        </w:rPr>
        <w:t xml:space="preserve">. </w:t>
      </w:r>
      <w:r w:rsidR="00BD478A" w:rsidRPr="001D3E93">
        <w:rPr>
          <w:rFonts w:ascii="Verdana" w:eastAsia="Verdana" w:hAnsi="Verdana" w:cs="Arial"/>
          <w:color w:val="000000"/>
          <w:lang w:val="en-US" w:eastAsia="en-US"/>
        </w:rPr>
        <w:br/>
      </w:r>
    </w:p>
    <w:p w14:paraId="788BD8F9" w14:textId="7B07DDDB" w:rsidR="00A0613F" w:rsidRPr="001D3E93" w:rsidRDefault="006E6DA2" w:rsidP="753EC435">
      <w:pPr>
        <w:spacing w:after="160" w:line="259" w:lineRule="auto"/>
        <w:rPr>
          <w:rFonts w:ascii="Verdana" w:eastAsia="Verdana" w:hAnsi="Verdana" w:cs="Arial"/>
          <w:color w:val="000000"/>
          <w:lang w:eastAsia="en-US"/>
        </w:rPr>
      </w:pPr>
      <w:bookmarkStart w:id="282" w:name="_Toc120547723"/>
      <w:bookmarkStart w:id="283" w:name="_Toc124433394"/>
      <w:r w:rsidRPr="001D3E93">
        <w:rPr>
          <w:rStyle w:val="Heading3Char"/>
          <w:b w:val="0"/>
          <w:bCs w:val="0"/>
          <w:caps w:val="0"/>
          <w:sz w:val="24"/>
          <w:szCs w:val="24"/>
          <w:lang w:val="en-US" w:eastAsia="en-US"/>
        </w:rPr>
        <w:t xml:space="preserve">Opportunities for </w:t>
      </w:r>
      <w:r w:rsidR="005F6304" w:rsidRPr="001D3E93">
        <w:rPr>
          <w:rStyle w:val="Heading3Char"/>
          <w:b w:val="0"/>
          <w:bCs w:val="0"/>
          <w:caps w:val="0"/>
          <w:sz w:val="24"/>
          <w:szCs w:val="24"/>
          <w:lang w:val="en-US" w:eastAsia="en-US"/>
        </w:rPr>
        <w:t>i</w:t>
      </w:r>
      <w:r w:rsidRPr="001D3E93">
        <w:rPr>
          <w:rStyle w:val="Heading3Char"/>
          <w:b w:val="0"/>
          <w:bCs w:val="0"/>
          <w:caps w:val="0"/>
          <w:sz w:val="24"/>
          <w:szCs w:val="24"/>
          <w:lang w:val="en-US" w:eastAsia="en-US"/>
        </w:rPr>
        <w:t>mprovement - Phase 1: Short-term</w:t>
      </w:r>
      <w:bookmarkEnd w:id="282"/>
      <w:bookmarkEnd w:id="283"/>
      <w:r w:rsidRPr="001D3E93">
        <w:br/>
      </w:r>
      <w:r w:rsidR="00A0613F" w:rsidRPr="001D3E93">
        <w:rPr>
          <w:rStyle w:val="Heading4Char"/>
          <w:b w:val="0"/>
          <w:bCs w:val="0"/>
          <w:sz w:val="22"/>
          <w:szCs w:val="22"/>
          <w:lang w:eastAsia="en-US"/>
        </w:rPr>
        <w:t>Implement immediate improvements to EMDG program design, client experience and communication</w:t>
      </w:r>
    </w:p>
    <w:p w14:paraId="280FD0AE" w14:textId="77777777" w:rsidR="00A0613F" w:rsidRPr="001D3E93" w:rsidRDefault="00A0613F" w:rsidP="00A0613F">
      <w:p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 xml:space="preserve">In addition to improvements already undertaken by Austrade, this EMDG Operational Review provides short-term opportunities for improvement in three main categories (program design, client experience and communication) to ensure: </w:t>
      </w:r>
    </w:p>
    <w:p w14:paraId="01C55F62" w14:textId="77777777" w:rsidR="00A0613F" w:rsidRPr="001D3E93" w:rsidRDefault="00A0613F" w:rsidP="009103F8">
      <w:pPr>
        <w:numPr>
          <w:ilvl w:val="0"/>
          <w:numId w:val="33"/>
        </w:numPr>
        <w:spacing w:line="259" w:lineRule="auto"/>
        <w:ind w:left="714" w:hanging="357"/>
        <w:rPr>
          <w:rFonts w:ascii="Verdana" w:eastAsia="Verdana" w:hAnsi="Verdana" w:cs="Arial"/>
          <w:color w:val="000000"/>
          <w:lang w:eastAsia="en-US"/>
        </w:rPr>
      </w:pPr>
      <w:r w:rsidRPr="001D3E93">
        <w:rPr>
          <w:rFonts w:ascii="Verdana" w:eastAsia="Verdana" w:hAnsi="Verdana" w:cs="Arial"/>
          <w:color w:val="000000"/>
          <w:lang w:eastAsia="en-US"/>
        </w:rPr>
        <w:t>Processes are client-friendly, and information is accessible for stakeholders. </w:t>
      </w:r>
    </w:p>
    <w:p w14:paraId="0BE8E09C" w14:textId="77777777" w:rsidR="00A0613F" w:rsidRPr="001D3E93" w:rsidRDefault="00A0613F" w:rsidP="009103F8">
      <w:pPr>
        <w:numPr>
          <w:ilvl w:val="0"/>
          <w:numId w:val="33"/>
        </w:numPr>
        <w:spacing w:line="259" w:lineRule="auto"/>
        <w:ind w:left="714" w:hanging="357"/>
        <w:rPr>
          <w:rFonts w:ascii="Verdana" w:eastAsia="Verdana" w:hAnsi="Verdana" w:cs="Arial"/>
          <w:color w:val="000000"/>
          <w:lang w:eastAsia="en-US"/>
        </w:rPr>
      </w:pPr>
      <w:r w:rsidRPr="001D3E93">
        <w:rPr>
          <w:rFonts w:ascii="Verdana" w:eastAsia="Verdana" w:hAnsi="Verdana" w:cs="Arial"/>
          <w:color w:val="000000"/>
          <w:lang w:eastAsia="en-US"/>
        </w:rPr>
        <w:t>Communication to stakeholders through various channels is timely, targeted and accurate.</w:t>
      </w:r>
    </w:p>
    <w:p w14:paraId="1470DC75" w14:textId="7B3A965B" w:rsidR="0079728C" w:rsidRPr="001D3E93" w:rsidRDefault="00A0613F" w:rsidP="009103F8">
      <w:pPr>
        <w:numPr>
          <w:ilvl w:val="0"/>
          <w:numId w:val="33"/>
        </w:numPr>
        <w:spacing w:line="259" w:lineRule="auto"/>
        <w:ind w:left="714" w:hanging="357"/>
        <w:contextualSpacing/>
        <w:rPr>
          <w:rStyle w:val="Heading3Char"/>
          <w:rFonts w:ascii="Verdana" w:eastAsia="Verdana" w:hAnsi="Verdana" w:cs="Arial"/>
          <w:b w:val="0"/>
          <w:bCs w:val="0"/>
          <w:caps w:val="0"/>
          <w:color w:val="000000"/>
          <w:lang w:eastAsia="en-US"/>
        </w:rPr>
      </w:pPr>
      <w:r w:rsidRPr="001D3E93">
        <w:rPr>
          <w:rFonts w:ascii="Verdana" w:eastAsia="Verdana" w:hAnsi="Verdana" w:cs="Arial"/>
          <w:color w:val="000000"/>
          <w:lang w:eastAsia="en-US"/>
        </w:rPr>
        <w:t>Round 3 applications which open in early 2023, operates with the benefits of these changes.</w:t>
      </w:r>
    </w:p>
    <w:p w14:paraId="53915AA3" w14:textId="77777777" w:rsidR="0079728C" w:rsidRPr="001D3E93" w:rsidRDefault="0079728C" w:rsidP="00A0613F">
      <w:pPr>
        <w:spacing w:after="160" w:line="259" w:lineRule="auto"/>
        <w:rPr>
          <w:rStyle w:val="Heading3Char"/>
          <w:b w:val="0"/>
          <w:bCs w:val="0"/>
          <w:lang w:val="en-US" w:eastAsia="en-US"/>
        </w:rPr>
      </w:pPr>
    </w:p>
    <w:p w14:paraId="3C65DB8D" w14:textId="58ECE630" w:rsidR="00A0613F" w:rsidRPr="001D3E93" w:rsidRDefault="00C626DA" w:rsidP="00A0613F">
      <w:pPr>
        <w:spacing w:after="160" w:line="259" w:lineRule="auto"/>
        <w:rPr>
          <w:color w:val="2E1A47" w:themeColor="text2"/>
          <w:sz w:val="22"/>
          <w:szCs w:val="22"/>
          <w:lang w:val="en-US" w:eastAsia="en-US"/>
        </w:rPr>
      </w:pPr>
      <w:bookmarkStart w:id="284" w:name="_Toc120547724"/>
      <w:bookmarkStart w:id="285" w:name="_Toc124433395"/>
      <w:r w:rsidRPr="001D3E93">
        <w:rPr>
          <w:rStyle w:val="Heading3Char"/>
          <w:b w:val="0"/>
          <w:bCs w:val="0"/>
          <w:caps w:val="0"/>
          <w:sz w:val="24"/>
          <w:szCs w:val="24"/>
          <w:lang w:val="en-US" w:eastAsia="en-US"/>
        </w:rPr>
        <w:t xml:space="preserve">Opportunities for </w:t>
      </w:r>
      <w:r w:rsidR="005F6304" w:rsidRPr="001D3E93">
        <w:rPr>
          <w:rStyle w:val="Heading3Char"/>
          <w:b w:val="0"/>
          <w:bCs w:val="0"/>
          <w:caps w:val="0"/>
          <w:sz w:val="24"/>
          <w:szCs w:val="24"/>
          <w:lang w:val="en-US" w:eastAsia="en-US"/>
        </w:rPr>
        <w:t>i</w:t>
      </w:r>
      <w:r w:rsidRPr="001D3E93">
        <w:rPr>
          <w:rStyle w:val="Heading3Char"/>
          <w:b w:val="0"/>
          <w:bCs w:val="0"/>
          <w:caps w:val="0"/>
          <w:sz w:val="24"/>
          <w:szCs w:val="24"/>
          <w:lang w:val="en-US" w:eastAsia="en-US"/>
        </w:rPr>
        <w:t>mprovement - Phase 2: Medium-term</w:t>
      </w:r>
      <w:bookmarkEnd w:id="284"/>
      <w:bookmarkEnd w:id="285"/>
      <w:r w:rsidRPr="001D3E93">
        <w:br/>
      </w:r>
      <w:r w:rsidR="00F11C8B" w:rsidRPr="001D3E93">
        <w:rPr>
          <w:rStyle w:val="Heading4Char"/>
          <w:b w:val="0"/>
          <w:bCs w:val="0"/>
          <w:sz w:val="22"/>
          <w:szCs w:val="22"/>
          <w:lang w:val="en-US" w:eastAsia="en-US"/>
        </w:rPr>
        <w:t xml:space="preserve">Balancing demand on </w:t>
      </w:r>
      <w:r w:rsidR="00D777E6">
        <w:rPr>
          <w:rStyle w:val="Heading4Char"/>
          <w:b w:val="0"/>
          <w:bCs w:val="0"/>
          <w:sz w:val="22"/>
          <w:szCs w:val="22"/>
          <w:lang w:val="en-US" w:eastAsia="en-US"/>
        </w:rPr>
        <w:t xml:space="preserve">the </w:t>
      </w:r>
      <w:r w:rsidR="00F11C8B" w:rsidRPr="001D3E93">
        <w:rPr>
          <w:rStyle w:val="Heading4Char"/>
          <w:b w:val="0"/>
          <w:bCs w:val="0"/>
          <w:sz w:val="22"/>
          <w:szCs w:val="22"/>
          <w:lang w:val="en-US" w:eastAsia="en-US"/>
        </w:rPr>
        <w:t>program with meaningful grant amounts to ensure quality outcomes</w:t>
      </w:r>
    </w:p>
    <w:p w14:paraId="2AA4978D" w14:textId="117454A7" w:rsidR="00A0613F" w:rsidRPr="001D3E93" w:rsidRDefault="00A0613F" w:rsidP="00A0613F">
      <w:p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 xml:space="preserve">The growing number of applications </w:t>
      </w:r>
      <w:r w:rsidRPr="001D3E93">
        <w:rPr>
          <w:rFonts w:ascii="Verdana" w:eastAsia="Verdana" w:hAnsi="Verdana" w:cs="Arial"/>
          <w:color w:val="000000"/>
          <w:lang w:val="en-US" w:eastAsia="en-US"/>
        </w:rPr>
        <w:t>(8,107 – after 2 Rounds),</w:t>
      </w:r>
      <w:r w:rsidRPr="001D3E93">
        <w:rPr>
          <w:rFonts w:ascii="Verdana" w:eastAsia="Verdana" w:hAnsi="Verdana" w:cs="Arial"/>
          <w:color w:val="000000"/>
          <w:lang w:eastAsia="en-US"/>
        </w:rPr>
        <w:t xml:space="preserve"> and the resulting decreasing grant amounts means adjustments to policy settings are required to </w:t>
      </w:r>
      <w:r w:rsidR="00BD5262" w:rsidRPr="001D3E93">
        <w:rPr>
          <w:rFonts w:ascii="Verdana" w:eastAsia="Verdana" w:hAnsi="Verdana" w:cs="Arial"/>
          <w:color w:val="000000"/>
          <w:lang w:eastAsia="en-US"/>
        </w:rPr>
        <w:t>balance the level of interest</w:t>
      </w:r>
      <w:r w:rsidRPr="001D3E93">
        <w:rPr>
          <w:rFonts w:ascii="Verdana" w:eastAsia="Verdana" w:hAnsi="Verdana" w:cs="Arial"/>
          <w:color w:val="000000"/>
          <w:lang w:eastAsia="en-US"/>
        </w:rPr>
        <w:t xml:space="preserve"> </w:t>
      </w:r>
      <w:r w:rsidR="00BD5262" w:rsidRPr="001D3E93">
        <w:rPr>
          <w:rFonts w:ascii="Verdana" w:eastAsia="Verdana" w:hAnsi="Verdana" w:cs="Arial"/>
          <w:color w:val="000000"/>
          <w:lang w:eastAsia="en-US"/>
        </w:rPr>
        <w:t>i</w:t>
      </w:r>
      <w:r w:rsidRPr="001D3E93">
        <w:rPr>
          <w:rFonts w:ascii="Verdana" w:eastAsia="Verdana" w:hAnsi="Verdana" w:cs="Arial"/>
          <w:color w:val="000000"/>
          <w:lang w:eastAsia="en-US"/>
        </w:rPr>
        <w:t>n the program</w:t>
      </w:r>
      <w:r w:rsidRPr="001D3E93" w:rsidDel="007E3185">
        <w:rPr>
          <w:rFonts w:ascii="Verdana" w:eastAsia="Verdana" w:hAnsi="Verdana" w:cs="Arial"/>
          <w:color w:val="000000"/>
          <w:lang w:eastAsia="en-US"/>
        </w:rPr>
        <w:t xml:space="preserve"> </w:t>
      </w:r>
      <w:r w:rsidR="00BD5262" w:rsidRPr="001D3E93">
        <w:rPr>
          <w:rFonts w:ascii="Verdana" w:eastAsia="Verdana" w:hAnsi="Verdana" w:cs="Arial"/>
          <w:color w:val="000000"/>
          <w:lang w:eastAsia="en-US"/>
        </w:rPr>
        <w:t xml:space="preserve">against </w:t>
      </w:r>
      <w:r w:rsidR="00E23A49" w:rsidRPr="001D3E93">
        <w:rPr>
          <w:rFonts w:ascii="Verdana" w:eastAsia="Verdana" w:hAnsi="Verdana" w:cs="Arial"/>
          <w:color w:val="000000"/>
          <w:lang w:eastAsia="en-US"/>
        </w:rPr>
        <w:t xml:space="preserve">the </w:t>
      </w:r>
      <w:r w:rsidR="00FF1C8C" w:rsidRPr="001D3E93">
        <w:rPr>
          <w:rFonts w:ascii="Verdana" w:eastAsia="Verdana" w:hAnsi="Verdana" w:cs="Arial"/>
          <w:color w:val="000000"/>
          <w:lang w:eastAsia="en-US"/>
        </w:rPr>
        <w:t>budget appropriation for the program</w:t>
      </w:r>
      <w:r w:rsidRPr="001D3E93">
        <w:rPr>
          <w:rFonts w:ascii="Verdana" w:eastAsia="Verdana" w:hAnsi="Verdana" w:cs="Arial"/>
          <w:color w:val="000000"/>
          <w:lang w:eastAsia="en-US"/>
        </w:rPr>
        <w:t xml:space="preserve">. The sooner policy settings can be planned, consulted </w:t>
      </w:r>
      <w:r w:rsidR="006F105A" w:rsidRPr="001D3E93">
        <w:rPr>
          <w:rFonts w:ascii="Verdana" w:eastAsia="Verdana" w:hAnsi="Verdana" w:cs="Arial"/>
          <w:color w:val="000000"/>
          <w:lang w:eastAsia="en-US"/>
        </w:rPr>
        <w:t xml:space="preserve">on </w:t>
      </w:r>
      <w:r w:rsidRPr="001D3E93">
        <w:rPr>
          <w:rFonts w:ascii="Verdana" w:eastAsia="Verdana" w:hAnsi="Verdana" w:cs="Arial"/>
          <w:color w:val="000000"/>
          <w:lang w:eastAsia="en-US"/>
        </w:rPr>
        <w:t xml:space="preserve">and implemented, the sooner EMDG grant amounts could increase. </w:t>
      </w:r>
      <w:r w:rsidR="006F105A" w:rsidRPr="001D3E93">
        <w:rPr>
          <w:rFonts w:ascii="Verdana" w:eastAsia="Verdana" w:hAnsi="Verdana" w:cs="Arial"/>
          <w:color w:val="000000"/>
          <w:lang w:eastAsia="en-US"/>
        </w:rPr>
        <w:t xml:space="preserve">While the Terms of Reference for this Review noted significant policy changes could be identified for consideration in the next legislative review, it is clear that the requirement for change is needed much sooner. </w:t>
      </w:r>
      <w:r w:rsidRPr="001D3E93">
        <w:rPr>
          <w:rFonts w:ascii="Verdana" w:eastAsia="Verdana" w:hAnsi="Verdana" w:cs="Arial"/>
          <w:color w:val="000000"/>
          <w:lang w:eastAsia="en-US"/>
        </w:rPr>
        <w:t>There is a window of opportunity between now and EMDG Round 4 in 2024</w:t>
      </w:r>
      <w:r w:rsidR="006F105A" w:rsidRPr="001D3E93">
        <w:rPr>
          <w:rFonts w:ascii="Verdana" w:eastAsia="Verdana" w:hAnsi="Verdana" w:cs="Arial"/>
          <w:color w:val="000000"/>
          <w:lang w:eastAsia="en-US"/>
        </w:rPr>
        <w:t>-2025 to progress this work</w:t>
      </w:r>
      <w:r w:rsidR="00335F31" w:rsidRPr="001D3E93">
        <w:rPr>
          <w:rFonts w:ascii="Verdana" w:eastAsia="Verdana" w:hAnsi="Verdana" w:cs="Arial"/>
          <w:color w:val="000000"/>
          <w:lang w:eastAsia="en-US"/>
        </w:rPr>
        <w:t xml:space="preserve">. </w:t>
      </w:r>
    </w:p>
    <w:p w14:paraId="0756C236" w14:textId="6E8CEAAA" w:rsidR="00A0613F" w:rsidRPr="001D3E93" w:rsidRDefault="001332DA"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lang w:eastAsia="en-US"/>
        </w:rPr>
        <w:t>To reduce</w:t>
      </w:r>
      <w:r w:rsidR="00A0613F" w:rsidRPr="001D3E93">
        <w:rPr>
          <w:rFonts w:ascii="Verdana" w:eastAsia="Verdana" w:hAnsi="Verdana" w:cs="Arial"/>
          <w:color w:val="000000"/>
          <w:lang w:eastAsia="en-US"/>
        </w:rPr>
        <w:t xml:space="preserve"> complexity faced by both stakeholders and Austrade in previously administering two programs at once, change</w:t>
      </w:r>
      <w:r w:rsidR="0029588B" w:rsidRPr="001D3E93">
        <w:rPr>
          <w:rFonts w:ascii="Verdana" w:eastAsia="Verdana" w:hAnsi="Verdana" w:cs="Arial"/>
          <w:color w:val="000000"/>
          <w:lang w:eastAsia="en-US"/>
        </w:rPr>
        <w:t>s to</w:t>
      </w:r>
      <w:r w:rsidR="00A0613F" w:rsidRPr="001D3E93">
        <w:rPr>
          <w:rFonts w:ascii="Verdana" w:eastAsia="Verdana" w:hAnsi="Verdana" w:cs="Arial"/>
          <w:color w:val="000000"/>
          <w:lang w:eastAsia="en-US"/>
        </w:rPr>
        <w:t xml:space="preserve"> the program rules to </w:t>
      </w:r>
      <w:r w:rsidR="0073125E" w:rsidRPr="001D3E93">
        <w:rPr>
          <w:rFonts w:ascii="Verdana" w:eastAsia="Verdana" w:hAnsi="Verdana" w:cs="Arial"/>
          <w:color w:val="000000"/>
          <w:lang w:eastAsia="en-US"/>
        </w:rPr>
        <w:t xml:space="preserve">better align the level of interest in the program against funding appropriation </w:t>
      </w:r>
      <w:r w:rsidR="00A0613F" w:rsidRPr="001D3E93">
        <w:rPr>
          <w:rFonts w:ascii="Verdana" w:eastAsia="Verdana" w:hAnsi="Verdana" w:cs="Arial"/>
          <w:color w:val="000000"/>
          <w:lang w:eastAsia="en-US"/>
        </w:rPr>
        <w:t xml:space="preserve">should </w:t>
      </w:r>
      <w:r w:rsidR="002A2C45" w:rsidRPr="001D3E93">
        <w:rPr>
          <w:rFonts w:ascii="Verdana" w:eastAsia="Verdana" w:hAnsi="Verdana" w:cs="Arial"/>
          <w:color w:val="000000"/>
          <w:lang w:eastAsia="en-US"/>
        </w:rPr>
        <w:t>not</w:t>
      </w:r>
      <w:r w:rsidR="00C272FF" w:rsidRPr="001D3E93">
        <w:rPr>
          <w:rFonts w:ascii="Verdana" w:eastAsia="Verdana" w:hAnsi="Verdana" w:cs="Arial"/>
          <w:color w:val="000000"/>
          <w:lang w:eastAsia="en-US"/>
        </w:rPr>
        <w:t xml:space="preserve"> </w:t>
      </w:r>
      <w:r w:rsidR="00A0613F" w:rsidRPr="001D3E93">
        <w:rPr>
          <w:rFonts w:ascii="Verdana" w:eastAsia="Verdana" w:hAnsi="Verdana" w:cs="Arial"/>
          <w:color w:val="000000"/>
          <w:lang w:eastAsia="en-US"/>
        </w:rPr>
        <w:t xml:space="preserve">overlap with previous grant agreements. </w:t>
      </w:r>
      <w:r w:rsidR="00A0613F" w:rsidRPr="001D3E93">
        <w:rPr>
          <w:rFonts w:ascii="Verdana" w:eastAsia="Verdana" w:hAnsi="Verdana" w:cs="Arial"/>
          <w:color w:val="000000"/>
          <w:lang w:val="en-US" w:eastAsia="en-US"/>
        </w:rPr>
        <w:t xml:space="preserve">This can be achieved by only issuing EMDG 2.0 Round 2 grant agreements for a maximum of two years and EMDG 2.0 Round 3 agreements for one year. This will allow the full appropriation for EMDG in 2025/26 to be allocated to new program </w:t>
      </w:r>
      <w:r w:rsidR="005E13B3" w:rsidRPr="001D3E93">
        <w:rPr>
          <w:rFonts w:ascii="Verdana" w:eastAsia="Verdana" w:hAnsi="Verdana" w:cs="Arial"/>
          <w:color w:val="000000"/>
          <w:lang w:val="en-US" w:eastAsia="en-US"/>
        </w:rPr>
        <w:t>settings and</w:t>
      </w:r>
      <w:r w:rsidR="00A0613F" w:rsidRPr="001D3E93">
        <w:rPr>
          <w:rFonts w:ascii="Verdana" w:eastAsia="Verdana" w:hAnsi="Verdana" w:cs="Arial"/>
          <w:color w:val="000000"/>
          <w:lang w:val="en-US" w:eastAsia="en-US"/>
        </w:rPr>
        <w:t xml:space="preserve"> avoid confusion and </w:t>
      </w:r>
      <w:r w:rsidR="004C7D30" w:rsidRPr="001D3E93">
        <w:rPr>
          <w:rFonts w:ascii="Verdana" w:eastAsia="Verdana" w:hAnsi="Verdana" w:cs="Arial"/>
          <w:color w:val="000000"/>
          <w:lang w:val="en-US" w:eastAsia="en-US"/>
        </w:rPr>
        <w:t xml:space="preserve">the </w:t>
      </w:r>
      <w:r w:rsidR="00A0613F" w:rsidRPr="001D3E93">
        <w:rPr>
          <w:rFonts w:ascii="Verdana" w:eastAsia="Verdana" w:hAnsi="Verdana" w:cs="Arial"/>
          <w:color w:val="000000"/>
          <w:lang w:val="en-US" w:eastAsia="en-US"/>
        </w:rPr>
        <w:t>cost associated with the concurrent application of different rules.</w:t>
      </w:r>
    </w:p>
    <w:p w14:paraId="266537C2" w14:textId="2C9623D8" w:rsidR="00A0613F" w:rsidRPr="001D3E93" w:rsidRDefault="007A59C4" w:rsidP="00A0613F">
      <w:pPr>
        <w:spacing w:after="160" w:line="259" w:lineRule="auto"/>
        <w:rPr>
          <w:rFonts w:ascii="Verdana" w:eastAsia="Verdana" w:hAnsi="Verdana" w:cs="Arial"/>
          <w:color w:val="000000"/>
          <w:lang w:val="en-US" w:eastAsia="en-US"/>
        </w:rPr>
      </w:pPr>
      <w:r w:rsidRPr="001D3E93">
        <w:rPr>
          <w:rFonts w:ascii="Verdana" w:eastAsia="Verdana" w:hAnsi="Verdana" w:cs="Arial"/>
          <w:color w:val="000000" w:themeColor="text1"/>
          <w:lang w:eastAsia="en-US"/>
        </w:rPr>
        <w:t>T</w:t>
      </w:r>
      <w:r w:rsidR="00A0613F" w:rsidRPr="001D3E93">
        <w:rPr>
          <w:rFonts w:ascii="Verdana" w:eastAsia="Verdana" w:hAnsi="Verdana" w:cs="Arial"/>
          <w:color w:val="000000" w:themeColor="text1"/>
          <w:lang w:eastAsia="en-US"/>
        </w:rPr>
        <w:t xml:space="preserve">o improve the client experience and to reduce administrative costs, </w:t>
      </w:r>
      <w:r w:rsidR="00D81E78" w:rsidRPr="001D3E93">
        <w:rPr>
          <w:rFonts w:ascii="Verdana" w:eastAsia="Verdana" w:hAnsi="Verdana" w:cs="Arial"/>
          <w:color w:val="000000" w:themeColor="text1"/>
          <w:lang w:eastAsia="en-US"/>
        </w:rPr>
        <w:t xml:space="preserve">Austrade </w:t>
      </w:r>
      <w:r w:rsidR="49624444" w:rsidRPr="001D3E93">
        <w:rPr>
          <w:rFonts w:ascii="Verdana" w:eastAsia="Verdana" w:hAnsi="Verdana" w:cs="Arial"/>
          <w:color w:val="000000" w:themeColor="text1"/>
          <w:lang w:eastAsia="en-US"/>
        </w:rPr>
        <w:t xml:space="preserve">will need to consider improving the </w:t>
      </w:r>
      <w:r w:rsidR="00A0613F" w:rsidRPr="001D3E93">
        <w:rPr>
          <w:rFonts w:ascii="Verdana" w:eastAsia="Verdana" w:hAnsi="Verdana" w:cs="Arial"/>
          <w:color w:val="000000" w:themeColor="text1"/>
          <w:lang w:eastAsia="en-US"/>
        </w:rPr>
        <w:t>EMDG IT system</w:t>
      </w:r>
      <w:r w:rsidR="00E97A61" w:rsidRPr="001D3E93">
        <w:rPr>
          <w:rFonts w:ascii="Verdana" w:eastAsia="Verdana" w:hAnsi="Verdana" w:cs="Arial"/>
          <w:color w:val="000000" w:themeColor="text1"/>
          <w:lang w:eastAsia="en-US"/>
        </w:rPr>
        <w:t xml:space="preserve">. </w:t>
      </w:r>
      <w:r w:rsidR="006C22F1" w:rsidRPr="001D3E93">
        <w:rPr>
          <w:rFonts w:ascii="Verdana" w:eastAsia="Verdana" w:hAnsi="Verdana" w:cs="Arial"/>
          <w:color w:val="000000" w:themeColor="text1"/>
          <w:lang w:eastAsia="en-US"/>
        </w:rPr>
        <w:t>IT improvements</w:t>
      </w:r>
      <w:r w:rsidR="00E97A61" w:rsidRPr="001D3E93">
        <w:rPr>
          <w:rFonts w:ascii="Verdana" w:eastAsia="Verdana" w:hAnsi="Verdana" w:cs="Arial"/>
          <w:color w:val="000000" w:themeColor="text1"/>
          <w:lang w:eastAsia="en-US"/>
        </w:rPr>
        <w:t xml:space="preserve"> would </w:t>
      </w:r>
      <w:r w:rsidR="00A0613F" w:rsidRPr="001D3E93">
        <w:rPr>
          <w:rFonts w:ascii="Verdana" w:eastAsia="Verdana" w:hAnsi="Verdana" w:cs="Arial"/>
          <w:color w:val="000000" w:themeColor="text1"/>
          <w:lang w:eastAsia="en-US"/>
        </w:rPr>
        <w:t>build greater automation, reduce manual</w:t>
      </w:r>
      <w:r w:rsidR="35B922F3" w:rsidRPr="001D3E93">
        <w:rPr>
          <w:rFonts w:ascii="Verdana" w:eastAsia="Verdana" w:hAnsi="Verdana" w:cs="Arial"/>
          <w:color w:val="000000" w:themeColor="text1"/>
          <w:lang w:eastAsia="en-US"/>
        </w:rPr>
        <w:t xml:space="preserve"> handling and therefore</w:t>
      </w:r>
      <w:r w:rsidR="00A0613F" w:rsidRPr="001D3E93">
        <w:rPr>
          <w:rFonts w:ascii="Verdana" w:eastAsia="Verdana" w:hAnsi="Verdana" w:cs="Arial"/>
          <w:color w:val="000000" w:themeColor="text1"/>
          <w:lang w:eastAsia="en-US"/>
        </w:rPr>
        <w:t xml:space="preserve"> staffing costs,</w:t>
      </w:r>
      <w:r w:rsidR="00EE7090" w:rsidRPr="001D3E93">
        <w:rPr>
          <w:rFonts w:ascii="Verdana" w:eastAsia="Verdana" w:hAnsi="Verdana" w:cs="Arial"/>
          <w:color w:val="000000" w:themeColor="text1"/>
          <w:lang w:eastAsia="en-US"/>
        </w:rPr>
        <w:t xml:space="preserve"> improve</w:t>
      </w:r>
      <w:r w:rsidR="00A0613F" w:rsidRPr="001D3E93">
        <w:rPr>
          <w:rFonts w:ascii="Verdana" w:eastAsia="Verdana" w:hAnsi="Verdana" w:cs="Arial"/>
          <w:color w:val="000000" w:themeColor="text1"/>
          <w:lang w:eastAsia="en-US"/>
        </w:rPr>
        <w:t xml:space="preserve"> collect</w:t>
      </w:r>
      <w:r w:rsidR="00EE7090" w:rsidRPr="001D3E93">
        <w:rPr>
          <w:rFonts w:ascii="Verdana" w:eastAsia="Verdana" w:hAnsi="Verdana" w:cs="Arial"/>
          <w:color w:val="000000" w:themeColor="text1"/>
          <w:lang w:eastAsia="en-US"/>
        </w:rPr>
        <w:t>ion</w:t>
      </w:r>
      <w:r w:rsidR="00A0613F" w:rsidRPr="001D3E93">
        <w:rPr>
          <w:rFonts w:ascii="Verdana" w:eastAsia="Verdana" w:hAnsi="Verdana" w:cs="Arial"/>
          <w:color w:val="000000" w:themeColor="text1"/>
          <w:lang w:eastAsia="en-US"/>
        </w:rPr>
        <w:t xml:space="preserve"> </w:t>
      </w:r>
      <w:r w:rsidR="00773590" w:rsidRPr="001D3E93">
        <w:rPr>
          <w:rFonts w:ascii="Verdana" w:eastAsia="Verdana" w:hAnsi="Verdana" w:cs="Arial"/>
          <w:color w:val="000000" w:themeColor="text1"/>
          <w:lang w:eastAsia="en-US"/>
        </w:rPr>
        <w:t>of</w:t>
      </w:r>
      <w:r w:rsidR="00A0613F" w:rsidRPr="001D3E93">
        <w:rPr>
          <w:rFonts w:ascii="Verdana" w:eastAsia="Verdana" w:hAnsi="Verdana" w:cs="Arial"/>
          <w:color w:val="000000" w:themeColor="text1"/>
          <w:lang w:eastAsia="en-US"/>
        </w:rPr>
        <w:t xml:space="preserve"> data to measure return on investment and increase opportunities for risk-assessed grant extensions</w:t>
      </w:r>
      <w:r w:rsidR="00F80432" w:rsidRPr="001D3E93">
        <w:rPr>
          <w:rFonts w:ascii="Verdana" w:eastAsia="Verdana" w:hAnsi="Verdana" w:cs="Arial"/>
          <w:color w:val="000000" w:themeColor="text1"/>
          <w:lang w:eastAsia="en-US"/>
        </w:rPr>
        <w:t xml:space="preserve"> </w:t>
      </w:r>
      <w:r w:rsidR="00A0613F" w:rsidRPr="001D3E93">
        <w:rPr>
          <w:rFonts w:ascii="Verdana" w:eastAsia="Verdana" w:hAnsi="Verdana" w:cs="Arial"/>
          <w:color w:val="000000" w:themeColor="text1"/>
          <w:lang w:eastAsia="en-US"/>
        </w:rPr>
        <w:t>where warranted.</w:t>
      </w:r>
    </w:p>
    <w:p w14:paraId="32C239FB" w14:textId="6A22F631" w:rsidR="0079728C" w:rsidRPr="001D3E93" w:rsidRDefault="00A0613F" w:rsidP="00A0613F">
      <w:pPr>
        <w:spacing w:after="160" w:line="259" w:lineRule="auto"/>
        <w:rPr>
          <w:rFonts w:ascii="Verdana" w:eastAsia="Verdana" w:hAnsi="Verdana" w:cs="Arial"/>
          <w:color w:val="000000"/>
          <w:lang w:eastAsia="en-US"/>
        </w:rPr>
      </w:pPr>
      <w:r w:rsidRPr="001D3E93">
        <w:rPr>
          <w:rFonts w:ascii="Verdana" w:eastAsia="Verdana" w:hAnsi="Verdana" w:cs="Arial"/>
          <w:color w:val="000000"/>
          <w:lang w:eastAsia="en-US"/>
        </w:rPr>
        <w:t xml:space="preserve">A consolidated list of opportunities for improvement can be found in </w:t>
      </w:r>
      <w:r w:rsidR="00C1525C" w:rsidRPr="001D3E93">
        <w:rPr>
          <w:rFonts w:ascii="Verdana" w:eastAsia="Verdana" w:hAnsi="Verdana" w:cs="Arial"/>
          <w:color w:val="000000"/>
          <w:lang w:eastAsia="en-US"/>
        </w:rPr>
        <w:t>table 9</w:t>
      </w:r>
      <w:r w:rsidR="005F6304" w:rsidRPr="001D3E93">
        <w:rPr>
          <w:rFonts w:ascii="Verdana" w:eastAsia="Verdana" w:hAnsi="Verdana" w:cs="Arial"/>
          <w:color w:val="000000"/>
          <w:lang w:eastAsia="en-US"/>
        </w:rPr>
        <w:t xml:space="preserve"> </w:t>
      </w:r>
      <w:r w:rsidRPr="001D3E93">
        <w:rPr>
          <w:rFonts w:ascii="Verdana" w:eastAsia="Verdana" w:hAnsi="Verdana" w:cs="Arial"/>
          <w:color w:val="000000"/>
          <w:lang w:eastAsia="en-US"/>
        </w:rPr>
        <w:t xml:space="preserve">below. </w:t>
      </w:r>
    </w:p>
    <w:p w14:paraId="44E58773" w14:textId="77777777" w:rsidR="00DB15C8" w:rsidRPr="001D3E93" w:rsidRDefault="00DB15C8">
      <w:pPr>
        <w:rPr>
          <w:color w:val="2E1A47" w:themeColor="text2"/>
        </w:rPr>
      </w:pPr>
      <w:r w:rsidRPr="001D3E93">
        <w:br w:type="page"/>
      </w:r>
    </w:p>
    <w:p w14:paraId="11B2470D" w14:textId="77777777" w:rsidR="00EA449D" w:rsidRPr="001D3E93" w:rsidRDefault="00EA449D" w:rsidP="00EA449D">
      <w:pPr>
        <w:pStyle w:val="Heading4"/>
        <w:rPr>
          <w:b w:val="0"/>
          <w:bCs w:val="0"/>
        </w:rPr>
      </w:pPr>
      <w:r w:rsidRPr="001D3E93">
        <w:rPr>
          <w:b w:val="0"/>
          <w:bCs w:val="0"/>
        </w:rPr>
        <w:lastRenderedPageBreak/>
        <w:t>Table 9: Opportunities for Improvement </w:t>
      </w:r>
    </w:p>
    <w:tbl>
      <w:tblPr>
        <w:tblStyle w:val="TableGrid"/>
        <w:tblW w:w="0" w:type="auto"/>
        <w:tblLook w:val="0620" w:firstRow="1" w:lastRow="0" w:firstColumn="0" w:lastColumn="0" w:noHBand="1" w:noVBand="1"/>
        <w:tblCaption w:val="Table 9: Opportunities for Improvement "/>
      </w:tblPr>
      <w:tblGrid>
        <w:gridCol w:w="9628"/>
      </w:tblGrid>
      <w:tr w:rsidR="00C1525C" w:rsidRPr="001D3E93" w14:paraId="505DA107" w14:textId="77777777" w:rsidTr="00EA449D">
        <w:tc>
          <w:tcPr>
            <w:tcW w:w="9628" w:type="dxa"/>
          </w:tcPr>
          <w:p w14:paraId="32F75F30" w14:textId="77777777" w:rsidR="00C1525C" w:rsidRPr="001D3E93" w:rsidRDefault="00C1525C" w:rsidP="00EA449D">
            <w:pPr>
              <w:spacing w:after="160"/>
              <w:rPr>
                <w:sz w:val="22"/>
                <w:szCs w:val="22"/>
                <w:lang w:val="en-US" w:eastAsia="en-AU"/>
              </w:rPr>
            </w:pPr>
            <w:r w:rsidRPr="001D3E93">
              <w:rPr>
                <w:sz w:val="22"/>
                <w:szCs w:val="22"/>
                <w:lang w:val="en-US" w:eastAsia="en-AU"/>
              </w:rPr>
              <w:t>Phase 1: short-term opportunities for improvement</w:t>
            </w:r>
          </w:p>
          <w:p w14:paraId="570B7F84" w14:textId="77777777" w:rsidR="00C1525C" w:rsidRPr="001D3E93" w:rsidRDefault="00C1525C" w:rsidP="00EA449D">
            <w:pPr>
              <w:spacing w:before="160" w:after="60" w:line="259" w:lineRule="auto"/>
              <w:rPr>
                <w:lang w:eastAsia="en-US"/>
              </w:rPr>
            </w:pPr>
            <w:r w:rsidRPr="001D3E93">
              <w:rPr>
                <w:lang w:eastAsia="en-US"/>
              </w:rPr>
              <w:t>Program Design</w:t>
            </w:r>
          </w:p>
          <w:p w14:paraId="6F27C4F0" w14:textId="05EEA064" w:rsidR="00C1525C" w:rsidRPr="001D3E93" w:rsidRDefault="00C1525C" w:rsidP="00EA449D">
            <w:pPr>
              <w:pStyle w:val="ListParagraph"/>
              <w:numPr>
                <w:ilvl w:val="0"/>
                <w:numId w:val="63"/>
              </w:numPr>
              <w:spacing w:after="160" w:line="259" w:lineRule="auto"/>
              <w:contextualSpacing w:val="0"/>
            </w:pPr>
            <w:r w:rsidRPr="001D3E93">
              <w:t>Update the definition of “</w:t>
            </w:r>
            <w:r w:rsidR="00A22EC9">
              <w:t>s</w:t>
            </w:r>
            <w:r w:rsidRPr="001D3E93">
              <w:t xml:space="preserve">trategic </w:t>
            </w:r>
            <w:r w:rsidR="00A22EC9">
              <w:t>s</w:t>
            </w:r>
            <w:r w:rsidRPr="001D3E93">
              <w:t>hift” in the EMDG Guidelines for Round 3 to align with Government’s trade policy objectives on market diversification and improve clarity. </w:t>
            </w:r>
          </w:p>
          <w:p w14:paraId="63BB3128" w14:textId="77777777" w:rsidR="00C1525C" w:rsidRPr="001D3E93" w:rsidRDefault="00C1525C" w:rsidP="00EA449D">
            <w:pPr>
              <w:pStyle w:val="ListParagraph"/>
              <w:numPr>
                <w:ilvl w:val="0"/>
                <w:numId w:val="63"/>
              </w:numPr>
              <w:spacing w:after="160" w:line="259" w:lineRule="auto"/>
              <w:ind w:left="714" w:hanging="357"/>
              <w:contextualSpacing w:val="0"/>
            </w:pPr>
            <w:r w:rsidRPr="001D3E93">
              <w:t>Limit grant agreements to a maximum of two years for all Tiers for Round 2 (a decision for the Austrade delegate within Round 2 Guidelines) and one year for Round 3 (a decision for the Minister when approving the Round 3 Guidelines).</w:t>
            </w:r>
          </w:p>
          <w:p w14:paraId="1F59C30B" w14:textId="77777777" w:rsidR="00C1525C" w:rsidRPr="001D3E93" w:rsidRDefault="00C1525C" w:rsidP="00EA449D">
            <w:pPr>
              <w:pStyle w:val="ListParagraph"/>
              <w:numPr>
                <w:ilvl w:val="0"/>
                <w:numId w:val="63"/>
              </w:numPr>
              <w:spacing w:after="160" w:line="259" w:lineRule="auto"/>
              <w:ind w:left="714" w:hanging="357"/>
              <w:contextualSpacing w:val="0"/>
            </w:pPr>
            <w:r w:rsidRPr="001D3E93">
              <w:t xml:space="preserve">Set a regular program cadence, with application dates, milestone reporting timing and processes occurring at the same time annually. Grant recipients should ideally know their grant allocation before the commencement of the financial year to which it applies. </w:t>
            </w:r>
          </w:p>
          <w:p w14:paraId="519C4BF8" w14:textId="77777777" w:rsidR="00C1525C" w:rsidRPr="001D3E93" w:rsidRDefault="00C1525C" w:rsidP="00EA449D">
            <w:pPr>
              <w:pStyle w:val="ListParagraph"/>
              <w:numPr>
                <w:ilvl w:val="0"/>
                <w:numId w:val="63"/>
              </w:numPr>
              <w:spacing w:after="160" w:line="259" w:lineRule="auto"/>
              <w:ind w:left="714" w:hanging="357"/>
              <w:contextualSpacing w:val="0"/>
            </w:pPr>
            <w:r w:rsidRPr="001D3E93">
              <w:t>Where feasible, ensure administrative processes (i.e., application and milestone reporting) are scheduled to avoid applying additional pressure to SMEs during End of Financial Year and where feasible (noting requirement for Ministerial decision) communicated early. </w:t>
            </w:r>
          </w:p>
          <w:p w14:paraId="741B542A" w14:textId="77777777" w:rsidR="00C1525C" w:rsidRPr="001D3E93" w:rsidRDefault="00C1525C" w:rsidP="00EA449D">
            <w:pPr>
              <w:pStyle w:val="ListParagraph"/>
              <w:numPr>
                <w:ilvl w:val="0"/>
                <w:numId w:val="63"/>
              </w:numPr>
              <w:spacing w:after="160" w:line="259" w:lineRule="auto"/>
              <w:ind w:left="714" w:hanging="357"/>
              <w:contextualSpacing w:val="0"/>
            </w:pPr>
            <w:r w:rsidRPr="001D3E93">
              <w:t>Ensure that data collected in the EMDG 2.0 application and milestone reporting process allows for effective, continuous evaluation of the program against objectives. </w:t>
            </w:r>
          </w:p>
          <w:p w14:paraId="5778BEC0" w14:textId="77777777" w:rsidR="00C1525C" w:rsidRPr="001D3E93" w:rsidRDefault="00C1525C" w:rsidP="00EA449D">
            <w:pPr>
              <w:pStyle w:val="ListParagraph"/>
              <w:numPr>
                <w:ilvl w:val="0"/>
                <w:numId w:val="63"/>
              </w:numPr>
              <w:spacing w:after="160" w:line="259" w:lineRule="auto"/>
              <w:ind w:left="714" w:hanging="357"/>
              <w:contextualSpacing w:val="0"/>
            </w:pPr>
            <w:r w:rsidRPr="001D3E93">
              <w:t xml:space="preserve">Collaborate with the ATO to ensure the risks associated with EMDG applicants who are not compliant with their taxation obligations are considered appropriately prior to potentially issuing grant agreements. Austrade needs to ensure businesses are solvent and able to apply their grant funds to EMDG and not potentially to meet tax debts. </w:t>
            </w:r>
          </w:p>
          <w:p w14:paraId="4E3AB061" w14:textId="77777777" w:rsidR="00C1525C" w:rsidRPr="001D3E93" w:rsidDel="00584E7F" w:rsidRDefault="00C1525C" w:rsidP="00EA449D">
            <w:pPr>
              <w:spacing w:before="160" w:after="60" w:line="259" w:lineRule="auto"/>
              <w:rPr>
                <w:lang w:eastAsia="en-US"/>
              </w:rPr>
            </w:pPr>
            <w:r w:rsidRPr="001D3E93">
              <w:rPr>
                <w:lang w:eastAsia="en-US"/>
              </w:rPr>
              <w:t>Client Experience</w:t>
            </w:r>
          </w:p>
          <w:p w14:paraId="3C8D50E8" w14:textId="77777777" w:rsidR="00C1525C" w:rsidRPr="001D3E93" w:rsidRDefault="00C1525C" w:rsidP="00EA449D">
            <w:pPr>
              <w:pStyle w:val="ListParagraph"/>
              <w:numPr>
                <w:ilvl w:val="0"/>
                <w:numId w:val="63"/>
              </w:numPr>
              <w:spacing w:after="160" w:line="259" w:lineRule="auto"/>
              <w:ind w:left="714" w:hanging="357"/>
              <w:contextualSpacing w:val="0"/>
            </w:pPr>
            <w:r w:rsidRPr="001D3E93">
              <w:t>Seek the support of other agencies (e.g., ATO and Services Australia) to provide helpful guidance for EMDG clients in relation to processes related to EMDG such as linking MyGovID.</w:t>
            </w:r>
          </w:p>
          <w:p w14:paraId="14659BB1" w14:textId="77777777" w:rsidR="00C1525C" w:rsidRPr="001D3E93" w:rsidDel="00584E7F" w:rsidRDefault="00C1525C" w:rsidP="00EA449D">
            <w:pPr>
              <w:pStyle w:val="ListParagraph"/>
              <w:numPr>
                <w:ilvl w:val="0"/>
                <w:numId w:val="63"/>
              </w:numPr>
              <w:spacing w:after="160" w:line="259" w:lineRule="auto"/>
              <w:ind w:left="714" w:hanging="357"/>
              <w:contextualSpacing w:val="0"/>
            </w:pPr>
            <w:r w:rsidRPr="001D3E93">
              <w:t>Streamline the Plan to Market and Milestone Report templates for ease of applicants’ use while ensuring these meet program requirements and objectives, especially in relation to data for evaluation.    </w:t>
            </w:r>
          </w:p>
          <w:p w14:paraId="19128CC0" w14:textId="77777777" w:rsidR="00C1525C" w:rsidRPr="001D3E93" w:rsidDel="00584E7F" w:rsidRDefault="00C1525C" w:rsidP="00EA449D">
            <w:pPr>
              <w:spacing w:before="160" w:after="60" w:line="259" w:lineRule="auto"/>
              <w:rPr>
                <w:lang w:eastAsia="en-US"/>
              </w:rPr>
            </w:pPr>
            <w:r w:rsidRPr="001D3E93">
              <w:rPr>
                <w:lang w:eastAsia="en-US"/>
              </w:rPr>
              <w:t>Communications</w:t>
            </w:r>
          </w:p>
          <w:p w14:paraId="77AE651C" w14:textId="77777777" w:rsidR="00C1525C" w:rsidRPr="001D3E93" w:rsidRDefault="00C1525C" w:rsidP="00EA449D">
            <w:pPr>
              <w:pStyle w:val="ListParagraph"/>
              <w:numPr>
                <w:ilvl w:val="0"/>
                <w:numId w:val="63"/>
              </w:numPr>
              <w:spacing w:after="160" w:line="259" w:lineRule="auto"/>
              <w:ind w:left="714" w:hanging="357"/>
              <w:contextualSpacing w:val="0"/>
            </w:pPr>
            <w:r w:rsidRPr="001D3E93">
              <w:t>Refine and provide information materials regularly throughout the EMDG cycle. These activities, such as webinars, could be tailored to meet the needs of those who are new to EMDG, and those who are experienced with the previous EMDG program.</w:t>
            </w:r>
          </w:p>
          <w:p w14:paraId="7869C852" w14:textId="77777777" w:rsidR="00C1525C" w:rsidRPr="001D3E93" w:rsidRDefault="00C1525C" w:rsidP="00EA449D">
            <w:pPr>
              <w:pStyle w:val="ListParagraph"/>
              <w:numPr>
                <w:ilvl w:val="0"/>
                <w:numId w:val="63"/>
              </w:numPr>
              <w:spacing w:after="160" w:line="259" w:lineRule="auto"/>
              <w:ind w:left="714" w:hanging="357"/>
              <w:contextualSpacing w:val="0"/>
            </w:pPr>
            <w:r w:rsidRPr="001D3E93">
              <w:t>Continue to provide all applicants and industry stakeholders with clear and regular communications on EMDG and the opportunity to provide regular feedback on the program.  </w:t>
            </w:r>
          </w:p>
          <w:p w14:paraId="0D36FA63" w14:textId="77777777" w:rsidR="00C1525C" w:rsidRPr="001D3E93" w:rsidDel="00584E7F" w:rsidRDefault="00C1525C" w:rsidP="00EA449D">
            <w:pPr>
              <w:pStyle w:val="ListParagraph"/>
              <w:numPr>
                <w:ilvl w:val="0"/>
                <w:numId w:val="63"/>
              </w:numPr>
              <w:spacing w:after="160" w:line="259" w:lineRule="auto"/>
              <w:ind w:left="714" w:hanging="357"/>
              <w:contextualSpacing w:val="0"/>
            </w:pPr>
            <w:r w:rsidRPr="001D3E93">
              <w:t xml:space="preserve">Communicate key program information, including opening and closing dates, early where feasible (noting requirement for Ministerial decision) and more frequently. </w:t>
            </w:r>
          </w:p>
          <w:p w14:paraId="1130608A" w14:textId="77777777" w:rsidR="00C1525C" w:rsidRPr="001D3E93" w:rsidRDefault="00C1525C" w:rsidP="00EA449D">
            <w:pPr>
              <w:spacing w:after="160"/>
              <w:rPr>
                <w:sz w:val="22"/>
                <w:szCs w:val="22"/>
                <w:lang w:val="en-US" w:eastAsia="en-AU"/>
              </w:rPr>
            </w:pPr>
            <w:r w:rsidRPr="001D3E93">
              <w:rPr>
                <w:sz w:val="22"/>
                <w:szCs w:val="22"/>
                <w:lang w:val="en-US" w:eastAsia="en-AU"/>
              </w:rPr>
              <w:t>Phase 2: Medium-term Opportunities for improvement</w:t>
            </w:r>
          </w:p>
          <w:p w14:paraId="07F446EF" w14:textId="77777777" w:rsidR="00C1525C" w:rsidRPr="001D3E93" w:rsidRDefault="00C1525C" w:rsidP="00EA449D">
            <w:pPr>
              <w:pStyle w:val="ListParagraph"/>
              <w:numPr>
                <w:ilvl w:val="0"/>
                <w:numId w:val="63"/>
              </w:numPr>
              <w:spacing w:after="160" w:line="259" w:lineRule="auto"/>
              <w:ind w:left="714" w:hanging="357"/>
              <w:contextualSpacing w:val="0"/>
            </w:pPr>
            <w:r w:rsidRPr="001D3E93">
              <w:t xml:space="preserve">Ahead of Round 4, change the EMDG rules to better balance the level of interest in EMDG with the budget appropriation, which should result in an increase in grant amounts. Stakeholder engagement is recommended to consider design changes for </w:t>
            </w:r>
            <w:r w:rsidRPr="001D3E93">
              <w:lastRenderedPageBreak/>
              <w:t>EMDG. Implementation of program design recommendation 2 would clear legacy grant agreements in the EMDG pool.</w:t>
            </w:r>
          </w:p>
          <w:p w14:paraId="4151E629" w14:textId="77777777" w:rsidR="00C1525C" w:rsidRPr="001D3E93" w:rsidRDefault="00C1525C" w:rsidP="00EA449D">
            <w:pPr>
              <w:pStyle w:val="ListParagraph"/>
              <w:numPr>
                <w:ilvl w:val="0"/>
                <w:numId w:val="63"/>
              </w:numPr>
              <w:spacing w:after="160" w:line="259" w:lineRule="auto"/>
              <w:ind w:left="714" w:hanging="357"/>
              <w:contextualSpacing w:val="0"/>
            </w:pPr>
            <w:r w:rsidRPr="001D3E93">
              <w:t>Upgrade the EMDG IT systems to improve automation and deliver quicker and higher quality application processing.  Investment in the IT infrastructure would reduce manual processing, thereby reducing Austrade’s administration costs, which are currently above the allocated 5 per cent appropriation due to resourcing required to administer the program.</w:t>
            </w:r>
          </w:p>
          <w:p w14:paraId="2B21F26A" w14:textId="77777777" w:rsidR="00C1525C" w:rsidRPr="001D3E93" w:rsidRDefault="00C1525C">
            <w:pPr>
              <w:rPr>
                <w:rFonts w:ascii="Verdana" w:eastAsia="Calibri" w:hAnsi="Verdana" w:cs="Arial"/>
                <w:lang w:val="en-US" w:eastAsia="en-US"/>
              </w:rPr>
            </w:pPr>
          </w:p>
        </w:tc>
      </w:tr>
    </w:tbl>
    <w:p w14:paraId="0A039E73" w14:textId="77777777" w:rsidR="00EA449D" w:rsidRPr="001D3E93" w:rsidRDefault="00EA449D" w:rsidP="5AEBC6A9">
      <w:pPr>
        <w:spacing w:after="160" w:line="259" w:lineRule="auto"/>
        <w:rPr>
          <w:rFonts w:ascii="Verdana" w:eastAsia="Calibri" w:hAnsi="Verdana" w:cs="Arial"/>
          <w:lang w:val="en-US" w:eastAsia="en-US"/>
        </w:rPr>
      </w:pPr>
    </w:p>
    <w:p w14:paraId="4E2AC2E7" w14:textId="7DCF0519" w:rsidR="00A0613F" w:rsidRPr="001D3E93" w:rsidRDefault="00A0613F" w:rsidP="5AEBC6A9">
      <w:pPr>
        <w:spacing w:after="160" w:line="259" w:lineRule="auto"/>
        <w:rPr>
          <w:rFonts w:ascii="Verdana" w:eastAsia="Calibri" w:hAnsi="Verdana" w:cs="Arial"/>
          <w:lang w:val="en-US" w:eastAsia="en-US"/>
        </w:rPr>
      </w:pPr>
      <w:r w:rsidRPr="001D3E93">
        <w:rPr>
          <w:rFonts w:ascii="Verdana" w:eastAsia="Calibri" w:hAnsi="Verdana" w:cs="Arial"/>
          <w:lang w:val="en-US" w:eastAsia="en-US"/>
        </w:rPr>
        <w:t xml:space="preserve">Table 10 </w:t>
      </w:r>
      <w:r w:rsidR="00D20882" w:rsidRPr="001D3E93">
        <w:rPr>
          <w:rFonts w:ascii="Verdana" w:eastAsia="Calibri" w:hAnsi="Verdana" w:cs="Arial"/>
          <w:lang w:val="en-US" w:eastAsia="en-US"/>
        </w:rPr>
        <w:t>provides</w:t>
      </w:r>
      <w:r w:rsidRPr="001D3E93">
        <w:rPr>
          <w:rFonts w:ascii="Verdana" w:eastAsia="Calibri" w:hAnsi="Verdana" w:cs="Arial"/>
          <w:lang w:val="en-US" w:eastAsia="en-US"/>
        </w:rPr>
        <w:t xml:space="preserve"> early identification of some options available to </w:t>
      </w:r>
      <w:r w:rsidR="00920611" w:rsidRPr="001D3E93">
        <w:rPr>
          <w:rFonts w:ascii="Verdana" w:eastAsia="Calibri" w:hAnsi="Verdana" w:cs="Arial"/>
          <w:lang w:val="en-US" w:eastAsia="en-US"/>
        </w:rPr>
        <w:t xml:space="preserve">address the imbalance </w:t>
      </w:r>
      <w:r w:rsidR="673FC0DD" w:rsidRPr="001D3E93">
        <w:rPr>
          <w:rFonts w:ascii="Verdana" w:eastAsia="Calibri" w:hAnsi="Verdana" w:cs="Arial"/>
          <w:lang w:val="en-US" w:eastAsia="en-US"/>
        </w:rPr>
        <w:t>between</w:t>
      </w:r>
      <w:r w:rsidR="00920611" w:rsidRPr="001D3E93">
        <w:rPr>
          <w:rFonts w:ascii="Verdana" w:eastAsia="Calibri" w:hAnsi="Verdana" w:cs="Arial"/>
          <w:lang w:val="en-US" w:eastAsia="en-US"/>
        </w:rPr>
        <w:t xml:space="preserve"> the level of interest in</w:t>
      </w:r>
      <w:r w:rsidR="00BF4208" w:rsidRPr="001D3E93">
        <w:rPr>
          <w:rFonts w:ascii="Verdana" w:eastAsia="Calibri" w:hAnsi="Verdana" w:cs="Arial"/>
          <w:lang w:val="en-US" w:eastAsia="en-US"/>
        </w:rPr>
        <w:t xml:space="preserve"> the program</w:t>
      </w:r>
      <w:r w:rsidR="00920611" w:rsidRPr="001D3E93">
        <w:rPr>
          <w:rFonts w:ascii="Verdana" w:eastAsia="Calibri" w:hAnsi="Verdana" w:cs="Arial"/>
          <w:lang w:val="en-US" w:eastAsia="en-US"/>
        </w:rPr>
        <w:t xml:space="preserve"> </w:t>
      </w:r>
      <w:r w:rsidR="7F156CF0" w:rsidRPr="001D3E93">
        <w:rPr>
          <w:rFonts w:ascii="Verdana" w:eastAsia="Calibri" w:hAnsi="Verdana" w:cs="Arial"/>
          <w:lang w:val="en-US" w:eastAsia="en-US"/>
        </w:rPr>
        <w:t xml:space="preserve">and </w:t>
      </w:r>
      <w:r w:rsidR="00D20882" w:rsidRPr="001D3E93">
        <w:rPr>
          <w:rFonts w:ascii="Verdana" w:eastAsia="Calibri" w:hAnsi="Verdana" w:cs="Arial"/>
          <w:lang w:val="en-US" w:eastAsia="en-US"/>
        </w:rPr>
        <w:t>the</w:t>
      </w:r>
      <w:r w:rsidR="7BDE1130" w:rsidRPr="001D3E93">
        <w:rPr>
          <w:rFonts w:ascii="Verdana" w:eastAsia="Calibri" w:hAnsi="Verdana" w:cs="Arial"/>
          <w:lang w:val="en-US" w:eastAsia="en-US"/>
        </w:rPr>
        <w:t xml:space="preserve"> available</w:t>
      </w:r>
      <w:r w:rsidR="00D20882" w:rsidRPr="001D3E93">
        <w:rPr>
          <w:rFonts w:ascii="Verdana" w:eastAsia="Calibri" w:hAnsi="Verdana" w:cs="Arial"/>
          <w:lang w:val="en-US" w:eastAsia="en-US"/>
        </w:rPr>
        <w:t xml:space="preserve"> </w:t>
      </w:r>
      <w:r w:rsidR="0074296A" w:rsidRPr="001D3E93">
        <w:rPr>
          <w:rFonts w:ascii="Verdana" w:eastAsia="Calibri" w:hAnsi="Verdana" w:cs="Arial"/>
          <w:lang w:val="en-US" w:eastAsia="en-US"/>
        </w:rPr>
        <w:t>budget</w:t>
      </w:r>
      <w:r w:rsidR="1CBF1916" w:rsidRPr="001D3E93">
        <w:rPr>
          <w:rFonts w:ascii="Verdana" w:eastAsia="Calibri" w:hAnsi="Verdana" w:cs="Arial"/>
          <w:lang w:val="en-US" w:eastAsia="en-US"/>
        </w:rPr>
        <w:t xml:space="preserve"> appropriation</w:t>
      </w:r>
      <w:r w:rsidRPr="001D3E93">
        <w:rPr>
          <w:rFonts w:ascii="Verdana" w:eastAsia="Calibri" w:hAnsi="Verdana" w:cs="Arial"/>
          <w:lang w:val="en-US" w:eastAsia="en-US"/>
        </w:rPr>
        <w:t xml:space="preserve">. </w:t>
      </w:r>
      <w:r w:rsidR="4699B9EB" w:rsidRPr="001D3E93">
        <w:rPr>
          <w:rFonts w:ascii="Verdana" w:eastAsia="Calibri" w:hAnsi="Verdana" w:cs="Arial"/>
          <w:lang w:val="en-US" w:eastAsia="en-US"/>
        </w:rPr>
        <w:t>Further work will be required to determine if or how changed program parameters could s</w:t>
      </w:r>
      <w:r w:rsidRPr="001D3E93">
        <w:rPr>
          <w:rFonts w:ascii="Verdana" w:eastAsia="Calibri" w:hAnsi="Verdana" w:cs="Arial"/>
          <w:lang w:val="en-US" w:eastAsia="en-US"/>
        </w:rPr>
        <w:t xml:space="preserve">kew behaviour </w:t>
      </w:r>
      <w:r w:rsidR="3FA09DD1" w:rsidRPr="001D3E93">
        <w:rPr>
          <w:rFonts w:ascii="Verdana" w:eastAsia="Calibri" w:hAnsi="Verdana" w:cs="Arial"/>
          <w:lang w:val="en-US" w:eastAsia="en-US"/>
        </w:rPr>
        <w:t xml:space="preserve">or </w:t>
      </w:r>
      <w:r w:rsidR="78B71657" w:rsidRPr="001D3E93">
        <w:rPr>
          <w:rFonts w:ascii="Verdana" w:eastAsia="Calibri" w:hAnsi="Verdana" w:cs="Arial"/>
          <w:lang w:val="en-US" w:eastAsia="en-US"/>
        </w:rPr>
        <w:t xml:space="preserve">result in other </w:t>
      </w:r>
      <w:r w:rsidRPr="001D3E93">
        <w:rPr>
          <w:rFonts w:ascii="Verdana" w:eastAsia="Calibri" w:hAnsi="Verdana" w:cs="Arial"/>
          <w:lang w:val="en-US" w:eastAsia="en-US"/>
        </w:rPr>
        <w:t xml:space="preserve">unintended consequences. This review recommends that </w:t>
      </w:r>
      <w:r w:rsidR="4D7137D3" w:rsidRPr="001D3E93">
        <w:rPr>
          <w:rFonts w:ascii="Verdana" w:eastAsia="Calibri" w:hAnsi="Verdana" w:cs="Arial"/>
          <w:lang w:val="en-US" w:eastAsia="en-US"/>
        </w:rPr>
        <w:t>such options be further evaluated</w:t>
      </w:r>
      <w:r w:rsidR="49DECF93" w:rsidRPr="001D3E93">
        <w:rPr>
          <w:rFonts w:ascii="Verdana" w:eastAsia="Calibri" w:hAnsi="Verdana" w:cs="Arial"/>
          <w:lang w:val="en-US" w:eastAsia="en-US"/>
        </w:rPr>
        <w:t>, noting also t</w:t>
      </w:r>
      <w:r w:rsidR="72E84BF7" w:rsidRPr="001D3E93">
        <w:rPr>
          <w:rFonts w:ascii="Verdana" w:eastAsia="Calibri" w:hAnsi="Verdana" w:cs="Arial"/>
          <w:lang w:val="en-US" w:eastAsia="en-US"/>
        </w:rPr>
        <w:t>hat t</w:t>
      </w:r>
      <w:r w:rsidR="49DECF93" w:rsidRPr="001D3E93">
        <w:rPr>
          <w:rFonts w:ascii="Verdana" w:eastAsia="Calibri" w:hAnsi="Verdana" w:cs="Arial"/>
          <w:lang w:val="en-US" w:eastAsia="en-US"/>
        </w:rPr>
        <w:t>he EMDG Act specifies ‘small and medium enterprises’ as the target of EMDG financial assistance (s3).</w:t>
      </w:r>
    </w:p>
    <w:p w14:paraId="5983E6BE" w14:textId="20562F34" w:rsidR="00A0613F" w:rsidRPr="001D3E93" w:rsidRDefault="00A0613F" w:rsidP="00F95BC5">
      <w:pPr>
        <w:pStyle w:val="Heading4"/>
        <w:rPr>
          <w:rFonts w:ascii="Verdana" w:eastAsia="Calibri" w:hAnsi="Verdana" w:cs="Arial"/>
          <w:b w:val="0"/>
          <w:bCs w:val="0"/>
          <w:lang w:val="en-US" w:eastAsia="en-US"/>
        </w:rPr>
      </w:pPr>
      <w:r w:rsidRPr="001D3E93">
        <w:rPr>
          <w:b w:val="0"/>
          <w:bCs w:val="0"/>
          <w:lang w:val="en-US" w:eastAsia="en-US"/>
        </w:rPr>
        <w:t xml:space="preserve">Table </w:t>
      </w:r>
      <w:r w:rsidR="00C1525C" w:rsidRPr="001D3E93">
        <w:rPr>
          <w:b w:val="0"/>
          <w:bCs w:val="0"/>
          <w:lang w:val="en-US" w:eastAsia="en-US"/>
        </w:rPr>
        <w:t>10</w:t>
      </w:r>
      <w:r w:rsidRPr="001D3E93">
        <w:rPr>
          <w:rFonts w:ascii="Verdana" w:eastAsia="Calibri" w:hAnsi="Verdana" w:cs="Arial"/>
          <w:b w:val="0"/>
          <w:bCs w:val="0"/>
          <w:lang w:val="en-US" w:eastAsia="en-US"/>
        </w:rPr>
        <w:t>:  O</w:t>
      </w:r>
      <w:r w:rsidR="00A26F87" w:rsidRPr="001D3E93">
        <w:rPr>
          <w:rFonts w:ascii="Verdana" w:eastAsia="Calibri" w:hAnsi="Verdana" w:cs="Arial"/>
          <w:b w:val="0"/>
          <w:bCs w:val="0"/>
          <w:lang w:val="en-US" w:eastAsia="en-US"/>
        </w:rPr>
        <w:t xml:space="preserve">ptions that could be considered </w:t>
      </w:r>
      <w:r w:rsidR="004B5CBA" w:rsidRPr="001D3E93">
        <w:rPr>
          <w:rFonts w:ascii="Verdana" w:eastAsia="Calibri" w:hAnsi="Verdana" w:cs="Arial"/>
          <w:b w:val="0"/>
          <w:bCs w:val="0"/>
          <w:lang w:val="en-US" w:eastAsia="en-US"/>
        </w:rPr>
        <w:t>to improve grant outcomes</w:t>
      </w:r>
    </w:p>
    <w:tbl>
      <w:tblPr>
        <w:tblStyle w:val="TableGrid2"/>
        <w:tblW w:w="10652" w:type="dxa"/>
        <w:tblInd w:w="-512" w:type="dxa"/>
        <w:tblLook w:val="04A0" w:firstRow="1" w:lastRow="0" w:firstColumn="1" w:lastColumn="0" w:noHBand="0" w:noVBand="1"/>
        <w:tblCaption w:val="Table 10:  Options that could be considered to improve grant outcomes"/>
      </w:tblPr>
      <w:tblGrid>
        <w:gridCol w:w="10652"/>
      </w:tblGrid>
      <w:tr w:rsidR="0002505C" w:rsidRPr="001D3E93" w14:paraId="463610D7" w14:textId="77777777" w:rsidTr="00B43CA8">
        <w:trPr>
          <w:trHeight w:val="261"/>
        </w:trPr>
        <w:tc>
          <w:tcPr>
            <w:tcW w:w="10652" w:type="dxa"/>
            <w:shd w:val="clear" w:color="auto" w:fill="412564" w:themeFill="text2" w:themeFillTint="E6"/>
          </w:tcPr>
          <w:p w14:paraId="3437E429" w14:textId="4FD051D0" w:rsidR="0002505C" w:rsidRPr="001D3E93" w:rsidRDefault="0002505C" w:rsidP="00A0613F">
            <w:pPr>
              <w:ind w:left="142" w:right="133"/>
              <w:textAlignment w:val="baseline"/>
              <w:rPr>
                <w:rFonts w:ascii="Verdana" w:eastAsia="Times New Roman" w:hAnsi="Verdana" w:cs="Calibri"/>
                <w:color w:val="FFFFFF"/>
                <w:lang w:eastAsia="en-AU"/>
              </w:rPr>
            </w:pPr>
            <w:r w:rsidRPr="001D3E93">
              <w:rPr>
                <w:rFonts w:ascii="Verdana" w:eastAsia="Times New Roman" w:hAnsi="Verdana" w:cs="Calibri"/>
                <w:color w:val="FFFFFF"/>
                <w:lang w:eastAsia="en-AU"/>
              </w:rPr>
              <w:t>Options</w:t>
            </w:r>
            <w:r w:rsidR="00335A5B" w:rsidRPr="001D3E93">
              <w:rPr>
                <w:rFonts w:ascii="Verdana" w:eastAsia="Times New Roman" w:hAnsi="Verdana" w:cs="Calibri"/>
                <w:color w:val="FFFFFF"/>
                <w:lang w:eastAsia="en-AU"/>
              </w:rPr>
              <w:t xml:space="preserve"> that could be considered to improve grant outcomes</w:t>
            </w:r>
          </w:p>
        </w:tc>
      </w:tr>
      <w:tr w:rsidR="005557B8" w:rsidRPr="001D3E93" w14:paraId="10EFE441" w14:textId="77777777" w:rsidTr="00B43CA8">
        <w:tc>
          <w:tcPr>
            <w:tcW w:w="10652" w:type="dxa"/>
            <w:shd w:val="clear" w:color="auto" w:fill="E8E0F3" w:themeFill="accent2" w:themeFillTint="1A"/>
          </w:tcPr>
          <w:p w14:paraId="343BCD3C" w14:textId="77777777" w:rsidR="00934D0F" w:rsidRPr="001D3E93" w:rsidRDefault="00934D0F" w:rsidP="00331A67">
            <w:pPr>
              <w:ind w:left="142" w:right="130"/>
              <w:textAlignment w:val="baseline"/>
              <w:rPr>
                <w:rFonts w:ascii="Verdana" w:eastAsia="Times New Roman" w:hAnsi="Verdana" w:cs="Arial"/>
                <w:lang w:eastAsia="en-AU"/>
              </w:rPr>
            </w:pPr>
          </w:p>
          <w:p w14:paraId="2302ED7D" w14:textId="157BC6A1" w:rsidR="005557B8" w:rsidRPr="001D3E93" w:rsidRDefault="005557B8" w:rsidP="00331A67">
            <w:pPr>
              <w:ind w:left="142" w:right="130"/>
              <w:textAlignment w:val="baseline"/>
              <w:rPr>
                <w:rFonts w:ascii="Verdana" w:eastAsia="Times New Roman" w:hAnsi="Verdana" w:cs="Arial"/>
                <w:lang w:eastAsia="en-AU"/>
              </w:rPr>
            </w:pPr>
            <w:r w:rsidRPr="001D3E93">
              <w:rPr>
                <w:rFonts w:ascii="Verdana" w:eastAsia="Times New Roman" w:hAnsi="Verdana" w:cs="Arial"/>
                <w:lang w:eastAsia="en-AU"/>
              </w:rPr>
              <w:t>Introduce a minimum business turnover threshold</w:t>
            </w:r>
            <w:r w:rsidR="007C4A7A" w:rsidRPr="001D3E93">
              <w:rPr>
                <w:rFonts w:ascii="Verdana" w:eastAsia="Times New Roman" w:hAnsi="Verdana" w:cs="Arial"/>
                <w:lang w:eastAsia="en-AU"/>
              </w:rPr>
              <w:t>, which could limit applicant pool size</w:t>
            </w:r>
          </w:p>
          <w:p w14:paraId="1B1B8B27" w14:textId="3D5F9F30" w:rsidR="005557B8" w:rsidRPr="001D3E93" w:rsidRDefault="005557B8" w:rsidP="00331A67">
            <w:pPr>
              <w:ind w:left="142" w:right="130"/>
              <w:textAlignment w:val="baseline"/>
              <w:rPr>
                <w:rFonts w:ascii="Verdana" w:eastAsia="Times New Roman" w:hAnsi="Verdana" w:cs="Calibri"/>
                <w:lang w:eastAsia="en-AU"/>
              </w:rPr>
            </w:pPr>
            <w:r w:rsidRPr="001D3E93">
              <w:rPr>
                <w:rFonts w:ascii="Verdana" w:eastAsia="Times New Roman" w:hAnsi="Verdana" w:cs="Calibri"/>
                <w:lang w:eastAsia="en-AU"/>
              </w:rPr>
              <w:t>This was suggested in consultations by some grant agents.</w:t>
            </w:r>
          </w:p>
        </w:tc>
      </w:tr>
      <w:tr w:rsidR="005557B8" w:rsidRPr="001D3E93" w14:paraId="5520CE37" w14:textId="77777777" w:rsidTr="00B43CA8">
        <w:tc>
          <w:tcPr>
            <w:tcW w:w="10652" w:type="dxa"/>
            <w:shd w:val="clear" w:color="auto" w:fill="E8E0F3" w:themeFill="accent2" w:themeFillTint="1A"/>
          </w:tcPr>
          <w:p w14:paraId="67F69B83" w14:textId="38549DAA" w:rsidR="005557B8" w:rsidRPr="001D3E93" w:rsidRDefault="005557B8" w:rsidP="00331A67">
            <w:pPr>
              <w:ind w:left="142" w:right="130"/>
              <w:textAlignment w:val="baseline"/>
              <w:rPr>
                <w:rFonts w:ascii="Verdana" w:eastAsia="Times New Roman" w:hAnsi="Verdana" w:cs="Calibri"/>
                <w:lang w:eastAsia="en-AU"/>
              </w:rPr>
            </w:pPr>
          </w:p>
          <w:p w14:paraId="54E668D6" w14:textId="6706C938" w:rsidR="005557B8" w:rsidRPr="001D3E93" w:rsidRDefault="005557B8" w:rsidP="00331A67">
            <w:pPr>
              <w:ind w:left="142" w:right="130"/>
              <w:textAlignment w:val="baseline"/>
              <w:rPr>
                <w:rFonts w:ascii="Verdana" w:eastAsia="Times New Roman" w:hAnsi="Verdana" w:cs="Calibri"/>
                <w:lang w:eastAsia="en-AU"/>
              </w:rPr>
            </w:pPr>
            <w:r w:rsidRPr="001D3E93">
              <w:rPr>
                <w:rFonts w:ascii="Verdana" w:eastAsia="Times New Roman" w:hAnsi="Verdana" w:cs="Calibri"/>
                <w:lang w:eastAsia="en-AU"/>
              </w:rPr>
              <w:t xml:space="preserve">Re-introduce a ‘minimum </w:t>
            </w:r>
            <w:r w:rsidR="004267C2" w:rsidRPr="001D3E93">
              <w:rPr>
                <w:rFonts w:ascii="Verdana" w:eastAsia="Times New Roman" w:hAnsi="Verdana" w:cs="Calibri"/>
                <w:lang w:eastAsia="en-AU"/>
              </w:rPr>
              <w:t xml:space="preserve">marketing </w:t>
            </w:r>
            <w:r w:rsidRPr="001D3E93">
              <w:rPr>
                <w:rFonts w:ascii="Verdana" w:eastAsia="Times New Roman" w:hAnsi="Verdana" w:cs="Calibri"/>
                <w:lang w:eastAsia="en-AU"/>
              </w:rPr>
              <w:t>spend’ threshold that applicants would need to meet before becoming eligible to claim EMDG funding.</w:t>
            </w:r>
          </w:p>
          <w:p w14:paraId="2D334C99" w14:textId="6A0CCE08" w:rsidR="005557B8" w:rsidRPr="001D3E93" w:rsidRDefault="005557B8" w:rsidP="00331A67">
            <w:pPr>
              <w:ind w:left="142" w:right="130"/>
              <w:textAlignment w:val="baseline"/>
              <w:rPr>
                <w:rFonts w:ascii="Verdana" w:eastAsia="Times New Roman" w:hAnsi="Verdana" w:cs="Arial"/>
                <w:lang w:eastAsia="en-AU"/>
              </w:rPr>
            </w:pPr>
            <w:r w:rsidRPr="001D3E93">
              <w:rPr>
                <w:rFonts w:ascii="Verdana" w:eastAsia="Times New Roman" w:hAnsi="Verdana" w:cs="Calibri"/>
                <w:lang w:eastAsia="en-AU"/>
              </w:rPr>
              <w:t>This was suggested in consultations by some grant agents, was a feature of EMDG 1.0 and was recommended in the Fisher Review to be at a similar or slightly higher level to EMDG 1.0.</w:t>
            </w:r>
          </w:p>
        </w:tc>
      </w:tr>
      <w:tr w:rsidR="005557B8" w:rsidRPr="001D3E93" w14:paraId="1B6177ED" w14:textId="77777777" w:rsidTr="00B43CA8">
        <w:tc>
          <w:tcPr>
            <w:tcW w:w="10652" w:type="dxa"/>
            <w:shd w:val="clear" w:color="auto" w:fill="E8E0F3" w:themeFill="accent2" w:themeFillTint="1A"/>
          </w:tcPr>
          <w:p w14:paraId="3C6FBC7B" w14:textId="5A9CD53F" w:rsidR="005557B8" w:rsidRPr="001D3E93" w:rsidRDefault="005557B8" w:rsidP="00331A67">
            <w:pPr>
              <w:ind w:left="142" w:right="130"/>
              <w:textAlignment w:val="baseline"/>
              <w:rPr>
                <w:rFonts w:ascii="Verdana" w:eastAsia="Times New Roman" w:hAnsi="Verdana" w:cs="Calibri"/>
                <w:lang w:eastAsia="en-AU"/>
              </w:rPr>
            </w:pPr>
          </w:p>
          <w:p w14:paraId="4C9F92E4" w14:textId="0C70614E" w:rsidR="005557B8" w:rsidRPr="001D3E93" w:rsidRDefault="005557B8" w:rsidP="00331A67">
            <w:pPr>
              <w:ind w:left="142" w:right="130"/>
              <w:textAlignment w:val="baseline"/>
              <w:rPr>
                <w:rFonts w:ascii="Verdana" w:eastAsia="Times New Roman" w:hAnsi="Verdana" w:cs="Calibri"/>
                <w:lang w:eastAsia="en-AU"/>
              </w:rPr>
            </w:pPr>
            <w:r w:rsidRPr="001D3E93">
              <w:rPr>
                <w:rFonts w:ascii="Verdana" w:eastAsia="Times New Roman" w:hAnsi="Verdana" w:cs="Calibri"/>
                <w:lang w:eastAsia="en-AU"/>
              </w:rPr>
              <w:t>Re-introduce an Export Readiness Test requiring evidence</w:t>
            </w:r>
            <w:r w:rsidR="00483C89" w:rsidRPr="001D3E93">
              <w:rPr>
                <w:rFonts w:ascii="Verdana" w:eastAsia="Times New Roman" w:hAnsi="Verdana" w:cs="Calibri"/>
                <w:lang w:eastAsia="en-AU"/>
              </w:rPr>
              <w:t xml:space="preserve"> that the applicant is export ready before becoming eligible to claim EMDG funding. </w:t>
            </w:r>
          </w:p>
          <w:p w14:paraId="66C34B44" w14:textId="680A8E81" w:rsidR="005557B8" w:rsidRPr="001D3E93" w:rsidRDefault="005557B8" w:rsidP="00331A67">
            <w:pPr>
              <w:ind w:left="142" w:right="130"/>
              <w:textAlignment w:val="baseline"/>
              <w:rPr>
                <w:rFonts w:ascii="Verdana" w:eastAsia="Times New Roman" w:hAnsi="Verdana" w:cs="Calibri"/>
                <w:lang w:eastAsia="en-AU"/>
              </w:rPr>
            </w:pPr>
            <w:r w:rsidRPr="001D3E93">
              <w:rPr>
                <w:rFonts w:ascii="Verdana" w:eastAsia="Times New Roman" w:hAnsi="Verdana" w:cs="Calibri"/>
                <w:lang w:eastAsia="en-AU"/>
              </w:rPr>
              <w:t>This was suggested in consultations by some grant agents and was a feature of EMDG 1.0 and mentioned in the Fisher Review.</w:t>
            </w:r>
          </w:p>
        </w:tc>
      </w:tr>
      <w:tr w:rsidR="00934D0F" w:rsidRPr="001D3E93" w14:paraId="7F48A5C8" w14:textId="77777777" w:rsidTr="00B43CA8">
        <w:tc>
          <w:tcPr>
            <w:tcW w:w="10652" w:type="dxa"/>
            <w:shd w:val="clear" w:color="auto" w:fill="E8E0F3" w:themeFill="accent2" w:themeFillTint="1A"/>
          </w:tcPr>
          <w:p w14:paraId="2AB6AB79" w14:textId="7F09C53C" w:rsidR="00934D0F" w:rsidRPr="001D3E93" w:rsidRDefault="00934D0F" w:rsidP="00331A67">
            <w:pPr>
              <w:ind w:left="142" w:right="130"/>
              <w:textAlignment w:val="baseline"/>
              <w:rPr>
                <w:rFonts w:ascii="Verdana" w:eastAsia="Times New Roman" w:hAnsi="Verdana" w:cs="Calibri"/>
                <w:lang w:eastAsia="en-AU"/>
              </w:rPr>
            </w:pPr>
          </w:p>
          <w:p w14:paraId="6DA57364" w14:textId="4F20B3C0" w:rsidR="00934D0F" w:rsidRPr="001D3E93" w:rsidRDefault="00B674CB" w:rsidP="00F61504">
            <w:pPr>
              <w:ind w:left="142" w:right="130"/>
              <w:textAlignment w:val="baseline"/>
            </w:pPr>
            <w:r w:rsidRPr="001D3E93">
              <w:t>Adjust</w:t>
            </w:r>
            <w:r w:rsidR="006F0900" w:rsidRPr="001D3E93">
              <w:t xml:space="preserve"> the matching contribution model</w:t>
            </w:r>
            <w:r w:rsidR="00D32134" w:rsidRPr="001D3E93">
              <w:t xml:space="preserve"> (where exporter spend matches EMDG grant)</w:t>
            </w:r>
            <w:r w:rsidR="00B77C53" w:rsidRPr="001D3E93">
              <w:t xml:space="preserve"> from 50:50 ratio</w:t>
            </w:r>
            <w:r w:rsidR="00D32134" w:rsidRPr="001D3E93">
              <w:t xml:space="preserve"> to</w:t>
            </w:r>
            <w:r w:rsidR="00934D0F" w:rsidRPr="001D3E93">
              <w:t xml:space="preserve">, for example, 70:30 (with 70 the exporter-spend and 30 the EMDG grant). </w:t>
            </w:r>
          </w:p>
        </w:tc>
      </w:tr>
      <w:tr w:rsidR="00934D0F" w:rsidRPr="001D3E93" w14:paraId="488FA018" w14:textId="77777777" w:rsidTr="00B43CA8">
        <w:tc>
          <w:tcPr>
            <w:tcW w:w="10652" w:type="dxa"/>
            <w:shd w:val="clear" w:color="auto" w:fill="E8E0F3" w:themeFill="accent2" w:themeFillTint="1A"/>
          </w:tcPr>
          <w:p w14:paraId="082E7CB0" w14:textId="3D9259DB" w:rsidR="00934D0F" w:rsidRPr="001D3E93" w:rsidRDefault="00934D0F" w:rsidP="00331A67">
            <w:pPr>
              <w:ind w:left="142" w:right="130"/>
              <w:textAlignment w:val="baseline"/>
              <w:rPr>
                <w:rFonts w:ascii="Verdana" w:eastAsia="Times New Roman" w:hAnsi="Verdana" w:cs="Calibri"/>
                <w:lang w:eastAsia="en-AU"/>
              </w:rPr>
            </w:pPr>
          </w:p>
          <w:p w14:paraId="0F04481A" w14:textId="77777777" w:rsidR="00934D0F" w:rsidRPr="001D3E93" w:rsidRDefault="00F72B2B" w:rsidP="00331A67">
            <w:pPr>
              <w:ind w:left="142" w:right="130"/>
              <w:textAlignment w:val="baseline"/>
              <w:rPr>
                <w:rFonts w:ascii="Verdana" w:eastAsia="Times New Roman" w:hAnsi="Verdana" w:cs="Calibri"/>
                <w:lang w:eastAsia="en-AU"/>
              </w:rPr>
            </w:pPr>
            <w:r w:rsidRPr="001D3E93">
              <w:rPr>
                <w:rFonts w:ascii="Verdana" w:eastAsia="Times New Roman" w:hAnsi="Verdana" w:cs="Calibri"/>
                <w:lang w:eastAsia="en-AU"/>
              </w:rPr>
              <w:t>Priorit</w:t>
            </w:r>
            <w:r w:rsidR="008942F6" w:rsidRPr="001D3E93">
              <w:rPr>
                <w:rFonts w:ascii="Verdana" w:eastAsia="Times New Roman" w:hAnsi="Verdana" w:cs="Calibri"/>
                <w:lang w:eastAsia="en-AU"/>
              </w:rPr>
              <w:t xml:space="preserve">ise tiers </w:t>
            </w:r>
            <w:r w:rsidR="00DD5EAA" w:rsidRPr="001D3E93">
              <w:rPr>
                <w:rFonts w:ascii="Verdana" w:eastAsia="Times New Roman" w:hAnsi="Verdana" w:cs="Calibri"/>
                <w:lang w:eastAsia="en-AU"/>
              </w:rPr>
              <w:t>to receive EMDG funding</w:t>
            </w:r>
          </w:p>
          <w:p w14:paraId="7E205BD0" w14:textId="69AF8EC0" w:rsidR="00DD5EAA" w:rsidRPr="001D3E93" w:rsidRDefault="00DD5EAA" w:rsidP="00331A67">
            <w:pPr>
              <w:ind w:left="142" w:right="130"/>
              <w:textAlignment w:val="baseline"/>
              <w:rPr>
                <w:rFonts w:ascii="Verdana" w:eastAsia="Times New Roman" w:hAnsi="Verdana" w:cs="Calibri"/>
                <w:lang w:eastAsia="en-AU"/>
              </w:rPr>
            </w:pPr>
          </w:p>
        </w:tc>
      </w:tr>
      <w:tr w:rsidR="00934D0F" w:rsidRPr="001D3E93" w14:paraId="556B403C" w14:textId="77777777" w:rsidTr="00B43CA8">
        <w:tc>
          <w:tcPr>
            <w:tcW w:w="10652" w:type="dxa"/>
            <w:shd w:val="clear" w:color="auto" w:fill="E8E0F3" w:themeFill="accent2" w:themeFillTint="1A"/>
          </w:tcPr>
          <w:p w14:paraId="373001F7" w14:textId="319CE907" w:rsidR="00934D0F" w:rsidRPr="001D3E93" w:rsidRDefault="00934D0F" w:rsidP="00331A67">
            <w:pPr>
              <w:ind w:left="142" w:right="130"/>
              <w:textAlignment w:val="baseline"/>
              <w:rPr>
                <w:rFonts w:ascii="Verdana" w:eastAsia="Times New Roman" w:hAnsi="Verdana" w:cs="Calibri"/>
                <w:lang w:eastAsia="en-AU"/>
              </w:rPr>
            </w:pPr>
          </w:p>
          <w:p w14:paraId="5F5D9ED3" w14:textId="2D2C4203" w:rsidR="00934D0F" w:rsidRPr="001D3E93" w:rsidRDefault="005C0A37" w:rsidP="00331A67">
            <w:pPr>
              <w:ind w:left="142" w:right="130"/>
              <w:textAlignment w:val="baseline"/>
              <w:rPr>
                <w:rFonts w:ascii="Verdana" w:eastAsia="Times New Roman" w:hAnsi="Verdana" w:cs="Calibri"/>
                <w:lang w:eastAsia="en-AU"/>
              </w:rPr>
            </w:pPr>
            <w:r w:rsidRPr="001D3E93">
              <w:rPr>
                <w:rFonts w:ascii="Verdana" w:eastAsia="Times New Roman" w:hAnsi="Verdana" w:cs="Calibri"/>
                <w:lang w:eastAsia="en-AU"/>
              </w:rPr>
              <w:t>P</w:t>
            </w:r>
            <w:r w:rsidR="00DD5EAA" w:rsidRPr="001D3E93">
              <w:rPr>
                <w:rFonts w:ascii="Verdana" w:eastAsia="Times New Roman" w:hAnsi="Verdana" w:cs="Calibri"/>
                <w:lang w:eastAsia="en-AU"/>
              </w:rPr>
              <w:t xml:space="preserve">rioritise businesses within </w:t>
            </w:r>
            <w:r w:rsidR="008E4216" w:rsidRPr="001D3E93">
              <w:rPr>
                <w:rFonts w:ascii="Verdana" w:eastAsia="Times New Roman" w:hAnsi="Verdana" w:cs="Calibri"/>
                <w:lang w:eastAsia="en-AU"/>
              </w:rPr>
              <w:t xml:space="preserve">certain industries or sectors, or which produce certain services or products, to be eligible for EMDG funding </w:t>
            </w:r>
          </w:p>
        </w:tc>
      </w:tr>
      <w:tr w:rsidR="00934D0F" w:rsidRPr="001D3E93" w14:paraId="320FF226" w14:textId="77777777" w:rsidTr="00B43CA8">
        <w:tc>
          <w:tcPr>
            <w:tcW w:w="10652" w:type="dxa"/>
            <w:shd w:val="clear" w:color="auto" w:fill="E8E0F3" w:themeFill="accent2" w:themeFillTint="1A"/>
          </w:tcPr>
          <w:p w14:paraId="650C4FFD" w14:textId="59ED49F8" w:rsidR="00934D0F" w:rsidRPr="001D3E93" w:rsidRDefault="00934D0F" w:rsidP="00331A67">
            <w:pPr>
              <w:ind w:left="142" w:right="130"/>
              <w:textAlignment w:val="baseline"/>
              <w:rPr>
                <w:rFonts w:ascii="Verdana" w:eastAsia="Times New Roman" w:hAnsi="Verdana" w:cs="Calibri"/>
                <w:lang w:eastAsia="en-AU"/>
              </w:rPr>
            </w:pPr>
          </w:p>
          <w:p w14:paraId="04F215AA" w14:textId="7DED7C2C" w:rsidR="00934D0F" w:rsidRPr="001D3E93" w:rsidRDefault="00484842" w:rsidP="00331A67">
            <w:pPr>
              <w:ind w:left="142" w:right="130"/>
              <w:textAlignment w:val="baseline"/>
              <w:rPr>
                <w:rFonts w:ascii="Verdana" w:eastAsia="Times New Roman" w:hAnsi="Verdana" w:cs="Calibri"/>
                <w:lang w:eastAsia="en-AU"/>
              </w:rPr>
            </w:pPr>
            <w:r w:rsidRPr="001D3E93">
              <w:rPr>
                <w:rFonts w:ascii="Verdana" w:eastAsia="Times New Roman" w:hAnsi="Verdana" w:cs="Calibri"/>
                <w:lang w:eastAsia="en-AU"/>
              </w:rPr>
              <w:t xml:space="preserve">Prioritise </w:t>
            </w:r>
            <w:r w:rsidR="009720E9" w:rsidRPr="001D3E93">
              <w:rPr>
                <w:rFonts w:ascii="Verdana" w:eastAsia="Times New Roman" w:hAnsi="Verdana" w:cs="Calibri"/>
                <w:lang w:eastAsia="en-AU"/>
              </w:rPr>
              <w:t xml:space="preserve">businesses that are exporting to markets or regions identified as priorities for Government’s trade policy agenda, and/or who can achieve employment outcomes, </w:t>
            </w:r>
            <w:r w:rsidR="00E016CF" w:rsidRPr="001D3E93">
              <w:rPr>
                <w:rFonts w:ascii="Verdana" w:eastAsia="Times New Roman" w:hAnsi="Verdana" w:cs="Calibri"/>
                <w:lang w:eastAsia="en-AU"/>
              </w:rPr>
              <w:t xml:space="preserve">for EMDG funding </w:t>
            </w:r>
          </w:p>
        </w:tc>
      </w:tr>
      <w:tr w:rsidR="00934D0F" w:rsidRPr="001D3E93" w14:paraId="76D3B03E" w14:textId="77777777" w:rsidTr="00B43CA8">
        <w:trPr>
          <w:trHeight w:val="381"/>
        </w:trPr>
        <w:tc>
          <w:tcPr>
            <w:tcW w:w="10652" w:type="dxa"/>
            <w:shd w:val="clear" w:color="auto" w:fill="E8E0F3" w:themeFill="accent2" w:themeFillTint="1A"/>
          </w:tcPr>
          <w:p w14:paraId="697332E4" w14:textId="71B8E7E0" w:rsidR="00934D0F" w:rsidRPr="001D3E93" w:rsidRDefault="00934D0F" w:rsidP="00331A67">
            <w:pPr>
              <w:ind w:left="142" w:right="130"/>
              <w:textAlignment w:val="baseline"/>
              <w:rPr>
                <w:rFonts w:ascii="Verdana" w:eastAsia="Times New Roman" w:hAnsi="Verdana" w:cs="Calibri"/>
                <w:lang w:eastAsia="en-AU"/>
              </w:rPr>
            </w:pPr>
          </w:p>
          <w:p w14:paraId="7413816E" w14:textId="506CF207" w:rsidR="00934D0F" w:rsidRPr="001D3E93" w:rsidRDefault="00934D0F" w:rsidP="00331A67">
            <w:pPr>
              <w:ind w:left="142" w:right="130"/>
              <w:textAlignment w:val="baseline"/>
              <w:rPr>
                <w:rFonts w:ascii="Verdana" w:eastAsia="Times New Roman" w:hAnsi="Verdana" w:cs="Calibri"/>
                <w:lang w:eastAsia="en-AU"/>
              </w:rPr>
            </w:pPr>
            <w:r w:rsidRPr="001D3E93">
              <w:rPr>
                <w:rFonts w:ascii="Verdana" w:eastAsia="Times New Roman" w:hAnsi="Verdana" w:cs="Calibri"/>
                <w:lang w:eastAsia="en-AU"/>
              </w:rPr>
              <w:t>Reduce the number of financial years applicants can</w:t>
            </w:r>
            <w:r w:rsidR="003A2B6A" w:rsidRPr="001D3E93">
              <w:rPr>
                <w:rFonts w:ascii="Verdana" w:eastAsia="Times New Roman" w:hAnsi="Verdana" w:cs="Calibri"/>
                <w:lang w:eastAsia="en-AU"/>
              </w:rPr>
              <w:t xml:space="preserve"> be eligible to</w:t>
            </w:r>
            <w:r w:rsidRPr="001D3E93">
              <w:rPr>
                <w:rFonts w:ascii="Verdana" w:eastAsia="Times New Roman" w:hAnsi="Verdana" w:cs="Calibri"/>
                <w:lang w:eastAsia="en-AU"/>
              </w:rPr>
              <w:t xml:space="preserve"> apply for EMDG</w:t>
            </w:r>
          </w:p>
        </w:tc>
      </w:tr>
      <w:tr w:rsidR="00934D0F" w:rsidRPr="001D3E93" w14:paraId="7DFD0690" w14:textId="77777777" w:rsidTr="00EA449D">
        <w:trPr>
          <w:trHeight w:val="53"/>
        </w:trPr>
        <w:tc>
          <w:tcPr>
            <w:tcW w:w="10652" w:type="dxa"/>
            <w:shd w:val="clear" w:color="auto" w:fill="E8E0F3" w:themeFill="accent2" w:themeFillTint="1A"/>
          </w:tcPr>
          <w:p w14:paraId="36D1137D" w14:textId="63C37E81" w:rsidR="00934D0F" w:rsidRPr="001D3E93" w:rsidRDefault="00934D0F" w:rsidP="00331A67">
            <w:pPr>
              <w:ind w:left="142" w:right="130"/>
              <w:textAlignment w:val="baseline"/>
              <w:rPr>
                <w:rFonts w:ascii="Verdana" w:eastAsia="Times New Roman" w:hAnsi="Verdana" w:cs="Calibri"/>
                <w:lang w:eastAsia="en-AU"/>
              </w:rPr>
            </w:pPr>
          </w:p>
          <w:p w14:paraId="64C08904" w14:textId="77777777" w:rsidR="00934D0F" w:rsidRPr="001D3E93" w:rsidRDefault="00934D0F" w:rsidP="00331A67">
            <w:pPr>
              <w:ind w:left="142" w:right="130"/>
              <w:textAlignment w:val="baseline"/>
            </w:pPr>
            <w:r w:rsidRPr="001D3E93">
              <w:t xml:space="preserve">Close EMDG </w:t>
            </w:r>
            <w:r w:rsidR="007C5C45" w:rsidRPr="001D3E93">
              <w:t>r</w:t>
            </w:r>
            <w:r w:rsidRPr="001D3E93">
              <w:t xml:space="preserve">ound </w:t>
            </w:r>
            <w:r w:rsidR="00D567E2" w:rsidRPr="001D3E93">
              <w:t xml:space="preserve">once </w:t>
            </w:r>
            <w:r w:rsidRPr="001D3E93">
              <w:t>a</w:t>
            </w:r>
            <w:r w:rsidR="003A2B6A" w:rsidRPr="001D3E93">
              <w:t xml:space="preserve"> specified </w:t>
            </w:r>
            <w:r w:rsidRPr="001D3E93">
              <w:t>number of applications are received</w:t>
            </w:r>
            <w:r w:rsidR="007C5C45" w:rsidRPr="001D3E93">
              <w:t>, to manage grant outcome size</w:t>
            </w:r>
            <w:r w:rsidRPr="001D3E93">
              <w:t xml:space="preserve"> </w:t>
            </w:r>
          </w:p>
          <w:p w14:paraId="29460365" w14:textId="7F5115DC" w:rsidR="0046779D" w:rsidRPr="001D3E93" w:rsidRDefault="0046779D" w:rsidP="00331A67">
            <w:pPr>
              <w:ind w:left="142" w:right="130"/>
              <w:textAlignment w:val="baseline"/>
              <w:rPr>
                <w:rFonts w:ascii="Verdana" w:eastAsia="Times New Roman" w:hAnsi="Verdana" w:cs="Calibri"/>
                <w:lang w:eastAsia="en-AU"/>
              </w:rPr>
            </w:pPr>
          </w:p>
        </w:tc>
      </w:tr>
    </w:tbl>
    <w:p w14:paraId="0068F3CC" w14:textId="287E0E2B" w:rsidR="00A0613F" w:rsidRPr="00A3430B" w:rsidRDefault="00A0613F" w:rsidP="753EC435">
      <w:pPr>
        <w:keepNext/>
        <w:keepLines/>
        <w:spacing w:before="40" w:after="0" w:line="259" w:lineRule="auto"/>
        <w:outlineLvl w:val="1"/>
        <w:rPr>
          <w:rFonts w:ascii="Verdana" w:eastAsia="MS Gothic" w:hAnsi="Verdana" w:cs="Times New Roman"/>
          <w:color w:val="009999"/>
          <w:sz w:val="26"/>
          <w:szCs w:val="26"/>
          <w:lang w:val="en-US" w:eastAsia="en-US"/>
        </w:rPr>
      </w:pPr>
      <w:bookmarkStart w:id="286" w:name="_Toc117765783"/>
      <w:bookmarkStart w:id="287" w:name="_Toc120547725"/>
      <w:bookmarkStart w:id="288" w:name="_Toc124433396"/>
      <w:r w:rsidRPr="00A3430B">
        <w:rPr>
          <w:rFonts w:ascii="Verdana" w:eastAsia="MS Gothic" w:hAnsi="Verdana" w:cs="Times New Roman"/>
          <w:color w:val="0F4C44" w:themeColor="accent3" w:themeShade="80"/>
          <w:sz w:val="26"/>
          <w:szCs w:val="26"/>
          <w:lang w:val="en-US" w:eastAsia="en-US"/>
        </w:rPr>
        <w:lastRenderedPageBreak/>
        <w:t>Attachments</w:t>
      </w:r>
      <w:bookmarkEnd w:id="286"/>
      <w:bookmarkEnd w:id="287"/>
      <w:bookmarkEnd w:id="288"/>
      <w:r w:rsidRPr="00A3430B">
        <w:rPr>
          <w:rFonts w:ascii="Verdana" w:eastAsia="MS Gothic" w:hAnsi="Verdana" w:cs="Times New Roman"/>
          <w:color w:val="009999"/>
          <w:sz w:val="26"/>
          <w:szCs w:val="26"/>
          <w:lang w:val="en-US" w:eastAsia="en-US"/>
        </w:rPr>
        <w:t xml:space="preserve"> </w:t>
      </w:r>
    </w:p>
    <w:p w14:paraId="555D98B9" w14:textId="77777777" w:rsidR="00A0613F" w:rsidRPr="001D3E93" w:rsidRDefault="00A0613F" w:rsidP="00A0613F">
      <w:pPr>
        <w:spacing w:after="160" w:line="259" w:lineRule="auto"/>
        <w:rPr>
          <w:rFonts w:ascii="Verdana" w:eastAsia="Calibri" w:hAnsi="Verdana" w:cs="Arial"/>
          <w:lang w:val="en-US" w:eastAsia="en-US"/>
        </w:rPr>
      </w:pPr>
    </w:p>
    <w:p w14:paraId="02B8D338" w14:textId="53B5942F" w:rsidR="00A0613F" w:rsidRPr="001D3E93" w:rsidRDefault="00DA2292" w:rsidP="00A0613F">
      <w:pPr>
        <w:spacing w:after="160" w:line="259" w:lineRule="auto"/>
        <w:rPr>
          <w:rFonts w:ascii="Verdana" w:eastAsia="Calibri" w:hAnsi="Verdana" w:cs="Arial"/>
          <w:lang w:val="en-US" w:eastAsia="en-US"/>
        </w:rPr>
      </w:pPr>
      <w:hyperlink w:anchor="_Attachment_A_-" w:history="1">
        <w:r w:rsidR="00A0613F" w:rsidRPr="00A0613F">
          <w:rPr>
            <w:rFonts w:ascii="Verdana" w:eastAsia="Calibri" w:hAnsi="Verdana" w:cs="Arial"/>
            <w:color w:val="0563C1"/>
            <w:u w:val="single"/>
            <w:lang w:val="en-US" w:eastAsia="en-US"/>
          </w:rPr>
          <w:t>Attachment A</w:t>
        </w:r>
      </w:hyperlink>
      <w:r w:rsidR="00A0613F" w:rsidRPr="001D3E93">
        <w:rPr>
          <w:rFonts w:ascii="Verdana" w:eastAsia="Calibri" w:hAnsi="Verdana" w:cs="Arial"/>
          <w:lang w:val="en-US" w:eastAsia="en-US"/>
        </w:rPr>
        <w:t xml:space="preserve"> - Terms of Reference for the Operational Review </w:t>
      </w:r>
    </w:p>
    <w:p w14:paraId="078BBD53" w14:textId="7802A7A3" w:rsidR="00A0613F" w:rsidRPr="001D3E93" w:rsidRDefault="00DA2292" w:rsidP="00A0613F">
      <w:pPr>
        <w:spacing w:after="160" w:line="259" w:lineRule="auto"/>
        <w:rPr>
          <w:rFonts w:ascii="Verdana" w:eastAsia="Calibri" w:hAnsi="Verdana" w:cs="Arial"/>
          <w:lang w:val="en-US" w:eastAsia="en-US"/>
        </w:rPr>
      </w:pPr>
      <w:hyperlink w:anchor="_Attachment_B_–" w:history="1">
        <w:r w:rsidR="00A0613F" w:rsidRPr="00A0613F">
          <w:rPr>
            <w:rFonts w:ascii="Verdana" w:eastAsia="Calibri" w:hAnsi="Verdana" w:cs="Arial"/>
            <w:color w:val="0563C1"/>
            <w:u w:val="single"/>
            <w:lang w:val="en-US" w:eastAsia="en-US"/>
          </w:rPr>
          <w:t>Attachment B</w:t>
        </w:r>
      </w:hyperlink>
      <w:r w:rsidR="00A0613F" w:rsidRPr="001D3E93">
        <w:rPr>
          <w:rFonts w:ascii="Verdana" w:eastAsia="Calibri" w:hAnsi="Verdana" w:cs="Arial"/>
          <w:lang w:val="en-US" w:eastAsia="en-US"/>
        </w:rPr>
        <w:t xml:space="preserve"> – </w:t>
      </w:r>
      <w:r w:rsidR="00A0613F" w:rsidRPr="001D3E93" w:rsidDel="00C2785E">
        <w:rPr>
          <w:rFonts w:ascii="Verdana" w:eastAsia="Calibri" w:hAnsi="Verdana" w:cs="Arial"/>
          <w:lang w:val="en-US" w:eastAsia="en-US"/>
        </w:rPr>
        <w:t xml:space="preserve">Snapshot </w:t>
      </w:r>
      <w:r w:rsidR="00A0613F" w:rsidRPr="001D3E93">
        <w:rPr>
          <w:rFonts w:ascii="Verdana" w:eastAsia="Calibri" w:hAnsi="Verdana" w:cs="Arial"/>
          <w:lang w:val="en-US" w:eastAsia="en-US"/>
        </w:rPr>
        <w:t xml:space="preserve">EMDG 2.0 Round 1 and Round 2 </w:t>
      </w:r>
    </w:p>
    <w:p w14:paraId="16EAD28D" w14:textId="18E60CE2" w:rsidR="00A0613F" w:rsidRPr="001D3E93" w:rsidRDefault="00DA2292" w:rsidP="00A0613F">
      <w:pPr>
        <w:spacing w:after="160" w:line="259" w:lineRule="auto"/>
        <w:rPr>
          <w:rFonts w:ascii="Verdana" w:eastAsia="Calibri" w:hAnsi="Verdana" w:cs="Arial"/>
          <w:lang w:val="en-US" w:eastAsia="en-US"/>
        </w:rPr>
      </w:pPr>
      <w:hyperlink w:anchor="_Attachment_C_-" w:history="1">
        <w:r w:rsidR="00A0613F" w:rsidRPr="00A0613F">
          <w:rPr>
            <w:rFonts w:ascii="Verdana" w:eastAsia="Calibri" w:hAnsi="Verdana" w:cs="Arial"/>
            <w:color w:val="0563C1"/>
            <w:u w:val="single"/>
            <w:lang w:val="en-US" w:eastAsia="en-US"/>
          </w:rPr>
          <w:t>Attachment C</w:t>
        </w:r>
      </w:hyperlink>
      <w:r w:rsidR="00A0613F" w:rsidRPr="001D3E93">
        <w:rPr>
          <w:rFonts w:ascii="Verdana" w:eastAsia="Calibri" w:hAnsi="Verdana" w:cs="Arial"/>
          <w:lang w:val="en-US" w:eastAsia="en-US"/>
        </w:rPr>
        <w:t xml:space="preserve"> – Operational Review Survey Results </w:t>
      </w:r>
    </w:p>
    <w:p w14:paraId="499C3AF0" w14:textId="4C88E689" w:rsidR="00A0613F" w:rsidRPr="001D3E93" w:rsidRDefault="00DA2292" w:rsidP="00A0613F">
      <w:pPr>
        <w:spacing w:after="160" w:line="259" w:lineRule="auto"/>
        <w:rPr>
          <w:rFonts w:ascii="Verdana" w:eastAsia="Calibri" w:hAnsi="Verdana" w:cs="Arial"/>
          <w:lang w:val="en-US" w:eastAsia="en-US"/>
        </w:rPr>
      </w:pPr>
      <w:hyperlink w:anchor="_Attachment_D_–" w:history="1">
        <w:r w:rsidR="00A0613F" w:rsidRPr="00A0613F">
          <w:rPr>
            <w:rFonts w:ascii="Verdana" w:eastAsia="Calibri" w:hAnsi="Verdana" w:cs="Arial"/>
            <w:color w:val="0563C1"/>
            <w:u w:val="single"/>
            <w:lang w:val="en-US" w:eastAsia="en-US"/>
          </w:rPr>
          <w:t>Attachment D</w:t>
        </w:r>
      </w:hyperlink>
      <w:r w:rsidR="00A0613F" w:rsidRPr="001D3E93">
        <w:rPr>
          <w:rFonts w:ascii="Verdana" w:eastAsia="Calibri" w:hAnsi="Verdana" w:cs="Arial"/>
          <w:lang w:val="en-US" w:eastAsia="en-US"/>
        </w:rPr>
        <w:t xml:space="preserve"> – Previous EMDG 2.0 Round 1 Consultations </w:t>
      </w:r>
    </w:p>
    <w:p w14:paraId="098DDDF9" w14:textId="3B00E498" w:rsidR="00A0613F" w:rsidRPr="001D3E93" w:rsidRDefault="00DA2292" w:rsidP="00A0613F">
      <w:pPr>
        <w:spacing w:after="160" w:line="259" w:lineRule="auto"/>
        <w:rPr>
          <w:rFonts w:ascii="Verdana" w:eastAsia="Calibri" w:hAnsi="Verdana" w:cs="Arial"/>
          <w:lang w:val="en-US" w:eastAsia="en-US"/>
        </w:rPr>
      </w:pPr>
      <w:hyperlink w:anchor="_Attachment_E_-" w:history="1">
        <w:r w:rsidR="00A0613F" w:rsidRPr="00A0613F">
          <w:rPr>
            <w:rFonts w:ascii="Verdana" w:eastAsia="Calibri" w:hAnsi="Verdana" w:cs="Arial"/>
            <w:color w:val="0563C1"/>
            <w:u w:val="single"/>
            <w:lang w:val="en-US" w:eastAsia="en-US"/>
          </w:rPr>
          <w:t>Attachment E</w:t>
        </w:r>
      </w:hyperlink>
      <w:r w:rsidR="00A0613F" w:rsidRPr="001D3E93">
        <w:rPr>
          <w:rFonts w:ascii="Verdana" w:eastAsia="Calibri" w:hAnsi="Verdana" w:cs="Arial"/>
          <w:lang w:val="en-US" w:eastAsia="en-US"/>
        </w:rPr>
        <w:t xml:space="preserve"> – Other supports available to SME exporters </w:t>
      </w:r>
    </w:p>
    <w:p w14:paraId="22894DE9" w14:textId="2C4E785B" w:rsidR="00A0613F" w:rsidRPr="001D3E93" w:rsidRDefault="00DA2292" w:rsidP="00A0613F">
      <w:pPr>
        <w:spacing w:after="160" w:line="259" w:lineRule="auto"/>
        <w:rPr>
          <w:rFonts w:ascii="Verdana" w:eastAsia="Calibri" w:hAnsi="Verdana" w:cs="Arial"/>
          <w:lang w:val="en-US" w:eastAsia="en-US"/>
        </w:rPr>
      </w:pPr>
      <w:hyperlink w:anchor="_Attachment_F:_International" w:history="1">
        <w:r w:rsidR="00A0613F" w:rsidRPr="00A0613F">
          <w:rPr>
            <w:rFonts w:ascii="Verdana" w:eastAsia="Calibri" w:hAnsi="Verdana" w:cs="Arial"/>
            <w:color w:val="0563C1"/>
            <w:u w:val="single"/>
            <w:lang w:val="en-US" w:eastAsia="en-US"/>
          </w:rPr>
          <w:t>Attachment F</w:t>
        </w:r>
      </w:hyperlink>
      <w:r w:rsidR="00A0613F" w:rsidRPr="001D3E93">
        <w:rPr>
          <w:rFonts w:ascii="Verdana" w:eastAsia="Calibri" w:hAnsi="Verdana" w:cs="Arial"/>
          <w:lang w:val="en-US" w:eastAsia="en-US"/>
        </w:rPr>
        <w:t xml:space="preserve"> – International programs providing export support </w:t>
      </w:r>
    </w:p>
    <w:p w14:paraId="087E9CD2" w14:textId="77777777" w:rsidR="00A0613F" w:rsidRPr="001D3E93" w:rsidRDefault="00A0613F" w:rsidP="00A0613F">
      <w:pPr>
        <w:spacing w:after="160" w:line="259" w:lineRule="auto"/>
        <w:rPr>
          <w:rFonts w:ascii="Verdana" w:eastAsia="Calibri" w:hAnsi="Verdana" w:cs="Arial"/>
          <w:lang w:val="en-US" w:eastAsia="en-US"/>
        </w:rPr>
      </w:pPr>
    </w:p>
    <w:p w14:paraId="7C52C81A" w14:textId="77777777" w:rsidR="00A0613F" w:rsidRPr="001D3E93" w:rsidRDefault="00A0613F" w:rsidP="00A0613F">
      <w:pPr>
        <w:spacing w:after="160" w:line="259" w:lineRule="auto"/>
        <w:rPr>
          <w:rFonts w:ascii="Verdana" w:eastAsia="Calibri" w:hAnsi="Verdana" w:cs="Arial"/>
          <w:sz w:val="22"/>
          <w:szCs w:val="22"/>
          <w:lang w:val="en-US" w:eastAsia="en-US"/>
        </w:rPr>
      </w:pPr>
    </w:p>
    <w:p w14:paraId="0ED386E8"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63EB36B0"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519DF7EC"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343CE77C"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1F895637"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72BD5179"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63EB7276"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5A92FB19"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53B7CCF1"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4D3E11BE"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613B77D8"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417180CC"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3A66D818"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167CDD39"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1AAAC44E" w14:textId="77777777" w:rsidR="00A0613F" w:rsidRPr="001D3E93" w:rsidRDefault="00A0613F" w:rsidP="00A0613F">
      <w:pPr>
        <w:spacing w:after="160" w:line="259" w:lineRule="auto"/>
        <w:rPr>
          <w:rFonts w:ascii="Calibri" w:eastAsia="Calibri" w:hAnsi="Calibri" w:cs="Arial"/>
          <w:sz w:val="22"/>
          <w:szCs w:val="22"/>
          <w:lang w:val="en-US" w:eastAsia="en-US"/>
        </w:rPr>
      </w:pPr>
    </w:p>
    <w:p w14:paraId="243996C4" w14:textId="61D6DDB1" w:rsidR="00A0613F" w:rsidRPr="001D3E93" w:rsidRDefault="00A0613F" w:rsidP="00A3430B">
      <w:pPr>
        <w:pStyle w:val="Heading1"/>
      </w:pPr>
      <w:bookmarkStart w:id="289" w:name="_Toc117765784"/>
      <w:bookmarkStart w:id="290" w:name="_Toc120547726"/>
      <w:bookmarkStart w:id="291" w:name="_Toc124433397"/>
      <w:r w:rsidRPr="001D3E93">
        <w:rPr>
          <w:b w:val="0"/>
          <w:bCs w:val="0"/>
        </w:rPr>
        <w:lastRenderedPageBreak/>
        <w:t xml:space="preserve">Attachment A </w:t>
      </w:r>
      <w:r w:rsidR="00323689" w:rsidRPr="001D3E93">
        <w:rPr>
          <w:b w:val="0"/>
          <w:bCs w:val="0"/>
        </w:rPr>
        <w:t>–</w:t>
      </w:r>
      <w:r w:rsidRPr="001D3E93">
        <w:rPr>
          <w:b w:val="0"/>
          <w:bCs w:val="0"/>
        </w:rPr>
        <w:t xml:space="preserve"> EMDG Operational Review Terms of Reference</w:t>
      </w:r>
      <w:bookmarkEnd w:id="289"/>
      <w:bookmarkEnd w:id="290"/>
      <w:bookmarkEnd w:id="291"/>
    </w:p>
    <w:p w14:paraId="3C2B4FD3" w14:textId="77777777" w:rsidR="00A0613F" w:rsidRPr="00A3430B" w:rsidRDefault="00A0613F" w:rsidP="00B309E5">
      <w:pPr>
        <w:pStyle w:val="Heading2"/>
        <w:rPr>
          <w:rFonts w:ascii="Verdana" w:eastAsia="Calibri" w:hAnsi="Verdana" w:cs="Arial"/>
          <w:b w:val="0"/>
          <w:bCs w:val="0"/>
          <w:color w:val="0F4C44" w:themeColor="background2" w:themeShade="80"/>
          <w:sz w:val="24"/>
          <w:szCs w:val="24"/>
        </w:rPr>
      </w:pPr>
      <w:bookmarkStart w:id="292" w:name="_Toc116553952"/>
      <w:bookmarkStart w:id="293" w:name="_Toc116554158"/>
      <w:bookmarkStart w:id="294" w:name="_Toc116554888"/>
      <w:bookmarkStart w:id="295" w:name="_Toc116982760"/>
      <w:bookmarkStart w:id="296" w:name="_Toc116986010"/>
      <w:bookmarkStart w:id="297" w:name="_Toc117084515"/>
      <w:bookmarkStart w:id="298" w:name="_Toc117765785"/>
      <w:bookmarkStart w:id="299" w:name="_Toc118366678"/>
      <w:bookmarkStart w:id="300" w:name="_Toc118370923"/>
      <w:bookmarkStart w:id="301" w:name="_Toc118385820"/>
      <w:bookmarkStart w:id="302" w:name="_Toc118385943"/>
      <w:bookmarkStart w:id="303" w:name="_Toc118703347"/>
      <w:bookmarkStart w:id="304" w:name="_Toc118703450"/>
      <w:bookmarkStart w:id="305" w:name="_Toc120547727"/>
      <w:bookmarkStart w:id="306" w:name="_Toc124433398"/>
      <w:bookmarkStart w:id="307" w:name="_Hlk105418791"/>
      <w:r w:rsidRPr="00A3430B">
        <w:rPr>
          <w:b w:val="0"/>
          <w:bCs w:val="0"/>
          <w:color w:val="0F4C44" w:themeColor="accent3" w:themeShade="80"/>
        </w:rPr>
        <w:t>1.  Context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4A22858" w14:textId="77777777" w:rsidR="00A0613F" w:rsidRPr="001D3E93" w:rsidRDefault="00A0613F" w:rsidP="00A0613F">
      <w:pPr>
        <w:spacing w:line="264" w:lineRule="auto"/>
        <w:rPr>
          <w:rFonts w:ascii="Verdana" w:eastAsia="Verdana" w:hAnsi="Verdana" w:cs="Verdana"/>
        </w:rPr>
      </w:pPr>
      <w:r w:rsidRPr="001D3E93">
        <w:rPr>
          <w:rFonts w:ascii="Verdana" w:eastAsia="Verdana" w:hAnsi="Verdana" w:cs="Verdana"/>
        </w:rPr>
        <w:t>Austrade administers the Export Market Development Grants (EMDG) program, which is funded at $157.9 million per year (until 2025-2026). It is a grants program to help Australian small to medium</w:t>
      </w:r>
      <w:r w:rsidRPr="001D3E93">
        <w:rPr>
          <w:rFonts w:ascii="Verdana" w:eastAsia="SimSun" w:hAnsi="Verdana" w:cs="Times New Roman"/>
          <w:color w:val="000000"/>
          <w:shd w:val="clear" w:color="auto" w:fill="FFFFFF"/>
        </w:rPr>
        <w:t xml:space="preserve"> enterprise</w:t>
      </w:r>
      <w:r w:rsidRPr="001D3E93">
        <w:rPr>
          <w:rFonts w:ascii="Verdana" w:eastAsia="Verdana" w:hAnsi="Verdana" w:cs="Verdana"/>
        </w:rPr>
        <w:t xml:space="preserve"> (SMEs) exporters grow and diversify in international markets through funding for promotion and marketing. </w:t>
      </w:r>
    </w:p>
    <w:p w14:paraId="3BF297E1" w14:textId="77777777" w:rsidR="00A0613F" w:rsidRPr="001D3E93" w:rsidRDefault="00A0613F" w:rsidP="00A0613F">
      <w:pPr>
        <w:spacing w:line="264" w:lineRule="auto"/>
        <w:rPr>
          <w:rFonts w:ascii="Verdana" w:eastAsia="Verdana" w:hAnsi="Verdana" w:cs="Verdana"/>
        </w:rPr>
      </w:pPr>
      <w:r w:rsidRPr="001D3E93">
        <w:rPr>
          <w:rFonts w:ascii="Verdana" w:eastAsia="Verdana" w:hAnsi="Verdana" w:cs="Verdana"/>
          <w:i/>
          <w:color w:val="242424"/>
        </w:rPr>
        <w:t xml:space="preserve">“An internal and prompt review of Australia’s Export Market Development Grants Program” </w:t>
      </w:r>
      <w:r w:rsidRPr="001D3E93">
        <w:rPr>
          <w:rFonts w:ascii="Verdana" w:eastAsia="Verdana" w:hAnsi="Verdana" w:cs="Verdana"/>
          <w:color w:val="242424"/>
        </w:rPr>
        <w:t>was</w:t>
      </w:r>
      <w:r w:rsidRPr="001D3E93">
        <w:rPr>
          <w:rFonts w:ascii="Verdana" w:eastAsia="Verdana" w:hAnsi="Verdana" w:cs="Verdana"/>
          <w:i/>
          <w:color w:val="242424"/>
        </w:rPr>
        <w:t xml:space="preserve"> </w:t>
      </w:r>
      <w:r w:rsidRPr="001D3E93">
        <w:rPr>
          <w:rFonts w:ascii="Verdana" w:eastAsia="Verdana" w:hAnsi="Verdana" w:cs="Verdana"/>
        </w:rPr>
        <w:t>part of the Government’s Trade Diversification Plan, Export Market and Product Diversification Strategy.</w:t>
      </w:r>
    </w:p>
    <w:p w14:paraId="35A75C8C" w14:textId="19FFBEC3" w:rsidR="00A0613F" w:rsidRPr="001D3E93" w:rsidRDefault="00A0613F" w:rsidP="00A0613F">
      <w:pPr>
        <w:spacing w:line="264" w:lineRule="auto"/>
        <w:rPr>
          <w:rFonts w:ascii="Verdana" w:eastAsia="Verdana" w:hAnsi="Verdana" w:cs="Verdana"/>
        </w:rPr>
      </w:pPr>
      <w:r w:rsidRPr="001D3E93">
        <w:rPr>
          <w:rFonts w:ascii="Verdana" w:eastAsia="Verdana" w:hAnsi="Verdana" w:cs="Verdana"/>
        </w:rPr>
        <w:t xml:space="preserve">These terms of reference set out the scope of Austrade’s operational review of EMDG, which will fulfill this commitment. </w:t>
      </w:r>
    </w:p>
    <w:p w14:paraId="70962D11" w14:textId="77777777" w:rsidR="00A0613F" w:rsidRPr="00A3430B" w:rsidRDefault="00A0613F" w:rsidP="00B309E5">
      <w:pPr>
        <w:pStyle w:val="Heading2"/>
        <w:rPr>
          <w:rFonts w:ascii="Verdana" w:eastAsia="Calibri" w:hAnsi="Verdana" w:cs="Arial"/>
          <w:b w:val="0"/>
          <w:bCs w:val="0"/>
          <w:color w:val="0F4C44" w:themeColor="background2" w:themeShade="80"/>
          <w:sz w:val="24"/>
          <w:szCs w:val="24"/>
        </w:rPr>
      </w:pPr>
      <w:bookmarkStart w:id="308" w:name="_Toc116553953"/>
      <w:bookmarkStart w:id="309" w:name="_Toc116554159"/>
      <w:bookmarkStart w:id="310" w:name="_Toc116554889"/>
      <w:bookmarkStart w:id="311" w:name="_Toc116982761"/>
      <w:bookmarkStart w:id="312" w:name="_Toc116986011"/>
      <w:bookmarkStart w:id="313" w:name="_Toc117084516"/>
      <w:bookmarkStart w:id="314" w:name="_Toc117765786"/>
      <w:bookmarkStart w:id="315" w:name="_Toc118366679"/>
      <w:bookmarkStart w:id="316" w:name="_Toc118370924"/>
      <w:bookmarkStart w:id="317" w:name="_Toc118385821"/>
      <w:bookmarkStart w:id="318" w:name="_Toc118385944"/>
      <w:bookmarkStart w:id="319" w:name="_Toc118703348"/>
      <w:bookmarkStart w:id="320" w:name="_Toc118703451"/>
      <w:bookmarkStart w:id="321" w:name="_Toc120547728"/>
      <w:bookmarkStart w:id="322" w:name="_Toc124433399"/>
      <w:r w:rsidRPr="00A3430B">
        <w:rPr>
          <w:b w:val="0"/>
          <w:bCs w:val="0"/>
          <w:color w:val="0F4C44" w:themeColor="accent3" w:themeShade="80"/>
        </w:rPr>
        <w:t>2.  Objective</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A3430B">
        <w:rPr>
          <w:b w:val="0"/>
          <w:bCs w:val="0"/>
          <w:color w:val="0F4C44" w:themeColor="accent3" w:themeShade="80"/>
        </w:rPr>
        <w:t xml:space="preserve"> </w:t>
      </w:r>
    </w:p>
    <w:p w14:paraId="4C4BC695" w14:textId="77777777" w:rsidR="00A0613F" w:rsidRPr="001D3E93" w:rsidRDefault="00A0613F" w:rsidP="00A0613F">
      <w:pPr>
        <w:spacing w:line="264" w:lineRule="auto"/>
        <w:rPr>
          <w:rFonts w:ascii="Verdana" w:eastAsia="Verdana" w:hAnsi="Verdana" w:cs="Verdana"/>
        </w:rPr>
      </w:pPr>
      <w:bookmarkStart w:id="323" w:name="_Hlk116379038"/>
      <w:r w:rsidRPr="001D3E93">
        <w:rPr>
          <w:rFonts w:ascii="Verdana" w:eastAsia="Verdana" w:hAnsi="Verdana" w:cs="Verdana"/>
        </w:rPr>
        <w:t xml:space="preserve">The objective of the operational review is to: </w:t>
      </w:r>
    </w:p>
    <w:p w14:paraId="120E2111" w14:textId="77777777" w:rsidR="00A0613F" w:rsidRPr="001D3E93" w:rsidRDefault="00A0613F" w:rsidP="003F5515">
      <w:pPr>
        <w:numPr>
          <w:ilvl w:val="0"/>
          <w:numId w:val="6"/>
        </w:numPr>
        <w:spacing w:after="160" w:line="264" w:lineRule="auto"/>
        <w:contextualSpacing/>
        <w:rPr>
          <w:rFonts w:ascii="Verdana" w:eastAsia="Verdana" w:hAnsi="Verdana" w:cs="Verdana"/>
        </w:rPr>
      </w:pPr>
      <w:r w:rsidRPr="001D3E93">
        <w:rPr>
          <w:rFonts w:ascii="Verdana" w:eastAsia="Verdana" w:hAnsi="Verdana" w:cs="Verdana"/>
        </w:rPr>
        <w:t>identify and understand known and new challenges that emerged during implementation of the EMDG 2.0 program;</w:t>
      </w:r>
    </w:p>
    <w:p w14:paraId="431741F9" w14:textId="77777777" w:rsidR="00A0613F" w:rsidRPr="001D3E93" w:rsidRDefault="00A0613F" w:rsidP="003F5515">
      <w:pPr>
        <w:numPr>
          <w:ilvl w:val="0"/>
          <w:numId w:val="6"/>
        </w:numPr>
        <w:spacing w:after="160" w:line="264" w:lineRule="auto"/>
        <w:contextualSpacing/>
        <w:rPr>
          <w:rFonts w:ascii="Verdana" w:eastAsia="Verdana" w:hAnsi="Verdana" w:cs="Verdana"/>
        </w:rPr>
      </w:pPr>
      <w:r w:rsidRPr="001D3E93">
        <w:rPr>
          <w:rFonts w:ascii="Verdana" w:eastAsia="Verdana" w:hAnsi="Verdana" w:cs="Verdana"/>
        </w:rPr>
        <w:t>consider adjustments to address issues identified; and</w:t>
      </w:r>
    </w:p>
    <w:p w14:paraId="6E4ABB28" w14:textId="77777777" w:rsidR="00A0613F" w:rsidRPr="001D3E93" w:rsidRDefault="00A0613F" w:rsidP="003F5515">
      <w:pPr>
        <w:numPr>
          <w:ilvl w:val="0"/>
          <w:numId w:val="6"/>
        </w:numPr>
        <w:spacing w:after="160" w:line="264" w:lineRule="auto"/>
        <w:contextualSpacing/>
        <w:rPr>
          <w:rFonts w:ascii="Verdana" w:eastAsia="Verdana" w:hAnsi="Verdana" w:cs="Verdana"/>
        </w:rPr>
      </w:pPr>
      <w:r w:rsidRPr="001D3E93">
        <w:rPr>
          <w:rFonts w:ascii="Verdana" w:eastAsia="Verdana" w:hAnsi="Verdana" w:cs="Verdana"/>
        </w:rPr>
        <w:t xml:space="preserve">recommend further improvements to meet the Government’s objectives. </w:t>
      </w:r>
    </w:p>
    <w:p w14:paraId="08D32143" w14:textId="251B90E8" w:rsidR="00A0613F" w:rsidRPr="001D3E93" w:rsidRDefault="00A0613F" w:rsidP="00A0613F">
      <w:pPr>
        <w:spacing w:line="264" w:lineRule="auto"/>
        <w:rPr>
          <w:rFonts w:ascii="Verdana" w:eastAsia="Verdana" w:hAnsi="Verdana" w:cs="Verdana"/>
        </w:rPr>
      </w:pPr>
      <w:r w:rsidRPr="001D3E93">
        <w:rPr>
          <w:rFonts w:ascii="Verdana" w:eastAsia="Verdana" w:hAnsi="Verdana" w:cs="Verdana"/>
        </w:rPr>
        <w:t>This could include policy refinements and implementation enhancements which can be incorporated into EMDG Round 3, scheduled for the first quarter of calendar year 2023.</w:t>
      </w:r>
      <w:bookmarkEnd w:id="323"/>
      <w:r w:rsidRPr="001D3E93">
        <w:rPr>
          <w:rFonts w:ascii="Verdana" w:eastAsia="Verdana" w:hAnsi="Verdana" w:cs="Verdana"/>
        </w:rPr>
        <w:t xml:space="preserve"> Any longer-term policy issues that require significant change will be documented for the next legislative review.</w:t>
      </w:r>
      <w:bookmarkEnd w:id="307"/>
    </w:p>
    <w:p w14:paraId="26AFBF3D" w14:textId="77777777" w:rsidR="00A0613F" w:rsidRPr="00A3430B" w:rsidRDefault="00A0613F" w:rsidP="00B309E5">
      <w:pPr>
        <w:pStyle w:val="Heading2"/>
        <w:rPr>
          <w:rFonts w:ascii="Verdana" w:eastAsia="Calibri" w:hAnsi="Verdana" w:cs="Arial"/>
          <w:b w:val="0"/>
          <w:bCs w:val="0"/>
          <w:color w:val="0F4C44" w:themeColor="background2" w:themeShade="80"/>
          <w:sz w:val="24"/>
          <w:szCs w:val="24"/>
        </w:rPr>
      </w:pPr>
      <w:bookmarkStart w:id="324" w:name="_Toc116553954"/>
      <w:bookmarkStart w:id="325" w:name="_Toc116554160"/>
      <w:bookmarkStart w:id="326" w:name="_Toc116554890"/>
      <w:bookmarkStart w:id="327" w:name="_Toc116982762"/>
      <w:bookmarkStart w:id="328" w:name="_Toc116986012"/>
      <w:bookmarkStart w:id="329" w:name="_Toc117084517"/>
      <w:bookmarkStart w:id="330" w:name="_Toc117765787"/>
      <w:bookmarkStart w:id="331" w:name="_Toc118366680"/>
      <w:bookmarkStart w:id="332" w:name="_Toc118370925"/>
      <w:bookmarkStart w:id="333" w:name="_Toc118385822"/>
      <w:bookmarkStart w:id="334" w:name="_Toc118385945"/>
      <w:bookmarkStart w:id="335" w:name="_Toc118703349"/>
      <w:bookmarkStart w:id="336" w:name="_Toc118703452"/>
      <w:bookmarkStart w:id="337" w:name="_Toc120547729"/>
      <w:bookmarkStart w:id="338" w:name="_Toc124433400"/>
      <w:r w:rsidRPr="00A3430B">
        <w:rPr>
          <w:b w:val="0"/>
          <w:bCs w:val="0"/>
          <w:color w:val="0F4C44" w:themeColor="accent3" w:themeShade="80"/>
        </w:rPr>
        <w:t>3. Scope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F484DF8" w14:textId="03460042" w:rsidR="00A0613F" w:rsidRPr="001D3E93" w:rsidRDefault="00A0613F" w:rsidP="00A0613F">
      <w:pPr>
        <w:spacing w:line="264" w:lineRule="auto"/>
        <w:rPr>
          <w:rFonts w:ascii="Verdana" w:eastAsia="SimSun" w:hAnsi="Verdana" w:cs="Times New Roman"/>
        </w:rPr>
      </w:pPr>
      <w:r w:rsidRPr="001D3E93">
        <w:rPr>
          <w:rFonts w:ascii="Verdana" w:eastAsia="SimSun" w:hAnsi="Verdana" w:cs="Times New Roman"/>
        </w:rPr>
        <w:t>The operational review will examine a range of factors relating to the management, delivery, and outcomes of the EMDG 2.0 program. This will include process improvements, communication with stakeholders, and policy settings of the reformed EMDG program, to assess whether they delivered what was intended. The operational review will help improve the Government’s effectiveness and efficiency in supporting SMEs to generate additional export sales which deliver strong economic outcomes for Australia.</w:t>
      </w:r>
    </w:p>
    <w:p w14:paraId="53E3EF85" w14:textId="1B05DD81" w:rsidR="00A0613F" w:rsidRPr="001D3E93" w:rsidRDefault="00A0613F" w:rsidP="00B309E5">
      <w:pPr>
        <w:pStyle w:val="Heading3"/>
        <w:rPr>
          <w:b w:val="0"/>
          <w:bCs w:val="0"/>
          <w:sz w:val="22"/>
          <w:szCs w:val="22"/>
        </w:rPr>
      </w:pPr>
      <w:bookmarkStart w:id="339" w:name="_Toc118366681"/>
      <w:bookmarkStart w:id="340" w:name="_Toc118370926"/>
      <w:bookmarkStart w:id="341" w:name="_Toc118385823"/>
      <w:bookmarkStart w:id="342" w:name="_Toc118385946"/>
      <w:bookmarkStart w:id="343" w:name="_Toc118703350"/>
      <w:bookmarkStart w:id="344" w:name="_Toc118703453"/>
      <w:bookmarkStart w:id="345" w:name="_Toc120547730"/>
      <w:bookmarkStart w:id="346" w:name="_Toc124433401"/>
      <w:r w:rsidRPr="001D3E93">
        <w:rPr>
          <w:b w:val="0"/>
          <w:bCs w:val="0"/>
          <w:sz w:val="22"/>
          <w:szCs w:val="22"/>
        </w:rPr>
        <w:t>T</w:t>
      </w:r>
      <w:r w:rsidR="0063089D" w:rsidRPr="001D3E93">
        <w:rPr>
          <w:b w:val="0"/>
          <w:bCs w:val="0"/>
          <w:caps w:val="0"/>
          <w:sz w:val="22"/>
          <w:szCs w:val="22"/>
        </w:rPr>
        <w:t>he operational review will suggest process improvements, including by:</w:t>
      </w:r>
      <w:bookmarkEnd w:id="339"/>
      <w:bookmarkEnd w:id="340"/>
      <w:bookmarkEnd w:id="341"/>
      <w:bookmarkEnd w:id="342"/>
      <w:bookmarkEnd w:id="343"/>
      <w:bookmarkEnd w:id="344"/>
      <w:bookmarkEnd w:id="345"/>
      <w:bookmarkEnd w:id="346"/>
    </w:p>
    <w:p w14:paraId="6A68A5A5" w14:textId="77777777" w:rsidR="00A0613F" w:rsidRPr="001D3E93" w:rsidRDefault="00A0613F" w:rsidP="003F5515">
      <w:pPr>
        <w:numPr>
          <w:ilvl w:val="0"/>
          <w:numId w:val="5"/>
        </w:numPr>
        <w:spacing w:after="160" w:line="264" w:lineRule="auto"/>
        <w:contextualSpacing/>
        <w:rPr>
          <w:rFonts w:ascii="Verdana" w:eastAsia="SimSun" w:hAnsi="Verdana" w:cs="Times New Roman"/>
        </w:rPr>
      </w:pPr>
      <w:r w:rsidRPr="001D3E93">
        <w:rPr>
          <w:rFonts w:ascii="Verdana" w:eastAsia="SimSun" w:hAnsi="Verdana" w:cs="Times New Roman"/>
        </w:rPr>
        <w:t>Drawing on feedback, correspondence, surveys, and stakeholder consultation conducted in 2022 following Round 1, and specific additional stakeholder engagement.</w:t>
      </w:r>
    </w:p>
    <w:p w14:paraId="4BA78D19" w14:textId="77777777" w:rsidR="00A0613F" w:rsidRPr="001D3E93" w:rsidRDefault="00A0613F" w:rsidP="003F5515">
      <w:pPr>
        <w:numPr>
          <w:ilvl w:val="0"/>
          <w:numId w:val="5"/>
        </w:numPr>
        <w:spacing w:after="160" w:line="264" w:lineRule="auto"/>
        <w:contextualSpacing/>
        <w:rPr>
          <w:rFonts w:ascii="Verdana" w:eastAsia="SimSun" w:hAnsi="Verdana" w:cs="Times New Roman"/>
        </w:rPr>
      </w:pPr>
      <w:r w:rsidRPr="001D3E93">
        <w:rPr>
          <w:rFonts w:ascii="Verdana" w:eastAsia="SimSun" w:hAnsi="Verdana" w:cs="Times New Roman"/>
        </w:rPr>
        <w:t>Mapping issues that generated confusion</w:t>
      </w:r>
      <w:r w:rsidRPr="001D3E93" w:rsidDel="000B4A53">
        <w:rPr>
          <w:rFonts w:ascii="Verdana" w:eastAsia="SimSun" w:hAnsi="Verdana" w:cs="Times New Roman"/>
        </w:rPr>
        <w:t>.</w:t>
      </w:r>
      <w:r w:rsidRPr="001D3E93">
        <w:rPr>
          <w:rFonts w:ascii="Verdana" w:eastAsia="SimSun" w:hAnsi="Verdana" w:cs="Times New Roman"/>
        </w:rPr>
        <w:t xml:space="preserve"> </w:t>
      </w:r>
    </w:p>
    <w:p w14:paraId="75DCCFF8" w14:textId="77777777" w:rsidR="00A0613F" w:rsidRPr="001D3E93" w:rsidRDefault="00A0613F" w:rsidP="003F5515">
      <w:pPr>
        <w:numPr>
          <w:ilvl w:val="0"/>
          <w:numId w:val="5"/>
        </w:numPr>
        <w:spacing w:after="160" w:line="264" w:lineRule="auto"/>
        <w:contextualSpacing/>
        <w:rPr>
          <w:rFonts w:ascii="Verdana" w:eastAsia="SimSun" w:hAnsi="Verdana" w:cs="Times New Roman"/>
        </w:rPr>
      </w:pPr>
      <w:r w:rsidRPr="001D3E93">
        <w:rPr>
          <w:rFonts w:ascii="Verdana" w:eastAsia="SimSun" w:hAnsi="Verdana" w:cs="Times New Roman"/>
        </w:rPr>
        <w:t>Seeking to understand program demand and factors driving increased exporter applications to Round 1 of the program</w:t>
      </w:r>
      <w:r w:rsidRPr="001D3E93" w:rsidDel="000B4A53">
        <w:rPr>
          <w:rFonts w:ascii="Verdana" w:eastAsia="SimSun" w:hAnsi="Verdana" w:cs="Times New Roman"/>
        </w:rPr>
        <w:t>.</w:t>
      </w:r>
    </w:p>
    <w:p w14:paraId="33235FC5" w14:textId="77777777" w:rsidR="00A0613F" w:rsidRPr="001D3E93" w:rsidRDefault="00A0613F" w:rsidP="003F5515">
      <w:pPr>
        <w:numPr>
          <w:ilvl w:val="0"/>
          <w:numId w:val="5"/>
        </w:numPr>
        <w:spacing w:after="160" w:line="264" w:lineRule="auto"/>
        <w:contextualSpacing/>
        <w:rPr>
          <w:rFonts w:ascii="Verdana" w:eastAsia="SimSun" w:hAnsi="Verdana" w:cs="Times New Roman"/>
        </w:rPr>
      </w:pPr>
      <w:r w:rsidRPr="001D3E93">
        <w:rPr>
          <w:rFonts w:ascii="Verdana" w:eastAsia="SimSun" w:hAnsi="Verdana" w:cs="Times New Roman"/>
        </w:rPr>
        <w:t>Assessing eligibility factors, such as the tier structure, concessional thresholds, and their impacts on exporter behaviour.</w:t>
      </w:r>
    </w:p>
    <w:p w14:paraId="6F1DDA03" w14:textId="77777777" w:rsidR="00A0613F" w:rsidRPr="001D3E93" w:rsidRDefault="00A0613F" w:rsidP="003F5515">
      <w:pPr>
        <w:numPr>
          <w:ilvl w:val="0"/>
          <w:numId w:val="5"/>
        </w:numPr>
        <w:spacing w:after="0" w:line="264" w:lineRule="auto"/>
        <w:ind w:left="714" w:hanging="357"/>
        <w:contextualSpacing/>
        <w:rPr>
          <w:rFonts w:ascii="Verdana" w:eastAsia="SimSun" w:hAnsi="Verdana" w:cs="Times New Roman"/>
        </w:rPr>
      </w:pPr>
      <w:r w:rsidRPr="001D3E93">
        <w:rPr>
          <w:rFonts w:ascii="Verdana" w:eastAsia="SimSun" w:hAnsi="Verdana" w:cs="Times New Roman"/>
        </w:rPr>
        <w:t>Understanding what drives exporter behaviour regarding export promotion opportunities and spending.</w:t>
      </w:r>
    </w:p>
    <w:p w14:paraId="67418FEF" w14:textId="77777777" w:rsidR="00A0613F" w:rsidRPr="001D3E93" w:rsidRDefault="00A0613F" w:rsidP="003F5515">
      <w:pPr>
        <w:numPr>
          <w:ilvl w:val="0"/>
          <w:numId w:val="5"/>
        </w:numPr>
        <w:spacing w:after="160" w:line="20" w:lineRule="atLeast"/>
        <w:textAlignment w:val="baseline"/>
        <w:rPr>
          <w:rFonts w:ascii="Verdana" w:eastAsia="Times New Roman" w:hAnsi="Verdana" w:cs="Segoe UI"/>
          <w:sz w:val="24"/>
          <w:szCs w:val="24"/>
          <w:lang w:eastAsia="en-AU"/>
        </w:rPr>
      </w:pPr>
      <w:r w:rsidRPr="001D3E93">
        <w:rPr>
          <w:rFonts w:ascii="Verdana" w:eastAsia="Times New Roman" w:hAnsi="Verdana" w:cs="Segoe UI"/>
          <w:lang w:eastAsia="en-AU"/>
        </w:rPr>
        <w:lastRenderedPageBreak/>
        <w:t>Hearing the views of industry, peak and representative bodies which are engaging on behalf of their members.</w:t>
      </w:r>
    </w:p>
    <w:p w14:paraId="593BC4ED" w14:textId="2D157A50" w:rsidR="00A0613F" w:rsidRPr="001D3E93" w:rsidRDefault="0063089D" w:rsidP="00B309E5">
      <w:pPr>
        <w:pStyle w:val="Heading3"/>
        <w:rPr>
          <w:b w:val="0"/>
          <w:bCs w:val="0"/>
          <w:sz w:val="22"/>
          <w:szCs w:val="22"/>
        </w:rPr>
      </w:pPr>
      <w:bookmarkStart w:id="347" w:name="_Toc118366682"/>
      <w:bookmarkStart w:id="348" w:name="_Toc118370927"/>
      <w:bookmarkStart w:id="349" w:name="_Toc118385824"/>
      <w:bookmarkStart w:id="350" w:name="_Toc118385947"/>
      <w:bookmarkStart w:id="351" w:name="_Toc118703351"/>
      <w:bookmarkStart w:id="352" w:name="_Toc118703454"/>
      <w:bookmarkStart w:id="353" w:name="_Toc120547731"/>
      <w:bookmarkStart w:id="354" w:name="_Toc124433402"/>
      <w:r w:rsidRPr="001D3E93">
        <w:rPr>
          <w:b w:val="0"/>
          <w:bCs w:val="0"/>
          <w:caps w:val="0"/>
          <w:sz w:val="22"/>
          <w:szCs w:val="22"/>
        </w:rPr>
        <w:t xml:space="preserve">The operational review will consider and provide </w:t>
      </w:r>
      <w:r w:rsidRPr="001D3E93">
        <w:rPr>
          <w:rFonts w:ascii="Verdana" w:eastAsia="SimSun" w:hAnsi="Verdana" w:cs="Times New Roman"/>
          <w:b w:val="0"/>
          <w:bCs w:val="0"/>
          <w:caps w:val="0"/>
          <w:sz w:val="22"/>
          <w:szCs w:val="22"/>
        </w:rPr>
        <w:t>recommendations on communication and awareness raising including:</w:t>
      </w:r>
      <w:bookmarkEnd w:id="347"/>
      <w:bookmarkEnd w:id="348"/>
      <w:bookmarkEnd w:id="349"/>
      <w:bookmarkEnd w:id="350"/>
      <w:bookmarkEnd w:id="351"/>
      <w:bookmarkEnd w:id="352"/>
      <w:bookmarkEnd w:id="353"/>
      <w:bookmarkEnd w:id="354"/>
    </w:p>
    <w:p w14:paraId="64FE90A9" w14:textId="77777777" w:rsidR="00A0613F" w:rsidRPr="001D3E93" w:rsidRDefault="00A0613F" w:rsidP="003F5515">
      <w:pPr>
        <w:numPr>
          <w:ilvl w:val="0"/>
          <w:numId w:val="5"/>
        </w:numPr>
        <w:spacing w:after="160" w:line="264" w:lineRule="auto"/>
        <w:contextualSpacing/>
        <w:rPr>
          <w:rFonts w:ascii="Verdana" w:eastAsia="SimSun" w:hAnsi="Verdana" w:cs="Times New Roman"/>
        </w:rPr>
      </w:pPr>
      <w:bookmarkStart w:id="355" w:name="_Hlk104285641"/>
      <w:r w:rsidRPr="001D3E93">
        <w:rPr>
          <w:rFonts w:ascii="Verdana" w:eastAsia="SimSun" w:hAnsi="Verdana" w:cs="Times New Roman"/>
        </w:rPr>
        <w:t>Finding opportunities to improve exporters’ knowledge and understanding of the program.</w:t>
      </w:r>
    </w:p>
    <w:p w14:paraId="15009810" w14:textId="33ACE574" w:rsidR="00A0613F" w:rsidRPr="001D3E93" w:rsidRDefault="00A0613F" w:rsidP="003F5515">
      <w:pPr>
        <w:numPr>
          <w:ilvl w:val="0"/>
          <w:numId w:val="5"/>
        </w:numPr>
        <w:spacing w:after="160" w:line="264" w:lineRule="auto"/>
        <w:contextualSpacing/>
        <w:rPr>
          <w:rFonts w:ascii="Verdana" w:eastAsia="SimSun" w:hAnsi="Verdana" w:cs="Times New Roman"/>
        </w:rPr>
      </w:pPr>
      <w:r w:rsidRPr="001D3E93">
        <w:rPr>
          <w:rFonts w:ascii="Verdana" w:eastAsia="SimSun" w:hAnsi="Verdana" w:cs="Times New Roman"/>
        </w:rPr>
        <w:t xml:space="preserve">Explaining benefits of the shift to an </w:t>
      </w:r>
      <w:r w:rsidR="0039652B" w:rsidRPr="001D3E93">
        <w:rPr>
          <w:rFonts w:ascii="Verdana" w:eastAsia="SimSun" w:hAnsi="Verdana" w:cs="Times New Roman"/>
        </w:rPr>
        <w:t>upfront</w:t>
      </w:r>
      <w:r w:rsidRPr="001D3E93">
        <w:rPr>
          <w:rFonts w:ascii="Verdana" w:eastAsia="SimSun" w:hAnsi="Verdana" w:cs="Times New Roman"/>
        </w:rPr>
        <w:t xml:space="preserve"> grants payment as opposed to the complexity of the reimbursement process.</w:t>
      </w:r>
      <w:r w:rsidRPr="001D3E93">
        <w:rPr>
          <w:rFonts w:ascii="Verdana" w:eastAsia="SimSun" w:hAnsi="Verdana" w:cs="Times New Roman"/>
          <w:vertAlign w:val="superscript"/>
        </w:rPr>
        <w:t xml:space="preserve"> </w:t>
      </w:r>
      <w:bookmarkEnd w:id="355"/>
      <w:r w:rsidRPr="001D3E93">
        <w:rPr>
          <w:rFonts w:ascii="Verdana" w:eastAsia="SimSun" w:hAnsi="Verdana" w:cs="Times New Roman"/>
          <w:vertAlign w:val="superscript"/>
        </w:rPr>
        <w:footnoteReference w:id="7"/>
      </w:r>
      <w:r w:rsidRPr="001D3E93">
        <w:rPr>
          <w:rFonts w:ascii="Verdana" w:eastAsia="SimSun" w:hAnsi="Verdana" w:cs="Times New Roman"/>
        </w:rPr>
        <w:t xml:space="preserve">  </w:t>
      </w:r>
    </w:p>
    <w:p w14:paraId="01E841D8" w14:textId="4965B6E6" w:rsidR="00A0613F" w:rsidRPr="001D3E93" w:rsidRDefault="00A0613F" w:rsidP="00B309E5">
      <w:pPr>
        <w:numPr>
          <w:ilvl w:val="0"/>
          <w:numId w:val="5"/>
        </w:numPr>
        <w:spacing w:after="160" w:line="264" w:lineRule="auto"/>
        <w:contextualSpacing/>
        <w:rPr>
          <w:rFonts w:ascii="Verdana" w:eastAsia="SimSun" w:hAnsi="Verdana" w:cs="Times New Roman"/>
        </w:rPr>
      </w:pPr>
      <w:r w:rsidRPr="001D3E93">
        <w:rPr>
          <w:rFonts w:ascii="Verdana" w:eastAsia="SimSun" w:hAnsi="Verdana" w:cs="Times New Roman"/>
        </w:rPr>
        <w:t>The operational review will provide a clear and evidence-based picture of EMDG. The recommendations and key deliverables will feasibly inform design elements of EMDG Round 3, planned to open in the first quarter of 2023, to allow Austrade to assess applications and plan to offer grant agreements ahead of 1 July 2023.</w:t>
      </w:r>
    </w:p>
    <w:p w14:paraId="4632B65D" w14:textId="77777777" w:rsidR="00A0613F" w:rsidRPr="00A3430B" w:rsidRDefault="00A0613F" w:rsidP="00B309E5">
      <w:pPr>
        <w:pStyle w:val="Heading2"/>
        <w:rPr>
          <w:rFonts w:ascii="Verdana" w:eastAsia="Calibri" w:hAnsi="Verdana" w:cs="Arial"/>
          <w:b w:val="0"/>
          <w:bCs w:val="0"/>
          <w:color w:val="0F4C44" w:themeColor="background2" w:themeShade="80"/>
          <w:sz w:val="24"/>
          <w:szCs w:val="24"/>
        </w:rPr>
      </w:pPr>
      <w:bookmarkStart w:id="356" w:name="_Toc116553955"/>
      <w:bookmarkStart w:id="357" w:name="_Toc116554161"/>
      <w:bookmarkStart w:id="358" w:name="_Toc116554891"/>
      <w:bookmarkStart w:id="359" w:name="_Toc116982763"/>
      <w:bookmarkStart w:id="360" w:name="_Toc116986013"/>
      <w:bookmarkStart w:id="361" w:name="_Toc117084518"/>
      <w:bookmarkStart w:id="362" w:name="_Toc117765788"/>
      <w:bookmarkStart w:id="363" w:name="_Toc118366683"/>
      <w:bookmarkStart w:id="364" w:name="_Toc118370928"/>
      <w:bookmarkStart w:id="365" w:name="_Toc118385825"/>
      <w:bookmarkStart w:id="366" w:name="_Toc118385948"/>
      <w:bookmarkStart w:id="367" w:name="_Toc118703352"/>
      <w:bookmarkStart w:id="368" w:name="_Toc118703455"/>
      <w:bookmarkStart w:id="369" w:name="_Toc120547732"/>
      <w:bookmarkStart w:id="370" w:name="_Toc124433403"/>
      <w:r w:rsidRPr="00A3430B">
        <w:rPr>
          <w:b w:val="0"/>
          <w:bCs w:val="0"/>
          <w:color w:val="0F4C44" w:themeColor="accent3" w:themeShade="80"/>
        </w:rPr>
        <w:t>4. Stakeholder consultation</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28ADEC9" w14:textId="77777777" w:rsidR="00A0613F" w:rsidRPr="001D3E93" w:rsidRDefault="00A0613F" w:rsidP="00A0613F">
      <w:pPr>
        <w:spacing w:line="240" w:lineRule="auto"/>
        <w:textAlignment w:val="baseline"/>
        <w:rPr>
          <w:rFonts w:ascii="Verdana" w:eastAsia="SimSun" w:hAnsi="Verdana" w:cs="Times New Roman"/>
        </w:rPr>
      </w:pPr>
      <w:r w:rsidRPr="001D3E93">
        <w:rPr>
          <w:rFonts w:ascii="Verdana" w:eastAsia="SimSun" w:hAnsi="Verdana" w:cs="Times New Roman"/>
        </w:rPr>
        <w:t xml:space="preserve">In early 2022, following the close of Round 1 of EMDG, a range of mechanisms were used to understand the client experience of </w:t>
      </w:r>
      <w:r w:rsidRPr="001D3E93">
        <w:rPr>
          <w:rFonts w:ascii="Verdana" w:eastAsia="Calibri" w:hAnsi="Verdana" w:cs="Calibri"/>
          <w:sz w:val="22"/>
          <w:szCs w:val="22"/>
          <w:lang w:val="en-US" w:eastAsia="en-US"/>
        </w:rPr>
        <w:t>EMDG 2.0</w:t>
      </w:r>
      <w:r w:rsidRPr="001D3E93">
        <w:rPr>
          <w:rFonts w:ascii="Verdana" w:eastAsia="SimSun" w:hAnsi="Verdana" w:cs="Times New Roman"/>
        </w:rPr>
        <w:t xml:space="preserve">. These mechanisms included an all-applicant survey, a consultant/grant agent survey, applicant interviews as well as material from enquiries, complaints, and Ministerial correspondence. The operational review will draw on this research. </w:t>
      </w:r>
    </w:p>
    <w:p w14:paraId="214332B3" w14:textId="760F9BE6" w:rsidR="00A0613F" w:rsidRPr="001D3E93" w:rsidRDefault="00A0613F" w:rsidP="00A0613F">
      <w:pPr>
        <w:spacing w:after="160" w:line="259" w:lineRule="auto"/>
        <w:rPr>
          <w:rFonts w:ascii="Verdana" w:eastAsia="SimSun" w:hAnsi="Verdana" w:cs="Times New Roman"/>
        </w:rPr>
      </w:pPr>
      <w:r w:rsidRPr="001D3E93">
        <w:rPr>
          <w:rFonts w:ascii="Verdana" w:eastAsia="SimSun" w:hAnsi="Verdana" w:cs="Times New Roman"/>
        </w:rPr>
        <w:t xml:space="preserve">In addition, a new survey will be conducted, as well as a round of consultations with key stakeholders led by an independent facilitator to inform the operational review. </w:t>
      </w:r>
    </w:p>
    <w:p w14:paraId="29FCC63C" w14:textId="77777777" w:rsidR="00A0613F" w:rsidRPr="00A3430B" w:rsidRDefault="00A0613F" w:rsidP="00B309E5">
      <w:pPr>
        <w:pStyle w:val="Heading2"/>
        <w:rPr>
          <w:rFonts w:ascii="Verdana" w:eastAsia="Calibri" w:hAnsi="Verdana" w:cs="Arial"/>
          <w:b w:val="0"/>
          <w:bCs w:val="0"/>
          <w:color w:val="0F4C44" w:themeColor="background2" w:themeShade="80"/>
          <w:sz w:val="24"/>
          <w:szCs w:val="24"/>
        </w:rPr>
      </w:pPr>
      <w:bookmarkStart w:id="371" w:name="_Toc116553956"/>
      <w:bookmarkStart w:id="372" w:name="_Toc116554162"/>
      <w:bookmarkStart w:id="373" w:name="_Toc116554892"/>
      <w:bookmarkStart w:id="374" w:name="_Toc116982764"/>
      <w:bookmarkStart w:id="375" w:name="_Toc116986014"/>
      <w:bookmarkStart w:id="376" w:name="_Toc117084519"/>
      <w:bookmarkStart w:id="377" w:name="_Toc117765789"/>
      <w:bookmarkStart w:id="378" w:name="_Toc118366684"/>
      <w:bookmarkStart w:id="379" w:name="_Toc118370929"/>
      <w:bookmarkStart w:id="380" w:name="_Toc118385826"/>
      <w:bookmarkStart w:id="381" w:name="_Toc118385949"/>
      <w:bookmarkStart w:id="382" w:name="_Toc118703353"/>
      <w:bookmarkStart w:id="383" w:name="_Toc118703456"/>
      <w:bookmarkStart w:id="384" w:name="_Toc120547733"/>
      <w:bookmarkStart w:id="385" w:name="_Toc124433404"/>
      <w:r w:rsidRPr="00A3430B">
        <w:rPr>
          <w:b w:val="0"/>
          <w:bCs w:val="0"/>
          <w:color w:val="0F4C44" w:themeColor="accent3" w:themeShade="80"/>
        </w:rPr>
        <w:t>5. Timeframe</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14DB107" w14:textId="77777777" w:rsidR="00A0613F" w:rsidRPr="001D3E93" w:rsidRDefault="00A0613F" w:rsidP="00A0613F">
      <w:pPr>
        <w:rPr>
          <w:rFonts w:ascii="Verdana" w:eastAsia="SimSun" w:hAnsi="Verdana" w:cs="Times New Roman"/>
        </w:rPr>
      </w:pPr>
      <w:r w:rsidRPr="001D3E93">
        <w:rPr>
          <w:rFonts w:ascii="Verdana" w:eastAsia="SimSun" w:hAnsi="Verdana" w:cs="Times New Roman"/>
        </w:rPr>
        <w:t xml:space="preserve">Austrade has been asked to report to the Minister within three months. </w:t>
      </w:r>
    </w:p>
    <w:p w14:paraId="7C8D5373" w14:textId="77777777" w:rsidR="00A0613F" w:rsidRPr="001D3E93" w:rsidRDefault="00A0613F" w:rsidP="00A0613F">
      <w:pPr>
        <w:spacing w:after="160" w:line="259" w:lineRule="auto"/>
        <w:rPr>
          <w:rFonts w:ascii="Verdana" w:eastAsia="Calibri" w:hAnsi="Verdana" w:cs="Arial"/>
          <w:sz w:val="22"/>
          <w:szCs w:val="22"/>
          <w:lang w:val="en-US" w:eastAsia="en-US"/>
        </w:rPr>
      </w:pPr>
    </w:p>
    <w:p w14:paraId="0A75A30B" w14:textId="77777777" w:rsidR="00A0613F" w:rsidRPr="001D3E93" w:rsidRDefault="00A0613F" w:rsidP="00A3430B">
      <w:pPr>
        <w:keepNext/>
        <w:keepLines/>
        <w:spacing w:before="40" w:after="0" w:line="259" w:lineRule="auto"/>
        <w:rPr>
          <w:rFonts w:ascii="Calibri Light" w:eastAsia="MS Gothic" w:hAnsi="Calibri Light" w:cs="Times New Roman"/>
          <w:color w:val="1F3763"/>
          <w:sz w:val="24"/>
          <w:szCs w:val="24"/>
          <w:lang w:val="en-US" w:eastAsia="en-US"/>
        </w:rPr>
      </w:pPr>
    </w:p>
    <w:p w14:paraId="19EA4A53" w14:textId="452BD452" w:rsidR="006C119C" w:rsidRPr="001D3E93" w:rsidRDefault="006C119C" w:rsidP="00617F44">
      <w:pPr>
        <w:pStyle w:val="Heading1"/>
        <w:rPr>
          <w:b w:val="0"/>
          <w:bCs w:val="0"/>
        </w:rPr>
      </w:pPr>
      <w:bookmarkStart w:id="386" w:name="_Toc120547734"/>
      <w:bookmarkStart w:id="387" w:name="_Toc124433405"/>
      <w:r w:rsidRPr="001D3E93">
        <w:rPr>
          <w:b w:val="0"/>
          <w:bCs w:val="0"/>
        </w:rPr>
        <w:lastRenderedPageBreak/>
        <w:t xml:space="preserve">Attachment </w:t>
      </w:r>
      <w:r w:rsidR="002510AA" w:rsidRPr="001D3E93">
        <w:rPr>
          <w:b w:val="0"/>
          <w:bCs w:val="0"/>
        </w:rPr>
        <w:t>B</w:t>
      </w:r>
      <w:r w:rsidRPr="001D3E93">
        <w:rPr>
          <w:b w:val="0"/>
          <w:bCs w:val="0"/>
        </w:rPr>
        <w:t xml:space="preserve"> </w:t>
      </w:r>
      <w:r w:rsidR="002510AA" w:rsidRPr="001D3E93">
        <w:rPr>
          <w:b w:val="0"/>
          <w:bCs w:val="0"/>
        </w:rPr>
        <w:t>–</w:t>
      </w:r>
      <w:r w:rsidRPr="001D3E93">
        <w:rPr>
          <w:b w:val="0"/>
          <w:bCs w:val="0"/>
        </w:rPr>
        <w:t xml:space="preserve"> </w:t>
      </w:r>
      <w:r w:rsidR="002510AA" w:rsidRPr="001D3E93">
        <w:rPr>
          <w:b w:val="0"/>
          <w:bCs w:val="0"/>
        </w:rPr>
        <w:t>Snapshot EMDG 2.0 Round 1 and Round 2</w:t>
      </w:r>
      <w:bookmarkEnd w:id="386"/>
      <w:bookmarkEnd w:id="387"/>
    </w:p>
    <w:p w14:paraId="3D7D1E56" w14:textId="321E14EE" w:rsidR="00617F44" w:rsidRPr="00A3430B" w:rsidRDefault="002C0905" w:rsidP="00A3430B">
      <w:r w:rsidRPr="001D3E93">
        <w:rPr>
          <w:rFonts w:ascii="Verdana" w:eastAsia="Calibri" w:hAnsi="Verdana" w:cs="Arial"/>
          <w:noProof/>
          <w:color w:val="3A0349"/>
          <w:sz w:val="24"/>
          <w:szCs w:val="24"/>
          <w:lang w:val="en-US" w:eastAsia="en-US"/>
        </w:rPr>
        <w:drawing>
          <wp:inline distT="0" distB="0" distL="0" distR="0" wp14:anchorId="4715B7F7" wp14:editId="70B66481">
            <wp:extent cx="2715904" cy="2306472"/>
            <wp:effectExtent l="0" t="0" r="8255" b="0"/>
            <wp:docPr id="28" name="Picture 28" descr="A bar graph of applications by tier for EMDG 2.0 Round 1 and 2. &#10;Of the Round 1 applications, 18% were for tier 1, 38% for tier 2, 43% for tier 3 and 2% for rep body. &#10;Of the round 2 applications, 29% were for tier 1, 31% for tier 2, 39% for tier 3 and 2% for rep bod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ar graph of applications by tier for EMDG 2.0 Round 1 and 2. &#10;Of the Round 1 applications, 18% were for tier 1, 38% for tier 2, 43% for tier 3 and 2% for rep body. &#10;Of the round 2 applications, 29% were for tier 1, 31% for tier 2, 39% for tier 3 and 2% for rep body. &#10;"/>
                    <pic:cNvPicPr/>
                  </pic:nvPicPr>
                  <pic:blipFill rotWithShape="1">
                    <a:blip r:embed="rId19"/>
                    <a:srcRect r="52474" b="67739"/>
                    <a:stretch/>
                  </pic:blipFill>
                  <pic:spPr bwMode="auto">
                    <a:xfrm>
                      <a:off x="0" y="0"/>
                      <a:ext cx="2720641" cy="2310495"/>
                    </a:xfrm>
                    <a:prstGeom prst="rect">
                      <a:avLst/>
                    </a:prstGeom>
                    <a:ln>
                      <a:noFill/>
                    </a:ln>
                    <a:extLst>
                      <a:ext uri="{53640926-AAD7-44D8-BBD7-CCE9431645EC}">
                        <a14:shadowObscured xmlns:a14="http://schemas.microsoft.com/office/drawing/2010/main"/>
                      </a:ext>
                    </a:extLst>
                  </pic:spPr>
                </pic:pic>
              </a:graphicData>
            </a:graphic>
          </wp:inline>
        </w:drawing>
      </w:r>
    </w:p>
    <w:p w14:paraId="11C59746" w14:textId="4483E476" w:rsidR="006D595E" w:rsidRPr="001D3E93" w:rsidRDefault="000C26E6" w:rsidP="00A0613F">
      <w:pPr>
        <w:spacing w:after="160" w:line="259" w:lineRule="auto"/>
        <w:rPr>
          <w:rFonts w:ascii="Calibri" w:eastAsia="Calibri" w:hAnsi="Calibri" w:cs="Arial"/>
          <w:sz w:val="22"/>
          <w:szCs w:val="22"/>
          <w:lang w:val="en-US" w:eastAsia="en-US"/>
        </w:rPr>
      </w:pPr>
      <w:r w:rsidRPr="001D3E93">
        <w:rPr>
          <w:rFonts w:ascii="Verdana" w:eastAsia="Calibri" w:hAnsi="Verdana" w:cs="Arial"/>
          <w:noProof/>
          <w:color w:val="3A0349"/>
          <w:sz w:val="24"/>
          <w:szCs w:val="24"/>
          <w:lang w:val="en-US" w:eastAsia="en-US"/>
        </w:rPr>
        <w:drawing>
          <wp:inline distT="0" distB="0" distL="0" distR="0" wp14:anchorId="12E04F39" wp14:editId="7B189257">
            <wp:extent cx="2725732" cy="2292824"/>
            <wp:effectExtent l="0" t="0" r="0" b="0"/>
            <wp:docPr id="12" name="Picture 12" descr="A bar graph of average planned expenditure for rounds 1 and 2 of EMDG 2.0. Average planned expenditure is shown for Grants offered at Tier 1, 2 and 3 levels and to representative bodies.&#10;Tier 1 round 1 average planned expenditure is $152,710. Tier 1 round 2 average planned expenditure is $59,863. &#10;Tier 2 round 1 average planned expenditure is $202,751. Tier 2 round 2 average planned expenditure is $99,325. &#10;Tier 3 round 1 average planned expenditure is $604,757. Tier 3 round 2 average planned expenditure is $201,403. &#10;Representative body round 1 average planned expenditure is $408,006. Representative body round 2 average planned expenditure is $155,7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ar graph of average planned expenditure for rounds 1 and 2 of EMDG 2.0. Average planned expenditure is shown for Grants offered at Tier 1, 2 and 3 levels and to representative bodies.&#10;Tier 1 round 1 average planned expenditure is $152,710. Tier 1 round 2 average planned expenditure is $59,863. &#10;Tier 2 round 1 average planned expenditure is $202,751. Tier 2 round 2 average planned expenditure is $99,325. &#10;Tier 3 round 1 average planned expenditure is $604,757. Tier 3 round 2 average planned expenditure is $201,403. &#10;Representative body round 1 average planned expenditure is $408,006. Representative body round 2 average planned expenditure is $155,744.&#10;"/>
                    <pic:cNvPicPr/>
                  </pic:nvPicPr>
                  <pic:blipFill rotWithShape="1">
                    <a:blip r:embed="rId19"/>
                    <a:srcRect l="52302" b="67930"/>
                    <a:stretch/>
                  </pic:blipFill>
                  <pic:spPr bwMode="auto">
                    <a:xfrm>
                      <a:off x="0" y="0"/>
                      <a:ext cx="2730486" cy="2296823"/>
                    </a:xfrm>
                    <a:prstGeom prst="rect">
                      <a:avLst/>
                    </a:prstGeom>
                    <a:ln>
                      <a:noFill/>
                    </a:ln>
                    <a:extLst>
                      <a:ext uri="{53640926-AAD7-44D8-BBD7-CCE9431645EC}">
                        <a14:shadowObscured xmlns:a14="http://schemas.microsoft.com/office/drawing/2010/main"/>
                      </a:ext>
                    </a:extLst>
                  </pic:spPr>
                </pic:pic>
              </a:graphicData>
            </a:graphic>
          </wp:inline>
        </w:drawing>
      </w:r>
    </w:p>
    <w:p w14:paraId="552300F0" w14:textId="505CD533" w:rsidR="003E2F94" w:rsidRPr="001D3E93" w:rsidRDefault="003E2F94" w:rsidP="00A0613F">
      <w:pPr>
        <w:spacing w:after="160" w:line="259" w:lineRule="auto"/>
        <w:rPr>
          <w:rFonts w:ascii="Calibri" w:eastAsia="Calibri" w:hAnsi="Calibri" w:cs="Arial"/>
          <w:sz w:val="22"/>
          <w:szCs w:val="22"/>
          <w:lang w:val="en-US" w:eastAsia="en-US"/>
        </w:rPr>
      </w:pPr>
      <w:r w:rsidRPr="001D3E93">
        <w:rPr>
          <w:rFonts w:ascii="Verdana" w:eastAsia="Calibri" w:hAnsi="Verdana" w:cs="Arial"/>
          <w:noProof/>
          <w:color w:val="3A0349"/>
          <w:sz w:val="24"/>
          <w:szCs w:val="24"/>
          <w:lang w:val="en-US" w:eastAsia="en-US"/>
        </w:rPr>
        <w:drawing>
          <wp:inline distT="0" distB="0" distL="0" distR="0" wp14:anchorId="146BDE9F" wp14:editId="70D6D0FE">
            <wp:extent cx="2715727" cy="2715904"/>
            <wp:effectExtent l="0" t="0" r="8890" b="8255"/>
            <wp:docPr id="13" name="Picture 13" descr="A table of applications by product category per round. &#10;Goods product category made up 47% of round 1 applications and 44% of round 2 applications. &#10;IP category made up 9% of round 1 applications and 8% of round 2 applications. &#10;Tourism product category made up 2% of round 1 applications and 5% of round 2 applications. &#10;Events product category made up less than 1% of round 1 applications and less than 1% of round 2 applications. &#10;13% of round 1 and 13% of round 2 applications were made for more than one category. &#10;19% of round 1 and 19% of round 2 applications were made for other services. &#10;Software product category made up 9% of round 1 applications and 11% of round 2 applica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table of applications by product category per round. &#10;Goods product category made up 47% of round 1 applications and 44% of round 2 applications. &#10;IP category made up 9% of round 1 applications and 8% of round 2 applications. &#10;Tourism product category made up 2% of round 1 applications and 5% of round 2 applications. &#10;Events product category made up less than 1% of round 1 applications and less than 1% of round 2 applications. &#10;13% of round 1 and 13% of round 2 applications were made for more than one category. &#10;19% of round 1 and 19% of round 2 applications were made for other services. &#10;Software product category made up 9% of round 1 applications and 11% of round 2 applications. &#10;"/>
                    <pic:cNvPicPr/>
                  </pic:nvPicPr>
                  <pic:blipFill rotWithShape="1">
                    <a:blip r:embed="rId19"/>
                    <a:srcRect l="120" t="36174" r="52350" b="25833"/>
                    <a:stretch/>
                  </pic:blipFill>
                  <pic:spPr bwMode="auto">
                    <a:xfrm>
                      <a:off x="0" y="0"/>
                      <a:ext cx="2715727" cy="2715904"/>
                    </a:xfrm>
                    <a:prstGeom prst="rect">
                      <a:avLst/>
                    </a:prstGeom>
                    <a:ln>
                      <a:noFill/>
                    </a:ln>
                    <a:extLst>
                      <a:ext uri="{53640926-AAD7-44D8-BBD7-CCE9431645EC}">
                        <a14:shadowObscured xmlns:a14="http://schemas.microsoft.com/office/drawing/2010/main"/>
                      </a:ext>
                    </a:extLst>
                  </pic:spPr>
                </pic:pic>
              </a:graphicData>
            </a:graphic>
          </wp:inline>
        </w:drawing>
      </w:r>
    </w:p>
    <w:p w14:paraId="38B54D43" w14:textId="51154288" w:rsidR="006C119C" w:rsidRPr="001D3E93" w:rsidRDefault="006C119C">
      <w:pPr>
        <w:spacing w:after="160" w:line="259" w:lineRule="auto"/>
        <w:rPr>
          <w:rFonts w:ascii="Calibri" w:eastAsia="Calibri" w:hAnsi="Calibri" w:cs="Arial"/>
          <w:lang w:val="en-US" w:eastAsia="en-US"/>
        </w:rPr>
      </w:pPr>
    </w:p>
    <w:p w14:paraId="26FD2467" w14:textId="39952326" w:rsidR="00FF48CB" w:rsidRPr="001D3E93" w:rsidRDefault="00FF48CB" w:rsidP="00FF48CB">
      <w:pPr>
        <w:spacing w:after="160" w:line="259" w:lineRule="auto"/>
        <w:rPr>
          <w:rFonts w:ascii="Calibri" w:eastAsia="Calibri" w:hAnsi="Calibri" w:cs="Arial"/>
          <w:lang w:val="en-US" w:eastAsia="en-US"/>
        </w:rPr>
      </w:pPr>
      <w:r w:rsidRPr="001D3E93">
        <w:rPr>
          <w:rFonts w:ascii="Verdana" w:eastAsia="Calibri" w:hAnsi="Verdana" w:cs="Arial"/>
          <w:noProof/>
          <w:color w:val="3A0349"/>
          <w:sz w:val="24"/>
          <w:szCs w:val="24"/>
          <w:lang w:val="en-US" w:eastAsia="en-US"/>
        </w:rPr>
        <w:drawing>
          <wp:inline distT="0" distB="0" distL="0" distR="0" wp14:anchorId="29724412" wp14:editId="6FB011B2">
            <wp:extent cx="2738840" cy="2900149"/>
            <wp:effectExtent l="0" t="0" r="4445" b="0"/>
            <wp:docPr id="17" name="Picture 17" descr="Map of Australia showing applications by State and Territory per EMDG 2.0 round. &#10;The Australian Capital Territory formed 1% of applications in round 1 and 1% of applications in round 2. &#10;New South Wales formed 40% of applications in round 1 and 35% of applications in round 2. &#10;The Northern Territory formed less than 1% of applications in round 1 and less than 1% of applications in round 2. &#10;Queensland formed 16% of the applications in round 1 and 17% of applications in round 2. &#10;South Australia formed 6% of applications in round 1 and 7% of applications in round 2. &#10;Tasmania formed less than 1% of applications in round 1 and less than 1% of applications in round 2. &#10;Victoria formed 28% of applications in round 1 and 30% of applications in round 2. &#10;Western Australia formed 8% of applications in round 1 and 9% of applications in round 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ap of Australia showing applications by State and Territory per EMDG 2.0 round. &#10;The Australian Capital Territory formed 1% of applications in round 1 and 1% of applications in round 2. &#10;New South Wales formed 40% of applications in round 1 and 35% of applications in round 2. &#10;The Northern Territory formed less than 1% of applications in round 1 and less than 1% of applications in round 2. &#10;Queensland formed 16% of the applications in round 1 and 17% of applications in round 2. &#10;South Australia formed 6% of applications in round 1 and 7% of applications in round 2. &#10;Tasmania formed less than 1% of applications in round 1 and less than 1% of applications in round 2. &#10;Victoria formed 28% of applications in round 1 and 30% of applications in round 2. &#10;Western Australia formed 8% of applications in round 1 and 9% of applications in round 2. &#10;"/>
                    <pic:cNvPicPr/>
                  </pic:nvPicPr>
                  <pic:blipFill rotWithShape="1">
                    <a:blip r:embed="rId19"/>
                    <a:srcRect l="52068" t="36173" b="23258"/>
                    <a:stretch/>
                  </pic:blipFill>
                  <pic:spPr bwMode="auto">
                    <a:xfrm>
                      <a:off x="0" y="0"/>
                      <a:ext cx="2738840" cy="2900149"/>
                    </a:xfrm>
                    <a:prstGeom prst="rect">
                      <a:avLst/>
                    </a:prstGeom>
                    <a:ln>
                      <a:noFill/>
                    </a:ln>
                    <a:extLst>
                      <a:ext uri="{53640926-AAD7-44D8-BBD7-CCE9431645EC}">
                        <a14:shadowObscured xmlns:a14="http://schemas.microsoft.com/office/drawing/2010/main"/>
                      </a:ext>
                    </a:extLst>
                  </pic:spPr>
                </pic:pic>
              </a:graphicData>
            </a:graphic>
          </wp:inline>
        </w:drawing>
      </w:r>
    </w:p>
    <w:p w14:paraId="4602D8CE" w14:textId="3AC0F242" w:rsidR="00B309E5" w:rsidRPr="001D3E93" w:rsidRDefault="00A0613F">
      <w:pPr>
        <w:spacing w:after="160" w:line="259" w:lineRule="auto"/>
        <w:rPr>
          <w:lang w:val="en-US" w:eastAsia="en-US"/>
        </w:rPr>
      </w:pPr>
      <w:r w:rsidRPr="001D3E93">
        <w:rPr>
          <w:lang w:val="en-US" w:eastAsia="en-US"/>
        </w:rPr>
        <w:t>* Components may not add to totals due to rounding   </w:t>
      </w:r>
    </w:p>
    <w:p w14:paraId="352F9655" w14:textId="2A6DBB3F" w:rsidR="00193197" w:rsidRPr="001D3E93" w:rsidRDefault="00193197" w:rsidP="00193197">
      <w:pPr>
        <w:spacing w:after="160" w:line="259" w:lineRule="auto"/>
        <w:rPr>
          <w:lang w:val="en-US" w:eastAsia="en-US"/>
        </w:rPr>
      </w:pPr>
    </w:p>
    <w:p w14:paraId="1B077443" w14:textId="2A6DBB3F" w:rsidR="00665543" w:rsidRPr="001D3E93" w:rsidRDefault="00665543" w:rsidP="00665543">
      <w:pPr>
        <w:pStyle w:val="Heading2"/>
        <w:rPr>
          <w:b w:val="0"/>
          <w:bCs w:val="0"/>
          <w:color w:val="0F4C44" w:themeColor="accent3" w:themeShade="80"/>
        </w:rPr>
      </w:pPr>
      <w:r w:rsidRPr="001D3E93">
        <w:rPr>
          <w:b w:val="0"/>
          <w:bCs w:val="0"/>
          <w:color w:val="0F4C44" w:themeColor="accent3" w:themeShade="80"/>
        </w:rPr>
        <w:t>Round 1</w:t>
      </w:r>
    </w:p>
    <w:p w14:paraId="0803F287" w14:textId="2A6DBB3F" w:rsidR="00665543" w:rsidRPr="001D3E93" w:rsidRDefault="00665543" w:rsidP="00665543">
      <w:pPr>
        <w:pStyle w:val="ListParagraph"/>
        <w:numPr>
          <w:ilvl w:val="0"/>
          <w:numId w:val="64"/>
        </w:numPr>
      </w:pPr>
      <w:r w:rsidRPr="001D3E93">
        <w:t xml:space="preserve">Round 1 of export markets development grants opened on 16 August 2021 and closed 30 November 2021 </w:t>
      </w:r>
    </w:p>
    <w:p w14:paraId="1A7BE3C3" w14:textId="2A6DBB3F" w:rsidR="00665543" w:rsidRPr="001D3E93" w:rsidRDefault="00665543" w:rsidP="00665543">
      <w:pPr>
        <w:pStyle w:val="ListParagraph"/>
        <w:numPr>
          <w:ilvl w:val="0"/>
          <w:numId w:val="64"/>
        </w:numPr>
      </w:pPr>
      <w:r w:rsidRPr="001D3E93">
        <w:t>5384 applications were submitted</w:t>
      </w:r>
    </w:p>
    <w:p w14:paraId="1DDD6497" w14:textId="2A6DBB3F" w:rsidR="00665543" w:rsidRPr="001D3E93" w:rsidRDefault="00665543" w:rsidP="00665543">
      <w:pPr>
        <w:pStyle w:val="ListParagraph"/>
        <w:numPr>
          <w:ilvl w:val="0"/>
          <w:numId w:val="64"/>
        </w:numPr>
      </w:pPr>
      <w:r w:rsidRPr="001D3E93">
        <w:t>75% of applications were lodged by agents</w:t>
      </w:r>
    </w:p>
    <w:p w14:paraId="5168C9E6" w14:textId="4896EE6B" w:rsidR="00665543" w:rsidRPr="001D3E93" w:rsidRDefault="00665543" w:rsidP="00665543">
      <w:pPr>
        <w:pStyle w:val="ListParagraph"/>
        <w:numPr>
          <w:ilvl w:val="0"/>
          <w:numId w:val="64"/>
        </w:numPr>
      </w:pPr>
      <w:r w:rsidRPr="001D3E93">
        <w:t>49% of applications</w:t>
      </w:r>
      <w:r w:rsidR="00FF0AB5">
        <w:t xml:space="preserve"> were from new (to EMDG) applications</w:t>
      </w:r>
      <w:r w:rsidRPr="001D3E93">
        <w:t xml:space="preserve">. </w:t>
      </w:r>
    </w:p>
    <w:p w14:paraId="34E87F5D" w14:textId="2A6DBB3F" w:rsidR="00665543" w:rsidRPr="001D3E93" w:rsidRDefault="00665543" w:rsidP="00665543">
      <w:pPr>
        <w:pStyle w:val="ListParagraph"/>
      </w:pPr>
    </w:p>
    <w:p w14:paraId="3C165C9D" w14:textId="2A6DBB3F" w:rsidR="00665543" w:rsidRPr="001D3E93" w:rsidRDefault="00665543" w:rsidP="00665543">
      <w:pPr>
        <w:pStyle w:val="Heading2"/>
        <w:rPr>
          <w:b w:val="0"/>
          <w:bCs w:val="0"/>
          <w:color w:val="0F4C44" w:themeColor="accent3" w:themeShade="80"/>
        </w:rPr>
      </w:pPr>
      <w:r w:rsidRPr="001D3E93">
        <w:rPr>
          <w:b w:val="0"/>
          <w:bCs w:val="0"/>
          <w:color w:val="0F4C44" w:themeColor="accent3" w:themeShade="80"/>
        </w:rPr>
        <w:t>Round 2</w:t>
      </w:r>
    </w:p>
    <w:p w14:paraId="40EBC7A1" w14:textId="2A6DBB3F" w:rsidR="00665543" w:rsidRPr="001D3E93" w:rsidRDefault="00665543" w:rsidP="00665543">
      <w:pPr>
        <w:pStyle w:val="ListParagraph"/>
        <w:numPr>
          <w:ilvl w:val="0"/>
          <w:numId w:val="64"/>
        </w:numPr>
      </w:pPr>
      <w:r w:rsidRPr="001D3E93">
        <w:t xml:space="preserve">Round 2 of export markets development grants opened on 6 July 2021 and closed on 17 August 2022. </w:t>
      </w:r>
    </w:p>
    <w:p w14:paraId="3056481A" w14:textId="2A6DBB3F" w:rsidR="00665543" w:rsidRPr="001D3E93" w:rsidRDefault="00665543" w:rsidP="00665543">
      <w:pPr>
        <w:pStyle w:val="ListParagraph"/>
        <w:numPr>
          <w:ilvl w:val="0"/>
          <w:numId w:val="64"/>
        </w:numPr>
      </w:pPr>
      <w:r w:rsidRPr="001D3E93">
        <w:t xml:space="preserve">2723 applications submitted </w:t>
      </w:r>
    </w:p>
    <w:p w14:paraId="7918D466" w14:textId="2A6DBB3F" w:rsidR="00665543" w:rsidRPr="001D3E93" w:rsidRDefault="00665543" w:rsidP="00665543">
      <w:pPr>
        <w:pStyle w:val="ListParagraph"/>
        <w:numPr>
          <w:ilvl w:val="0"/>
          <w:numId w:val="64"/>
        </w:numPr>
      </w:pPr>
      <w:r w:rsidRPr="001D3E93">
        <w:t xml:space="preserve">62.5% of applications were lodged by agents </w:t>
      </w:r>
    </w:p>
    <w:p w14:paraId="48994DC8" w14:textId="2A6DBB3F" w:rsidR="00665543" w:rsidRPr="001D3E93" w:rsidRDefault="00665543" w:rsidP="00665543">
      <w:pPr>
        <w:pStyle w:val="ListParagraph"/>
        <w:numPr>
          <w:ilvl w:val="0"/>
          <w:numId w:val="64"/>
        </w:numPr>
      </w:pPr>
      <w:r w:rsidRPr="001D3E93">
        <w:t xml:space="preserve">72% of applications were from new (to EMDG) applications. </w:t>
      </w:r>
    </w:p>
    <w:p w14:paraId="6DF4A1D4" w14:textId="77777777" w:rsidR="00193197" w:rsidRPr="001D3E93" w:rsidRDefault="00193197" w:rsidP="00193197">
      <w:pPr>
        <w:spacing w:after="160" w:line="259" w:lineRule="auto"/>
        <w:rPr>
          <w:lang w:val="en-US" w:eastAsia="en-US"/>
        </w:rPr>
      </w:pPr>
    </w:p>
    <w:p w14:paraId="09C67172" w14:textId="368517C1" w:rsidR="00A0613F" w:rsidRPr="00A3430B" w:rsidDel="00F57FF5" w:rsidRDefault="002C42F9" w:rsidP="00A3430B">
      <w:pPr>
        <w:pStyle w:val="Heading1"/>
      </w:pPr>
      <w:bookmarkStart w:id="388" w:name="_Toc124433406"/>
      <w:r w:rsidRPr="00A3430B">
        <w:rPr>
          <w:b w:val="0"/>
          <w:bCs w:val="0"/>
        </w:rPr>
        <w:lastRenderedPageBreak/>
        <w:t>Attachment C – Survey Responses</w:t>
      </w:r>
      <w:bookmarkEnd w:id="388"/>
      <w:r w:rsidRPr="00A3430B">
        <w:rPr>
          <w:b w:val="0"/>
          <w:bCs w:val="0"/>
        </w:rPr>
        <w:t xml:space="preserve"> </w:t>
      </w:r>
    </w:p>
    <w:sdt>
      <w:sdtPr>
        <w:rPr>
          <w:rFonts w:ascii="Verdana" w:eastAsia="Verdana" w:hAnsi="Verdana" w:cs="Times New Roman"/>
          <w:color w:val="000000"/>
          <w:lang w:eastAsia="en-US"/>
        </w:rPr>
        <w:id w:val="-1649280474"/>
        <w:docPartObj>
          <w:docPartGallery w:val="Cover Pages"/>
          <w:docPartUnique/>
        </w:docPartObj>
      </w:sdtPr>
      <w:sdtEndPr>
        <w:rPr>
          <w:i/>
        </w:rPr>
      </w:sdtEndPr>
      <w:sdtContent>
        <w:p w14:paraId="0DE74D1B" w14:textId="2BDC0B24" w:rsidR="00A0613F" w:rsidRPr="001D3E93" w:rsidRDefault="00A0613F" w:rsidP="002C42F9">
          <w:r w:rsidRPr="001D3E93">
            <w:t>In August 2022, all EMDG stakeholders such as applicants, grant agents and other interested parties were invited to participate in the EMDG Operational Review survey. The survey was directly sent to over 11,000 email subscribers and was available on the Austrade website. 452 responses were received. Please note some questions enabled multiple answers so totals will not necessarily add to 100 per cent.</w:t>
          </w:r>
        </w:p>
        <w:p w14:paraId="7D85CE3C" w14:textId="77777777" w:rsidR="00A0613F" w:rsidRPr="00A3430B" w:rsidRDefault="00A0613F" w:rsidP="00843DA3">
          <w:pPr>
            <w:pStyle w:val="Heading2"/>
            <w:rPr>
              <w:b w:val="0"/>
              <w:bCs w:val="0"/>
              <w:color w:val="0F4C44" w:themeColor="background2" w:themeShade="80"/>
            </w:rPr>
          </w:pPr>
          <w:bookmarkStart w:id="389" w:name="_Toc116982767"/>
          <w:bookmarkStart w:id="390" w:name="_Toc116986017"/>
          <w:bookmarkStart w:id="391" w:name="_Toc117084522"/>
          <w:bookmarkStart w:id="392" w:name="_Toc117765792"/>
          <w:bookmarkStart w:id="393" w:name="_Toc118366686"/>
          <w:bookmarkStart w:id="394" w:name="_Toc118370932"/>
          <w:bookmarkStart w:id="395" w:name="_Toc118385828"/>
          <w:bookmarkStart w:id="396" w:name="_Toc118385951"/>
          <w:bookmarkStart w:id="397" w:name="_Toc118703355"/>
          <w:bookmarkStart w:id="398" w:name="_Toc120547735"/>
          <w:bookmarkStart w:id="399" w:name="_Toc124433407"/>
          <w:r w:rsidRPr="00A3430B">
            <w:rPr>
              <w:b w:val="0"/>
              <w:bCs w:val="0"/>
              <w:color w:val="0F4C44" w:themeColor="accent3" w:themeShade="80"/>
            </w:rPr>
            <w:t xml:space="preserve">Survey </w:t>
          </w:r>
          <w:bookmarkEnd w:id="389"/>
          <w:bookmarkEnd w:id="390"/>
          <w:bookmarkEnd w:id="391"/>
          <w:bookmarkEnd w:id="392"/>
          <w:r w:rsidRPr="00A3430B">
            <w:rPr>
              <w:b w:val="0"/>
              <w:bCs w:val="0"/>
              <w:color w:val="0F4C44" w:themeColor="accent3" w:themeShade="80"/>
            </w:rPr>
            <w:t>responses</w:t>
          </w:r>
          <w:bookmarkEnd w:id="393"/>
          <w:bookmarkEnd w:id="394"/>
          <w:bookmarkEnd w:id="395"/>
          <w:bookmarkEnd w:id="396"/>
          <w:bookmarkEnd w:id="397"/>
          <w:bookmarkEnd w:id="398"/>
          <w:bookmarkEnd w:id="399"/>
        </w:p>
        <w:p w14:paraId="1145D44D" w14:textId="77777777" w:rsidR="00A0613F" w:rsidRPr="001D3E93" w:rsidRDefault="00A0613F" w:rsidP="002D4319">
          <w:pPr>
            <w:pStyle w:val="ListParagraph"/>
            <w:numPr>
              <w:ilvl w:val="0"/>
              <w:numId w:val="47"/>
            </w:numPr>
          </w:pPr>
          <w:bookmarkStart w:id="400" w:name="_Toc116982768"/>
          <w:bookmarkStart w:id="401" w:name="_Toc116986018"/>
          <w:bookmarkStart w:id="402" w:name="_Toc117084523"/>
          <w:bookmarkStart w:id="403" w:name="_Toc117765793"/>
          <w:r w:rsidRPr="001D3E93">
            <w:t>84 per cent of respondents identified as export businesses.</w:t>
          </w:r>
          <w:bookmarkEnd w:id="400"/>
          <w:bookmarkEnd w:id="401"/>
          <w:bookmarkEnd w:id="402"/>
          <w:bookmarkEnd w:id="403"/>
        </w:p>
        <w:p w14:paraId="3EEE553B" w14:textId="77777777" w:rsidR="00A0613F" w:rsidRPr="001D3E93" w:rsidRDefault="00A0613F" w:rsidP="002D4319">
          <w:pPr>
            <w:pStyle w:val="ListParagraph"/>
            <w:numPr>
              <w:ilvl w:val="0"/>
              <w:numId w:val="47"/>
            </w:numPr>
            <w:rPr>
              <w:rFonts w:eastAsia="Verdana" w:cs="Times New Roman"/>
              <w:color w:val="000000"/>
            </w:rPr>
          </w:pPr>
          <w:r w:rsidRPr="001D3E93">
            <w:rPr>
              <w:rFonts w:eastAsia="Verdana" w:cs="Times New Roman"/>
              <w:color w:val="000000"/>
            </w:rPr>
            <w:t>16 per cent applied in Tier 1 (New to export)</w:t>
          </w:r>
        </w:p>
        <w:p w14:paraId="5848884E" w14:textId="77777777" w:rsidR="00A0613F" w:rsidRPr="001D3E93" w:rsidRDefault="00A0613F" w:rsidP="002D4319">
          <w:pPr>
            <w:pStyle w:val="ListParagraph"/>
            <w:numPr>
              <w:ilvl w:val="0"/>
              <w:numId w:val="47"/>
            </w:numPr>
            <w:rPr>
              <w:rFonts w:eastAsia="Verdana" w:cs="Times New Roman"/>
              <w:color w:val="000000"/>
            </w:rPr>
          </w:pPr>
          <w:r w:rsidRPr="001D3E93">
            <w:rPr>
              <w:rFonts w:eastAsia="Verdana" w:cs="Times New Roman"/>
              <w:color w:val="000000"/>
            </w:rPr>
            <w:t>37per cent applied in Tier 2 (Expanding exporter)</w:t>
          </w:r>
        </w:p>
        <w:p w14:paraId="71A20A4D" w14:textId="77777777" w:rsidR="00A0613F" w:rsidRPr="001D3E93" w:rsidRDefault="00A0613F" w:rsidP="002D4319">
          <w:pPr>
            <w:pStyle w:val="ListParagraph"/>
            <w:numPr>
              <w:ilvl w:val="0"/>
              <w:numId w:val="47"/>
            </w:numPr>
            <w:rPr>
              <w:rFonts w:eastAsia="Verdana" w:cs="Times New Roman"/>
              <w:color w:val="000000"/>
            </w:rPr>
          </w:pPr>
          <w:r w:rsidRPr="001D3E93">
            <w:rPr>
              <w:rFonts w:eastAsia="Verdana" w:cs="Times New Roman"/>
              <w:color w:val="000000"/>
            </w:rPr>
            <w:t>21 per cent applied in Tier 3 (Diversifying exporter)</w:t>
          </w:r>
        </w:p>
        <w:p w14:paraId="70721060" w14:textId="77777777" w:rsidR="00A0613F" w:rsidRPr="001D3E93" w:rsidRDefault="00A0613F" w:rsidP="002D4319">
          <w:pPr>
            <w:pStyle w:val="ListParagraph"/>
            <w:numPr>
              <w:ilvl w:val="0"/>
              <w:numId w:val="47"/>
            </w:numPr>
            <w:rPr>
              <w:rFonts w:eastAsia="Verdana" w:cs="Times New Roman"/>
              <w:color w:val="000000"/>
            </w:rPr>
          </w:pPr>
          <w:r w:rsidRPr="001D3E93">
            <w:rPr>
              <w:rFonts w:eastAsia="Verdana" w:cs="Times New Roman"/>
              <w:color w:val="000000"/>
            </w:rPr>
            <w:t>3 per cent applied in the Representative Bodies Tier</w:t>
          </w:r>
        </w:p>
        <w:p w14:paraId="62EB1BFF" w14:textId="1DCA494A" w:rsidR="00A0613F" w:rsidRPr="001D3E93" w:rsidRDefault="00A0613F" w:rsidP="002D4319">
          <w:pPr>
            <w:pStyle w:val="ListParagraph"/>
            <w:numPr>
              <w:ilvl w:val="0"/>
              <w:numId w:val="47"/>
            </w:numPr>
            <w:rPr>
              <w:rFonts w:eastAsia="Verdana" w:cs="Times New Roman"/>
              <w:color w:val="000000"/>
            </w:rPr>
          </w:pPr>
          <w:r w:rsidRPr="001D3E93">
            <w:rPr>
              <w:rFonts w:eastAsia="Verdana" w:cs="Times New Roman"/>
              <w:color w:val="000000"/>
            </w:rPr>
            <w:t xml:space="preserve">10 per cent applied in multiple Tiers (which suggests they may </w:t>
          </w:r>
          <w:r w:rsidR="00F23C06" w:rsidRPr="001D3E93">
            <w:rPr>
              <w:rFonts w:eastAsia="Verdana" w:cs="Times New Roman"/>
              <w:color w:val="000000"/>
            </w:rPr>
            <w:t>have been</w:t>
          </w:r>
          <w:r w:rsidRPr="001D3E93">
            <w:rPr>
              <w:rFonts w:eastAsia="Verdana" w:cs="Times New Roman"/>
              <w:color w:val="000000"/>
            </w:rPr>
            <w:t xml:space="preserve"> </w:t>
          </w:r>
          <w:r w:rsidR="00F23C06" w:rsidRPr="001D3E93">
            <w:rPr>
              <w:rFonts w:eastAsia="Verdana" w:cs="Times New Roman"/>
              <w:color w:val="000000"/>
            </w:rPr>
            <w:t xml:space="preserve">lodged by </w:t>
          </w:r>
          <w:r w:rsidRPr="001D3E93">
            <w:rPr>
              <w:rFonts w:eastAsia="Verdana" w:cs="Times New Roman"/>
              <w:color w:val="000000"/>
            </w:rPr>
            <w:t>grant agents)</w:t>
          </w:r>
        </w:p>
        <w:p w14:paraId="709DFFD8" w14:textId="77777777" w:rsidR="00A0613F" w:rsidRPr="001D3E93" w:rsidRDefault="00A0613F" w:rsidP="002D4319">
          <w:pPr>
            <w:pStyle w:val="ListParagraph"/>
            <w:numPr>
              <w:ilvl w:val="0"/>
              <w:numId w:val="47"/>
            </w:numPr>
            <w:rPr>
              <w:rFonts w:eastAsia="Times New Roman" w:cs="Times New Roman"/>
              <w:color w:val="000000"/>
            </w:rPr>
          </w:pPr>
          <w:r w:rsidRPr="001D3E93">
            <w:rPr>
              <w:rFonts w:eastAsia="Verdana" w:cs="Times New Roman"/>
              <w:color w:val="000000"/>
            </w:rPr>
            <w:t>12 per cent of respondents were grant agents</w:t>
          </w:r>
        </w:p>
        <w:p w14:paraId="67DCB73B" w14:textId="36110B77" w:rsidR="00B53CC4" w:rsidRPr="001D3E93" w:rsidRDefault="00A0613F" w:rsidP="002D4319">
          <w:pPr>
            <w:pStyle w:val="ListParagraph"/>
            <w:numPr>
              <w:ilvl w:val="0"/>
              <w:numId w:val="47"/>
            </w:numPr>
            <w:rPr>
              <w:rFonts w:eastAsia="Verdana" w:cs="Times New Roman"/>
              <w:color w:val="000000"/>
            </w:rPr>
          </w:pPr>
          <w:r w:rsidRPr="001D3E93">
            <w:rPr>
              <w:rFonts w:eastAsia="Verdana" w:cs="Times New Roman"/>
              <w:color w:val="000000"/>
            </w:rPr>
            <w:t>3 per cent were from industry associations representing businesse</w:t>
          </w:r>
          <w:r w:rsidR="00B53CC4" w:rsidRPr="001D3E93">
            <w:rPr>
              <w:rFonts w:eastAsia="Verdana" w:cs="Times New Roman"/>
              <w:color w:val="000000"/>
            </w:rPr>
            <w:t>s</w:t>
          </w:r>
        </w:p>
        <w:p w14:paraId="62DACA2D" w14:textId="77777777" w:rsidR="00B53CC4" w:rsidRPr="001D3E93" w:rsidRDefault="00B53CC4" w:rsidP="00A3430B">
          <w:pPr>
            <w:pStyle w:val="ListParagraph"/>
            <w:rPr>
              <w:rFonts w:eastAsia="Verdana" w:cs="Times New Roman"/>
              <w:color w:val="000000"/>
            </w:rPr>
          </w:pPr>
        </w:p>
        <w:p w14:paraId="0230CBEC" w14:textId="416B5F20" w:rsidR="00B53CC4" w:rsidRPr="001D3E93" w:rsidRDefault="00F579A8" w:rsidP="00A3430B">
          <w:pPr>
            <w:pStyle w:val="ListParagraph"/>
            <w:rPr>
              <w:rFonts w:eastAsia="Verdana" w:cs="Times New Roman"/>
              <w:color w:val="000000"/>
            </w:rPr>
          </w:pPr>
          <w:r w:rsidRPr="00F579A8">
            <w:rPr>
              <w:rFonts w:eastAsia="Verdana" w:cs="Times New Roman"/>
              <w:noProof/>
              <w:color w:val="000000"/>
            </w:rPr>
            <w:drawing>
              <wp:inline distT="0" distB="0" distL="0" distR="0" wp14:anchorId="4F2D2072" wp14:editId="1D7B9AD8">
                <wp:extent cx="3466943" cy="2159000"/>
                <wp:effectExtent l="0" t="0" r="635" b="0"/>
                <wp:docPr id="3" name="Picture 3" descr="A donut chart break down of the survey respondent. &#10;Of the 452 responses received:&#10;73 respondents applied in tier 1.&#10;169 respondents applied in tier 2.&#10;93 respondents applied in tier 3.&#10;12 respondents applied in the Representative Bodies tier.&#10;45 respondents applied in multiple tiers.&#10;And 60 respondents did not app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nut chart break down of the survey respondent. &#10;Of the 452 responses received:&#10;73 respondents applied in tier 1.&#10;169 respondents applied in tier 2.&#10;93 respondents applied in tier 3.&#10;12 respondents applied in the Representative Bodies tier.&#10;45 respondents applied in multiple tiers.&#10;And 60 respondents did not apply.&#10;"/>
                        <pic:cNvPicPr/>
                      </pic:nvPicPr>
                      <pic:blipFill>
                        <a:blip r:embed="rId20"/>
                        <a:stretch>
                          <a:fillRect/>
                        </a:stretch>
                      </pic:blipFill>
                      <pic:spPr>
                        <a:xfrm>
                          <a:off x="0" y="0"/>
                          <a:ext cx="3489500" cy="2173047"/>
                        </a:xfrm>
                        <a:prstGeom prst="rect">
                          <a:avLst/>
                        </a:prstGeom>
                      </pic:spPr>
                    </pic:pic>
                  </a:graphicData>
                </a:graphic>
              </wp:inline>
            </w:drawing>
          </w:r>
        </w:p>
        <w:p w14:paraId="3B796670" w14:textId="354D3FFC" w:rsidR="00B53CC4" w:rsidRPr="001D3E93" w:rsidRDefault="00844118" w:rsidP="00A3430B">
          <w:pPr>
            <w:rPr>
              <w:rFonts w:eastAsia="Verdana" w:cs="Times New Roman"/>
              <w:color w:val="000000"/>
            </w:rPr>
          </w:pPr>
          <w:r w:rsidRPr="00844118">
            <w:rPr>
              <w:rFonts w:eastAsia="Verdana" w:cs="Times New Roman"/>
              <w:noProof/>
              <w:color w:val="000000"/>
            </w:rPr>
            <w:drawing>
              <wp:anchor distT="0" distB="0" distL="114300" distR="114300" simplePos="0" relativeHeight="251659269" behindDoc="1" locked="0" layoutInCell="1" allowOverlap="1" wp14:anchorId="0FE356B2" wp14:editId="36535B5E">
                <wp:simplePos x="0" y="0"/>
                <wp:positionH relativeFrom="column">
                  <wp:posOffset>394335</wp:posOffset>
                </wp:positionH>
                <wp:positionV relativeFrom="paragraph">
                  <wp:posOffset>168275</wp:posOffset>
                </wp:positionV>
                <wp:extent cx="3855720" cy="2314575"/>
                <wp:effectExtent l="0" t="0" r="0" b="9525"/>
                <wp:wrapTight wrapText="bothSides">
                  <wp:wrapPolygon edited="0">
                    <wp:start x="0" y="0"/>
                    <wp:lineTo x="0" y="21511"/>
                    <wp:lineTo x="21451" y="21511"/>
                    <wp:lineTo x="21451" y="0"/>
                    <wp:lineTo x="0" y="0"/>
                  </wp:wrapPolygon>
                </wp:wrapTight>
                <wp:docPr id="4" name="Picture 4" descr="A pie chart break down of the survey respondents: &#10;Of the 452 responses received: &#10;383 respondents identified as export businesses.&#10;55 respondents identified as EMDG consultants. &#10;14 respondents were from industry associations representing business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e chart break down of the survey respondents: &#10;Of the 452 responses received: &#10;383 respondents identified as export businesses.&#10;55 respondents identified as EMDG consultants. &#10;14 respondents were from industry associations representing businesses.  &#10;"/>
                        <pic:cNvPicPr/>
                      </pic:nvPicPr>
                      <pic:blipFill>
                        <a:blip r:embed="rId21"/>
                        <a:stretch>
                          <a:fillRect/>
                        </a:stretch>
                      </pic:blipFill>
                      <pic:spPr>
                        <a:xfrm>
                          <a:off x="0" y="0"/>
                          <a:ext cx="3855720" cy="2314575"/>
                        </a:xfrm>
                        <a:prstGeom prst="rect">
                          <a:avLst/>
                        </a:prstGeom>
                      </pic:spPr>
                    </pic:pic>
                  </a:graphicData>
                </a:graphic>
                <wp14:sizeRelH relativeFrom="margin">
                  <wp14:pctWidth>0</wp14:pctWidth>
                </wp14:sizeRelH>
                <wp14:sizeRelV relativeFrom="margin">
                  <wp14:pctHeight>0</wp14:pctHeight>
                </wp14:sizeRelV>
              </wp:anchor>
            </w:drawing>
          </w:r>
        </w:p>
        <w:p w14:paraId="62CD86C6" w14:textId="5050B33C" w:rsidR="00443EAF" w:rsidRPr="001D3E93" w:rsidRDefault="00443EAF" w:rsidP="00B53CC4">
          <w:pPr>
            <w:pStyle w:val="ListParagraph"/>
            <w:rPr>
              <w:rFonts w:eastAsia="Verdana" w:cs="Times New Roman"/>
              <w:color w:val="000000"/>
            </w:rPr>
          </w:pPr>
        </w:p>
        <w:p w14:paraId="6ABE7DD3" w14:textId="4D9368EE" w:rsidR="00443EAF" w:rsidRPr="001D3E93" w:rsidRDefault="00443EAF" w:rsidP="00A3430B">
          <w:pPr>
            <w:pStyle w:val="ListParagraph"/>
            <w:rPr>
              <w:rFonts w:eastAsia="Verdana" w:cs="Times New Roman"/>
              <w:color w:val="000000"/>
            </w:rPr>
          </w:pPr>
        </w:p>
        <w:p w14:paraId="0FFD62D5" w14:textId="5CF81BBE" w:rsidR="00A0613F" w:rsidRPr="001D3E93" w:rsidRDefault="00A0613F" w:rsidP="00A3430B">
          <w:pPr>
            <w:rPr>
              <w:rFonts w:eastAsia="Verdana" w:cs="Times New Roman"/>
              <w:color w:val="000000"/>
            </w:rPr>
          </w:pPr>
          <w:bookmarkStart w:id="404" w:name="_Toc116982769"/>
          <w:bookmarkStart w:id="405" w:name="_Toc116986019"/>
          <w:bookmarkStart w:id="406" w:name="_Toc117084524"/>
          <w:bookmarkStart w:id="407" w:name="_Toc117765794"/>
        </w:p>
        <w:p w14:paraId="0F204003" w14:textId="77777777" w:rsidR="00844118" w:rsidRDefault="00844118" w:rsidP="00843DA3">
          <w:pPr>
            <w:pStyle w:val="Heading2"/>
            <w:rPr>
              <w:b w:val="0"/>
              <w:bCs w:val="0"/>
              <w:color w:val="0F4C44" w:themeColor="accent3" w:themeShade="80"/>
            </w:rPr>
          </w:pPr>
          <w:bookmarkStart w:id="408" w:name="_Toc118366687"/>
          <w:bookmarkStart w:id="409" w:name="_Toc118370933"/>
          <w:bookmarkStart w:id="410" w:name="_Toc118385829"/>
          <w:bookmarkStart w:id="411" w:name="_Toc118385952"/>
          <w:bookmarkStart w:id="412" w:name="_Toc118703356"/>
          <w:bookmarkStart w:id="413" w:name="_Toc118703459"/>
          <w:bookmarkStart w:id="414" w:name="_Toc120547736"/>
          <w:bookmarkStart w:id="415" w:name="_Toc124433408"/>
        </w:p>
        <w:p w14:paraId="525637E4" w14:textId="77777777" w:rsidR="00844118" w:rsidRDefault="00844118" w:rsidP="00843DA3">
          <w:pPr>
            <w:pStyle w:val="Heading2"/>
            <w:rPr>
              <w:b w:val="0"/>
              <w:bCs w:val="0"/>
              <w:color w:val="0F4C44" w:themeColor="accent3" w:themeShade="80"/>
            </w:rPr>
          </w:pPr>
        </w:p>
        <w:p w14:paraId="06C53CD4" w14:textId="634467FD" w:rsidR="00A0613F" w:rsidRPr="00A3430B" w:rsidRDefault="00A0613F" w:rsidP="00843DA3">
          <w:pPr>
            <w:pStyle w:val="Heading2"/>
            <w:rPr>
              <w:b w:val="0"/>
              <w:bCs w:val="0"/>
              <w:color w:val="0F4C44" w:themeColor="background2" w:themeShade="80"/>
            </w:rPr>
          </w:pPr>
          <w:r w:rsidRPr="00A3430B">
            <w:rPr>
              <w:b w:val="0"/>
              <w:bCs w:val="0"/>
              <w:color w:val="0F4C44" w:themeColor="accent3" w:themeShade="80"/>
            </w:rPr>
            <w:t>Awareness of driver for EMDG changes and objectives</w:t>
          </w:r>
          <w:bookmarkEnd w:id="404"/>
          <w:bookmarkEnd w:id="405"/>
          <w:bookmarkEnd w:id="406"/>
          <w:bookmarkEnd w:id="407"/>
          <w:bookmarkEnd w:id="408"/>
          <w:bookmarkEnd w:id="409"/>
          <w:bookmarkEnd w:id="410"/>
          <w:bookmarkEnd w:id="411"/>
          <w:bookmarkEnd w:id="412"/>
          <w:bookmarkEnd w:id="413"/>
          <w:bookmarkEnd w:id="414"/>
          <w:bookmarkEnd w:id="415"/>
        </w:p>
        <w:p w14:paraId="57BB5460" w14:textId="01AEC008" w:rsidR="00A0613F" w:rsidRPr="001D3E93" w:rsidRDefault="00A0613F" w:rsidP="00E946B6">
          <w:pPr>
            <w:numPr>
              <w:ilvl w:val="0"/>
              <w:numId w:val="8"/>
            </w:numPr>
            <w:spacing w:after="0" w:line="240" w:lineRule="auto"/>
            <w:rPr>
              <w:rFonts w:ascii="Verdana" w:eastAsia="Times New Roman" w:hAnsi="Verdana" w:cs="Times New Roman"/>
              <w:color w:val="000000"/>
            </w:rPr>
          </w:pPr>
          <w:r w:rsidRPr="001D3E93">
            <w:rPr>
              <w:rFonts w:ascii="Verdana" w:eastAsia="Verdana" w:hAnsi="Verdana" w:cs="Times New Roman"/>
              <w:color w:val="000000"/>
            </w:rPr>
            <w:t>70 per cent of respondents were aware of the 2019 review that led to Government reforming the EMDG program.</w:t>
          </w:r>
        </w:p>
        <w:p w14:paraId="48A0CC07" w14:textId="0558EEFD" w:rsidR="00A0613F" w:rsidRPr="001D3E93" w:rsidRDefault="00A0613F" w:rsidP="00E946B6">
          <w:pPr>
            <w:numPr>
              <w:ilvl w:val="0"/>
              <w:numId w:val="8"/>
            </w:numPr>
            <w:spacing w:after="0" w:line="240" w:lineRule="auto"/>
            <w:rPr>
              <w:rFonts w:ascii="Verdana" w:eastAsia="Verdana" w:hAnsi="Verdana" w:cs="Times New Roman"/>
              <w:color w:val="000000"/>
              <w:lang w:eastAsia="en-US"/>
            </w:rPr>
          </w:pPr>
          <w:r w:rsidRPr="001D3E93">
            <w:rPr>
              <w:rFonts w:ascii="Verdana" w:eastAsia="Verdana" w:hAnsi="Verdana" w:cs="Times New Roman"/>
              <w:color w:val="000000"/>
            </w:rPr>
            <w:t xml:space="preserve">53 per cent of export businesses were aware of the review. </w:t>
          </w:r>
        </w:p>
        <w:p w14:paraId="5BC00A9F" w14:textId="330DBBC5" w:rsidR="00A0613F" w:rsidRPr="001D3E93" w:rsidRDefault="00EB23D8" w:rsidP="00E946B6">
          <w:pPr>
            <w:spacing w:after="0" w:line="240" w:lineRule="auto"/>
            <w:rPr>
              <w:rFonts w:ascii="Verdana" w:eastAsia="Verdana" w:hAnsi="Verdana" w:cs="Times New Roman"/>
              <w:color w:val="000000"/>
              <w:lang w:eastAsia="en-US"/>
            </w:rPr>
          </w:pPr>
          <w:r w:rsidRPr="001D3E93">
            <w:rPr>
              <w:rFonts w:ascii="Verdana" w:eastAsia="Verdana" w:hAnsi="Verdana" w:cs="Times New Roman"/>
              <w:color w:val="000000"/>
              <w:lang w:eastAsia="en-US"/>
            </w:rPr>
            <w:br/>
          </w:r>
          <w:r w:rsidR="00A0613F" w:rsidRPr="001D3E93">
            <w:rPr>
              <w:rFonts w:ascii="Verdana" w:eastAsia="Verdana" w:hAnsi="Verdana" w:cs="Times New Roman"/>
              <w:color w:val="000000"/>
              <w:lang w:eastAsia="en-US"/>
            </w:rPr>
            <w:t>Respondents identified the following objectives as important:</w:t>
          </w:r>
        </w:p>
        <w:p w14:paraId="71646D0B" w14:textId="77777777" w:rsidR="00A0613F" w:rsidRPr="001D3E93" w:rsidRDefault="00A0613F" w:rsidP="00E946B6">
          <w:pPr>
            <w:numPr>
              <w:ilvl w:val="0"/>
              <w:numId w:val="10"/>
            </w:numPr>
            <w:spacing w:after="0" w:line="240" w:lineRule="auto"/>
            <w:rPr>
              <w:rFonts w:ascii="Verdana" w:eastAsia="SimSun" w:hAnsi="Verdana" w:cs="Times New Roman"/>
            </w:rPr>
          </w:pPr>
          <w:r w:rsidRPr="001D3E93">
            <w:rPr>
              <w:rFonts w:ascii="Verdana" w:eastAsia="SimSun" w:hAnsi="Verdana" w:cs="Times New Roman"/>
            </w:rPr>
            <w:t>Reducing the complexity of the program (65 per cent) – most important priority</w:t>
          </w:r>
        </w:p>
        <w:p w14:paraId="34B845CB" w14:textId="05BB1701" w:rsidR="00A0613F" w:rsidRPr="001D3E93" w:rsidRDefault="00A0613F" w:rsidP="00E946B6">
          <w:pPr>
            <w:numPr>
              <w:ilvl w:val="0"/>
              <w:numId w:val="10"/>
            </w:numPr>
            <w:spacing w:after="0" w:line="240" w:lineRule="auto"/>
            <w:rPr>
              <w:rFonts w:ascii="Verdana" w:eastAsia="SimSun" w:hAnsi="Verdana" w:cs="Times New Roman"/>
            </w:rPr>
          </w:pPr>
          <w:r w:rsidRPr="001D3E93">
            <w:rPr>
              <w:rFonts w:ascii="Verdana" w:eastAsia="SimSun" w:hAnsi="Verdana" w:cs="Times New Roman"/>
            </w:rPr>
            <w:t>Upfront knowledge of grant amounts</w:t>
          </w:r>
        </w:p>
        <w:p w14:paraId="4F6B192A" w14:textId="44182C19" w:rsidR="00A0613F" w:rsidRPr="001D3E93" w:rsidRDefault="00A0613F" w:rsidP="00E946B6">
          <w:pPr>
            <w:numPr>
              <w:ilvl w:val="0"/>
              <w:numId w:val="10"/>
            </w:numPr>
            <w:spacing w:after="0" w:line="240" w:lineRule="auto"/>
            <w:rPr>
              <w:rFonts w:ascii="Verdana" w:eastAsia="SimSun" w:hAnsi="Verdana" w:cs="Times New Roman"/>
            </w:rPr>
          </w:pPr>
          <w:r w:rsidRPr="001D3E93">
            <w:rPr>
              <w:rFonts w:ascii="Verdana" w:eastAsia="SimSun" w:hAnsi="Verdana" w:cs="Times New Roman"/>
            </w:rPr>
            <w:t>Clarity on grant amounts in multi-year agreements.</w:t>
          </w:r>
        </w:p>
        <w:p w14:paraId="5AB14B54" w14:textId="6DF97AD6" w:rsidR="00A0613F" w:rsidRPr="00A3430B" w:rsidRDefault="00A0613F" w:rsidP="00843DA3">
          <w:pPr>
            <w:pStyle w:val="Heading2"/>
            <w:rPr>
              <w:rFonts w:ascii="Verdana" w:eastAsia="Calibri" w:hAnsi="Verdana" w:cs="Arial"/>
              <w:b w:val="0"/>
              <w:bCs w:val="0"/>
              <w:color w:val="0F4C44" w:themeColor="background2" w:themeShade="80"/>
              <w:sz w:val="24"/>
              <w:szCs w:val="24"/>
            </w:rPr>
          </w:pPr>
          <w:bookmarkStart w:id="416" w:name="_Toc118366688"/>
          <w:bookmarkStart w:id="417" w:name="_Toc118370934"/>
          <w:bookmarkStart w:id="418" w:name="_Toc118385830"/>
          <w:bookmarkStart w:id="419" w:name="_Toc118385953"/>
          <w:bookmarkStart w:id="420" w:name="_Toc118703357"/>
          <w:bookmarkStart w:id="421" w:name="_Toc118703460"/>
          <w:bookmarkStart w:id="422" w:name="_Toc120547737"/>
          <w:bookmarkStart w:id="423" w:name="_Toc124433409"/>
          <w:r w:rsidRPr="00A3430B">
            <w:rPr>
              <w:b w:val="0"/>
              <w:bCs w:val="0"/>
              <w:color w:val="0F4C44" w:themeColor="accent3" w:themeShade="80"/>
            </w:rPr>
            <w:t>Feedback on changes to EMDG</w:t>
          </w:r>
          <w:bookmarkEnd w:id="416"/>
          <w:bookmarkEnd w:id="417"/>
          <w:bookmarkEnd w:id="418"/>
          <w:bookmarkEnd w:id="419"/>
          <w:bookmarkEnd w:id="420"/>
          <w:bookmarkEnd w:id="421"/>
          <w:bookmarkEnd w:id="422"/>
          <w:bookmarkEnd w:id="423"/>
        </w:p>
        <w:p w14:paraId="5EA3C502" w14:textId="7810C378" w:rsidR="00A0613F" w:rsidRPr="001D3E93" w:rsidRDefault="00A0613F" w:rsidP="003F5515">
          <w:pPr>
            <w:numPr>
              <w:ilvl w:val="0"/>
              <w:numId w:val="12"/>
            </w:numPr>
            <w:spacing w:before="120" w:after="160" w:line="276" w:lineRule="auto"/>
            <w:contextualSpacing/>
            <w:rPr>
              <w:rFonts w:ascii="Verdana" w:eastAsia="Times New Roman" w:hAnsi="Verdana" w:cs="Times New Roman"/>
              <w:color w:val="000000"/>
            </w:rPr>
          </w:pPr>
          <w:r w:rsidRPr="001D3E93">
            <w:rPr>
              <w:rFonts w:ascii="Verdana" w:eastAsia="Times New Roman" w:hAnsi="Verdana" w:cs="Segoe UI"/>
              <w:color w:val="000000"/>
              <w:lang w:eastAsia="en-AU"/>
            </w:rPr>
            <w:t xml:space="preserve">86 per cent agreed the change from an audited reimbursement scheme to an upfront grant program was useful to reduce workload for applicants and Austrade. </w:t>
          </w:r>
        </w:p>
        <w:p w14:paraId="4BC9C25B" w14:textId="77777777" w:rsidR="00A0613F" w:rsidRPr="001D3E93" w:rsidRDefault="00A0613F" w:rsidP="003F5515">
          <w:pPr>
            <w:numPr>
              <w:ilvl w:val="1"/>
              <w:numId w:val="12"/>
            </w:numPr>
            <w:spacing w:before="120" w:after="160" w:line="276" w:lineRule="auto"/>
            <w:contextualSpacing/>
            <w:rPr>
              <w:rFonts w:ascii="Verdana" w:eastAsia="Times New Roman" w:hAnsi="Verdana" w:cs="Times New Roman"/>
              <w:iCs/>
              <w:color w:val="000000"/>
            </w:rPr>
          </w:pPr>
          <w:r w:rsidRPr="001D3E93">
            <w:rPr>
              <w:rFonts w:ascii="Verdana" w:eastAsia="Times New Roman" w:hAnsi="Verdana" w:cs="Times New Roman"/>
              <w:iCs/>
              <w:color w:val="000000"/>
            </w:rPr>
            <w:t>“Any administration reduction and simplification minimises the burden on small businesses” (Tier 3 applicant)</w:t>
          </w:r>
        </w:p>
        <w:p w14:paraId="1631F4BA" w14:textId="77777777" w:rsidR="00A0613F" w:rsidRPr="001D3E93" w:rsidRDefault="00A0613F" w:rsidP="003F5515">
          <w:pPr>
            <w:numPr>
              <w:ilvl w:val="1"/>
              <w:numId w:val="12"/>
            </w:numPr>
            <w:spacing w:before="120" w:after="160" w:line="276" w:lineRule="auto"/>
            <w:contextualSpacing/>
            <w:rPr>
              <w:rFonts w:ascii="Verdana" w:eastAsia="Times New Roman" w:hAnsi="Verdana" w:cs="Times New Roman"/>
              <w:iCs/>
              <w:color w:val="000000"/>
            </w:rPr>
          </w:pPr>
          <w:r w:rsidRPr="001D3E93">
            <w:rPr>
              <w:rFonts w:ascii="Verdana" w:eastAsia="Times New Roman" w:hAnsi="Verdana" w:cs="Segoe UI"/>
              <w:iCs/>
              <w:color w:val="000000"/>
              <w:lang w:eastAsia="en-AU"/>
            </w:rPr>
            <w:t>“Previously we required external resources to complete the submission. This new process simplifies the process considerably” (Tier 2 applicant)</w:t>
          </w:r>
        </w:p>
        <w:p w14:paraId="15864AFB" w14:textId="7480D713" w:rsidR="00A0613F" w:rsidRPr="001D3E93" w:rsidRDefault="00A0613F" w:rsidP="003F5515">
          <w:pPr>
            <w:numPr>
              <w:ilvl w:val="1"/>
              <w:numId w:val="12"/>
            </w:numPr>
            <w:spacing w:before="120" w:after="160" w:line="276" w:lineRule="auto"/>
            <w:contextualSpacing/>
            <w:rPr>
              <w:rFonts w:ascii="Verdana" w:eastAsia="Times New Roman" w:hAnsi="Verdana" w:cs="Segoe UI"/>
              <w:i/>
              <w:color w:val="000000"/>
              <w:lang w:eastAsia="en-AU"/>
            </w:rPr>
          </w:pPr>
          <w:r w:rsidRPr="001D3E93">
            <w:rPr>
              <w:rFonts w:ascii="Verdana" w:eastAsia="Times New Roman" w:hAnsi="Verdana" w:cs="Segoe UI"/>
              <w:iCs/>
              <w:color w:val="000000"/>
              <w:lang w:eastAsia="en-AU"/>
            </w:rPr>
            <w:t>“It is important to set expectations all upfront and build better processes to reduce workload on all parties” (Tier 3 applicant)</w:t>
          </w:r>
          <w:r w:rsidR="00EB23D8" w:rsidRPr="001D3E93">
            <w:rPr>
              <w:rFonts w:ascii="Verdana" w:eastAsia="Times New Roman" w:hAnsi="Verdana" w:cs="Segoe UI"/>
              <w:i/>
              <w:color w:val="000000"/>
              <w:lang w:eastAsia="en-AU"/>
            </w:rPr>
            <w:br/>
          </w:r>
        </w:p>
        <w:p w14:paraId="5BF736A1" w14:textId="77777777" w:rsidR="00A0613F" w:rsidRPr="001D3E93" w:rsidRDefault="00A0613F" w:rsidP="003F5515">
          <w:pPr>
            <w:numPr>
              <w:ilvl w:val="0"/>
              <w:numId w:val="12"/>
            </w:numPr>
            <w:spacing w:before="120" w:after="160" w:line="276"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66 per cent agreed it was beneficial to remove the requirement for exporters to spend at least $15,000 on eligible marketing expenses with 79 per cent of Tier 1 respondents in favour of this change.</w:t>
          </w:r>
        </w:p>
        <w:p w14:paraId="35F7A837" w14:textId="77777777" w:rsidR="00A0613F" w:rsidRPr="001D3E93" w:rsidRDefault="00A0613F" w:rsidP="003F5515">
          <w:pPr>
            <w:numPr>
              <w:ilvl w:val="1"/>
              <w:numId w:val="12"/>
            </w:numPr>
            <w:spacing w:before="120" w:after="160" w:line="276"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“Normally we would spend significantly more than $15k, however COVID has significantly restricted these activities, so removal of the barrier allows us to claim as normal” (Tier 2 applicant)</w:t>
          </w:r>
        </w:p>
        <w:p w14:paraId="78FD04C4" w14:textId="77777777" w:rsidR="00A0613F" w:rsidRPr="001D3E93" w:rsidRDefault="00A0613F" w:rsidP="003F5515">
          <w:pPr>
            <w:numPr>
              <w:ilvl w:val="1"/>
              <w:numId w:val="12"/>
            </w:numPr>
            <w:spacing w:before="120" w:after="160" w:line="276"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“Small to medium innovative and entrepreneur businesses may not have the initial $15k” (Tier 2 applicant)</w:t>
          </w:r>
        </w:p>
        <w:p w14:paraId="1DACDBA6" w14:textId="0DC7EA71" w:rsidR="00A0613F" w:rsidRPr="001D3E93" w:rsidRDefault="00A0613F" w:rsidP="003F5515">
          <w:pPr>
            <w:numPr>
              <w:ilvl w:val="1"/>
              <w:numId w:val="12"/>
            </w:numPr>
            <w:spacing w:before="120" w:after="160" w:line="276"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“If a company is serious about exporting, there needs to be an expenditure threshold” (Tier 3 applicant)</w:t>
          </w:r>
          <w:r w:rsidR="00EB23D8" w:rsidRPr="001D3E93">
            <w:rPr>
              <w:rFonts w:ascii="Verdana" w:eastAsia="Times New Roman" w:hAnsi="Verdana" w:cs="Segoe UI"/>
              <w:iCs/>
              <w:color w:val="000000"/>
              <w:lang w:eastAsia="en-AU"/>
            </w:rPr>
            <w:br/>
          </w:r>
        </w:p>
        <w:p w14:paraId="0B73404E" w14:textId="77777777" w:rsidR="00A0613F" w:rsidRPr="001D3E93" w:rsidRDefault="00A0613F" w:rsidP="003F5515">
          <w:pPr>
            <w:numPr>
              <w:ilvl w:val="0"/>
              <w:numId w:val="12"/>
            </w:numPr>
            <w:spacing w:before="120" w:after="160" w:line="276"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 xml:space="preserve">49 per cent agreed the reforms improved the EMDG 2.0 program with 23 per cent unsure whether the reforms improved the program. </w:t>
          </w:r>
        </w:p>
        <w:p w14:paraId="5F76B15F" w14:textId="77777777" w:rsidR="00A0613F" w:rsidRPr="001D3E93" w:rsidRDefault="00A0613F" w:rsidP="003F5515">
          <w:pPr>
            <w:numPr>
              <w:ilvl w:val="1"/>
              <w:numId w:val="12"/>
            </w:numPr>
            <w:spacing w:before="120" w:after="160" w:line="276"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“The new process seems far more business friendly” (Tier 2 applicant)</w:t>
          </w:r>
        </w:p>
        <w:p w14:paraId="677F7CD3" w14:textId="77777777" w:rsidR="00A0613F" w:rsidRPr="001D3E93" w:rsidRDefault="00A0613F" w:rsidP="003F5515">
          <w:pPr>
            <w:numPr>
              <w:ilvl w:val="1"/>
              <w:numId w:val="12"/>
            </w:numPr>
            <w:spacing w:before="120" w:after="160" w:line="276"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“Unable to say at this stage how the changes are better or worse. Our funding, however, was significantly reduced with the new scheme” (Tier 3 applicant)</w:t>
          </w:r>
        </w:p>
        <w:p w14:paraId="20E49966" w14:textId="4453A060" w:rsidR="00A0613F" w:rsidRPr="001D3E93" w:rsidRDefault="00A0613F" w:rsidP="003F5515">
          <w:pPr>
            <w:numPr>
              <w:ilvl w:val="1"/>
              <w:numId w:val="12"/>
            </w:numPr>
            <w:spacing w:before="120" w:after="160" w:line="276" w:lineRule="auto"/>
            <w:contextualSpacing/>
            <w:rPr>
              <w:rFonts w:ascii="Verdana" w:eastAsia="Times New Roman" w:hAnsi="Verdana" w:cs="Segoe UI"/>
              <w:i/>
              <w:color w:val="000000"/>
              <w:lang w:eastAsia="en-AU"/>
            </w:rPr>
          </w:pPr>
          <w:r w:rsidRPr="001D3E93">
            <w:rPr>
              <w:rFonts w:ascii="Verdana" w:eastAsia="Times New Roman" w:hAnsi="Verdana" w:cs="Segoe UI"/>
              <w:iCs/>
              <w:color w:val="000000"/>
              <w:lang w:eastAsia="en-AU"/>
            </w:rPr>
            <w:t>“I was a bit confused initially when trying to work out how to new scheme works compared to the previous one, but once I understood it, it all seemed really easy and simple” (Tier 1 applicant)</w:t>
          </w:r>
          <w:r w:rsidR="00C218B0" w:rsidRPr="001D3E93">
            <w:rPr>
              <w:rFonts w:ascii="Verdana" w:eastAsia="Times New Roman" w:hAnsi="Verdana" w:cs="Segoe UI"/>
              <w:i/>
              <w:color w:val="000000"/>
              <w:lang w:eastAsia="en-AU"/>
            </w:rPr>
            <w:br/>
          </w:r>
        </w:p>
        <w:p w14:paraId="7CDDA35C" w14:textId="573C5080" w:rsidR="00A0613F" w:rsidRPr="001D3E93" w:rsidRDefault="00A0613F" w:rsidP="003F5515">
          <w:pPr>
            <w:numPr>
              <w:ilvl w:val="0"/>
              <w:numId w:val="12"/>
            </w:numPr>
            <w:spacing w:before="120" w:after="160" w:line="276"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 xml:space="preserve">26 per cent of respondents said they would not have started or expanded exporting without their EMDG grant. </w:t>
          </w:r>
          <w:r w:rsidR="00C218B0" w:rsidRPr="001D3E93">
            <w:rPr>
              <w:rFonts w:ascii="Verdana" w:eastAsia="Times New Roman" w:hAnsi="Verdana" w:cs="Segoe UI"/>
              <w:color w:val="000000"/>
              <w:lang w:eastAsia="en-AU"/>
            </w:rPr>
            <w:br/>
          </w:r>
        </w:p>
        <w:p w14:paraId="5DD1014C" w14:textId="77777777" w:rsidR="00A0613F" w:rsidRPr="001D3E93" w:rsidRDefault="00A0613F" w:rsidP="003F5515">
          <w:pPr>
            <w:numPr>
              <w:ilvl w:val="0"/>
              <w:numId w:val="12"/>
            </w:numPr>
            <w:spacing w:before="120" w:after="160" w:line="276" w:lineRule="auto"/>
            <w:contextualSpacing/>
            <w:rPr>
              <w:rFonts w:ascii="Verdana" w:eastAsia="Verdana" w:hAnsi="Verdana" w:cs="Times New Roman"/>
              <w:color w:val="000000"/>
              <w:lang w:eastAsia="en-AU"/>
            </w:rPr>
          </w:pPr>
          <w:r w:rsidRPr="001D3E93">
            <w:rPr>
              <w:rFonts w:ascii="Verdana" w:eastAsia="Times New Roman" w:hAnsi="Verdana" w:cs="Segoe UI"/>
              <w:color w:val="000000"/>
              <w:lang w:eastAsia="en-AU"/>
            </w:rPr>
            <w:lastRenderedPageBreak/>
            <w:t>Just under 30 per cent of respondents with grants in tier 3 said they would not have diversified their exporting without the EMDG Grant.</w:t>
          </w:r>
        </w:p>
        <w:p w14:paraId="443DE384" w14:textId="7B999F5C" w:rsidR="00A0613F" w:rsidRPr="001D3E93" w:rsidRDefault="00A0613F" w:rsidP="00C218B0">
          <w:pPr>
            <w:numPr>
              <w:ilvl w:val="1"/>
              <w:numId w:val="12"/>
            </w:numPr>
            <w:spacing w:before="120" w:after="160" w:line="276"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“Without EMDG, we would not be able to expand our exports. It is absolutely vital for us” (Tier 3 applicant)</w:t>
          </w:r>
        </w:p>
        <w:p w14:paraId="154E108E" w14:textId="449A4015" w:rsidR="00A0613F" w:rsidRPr="00A3430B" w:rsidRDefault="00A0613F" w:rsidP="00843DA3">
          <w:pPr>
            <w:pStyle w:val="Heading2"/>
            <w:rPr>
              <w:b w:val="0"/>
              <w:bCs w:val="0"/>
              <w:color w:val="0F4C44" w:themeColor="background2" w:themeShade="80"/>
            </w:rPr>
          </w:pPr>
          <w:bookmarkStart w:id="424" w:name="_Toc118366689"/>
          <w:bookmarkStart w:id="425" w:name="_Toc118370935"/>
          <w:bookmarkStart w:id="426" w:name="_Toc118385831"/>
          <w:bookmarkStart w:id="427" w:name="_Toc118385954"/>
          <w:bookmarkStart w:id="428" w:name="_Toc118703358"/>
          <w:bookmarkStart w:id="429" w:name="_Toc118703461"/>
          <w:bookmarkStart w:id="430" w:name="_Toc120547738"/>
          <w:bookmarkStart w:id="431" w:name="_Toc124433410"/>
          <w:r w:rsidRPr="00A3430B">
            <w:rPr>
              <w:b w:val="0"/>
              <w:bCs w:val="0"/>
              <w:color w:val="0F4C44" w:themeColor="accent3" w:themeShade="80"/>
            </w:rPr>
            <w:t>Round 1 application process</w:t>
          </w:r>
          <w:bookmarkEnd w:id="424"/>
          <w:bookmarkEnd w:id="425"/>
          <w:bookmarkEnd w:id="426"/>
          <w:bookmarkEnd w:id="427"/>
          <w:bookmarkEnd w:id="428"/>
          <w:bookmarkEnd w:id="429"/>
          <w:bookmarkEnd w:id="430"/>
          <w:bookmarkEnd w:id="431"/>
        </w:p>
        <w:p w14:paraId="6EDDC3A4" w14:textId="77777777" w:rsidR="00A0613F" w:rsidRPr="001D3E93" w:rsidRDefault="00A0613F" w:rsidP="003F5515">
          <w:pPr>
            <w:numPr>
              <w:ilvl w:val="0"/>
              <w:numId w:val="12"/>
            </w:numPr>
            <w:spacing w:before="200" w:after="200" w:line="276"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 xml:space="preserve">Of the 392 respondents who applied in Round 1, 64.5 per cent said they completed it themselves or with help. </w:t>
          </w:r>
        </w:p>
        <w:p w14:paraId="4CA7634A" w14:textId="77777777" w:rsidR="00A0613F" w:rsidRPr="001D3E93" w:rsidRDefault="00A0613F" w:rsidP="003F5515">
          <w:pPr>
            <w:numPr>
              <w:ilvl w:val="0"/>
              <w:numId w:val="12"/>
            </w:numPr>
            <w:spacing w:before="200" w:after="200" w:line="276"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 xml:space="preserve">35.5 per cent said someone else completed the application on their behalf. </w:t>
          </w:r>
        </w:p>
        <w:p w14:paraId="1ED68EB6" w14:textId="7C97430A" w:rsidR="00A0613F" w:rsidRPr="001D3E93" w:rsidRDefault="00A0613F" w:rsidP="00E946B6">
          <w:pPr>
            <w:numPr>
              <w:ilvl w:val="0"/>
              <w:numId w:val="12"/>
            </w:numPr>
            <w:spacing w:before="200" w:after="200" w:line="276"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Of the respondents who completed the application themselves 44 per cent said the application took them about as much time as expected, just below 10 per cent said the application took less time than expected and 47 per cent said it took them more time or much more time than expected.</w:t>
          </w:r>
        </w:p>
        <w:p w14:paraId="2E33C591" w14:textId="77777777" w:rsidR="00C53FE9" w:rsidRPr="001D3E93" w:rsidRDefault="00C53FE9" w:rsidP="00A0613F">
          <w:pPr>
            <w:spacing w:before="240" w:line="240" w:lineRule="auto"/>
            <w:contextualSpacing/>
            <w:rPr>
              <w:rFonts w:ascii="Verdana" w:eastAsia="Verdana" w:hAnsi="Verdana" w:cs="Times New Roman"/>
              <w:color w:val="000000"/>
              <w:lang w:eastAsia="en-US"/>
            </w:rPr>
          </w:pPr>
        </w:p>
        <w:p w14:paraId="282DA71F" w14:textId="1A50F0D4" w:rsidR="00A0613F" w:rsidRPr="001D3E93" w:rsidRDefault="00A0613F" w:rsidP="00A0613F">
          <w:pPr>
            <w:spacing w:before="240" w:line="240" w:lineRule="auto"/>
            <w:contextualSpacing/>
            <w:rPr>
              <w:rFonts w:ascii="Verdana" w:eastAsia="Times New Roman" w:hAnsi="Verdana" w:cs="Segoe UI"/>
              <w:color w:val="3D2141"/>
              <w:sz w:val="32"/>
              <w:szCs w:val="26"/>
              <w:lang w:eastAsia="en-AU"/>
            </w:rPr>
          </w:pPr>
          <w:r w:rsidRPr="001D3E93">
            <w:rPr>
              <w:rFonts w:ascii="Verdana" w:eastAsia="Verdana" w:hAnsi="Verdana" w:cs="Times New Roman"/>
              <w:color w:val="000000"/>
              <w:lang w:eastAsia="en-US"/>
            </w:rPr>
            <w:t>Just under one-third of respondents said that none of the required application processes were difficul</w:t>
          </w:r>
          <w:r w:rsidR="008F36D5" w:rsidRPr="001D3E93">
            <w:rPr>
              <w:rFonts w:ascii="Verdana" w:eastAsia="Verdana" w:hAnsi="Verdana" w:cs="Times New Roman"/>
              <w:color w:val="000000"/>
              <w:lang w:eastAsia="en-US"/>
            </w:rPr>
            <w:t>t (Tier 1</w:t>
          </w:r>
          <w:r w:rsidR="00F57285" w:rsidRPr="001D3E93">
            <w:rPr>
              <w:rFonts w:ascii="Verdana" w:eastAsia="Verdana" w:hAnsi="Verdana" w:cs="Times New Roman"/>
              <w:color w:val="000000"/>
              <w:lang w:eastAsia="en-US"/>
            </w:rPr>
            <w:t xml:space="preserve"> – </w:t>
          </w:r>
          <w:r w:rsidR="002F6324" w:rsidRPr="001D3E93">
            <w:rPr>
              <w:rFonts w:ascii="Verdana" w:eastAsia="Verdana" w:hAnsi="Verdana" w:cs="Times New Roman"/>
              <w:color w:val="000000"/>
              <w:lang w:eastAsia="en-US"/>
            </w:rPr>
            <w:t xml:space="preserve">28 per cent; Tier 2 </w:t>
          </w:r>
          <w:r w:rsidR="00F90FC4" w:rsidRPr="001D3E93">
            <w:rPr>
              <w:rFonts w:ascii="Verdana" w:eastAsia="Verdana" w:hAnsi="Verdana" w:cs="Times New Roman"/>
              <w:color w:val="000000"/>
              <w:lang w:eastAsia="en-US"/>
            </w:rPr>
            <w:t>–</w:t>
          </w:r>
          <w:r w:rsidR="002F6324" w:rsidRPr="001D3E93">
            <w:rPr>
              <w:rFonts w:ascii="Verdana" w:eastAsia="Verdana" w:hAnsi="Verdana" w:cs="Times New Roman"/>
              <w:color w:val="000000"/>
              <w:lang w:eastAsia="en-US"/>
            </w:rPr>
            <w:t xml:space="preserve"> 33 per cent; Tier 3 </w:t>
          </w:r>
          <w:r w:rsidR="00F90FC4" w:rsidRPr="001D3E93">
            <w:rPr>
              <w:rFonts w:ascii="Verdana" w:eastAsia="Verdana" w:hAnsi="Verdana" w:cs="Times New Roman"/>
              <w:color w:val="000000"/>
              <w:lang w:eastAsia="en-US"/>
            </w:rPr>
            <w:t xml:space="preserve">– </w:t>
          </w:r>
          <w:r w:rsidR="002F6324" w:rsidRPr="001D3E93">
            <w:rPr>
              <w:rFonts w:ascii="Verdana" w:eastAsia="Verdana" w:hAnsi="Verdana" w:cs="Times New Roman"/>
              <w:color w:val="000000"/>
              <w:lang w:eastAsia="en-US"/>
            </w:rPr>
            <w:t>31</w:t>
          </w:r>
          <w:r w:rsidR="00BD76C2" w:rsidRPr="001D3E93">
            <w:rPr>
              <w:rFonts w:ascii="Verdana" w:eastAsia="Verdana" w:hAnsi="Verdana" w:cs="Times New Roman"/>
              <w:color w:val="000000"/>
              <w:lang w:eastAsia="en-US"/>
            </w:rPr>
            <w:t xml:space="preserve"> per cent</w:t>
          </w:r>
          <w:r w:rsidR="002F6324" w:rsidRPr="001D3E93">
            <w:rPr>
              <w:rFonts w:ascii="Verdana" w:eastAsia="Verdana" w:hAnsi="Verdana" w:cs="Times New Roman"/>
              <w:color w:val="000000"/>
              <w:lang w:eastAsia="en-US"/>
            </w:rPr>
            <w:t xml:space="preserve">; </w:t>
          </w:r>
          <w:r w:rsidR="00BD76C2" w:rsidRPr="001D3E93">
            <w:rPr>
              <w:rFonts w:ascii="Verdana" w:eastAsia="Verdana" w:hAnsi="Verdana" w:cs="Times New Roman"/>
              <w:color w:val="000000"/>
              <w:lang w:eastAsia="en-US"/>
            </w:rPr>
            <w:t xml:space="preserve">Representative Bodies </w:t>
          </w:r>
          <w:r w:rsidR="00F90FC4" w:rsidRPr="001D3E93">
            <w:rPr>
              <w:rFonts w:ascii="Verdana" w:eastAsia="Verdana" w:hAnsi="Verdana" w:cs="Times New Roman"/>
              <w:color w:val="000000"/>
              <w:lang w:eastAsia="en-US"/>
            </w:rPr>
            <w:t xml:space="preserve">– </w:t>
          </w:r>
          <w:r w:rsidR="00BD76C2" w:rsidRPr="001D3E93">
            <w:rPr>
              <w:rFonts w:ascii="Verdana" w:eastAsia="Verdana" w:hAnsi="Verdana" w:cs="Times New Roman"/>
              <w:color w:val="000000"/>
              <w:lang w:eastAsia="en-US"/>
            </w:rPr>
            <w:t>20 per cent)</w:t>
          </w:r>
          <w:r w:rsidRPr="001D3E93">
            <w:rPr>
              <w:rFonts w:ascii="Verdana" w:eastAsia="Verdana" w:hAnsi="Verdana" w:cs="Times New Roman"/>
              <w:color w:val="000000"/>
              <w:lang w:eastAsia="en-US"/>
            </w:rPr>
            <w:t>. For those who had challenges, the most difficult processes were:</w:t>
          </w:r>
        </w:p>
        <w:p w14:paraId="7A712347"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Providing all the information requested (37 per cent)</w:t>
          </w:r>
        </w:p>
        <w:p w14:paraId="616364E2"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Linking your Digital Identity to your business in Relationship Authorisation Manager (RAM) (31 per cent)</w:t>
          </w:r>
        </w:p>
        <w:p w14:paraId="3D222950"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Setting up your Digital Identity, such as myGovID (26 per cent).</w:t>
          </w:r>
        </w:p>
        <w:p w14:paraId="6297BB86" w14:textId="77777777" w:rsidR="00A0613F" w:rsidRPr="001D3E93" w:rsidRDefault="00A0613F" w:rsidP="006C5C30">
          <w:pPr>
            <w:numPr>
              <w:ilvl w:val="1"/>
              <w:numId w:val="12"/>
            </w:numPr>
            <w:spacing w:before="120" w:after="160" w:line="276"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“I think the application process is clear and the overall support from EMDG is good” (Grant Agent)</w:t>
          </w:r>
        </w:p>
        <w:p w14:paraId="7201FF3C" w14:textId="77777777" w:rsidR="00A0613F" w:rsidRPr="001D3E93" w:rsidRDefault="00A0613F" w:rsidP="006C5C30">
          <w:pPr>
            <w:numPr>
              <w:ilvl w:val="1"/>
              <w:numId w:val="12"/>
            </w:numPr>
            <w:spacing w:before="120" w:after="160" w:line="276"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“I feel like a lot of the questions on the application form are too similar. I really felt like I kept repeating the same or very similar answers to the questions” (Tier 3 applicant)</w:t>
          </w:r>
        </w:p>
        <w:p w14:paraId="0E835B62" w14:textId="77777777" w:rsidR="00C53FE9" w:rsidRPr="001D3E93" w:rsidRDefault="00C53FE9" w:rsidP="00A0613F">
          <w:pPr>
            <w:spacing w:before="240" w:line="240" w:lineRule="auto"/>
            <w:contextualSpacing/>
            <w:rPr>
              <w:rFonts w:ascii="Verdana" w:eastAsia="Verdana" w:hAnsi="Verdana" w:cs="Times New Roman"/>
              <w:color w:val="000000"/>
              <w:lang w:eastAsia="en-US"/>
            </w:rPr>
          </w:pPr>
        </w:p>
        <w:p w14:paraId="51A98ECA" w14:textId="132F0945" w:rsidR="00A0613F" w:rsidRPr="001D3E93" w:rsidRDefault="00A0613F" w:rsidP="00A0613F">
          <w:pPr>
            <w:spacing w:before="24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Respondents were asked what EMDG materials they had read or used with the following results:</w:t>
          </w:r>
        </w:p>
        <w:p w14:paraId="70D7CE18"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The grant guidelines (just under 50 per cent)</w:t>
          </w:r>
        </w:p>
        <w:p w14:paraId="220A7272"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Sample application form (32 per cent)</w:t>
          </w:r>
        </w:p>
        <w:p w14:paraId="05D53F7B"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Plan to market template (38 per cent) – noting 74 per cent of respondents already had an export marketing plan for their business</w:t>
          </w:r>
        </w:p>
        <w:p w14:paraId="60F110C6"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Agent templates (30 per cent)</w:t>
          </w:r>
        </w:p>
        <w:p w14:paraId="1B1D5386"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EMDG Rules (32 per cent)</w:t>
          </w:r>
        </w:p>
        <w:p w14:paraId="4F19FC1E"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EMDG Act (21 per cent)</w:t>
          </w:r>
        </w:p>
        <w:p w14:paraId="32E9ECD5"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Nothing (10 per cent)</w:t>
          </w:r>
        </w:p>
        <w:p w14:paraId="532F6A5D"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To improve their plan to market, 64 per cent of respondents agreed that resources or training on how to put together a plan to market would be helpful</w:t>
          </w:r>
        </w:p>
        <w:p w14:paraId="464AF3DA" w14:textId="7E29DBD2" w:rsidR="00A0613F" w:rsidRPr="001D3E93" w:rsidRDefault="00A0613F" w:rsidP="00B309E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20 per cent of applicants did not realise they could amend their plan to market or advise changes via the milestone reporting process</w:t>
          </w:r>
        </w:p>
        <w:p w14:paraId="4479BDDF" w14:textId="77777777" w:rsidR="00A0613F" w:rsidRPr="00A3430B" w:rsidRDefault="00A0613F" w:rsidP="00843DA3">
          <w:pPr>
            <w:pStyle w:val="Heading2"/>
            <w:rPr>
              <w:rFonts w:ascii="Verdana" w:eastAsia="Calibri" w:hAnsi="Verdana" w:cs="Arial"/>
              <w:b w:val="0"/>
              <w:bCs w:val="0"/>
              <w:color w:val="0F4C44" w:themeColor="background2" w:themeShade="80"/>
              <w:sz w:val="24"/>
              <w:szCs w:val="24"/>
            </w:rPr>
          </w:pPr>
          <w:bookmarkStart w:id="432" w:name="_Toc116982770"/>
          <w:bookmarkStart w:id="433" w:name="_Toc116986020"/>
          <w:bookmarkStart w:id="434" w:name="_Toc117084525"/>
          <w:bookmarkStart w:id="435" w:name="_Toc117765795"/>
          <w:bookmarkStart w:id="436" w:name="_Toc118366690"/>
          <w:bookmarkStart w:id="437" w:name="_Toc118370936"/>
          <w:bookmarkStart w:id="438" w:name="_Toc118385832"/>
          <w:bookmarkStart w:id="439" w:name="_Toc118385955"/>
          <w:bookmarkStart w:id="440" w:name="_Toc118703359"/>
          <w:bookmarkStart w:id="441" w:name="_Toc118703462"/>
          <w:bookmarkStart w:id="442" w:name="_Toc120547739"/>
          <w:bookmarkStart w:id="443" w:name="_Toc124433411"/>
          <w:r w:rsidRPr="00A3430B">
            <w:rPr>
              <w:b w:val="0"/>
              <w:bCs w:val="0"/>
              <w:color w:val="0F4C44" w:themeColor="accent3" w:themeShade="80"/>
            </w:rPr>
            <w:t>Eligibility criteria</w:t>
          </w:r>
          <w:bookmarkEnd w:id="432"/>
          <w:bookmarkEnd w:id="433"/>
          <w:bookmarkEnd w:id="434"/>
          <w:bookmarkEnd w:id="435"/>
          <w:bookmarkEnd w:id="436"/>
          <w:bookmarkEnd w:id="437"/>
          <w:bookmarkEnd w:id="438"/>
          <w:bookmarkEnd w:id="439"/>
          <w:bookmarkEnd w:id="440"/>
          <w:bookmarkEnd w:id="441"/>
          <w:bookmarkEnd w:id="442"/>
          <w:bookmarkEnd w:id="443"/>
        </w:p>
        <w:p w14:paraId="0D75FF63"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 xml:space="preserve">49 per cent of respondents who completed their application themselves said they found it easy or very easy to understand the eligibility criteria and 38 per cent were neutral </w:t>
          </w:r>
        </w:p>
        <w:p w14:paraId="02D3379C"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Of the respondents who applied for EMDG 2.0, 13 per cent found the criteria difficult or very difficult to understand.</w:t>
          </w:r>
        </w:p>
        <w:p w14:paraId="7C090973" w14:textId="77777777" w:rsidR="00A0613F" w:rsidRPr="001D3E93" w:rsidRDefault="00A0613F" w:rsidP="003F5515">
          <w:pPr>
            <w:numPr>
              <w:ilvl w:val="1"/>
              <w:numId w:val="13"/>
            </w:numPr>
            <w:spacing w:before="200" w:after="200" w:line="240" w:lineRule="auto"/>
            <w:contextualSpacing/>
            <w:rPr>
              <w:rFonts w:ascii="Verdana" w:eastAsia="Times New Roman" w:hAnsi="Verdana" w:cs="Segoe UI"/>
              <w:i/>
              <w:color w:val="000000"/>
              <w:lang w:eastAsia="en-AU"/>
            </w:rPr>
          </w:pPr>
          <w:r w:rsidRPr="001D3E93">
            <w:rPr>
              <w:rFonts w:ascii="Verdana" w:eastAsia="Times New Roman" w:hAnsi="Verdana" w:cs="Segoe UI"/>
              <w:i/>
              <w:color w:val="000000"/>
              <w:lang w:eastAsia="en-AU"/>
            </w:rPr>
            <w:t>“The requirements for which tier or the claimable amount you fall in are vague” (Tier 3 applicant)</w:t>
          </w:r>
        </w:p>
        <w:p w14:paraId="234FC01B" w14:textId="5DC6022D" w:rsidR="00A0613F" w:rsidRPr="001D3E93" w:rsidRDefault="00A0613F" w:rsidP="00B309E5">
          <w:pPr>
            <w:numPr>
              <w:ilvl w:val="1"/>
              <w:numId w:val="13"/>
            </w:numPr>
            <w:spacing w:before="200" w:after="200" w:line="240" w:lineRule="auto"/>
            <w:contextualSpacing/>
            <w:rPr>
              <w:rFonts w:ascii="Verdana" w:eastAsia="Times New Roman" w:hAnsi="Verdana" w:cs="Segoe UI"/>
              <w:i/>
              <w:color w:val="000000"/>
              <w:lang w:eastAsia="en-AU"/>
            </w:rPr>
          </w:pPr>
          <w:r w:rsidRPr="001D3E93">
            <w:rPr>
              <w:rFonts w:ascii="Verdana" w:eastAsia="Times New Roman" w:hAnsi="Verdana" w:cs="Segoe UI"/>
              <w:i/>
              <w:color w:val="000000"/>
              <w:lang w:eastAsia="en-AU"/>
            </w:rPr>
            <w:t>“There are sections on the form that do not provide clarity on what can be claimed” (Grant Agent)</w:t>
          </w:r>
        </w:p>
        <w:p w14:paraId="45898401" w14:textId="54D10AC9" w:rsidR="00A0613F" w:rsidRPr="00A3430B" w:rsidRDefault="00A0613F" w:rsidP="00843DA3">
          <w:pPr>
            <w:pStyle w:val="Heading2"/>
            <w:rPr>
              <w:b w:val="0"/>
              <w:bCs w:val="0"/>
              <w:color w:val="0F4C44" w:themeColor="background2" w:themeShade="80"/>
            </w:rPr>
          </w:pPr>
          <w:bookmarkStart w:id="444" w:name="_Toc116982771"/>
          <w:bookmarkStart w:id="445" w:name="_Toc116986021"/>
          <w:bookmarkStart w:id="446" w:name="_Toc117084526"/>
          <w:bookmarkStart w:id="447" w:name="_Toc117765796"/>
          <w:bookmarkStart w:id="448" w:name="_Toc118366691"/>
          <w:bookmarkStart w:id="449" w:name="_Toc118370937"/>
          <w:bookmarkStart w:id="450" w:name="_Toc118385833"/>
          <w:bookmarkStart w:id="451" w:name="_Toc118385956"/>
          <w:bookmarkStart w:id="452" w:name="_Toc118703360"/>
          <w:bookmarkStart w:id="453" w:name="_Toc118703463"/>
          <w:bookmarkStart w:id="454" w:name="_Toc120547740"/>
          <w:bookmarkStart w:id="455" w:name="_Toc124433412"/>
          <w:r w:rsidRPr="00A3430B">
            <w:rPr>
              <w:b w:val="0"/>
              <w:bCs w:val="0"/>
              <w:color w:val="0F4C44" w:themeColor="accent3" w:themeShade="80"/>
            </w:rPr>
            <w:lastRenderedPageBreak/>
            <w:t>Communication</w:t>
          </w:r>
          <w:bookmarkEnd w:id="444"/>
          <w:bookmarkEnd w:id="445"/>
          <w:bookmarkEnd w:id="446"/>
          <w:bookmarkEnd w:id="447"/>
          <w:bookmarkEnd w:id="448"/>
          <w:bookmarkEnd w:id="449"/>
          <w:bookmarkEnd w:id="450"/>
          <w:bookmarkEnd w:id="451"/>
          <w:bookmarkEnd w:id="452"/>
          <w:bookmarkEnd w:id="453"/>
          <w:bookmarkEnd w:id="454"/>
          <w:bookmarkEnd w:id="455"/>
        </w:p>
        <w:p w14:paraId="4799FD0B"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Verdana" w:hAnsi="Verdana" w:cs="Times New Roman"/>
              <w:color w:val="000000"/>
              <w:lang w:eastAsia="en-US"/>
            </w:rPr>
            <w:t>46 per cent of respondents had engaged with EMDG in the last month</w:t>
          </w:r>
        </w:p>
        <w:p w14:paraId="798D714C"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AU"/>
            </w:rPr>
          </w:pPr>
          <w:r w:rsidRPr="001D3E93">
            <w:rPr>
              <w:rFonts w:ascii="Verdana" w:eastAsia="Times New Roman" w:hAnsi="Verdana" w:cs="Segoe UI"/>
              <w:color w:val="000000"/>
              <w:lang w:eastAsia="en-AU"/>
            </w:rPr>
            <w:t>Over one third (36 per cent) said processes and communication seemed "good to them”</w:t>
          </w:r>
        </w:p>
        <w:p w14:paraId="42407CCD" w14:textId="77777777" w:rsidR="00A0613F" w:rsidRPr="001D3E93" w:rsidRDefault="00A0613F" w:rsidP="003F5515">
          <w:pPr>
            <w:numPr>
              <w:ilvl w:val="0"/>
              <w:numId w:val="9"/>
            </w:numPr>
            <w:spacing w:before="240" w:after="160" w:line="240" w:lineRule="auto"/>
            <w:contextualSpacing/>
            <w:rPr>
              <w:rFonts w:ascii="Verdana" w:eastAsia="Verdana" w:hAnsi="Verdana" w:cs="Times New Roman"/>
              <w:color w:val="000000"/>
              <w:lang w:eastAsia="en-US"/>
            </w:rPr>
          </w:pPr>
          <w:r w:rsidRPr="001D3E93">
            <w:rPr>
              <w:rFonts w:ascii="Verdana" w:eastAsia="Times New Roman" w:hAnsi="Verdana" w:cs="Segoe UI"/>
              <w:color w:val="000000"/>
              <w:lang w:eastAsia="en-AU"/>
            </w:rPr>
            <w:t>87 per cent use one or more Austrade communication channels to help their knowledge of EMDG</w:t>
          </w:r>
        </w:p>
        <w:p w14:paraId="3F00989E" w14:textId="77777777" w:rsidR="00A0613F" w:rsidRPr="001D3E93" w:rsidRDefault="00A0613F" w:rsidP="003F5515">
          <w:pPr>
            <w:numPr>
              <w:ilvl w:val="0"/>
              <w:numId w:val="9"/>
            </w:numPr>
            <w:spacing w:before="240" w:after="160" w:line="240"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The website was the most popular communication channel (60 per cent), followed by EMDG emailed newsletter (34 per cent) and EMDG Helpdesk email service (28 per cent)</w:t>
          </w:r>
        </w:p>
        <w:p w14:paraId="14EBBE91" w14:textId="77777777" w:rsidR="00A0613F" w:rsidRPr="001D3E93" w:rsidRDefault="00A0613F" w:rsidP="003F5515">
          <w:pPr>
            <w:numPr>
              <w:ilvl w:val="0"/>
              <w:numId w:val="9"/>
            </w:numPr>
            <w:spacing w:before="240" w:after="160" w:line="240"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24 per cent requested a faster turnaround of enquiries received by the EMDG help desk</w:t>
          </w:r>
        </w:p>
        <w:p w14:paraId="32FA79FF" w14:textId="77777777" w:rsidR="00A0613F" w:rsidRPr="001D3E93" w:rsidRDefault="00A0613F" w:rsidP="003F5515">
          <w:pPr>
            <w:numPr>
              <w:ilvl w:val="1"/>
              <w:numId w:val="9"/>
            </w:numPr>
            <w:spacing w:before="240" w:after="160" w:line="240" w:lineRule="auto"/>
            <w:contextualSpacing/>
            <w:rPr>
              <w:rFonts w:ascii="Verdana" w:eastAsia="Times New Roman" w:hAnsi="Verdana" w:cs="Segoe UI"/>
              <w:i/>
              <w:color w:val="000000"/>
              <w:lang w:eastAsia="en-AU"/>
            </w:rPr>
          </w:pPr>
          <w:r w:rsidRPr="001D3E93">
            <w:rPr>
              <w:rFonts w:ascii="Verdana" w:eastAsia="Times New Roman" w:hAnsi="Verdana" w:cs="Segoe UI"/>
              <w:i/>
              <w:color w:val="000000"/>
              <w:lang w:eastAsia="en-AU"/>
            </w:rPr>
            <w:t>“More communication after lodgement” (Tier 3 applicant)</w:t>
          </w:r>
        </w:p>
        <w:p w14:paraId="4E2703C0" w14:textId="77777777" w:rsidR="00A0613F" w:rsidRPr="001D3E93" w:rsidRDefault="00A0613F" w:rsidP="003F5515">
          <w:pPr>
            <w:numPr>
              <w:ilvl w:val="0"/>
              <w:numId w:val="9"/>
            </w:numPr>
            <w:spacing w:before="240" w:after="160" w:line="240" w:lineRule="auto"/>
            <w:contextualSpacing/>
            <w:rPr>
              <w:rFonts w:ascii="Verdana" w:eastAsia="Times New Roman" w:hAnsi="Verdana" w:cs="Segoe UI"/>
              <w:color w:val="000000"/>
              <w:lang w:eastAsia="en-AU"/>
            </w:rPr>
          </w:pPr>
          <w:r w:rsidRPr="001D3E93">
            <w:rPr>
              <w:rFonts w:ascii="Verdana" w:eastAsia="Times New Roman" w:hAnsi="Verdana" w:cs="Segoe UI"/>
              <w:color w:val="000000"/>
              <w:lang w:eastAsia="en-AU"/>
            </w:rPr>
            <w:t xml:space="preserve">22 per cent requested more detail on the website. </w:t>
          </w:r>
        </w:p>
        <w:p w14:paraId="48EA7252" w14:textId="7810D555" w:rsidR="00A0613F" w:rsidRPr="001D3E93" w:rsidRDefault="00A0613F" w:rsidP="00B309E5">
          <w:pPr>
            <w:numPr>
              <w:ilvl w:val="1"/>
              <w:numId w:val="9"/>
            </w:numPr>
            <w:spacing w:before="240" w:after="160" w:line="240" w:lineRule="auto"/>
            <w:contextualSpacing/>
            <w:rPr>
              <w:rFonts w:ascii="Verdana" w:eastAsia="Times New Roman" w:hAnsi="Verdana" w:cs="Segoe UI"/>
              <w:i/>
              <w:color w:val="000000"/>
              <w:lang w:eastAsia="en-AU"/>
            </w:rPr>
          </w:pPr>
          <w:r w:rsidRPr="001D3E93">
            <w:rPr>
              <w:rFonts w:ascii="Verdana" w:eastAsia="Times New Roman" w:hAnsi="Verdana" w:cs="Segoe UI"/>
              <w:i/>
              <w:color w:val="000000"/>
              <w:lang w:eastAsia="en-AU"/>
            </w:rPr>
            <w:t>“More detail on the website that is understandable to small business owners” (Tier 2 applicant)</w:t>
          </w:r>
        </w:p>
      </w:sdtContent>
    </w:sdt>
    <w:bookmarkStart w:id="456" w:name="_Toc116982772" w:displacedByCustomXml="prev"/>
    <w:bookmarkStart w:id="457" w:name="_Toc116986022" w:displacedByCustomXml="prev"/>
    <w:bookmarkStart w:id="458" w:name="_Toc117084527" w:displacedByCustomXml="prev"/>
    <w:bookmarkStart w:id="459" w:name="_Toc117765797" w:displacedByCustomXml="prev"/>
    <w:p w14:paraId="653083CF" w14:textId="09BA9227" w:rsidR="00A0613F" w:rsidRPr="00A3430B" w:rsidRDefault="00A0613F" w:rsidP="00843DA3">
      <w:pPr>
        <w:pStyle w:val="Heading2"/>
        <w:rPr>
          <w:b w:val="0"/>
          <w:bCs w:val="0"/>
          <w:color w:val="0F4C44" w:themeColor="background2" w:themeShade="80"/>
        </w:rPr>
      </w:pPr>
      <w:bookmarkStart w:id="460" w:name="_Toc118366692"/>
      <w:bookmarkStart w:id="461" w:name="_Toc118370938"/>
      <w:bookmarkStart w:id="462" w:name="_Toc118385834"/>
      <w:bookmarkStart w:id="463" w:name="_Toc118385957"/>
      <w:bookmarkStart w:id="464" w:name="_Toc118703464"/>
      <w:bookmarkStart w:id="465" w:name="_Toc120547741"/>
      <w:bookmarkStart w:id="466" w:name="_Toc124433413"/>
      <w:r w:rsidRPr="00A3430B">
        <w:rPr>
          <w:b w:val="0"/>
          <w:bCs w:val="0"/>
          <w:color w:val="0F4C44" w:themeColor="accent3" w:themeShade="80"/>
        </w:rPr>
        <w:t>Challenges impacting exporters and resources</w:t>
      </w:r>
      <w:bookmarkEnd w:id="460"/>
      <w:bookmarkEnd w:id="461"/>
      <w:bookmarkEnd w:id="462"/>
      <w:bookmarkEnd w:id="463"/>
      <w:bookmarkEnd w:id="464"/>
      <w:bookmarkEnd w:id="465"/>
      <w:bookmarkEnd w:id="466"/>
      <w:bookmarkEnd w:id="459"/>
      <w:bookmarkEnd w:id="458"/>
      <w:bookmarkEnd w:id="457"/>
      <w:bookmarkEnd w:id="456"/>
    </w:p>
    <w:p w14:paraId="113D9C1B" w14:textId="5316E7D8" w:rsidR="00A0613F" w:rsidRPr="001D3E93" w:rsidRDefault="00A0613F" w:rsidP="00A0613F">
      <w:pPr>
        <w:spacing w:after="160" w:line="259" w:lineRule="auto"/>
        <w:rPr>
          <w:rFonts w:ascii="Verdana" w:eastAsia="Calibri" w:hAnsi="Verdana" w:cs="Arial"/>
          <w:lang w:eastAsia="en-AU"/>
        </w:rPr>
      </w:pPr>
      <w:bookmarkStart w:id="467" w:name="_Toc116982773"/>
      <w:bookmarkStart w:id="468" w:name="_Toc116986023"/>
      <w:bookmarkStart w:id="469" w:name="_Toc117084528"/>
      <w:bookmarkStart w:id="470" w:name="_Toc117765798"/>
      <w:r w:rsidRPr="001D3E93">
        <w:rPr>
          <w:rFonts w:ascii="Verdana" w:eastAsia="Calibri" w:hAnsi="Verdana" w:cs="Arial"/>
        </w:rPr>
        <w:t>When asked if any of the following factors are impacting your exporting activity respondents indicated:</w:t>
      </w:r>
      <w:bookmarkEnd w:id="467"/>
      <w:bookmarkEnd w:id="468"/>
      <w:bookmarkEnd w:id="469"/>
      <w:bookmarkEnd w:id="470"/>
    </w:p>
    <w:p w14:paraId="039A6D9C" w14:textId="77777777" w:rsidR="00A0613F" w:rsidRPr="001D3E93" w:rsidRDefault="00A0613F" w:rsidP="003F5515">
      <w:pPr>
        <w:numPr>
          <w:ilvl w:val="0"/>
          <w:numId w:val="7"/>
        </w:numPr>
        <w:spacing w:before="240" w:after="160" w:line="240" w:lineRule="auto"/>
        <w:contextualSpacing/>
        <w:rPr>
          <w:rFonts w:ascii="Verdana" w:eastAsia="Times New Roman" w:hAnsi="Verdana" w:cs="Times New Roman"/>
          <w:color w:val="000000"/>
          <w:lang w:eastAsia="en-US"/>
        </w:rPr>
      </w:pPr>
      <w:r w:rsidRPr="001D3E93">
        <w:rPr>
          <w:rFonts w:ascii="Verdana" w:eastAsia="Times New Roman" w:hAnsi="Verdana" w:cs="Segoe UI"/>
          <w:color w:val="000000"/>
          <w:lang w:eastAsia="en-AU"/>
        </w:rPr>
        <w:t xml:space="preserve">57 per cent COVID-19 </w:t>
      </w:r>
    </w:p>
    <w:p w14:paraId="566BBD2E" w14:textId="77777777" w:rsidR="00A0613F" w:rsidRPr="001D3E93" w:rsidRDefault="00A0613F" w:rsidP="003F5515">
      <w:pPr>
        <w:numPr>
          <w:ilvl w:val="1"/>
          <w:numId w:val="7"/>
        </w:numPr>
        <w:spacing w:before="240" w:after="160" w:line="240" w:lineRule="auto"/>
        <w:contextualSpacing/>
        <w:rPr>
          <w:rFonts w:ascii="Verdana" w:eastAsia="Times New Roman" w:hAnsi="Verdana" w:cs="Times New Roman"/>
          <w:iCs/>
          <w:color w:val="000000"/>
          <w:lang w:eastAsia="en-US"/>
        </w:rPr>
      </w:pPr>
      <w:r w:rsidRPr="001D3E93">
        <w:rPr>
          <w:rFonts w:ascii="Verdana" w:eastAsia="Times New Roman" w:hAnsi="Verdana" w:cs="Segoe UI"/>
          <w:iCs/>
          <w:color w:val="000000"/>
          <w:lang w:eastAsia="en-AU"/>
        </w:rPr>
        <w:t>“Border closures and flight uncertainty” (Tier 1 applicant)</w:t>
      </w:r>
    </w:p>
    <w:p w14:paraId="7E4580CC" w14:textId="77777777" w:rsidR="00A0613F" w:rsidRPr="001D3E93" w:rsidRDefault="00A0613F" w:rsidP="003F5515">
      <w:pPr>
        <w:numPr>
          <w:ilvl w:val="0"/>
          <w:numId w:val="7"/>
        </w:numPr>
        <w:spacing w:before="240" w:after="160" w:line="240" w:lineRule="auto"/>
        <w:contextualSpacing/>
        <w:rPr>
          <w:rFonts w:ascii="Verdana" w:eastAsia="Times New Roman" w:hAnsi="Verdana" w:cs="Times New Roman"/>
          <w:color w:val="000000"/>
          <w:lang w:eastAsia="en-AU"/>
        </w:rPr>
      </w:pPr>
      <w:r w:rsidRPr="001D3E93">
        <w:rPr>
          <w:rFonts w:ascii="Verdana" w:eastAsia="Times New Roman" w:hAnsi="Verdana" w:cs="Segoe UI"/>
          <w:color w:val="000000"/>
          <w:lang w:eastAsia="en-AU"/>
        </w:rPr>
        <w:t xml:space="preserve">51 per cent inflation/increasing costs  </w:t>
      </w:r>
    </w:p>
    <w:p w14:paraId="4B6B1250" w14:textId="77777777" w:rsidR="00A0613F" w:rsidRPr="001D3E93" w:rsidRDefault="00A0613F" w:rsidP="003F5515">
      <w:pPr>
        <w:numPr>
          <w:ilvl w:val="1"/>
          <w:numId w:val="7"/>
        </w:numPr>
        <w:spacing w:before="240" w:after="160" w:line="240" w:lineRule="auto"/>
        <w:contextualSpacing/>
        <w:rPr>
          <w:rFonts w:ascii="Verdana" w:eastAsia="Times New Roman" w:hAnsi="Verdana" w:cs="Times New Roman"/>
          <w:iCs/>
          <w:color w:val="000000"/>
          <w:lang w:eastAsia="en-AU"/>
        </w:rPr>
      </w:pPr>
      <w:r w:rsidRPr="001D3E93">
        <w:rPr>
          <w:rFonts w:ascii="Verdana" w:eastAsia="Times New Roman" w:hAnsi="Verdana" w:cs="Segoe UI"/>
          <w:iCs/>
          <w:color w:val="000000"/>
          <w:lang w:eastAsia="en-AU"/>
        </w:rPr>
        <w:t>“Factory costs” (Tier 3 applicant)</w:t>
      </w:r>
    </w:p>
    <w:p w14:paraId="65AA58CF" w14:textId="77777777" w:rsidR="00A0613F" w:rsidRPr="001D3E93" w:rsidRDefault="00A0613F" w:rsidP="003F5515">
      <w:pPr>
        <w:numPr>
          <w:ilvl w:val="1"/>
          <w:numId w:val="7"/>
        </w:numPr>
        <w:spacing w:before="240" w:after="160" w:line="240" w:lineRule="auto"/>
        <w:contextualSpacing/>
        <w:rPr>
          <w:rFonts w:ascii="Verdana" w:eastAsia="Times New Roman" w:hAnsi="Verdana" w:cs="Times New Roman"/>
          <w:iCs/>
          <w:color w:val="000000"/>
          <w:lang w:eastAsia="en-AU"/>
        </w:rPr>
      </w:pPr>
      <w:r w:rsidRPr="001D3E93">
        <w:rPr>
          <w:rFonts w:ascii="Verdana" w:eastAsia="Times New Roman" w:hAnsi="Verdana" w:cs="Segoe UI"/>
          <w:iCs/>
          <w:color w:val="000000"/>
          <w:lang w:eastAsia="en-AU"/>
        </w:rPr>
        <w:t>“Consumers spending less” (Tier 3 applicant)</w:t>
      </w:r>
    </w:p>
    <w:p w14:paraId="531DDD8E" w14:textId="77777777" w:rsidR="00A0613F" w:rsidRPr="001D3E93" w:rsidRDefault="00A0613F" w:rsidP="003F5515">
      <w:pPr>
        <w:numPr>
          <w:ilvl w:val="0"/>
          <w:numId w:val="7"/>
        </w:numPr>
        <w:spacing w:before="240" w:after="160" w:line="240" w:lineRule="auto"/>
        <w:contextualSpacing/>
        <w:rPr>
          <w:rFonts w:ascii="Verdana" w:eastAsia="Times New Roman" w:hAnsi="Verdana" w:cs="Times New Roman"/>
          <w:color w:val="000000"/>
          <w:lang w:eastAsia="en-AU"/>
        </w:rPr>
      </w:pPr>
      <w:r w:rsidRPr="001D3E93">
        <w:rPr>
          <w:rFonts w:ascii="Verdana" w:eastAsia="Times New Roman" w:hAnsi="Verdana" w:cs="Segoe UI"/>
          <w:color w:val="000000"/>
          <w:lang w:eastAsia="en-AU"/>
        </w:rPr>
        <w:t xml:space="preserve">40 per cent supply chain issues </w:t>
      </w:r>
    </w:p>
    <w:p w14:paraId="3BC9810E" w14:textId="77777777" w:rsidR="00A0613F" w:rsidRPr="001D3E93" w:rsidRDefault="00A0613F" w:rsidP="003F5515">
      <w:pPr>
        <w:numPr>
          <w:ilvl w:val="1"/>
          <w:numId w:val="7"/>
        </w:numPr>
        <w:spacing w:before="240" w:after="160" w:line="240" w:lineRule="auto"/>
        <w:contextualSpacing/>
        <w:rPr>
          <w:rFonts w:ascii="Verdana" w:eastAsia="Times New Roman" w:hAnsi="Verdana" w:cs="Times New Roman"/>
          <w:iCs/>
          <w:color w:val="000000"/>
          <w:lang w:eastAsia="en-AU"/>
        </w:rPr>
      </w:pPr>
      <w:r w:rsidRPr="001D3E93">
        <w:rPr>
          <w:rFonts w:ascii="Verdana" w:eastAsia="Times New Roman" w:hAnsi="Verdana" w:cs="Segoe UI"/>
          <w:iCs/>
          <w:color w:val="000000"/>
          <w:lang w:eastAsia="en-AU"/>
        </w:rPr>
        <w:t>“World-wide shortage of electronic components specifically” (Tier 2 applicant)</w:t>
      </w:r>
    </w:p>
    <w:p w14:paraId="3C68C237" w14:textId="77777777" w:rsidR="00A0613F" w:rsidRPr="001D3E93" w:rsidRDefault="00A0613F" w:rsidP="003F5515">
      <w:pPr>
        <w:numPr>
          <w:ilvl w:val="0"/>
          <w:numId w:val="7"/>
        </w:numPr>
        <w:spacing w:before="240" w:after="160" w:line="240" w:lineRule="auto"/>
        <w:contextualSpacing/>
        <w:rPr>
          <w:rFonts w:ascii="Verdana" w:eastAsia="Verdana" w:hAnsi="Verdana" w:cs="Times New Roman"/>
          <w:color w:val="000000"/>
          <w:lang w:eastAsia="en-AU"/>
        </w:rPr>
      </w:pPr>
      <w:r w:rsidRPr="001D3E93">
        <w:rPr>
          <w:rFonts w:ascii="Verdana" w:eastAsia="Times New Roman" w:hAnsi="Verdana" w:cs="Segoe UI"/>
          <w:color w:val="000000"/>
          <w:lang w:eastAsia="en-AU"/>
        </w:rPr>
        <w:t>37 per cent freight issues</w:t>
      </w:r>
    </w:p>
    <w:p w14:paraId="19EF8070" w14:textId="77777777" w:rsidR="00A0613F" w:rsidRPr="001D3E93" w:rsidRDefault="00A0613F" w:rsidP="003F5515">
      <w:pPr>
        <w:numPr>
          <w:ilvl w:val="0"/>
          <w:numId w:val="7"/>
        </w:numPr>
        <w:spacing w:before="240" w:after="160" w:line="240" w:lineRule="auto"/>
        <w:contextualSpacing/>
        <w:rPr>
          <w:rFonts w:ascii="Verdana" w:eastAsia="Times New Roman" w:hAnsi="Verdana" w:cs="Times New Roman"/>
          <w:color w:val="000000"/>
          <w:lang w:eastAsia="en-AU"/>
        </w:rPr>
      </w:pPr>
      <w:r w:rsidRPr="001D3E93">
        <w:rPr>
          <w:rFonts w:ascii="Verdana" w:eastAsia="Times New Roman" w:hAnsi="Verdana" w:cs="Segoe UI"/>
          <w:color w:val="000000"/>
          <w:lang w:eastAsia="en-AU"/>
        </w:rPr>
        <w:t>32 per cent workforce issues</w:t>
      </w:r>
    </w:p>
    <w:p w14:paraId="141F14F8" w14:textId="77777777" w:rsidR="00A0613F" w:rsidRPr="001D3E93" w:rsidRDefault="00A0613F" w:rsidP="003F5515">
      <w:pPr>
        <w:numPr>
          <w:ilvl w:val="1"/>
          <w:numId w:val="7"/>
        </w:numPr>
        <w:spacing w:before="240" w:after="160" w:line="240" w:lineRule="auto"/>
        <w:contextualSpacing/>
        <w:rPr>
          <w:rFonts w:ascii="Verdana" w:eastAsia="Times New Roman" w:hAnsi="Verdana" w:cs="Times New Roman"/>
          <w:iCs/>
          <w:color w:val="000000"/>
          <w:lang w:eastAsia="en-AU"/>
        </w:rPr>
      </w:pPr>
      <w:r w:rsidRPr="001D3E93">
        <w:rPr>
          <w:rFonts w:ascii="Verdana" w:eastAsia="Times New Roman" w:hAnsi="Verdana" w:cs="Segoe UI"/>
          <w:iCs/>
          <w:color w:val="000000"/>
          <w:lang w:eastAsia="en-AU"/>
        </w:rPr>
        <w:t>“Fewer staff at suppliers means slower responses” (Tier 3 applicant)</w:t>
      </w:r>
    </w:p>
    <w:p w14:paraId="07741E20" w14:textId="77777777" w:rsidR="00A0613F" w:rsidRPr="001D3E93" w:rsidRDefault="00A0613F" w:rsidP="00A0613F">
      <w:pPr>
        <w:spacing w:before="240" w:line="240" w:lineRule="auto"/>
        <w:rPr>
          <w:rFonts w:ascii="Verdana" w:eastAsia="Verdana" w:hAnsi="Verdana" w:cs="Times New Roman"/>
          <w:iCs/>
          <w:color w:val="000000"/>
          <w:lang w:eastAsia="en-AU"/>
        </w:rPr>
      </w:pPr>
      <w:r w:rsidRPr="001D3E93">
        <w:rPr>
          <w:rFonts w:ascii="Verdana" w:eastAsia="Times New Roman" w:hAnsi="Verdana" w:cs="Segoe UI"/>
          <w:iCs/>
          <w:color w:val="000000"/>
          <w:lang w:eastAsia="en-AU"/>
        </w:rPr>
        <w:t>How do exporters educate themselves and build capability:</w:t>
      </w:r>
    </w:p>
    <w:p w14:paraId="0CB475AA" w14:textId="77777777" w:rsidR="00A0613F" w:rsidRPr="001D3E93" w:rsidRDefault="00A0613F" w:rsidP="003F5515">
      <w:pPr>
        <w:numPr>
          <w:ilvl w:val="0"/>
          <w:numId w:val="7"/>
        </w:numPr>
        <w:spacing w:before="240" w:after="160" w:line="240" w:lineRule="auto"/>
        <w:contextualSpacing/>
        <w:rPr>
          <w:rFonts w:ascii="Verdana" w:eastAsia="Times New Roman" w:hAnsi="Verdana" w:cs="Times New Roman"/>
          <w:color w:val="000000"/>
          <w:lang w:eastAsia="en-AU"/>
        </w:rPr>
      </w:pPr>
      <w:r w:rsidRPr="001D3E93">
        <w:rPr>
          <w:rFonts w:ascii="Verdana" w:eastAsia="Times New Roman" w:hAnsi="Verdana" w:cs="Segoe UI"/>
          <w:color w:val="000000"/>
          <w:lang w:eastAsia="en-AU"/>
        </w:rPr>
        <w:t xml:space="preserve">desktop research (39 per cent), </w:t>
      </w:r>
    </w:p>
    <w:p w14:paraId="0212AB8A" w14:textId="77777777" w:rsidR="00A0613F" w:rsidRPr="001D3E93" w:rsidRDefault="00A0613F" w:rsidP="003F5515">
      <w:pPr>
        <w:numPr>
          <w:ilvl w:val="0"/>
          <w:numId w:val="7"/>
        </w:numPr>
        <w:spacing w:before="240" w:after="160" w:line="240" w:lineRule="auto"/>
        <w:contextualSpacing/>
        <w:rPr>
          <w:rFonts w:ascii="Verdana" w:eastAsia="Times New Roman" w:hAnsi="Verdana" w:cs="Times New Roman"/>
          <w:color w:val="000000"/>
          <w:lang w:eastAsia="en-AU"/>
        </w:rPr>
      </w:pPr>
      <w:r w:rsidRPr="001D3E93">
        <w:rPr>
          <w:rFonts w:ascii="Verdana" w:eastAsia="Times New Roman" w:hAnsi="Verdana" w:cs="Segoe UI"/>
          <w:color w:val="000000"/>
          <w:lang w:eastAsia="en-AU"/>
        </w:rPr>
        <w:t xml:space="preserve">state or territory government services or grants (26 per cent), and </w:t>
      </w:r>
    </w:p>
    <w:p w14:paraId="214B8A20" w14:textId="77777777" w:rsidR="00A0613F" w:rsidRPr="001D3E93" w:rsidRDefault="00A0613F" w:rsidP="003F5515">
      <w:pPr>
        <w:numPr>
          <w:ilvl w:val="0"/>
          <w:numId w:val="7"/>
        </w:numPr>
        <w:spacing w:before="240" w:after="160" w:line="240" w:lineRule="auto"/>
        <w:contextualSpacing/>
        <w:rPr>
          <w:rFonts w:ascii="Verdana" w:eastAsia="Times New Roman" w:hAnsi="Verdana" w:cs="Times New Roman"/>
          <w:color w:val="000000"/>
          <w:lang w:eastAsia="en-AU"/>
        </w:rPr>
      </w:pPr>
      <w:r w:rsidRPr="001D3E93">
        <w:rPr>
          <w:rFonts w:ascii="Verdana" w:eastAsia="Times New Roman" w:hAnsi="Verdana" w:cs="Segoe UI"/>
          <w:color w:val="000000"/>
          <w:lang w:eastAsia="en-AU"/>
        </w:rPr>
        <w:t>industry newsletters (25 per cent).</w:t>
      </w:r>
    </w:p>
    <w:p w14:paraId="69FEC1EB" w14:textId="77777777" w:rsidR="00A0613F" w:rsidRPr="001D3E93" w:rsidRDefault="00A0613F" w:rsidP="00092B08">
      <w:pPr>
        <w:numPr>
          <w:ilvl w:val="1"/>
          <w:numId w:val="7"/>
        </w:numPr>
        <w:spacing w:before="240" w:after="160" w:line="240" w:lineRule="auto"/>
        <w:contextualSpacing/>
        <w:rPr>
          <w:rFonts w:ascii="Verdana" w:eastAsia="Times New Roman" w:hAnsi="Verdana" w:cs="Segoe UI"/>
          <w:iCs/>
          <w:color w:val="000000"/>
          <w:lang w:eastAsia="en-AU"/>
        </w:rPr>
      </w:pPr>
      <w:r w:rsidRPr="001D3E93">
        <w:rPr>
          <w:rFonts w:ascii="Verdana" w:eastAsia="Times New Roman" w:hAnsi="Verdana" w:cs="Segoe UI"/>
          <w:iCs/>
          <w:color w:val="000000"/>
          <w:lang w:eastAsia="en-AU"/>
        </w:rPr>
        <w:t>“As a Tier 1 recipient, I would have loved to see mentoring support offered to assist with connections to individuals and businesses” (Tier 1 applicant)</w:t>
      </w:r>
    </w:p>
    <w:p w14:paraId="6D625279" w14:textId="77777777" w:rsidR="00A0613F" w:rsidRPr="001D3E93" w:rsidRDefault="00A0613F" w:rsidP="00A0613F">
      <w:pPr>
        <w:rPr>
          <w:rFonts w:ascii="Verdana" w:eastAsia="Calibri" w:hAnsi="Verdana" w:cs="Arial"/>
          <w:sz w:val="22"/>
          <w:szCs w:val="22"/>
          <w:lang w:val="en-US" w:eastAsia="en-US"/>
        </w:rPr>
      </w:pPr>
      <w:r w:rsidRPr="001D3E93">
        <w:rPr>
          <w:rFonts w:ascii="Verdana" w:eastAsia="Calibri" w:hAnsi="Verdana" w:cs="Arial"/>
          <w:sz w:val="22"/>
          <w:szCs w:val="22"/>
          <w:lang w:val="en-US" w:eastAsia="en-US"/>
        </w:rPr>
        <w:br w:type="page"/>
      </w:r>
    </w:p>
    <w:p w14:paraId="702956B2" w14:textId="04CA4B5C" w:rsidR="00346D68" w:rsidRPr="00A3430B" w:rsidRDefault="00346D68" w:rsidP="00A3430B">
      <w:pPr>
        <w:pStyle w:val="Heading1"/>
        <w:spacing w:after="0"/>
        <w:rPr>
          <w:b w:val="0"/>
          <w:bCs w:val="0"/>
        </w:rPr>
      </w:pPr>
      <w:bookmarkStart w:id="471" w:name="_Toc124433414"/>
      <w:r w:rsidRPr="00A3430B">
        <w:rPr>
          <w:b w:val="0"/>
          <w:bCs w:val="0"/>
        </w:rPr>
        <w:lastRenderedPageBreak/>
        <w:t xml:space="preserve">Attachment D – Previous EMDG 2.0 Round 1 </w:t>
      </w:r>
      <w:r w:rsidR="005B7C9F" w:rsidRPr="001D3E93">
        <w:rPr>
          <w:b w:val="0"/>
          <w:bCs w:val="0"/>
        </w:rPr>
        <w:t>c</w:t>
      </w:r>
      <w:r w:rsidRPr="00A3430B">
        <w:rPr>
          <w:b w:val="0"/>
          <w:bCs w:val="0"/>
        </w:rPr>
        <w:t>onsultation</w:t>
      </w:r>
      <w:bookmarkEnd w:id="471"/>
      <w:r w:rsidR="00B725D1" w:rsidRPr="00A3430B">
        <w:rPr>
          <w:b w:val="0"/>
          <w:bCs w:val="0"/>
          <w:sz w:val="24"/>
          <w:szCs w:val="24"/>
        </w:rPr>
        <w:t xml:space="preserve"> </w:t>
      </w:r>
    </w:p>
    <w:p w14:paraId="7CEFDA87" w14:textId="51D0574A" w:rsidR="00346D68" w:rsidRPr="00A3430B" w:rsidRDefault="00346D68" w:rsidP="00843DA3">
      <w:pPr>
        <w:spacing w:after="800"/>
        <w:rPr>
          <w:sz w:val="28"/>
          <w:szCs w:val="28"/>
        </w:rPr>
      </w:pPr>
      <w:r w:rsidRPr="00A3430B">
        <w:rPr>
          <w:sz w:val="28"/>
          <w:szCs w:val="28"/>
        </w:rPr>
        <w:t xml:space="preserve">Consultation between close of EMDG 2.0 Round 1 and the EMDG Operational Review </w:t>
      </w:r>
    </w:p>
    <w:p w14:paraId="6DCCB537" w14:textId="116A4F33" w:rsidR="00A0613F" w:rsidRPr="001D3E93" w:rsidRDefault="00A0613F" w:rsidP="00286B22">
      <w:pPr>
        <w:spacing w:after="440"/>
        <w:rPr>
          <w:rFonts w:ascii="Verdana" w:eastAsia="SimSun" w:hAnsi="Verdana" w:cs="Times New Roman"/>
          <w:color w:val="3A0349"/>
        </w:rPr>
      </w:pPr>
      <w:r w:rsidRPr="001D3E93">
        <w:rPr>
          <w:rFonts w:ascii="Verdana" w:eastAsia="SimSun" w:hAnsi="Verdana" w:cs="Times New Roman"/>
          <w:color w:val="3A0349"/>
          <w:sz w:val="22"/>
          <w:szCs w:val="22"/>
        </w:rPr>
        <w:t xml:space="preserve">Please note this list focuses on specific EMDG consultations and does not include other processes which have captured feedback on EMDG (such as Austrade’s regular Client Experience survey), and ongoing feedback received through the EMDG Help Desk, webinars and consultations that occur as part of Austrade’s EMDG administration. </w:t>
      </w:r>
    </w:p>
    <w:p w14:paraId="6150EDCC" w14:textId="07289583" w:rsidR="00A0613F" w:rsidRPr="001D3E93" w:rsidRDefault="00A0613F" w:rsidP="00A0613F">
      <w:pPr>
        <w:rPr>
          <w:rFonts w:ascii="Verdana" w:eastAsia="SimSun" w:hAnsi="Verdana" w:cs="Times New Roman"/>
        </w:rPr>
      </w:pPr>
      <w:r w:rsidRPr="001D3E93">
        <w:rPr>
          <w:rFonts w:ascii="Verdana" w:eastAsia="SimSun" w:hAnsi="Verdana" w:cs="Times New Roman"/>
        </w:rPr>
        <w:t xml:space="preserve">January 2022 - EMDG Applicant survey – survey was sent to all 5,384 Round 1 applicants for feedback on EMDG sentiment, business outlook and EMDG website and new processes. 980 people responded. </w:t>
      </w:r>
      <w:r w:rsidRPr="00A0613F">
        <w:rPr>
          <w:rFonts w:ascii="Verdana" w:eastAsia="SimSun" w:hAnsi="Verdana" w:cs="Times New Roman"/>
        </w:rPr>
        <w:t xml:space="preserve">Further information on this survey is available on the </w:t>
      </w:r>
      <w:hyperlink r:id="rId22" w:history="1">
        <w:r w:rsidRPr="00A0613F">
          <w:rPr>
            <w:rFonts w:ascii="Verdana" w:eastAsia="SimSun" w:hAnsi="Verdana" w:cs="Times New Roman"/>
            <w:color w:val="2E1A47"/>
            <w:u w:val="single"/>
          </w:rPr>
          <w:t>Austrade website</w:t>
        </w:r>
      </w:hyperlink>
      <w:r w:rsidRPr="00A0613F">
        <w:rPr>
          <w:rFonts w:ascii="Verdana" w:eastAsia="SimSun" w:hAnsi="Verdana" w:cs="Times New Roman"/>
        </w:rPr>
        <w:t xml:space="preserve">. </w:t>
      </w:r>
    </w:p>
    <w:p w14:paraId="78BF9DD2" w14:textId="77777777" w:rsidR="00A0613F" w:rsidRPr="001D3E93" w:rsidRDefault="00A0613F" w:rsidP="00A0613F">
      <w:pPr>
        <w:rPr>
          <w:rFonts w:ascii="Verdana" w:eastAsia="SimSun" w:hAnsi="Verdana" w:cs="Times New Roman"/>
        </w:rPr>
      </w:pPr>
      <w:r w:rsidRPr="001D3E93">
        <w:rPr>
          <w:rFonts w:ascii="Verdana" w:eastAsia="SimSun" w:hAnsi="Verdana" w:cs="Times New Roman"/>
        </w:rPr>
        <w:t xml:space="preserve">February/March 2022 - EMDG stakeholder consultations – Following Round 1 application process, and ahead of opening of Round 2, one-on-one consultations were undertaken with select range of stakeholders to complement surveys. </w:t>
      </w:r>
    </w:p>
    <w:p w14:paraId="6A168503" w14:textId="3AFC85CD" w:rsidR="00A0613F" w:rsidRPr="001D3E93" w:rsidRDefault="00A0613F" w:rsidP="00A0613F">
      <w:pPr>
        <w:rPr>
          <w:rFonts w:ascii="Verdana" w:eastAsia="SimSun" w:hAnsi="Verdana" w:cs="Times New Roman"/>
        </w:rPr>
      </w:pPr>
      <w:r w:rsidRPr="001D3E93">
        <w:rPr>
          <w:rFonts w:ascii="Verdana" w:eastAsia="SimSun" w:hAnsi="Verdana" w:cs="Times New Roman"/>
        </w:rPr>
        <w:t xml:space="preserve">March 2022 - EMDG Consultant survey – survey was sent to 247 EMDG grant agents who submitted applications in Round 1 on their experiences with Round 1 and business characteristics of EMDG grant agents. 110 responses were received. </w:t>
      </w:r>
      <w:r w:rsidRPr="00A0613F">
        <w:rPr>
          <w:rFonts w:ascii="Verdana" w:eastAsia="SimSun" w:hAnsi="Verdana" w:cs="Times New Roman"/>
        </w:rPr>
        <w:t xml:space="preserve">Further information on this survey is available on the </w:t>
      </w:r>
      <w:hyperlink r:id="rId23" w:history="1">
        <w:r w:rsidRPr="00A0613F">
          <w:rPr>
            <w:rFonts w:ascii="Verdana" w:eastAsia="SimSun" w:hAnsi="Verdana" w:cs="Times New Roman"/>
            <w:color w:val="2E1A47"/>
            <w:u w:val="single"/>
          </w:rPr>
          <w:t>Austrade website</w:t>
        </w:r>
      </w:hyperlink>
      <w:r w:rsidRPr="00A0613F">
        <w:rPr>
          <w:rFonts w:ascii="Verdana" w:eastAsia="SimSun" w:hAnsi="Verdana" w:cs="Times New Roman"/>
        </w:rPr>
        <w:t xml:space="preserve">. </w:t>
      </w:r>
    </w:p>
    <w:p w14:paraId="7CF9AA83" w14:textId="77777777" w:rsidR="00A0613F" w:rsidRPr="001D3E93" w:rsidRDefault="00A0613F" w:rsidP="00A0613F">
      <w:pPr>
        <w:rPr>
          <w:rFonts w:ascii="Verdana" w:eastAsia="SimSun" w:hAnsi="Verdana" w:cs="Times New Roman"/>
        </w:rPr>
      </w:pPr>
      <w:r w:rsidRPr="001D3E93">
        <w:rPr>
          <w:rFonts w:ascii="Verdana" w:eastAsia="SimSun" w:hAnsi="Verdana" w:cs="Times New Roman"/>
        </w:rPr>
        <w:t xml:space="preserve">March/April 2022 - EMDG Paper Giant interviews – 20 in-depth interviews were conducted with EMDG applicants. This included seven Tier 1 applicants; three Tier 2 applicants; four Tier 3 applicants; and six Representative Bodies. </w:t>
      </w:r>
    </w:p>
    <w:p w14:paraId="110F6F69" w14:textId="77777777" w:rsidR="00A0613F" w:rsidRPr="001D3E93" w:rsidRDefault="00A0613F" w:rsidP="00A0613F">
      <w:pPr>
        <w:rPr>
          <w:rFonts w:ascii="Verdana" w:eastAsia="SimSun" w:hAnsi="Verdana" w:cs="Times New Roman"/>
        </w:rPr>
      </w:pPr>
      <w:bookmarkStart w:id="472" w:name="_Hlk115186121"/>
      <w:r w:rsidRPr="001D3E93">
        <w:rPr>
          <w:rFonts w:ascii="Verdana" w:eastAsia="SimSun" w:hAnsi="Verdana" w:cs="Times New Roman"/>
        </w:rPr>
        <w:t xml:space="preserve">June 2022 - Useability Testing – four exporters and 10 grant agents participated in useability testing, providing feedback on EMDG 2.0 systems and user experience. </w:t>
      </w:r>
    </w:p>
    <w:bookmarkEnd w:id="472"/>
    <w:p w14:paraId="1831C086" w14:textId="77777777" w:rsidR="00A0613F" w:rsidRPr="001D3E93" w:rsidRDefault="00A0613F" w:rsidP="00A0613F">
      <w:pPr>
        <w:rPr>
          <w:rFonts w:ascii="Verdana" w:eastAsia="SimSun" w:hAnsi="Verdana" w:cs="Times New Roman"/>
        </w:rPr>
      </w:pPr>
      <w:r w:rsidRPr="001D3E93">
        <w:rPr>
          <w:rFonts w:ascii="Verdana" w:eastAsia="SimSun" w:hAnsi="Verdana" w:cs="Times New Roman"/>
        </w:rPr>
        <w:t xml:space="preserve">August 2022 – Operational Review survey – survey was sent to over 11,000 people subscribed to the EMDG mailing list and open to the general public via the Austrade website. 452 responses were received. Survey results can be found in Attachment D. </w:t>
      </w:r>
    </w:p>
    <w:p w14:paraId="47B3A30E" w14:textId="26C0409D" w:rsidR="000F3127" w:rsidRPr="001D3E93" w:rsidRDefault="00A0613F" w:rsidP="00A0613F">
      <w:pPr>
        <w:rPr>
          <w:rFonts w:ascii="Verdana" w:eastAsia="SimSun" w:hAnsi="Verdana" w:cs="Times New Roman"/>
        </w:rPr>
      </w:pPr>
      <w:r w:rsidRPr="001D3E93">
        <w:rPr>
          <w:rFonts w:ascii="Verdana" w:eastAsia="SimSun" w:hAnsi="Verdana" w:cs="Times New Roman"/>
        </w:rPr>
        <w:t>August/September 2022 – Operational Review stakeholder consultations – an external facilitator (John Angley) was engaged to meet with stakeholders. John had 5</w:t>
      </w:r>
      <w:r w:rsidR="0030590E">
        <w:rPr>
          <w:rFonts w:ascii="Verdana" w:eastAsia="SimSun" w:hAnsi="Verdana" w:cs="Times New Roman"/>
        </w:rPr>
        <w:t>3</w:t>
      </w:r>
      <w:r w:rsidRPr="001D3E93">
        <w:rPr>
          <w:rFonts w:ascii="Verdana" w:eastAsia="SimSun" w:hAnsi="Verdana" w:cs="Times New Roman"/>
        </w:rPr>
        <w:t xml:space="preserve"> sessions with EMDG applicants, grant agents, peak bodies and other interested parties. See Chapter 4 for John Angley’s reflections and Attachment C for consultation overview. </w:t>
      </w:r>
    </w:p>
    <w:p w14:paraId="35D77253" w14:textId="77777777" w:rsidR="000F3127" w:rsidRPr="001D3E93" w:rsidRDefault="000F3127">
      <w:pPr>
        <w:rPr>
          <w:rFonts w:ascii="Verdana" w:eastAsia="SimSun" w:hAnsi="Verdana" w:cs="Times New Roman"/>
        </w:rPr>
      </w:pPr>
      <w:r w:rsidRPr="001D3E93">
        <w:rPr>
          <w:rFonts w:ascii="Verdana" w:eastAsia="SimSun" w:hAnsi="Verdana" w:cs="Times New Roman"/>
        </w:rPr>
        <w:br w:type="page"/>
      </w:r>
    </w:p>
    <w:p w14:paraId="13AF5E3B" w14:textId="04B0FCDD" w:rsidR="00A0613F" w:rsidRPr="001D3E93" w:rsidRDefault="00EC6525" w:rsidP="00EC6525">
      <w:pPr>
        <w:pStyle w:val="Heading1"/>
        <w:rPr>
          <w:b w:val="0"/>
          <w:bCs w:val="0"/>
        </w:rPr>
      </w:pPr>
      <w:bookmarkStart w:id="473" w:name="_Toc124433415"/>
      <w:r w:rsidRPr="001D3E93">
        <w:rPr>
          <w:b w:val="0"/>
          <w:bCs w:val="0"/>
        </w:rPr>
        <w:lastRenderedPageBreak/>
        <w:t>Attachment E – Complementary support available to SME exporters</w:t>
      </w:r>
      <w:bookmarkEnd w:id="473"/>
      <w:r w:rsidRPr="001D3E93">
        <w:rPr>
          <w:b w:val="0"/>
          <w:bCs w:val="0"/>
        </w:rPr>
        <w:t xml:space="preserve"> </w:t>
      </w:r>
    </w:p>
    <w:p w14:paraId="6B565A27" w14:textId="77777777" w:rsidR="00EC6525" w:rsidRPr="001D3E93" w:rsidRDefault="00EC6525" w:rsidP="00EC6525">
      <w:pPr>
        <w:spacing w:after="160" w:line="259" w:lineRule="auto"/>
        <w:rPr>
          <w:rFonts w:ascii="Verdana" w:eastAsia="SimSun" w:hAnsi="Verdana" w:cs="Times New Roman"/>
          <w:color w:val="FFFFFF"/>
          <w:sz w:val="44"/>
          <w:szCs w:val="44"/>
        </w:rPr>
      </w:pPr>
      <w:r w:rsidRPr="001D3E93">
        <w:rPr>
          <w:rFonts w:ascii="Verdana" w:eastAsia="Verdana" w:hAnsi="Verdana" w:cs="Verdana"/>
          <w:color w:val="2E1A47"/>
          <w:sz w:val="24"/>
          <w:szCs w:val="24"/>
          <w:lang w:eastAsia="en-US"/>
        </w:rPr>
        <w:t xml:space="preserve">Beyond EMDG, there are other support services available to Australian exporters, including small and medium businesses and those looking to begin their exporting journey. The list below is not exhaustive but provides a snapshot of the support Australian exporters may choose to pursue. </w:t>
      </w:r>
    </w:p>
    <w:p w14:paraId="6ACD6B33" w14:textId="77777777" w:rsidR="00EC6525" w:rsidRPr="001D3E93" w:rsidRDefault="00EC6525" w:rsidP="00EC6525">
      <w:pPr>
        <w:rPr>
          <w:rFonts w:ascii="Verdana" w:eastAsia="Calibri" w:hAnsi="Verdana" w:cs="Arial"/>
          <w:sz w:val="22"/>
          <w:szCs w:val="22"/>
          <w:lang w:val="en-US" w:eastAsia="en-US"/>
        </w:rPr>
      </w:pPr>
      <w:r w:rsidRPr="001D3E93">
        <w:rPr>
          <w:rFonts w:ascii="Verdana" w:eastAsia="Verdana" w:hAnsi="Verdana" w:cs="Verdana"/>
          <w:lang w:eastAsia="en-US"/>
        </w:rPr>
        <w:t xml:space="preserve">There are a range of state and territory services available on both an ongoing and ad-hoc basis. The type of support on offer differs, but may include: </w:t>
      </w:r>
    </w:p>
    <w:p w14:paraId="6596660E" w14:textId="77777777" w:rsidR="00EC6525" w:rsidRPr="001D3E93" w:rsidRDefault="00EC6525" w:rsidP="00EC6525">
      <w:pPr>
        <w:rPr>
          <w:rFonts w:ascii="Verdana" w:eastAsia="Calibri" w:hAnsi="Verdana" w:cs="Arial"/>
          <w:sz w:val="22"/>
          <w:szCs w:val="22"/>
          <w:lang w:val="en-US" w:eastAsia="en-US"/>
        </w:rPr>
      </w:pPr>
      <w:r w:rsidRPr="001D3E93">
        <w:rPr>
          <w:rFonts w:ascii="Verdana" w:eastAsia="Verdana" w:hAnsi="Verdana" w:cs="Verdana"/>
          <w:lang w:eastAsia="en-US"/>
        </w:rPr>
        <w:t xml:space="preserve">New South Wales: </w:t>
      </w:r>
      <w:hyperlink r:id="rId24">
        <w:r w:rsidRPr="001D3E93">
          <w:rPr>
            <w:rFonts w:ascii="Verdana" w:eastAsia="Verdana" w:hAnsi="Verdana" w:cs="Verdana"/>
            <w:color w:val="0563C1"/>
            <w:u w:val="single"/>
            <w:lang w:eastAsia="en-US"/>
          </w:rPr>
          <w:t>Going Global Export Program</w:t>
        </w:r>
      </w:hyperlink>
      <w:r w:rsidRPr="001D3E93">
        <w:rPr>
          <w:rFonts w:ascii="Verdana" w:eastAsia="Verdana" w:hAnsi="Verdana" w:cs="Verdana"/>
          <w:lang w:eastAsia="en-US"/>
        </w:rPr>
        <w:t xml:space="preserve"> offers a range of export-related support measures for eligible SMEs in certain industry sectors (including health and medtech, technology, food and beverage industry sectors. </w:t>
      </w:r>
    </w:p>
    <w:p w14:paraId="55D621E4" w14:textId="77777777" w:rsidR="00EC6525" w:rsidRPr="001D3E93" w:rsidRDefault="00EC6525" w:rsidP="00EC6525">
      <w:pPr>
        <w:rPr>
          <w:rFonts w:ascii="Verdana" w:eastAsia="Calibri" w:hAnsi="Verdana" w:cs="Arial"/>
          <w:sz w:val="22"/>
          <w:szCs w:val="22"/>
          <w:lang w:val="en-US" w:eastAsia="en-US"/>
        </w:rPr>
      </w:pPr>
      <w:r w:rsidRPr="001D3E93">
        <w:rPr>
          <w:rFonts w:ascii="Verdana" w:eastAsia="Verdana" w:hAnsi="Verdana" w:cs="Verdana"/>
          <w:lang w:eastAsia="en-US"/>
        </w:rPr>
        <w:t xml:space="preserve">Victoria: </w:t>
      </w:r>
      <w:hyperlink r:id="rId25">
        <w:r w:rsidRPr="001D3E93">
          <w:rPr>
            <w:rFonts w:ascii="Verdana" w:eastAsia="Verdana" w:hAnsi="Verdana" w:cs="Verdana"/>
            <w:color w:val="0563C1"/>
            <w:u w:val="single"/>
            <w:lang w:eastAsia="en-US"/>
          </w:rPr>
          <w:t>Global Victoria Intellect Program</w:t>
        </w:r>
      </w:hyperlink>
      <w:r w:rsidRPr="001D3E93">
        <w:rPr>
          <w:rFonts w:ascii="Verdana" w:eastAsia="Verdana" w:hAnsi="Verdana" w:cs="Verdana"/>
          <w:lang w:eastAsia="en-US"/>
        </w:rPr>
        <w:t xml:space="preserve"> provides eligible export businesses with market research intelligence from teams at Victorian universities. </w:t>
      </w:r>
    </w:p>
    <w:p w14:paraId="12DF1CDF" w14:textId="3E9922A8" w:rsidR="00EC6525" w:rsidRPr="001D3E93" w:rsidRDefault="00EC6525" w:rsidP="00EC6525">
      <w:pPr>
        <w:rPr>
          <w:rFonts w:ascii="Verdana" w:eastAsia="Calibri" w:hAnsi="Verdana" w:cs="Arial"/>
          <w:sz w:val="22"/>
          <w:szCs w:val="22"/>
          <w:lang w:val="en-US" w:eastAsia="en-US"/>
        </w:rPr>
      </w:pPr>
      <w:r w:rsidRPr="001D3E93">
        <w:rPr>
          <w:rFonts w:ascii="Verdana" w:eastAsia="Verdana" w:hAnsi="Verdana" w:cs="Verdana"/>
          <w:lang w:eastAsia="en-US"/>
        </w:rPr>
        <w:t xml:space="preserve">South Australia: </w:t>
      </w:r>
      <w:hyperlink r:id="rId26" w:history="1">
        <w:r w:rsidRPr="00CB7EB4">
          <w:rPr>
            <w:rStyle w:val="Hyperlink"/>
            <w:rFonts w:ascii="Verdana" w:eastAsia="Verdana" w:hAnsi="Verdana" w:cs="Verdana"/>
            <w:color w:val="0070C0"/>
            <w:lang w:eastAsia="en-US"/>
          </w:rPr>
          <w:t>SA Export Accelerator Program</w:t>
        </w:r>
      </w:hyperlink>
      <w:r w:rsidRPr="001D3E93">
        <w:rPr>
          <w:rFonts w:ascii="Verdana" w:eastAsia="Verdana" w:hAnsi="Verdana" w:cs="Verdana"/>
          <w:lang w:eastAsia="en-US"/>
        </w:rPr>
        <w:t xml:space="preserve"> (applications closed) provides funding for consortiums of small to medium-sized export businesses to undertake collaborative export activities. </w:t>
      </w:r>
    </w:p>
    <w:p w14:paraId="14633FDA" w14:textId="77777777" w:rsidR="00EC6525" w:rsidRPr="001D3E93" w:rsidRDefault="00EC6525" w:rsidP="00EC6525">
      <w:pPr>
        <w:rPr>
          <w:rFonts w:ascii="Verdana" w:eastAsia="Calibri" w:hAnsi="Verdana" w:cs="Arial"/>
          <w:sz w:val="22"/>
          <w:szCs w:val="22"/>
          <w:lang w:val="en-US" w:eastAsia="en-US"/>
        </w:rPr>
      </w:pPr>
      <w:r w:rsidRPr="001D3E93">
        <w:rPr>
          <w:rFonts w:ascii="Verdana" w:eastAsia="Verdana" w:hAnsi="Verdana" w:cs="Verdana"/>
          <w:lang w:eastAsia="en-US"/>
        </w:rPr>
        <w:t xml:space="preserve">Northern Territory: </w:t>
      </w:r>
      <w:hyperlink r:id="rId27">
        <w:r w:rsidRPr="001D3E93">
          <w:rPr>
            <w:rFonts w:ascii="Verdana" w:eastAsia="Verdana" w:hAnsi="Verdana" w:cs="Verdana"/>
            <w:color w:val="0563C1"/>
            <w:u w:val="single"/>
            <w:lang w:eastAsia="en-US"/>
          </w:rPr>
          <w:t>Global Trade Scheme</w:t>
        </w:r>
      </w:hyperlink>
      <w:r w:rsidRPr="001D3E93">
        <w:rPr>
          <w:rFonts w:ascii="Verdana" w:eastAsia="Verdana" w:hAnsi="Verdana" w:cs="Verdana"/>
          <w:lang w:eastAsia="en-US"/>
        </w:rPr>
        <w:t xml:space="preserve"> provides funding for NT businesses to set up or expand their exporting capabilities. </w:t>
      </w:r>
    </w:p>
    <w:p w14:paraId="3E954172" w14:textId="77777777" w:rsidR="00EC6525" w:rsidRPr="001D3E93" w:rsidRDefault="00EC6525" w:rsidP="00EC6525">
      <w:pPr>
        <w:rPr>
          <w:rFonts w:ascii="Verdana" w:eastAsia="Calibri" w:hAnsi="Verdana" w:cs="Arial"/>
          <w:sz w:val="22"/>
          <w:szCs w:val="22"/>
          <w:lang w:val="en-US" w:eastAsia="en-US"/>
        </w:rPr>
      </w:pPr>
      <w:r w:rsidRPr="001D3E93">
        <w:rPr>
          <w:rFonts w:ascii="Verdana" w:eastAsia="Verdana" w:hAnsi="Verdana" w:cs="Verdana"/>
          <w:lang w:eastAsia="en-US"/>
        </w:rPr>
        <w:t>In addition to support specific to each state and territory, there are Australia-wide, Commonwealth funded services available to support SME exporters. These include:</w:t>
      </w:r>
    </w:p>
    <w:p w14:paraId="7EFC958A" w14:textId="77777777" w:rsidR="00EC6525" w:rsidRPr="001D3E93" w:rsidRDefault="00EC6525" w:rsidP="00EC6525">
      <w:pPr>
        <w:rPr>
          <w:rFonts w:ascii="Verdana" w:eastAsia="Calibri" w:hAnsi="Verdana" w:cs="Arial"/>
          <w:sz w:val="22"/>
          <w:szCs w:val="22"/>
          <w:lang w:val="en-US" w:eastAsia="en-US"/>
        </w:rPr>
      </w:pPr>
      <w:r w:rsidRPr="001D3E93">
        <w:rPr>
          <w:rFonts w:ascii="Verdana" w:eastAsia="Verdana" w:hAnsi="Verdana" w:cs="Verdana"/>
          <w:lang w:eastAsia="en-US"/>
        </w:rPr>
        <w:t xml:space="preserve">The </w:t>
      </w:r>
      <w:hyperlink r:id="rId28">
        <w:r w:rsidRPr="001D3E93">
          <w:rPr>
            <w:rFonts w:ascii="Verdana" w:eastAsia="Verdana" w:hAnsi="Verdana" w:cs="Verdana"/>
            <w:color w:val="0563C1"/>
            <w:u w:val="single"/>
            <w:lang w:eastAsia="en-US"/>
          </w:rPr>
          <w:t>Austrade Export Services website</w:t>
        </w:r>
      </w:hyperlink>
      <w:r w:rsidRPr="001D3E93">
        <w:rPr>
          <w:rFonts w:ascii="Verdana" w:eastAsia="Verdana" w:hAnsi="Verdana" w:cs="Verdana"/>
          <w:lang w:eastAsia="en-US"/>
        </w:rPr>
        <w:t xml:space="preserve"> has a range of resources and services for Australian businesses looking to export, or during their export journey. Resources include tools for businesses to identify markets for their products and services, information on laws, regulations and finance, and success stories of Australian exporters to learn from. </w:t>
      </w:r>
    </w:p>
    <w:p w14:paraId="3B01DB40" w14:textId="77777777" w:rsidR="00EC6525" w:rsidRPr="001D3E93" w:rsidRDefault="00EC6525" w:rsidP="00EC6525">
      <w:pPr>
        <w:rPr>
          <w:rFonts w:ascii="Verdana" w:eastAsia="Calibri" w:hAnsi="Verdana" w:cs="Arial"/>
          <w:sz w:val="22"/>
          <w:szCs w:val="22"/>
          <w:lang w:val="en-US" w:eastAsia="en-US"/>
        </w:rPr>
      </w:pPr>
      <w:r w:rsidRPr="001D3E93">
        <w:rPr>
          <w:rFonts w:ascii="Verdana" w:eastAsia="Verdana" w:hAnsi="Verdana" w:cs="Verdana"/>
          <w:lang w:eastAsia="en-US"/>
        </w:rPr>
        <w:t xml:space="preserve">The </w:t>
      </w:r>
      <w:hyperlink r:id="rId29">
        <w:r w:rsidRPr="001D3E93">
          <w:rPr>
            <w:rFonts w:ascii="Verdana" w:eastAsia="Verdana" w:hAnsi="Verdana" w:cs="Verdana"/>
            <w:color w:val="0563C1"/>
            <w:u w:val="single"/>
            <w:lang w:eastAsia="en-US"/>
          </w:rPr>
          <w:t>TradeStart network</w:t>
        </w:r>
      </w:hyperlink>
      <w:r w:rsidRPr="001D3E93">
        <w:rPr>
          <w:rFonts w:ascii="Verdana" w:eastAsia="Verdana" w:hAnsi="Verdana" w:cs="Verdana"/>
          <w:lang w:eastAsia="en-US"/>
        </w:rPr>
        <w:t xml:space="preserve"> is an extension to Austrade’s own offices and is delivered in partnership with State, Territory and local governments, industry associations and chambers of commerce. The 30 offices in the TradeStart network are in capital cities and regional centres across Australia. The objective of the TradeStart network is to assist small and medium sized exporters to achieve long term success in international markets. It offers exporters the combined resources of Austrade and each partner organisation, providing local assistance and a direct link to Austrade’s services and overseas network.</w:t>
      </w:r>
    </w:p>
    <w:p w14:paraId="26243A56" w14:textId="1D4E555B" w:rsidR="00EC6525" w:rsidRPr="001D3E93" w:rsidRDefault="00EC6525" w:rsidP="00EC6525">
      <w:pPr>
        <w:rPr>
          <w:rFonts w:ascii="Verdana" w:eastAsia="Verdana" w:hAnsi="Verdana" w:cs="Verdana"/>
          <w:lang w:eastAsia="en-US"/>
        </w:rPr>
      </w:pPr>
      <w:r w:rsidRPr="001D3E93">
        <w:rPr>
          <w:rFonts w:ascii="Verdana" w:eastAsia="Verdana" w:hAnsi="Verdana" w:cs="Verdana"/>
          <w:lang w:eastAsia="en-US"/>
        </w:rPr>
        <w:t xml:space="preserve">The Australian Government’s </w:t>
      </w:r>
      <w:hyperlink r:id="rId30">
        <w:r w:rsidRPr="001D3E93">
          <w:rPr>
            <w:rFonts w:ascii="Verdana" w:eastAsia="Verdana" w:hAnsi="Verdana" w:cs="Verdana"/>
            <w:color w:val="0563C1"/>
            <w:u w:val="single"/>
            <w:lang w:eastAsia="en-US"/>
          </w:rPr>
          <w:t>Grants and Programs Finder</w:t>
        </w:r>
      </w:hyperlink>
      <w:r w:rsidRPr="001D3E93">
        <w:rPr>
          <w:rFonts w:ascii="Verdana" w:eastAsia="Verdana" w:hAnsi="Verdana" w:cs="Verdana"/>
          <w:lang w:eastAsia="en-US"/>
        </w:rPr>
        <w:t xml:space="preserve"> tool helps businesses to search for grants, funding and support programs they may be eligible for. </w:t>
      </w:r>
    </w:p>
    <w:p w14:paraId="612D4638" w14:textId="77777777" w:rsidR="00EC6525" w:rsidRPr="001D3E93" w:rsidRDefault="00EC6525">
      <w:pPr>
        <w:rPr>
          <w:rFonts w:ascii="Verdana" w:eastAsia="Verdana" w:hAnsi="Verdana" w:cs="Verdana"/>
          <w:lang w:eastAsia="en-US"/>
        </w:rPr>
      </w:pPr>
      <w:r w:rsidRPr="001D3E93">
        <w:rPr>
          <w:rFonts w:ascii="Verdana" w:eastAsia="Verdana" w:hAnsi="Verdana" w:cs="Verdana"/>
          <w:lang w:eastAsia="en-US"/>
        </w:rPr>
        <w:br w:type="page"/>
      </w:r>
    </w:p>
    <w:p w14:paraId="793C6728" w14:textId="38E599F9" w:rsidR="00EC6525" w:rsidRPr="001D3E93" w:rsidRDefault="00EC6525" w:rsidP="00EC6525">
      <w:pPr>
        <w:pStyle w:val="Heading1"/>
        <w:rPr>
          <w:b w:val="0"/>
          <w:bCs w:val="0"/>
          <w:lang w:eastAsia="en-US"/>
        </w:rPr>
      </w:pPr>
      <w:bookmarkStart w:id="474" w:name="_Toc124433416"/>
      <w:r w:rsidRPr="001D3E93">
        <w:rPr>
          <w:b w:val="0"/>
          <w:bCs w:val="0"/>
          <w:lang w:eastAsia="en-US"/>
        </w:rPr>
        <w:lastRenderedPageBreak/>
        <w:t>Attachment F – International programs providing export support</w:t>
      </w:r>
      <w:bookmarkEnd w:id="474"/>
    </w:p>
    <w:p w14:paraId="79533A28" w14:textId="77777777" w:rsidR="00EC6525" w:rsidRPr="001D3E93" w:rsidRDefault="00EC6525" w:rsidP="00EC6525">
      <w:pPr>
        <w:rPr>
          <w:rFonts w:ascii="Verdana" w:eastAsia="Verdana" w:hAnsi="Verdana" w:cs="Verdana"/>
          <w:color w:val="2E1A47"/>
          <w:sz w:val="24"/>
          <w:szCs w:val="24"/>
          <w:lang w:eastAsia="en-US"/>
        </w:rPr>
      </w:pPr>
      <w:r w:rsidRPr="001D3E93">
        <w:rPr>
          <w:rFonts w:ascii="Verdana" w:eastAsia="Verdana" w:hAnsi="Verdana" w:cs="Verdana"/>
          <w:color w:val="2E1A47"/>
          <w:sz w:val="24"/>
          <w:szCs w:val="24"/>
          <w:lang w:eastAsia="en-US"/>
        </w:rPr>
        <w:t xml:space="preserve">Other countries provide support for their exporters through programs and initiatives. While none of the below programs are the same as EMDG, each has similar elements and a shared intention of supporting exporters. </w:t>
      </w:r>
    </w:p>
    <w:p w14:paraId="08EB00B4" w14:textId="77777777" w:rsidR="00EC6525" w:rsidRPr="00A3430B" w:rsidRDefault="00EC6525" w:rsidP="00EC6525">
      <w:pPr>
        <w:pStyle w:val="Heading2"/>
        <w:rPr>
          <w:rFonts w:ascii="Verdana" w:eastAsia="Verdana" w:hAnsi="Verdana" w:cs="Verdana"/>
          <w:b w:val="0"/>
          <w:bCs w:val="0"/>
          <w:color w:val="0F4C44" w:themeColor="background2" w:themeShade="80"/>
          <w:lang w:eastAsia="en-US"/>
        </w:rPr>
      </w:pPr>
      <w:bookmarkStart w:id="475" w:name="_Toc124433417"/>
      <w:r w:rsidRPr="00A3430B">
        <w:rPr>
          <w:b w:val="0"/>
          <w:bCs w:val="0"/>
          <w:color w:val="0F4C44" w:themeColor="accent3" w:themeShade="80"/>
          <w:lang w:eastAsia="en-US"/>
        </w:rPr>
        <w:t>Europe (EU) – multiple supports</w:t>
      </w:r>
      <w:bookmarkEnd w:id="475"/>
    </w:p>
    <w:p w14:paraId="3A86A9B8" w14:textId="77777777" w:rsidR="00EC6525" w:rsidRPr="001D3E93" w:rsidRDefault="00EC6525" w:rsidP="00EC6525">
      <w:pPr>
        <w:numPr>
          <w:ilvl w:val="0"/>
          <w:numId w:val="37"/>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 xml:space="preserve">The </w:t>
      </w:r>
      <w:hyperlink r:id="rId31" w:history="1">
        <w:r w:rsidRPr="00A0613F">
          <w:rPr>
            <w:rFonts w:ascii="Verdana" w:eastAsia="Verdana" w:hAnsi="Verdana" w:cs="Verdana"/>
            <w:color w:val="0563C1"/>
            <w:u w:val="single"/>
            <w:lang w:eastAsia="en-US"/>
          </w:rPr>
          <w:t>Overview of EU instruments</w:t>
        </w:r>
      </w:hyperlink>
      <w:r w:rsidRPr="001D3E93">
        <w:rPr>
          <w:rFonts w:ascii="Verdana" w:eastAsia="Verdana" w:hAnsi="Verdana" w:cs="Verdana"/>
          <w:lang w:eastAsia="en-US"/>
        </w:rPr>
        <w:t xml:space="preserve"> contributing to the internationalisation of European business lists supports for EU members. </w:t>
      </w:r>
    </w:p>
    <w:p w14:paraId="5B29D7C0" w14:textId="77777777" w:rsidR="00EC6525" w:rsidRPr="001D3E93" w:rsidRDefault="00EC6525" w:rsidP="00EC6525">
      <w:pPr>
        <w:numPr>
          <w:ilvl w:val="0"/>
          <w:numId w:val="37"/>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 xml:space="preserve">The EU </w:t>
      </w:r>
      <w:hyperlink r:id="rId32" w:history="1">
        <w:r w:rsidRPr="00A0613F">
          <w:rPr>
            <w:rFonts w:ascii="Verdana" w:eastAsia="Verdana" w:hAnsi="Verdana" w:cs="Verdana"/>
            <w:color w:val="0563C1"/>
            <w:u w:val="single"/>
            <w:lang w:eastAsia="en-US"/>
          </w:rPr>
          <w:t>website</w:t>
        </w:r>
      </w:hyperlink>
      <w:r w:rsidRPr="001D3E93">
        <w:rPr>
          <w:rFonts w:ascii="Verdana" w:eastAsia="Verdana" w:hAnsi="Verdana" w:cs="Verdana"/>
          <w:lang w:eastAsia="en-US"/>
        </w:rPr>
        <w:t xml:space="preserve"> has a range of support programs for SMEs and exporters, often based around a geographical area (for example, the EU Japan Centre). Many of these grants seem to be smaller, competitive processes. For example, the EU Japan Centre has a ‘Keys to Japan’ competition. The European Commission-funded initiative provides two EU Member-State companies who are considering marketing a product or service in Japan, a detailed and personalised market entry business plan.</w:t>
      </w:r>
    </w:p>
    <w:p w14:paraId="6F46CDC5" w14:textId="77777777" w:rsidR="00EC6525" w:rsidRPr="00A3430B" w:rsidRDefault="00EC6525" w:rsidP="00EC6525">
      <w:pPr>
        <w:pStyle w:val="Heading2"/>
        <w:rPr>
          <w:rFonts w:ascii="Verdana" w:eastAsia="Verdana" w:hAnsi="Verdana" w:cs="Verdana"/>
          <w:b w:val="0"/>
          <w:bCs w:val="0"/>
          <w:color w:val="0F4C44" w:themeColor="background2" w:themeShade="80"/>
          <w:lang w:eastAsia="en-US"/>
        </w:rPr>
      </w:pPr>
      <w:bookmarkStart w:id="476" w:name="_Toc124433418"/>
      <w:r w:rsidRPr="00A3430B">
        <w:rPr>
          <w:b w:val="0"/>
          <w:bCs w:val="0"/>
          <w:color w:val="0F4C44" w:themeColor="accent3" w:themeShade="80"/>
          <w:lang w:eastAsia="en-US"/>
        </w:rPr>
        <w:t>Canada – CanExport SMEs</w:t>
      </w:r>
      <w:bookmarkEnd w:id="476"/>
    </w:p>
    <w:p w14:paraId="0A50E36C" w14:textId="77777777" w:rsidR="00EC6525" w:rsidRPr="001D3E93" w:rsidRDefault="00EC6525" w:rsidP="00EC6525">
      <w:pPr>
        <w:numPr>
          <w:ilvl w:val="0"/>
          <w:numId w:val="38"/>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 xml:space="preserve">The </w:t>
      </w:r>
      <w:hyperlink r:id="rId33" w:history="1">
        <w:r w:rsidRPr="00A0613F">
          <w:rPr>
            <w:rFonts w:ascii="Verdana" w:eastAsia="Verdana" w:hAnsi="Verdana" w:cs="Verdana"/>
            <w:color w:val="0563C1"/>
            <w:u w:val="single"/>
            <w:lang w:eastAsia="en-US"/>
          </w:rPr>
          <w:t>CanExport SMEs program</w:t>
        </w:r>
      </w:hyperlink>
      <w:r w:rsidRPr="001D3E93">
        <w:rPr>
          <w:rFonts w:ascii="Verdana" w:eastAsia="Verdana" w:hAnsi="Verdana" w:cs="Verdana"/>
          <w:lang w:eastAsia="en-US"/>
        </w:rPr>
        <w:t xml:space="preserve"> launched in 2016 to help small business owners and entrepreneurs break into new international markets. </w:t>
      </w:r>
    </w:p>
    <w:p w14:paraId="5C316C97" w14:textId="77777777" w:rsidR="00EC6525" w:rsidRPr="001D3E93" w:rsidRDefault="00EC6525" w:rsidP="00EC6525">
      <w:pPr>
        <w:numPr>
          <w:ilvl w:val="0"/>
          <w:numId w:val="38"/>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Small and medium sized companies may access up to $50,000 in funding to assist with international market development activities. Up to 50 per cent of costs are funded for export marketing of products and services in international markets where the SME has little or no sales.</w:t>
      </w:r>
    </w:p>
    <w:p w14:paraId="6F1FCC32" w14:textId="77777777" w:rsidR="00EC6525" w:rsidRPr="001D3E93" w:rsidRDefault="00EC6525" w:rsidP="00EC6525">
      <w:pPr>
        <w:numPr>
          <w:ilvl w:val="0"/>
          <w:numId w:val="38"/>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 xml:space="preserve">The program works more on a ‘project’ basis – each company can only have one active project at any given time. </w:t>
      </w:r>
    </w:p>
    <w:p w14:paraId="31E99738" w14:textId="77777777" w:rsidR="00EC6525" w:rsidRPr="001D3E93" w:rsidRDefault="00EC6525" w:rsidP="00EC6525">
      <w:pPr>
        <w:numPr>
          <w:ilvl w:val="0"/>
          <w:numId w:val="38"/>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 xml:space="preserve">A key point of difference is that applicants must have $100,000+ revenue over the last 12-month period (which also requires businesses to be at least 12 months old). </w:t>
      </w:r>
    </w:p>
    <w:p w14:paraId="695B1F53" w14:textId="77777777" w:rsidR="00EC6525" w:rsidRPr="00A3430B" w:rsidRDefault="00EC6525" w:rsidP="00EC6525">
      <w:pPr>
        <w:pStyle w:val="Heading2"/>
        <w:rPr>
          <w:rFonts w:ascii="Verdana" w:eastAsia="Verdana" w:hAnsi="Verdana" w:cs="Verdana"/>
          <w:b w:val="0"/>
          <w:bCs w:val="0"/>
          <w:color w:val="0F4C44" w:themeColor="background2" w:themeShade="80"/>
          <w:lang w:eastAsia="en-US"/>
        </w:rPr>
      </w:pPr>
      <w:bookmarkStart w:id="477" w:name="_Toc124433419"/>
      <w:r w:rsidRPr="00A3430B">
        <w:rPr>
          <w:b w:val="0"/>
          <w:bCs w:val="0"/>
          <w:color w:val="0F4C44" w:themeColor="accent3" w:themeShade="80"/>
          <w:lang w:eastAsia="en-US"/>
        </w:rPr>
        <w:t>Hong Kong – SME Export Marketing Fund (EMF)</w:t>
      </w:r>
      <w:bookmarkEnd w:id="477"/>
    </w:p>
    <w:p w14:paraId="67CDA724" w14:textId="77777777" w:rsidR="00EC6525" w:rsidRPr="001D3E93" w:rsidRDefault="00EC6525" w:rsidP="00EC6525">
      <w:pPr>
        <w:numPr>
          <w:ilvl w:val="0"/>
          <w:numId w:val="39"/>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 xml:space="preserve">The </w:t>
      </w:r>
      <w:hyperlink r:id="rId34" w:history="1">
        <w:r w:rsidRPr="00A0613F">
          <w:rPr>
            <w:rFonts w:ascii="Verdana" w:eastAsia="Verdana" w:hAnsi="Verdana" w:cs="Verdana"/>
            <w:color w:val="0563C1"/>
            <w:u w:val="single"/>
            <w:lang w:eastAsia="en-US"/>
          </w:rPr>
          <w:t>SME Export Marketing Fund (EMF)</w:t>
        </w:r>
      </w:hyperlink>
      <w:r w:rsidRPr="001D3E93">
        <w:rPr>
          <w:rFonts w:ascii="Verdana" w:eastAsia="Verdana" w:hAnsi="Verdana" w:cs="Verdana"/>
          <w:lang w:eastAsia="en-US"/>
        </w:rPr>
        <w:t xml:space="preserve"> aims to encourage SMEs to expand their markets outside Hong Kong by providing financial assistance to SMEs for participation in export promotion activities. </w:t>
      </w:r>
    </w:p>
    <w:p w14:paraId="5791F0CF" w14:textId="77777777" w:rsidR="00EC6525" w:rsidRPr="001D3E93" w:rsidRDefault="00EC6525" w:rsidP="00EC6525">
      <w:pPr>
        <w:numPr>
          <w:ilvl w:val="0"/>
          <w:numId w:val="39"/>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More targeted to trade shows and exhibitions than other forms of marketing.</w:t>
      </w:r>
    </w:p>
    <w:p w14:paraId="14D02226" w14:textId="77777777" w:rsidR="00EC6525" w:rsidRPr="00A3430B" w:rsidRDefault="00EC6525" w:rsidP="00EC6525">
      <w:pPr>
        <w:pStyle w:val="Heading2"/>
        <w:rPr>
          <w:b w:val="0"/>
          <w:bCs w:val="0"/>
          <w:color w:val="0F4C44" w:themeColor="background2" w:themeShade="80"/>
          <w:lang w:eastAsia="en-US"/>
        </w:rPr>
      </w:pPr>
      <w:bookmarkStart w:id="478" w:name="_Toc124433420"/>
      <w:r w:rsidRPr="00A3430B">
        <w:rPr>
          <w:b w:val="0"/>
          <w:bCs w:val="0"/>
          <w:color w:val="0F4C44" w:themeColor="accent3" w:themeShade="80"/>
          <w:lang w:eastAsia="en-US"/>
        </w:rPr>
        <w:t>Singapore – Market Readiness Assistance</w:t>
      </w:r>
      <w:bookmarkEnd w:id="478"/>
    </w:p>
    <w:p w14:paraId="0FBAC354" w14:textId="77777777" w:rsidR="00EC6525" w:rsidRPr="001D3E93" w:rsidRDefault="00EC6525" w:rsidP="00EC6525">
      <w:pPr>
        <w:numPr>
          <w:ilvl w:val="0"/>
          <w:numId w:val="40"/>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This grant provides SMEs with financial assistance when expanding their products and services to overseas markets.</w:t>
      </w:r>
    </w:p>
    <w:p w14:paraId="0AE437D9" w14:textId="77777777" w:rsidR="00EC6525" w:rsidRPr="001D3E93" w:rsidRDefault="00EC6525" w:rsidP="00EC6525">
      <w:pPr>
        <w:numPr>
          <w:ilvl w:val="0"/>
          <w:numId w:val="40"/>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Up to 70 per cent funding on eligible costs.</w:t>
      </w:r>
    </w:p>
    <w:p w14:paraId="703F3A80" w14:textId="77777777" w:rsidR="00EC6525" w:rsidRPr="001D3E93" w:rsidRDefault="00EC6525" w:rsidP="00EC6525">
      <w:pPr>
        <w:numPr>
          <w:ilvl w:val="0"/>
          <w:numId w:val="40"/>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From 1 April 2020, the grant cap will be increased to S$100,000 per new market over three years till 31 March 2023.</w:t>
      </w:r>
    </w:p>
    <w:p w14:paraId="44B422F5" w14:textId="77777777" w:rsidR="00EC6525" w:rsidRPr="00A3430B" w:rsidRDefault="00EC6525" w:rsidP="00EC6525">
      <w:pPr>
        <w:pStyle w:val="Heading2"/>
        <w:rPr>
          <w:rFonts w:ascii="Verdana" w:eastAsia="Verdana" w:hAnsi="Verdana" w:cs="Verdana"/>
          <w:b w:val="0"/>
          <w:bCs w:val="0"/>
          <w:color w:val="0F4C44" w:themeColor="background2" w:themeShade="80"/>
          <w:lang w:eastAsia="en-US"/>
        </w:rPr>
      </w:pPr>
      <w:bookmarkStart w:id="479" w:name="_Toc124433421"/>
      <w:r w:rsidRPr="00A3430B">
        <w:rPr>
          <w:b w:val="0"/>
          <w:bCs w:val="0"/>
          <w:color w:val="0F4C44" w:themeColor="accent3" w:themeShade="80"/>
          <w:lang w:eastAsia="en-US"/>
        </w:rPr>
        <w:lastRenderedPageBreak/>
        <w:t>United States - State Trade Expansion Program (STEP)</w:t>
      </w:r>
      <w:bookmarkEnd w:id="479"/>
    </w:p>
    <w:p w14:paraId="4DADDE8E" w14:textId="77777777" w:rsidR="00EC6525" w:rsidRPr="001D3E93" w:rsidRDefault="00EC6525" w:rsidP="00EC6525">
      <w:pPr>
        <w:numPr>
          <w:ilvl w:val="0"/>
          <w:numId w:val="41"/>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 xml:space="preserve">The </w:t>
      </w:r>
      <w:hyperlink r:id="rId35" w:history="1">
        <w:r w:rsidRPr="00A0613F">
          <w:rPr>
            <w:rFonts w:ascii="Verdana" w:eastAsia="Verdana" w:hAnsi="Verdana" w:cs="Verdana"/>
            <w:color w:val="0563C1"/>
            <w:u w:val="single"/>
            <w:lang w:eastAsia="en-US"/>
          </w:rPr>
          <w:t>STEP grant program</w:t>
        </w:r>
      </w:hyperlink>
      <w:r w:rsidRPr="001D3E93">
        <w:rPr>
          <w:rFonts w:ascii="Verdana" w:eastAsia="Verdana" w:hAnsi="Verdana" w:cs="Verdana"/>
          <w:lang w:eastAsia="en-US"/>
        </w:rPr>
        <w:t xml:space="preserve"> has helped thousands of small businesses obtain grants and find customers in the international marketplace since 2011. Through awards to U.S. states and territories, STEP helps small businesses overcome obstacles to exporting by providing grants to cover costs associated with entering and expanding into international markets.</w:t>
      </w:r>
    </w:p>
    <w:p w14:paraId="223FC75A" w14:textId="77777777" w:rsidR="00EC6525" w:rsidRPr="001D3E93" w:rsidRDefault="00EC6525" w:rsidP="00EC6525">
      <w:pPr>
        <w:numPr>
          <w:ilvl w:val="0"/>
          <w:numId w:val="41"/>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 xml:space="preserve">For example, New York state has a </w:t>
      </w:r>
      <w:hyperlink r:id="rId36" w:history="1">
        <w:r w:rsidRPr="00A0613F">
          <w:rPr>
            <w:rFonts w:ascii="Verdana" w:eastAsia="Verdana" w:hAnsi="Verdana" w:cs="Verdana"/>
            <w:color w:val="0563C1"/>
            <w:u w:val="single"/>
            <w:lang w:eastAsia="en-US"/>
          </w:rPr>
          <w:t>similar grants program</w:t>
        </w:r>
      </w:hyperlink>
      <w:r w:rsidRPr="001D3E93">
        <w:rPr>
          <w:rFonts w:ascii="Verdana" w:eastAsia="Verdana" w:hAnsi="Verdana" w:cs="Verdana"/>
          <w:lang w:eastAsia="en-US"/>
        </w:rPr>
        <w:t xml:space="preserve"> (noting that most of the programs are more aligned to trade shows than other forms of marketing).   </w:t>
      </w:r>
    </w:p>
    <w:p w14:paraId="03CF9267" w14:textId="77777777" w:rsidR="00EC6525" w:rsidRPr="00A3430B" w:rsidRDefault="00EC6525" w:rsidP="00EC6525">
      <w:pPr>
        <w:pStyle w:val="Heading2"/>
        <w:rPr>
          <w:b w:val="0"/>
          <w:bCs w:val="0"/>
          <w:color w:val="0F4C44" w:themeColor="background2" w:themeShade="80"/>
          <w:lang w:eastAsia="en-US"/>
        </w:rPr>
      </w:pPr>
      <w:bookmarkStart w:id="480" w:name="_Toc124433422"/>
      <w:r w:rsidRPr="00A3430B">
        <w:rPr>
          <w:b w:val="0"/>
          <w:bCs w:val="0"/>
          <w:color w:val="0F4C44" w:themeColor="accent3" w:themeShade="80"/>
          <w:lang w:eastAsia="en-US"/>
        </w:rPr>
        <w:t>Germany – Mittelstand Global</w:t>
      </w:r>
      <w:bookmarkEnd w:id="480"/>
    </w:p>
    <w:p w14:paraId="4D303091" w14:textId="77777777" w:rsidR="00EC6525" w:rsidRPr="001D3E93" w:rsidRDefault="00DA2292" w:rsidP="00EC6525">
      <w:pPr>
        <w:numPr>
          <w:ilvl w:val="0"/>
          <w:numId w:val="45"/>
        </w:numPr>
        <w:spacing w:after="160" w:line="257" w:lineRule="auto"/>
        <w:ind w:left="357" w:hanging="357"/>
        <w:rPr>
          <w:rFonts w:ascii="Verdana" w:eastAsia="Verdana" w:hAnsi="Verdana" w:cs="Verdana"/>
          <w:lang w:eastAsia="en-US"/>
        </w:rPr>
      </w:pPr>
      <w:hyperlink r:id="rId37">
        <w:r w:rsidR="00EC6525" w:rsidRPr="001D3E93">
          <w:rPr>
            <w:rFonts w:ascii="Verdana" w:eastAsia="Verdana" w:hAnsi="Verdana" w:cs="Verdana"/>
            <w:color w:val="0563C1"/>
            <w:u w:val="single"/>
            <w:lang w:eastAsia="en-US"/>
          </w:rPr>
          <w:t>Mittelstand Global</w:t>
        </w:r>
      </w:hyperlink>
      <w:r w:rsidR="00EC6525" w:rsidRPr="001D3E93">
        <w:rPr>
          <w:rFonts w:ascii="Verdana" w:eastAsia="Verdana" w:hAnsi="Verdana" w:cs="Verdana"/>
          <w:lang w:eastAsia="en-US"/>
        </w:rPr>
        <w:t xml:space="preserve"> is the over-arching initiative and includes broader support for exporters. As part of this initiative, the market entry program supports events and projects organised for SMEs and aims to provide support for companies entering or positioning themselves in new foreign markets. </w:t>
      </w:r>
    </w:p>
    <w:p w14:paraId="4CC3F887" w14:textId="77777777" w:rsidR="00EC6525" w:rsidRPr="00A3430B" w:rsidRDefault="00EC6525" w:rsidP="00EC6525">
      <w:pPr>
        <w:pStyle w:val="Heading2"/>
        <w:rPr>
          <w:b w:val="0"/>
          <w:bCs w:val="0"/>
          <w:color w:val="0F4C44" w:themeColor="background2" w:themeShade="80"/>
        </w:rPr>
      </w:pPr>
      <w:bookmarkStart w:id="481" w:name="_Toc124433423"/>
      <w:r w:rsidRPr="00A3430B">
        <w:rPr>
          <w:rStyle w:val="Heading3Char"/>
          <w:caps w:val="0"/>
          <w:color w:val="0F4C44" w:themeColor="accent3" w:themeShade="80"/>
        </w:rPr>
        <w:t>United Kingdom – Tradeshow Access Program</w:t>
      </w:r>
      <w:r w:rsidRPr="00A3430B">
        <w:rPr>
          <w:b w:val="0"/>
          <w:bCs w:val="0"/>
          <w:color w:val="0F4C44" w:themeColor="accent3" w:themeShade="80"/>
        </w:rPr>
        <w:t xml:space="preserve"> (ended in July 2021)</w:t>
      </w:r>
      <w:bookmarkEnd w:id="481"/>
    </w:p>
    <w:p w14:paraId="15222252" w14:textId="77777777" w:rsidR="00EC6525" w:rsidRPr="001D3E93" w:rsidRDefault="00EC6525" w:rsidP="00EC6525">
      <w:pPr>
        <w:numPr>
          <w:ilvl w:val="0"/>
          <w:numId w:val="41"/>
        </w:numPr>
        <w:spacing w:after="160" w:line="259" w:lineRule="auto"/>
        <w:contextualSpacing/>
        <w:rPr>
          <w:rFonts w:ascii="Verdana" w:eastAsia="Verdana" w:hAnsi="Verdana" w:cs="Verdana"/>
          <w:lang w:eastAsia="en-US"/>
        </w:rPr>
      </w:pPr>
      <w:r w:rsidRPr="00A0613F">
        <w:rPr>
          <w:rFonts w:ascii="Verdana" w:eastAsia="Verdana" w:hAnsi="Verdana" w:cs="Verdana"/>
          <w:lang w:eastAsia="en-US"/>
        </w:rPr>
        <w:t xml:space="preserve">The UK’s former </w:t>
      </w:r>
      <w:hyperlink r:id="rId38" w:history="1">
        <w:r w:rsidRPr="00A0613F">
          <w:rPr>
            <w:rFonts w:ascii="Calibri" w:eastAsia="Calibri" w:hAnsi="Calibri" w:cs="Arial"/>
            <w:sz w:val="22"/>
            <w:szCs w:val="22"/>
            <w:lang w:val="en-US" w:eastAsia="en-US"/>
          </w:rPr>
          <w:t>Tradeshow Access Program</w:t>
        </w:r>
      </w:hyperlink>
      <w:r w:rsidRPr="00A0613F">
        <w:rPr>
          <w:rFonts w:ascii="Verdana" w:eastAsia="Verdana" w:hAnsi="Verdana" w:cs="Verdana"/>
          <w:lang w:eastAsia="en-US"/>
        </w:rPr>
        <w:t xml:space="preserve"> supported new exporters to exhibit at international tradeshows. </w:t>
      </w:r>
      <w:r w:rsidRPr="001D3E93">
        <w:rPr>
          <w:rFonts w:ascii="Verdana" w:eastAsia="Verdana" w:hAnsi="Verdana" w:cs="Verdana"/>
          <w:lang w:eastAsia="en-US"/>
        </w:rPr>
        <w:t>The program was cancelled in July 2021.</w:t>
      </w:r>
    </w:p>
    <w:p w14:paraId="598B5E02" w14:textId="77777777" w:rsidR="00EC6525" w:rsidRPr="00A3430B" w:rsidRDefault="00EC6525" w:rsidP="00EC6525">
      <w:pPr>
        <w:pStyle w:val="Heading2"/>
        <w:rPr>
          <w:rFonts w:ascii="Verdana" w:eastAsia="Verdana" w:hAnsi="Verdana" w:cs="Verdana"/>
          <w:b w:val="0"/>
          <w:bCs w:val="0"/>
          <w:color w:val="0F4C44" w:themeColor="background2" w:themeShade="80"/>
          <w:lang w:eastAsia="en-US"/>
        </w:rPr>
      </w:pPr>
      <w:bookmarkStart w:id="482" w:name="_Toc124433424"/>
      <w:r w:rsidRPr="00A3430B">
        <w:rPr>
          <w:b w:val="0"/>
          <w:bCs w:val="0"/>
          <w:color w:val="0F4C44" w:themeColor="accent3" w:themeShade="80"/>
          <w:lang w:eastAsia="en-US"/>
        </w:rPr>
        <w:t>England – Internationalisa</w:t>
      </w:r>
      <w:r w:rsidRPr="00A3430B">
        <w:rPr>
          <w:rFonts w:ascii="Verdana" w:eastAsia="Verdana" w:hAnsi="Verdana" w:cs="Verdana"/>
          <w:b w:val="0"/>
          <w:bCs w:val="0"/>
          <w:color w:val="0F4C44" w:themeColor="accent3" w:themeShade="80"/>
          <w:lang w:eastAsia="en-US"/>
        </w:rPr>
        <w:t>tion Fund</w:t>
      </w:r>
      <w:bookmarkEnd w:id="482"/>
      <w:r w:rsidRPr="00A3430B">
        <w:rPr>
          <w:rFonts w:ascii="Verdana" w:eastAsia="Verdana" w:hAnsi="Verdana" w:cs="Verdana"/>
          <w:b w:val="0"/>
          <w:bCs w:val="0"/>
          <w:color w:val="0F4C44" w:themeColor="accent3" w:themeShade="80"/>
          <w:lang w:eastAsia="en-US"/>
        </w:rPr>
        <w:t xml:space="preserve"> </w:t>
      </w:r>
    </w:p>
    <w:p w14:paraId="52A251BC" w14:textId="77777777" w:rsidR="00EC6525" w:rsidRPr="001D3E93" w:rsidRDefault="00DA2292" w:rsidP="00EC6525">
      <w:pPr>
        <w:numPr>
          <w:ilvl w:val="0"/>
          <w:numId w:val="41"/>
        </w:numPr>
        <w:spacing w:after="160" w:line="259" w:lineRule="auto"/>
        <w:contextualSpacing/>
        <w:rPr>
          <w:rFonts w:ascii="Verdana" w:eastAsia="Verdana" w:hAnsi="Verdana" w:cs="Verdana"/>
          <w:lang w:eastAsia="en-US"/>
        </w:rPr>
      </w:pPr>
      <w:hyperlink r:id="rId39">
        <w:r w:rsidR="00EC6525" w:rsidRPr="001D3E93">
          <w:rPr>
            <w:rFonts w:ascii="Verdana" w:eastAsia="Calibri" w:hAnsi="Verdana" w:cs="Arial"/>
            <w:lang w:val="en-US" w:eastAsia="en-US"/>
          </w:rPr>
          <w:t>Grants</w:t>
        </w:r>
      </w:hyperlink>
      <w:r w:rsidR="00EC6525" w:rsidRPr="001D3E93">
        <w:rPr>
          <w:rFonts w:ascii="Verdana" w:eastAsia="Verdana" w:hAnsi="Verdana" w:cs="Verdana"/>
          <w:sz w:val="18"/>
          <w:szCs w:val="18"/>
          <w:lang w:eastAsia="en-US"/>
        </w:rPr>
        <w:t xml:space="preserve"> </w:t>
      </w:r>
      <w:r w:rsidR="00EC6525" w:rsidRPr="001D3E93">
        <w:rPr>
          <w:rFonts w:ascii="Verdana" w:eastAsia="Verdana" w:hAnsi="Verdana" w:cs="Verdana"/>
          <w:lang w:eastAsia="en-US"/>
        </w:rPr>
        <w:t>are between £1,000 and £9,000 and need to be for costs partially funded by the applicant. The contribution from applicants varies according to where the business is based but is either 40 or 50 per cent of the total cost.</w:t>
      </w:r>
    </w:p>
    <w:p w14:paraId="38267F6D" w14:textId="77777777" w:rsidR="00EC6525" w:rsidRPr="001D3E93" w:rsidRDefault="00EC6525" w:rsidP="00EC6525">
      <w:pPr>
        <w:numPr>
          <w:ilvl w:val="0"/>
          <w:numId w:val="41"/>
        </w:numPr>
        <w:spacing w:after="160" w:line="259" w:lineRule="auto"/>
        <w:contextualSpacing/>
        <w:rPr>
          <w:rFonts w:ascii="Verdana" w:eastAsia="Verdana" w:hAnsi="Verdana" w:cs="Verdana"/>
          <w:lang w:eastAsia="en-US"/>
        </w:rPr>
      </w:pPr>
      <w:r w:rsidRPr="001D3E93">
        <w:rPr>
          <w:rFonts w:ascii="Verdana" w:eastAsia="Verdana" w:hAnsi="Verdana" w:cs="Verdana"/>
          <w:lang w:eastAsia="en-US"/>
        </w:rPr>
        <w:t>Eligible activities include market research, IP advice, international social media, market visits and trade fairs.</w:t>
      </w:r>
    </w:p>
    <w:p w14:paraId="37F3422E" w14:textId="77777777" w:rsidR="00EC6525" w:rsidRPr="001D3E93" w:rsidRDefault="00EC6525" w:rsidP="00EC6525"/>
    <w:p w14:paraId="5B50C3B7" w14:textId="77777777" w:rsidR="00EC6525" w:rsidRPr="00A3430B" w:rsidRDefault="00EC6525" w:rsidP="00EC6525">
      <w:pPr>
        <w:rPr>
          <w:lang w:eastAsia="en-US"/>
        </w:rPr>
      </w:pPr>
    </w:p>
    <w:p w14:paraId="14E16BA0" w14:textId="77777777" w:rsidR="00EC6525" w:rsidRPr="001D3E93" w:rsidRDefault="00EC6525" w:rsidP="00EC6525"/>
    <w:p w14:paraId="518329C6" w14:textId="77777777" w:rsidR="00A0613F" w:rsidRPr="001D3E93" w:rsidRDefault="00A0613F" w:rsidP="00A0613F">
      <w:pPr>
        <w:rPr>
          <w:rFonts w:ascii="Verdana" w:eastAsia="SimSun" w:hAnsi="Verdana" w:cs="Times New Roman"/>
        </w:rPr>
      </w:pPr>
    </w:p>
    <w:p w14:paraId="6AE2CAAA" w14:textId="77777777" w:rsidR="001E6C5B" w:rsidRPr="001D3E93" w:rsidRDefault="001E6C5B" w:rsidP="001E6C5B"/>
    <w:sectPr w:rsidR="001E6C5B" w:rsidRPr="001D3E93" w:rsidSect="00825291">
      <w:headerReference w:type="default" r:id="rId40"/>
      <w:footerReference w:type="default" r:id="rId41"/>
      <w:headerReference w:type="first" r:id="rId42"/>
      <w:footerReference w:type="first" r:id="rId43"/>
      <w:pgSz w:w="11906" w:h="16838" w:code="9"/>
      <w:pgMar w:top="1021" w:right="1134" w:bottom="1474" w:left="1134" w:header="45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2B0C" w14:textId="77777777" w:rsidR="0067337A" w:rsidRDefault="0067337A" w:rsidP="00D52B20">
      <w:pPr>
        <w:spacing w:after="0" w:line="240" w:lineRule="auto"/>
      </w:pPr>
      <w:r>
        <w:separator/>
      </w:r>
    </w:p>
  </w:endnote>
  <w:endnote w:type="continuationSeparator" w:id="0">
    <w:p w14:paraId="7EE9BE25" w14:textId="77777777" w:rsidR="0067337A" w:rsidRDefault="0067337A" w:rsidP="00D52B20">
      <w:pPr>
        <w:spacing w:after="0" w:line="240" w:lineRule="auto"/>
      </w:pPr>
      <w:r>
        <w:continuationSeparator/>
      </w:r>
    </w:p>
  </w:endnote>
  <w:endnote w:type="continuationNotice" w:id="1">
    <w:p w14:paraId="27425BDE" w14:textId="77777777" w:rsidR="0067337A" w:rsidRDefault="00673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0DBC" w14:textId="77777777" w:rsidR="00652006" w:rsidRDefault="00652006" w:rsidP="006B3279">
    <w:pPr>
      <w:pStyle w:val="Footer"/>
    </w:pPr>
  </w:p>
  <w:p w14:paraId="6145E0B5" w14:textId="2E740EC1" w:rsidR="00ED2CD8" w:rsidRDefault="00C17430" w:rsidP="006B3279">
    <w:pPr>
      <w:pStyle w:val="Footer"/>
    </w:pPr>
    <w:r>
      <w:t>EMDG Operational Review</w:t>
    </w:r>
    <w:r w:rsidR="00E22946">
      <w:t xml:space="preserve"> 2023</w:t>
    </w:r>
  </w:p>
  <w:p w14:paraId="1B16CF0C" w14:textId="77777777" w:rsidR="00652006" w:rsidRDefault="00652006" w:rsidP="006B3279">
    <w:pPr>
      <w:pStyle w:val="Footer"/>
    </w:pPr>
  </w:p>
  <w:p w14:paraId="236869A8" w14:textId="4D783AC8" w:rsidR="006B3279" w:rsidRPr="006B3279" w:rsidRDefault="006B3279" w:rsidP="006B3279">
    <w:pPr>
      <w:pStyle w:val="Footer"/>
    </w:pPr>
    <w:r>
      <w:tab/>
    </w:r>
    <w:r>
      <w:ptab w:relativeTo="margin" w:alignment="right" w:leader="none"/>
    </w:r>
    <w:r w:rsidRPr="006B3279">
      <w:fldChar w:fldCharType="begin"/>
    </w:r>
    <w:r w:rsidRPr="006B3279">
      <w:instrText xml:space="preserve"> PAGE   \* MERGEFORMAT </w:instrText>
    </w:r>
    <w:r w:rsidRPr="006B3279">
      <w:fldChar w:fldCharType="separate"/>
    </w:r>
    <w:r w:rsidR="002743BA">
      <w:rPr>
        <w:noProof/>
      </w:rPr>
      <w:t>2</w:t>
    </w:r>
    <w:r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ACB" w14:textId="77777777" w:rsidR="00380C46" w:rsidRDefault="00380C46" w:rsidP="00380C46">
    <w:pPr>
      <w:pStyle w:val="Footer"/>
    </w:pPr>
  </w:p>
  <w:p w14:paraId="08962543" w14:textId="1C9971A2" w:rsidR="006C74AF" w:rsidRDefault="00380C46">
    <w:pPr>
      <w:pStyle w:val="Footer"/>
    </w:pPr>
    <w:r>
      <w:t>EMDG Operational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1CB8" w14:textId="77777777" w:rsidR="0067337A" w:rsidRDefault="0067337A" w:rsidP="00D52B20">
      <w:pPr>
        <w:spacing w:after="0" w:line="240" w:lineRule="auto"/>
      </w:pPr>
    </w:p>
  </w:footnote>
  <w:footnote w:type="continuationSeparator" w:id="0">
    <w:p w14:paraId="6E1102D8" w14:textId="77777777" w:rsidR="0067337A" w:rsidRDefault="0067337A" w:rsidP="00D52B20">
      <w:pPr>
        <w:spacing w:after="0" w:line="240" w:lineRule="auto"/>
      </w:pPr>
      <w:r>
        <w:continuationSeparator/>
      </w:r>
    </w:p>
  </w:footnote>
  <w:footnote w:type="continuationNotice" w:id="1">
    <w:p w14:paraId="2C271A41" w14:textId="77777777" w:rsidR="0067337A" w:rsidRDefault="0067337A">
      <w:pPr>
        <w:spacing w:after="0" w:line="240" w:lineRule="auto"/>
      </w:pPr>
    </w:p>
  </w:footnote>
  <w:footnote w:id="2">
    <w:p w14:paraId="70E3FFE8" w14:textId="77777777" w:rsidR="00A0613F" w:rsidRPr="005A7269" w:rsidRDefault="00A0613F" w:rsidP="00A0613F">
      <w:pPr>
        <w:pStyle w:val="FootnoteText"/>
      </w:pPr>
      <w:r>
        <w:rPr>
          <w:rStyle w:val="FootnoteReference"/>
        </w:rPr>
        <w:footnoteRef/>
      </w:r>
      <w:r>
        <w:t xml:space="preserve"> Export Market Development Grants Legislation Amendment Bill 2020; Export Market Development Grants Act 1997</w:t>
      </w:r>
    </w:p>
  </w:footnote>
  <w:footnote w:id="3">
    <w:p w14:paraId="75DD4CCE" w14:textId="77777777" w:rsidR="00A0613F" w:rsidRPr="00C14B92" w:rsidRDefault="00A0613F" w:rsidP="00A0613F">
      <w:pPr>
        <w:spacing w:after="0" w:line="240" w:lineRule="auto"/>
        <w:rPr>
          <w:rFonts w:eastAsia="Verdana" w:cs="Calibri"/>
          <w:i/>
          <w:color w:val="000000"/>
          <w:sz w:val="16"/>
          <w:szCs w:val="16"/>
        </w:rPr>
      </w:pPr>
      <w:r>
        <w:rPr>
          <w:rStyle w:val="FootnoteReference"/>
        </w:rPr>
        <w:footnoteRef/>
      </w:r>
      <w:r>
        <w:t xml:space="preserve"> </w:t>
      </w:r>
      <w:r w:rsidRPr="00C14B92">
        <w:rPr>
          <w:rStyle w:val="normaltextrun"/>
          <w:rFonts w:eastAsia="Verdana" w:cs="Calibri"/>
          <w:i/>
          <w:color w:val="000000"/>
          <w:sz w:val="16"/>
          <w:szCs w:val="16"/>
        </w:rPr>
        <w:t>Noting that these processing timelines were delivered while Austrade was concurrently processing the application caseload under the old EMDG 1.0 scheme</w:t>
      </w:r>
    </w:p>
  </w:footnote>
  <w:footnote w:id="4">
    <w:p w14:paraId="481BD446" w14:textId="77777777" w:rsidR="00C14B92" w:rsidRPr="003C39DC" w:rsidRDefault="00C14B92" w:rsidP="00C14B92">
      <w:pPr>
        <w:pStyle w:val="FootnoteText"/>
        <w:rPr>
          <w:i/>
          <w:iCs/>
        </w:rPr>
      </w:pPr>
      <w:r w:rsidRPr="00C14B92">
        <w:rPr>
          <w:rStyle w:val="FootnoteReference"/>
          <w:szCs w:val="16"/>
        </w:rPr>
        <w:footnoteRef/>
      </w:r>
      <w:r w:rsidRPr="00C14B92">
        <w:rPr>
          <w:szCs w:val="16"/>
        </w:rPr>
        <w:t xml:space="preserve"> </w:t>
      </w:r>
      <w:r w:rsidRPr="00C14B92">
        <w:rPr>
          <w:i/>
          <w:iCs/>
          <w:szCs w:val="16"/>
        </w:rPr>
        <w:t>Note that following</w:t>
      </w:r>
      <w:r w:rsidRPr="00C14B92">
        <w:rPr>
          <w:i/>
          <w:szCs w:val="16"/>
        </w:rPr>
        <w:t xml:space="preserve"> Round 1 Austrade took steps to expand and improve</w:t>
      </w:r>
      <w:r w:rsidRPr="003C39DC">
        <w:rPr>
          <w:i/>
        </w:rPr>
        <w:t xml:space="preserve"> communications ahead of Round 2</w:t>
      </w:r>
      <w:r>
        <w:rPr>
          <w:i/>
        </w:rPr>
        <w:t xml:space="preserve"> to ensure applicants were clear on grant program eligibility and lessen misplaced expectations of grant amounts </w:t>
      </w:r>
    </w:p>
    <w:p w14:paraId="6EAB5EF0" w14:textId="77777777" w:rsidR="00C14B92" w:rsidRPr="003C39DC" w:rsidRDefault="00C14B92" w:rsidP="00C14B92">
      <w:pPr>
        <w:pStyle w:val="FootnoteText"/>
      </w:pPr>
    </w:p>
  </w:footnote>
  <w:footnote w:id="5">
    <w:p w14:paraId="0FB6E29A" w14:textId="0E4476C1" w:rsidR="00A0613F" w:rsidRPr="00BA6BEF" w:rsidRDefault="00A0613F" w:rsidP="00A0613F">
      <w:pPr>
        <w:pStyle w:val="FootnoteText"/>
      </w:pPr>
      <w:r>
        <w:rPr>
          <w:rStyle w:val="FootnoteReference"/>
        </w:rPr>
        <w:footnoteRef/>
      </w:r>
      <w:r>
        <w:t xml:space="preserve"> </w:t>
      </w:r>
      <w:hyperlink r:id="rId1" w:history="1">
        <w:r w:rsidRPr="00CE75B5">
          <w:rPr>
            <w:rStyle w:val="Hyperlink1"/>
            <w:rFonts w:ascii="Verdana" w:hAnsi="Verdana"/>
            <w:color w:val="auto"/>
          </w:rPr>
          <w:t>www.</w:t>
        </w:r>
      </w:hyperlink>
      <w:r w:rsidRPr="00CE75B5">
        <w:rPr>
          <w:rFonts w:ascii="Verdana" w:hAnsi="Verdana"/>
          <w:u w:val="single"/>
        </w:rPr>
        <w:t>a</w:t>
      </w:r>
      <w:r w:rsidRPr="00B86D85">
        <w:rPr>
          <w:rFonts w:ascii="Verdana" w:hAnsi="Verdana"/>
          <w:u w:val="single"/>
        </w:rPr>
        <w:t>ustrade.gov.au/australian/export/export-market-development-grants/research-and-reporting</w:t>
      </w:r>
    </w:p>
  </w:footnote>
  <w:footnote w:id="6">
    <w:p w14:paraId="6BE8404C" w14:textId="6151140A" w:rsidR="000473A6" w:rsidRPr="00CA2406" w:rsidRDefault="000473A6" w:rsidP="00CA2406">
      <w:pPr>
        <w:pStyle w:val="FootnoteText"/>
        <w:rPr>
          <w:i/>
          <w:iCs/>
          <w:szCs w:val="16"/>
        </w:rPr>
      </w:pPr>
      <w:r w:rsidRPr="0050376F">
        <w:rPr>
          <w:rStyle w:val="FootnoteReference"/>
          <w:i/>
          <w:iCs/>
          <w:sz w:val="18"/>
          <w:szCs w:val="18"/>
        </w:rPr>
        <w:footnoteRef/>
      </w:r>
      <w:r w:rsidRPr="0050376F">
        <w:rPr>
          <w:i/>
          <w:iCs/>
          <w:sz w:val="18"/>
          <w:szCs w:val="18"/>
        </w:rPr>
        <w:t xml:space="preserve"> </w:t>
      </w:r>
      <w:r w:rsidRPr="00063B99">
        <w:rPr>
          <w:i/>
          <w:iCs/>
          <w:szCs w:val="16"/>
          <w:u w:val="single"/>
        </w:rPr>
        <w:t>Austrade note on risk of fraud:</w:t>
      </w:r>
      <w:r w:rsidRPr="00063B99">
        <w:rPr>
          <w:i/>
          <w:iCs/>
          <w:szCs w:val="16"/>
        </w:rPr>
        <w:t xml:space="preserve"> The EMDG grant process is designed to be simple for self-lodgement. Austrade trains grants officers to effectively assess applications. Fraud risk management is in accordance with best practice under the Commonwealth Grants Rules and Guidelines. </w:t>
      </w:r>
    </w:p>
  </w:footnote>
  <w:footnote w:id="7">
    <w:p w14:paraId="4C1EC6A5" w14:textId="078F78ED" w:rsidR="00A0613F" w:rsidRDefault="00A0613F" w:rsidP="00A0613F">
      <w:pPr>
        <w:pStyle w:val="FootnoteText"/>
      </w:pPr>
      <w:r>
        <w:rPr>
          <w:rStyle w:val="FootnoteReference"/>
        </w:rPr>
        <w:footnoteRef/>
      </w:r>
      <w:r>
        <w:t xml:space="preserve"> Refers to </w:t>
      </w:r>
      <w:r w:rsidR="0039652B">
        <w:t>upfront</w:t>
      </w:r>
      <w:r>
        <w:t xml:space="preserve"> payments to Tier 1 and Representative Bodies in EMDG Round 1 and </w:t>
      </w:r>
      <w:r w:rsidR="0039652B">
        <w:t>upfront</w:t>
      </w:r>
      <w:r>
        <w:t xml:space="preserve"> funding clarity in multi-year grant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FEF4" w14:textId="5A753A4A" w:rsidR="006B3279" w:rsidRDefault="00F5033A" w:rsidP="0004022B">
    <w:pPr>
      <w:pStyle w:val="Header"/>
      <w:tabs>
        <w:tab w:val="clear" w:pos="4513"/>
        <w:tab w:val="clear" w:pos="9026"/>
        <w:tab w:val="left" w:pos="8602"/>
      </w:tabs>
    </w:pPr>
    <w:r>
      <w:rPr>
        <w:noProof/>
        <w:lang w:eastAsia="en-AU"/>
      </w:rPr>
      <mc:AlternateContent>
        <mc:Choice Requires="wps">
          <w:drawing>
            <wp:anchor distT="0" distB="0" distL="114300" distR="114300" simplePos="0" relativeHeight="251658240" behindDoc="1" locked="1" layoutInCell="1" allowOverlap="1" wp14:anchorId="290CDF73" wp14:editId="2B690C35">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3DE90" id="Rectangle 2" o:spid="_x0000_s1026" alt="&quot;&quot;"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r w:rsidR="0004022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EEF" w14:textId="467F8123" w:rsidR="006C74AF" w:rsidRDefault="00CE77FC">
    <w:pPr>
      <w:pStyle w:val="Header"/>
    </w:pPr>
    <w:r>
      <w:rPr>
        <w:noProof/>
        <w:lang w:eastAsia="en-AU"/>
      </w:rPr>
      <mc:AlternateContent>
        <mc:Choice Requires="wps">
          <w:drawing>
            <wp:inline distT="0" distB="0" distL="0" distR="0" wp14:anchorId="2489FBC6" wp14:editId="4D1F5E67">
              <wp:extent cx="6983730" cy="215900"/>
              <wp:effectExtent l="0" t="0" r="7620" b="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D9AD7B" id="Rectangle 8" o:spid="_x0000_s1026" alt="&quot;&quot;" style="width:549.9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2C1B"/>
    <w:multiLevelType w:val="hybridMultilevel"/>
    <w:tmpl w:val="FFFFFFFF"/>
    <w:lvl w:ilvl="0" w:tplc="B0DA24F6">
      <w:start w:val="1"/>
      <w:numFmt w:val="bullet"/>
      <w:lvlText w:val=""/>
      <w:lvlJc w:val="left"/>
      <w:pPr>
        <w:ind w:left="720" w:hanging="360"/>
      </w:pPr>
      <w:rPr>
        <w:rFonts w:ascii="Symbol" w:hAnsi="Symbol" w:hint="default"/>
      </w:rPr>
    </w:lvl>
    <w:lvl w:ilvl="1" w:tplc="6A42FFEA">
      <w:start w:val="1"/>
      <w:numFmt w:val="bullet"/>
      <w:lvlText w:val="o"/>
      <w:lvlJc w:val="left"/>
      <w:pPr>
        <w:ind w:left="1440" w:hanging="360"/>
      </w:pPr>
      <w:rPr>
        <w:rFonts w:ascii="Courier New" w:hAnsi="Courier New" w:hint="default"/>
      </w:rPr>
    </w:lvl>
    <w:lvl w:ilvl="2" w:tplc="76BA2034">
      <w:start w:val="1"/>
      <w:numFmt w:val="bullet"/>
      <w:lvlText w:val=""/>
      <w:lvlJc w:val="left"/>
      <w:pPr>
        <w:ind w:left="2160" w:hanging="360"/>
      </w:pPr>
      <w:rPr>
        <w:rFonts w:ascii="Wingdings" w:hAnsi="Wingdings" w:hint="default"/>
      </w:rPr>
    </w:lvl>
    <w:lvl w:ilvl="3" w:tplc="AE28D584">
      <w:start w:val="1"/>
      <w:numFmt w:val="bullet"/>
      <w:lvlText w:val=""/>
      <w:lvlJc w:val="left"/>
      <w:pPr>
        <w:ind w:left="2880" w:hanging="360"/>
      </w:pPr>
      <w:rPr>
        <w:rFonts w:ascii="Symbol" w:hAnsi="Symbol" w:hint="default"/>
      </w:rPr>
    </w:lvl>
    <w:lvl w:ilvl="4" w:tplc="E7B47650">
      <w:start w:val="1"/>
      <w:numFmt w:val="bullet"/>
      <w:lvlText w:val="o"/>
      <w:lvlJc w:val="left"/>
      <w:pPr>
        <w:ind w:left="3600" w:hanging="360"/>
      </w:pPr>
      <w:rPr>
        <w:rFonts w:ascii="Courier New" w:hAnsi="Courier New" w:hint="default"/>
      </w:rPr>
    </w:lvl>
    <w:lvl w:ilvl="5" w:tplc="4DA29318">
      <w:start w:val="1"/>
      <w:numFmt w:val="bullet"/>
      <w:lvlText w:val=""/>
      <w:lvlJc w:val="left"/>
      <w:pPr>
        <w:ind w:left="4320" w:hanging="360"/>
      </w:pPr>
      <w:rPr>
        <w:rFonts w:ascii="Wingdings" w:hAnsi="Wingdings" w:hint="default"/>
      </w:rPr>
    </w:lvl>
    <w:lvl w:ilvl="6" w:tplc="82CE8BCE">
      <w:start w:val="1"/>
      <w:numFmt w:val="bullet"/>
      <w:lvlText w:val=""/>
      <w:lvlJc w:val="left"/>
      <w:pPr>
        <w:ind w:left="5040" w:hanging="360"/>
      </w:pPr>
      <w:rPr>
        <w:rFonts w:ascii="Symbol" w:hAnsi="Symbol" w:hint="default"/>
      </w:rPr>
    </w:lvl>
    <w:lvl w:ilvl="7" w:tplc="F690B1B4">
      <w:start w:val="1"/>
      <w:numFmt w:val="bullet"/>
      <w:lvlText w:val="o"/>
      <w:lvlJc w:val="left"/>
      <w:pPr>
        <w:ind w:left="5760" w:hanging="360"/>
      </w:pPr>
      <w:rPr>
        <w:rFonts w:ascii="Courier New" w:hAnsi="Courier New" w:hint="default"/>
      </w:rPr>
    </w:lvl>
    <w:lvl w:ilvl="8" w:tplc="E0F2650C">
      <w:start w:val="1"/>
      <w:numFmt w:val="bullet"/>
      <w:lvlText w:val=""/>
      <w:lvlJc w:val="left"/>
      <w:pPr>
        <w:ind w:left="6480" w:hanging="360"/>
      </w:pPr>
      <w:rPr>
        <w:rFonts w:ascii="Wingdings" w:hAnsi="Wingdings" w:hint="default"/>
      </w:rPr>
    </w:lvl>
  </w:abstractNum>
  <w:abstractNum w:abstractNumId="1"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893CAF"/>
    <w:multiLevelType w:val="hybridMultilevel"/>
    <w:tmpl w:val="6AC20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D0596"/>
    <w:multiLevelType w:val="hybridMultilevel"/>
    <w:tmpl w:val="FFFFFFFF"/>
    <w:lvl w:ilvl="0" w:tplc="8026C9A2">
      <w:start w:val="1"/>
      <w:numFmt w:val="bullet"/>
      <w:lvlText w:val=""/>
      <w:lvlJc w:val="left"/>
      <w:pPr>
        <w:ind w:left="360" w:hanging="360"/>
      </w:pPr>
      <w:rPr>
        <w:rFonts w:ascii="Symbol" w:hAnsi="Symbol" w:hint="default"/>
      </w:rPr>
    </w:lvl>
    <w:lvl w:ilvl="1" w:tplc="EC066838">
      <w:start w:val="1"/>
      <w:numFmt w:val="bullet"/>
      <w:lvlText w:val="o"/>
      <w:lvlJc w:val="left"/>
      <w:pPr>
        <w:ind w:left="1080" w:hanging="360"/>
      </w:pPr>
      <w:rPr>
        <w:rFonts w:ascii="Courier New" w:hAnsi="Courier New" w:hint="default"/>
      </w:rPr>
    </w:lvl>
    <w:lvl w:ilvl="2" w:tplc="9EC6B2E4">
      <w:start w:val="1"/>
      <w:numFmt w:val="bullet"/>
      <w:lvlText w:val=""/>
      <w:lvlJc w:val="left"/>
      <w:pPr>
        <w:ind w:left="1800" w:hanging="360"/>
      </w:pPr>
      <w:rPr>
        <w:rFonts w:ascii="Wingdings" w:hAnsi="Wingdings" w:hint="default"/>
      </w:rPr>
    </w:lvl>
    <w:lvl w:ilvl="3" w:tplc="5D40F418">
      <w:start w:val="1"/>
      <w:numFmt w:val="bullet"/>
      <w:lvlText w:val=""/>
      <w:lvlJc w:val="left"/>
      <w:pPr>
        <w:ind w:left="2520" w:hanging="360"/>
      </w:pPr>
      <w:rPr>
        <w:rFonts w:ascii="Symbol" w:hAnsi="Symbol" w:hint="default"/>
      </w:rPr>
    </w:lvl>
    <w:lvl w:ilvl="4" w:tplc="E16451D4">
      <w:start w:val="1"/>
      <w:numFmt w:val="bullet"/>
      <w:lvlText w:val="o"/>
      <w:lvlJc w:val="left"/>
      <w:pPr>
        <w:ind w:left="3240" w:hanging="360"/>
      </w:pPr>
      <w:rPr>
        <w:rFonts w:ascii="Courier New" w:hAnsi="Courier New" w:hint="default"/>
      </w:rPr>
    </w:lvl>
    <w:lvl w:ilvl="5" w:tplc="AC3ABCEC">
      <w:start w:val="1"/>
      <w:numFmt w:val="bullet"/>
      <w:lvlText w:val=""/>
      <w:lvlJc w:val="left"/>
      <w:pPr>
        <w:ind w:left="3960" w:hanging="360"/>
      </w:pPr>
      <w:rPr>
        <w:rFonts w:ascii="Wingdings" w:hAnsi="Wingdings" w:hint="default"/>
      </w:rPr>
    </w:lvl>
    <w:lvl w:ilvl="6" w:tplc="22522738">
      <w:start w:val="1"/>
      <w:numFmt w:val="bullet"/>
      <w:lvlText w:val=""/>
      <w:lvlJc w:val="left"/>
      <w:pPr>
        <w:ind w:left="4680" w:hanging="360"/>
      </w:pPr>
      <w:rPr>
        <w:rFonts w:ascii="Symbol" w:hAnsi="Symbol" w:hint="default"/>
      </w:rPr>
    </w:lvl>
    <w:lvl w:ilvl="7" w:tplc="0ABA0682">
      <w:start w:val="1"/>
      <w:numFmt w:val="bullet"/>
      <w:lvlText w:val="o"/>
      <w:lvlJc w:val="left"/>
      <w:pPr>
        <w:ind w:left="5400" w:hanging="360"/>
      </w:pPr>
      <w:rPr>
        <w:rFonts w:ascii="Courier New" w:hAnsi="Courier New" w:hint="default"/>
      </w:rPr>
    </w:lvl>
    <w:lvl w:ilvl="8" w:tplc="1604196A">
      <w:start w:val="1"/>
      <w:numFmt w:val="bullet"/>
      <w:lvlText w:val=""/>
      <w:lvlJc w:val="left"/>
      <w:pPr>
        <w:ind w:left="6120" w:hanging="360"/>
      </w:pPr>
      <w:rPr>
        <w:rFonts w:ascii="Wingdings" w:hAnsi="Wingdings" w:hint="default"/>
      </w:rPr>
    </w:lvl>
  </w:abstractNum>
  <w:abstractNum w:abstractNumId="4" w15:restartNumberingAfterBreak="0">
    <w:nsid w:val="07DE1069"/>
    <w:multiLevelType w:val="hybridMultilevel"/>
    <w:tmpl w:val="85326E74"/>
    <w:lvl w:ilvl="0" w:tplc="7D42EC8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3B6763"/>
    <w:multiLevelType w:val="hybridMultilevel"/>
    <w:tmpl w:val="0DD4E1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B376C8"/>
    <w:multiLevelType w:val="hybridMultilevel"/>
    <w:tmpl w:val="D496FF5C"/>
    <w:lvl w:ilvl="0" w:tplc="8DFA10DA">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663EC5"/>
    <w:multiLevelType w:val="hybridMultilevel"/>
    <w:tmpl w:val="AC9EC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97B10"/>
    <w:multiLevelType w:val="hybridMultilevel"/>
    <w:tmpl w:val="D8D27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276BCD"/>
    <w:multiLevelType w:val="hybridMultilevel"/>
    <w:tmpl w:val="454A7A8C"/>
    <w:lvl w:ilvl="0" w:tplc="EBEEBD30">
      <w:start w:val="1"/>
      <w:numFmt w:val="bullet"/>
      <w:lvlText w:val=""/>
      <w:lvlJc w:val="left"/>
      <w:pPr>
        <w:ind w:left="720" w:hanging="360"/>
      </w:pPr>
      <w:rPr>
        <w:rFonts w:ascii="Symbol" w:hAnsi="Symbol" w:hint="default"/>
        <w:color w:val="1E988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C63EF"/>
    <w:multiLevelType w:val="hybridMultilevel"/>
    <w:tmpl w:val="1F9E3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447C71"/>
    <w:multiLevelType w:val="hybridMultilevel"/>
    <w:tmpl w:val="ACA49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992496"/>
    <w:multiLevelType w:val="hybridMultilevel"/>
    <w:tmpl w:val="AE48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C66133"/>
    <w:multiLevelType w:val="hybridMultilevel"/>
    <w:tmpl w:val="1A8253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16C77F52"/>
    <w:multiLevelType w:val="hybridMultilevel"/>
    <w:tmpl w:val="76FC2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C0A4B"/>
    <w:multiLevelType w:val="hybridMultilevel"/>
    <w:tmpl w:val="2B8AA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ADA5358"/>
    <w:multiLevelType w:val="hybridMultilevel"/>
    <w:tmpl w:val="65E43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4ADBC7"/>
    <w:multiLevelType w:val="hybridMultilevel"/>
    <w:tmpl w:val="103E9F94"/>
    <w:lvl w:ilvl="0" w:tplc="94B67876">
      <w:start w:val="1"/>
      <w:numFmt w:val="bullet"/>
      <w:lvlText w:val=""/>
      <w:lvlJc w:val="left"/>
      <w:pPr>
        <w:ind w:left="720" w:hanging="360"/>
      </w:pPr>
      <w:rPr>
        <w:rFonts w:ascii="Symbol" w:hAnsi="Symbol" w:hint="default"/>
      </w:rPr>
    </w:lvl>
    <w:lvl w:ilvl="1" w:tplc="C8064950">
      <w:start w:val="1"/>
      <w:numFmt w:val="bullet"/>
      <w:lvlText w:val="o"/>
      <w:lvlJc w:val="left"/>
      <w:pPr>
        <w:ind w:left="1440" w:hanging="360"/>
      </w:pPr>
      <w:rPr>
        <w:rFonts w:ascii="Courier New" w:hAnsi="Courier New" w:hint="default"/>
      </w:rPr>
    </w:lvl>
    <w:lvl w:ilvl="2" w:tplc="F9FE4BE2">
      <w:start w:val="1"/>
      <w:numFmt w:val="bullet"/>
      <w:lvlText w:val=""/>
      <w:lvlJc w:val="left"/>
      <w:pPr>
        <w:ind w:left="2160" w:hanging="360"/>
      </w:pPr>
      <w:rPr>
        <w:rFonts w:ascii="Wingdings" w:hAnsi="Wingdings" w:hint="default"/>
      </w:rPr>
    </w:lvl>
    <w:lvl w:ilvl="3" w:tplc="8CC62444">
      <w:start w:val="1"/>
      <w:numFmt w:val="bullet"/>
      <w:lvlText w:val=""/>
      <w:lvlJc w:val="left"/>
      <w:pPr>
        <w:ind w:left="2880" w:hanging="360"/>
      </w:pPr>
      <w:rPr>
        <w:rFonts w:ascii="Symbol" w:hAnsi="Symbol" w:hint="default"/>
      </w:rPr>
    </w:lvl>
    <w:lvl w:ilvl="4" w:tplc="B0C61700">
      <w:start w:val="1"/>
      <w:numFmt w:val="bullet"/>
      <w:lvlText w:val="o"/>
      <w:lvlJc w:val="left"/>
      <w:pPr>
        <w:ind w:left="3600" w:hanging="360"/>
      </w:pPr>
      <w:rPr>
        <w:rFonts w:ascii="Courier New" w:hAnsi="Courier New" w:hint="default"/>
      </w:rPr>
    </w:lvl>
    <w:lvl w:ilvl="5" w:tplc="D50A933A">
      <w:start w:val="1"/>
      <w:numFmt w:val="bullet"/>
      <w:lvlText w:val=""/>
      <w:lvlJc w:val="left"/>
      <w:pPr>
        <w:ind w:left="4320" w:hanging="360"/>
      </w:pPr>
      <w:rPr>
        <w:rFonts w:ascii="Wingdings" w:hAnsi="Wingdings" w:hint="default"/>
      </w:rPr>
    </w:lvl>
    <w:lvl w:ilvl="6" w:tplc="B270F544">
      <w:start w:val="1"/>
      <w:numFmt w:val="bullet"/>
      <w:lvlText w:val=""/>
      <w:lvlJc w:val="left"/>
      <w:pPr>
        <w:ind w:left="5040" w:hanging="360"/>
      </w:pPr>
      <w:rPr>
        <w:rFonts w:ascii="Symbol" w:hAnsi="Symbol" w:hint="default"/>
      </w:rPr>
    </w:lvl>
    <w:lvl w:ilvl="7" w:tplc="B21A2926">
      <w:start w:val="1"/>
      <w:numFmt w:val="bullet"/>
      <w:lvlText w:val="o"/>
      <w:lvlJc w:val="left"/>
      <w:pPr>
        <w:ind w:left="5760" w:hanging="360"/>
      </w:pPr>
      <w:rPr>
        <w:rFonts w:ascii="Courier New" w:hAnsi="Courier New" w:hint="default"/>
      </w:rPr>
    </w:lvl>
    <w:lvl w:ilvl="8" w:tplc="EC225308">
      <w:start w:val="1"/>
      <w:numFmt w:val="bullet"/>
      <w:lvlText w:val=""/>
      <w:lvlJc w:val="left"/>
      <w:pPr>
        <w:ind w:left="6480" w:hanging="360"/>
      </w:pPr>
      <w:rPr>
        <w:rFonts w:ascii="Wingdings" w:hAnsi="Wingdings" w:hint="default"/>
      </w:rPr>
    </w:lvl>
  </w:abstractNum>
  <w:abstractNum w:abstractNumId="18" w15:restartNumberingAfterBreak="0">
    <w:nsid w:val="220A132E"/>
    <w:multiLevelType w:val="hybridMultilevel"/>
    <w:tmpl w:val="FB02FE18"/>
    <w:lvl w:ilvl="0" w:tplc="F6F0DAF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3E1BF7"/>
    <w:multiLevelType w:val="hybridMultilevel"/>
    <w:tmpl w:val="F4261F8A"/>
    <w:lvl w:ilvl="0" w:tplc="98F2247C">
      <w:start w:val="1"/>
      <w:numFmt w:val="decimal"/>
      <w:lvlText w:val="%1."/>
      <w:lvlJc w:val="left"/>
      <w:pPr>
        <w:ind w:left="624" w:hanging="34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0" w15:restartNumberingAfterBreak="0">
    <w:nsid w:val="253C5334"/>
    <w:multiLevelType w:val="hybridMultilevel"/>
    <w:tmpl w:val="228252EE"/>
    <w:lvl w:ilvl="0" w:tplc="7324B17A">
      <w:start w:val="1"/>
      <w:numFmt w:val="bullet"/>
      <w:lvlText w:val=""/>
      <w:lvlJc w:val="left"/>
      <w:pPr>
        <w:ind w:left="720" w:hanging="360"/>
      </w:pPr>
      <w:rPr>
        <w:rFonts w:ascii="Symbol" w:hAnsi="Symbol" w:hint="default"/>
      </w:rPr>
    </w:lvl>
    <w:lvl w:ilvl="1" w:tplc="402EB078">
      <w:start w:val="1"/>
      <w:numFmt w:val="bullet"/>
      <w:lvlText w:val="–"/>
      <w:lvlJc w:val="left"/>
      <w:pPr>
        <w:ind w:left="1080" w:hanging="360"/>
      </w:pPr>
      <w:rPr>
        <w:rFonts w:ascii="Calibri" w:hAnsi="Calibri" w:hint="default"/>
        <w:color w:val="1E988A" w:themeColor="accent3"/>
      </w:rPr>
    </w:lvl>
    <w:lvl w:ilvl="2" w:tplc="4DDC7B82">
      <w:start w:val="1"/>
      <w:numFmt w:val="bullet"/>
      <w:lvlText w:val=""/>
      <w:lvlJc w:val="left"/>
      <w:pPr>
        <w:ind w:left="2160" w:hanging="360"/>
      </w:pPr>
      <w:rPr>
        <w:rFonts w:ascii="Wingdings" w:hAnsi="Wingdings" w:hint="default"/>
      </w:rPr>
    </w:lvl>
    <w:lvl w:ilvl="3" w:tplc="9D8C9F66">
      <w:start w:val="1"/>
      <w:numFmt w:val="bullet"/>
      <w:lvlText w:val=""/>
      <w:lvlJc w:val="left"/>
      <w:pPr>
        <w:ind w:left="2880" w:hanging="360"/>
      </w:pPr>
      <w:rPr>
        <w:rFonts w:ascii="Symbol" w:hAnsi="Symbol" w:hint="default"/>
      </w:rPr>
    </w:lvl>
    <w:lvl w:ilvl="4" w:tplc="93361206">
      <w:start w:val="1"/>
      <w:numFmt w:val="bullet"/>
      <w:lvlText w:val="o"/>
      <w:lvlJc w:val="left"/>
      <w:pPr>
        <w:ind w:left="3600" w:hanging="360"/>
      </w:pPr>
      <w:rPr>
        <w:rFonts w:ascii="Courier New" w:hAnsi="Courier New" w:hint="default"/>
      </w:rPr>
    </w:lvl>
    <w:lvl w:ilvl="5" w:tplc="DB04C73A">
      <w:start w:val="1"/>
      <w:numFmt w:val="bullet"/>
      <w:lvlText w:val=""/>
      <w:lvlJc w:val="left"/>
      <w:pPr>
        <w:ind w:left="4320" w:hanging="360"/>
      </w:pPr>
      <w:rPr>
        <w:rFonts w:ascii="Wingdings" w:hAnsi="Wingdings" w:hint="default"/>
      </w:rPr>
    </w:lvl>
    <w:lvl w:ilvl="6" w:tplc="7858696A">
      <w:start w:val="1"/>
      <w:numFmt w:val="bullet"/>
      <w:lvlText w:val=""/>
      <w:lvlJc w:val="left"/>
      <w:pPr>
        <w:ind w:left="5040" w:hanging="360"/>
      </w:pPr>
      <w:rPr>
        <w:rFonts w:ascii="Symbol" w:hAnsi="Symbol" w:hint="default"/>
      </w:rPr>
    </w:lvl>
    <w:lvl w:ilvl="7" w:tplc="8EC8106A">
      <w:start w:val="1"/>
      <w:numFmt w:val="bullet"/>
      <w:lvlText w:val="o"/>
      <w:lvlJc w:val="left"/>
      <w:pPr>
        <w:ind w:left="5760" w:hanging="360"/>
      </w:pPr>
      <w:rPr>
        <w:rFonts w:ascii="Courier New" w:hAnsi="Courier New" w:hint="default"/>
      </w:rPr>
    </w:lvl>
    <w:lvl w:ilvl="8" w:tplc="0120906A">
      <w:start w:val="1"/>
      <w:numFmt w:val="bullet"/>
      <w:lvlText w:val=""/>
      <w:lvlJc w:val="left"/>
      <w:pPr>
        <w:ind w:left="6480" w:hanging="360"/>
      </w:pPr>
      <w:rPr>
        <w:rFonts w:ascii="Wingdings" w:hAnsi="Wingdings" w:hint="default"/>
      </w:rPr>
    </w:lvl>
  </w:abstractNum>
  <w:abstractNum w:abstractNumId="21" w15:restartNumberingAfterBreak="0">
    <w:nsid w:val="27B91E90"/>
    <w:multiLevelType w:val="hybridMultilevel"/>
    <w:tmpl w:val="3FC02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F61A07"/>
    <w:multiLevelType w:val="hybridMultilevel"/>
    <w:tmpl w:val="43AC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129F9"/>
    <w:multiLevelType w:val="hybridMultilevel"/>
    <w:tmpl w:val="6144ECEC"/>
    <w:lvl w:ilvl="0" w:tplc="CA662F10">
      <w:start w:val="1"/>
      <w:numFmt w:val="bullet"/>
      <w:lvlText w:val=""/>
      <w:lvlJc w:val="left"/>
      <w:pPr>
        <w:ind w:left="720" w:hanging="360"/>
      </w:pPr>
      <w:rPr>
        <w:rFonts w:ascii="Symbol" w:hAnsi="Symbol" w:hint="default"/>
        <w:color w:val="1E98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6B5F10"/>
    <w:multiLevelType w:val="hybridMultilevel"/>
    <w:tmpl w:val="65E43150"/>
    <w:lvl w:ilvl="0" w:tplc="61067CF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F1F138"/>
    <w:multiLevelType w:val="hybridMultilevel"/>
    <w:tmpl w:val="06BE2112"/>
    <w:lvl w:ilvl="0" w:tplc="148A37B2">
      <w:start w:val="1"/>
      <w:numFmt w:val="bullet"/>
      <w:lvlText w:val=""/>
      <w:lvlJc w:val="left"/>
      <w:pPr>
        <w:ind w:left="785" w:hanging="360"/>
      </w:pPr>
      <w:rPr>
        <w:rFonts w:ascii="Symbol" w:hAnsi="Symbol" w:hint="default"/>
        <w:color w:val="1E988A"/>
      </w:rPr>
    </w:lvl>
    <w:lvl w:ilvl="1" w:tplc="AF98D238">
      <w:start w:val="1"/>
      <w:numFmt w:val="bullet"/>
      <w:lvlText w:val="o"/>
      <w:lvlJc w:val="left"/>
      <w:pPr>
        <w:ind w:left="1080" w:hanging="360"/>
      </w:pPr>
      <w:rPr>
        <w:rFonts w:ascii="Courier New" w:hAnsi="Courier New" w:hint="default"/>
      </w:rPr>
    </w:lvl>
    <w:lvl w:ilvl="2" w:tplc="2B54B828">
      <w:start w:val="1"/>
      <w:numFmt w:val="bullet"/>
      <w:lvlText w:val=""/>
      <w:lvlJc w:val="left"/>
      <w:pPr>
        <w:ind w:left="1800" w:hanging="360"/>
      </w:pPr>
      <w:rPr>
        <w:rFonts w:ascii="Wingdings" w:hAnsi="Wingdings" w:hint="default"/>
      </w:rPr>
    </w:lvl>
    <w:lvl w:ilvl="3" w:tplc="712AF02E">
      <w:start w:val="1"/>
      <w:numFmt w:val="bullet"/>
      <w:lvlText w:val=""/>
      <w:lvlJc w:val="left"/>
      <w:pPr>
        <w:ind w:left="2520" w:hanging="360"/>
      </w:pPr>
      <w:rPr>
        <w:rFonts w:ascii="Symbol" w:hAnsi="Symbol" w:hint="default"/>
      </w:rPr>
    </w:lvl>
    <w:lvl w:ilvl="4" w:tplc="B87AB320">
      <w:start w:val="1"/>
      <w:numFmt w:val="bullet"/>
      <w:lvlText w:val="o"/>
      <w:lvlJc w:val="left"/>
      <w:pPr>
        <w:ind w:left="3240" w:hanging="360"/>
      </w:pPr>
      <w:rPr>
        <w:rFonts w:ascii="Courier New" w:hAnsi="Courier New" w:hint="default"/>
      </w:rPr>
    </w:lvl>
    <w:lvl w:ilvl="5" w:tplc="83F01EDE">
      <w:start w:val="1"/>
      <w:numFmt w:val="bullet"/>
      <w:lvlText w:val=""/>
      <w:lvlJc w:val="left"/>
      <w:pPr>
        <w:ind w:left="3960" w:hanging="360"/>
      </w:pPr>
      <w:rPr>
        <w:rFonts w:ascii="Wingdings" w:hAnsi="Wingdings" w:hint="default"/>
      </w:rPr>
    </w:lvl>
    <w:lvl w:ilvl="6" w:tplc="89423FE2">
      <w:start w:val="1"/>
      <w:numFmt w:val="bullet"/>
      <w:lvlText w:val=""/>
      <w:lvlJc w:val="left"/>
      <w:pPr>
        <w:ind w:left="4680" w:hanging="360"/>
      </w:pPr>
      <w:rPr>
        <w:rFonts w:ascii="Symbol" w:hAnsi="Symbol" w:hint="default"/>
      </w:rPr>
    </w:lvl>
    <w:lvl w:ilvl="7" w:tplc="1F706074">
      <w:start w:val="1"/>
      <w:numFmt w:val="bullet"/>
      <w:lvlText w:val="o"/>
      <w:lvlJc w:val="left"/>
      <w:pPr>
        <w:ind w:left="5400" w:hanging="360"/>
      </w:pPr>
      <w:rPr>
        <w:rFonts w:ascii="Courier New" w:hAnsi="Courier New" w:hint="default"/>
      </w:rPr>
    </w:lvl>
    <w:lvl w:ilvl="8" w:tplc="D228E302">
      <w:start w:val="1"/>
      <w:numFmt w:val="bullet"/>
      <w:lvlText w:val=""/>
      <w:lvlJc w:val="left"/>
      <w:pPr>
        <w:ind w:left="6120" w:hanging="360"/>
      </w:pPr>
      <w:rPr>
        <w:rFonts w:ascii="Wingdings" w:hAnsi="Wingdings" w:hint="default"/>
      </w:rPr>
    </w:lvl>
  </w:abstractNum>
  <w:abstractNum w:abstractNumId="26" w15:restartNumberingAfterBreak="0">
    <w:nsid w:val="358E4E83"/>
    <w:multiLevelType w:val="hybridMultilevel"/>
    <w:tmpl w:val="3C4200BA"/>
    <w:lvl w:ilvl="0" w:tplc="2B8AA012">
      <w:start w:val="1"/>
      <w:numFmt w:val="bullet"/>
      <w:lvlText w:val=""/>
      <w:lvlJc w:val="left"/>
      <w:pPr>
        <w:ind w:left="720" w:hanging="360"/>
      </w:pPr>
      <w:rPr>
        <w:rFonts w:ascii="Symbol" w:hAnsi="Symbol" w:hint="default"/>
        <w:color w:val="1E988A"/>
      </w:rPr>
    </w:lvl>
    <w:lvl w:ilvl="1" w:tplc="D97C2526">
      <w:start w:val="1"/>
      <w:numFmt w:val="bullet"/>
      <w:lvlText w:val="o"/>
      <w:lvlJc w:val="left"/>
      <w:pPr>
        <w:ind w:left="1440" w:hanging="360"/>
      </w:pPr>
      <w:rPr>
        <w:rFonts w:ascii="Courier New" w:hAnsi="Courier New" w:hint="default"/>
      </w:rPr>
    </w:lvl>
    <w:lvl w:ilvl="2" w:tplc="A3F09A78">
      <w:start w:val="1"/>
      <w:numFmt w:val="bullet"/>
      <w:lvlText w:val=""/>
      <w:lvlJc w:val="left"/>
      <w:pPr>
        <w:ind w:left="2160" w:hanging="360"/>
      </w:pPr>
      <w:rPr>
        <w:rFonts w:ascii="Wingdings" w:hAnsi="Wingdings" w:hint="default"/>
      </w:rPr>
    </w:lvl>
    <w:lvl w:ilvl="3" w:tplc="6B6C854C">
      <w:start w:val="1"/>
      <w:numFmt w:val="bullet"/>
      <w:lvlText w:val=""/>
      <w:lvlJc w:val="left"/>
      <w:pPr>
        <w:ind w:left="2880" w:hanging="360"/>
      </w:pPr>
      <w:rPr>
        <w:rFonts w:ascii="Symbol" w:hAnsi="Symbol" w:hint="default"/>
      </w:rPr>
    </w:lvl>
    <w:lvl w:ilvl="4" w:tplc="14067F88">
      <w:start w:val="1"/>
      <w:numFmt w:val="bullet"/>
      <w:lvlText w:val="o"/>
      <w:lvlJc w:val="left"/>
      <w:pPr>
        <w:ind w:left="3600" w:hanging="360"/>
      </w:pPr>
      <w:rPr>
        <w:rFonts w:ascii="Courier New" w:hAnsi="Courier New" w:hint="default"/>
      </w:rPr>
    </w:lvl>
    <w:lvl w:ilvl="5" w:tplc="21D07FDA">
      <w:start w:val="1"/>
      <w:numFmt w:val="bullet"/>
      <w:lvlText w:val=""/>
      <w:lvlJc w:val="left"/>
      <w:pPr>
        <w:ind w:left="4320" w:hanging="360"/>
      </w:pPr>
      <w:rPr>
        <w:rFonts w:ascii="Wingdings" w:hAnsi="Wingdings" w:hint="default"/>
      </w:rPr>
    </w:lvl>
    <w:lvl w:ilvl="6" w:tplc="6680D288">
      <w:start w:val="1"/>
      <w:numFmt w:val="bullet"/>
      <w:lvlText w:val=""/>
      <w:lvlJc w:val="left"/>
      <w:pPr>
        <w:ind w:left="5040" w:hanging="360"/>
      </w:pPr>
      <w:rPr>
        <w:rFonts w:ascii="Symbol" w:hAnsi="Symbol" w:hint="default"/>
      </w:rPr>
    </w:lvl>
    <w:lvl w:ilvl="7" w:tplc="63703494">
      <w:start w:val="1"/>
      <w:numFmt w:val="bullet"/>
      <w:lvlText w:val="o"/>
      <w:lvlJc w:val="left"/>
      <w:pPr>
        <w:ind w:left="5760" w:hanging="360"/>
      </w:pPr>
      <w:rPr>
        <w:rFonts w:ascii="Courier New" w:hAnsi="Courier New" w:hint="default"/>
      </w:rPr>
    </w:lvl>
    <w:lvl w:ilvl="8" w:tplc="8E9EA55E">
      <w:start w:val="1"/>
      <w:numFmt w:val="bullet"/>
      <w:lvlText w:val=""/>
      <w:lvlJc w:val="left"/>
      <w:pPr>
        <w:ind w:left="6480" w:hanging="360"/>
      </w:pPr>
      <w:rPr>
        <w:rFonts w:ascii="Wingdings" w:hAnsi="Wingdings" w:hint="default"/>
      </w:rPr>
    </w:lvl>
  </w:abstractNum>
  <w:abstractNum w:abstractNumId="27" w15:restartNumberingAfterBreak="0">
    <w:nsid w:val="38F60333"/>
    <w:multiLevelType w:val="hybridMultilevel"/>
    <w:tmpl w:val="0CDCD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6A5CA2"/>
    <w:multiLevelType w:val="hybridMultilevel"/>
    <w:tmpl w:val="11927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B86123"/>
    <w:multiLevelType w:val="hybridMultilevel"/>
    <w:tmpl w:val="F2843E00"/>
    <w:lvl w:ilvl="0" w:tplc="18C2421E">
      <w:start w:val="1"/>
      <w:numFmt w:val="bullet"/>
      <w:lvlText w:val=""/>
      <w:lvlJc w:val="left"/>
      <w:pPr>
        <w:ind w:left="720" w:hanging="360"/>
      </w:pPr>
      <w:rPr>
        <w:rFonts w:ascii="Symbol" w:hAnsi="Symbol" w:hint="default"/>
        <w:color w:val="0099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5B58F0"/>
    <w:multiLevelType w:val="hybridMultilevel"/>
    <w:tmpl w:val="5F907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C5E3460"/>
    <w:multiLevelType w:val="hybridMultilevel"/>
    <w:tmpl w:val="A00EB988"/>
    <w:lvl w:ilvl="0" w:tplc="763EC53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CB6527E"/>
    <w:multiLevelType w:val="hybridMultilevel"/>
    <w:tmpl w:val="0DD4E1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40DA3565"/>
    <w:multiLevelType w:val="hybridMultilevel"/>
    <w:tmpl w:val="46242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2E3113"/>
    <w:multiLevelType w:val="hybridMultilevel"/>
    <w:tmpl w:val="09322878"/>
    <w:lvl w:ilvl="0" w:tplc="C9B6CE48">
      <w:start w:val="1"/>
      <w:numFmt w:val="bullet"/>
      <w:lvlText w:val=""/>
      <w:lvlJc w:val="left"/>
      <w:pPr>
        <w:ind w:left="927" w:hanging="360"/>
      </w:pPr>
      <w:rPr>
        <w:rFonts w:ascii="Symbol" w:hAnsi="Symbol" w:hint="default"/>
        <w:color w:val="1E988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213CDB"/>
    <w:multiLevelType w:val="hybridMultilevel"/>
    <w:tmpl w:val="C2ACF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7419E9"/>
    <w:multiLevelType w:val="hybridMultilevel"/>
    <w:tmpl w:val="7E9CA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46BE3220"/>
    <w:multiLevelType w:val="hybridMultilevel"/>
    <w:tmpl w:val="88EEB6FA"/>
    <w:lvl w:ilvl="0" w:tplc="48345CFC">
      <w:start w:val="1"/>
      <w:numFmt w:val="bullet"/>
      <w:lvlText w:val="•"/>
      <w:lvlJc w:val="left"/>
      <w:pPr>
        <w:tabs>
          <w:tab w:val="num" w:pos="86"/>
        </w:tabs>
        <w:ind w:left="86" w:hanging="360"/>
      </w:pPr>
      <w:rPr>
        <w:rFonts w:ascii="Arial" w:hAnsi="Arial" w:hint="default"/>
      </w:rPr>
    </w:lvl>
    <w:lvl w:ilvl="1" w:tplc="A956B54A" w:tentative="1">
      <w:start w:val="1"/>
      <w:numFmt w:val="bullet"/>
      <w:lvlText w:val="•"/>
      <w:lvlJc w:val="left"/>
      <w:pPr>
        <w:tabs>
          <w:tab w:val="num" w:pos="806"/>
        </w:tabs>
        <w:ind w:left="806" w:hanging="360"/>
      </w:pPr>
      <w:rPr>
        <w:rFonts w:ascii="Arial" w:hAnsi="Arial" w:hint="default"/>
      </w:rPr>
    </w:lvl>
    <w:lvl w:ilvl="2" w:tplc="88FC9EB2" w:tentative="1">
      <w:start w:val="1"/>
      <w:numFmt w:val="bullet"/>
      <w:lvlText w:val="•"/>
      <w:lvlJc w:val="left"/>
      <w:pPr>
        <w:tabs>
          <w:tab w:val="num" w:pos="1526"/>
        </w:tabs>
        <w:ind w:left="1526" w:hanging="360"/>
      </w:pPr>
      <w:rPr>
        <w:rFonts w:ascii="Arial" w:hAnsi="Arial" w:hint="default"/>
      </w:rPr>
    </w:lvl>
    <w:lvl w:ilvl="3" w:tplc="A2762222" w:tentative="1">
      <w:start w:val="1"/>
      <w:numFmt w:val="bullet"/>
      <w:lvlText w:val="•"/>
      <w:lvlJc w:val="left"/>
      <w:pPr>
        <w:tabs>
          <w:tab w:val="num" w:pos="2246"/>
        </w:tabs>
        <w:ind w:left="2246" w:hanging="360"/>
      </w:pPr>
      <w:rPr>
        <w:rFonts w:ascii="Arial" w:hAnsi="Arial" w:hint="default"/>
      </w:rPr>
    </w:lvl>
    <w:lvl w:ilvl="4" w:tplc="F39E8980" w:tentative="1">
      <w:start w:val="1"/>
      <w:numFmt w:val="bullet"/>
      <w:lvlText w:val="•"/>
      <w:lvlJc w:val="left"/>
      <w:pPr>
        <w:tabs>
          <w:tab w:val="num" w:pos="2966"/>
        </w:tabs>
        <w:ind w:left="2966" w:hanging="360"/>
      </w:pPr>
      <w:rPr>
        <w:rFonts w:ascii="Arial" w:hAnsi="Arial" w:hint="default"/>
      </w:rPr>
    </w:lvl>
    <w:lvl w:ilvl="5" w:tplc="83BADB4E" w:tentative="1">
      <w:start w:val="1"/>
      <w:numFmt w:val="bullet"/>
      <w:lvlText w:val="•"/>
      <w:lvlJc w:val="left"/>
      <w:pPr>
        <w:tabs>
          <w:tab w:val="num" w:pos="3686"/>
        </w:tabs>
        <w:ind w:left="3686" w:hanging="360"/>
      </w:pPr>
      <w:rPr>
        <w:rFonts w:ascii="Arial" w:hAnsi="Arial" w:hint="default"/>
      </w:rPr>
    </w:lvl>
    <w:lvl w:ilvl="6" w:tplc="E71CB074" w:tentative="1">
      <w:start w:val="1"/>
      <w:numFmt w:val="bullet"/>
      <w:lvlText w:val="•"/>
      <w:lvlJc w:val="left"/>
      <w:pPr>
        <w:tabs>
          <w:tab w:val="num" w:pos="4406"/>
        </w:tabs>
        <w:ind w:left="4406" w:hanging="360"/>
      </w:pPr>
      <w:rPr>
        <w:rFonts w:ascii="Arial" w:hAnsi="Arial" w:hint="default"/>
      </w:rPr>
    </w:lvl>
    <w:lvl w:ilvl="7" w:tplc="D7A68824" w:tentative="1">
      <w:start w:val="1"/>
      <w:numFmt w:val="bullet"/>
      <w:lvlText w:val="•"/>
      <w:lvlJc w:val="left"/>
      <w:pPr>
        <w:tabs>
          <w:tab w:val="num" w:pos="5126"/>
        </w:tabs>
        <w:ind w:left="5126" w:hanging="360"/>
      </w:pPr>
      <w:rPr>
        <w:rFonts w:ascii="Arial" w:hAnsi="Arial" w:hint="default"/>
      </w:rPr>
    </w:lvl>
    <w:lvl w:ilvl="8" w:tplc="6E38BCEE" w:tentative="1">
      <w:start w:val="1"/>
      <w:numFmt w:val="bullet"/>
      <w:lvlText w:val="•"/>
      <w:lvlJc w:val="left"/>
      <w:pPr>
        <w:tabs>
          <w:tab w:val="num" w:pos="5846"/>
        </w:tabs>
        <w:ind w:left="5846" w:hanging="360"/>
      </w:pPr>
      <w:rPr>
        <w:rFonts w:ascii="Arial" w:hAnsi="Arial" w:hint="default"/>
      </w:rPr>
    </w:lvl>
  </w:abstractNum>
  <w:abstractNum w:abstractNumId="40" w15:restartNumberingAfterBreak="0">
    <w:nsid w:val="47C91FF6"/>
    <w:multiLevelType w:val="hybridMultilevel"/>
    <w:tmpl w:val="1CFA275E"/>
    <w:lvl w:ilvl="0" w:tplc="BC72E154">
      <w:start w:val="1"/>
      <w:numFmt w:val="bullet"/>
      <w:lvlText w:val=""/>
      <w:lvlJc w:val="left"/>
      <w:pPr>
        <w:ind w:left="720" w:hanging="360"/>
      </w:pPr>
      <w:rPr>
        <w:rFonts w:ascii="Symbol" w:hAnsi="Symbol" w:hint="default"/>
        <w:color w:val="1E98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467399"/>
    <w:multiLevelType w:val="hybridMultilevel"/>
    <w:tmpl w:val="FFFFFFFF"/>
    <w:lvl w:ilvl="0" w:tplc="47D89B86">
      <w:start w:val="1"/>
      <w:numFmt w:val="bullet"/>
      <w:lvlText w:val=""/>
      <w:lvlJc w:val="left"/>
      <w:pPr>
        <w:ind w:left="720" w:hanging="360"/>
      </w:pPr>
      <w:rPr>
        <w:rFonts w:ascii="Symbol" w:hAnsi="Symbol" w:hint="default"/>
      </w:rPr>
    </w:lvl>
    <w:lvl w:ilvl="1" w:tplc="E2965598">
      <w:start w:val="1"/>
      <w:numFmt w:val="bullet"/>
      <w:lvlText w:val="o"/>
      <w:lvlJc w:val="left"/>
      <w:pPr>
        <w:ind w:left="1440" w:hanging="360"/>
      </w:pPr>
      <w:rPr>
        <w:rFonts w:ascii="Courier New" w:hAnsi="Courier New" w:hint="default"/>
      </w:rPr>
    </w:lvl>
    <w:lvl w:ilvl="2" w:tplc="3946916E">
      <w:start w:val="1"/>
      <w:numFmt w:val="bullet"/>
      <w:lvlText w:val=""/>
      <w:lvlJc w:val="left"/>
      <w:pPr>
        <w:ind w:left="2160" w:hanging="360"/>
      </w:pPr>
      <w:rPr>
        <w:rFonts w:ascii="Wingdings" w:hAnsi="Wingdings" w:hint="default"/>
      </w:rPr>
    </w:lvl>
    <w:lvl w:ilvl="3" w:tplc="9154EE56">
      <w:start w:val="1"/>
      <w:numFmt w:val="bullet"/>
      <w:lvlText w:val=""/>
      <w:lvlJc w:val="left"/>
      <w:pPr>
        <w:ind w:left="2880" w:hanging="360"/>
      </w:pPr>
      <w:rPr>
        <w:rFonts w:ascii="Symbol" w:hAnsi="Symbol" w:hint="default"/>
      </w:rPr>
    </w:lvl>
    <w:lvl w:ilvl="4" w:tplc="107A851C">
      <w:start w:val="1"/>
      <w:numFmt w:val="bullet"/>
      <w:lvlText w:val="o"/>
      <w:lvlJc w:val="left"/>
      <w:pPr>
        <w:ind w:left="3600" w:hanging="360"/>
      </w:pPr>
      <w:rPr>
        <w:rFonts w:ascii="Courier New" w:hAnsi="Courier New" w:hint="default"/>
      </w:rPr>
    </w:lvl>
    <w:lvl w:ilvl="5" w:tplc="FECC6130">
      <w:start w:val="1"/>
      <w:numFmt w:val="bullet"/>
      <w:lvlText w:val=""/>
      <w:lvlJc w:val="left"/>
      <w:pPr>
        <w:ind w:left="4320" w:hanging="360"/>
      </w:pPr>
      <w:rPr>
        <w:rFonts w:ascii="Wingdings" w:hAnsi="Wingdings" w:hint="default"/>
      </w:rPr>
    </w:lvl>
    <w:lvl w:ilvl="6" w:tplc="DD38468C">
      <w:start w:val="1"/>
      <w:numFmt w:val="bullet"/>
      <w:lvlText w:val=""/>
      <w:lvlJc w:val="left"/>
      <w:pPr>
        <w:ind w:left="5040" w:hanging="360"/>
      </w:pPr>
      <w:rPr>
        <w:rFonts w:ascii="Symbol" w:hAnsi="Symbol" w:hint="default"/>
      </w:rPr>
    </w:lvl>
    <w:lvl w:ilvl="7" w:tplc="C8307404">
      <w:start w:val="1"/>
      <w:numFmt w:val="bullet"/>
      <w:lvlText w:val="o"/>
      <w:lvlJc w:val="left"/>
      <w:pPr>
        <w:ind w:left="5760" w:hanging="360"/>
      </w:pPr>
      <w:rPr>
        <w:rFonts w:ascii="Courier New" w:hAnsi="Courier New" w:hint="default"/>
      </w:rPr>
    </w:lvl>
    <w:lvl w:ilvl="8" w:tplc="5562144A">
      <w:start w:val="1"/>
      <w:numFmt w:val="bullet"/>
      <w:lvlText w:val=""/>
      <w:lvlJc w:val="left"/>
      <w:pPr>
        <w:ind w:left="6480" w:hanging="360"/>
      </w:pPr>
      <w:rPr>
        <w:rFonts w:ascii="Wingdings" w:hAnsi="Wingdings" w:hint="default"/>
      </w:rPr>
    </w:lvl>
  </w:abstractNum>
  <w:abstractNum w:abstractNumId="42" w15:restartNumberingAfterBreak="0">
    <w:nsid w:val="4D224585"/>
    <w:multiLevelType w:val="hybridMultilevel"/>
    <w:tmpl w:val="C9F4212E"/>
    <w:lvl w:ilvl="0" w:tplc="594C2A8C">
      <w:start w:val="1"/>
      <w:numFmt w:val="bullet"/>
      <w:lvlText w:val=""/>
      <w:lvlJc w:val="left"/>
      <w:pPr>
        <w:ind w:left="720" w:hanging="360"/>
      </w:pPr>
      <w:rPr>
        <w:rFonts w:ascii="Symbol" w:hAnsi="Symbol" w:hint="default"/>
        <w:color w:val="1E988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A33CA0"/>
    <w:multiLevelType w:val="hybridMultilevel"/>
    <w:tmpl w:val="55EA4F4A"/>
    <w:lvl w:ilvl="0" w:tplc="AD6803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1A31E73"/>
    <w:multiLevelType w:val="hybridMultilevel"/>
    <w:tmpl w:val="A0B25E76"/>
    <w:lvl w:ilvl="0" w:tplc="2B9445C8">
      <w:start w:val="1"/>
      <w:numFmt w:val="bullet"/>
      <w:lvlText w:val=""/>
      <w:lvlJc w:val="left"/>
      <w:pPr>
        <w:ind w:left="785" w:hanging="360"/>
      </w:pPr>
      <w:rPr>
        <w:rFonts w:ascii="Symbol" w:hAnsi="Symbol" w:hint="default"/>
        <w:color w:val="1E988A"/>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5" w15:restartNumberingAfterBreak="0">
    <w:nsid w:val="51BE2800"/>
    <w:multiLevelType w:val="hybridMultilevel"/>
    <w:tmpl w:val="0374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29B5B29"/>
    <w:multiLevelType w:val="hybridMultilevel"/>
    <w:tmpl w:val="CC880A74"/>
    <w:lvl w:ilvl="0" w:tplc="5C441F2E">
      <w:start w:val="1"/>
      <w:numFmt w:val="bullet"/>
      <w:lvlText w:val=""/>
      <w:lvlJc w:val="left"/>
      <w:pPr>
        <w:ind w:left="720" w:hanging="360"/>
      </w:pPr>
      <w:rPr>
        <w:rFonts w:ascii="Symbol" w:hAnsi="Symbol" w:hint="default"/>
        <w:color w:val="1E988A"/>
      </w:rPr>
    </w:lvl>
    <w:lvl w:ilvl="1" w:tplc="EB14F506">
      <w:start w:val="1"/>
      <w:numFmt w:val="bullet"/>
      <w:lvlText w:val=""/>
      <w:lvlJc w:val="left"/>
      <w:pPr>
        <w:ind w:left="1080" w:hanging="360"/>
      </w:pPr>
      <w:rPr>
        <w:rFonts w:ascii="Symbol" w:hAnsi="Symbol" w:hint="default"/>
      </w:rPr>
    </w:lvl>
    <w:lvl w:ilvl="2" w:tplc="AD1203F6">
      <w:start w:val="1"/>
      <w:numFmt w:val="bullet"/>
      <w:lvlText w:val="o"/>
      <w:lvlJc w:val="left"/>
      <w:pPr>
        <w:ind w:left="1440" w:hanging="360"/>
      </w:pPr>
      <w:rPr>
        <w:rFonts w:ascii="Courier New" w:hAnsi="Courier New" w:hint="default"/>
      </w:rPr>
    </w:lvl>
    <w:lvl w:ilvl="3" w:tplc="3814CD38">
      <w:start w:val="1"/>
      <w:numFmt w:val="bullet"/>
      <w:lvlText w:val=""/>
      <w:lvlJc w:val="left"/>
      <w:pPr>
        <w:ind w:left="1800" w:hanging="360"/>
      </w:pPr>
      <w:rPr>
        <w:rFonts w:ascii="Symbol" w:hAnsi="Symbol" w:hint="default"/>
      </w:rPr>
    </w:lvl>
    <w:lvl w:ilvl="4" w:tplc="8F8A0560">
      <w:start w:val="1"/>
      <w:numFmt w:val="bullet"/>
      <w:lvlText w:val=""/>
      <w:lvlJc w:val="left"/>
      <w:pPr>
        <w:ind w:left="2160" w:hanging="360"/>
      </w:pPr>
      <w:rPr>
        <w:rFonts w:ascii="Symbol" w:hAnsi="Symbol" w:hint="default"/>
      </w:rPr>
    </w:lvl>
    <w:lvl w:ilvl="5" w:tplc="85FE0130">
      <w:start w:val="1"/>
      <w:numFmt w:val="bullet"/>
      <w:lvlText w:val=""/>
      <w:lvlJc w:val="left"/>
      <w:pPr>
        <w:ind w:left="2520" w:hanging="360"/>
      </w:pPr>
      <w:rPr>
        <w:rFonts w:ascii="Wingdings" w:hAnsi="Wingdings" w:hint="default"/>
      </w:rPr>
    </w:lvl>
    <w:lvl w:ilvl="6" w:tplc="C964B13E">
      <w:start w:val="1"/>
      <w:numFmt w:val="bullet"/>
      <w:lvlText w:val=""/>
      <w:lvlJc w:val="left"/>
      <w:pPr>
        <w:ind w:left="2880" w:hanging="360"/>
      </w:pPr>
      <w:rPr>
        <w:rFonts w:ascii="Wingdings" w:hAnsi="Wingdings" w:hint="default"/>
      </w:rPr>
    </w:lvl>
    <w:lvl w:ilvl="7" w:tplc="4C8C0CE6">
      <w:start w:val="1"/>
      <w:numFmt w:val="bullet"/>
      <w:lvlText w:val=""/>
      <w:lvlJc w:val="left"/>
      <w:pPr>
        <w:ind w:left="3240" w:hanging="360"/>
      </w:pPr>
      <w:rPr>
        <w:rFonts w:ascii="Symbol" w:hAnsi="Symbol" w:hint="default"/>
      </w:rPr>
    </w:lvl>
    <w:lvl w:ilvl="8" w:tplc="4F0E1F6A">
      <w:start w:val="1"/>
      <w:numFmt w:val="bullet"/>
      <w:lvlText w:val=""/>
      <w:lvlJc w:val="left"/>
      <w:pPr>
        <w:ind w:left="3600" w:hanging="360"/>
      </w:pPr>
      <w:rPr>
        <w:rFonts w:ascii="Symbol" w:hAnsi="Symbol" w:hint="default"/>
      </w:rPr>
    </w:lvl>
  </w:abstractNum>
  <w:abstractNum w:abstractNumId="47" w15:restartNumberingAfterBreak="0">
    <w:nsid w:val="52E43D57"/>
    <w:multiLevelType w:val="hybridMultilevel"/>
    <w:tmpl w:val="2166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B569FE"/>
    <w:multiLevelType w:val="hybridMultilevel"/>
    <w:tmpl w:val="1CCAE7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A566AB2"/>
    <w:multiLevelType w:val="hybridMultilevel"/>
    <w:tmpl w:val="9DD0D9FA"/>
    <w:lvl w:ilvl="0" w:tplc="D51873C0">
      <w:start w:val="1"/>
      <w:numFmt w:val="bullet"/>
      <w:lvlText w:val=""/>
      <w:lvlJc w:val="left"/>
      <w:pPr>
        <w:ind w:left="720" w:hanging="360"/>
      </w:pPr>
      <w:rPr>
        <w:rFonts w:ascii="Symbol" w:hAnsi="Symbol" w:hint="default"/>
        <w:color w:val="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F16206"/>
    <w:multiLevelType w:val="hybridMultilevel"/>
    <w:tmpl w:val="7EE69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0358B5"/>
    <w:multiLevelType w:val="hybridMultilevel"/>
    <w:tmpl w:val="B5DC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CF669B"/>
    <w:multiLevelType w:val="hybridMultilevel"/>
    <w:tmpl w:val="B324E02A"/>
    <w:lvl w:ilvl="0" w:tplc="57A6D078">
      <w:start w:val="1"/>
      <w:numFmt w:val="bullet"/>
      <w:lvlText w:val=""/>
      <w:lvlJc w:val="left"/>
      <w:pPr>
        <w:ind w:left="720" w:hanging="360"/>
      </w:pPr>
      <w:rPr>
        <w:rFonts w:ascii="Symbol" w:hAnsi="Symbol" w:hint="default"/>
        <w:color w:val="1E988A"/>
      </w:rPr>
    </w:lvl>
    <w:lvl w:ilvl="1" w:tplc="E97A91FC">
      <w:start w:val="1"/>
      <w:numFmt w:val="bullet"/>
      <w:lvlText w:val="o"/>
      <w:lvlJc w:val="left"/>
      <w:pPr>
        <w:ind w:left="1440" w:hanging="360"/>
      </w:pPr>
      <w:rPr>
        <w:rFonts w:ascii="Courier New" w:hAnsi="Courier New" w:hint="default"/>
      </w:rPr>
    </w:lvl>
    <w:lvl w:ilvl="2" w:tplc="D9E0003C">
      <w:start w:val="1"/>
      <w:numFmt w:val="bullet"/>
      <w:lvlText w:val=""/>
      <w:lvlJc w:val="left"/>
      <w:pPr>
        <w:ind w:left="2160" w:hanging="360"/>
      </w:pPr>
      <w:rPr>
        <w:rFonts w:ascii="Wingdings" w:hAnsi="Wingdings" w:hint="default"/>
      </w:rPr>
    </w:lvl>
    <w:lvl w:ilvl="3" w:tplc="353CBFA0">
      <w:start w:val="1"/>
      <w:numFmt w:val="bullet"/>
      <w:lvlText w:val=""/>
      <w:lvlJc w:val="left"/>
      <w:pPr>
        <w:ind w:left="2880" w:hanging="360"/>
      </w:pPr>
      <w:rPr>
        <w:rFonts w:ascii="Symbol" w:hAnsi="Symbol" w:hint="default"/>
      </w:rPr>
    </w:lvl>
    <w:lvl w:ilvl="4" w:tplc="F5EC026E">
      <w:start w:val="1"/>
      <w:numFmt w:val="bullet"/>
      <w:lvlText w:val="o"/>
      <w:lvlJc w:val="left"/>
      <w:pPr>
        <w:ind w:left="3600" w:hanging="360"/>
      </w:pPr>
      <w:rPr>
        <w:rFonts w:ascii="Courier New" w:hAnsi="Courier New" w:hint="default"/>
      </w:rPr>
    </w:lvl>
    <w:lvl w:ilvl="5" w:tplc="79DEAC5E">
      <w:start w:val="1"/>
      <w:numFmt w:val="bullet"/>
      <w:lvlText w:val=""/>
      <w:lvlJc w:val="left"/>
      <w:pPr>
        <w:ind w:left="4320" w:hanging="360"/>
      </w:pPr>
      <w:rPr>
        <w:rFonts w:ascii="Wingdings" w:hAnsi="Wingdings" w:hint="default"/>
      </w:rPr>
    </w:lvl>
    <w:lvl w:ilvl="6" w:tplc="48042A40">
      <w:start w:val="1"/>
      <w:numFmt w:val="bullet"/>
      <w:lvlText w:val=""/>
      <w:lvlJc w:val="left"/>
      <w:pPr>
        <w:ind w:left="5040" w:hanging="360"/>
      </w:pPr>
      <w:rPr>
        <w:rFonts w:ascii="Symbol" w:hAnsi="Symbol" w:hint="default"/>
      </w:rPr>
    </w:lvl>
    <w:lvl w:ilvl="7" w:tplc="2F926F86">
      <w:start w:val="1"/>
      <w:numFmt w:val="bullet"/>
      <w:lvlText w:val="o"/>
      <w:lvlJc w:val="left"/>
      <w:pPr>
        <w:ind w:left="5760" w:hanging="360"/>
      </w:pPr>
      <w:rPr>
        <w:rFonts w:ascii="Courier New" w:hAnsi="Courier New" w:hint="default"/>
      </w:rPr>
    </w:lvl>
    <w:lvl w:ilvl="8" w:tplc="D15A1D7A">
      <w:start w:val="1"/>
      <w:numFmt w:val="bullet"/>
      <w:lvlText w:val=""/>
      <w:lvlJc w:val="left"/>
      <w:pPr>
        <w:ind w:left="6480" w:hanging="360"/>
      </w:pPr>
      <w:rPr>
        <w:rFonts w:ascii="Wingdings" w:hAnsi="Wingdings" w:hint="default"/>
      </w:rPr>
    </w:lvl>
  </w:abstractNum>
  <w:abstractNum w:abstractNumId="53" w15:restartNumberingAfterBreak="0">
    <w:nsid w:val="66966448"/>
    <w:multiLevelType w:val="hybridMultilevel"/>
    <w:tmpl w:val="A8123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66A80253"/>
    <w:multiLevelType w:val="hybridMultilevel"/>
    <w:tmpl w:val="9DF66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841CB05"/>
    <w:multiLevelType w:val="hybridMultilevel"/>
    <w:tmpl w:val="EFCE584C"/>
    <w:lvl w:ilvl="0" w:tplc="D2D4B1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4882DB4">
      <w:start w:val="1"/>
      <w:numFmt w:val="bullet"/>
      <w:lvlText w:val=""/>
      <w:lvlJc w:val="left"/>
      <w:pPr>
        <w:ind w:left="2160" w:hanging="360"/>
      </w:pPr>
      <w:rPr>
        <w:rFonts w:ascii="Wingdings" w:hAnsi="Wingdings" w:hint="default"/>
      </w:rPr>
    </w:lvl>
    <w:lvl w:ilvl="3" w:tplc="ADF0729E">
      <w:start w:val="1"/>
      <w:numFmt w:val="bullet"/>
      <w:lvlText w:val=""/>
      <w:lvlJc w:val="left"/>
      <w:pPr>
        <w:ind w:left="2880" w:hanging="360"/>
      </w:pPr>
      <w:rPr>
        <w:rFonts w:ascii="Symbol" w:hAnsi="Symbol" w:hint="default"/>
      </w:rPr>
    </w:lvl>
    <w:lvl w:ilvl="4" w:tplc="A24CB166">
      <w:start w:val="1"/>
      <w:numFmt w:val="bullet"/>
      <w:lvlText w:val="o"/>
      <w:lvlJc w:val="left"/>
      <w:pPr>
        <w:ind w:left="3600" w:hanging="360"/>
      </w:pPr>
      <w:rPr>
        <w:rFonts w:ascii="Courier New" w:hAnsi="Courier New" w:hint="default"/>
      </w:rPr>
    </w:lvl>
    <w:lvl w:ilvl="5" w:tplc="4A8084DE">
      <w:start w:val="1"/>
      <w:numFmt w:val="bullet"/>
      <w:lvlText w:val=""/>
      <w:lvlJc w:val="left"/>
      <w:pPr>
        <w:ind w:left="4320" w:hanging="360"/>
      </w:pPr>
      <w:rPr>
        <w:rFonts w:ascii="Wingdings" w:hAnsi="Wingdings" w:hint="default"/>
      </w:rPr>
    </w:lvl>
    <w:lvl w:ilvl="6" w:tplc="983EF1E8">
      <w:start w:val="1"/>
      <w:numFmt w:val="bullet"/>
      <w:lvlText w:val=""/>
      <w:lvlJc w:val="left"/>
      <w:pPr>
        <w:ind w:left="5040" w:hanging="360"/>
      </w:pPr>
      <w:rPr>
        <w:rFonts w:ascii="Symbol" w:hAnsi="Symbol" w:hint="default"/>
      </w:rPr>
    </w:lvl>
    <w:lvl w:ilvl="7" w:tplc="F5B48770">
      <w:start w:val="1"/>
      <w:numFmt w:val="bullet"/>
      <w:lvlText w:val="o"/>
      <w:lvlJc w:val="left"/>
      <w:pPr>
        <w:ind w:left="5760" w:hanging="360"/>
      </w:pPr>
      <w:rPr>
        <w:rFonts w:ascii="Courier New" w:hAnsi="Courier New" w:hint="default"/>
      </w:rPr>
    </w:lvl>
    <w:lvl w:ilvl="8" w:tplc="7D104B58">
      <w:start w:val="1"/>
      <w:numFmt w:val="bullet"/>
      <w:lvlText w:val=""/>
      <w:lvlJc w:val="left"/>
      <w:pPr>
        <w:ind w:left="6480" w:hanging="360"/>
      </w:pPr>
      <w:rPr>
        <w:rFonts w:ascii="Wingdings" w:hAnsi="Wingdings" w:hint="default"/>
      </w:rPr>
    </w:lvl>
  </w:abstractNum>
  <w:abstractNum w:abstractNumId="56" w15:restartNumberingAfterBreak="0">
    <w:nsid w:val="6C27747C"/>
    <w:multiLevelType w:val="hybridMultilevel"/>
    <w:tmpl w:val="2166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5112CD"/>
    <w:multiLevelType w:val="hybridMultilevel"/>
    <w:tmpl w:val="17D47A7E"/>
    <w:lvl w:ilvl="0" w:tplc="402EB078">
      <w:start w:val="1"/>
      <w:numFmt w:val="bullet"/>
      <w:lvlText w:val="–"/>
      <w:lvlJc w:val="left"/>
      <w:pPr>
        <w:ind w:left="1080" w:hanging="360"/>
      </w:pPr>
      <w:rPr>
        <w:rFonts w:ascii="Calibri" w:hAnsi="Calibri" w:hint="default"/>
        <w:color w:val="1E988A" w:themeColor="accent3"/>
      </w:rPr>
    </w:lvl>
    <w:lvl w:ilvl="1" w:tplc="2AC2B59E">
      <w:start w:val="1"/>
      <w:numFmt w:val="bullet"/>
      <w:lvlText w:val="o"/>
      <w:lvlJc w:val="left"/>
      <w:pPr>
        <w:ind w:left="1800" w:hanging="360"/>
      </w:pPr>
      <w:rPr>
        <w:rFonts w:ascii="Courier New" w:hAnsi="Courier New" w:hint="default"/>
      </w:rPr>
    </w:lvl>
    <w:lvl w:ilvl="2" w:tplc="F49A51FC">
      <w:start w:val="1"/>
      <w:numFmt w:val="bullet"/>
      <w:lvlText w:val=""/>
      <w:lvlJc w:val="left"/>
      <w:pPr>
        <w:ind w:left="2520" w:hanging="360"/>
      </w:pPr>
      <w:rPr>
        <w:rFonts w:ascii="Wingdings" w:hAnsi="Wingdings" w:hint="default"/>
      </w:rPr>
    </w:lvl>
    <w:lvl w:ilvl="3" w:tplc="823EF8C8">
      <w:start w:val="1"/>
      <w:numFmt w:val="bullet"/>
      <w:lvlText w:val=""/>
      <w:lvlJc w:val="left"/>
      <w:pPr>
        <w:ind w:left="3240" w:hanging="360"/>
      </w:pPr>
      <w:rPr>
        <w:rFonts w:ascii="Symbol" w:hAnsi="Symbol" w:hint="default"/>
      </w:rPr>
    </w:lvl>
    <w:lvl w:ilvl="4" w:tplc="A69416A2">
      <w:start w:val="1"/>
      <w:numFmt w:val="bullet"/>
      <w:lvlText w:val="o"/>
      <w:lvlJc w:val="left"/>
      <w:pPr>
        <w:ind w:left="3960" w:hanging="360"/>
      </w:pPr>
      <w:rPr>
        <w:rFonts w:ascii="Courier New" w:hAnsi="Courier New" w:hint="default"/>
      </w:rPr>
    </w:lvl>
    <w:lvl w:ilvl="5" w:tplc="C8B8E228">
      <w:start w:val="1"/>
      <w:numFmt w:val="bullet"/>
      <w:lvlText w:val=""/>
      <w:lvlJc w:val="left"/>
      <w:pPr>
        <w:ind w:left="4680" w:hanging="360"/>
      </w:pPr>
      <w:rPr>
        <w:rFonts w:ascii="Wingdings" w:hAnsi="Wingdings" w:hint="default"/>
      </w:rPr>
    </w:lvl>
    <w:lvl w:ilvl="6" w:tplc="CBF403FA">
      <w:start w:val="1"/>
      <w:numFmt w:val="bullet"/>
      <w:lvlText w:val=""/>
      <w:lvlJc w:val="left"/>
      <w:pPr>
        <w:ind w:left="5400" w:hanging="360"/>
      </w:pPr>
      <w:rPr>
        <w:rFonts w:ascii="Symbol" w:hAnsi="Symbol" w:hint="default"/>
      </w:rPr>
    </w:lvl>
    <w:lvl w:ilvl="7" w:tplc="0D5CD1B8">
      <w:start w:val="1"/>
      <w:numFmt w:val="bullet"/>
      <w:lvlText w:val="o"/>
      <w:lvlJc w:val="left"/>
      <w:pPr>
        <w:ind w:left="6120" w:hanging="360"/>
      </w:pPr>
      <w:rPr>
        <w:rFonts w:ascii="Courier New" w:hAnsi="Courier New" w:hint="default"/>
      </w:rPr>
    </w:lvl>
    <w:lvl w:ilvl="8" w:tplc="1AD4AE32">
      <w:start w:val="1"/>
      <w:numFmt w:val="bullet"/>
      <w:lvlText w:val=""/>
      <w:lvlJc w:val="left"/>
      <w:pPr>
        <w:ind w:left="6840" w:hanging="360"/>
      </w:pPr>
      <w:rPr>
        <w:rFonts w:ascii="Wingdings" w:hAnsi="Wingdings" w:hint="default"/>
      </w:rPr>
    </w:lvl>
  </w:abstractNum>
  <w:abstractNum w:abstractNumId="58" w15:restartNumberingAfterBreak="0">
    <w:nsid w:val="74E301E2"/>
    <w:multiLevelType w:val="hybridMultilevel"/>
    <w:tmpl w:val="D2361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A50175C"/>
    <w:multiLevelType w:val="hybridMultilevel"/>
    <w:tmpl w:val="33C0AAA4"/>
    <w:lvl w:ilvl="0" w:tplc="EB6E64A8">
      <w:start w:val="1"/>
      <w:numFmt w:val="bullet"/>
      <w:lvlText w:val=""/>
      <w:lvlJc w:val="left"/>
      <w:pPr>
        <w:ind w:left="720" w:hanging="360"/>
      </w:pPr>
      <w:rPr>
        <w:rFonts w:ascii="Symbol" w:hAnsi="Symbol" w:hint="default"/>
        <w:color w:val="1E98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172605"/>
    <w:multiLevelType w:val="hybridMultilevel"/>
    <w:tmpl w:val="C2E42732"/>
    <w:lvl w:ilvl="0" w:tplc="370C2B40">
      <w:start w:val="1"/>
      <w:numFmt w:val="bullet"/>
      <w:lvlText w:val=""/>
      <w:lvlJc w:val="left"/>
      <w:pPr>
        <w:ind w:left="720" w:hanging="360"/>
      </w:pPr>
      <w:rPr>
        <w:rFonts w:ascii="Symbol" w:hAnsi="Symbol" w:hint="default"/>
        <w:color w:val="009999"/>
      </w:rPr>
    </w:lvl>
    <w:lvl w:ilvl="1" w:tplc="38A45752">
      <w:start w:val="1"/>
      <w:numFmt w:val="bullet"/>
      <w:lvlText w:val="o"/>
      <w:lvlJc w:val="left"/>
      <w:pPr>
        <w:ind w:left="1440" w:hanging="360"/>
      </w:pPr>
      <w:rPr>
        <w:rFonts w:ascii="Courier New" w:hAnsi="Courier New" w:hint="default"/>
      </w:rPr>
    </w:lvl>
    <w:lvl w:ilvl="2" w:tplc="3CCA7104">
      <w:start w:val="1"/>
      <w:numFmt w:val="bullet"/>
      <w:lvlText w:val=""/>
      <w:lvlJc w:val="left"/>
      <w:pPr>
        <w:ind w:left="2160" w:hanging="360"/>
      </w:pPr>
      <w:rPr>
        <w:rFonts w:ascii="Wingdings" w:hAnsi="Wingdings" w:hint="default"/>
      </w:rPr>
    </w:lvl>
    <w:lvl w:ilvl="3" w:tplc="2FC86628">
      <w:start w:val="1"/>
      <w:numFmt w:val="bullet"/>
      <w:lvlText w:val=""/>
      <w:lvlJc w:val="left"/>
      <w:pPr>
        <w:ind w:left="2880" w:hanging="360"/>
      </w:pPr>
      <w:rPr>
        <w:rFonts w:ascii="Symbol" w:hAnsi="Symbol" w:hint="default"/>
      </w:rPr>
    </w:lvl>
    <w:lvl w:ilvl="4" w:tplc="90907FE0">
      <w:start w:val="1"/>
      <w:numFmt w:val="bullet"/>
      <w:lvlText w:val="o"/>
      <w:lvlJc w:val="left"/>
      <w:pPr>
        <w:ind w:left="3600" w:hanging="360"/>
      </w:pPr>
      <w:rPr>
        <w:rFonts w:ascii="Courier New" w:hAnsi="Courier New" w:hint="default"/>
      </w:rPr>
    </w:lvl>
    <w:lvl w:ilvl="5" w:tplc="12EA108E">
      <w:start w:val="1"/>
      <w:numFmt w:val="bullet"/>
      <w:lvlText w:val=""/>
      <w:lvlJc w:val="left"/>
      <w:pPr>
        <w:ind w:left="4320" w:hanging="360"/>
      </w:pPr>
      <w:rPr>
        <w:rFonts w:ascii="Wingdings" w:hAnsi="Wingdings" w:hint="default"/>
      </w:rPr>
    </w:lvl>
    <w:lvl w:ilvl="6" w:tplc="5BCACCA8">
      <w:start w:val="1"/>
      <w:numFmt w:val="bullet"/>
      <w:lvlText w:val=""/>
      <w:lvlJc w:val="left"/>
      <w:pPr>
        <w:ind w:left="5040" w:hanging="360"/>
      </w:pPr>
      <w:rPr>
        <w:rFonts w:ascii="Symbol" w:hAnsi="Symbol" w:hint="default"/>
      </w:rPr>
    </w:lvl>
    <w:lvl w:ilvl="7" w:tplc="DB643320">
      <w:start w:val="1"/>
      <w:numFmt w:val="bullet"/>
      <w:lvlText w:val="o"/>
      <w:lvlJc w:val="left"/>
      <w:pPr>
        <w:ind w:left="5760" w:hanging="360"/>
      </w:pPr>
      <w:rPr>
        <w:rFonts w:ascii="Courier New" w:hAnsi="Courier New" w:hint="default"/>
      </w:rPr>
    </w:lvl>
    <w:lvl w:ilvl="8" w:tplc="D778B0EE">
      <w:start w:val="1"/>
      <w:numFmt w:val="bullet"/>
      <w:lvlText w:val=""/>
      <w:lvlJc w:val="left"/>
      <w:pPr>
        <w:ind w:left="6480" w:hanging="360"/>
      </w:pPr>
      <w:rPr>
        <w:rFonts w:ascii="Wingdings" w:hAnsi="Wingdings" w:hint="default"/>
      </w:rPr>
    </w:lvl>
  </w:abstractNum>
  <w:abstractNum w:abstractNumId="61" w15:restartNumberingAfterBreak="0">
    <w:nsid w:val="7D9461A9"/>
    <w:multiLevelType w:val="hybridMultilevel"/>
    <w:tmpl w:val="D382BD86"/>
    <w:lvl w:ilvl="0" w:tplc="3F5ACD10">
      <w:start w:val="1"/>
      <w:numFmt w:val="bullet"/>
      <w:lvlText w:val="•"/>
      <w:lvlJc w:val="left"/>
      <w:pPr>
        <w:tabs>
          <w:tab w:val="num" w:pos="-1816"/>
        </w:tabs>
        <w:ind w:left="-1816" w:hanging="360"/>
      </w:pPr>
      <w:rPr>
        <w:rFonts w:ascii="Arial" w:hAnsi="Arial" w:hint="default"/>
      </w:rPr>
    </w:lvl>
    <w:lvl w:ilvl="1" w:tplc="8D1E1B7C" w:tentative="1">
      <w:start w:val="1"/>
      <w:numFmt w:val="bullet"/>
      <w:lvlText w:val="•"/>
      <w:lvlJc w:val="left"/>
      <w:pPr>
        <w:tabs>
          <w:tab w:val="num" w:pos="-1096"/>
        </w:tabs>
        <w:ind w:left="-1096" w:hanging="360"/>
      </w:pPr>
      <w:rPr>
        <w:rFonts w:ascii="Arial" w:hAnsi="Arial" w:hint="default"/>
      </w:rPr>
    </w:lvl>
    <w:lvl w:ilvl="2" w:tplc="E1285CB4" w:tentative="1">
      <w:start w:val="1"/>
      <w:numFmt w:val="bullet"/>
      <w:lvlText w:val="•"/>
      <w:lvlJc w:val="left"/>
      <w:pPr>
        <w:tabs>
          <w:tab w:val="num" w:pos="-376"/>
        </w:tabs>
        <w:ind w:left="-376" w:hanging="360"/>
      </w:pPr>
      <w:rPr>
        <w:rFonts w:ascii="Arial" w:hAnsi="Arial" w:hint="default"/>
      </w:rPr>
    </w:lvl>
    <w:lvl w:ilvl="3" w:tplc="DF36ACAA" w:tentative="1">
      <w:start w:val="1"/>
      <w:numFmt w:val="bullet"/>
      <w:lvlText w:val="•"/>
      <w:lvlJc w:val="left"/>
      <w:pPr>
        <w:tabs>
          <w:tab w:val="num" w:pos="344"/>
        </w:tabs>
        <w:ind w:left="344" w:hanging="360"/>
      </w:pPr>
      <w:rPr>
        <w:rFonts w:ascii="Arial" w:hAnsi="Arial" w:hint="default"/>
      </w:rPr>
    </w:lvl>
    <w:lvl w:ilvl="4" w:tplc="A7E80222" w:tentative="1">
      <w:start w:val="1"/>
      <w:numFmt w:val="bullet"/>
      <w:lvlText w:val="•"/>
      <w:lvlJc w:val="left"/>
      <w:pPr>
        <w:tabs>
          <w:tab w:val="num" w:pos="1064"/>
        </w:tabs>
        <w:ind w:left="1064" w:hanging="360"/>
      </w:pPr>
      <w:rPr>
        <w:rFonts w:ascii="Arial" w:hAnsi="Arial" w:hint="default"/>
      </w:rPr>
    </w:lvl>
    <w:lvl w:ilvl="5" w:tplc="3C1092E8" w:tentative="1">
      <w:start w:val="1"/>
      <w:numFmt w:val="bullet"/>
      <w:lvlText w:val="•"/>
      <w:lvlJc w:val="left"/>
      <w:pPr>
        <w:tabs>
          <w:tab w:val="num" w:pos="1784"/>
        </w:tabs>
        <w:ind w:left="1784" w:hanging="360"/>
      </w:pPr>
      <w:rPr>
        <w:rFonts w:ascii="Arial" w:hAnsi="Arial" w:hint="default"/>
      </w:rPr>
    </w:lvl>
    <w:lvl w:ilvl="6" w:tplc="4ED820B2" w:tentative="1">
      <w:start w:val="1"/>
      <w:numFmt w:val="bullet"/>
      <w:lvlText w:val="•"/>
      <w:lvlJc w:val="left"/>
      <w:pPr>
        <w:tabs>
          <w:tab w:val="num" w:pos="2504"/>
        </w:tabs>
        <w:ind w:left="2504" w:hanging="360"/>
      </w:pPr>
      <w:rPr>
        <w:rFonts w:ascii="Arial" w:hAnsi="Arial" w:hint="default"/>
      </w:rPr>
    </w:lvl>
    <w:lvl w:ilvl="7" w:tplc="95AE99A0" w:tentative="1">
      <w:start w:val="1"/>
      <w:numFmt w:val="bullet"/>
      <w:lvlText w:val="•"/>
      <w:lvlJc w:val="left"/>
      <w:pPr>
        <w:tabs>
          <w:tab w:val="num" w:pos="3224"/>
        </w:tabs>
        <w:ind w:left="3224" w:hanging="360"/>
      </w:pPr>
      <w:rPr>
        <w:rFonts w:ascii="Arial" w:hAnsi="Arial" w:hint="default"/>
      </w:rPr>
    </w:lvl>
    <w:lvl w:ilvl="8" w:tplc="1E82D8AA" w:tentative="1">
      <w:start w:val="1"/>
      <w:numFmt w:val="bullet"/>
      <w:lvlText w:val="•"/>
      <w:lvlJc w:val="left"/>
      <w:pPr>
        <w:tabs>
          <w:tab w:val="num" w:pos="3944"/>
        </w:tabs>
        <w:ind w:left="3944" w:hanging="360"/>
      </w:pPr>
      <w:rPr>
        <w:rFonts w:ascii="Arial" w:hAnsi="Arial" w:hint="default"/>
      </w:rPr>
    </w:lvl>
  </w:abstractNum>
  <w:abstractNum w:abstractNumId="62" w15:restartNumberingAfterBreak="0">
    <w:nsid w:val="7DDD57FF"/>
    <w:multiLevelType w:val="hybridMultilevel"/>
    <w:tmpl w:val="8ACE6A8E"/>
    <w:lvl w:ilvl="0" w:tplc="C8C23938">
      <w:start w:val="1"/>
      <w:numFmt w:val="bullet"/>
      <w:lvlText w:val=""/>
      <w:lvlJc w:val="left"/>
      <w:pPr>
        <w:ind w:left="360" w:hanging="360"/>
      </w:pPr>
      <w:rPr>
        <w:rFonts w:ascii="Wingdings" w:hAnsi="Wingdings" w:hint="default"/>
      </w:rPr>
    </w:lvl>
    <w:lvl w:ilvl="1" w:tplc="4FA262D8">
      <w:start w:val="1"/>
      <w:numFmt w:val="bullet"/>
      <w:lvlText w:val=""/>
      <w:lvlJc w:val="left"/>
      <w:pPr>
        <w:ind w:left="720" w:hanging="360"/>
      </w:pPr>
      <w:rPr>
        <w:rFonts w:ascii="Symbol" w:hAnsi="Symbol" w:hint="default"/>
        <w:color w:val="1E988A"/>
      </w:rPr>
    </w:lvl>
    <w:lvl w:ilvl="2" w:tplc="BED8D5A4">
      <w:start w:val="1"/>
      <w:numFmt w:val="bullet"/>
      <w:lvlText w:val=""/>
      <w:lvlJc w:val="left"/>
      <w:pPr>
        <w:ind w:left="1080" w:hanging="360"/>
      </w:pPr>
      <w:rPr>
        <w:rFonts w:ascii="Wingdings" w:hAnsi="Wingdings" w:hint="default"/>
      </w:rPr>
    </w:lvl>
    <w:lvl w:ilvl="3" w:tplc="786E82B0">
      <w:start w:val="1"/>
      <w:numFmt w:val="bullet"/>
      <w:lvlText w:val=""/>
      <w:lvlJc w:val="left"/>
      <w:pPr>
        <w:ind w:left="1440" w:hanging="360"/>
      </w:pPr>
      <w:rPr>
        <w:rFonts w:ascii="Symbol" w:hAnsi="Symbol" w:hint="default"/>
      </w:rPr>
    </w:lvl>
    <w:lvl w:ilvl="4" w:tplc="41E0A0EC">
      <w:start w:val="1"/>
      <w:numFmt w:val="bullet"/>
      <w:lvlText w:val=""/>
      <w:lvlJc w:val="left"/>
      <w:pPr>
        <w:ind w:left="1800" w:hanging="360"/>
      </w:pPr>
      <w:rPr>
        <w:rFonts w:ascii="Symbol" w:hAnsi="Symbol" w:hint="default"/>
      </w:rPr>
    </w:lvl>
    <w:lvl w:ilvl="5" w:tplc="0C16E5E6">
      <w:start w:val="1"/>
      <w:numFmt w:val="bullet"/>
      <w:lvlText w:val=""/>
      <w:lvlJc w:val="left"/>
      <w:pPr>
        <w:ind w:left="2160" w:hanging="360"/>
      </w:pPr>
      <w:rPr>
        <w:rFonts w:ascii="Wingdings" w:hAnsi="Wingdings" w:hint="default"/>
      </w:rPr>
    </w:lvl>
    <w:lvl w:ilvl="6" w:tplc="628AAE50">
      <w:start w:val="1"/>
      <w:numFmt w:val="bullet"/>
      <w:lvlText w:val=""/>
      <w:lvlJc w:val="left"/>
      <w:pPr>
        <w:ind w:left="2520" w:hanging="360"/>
      </w:pPr>
      <w:rPr>
        <w:rFonts w:ascii="Wingdings" w:hAnsi="Wingdings" w:hint="default"/>
      </w:rPr>
    </w:lvl>
    <w:lvl w:ilvl="7" w:tplc="AC9EC4C6">
      <w:start w:val="1"/>
      <w:numFmt w:val="bullet"/>
      <w:lvlText w:val=""/>
      <w:lvlJc w:val="left"/>
      <w:pPr>
        <w:ind w:left="2880" w:hanging="360"/>
      </w:pPr>
      <w:rPr>
        <w:rFonts w:ascii="Symbol" w:hAnsi="Symbol" w:hint="default"/>
      </w:rPr>
    </w:lvl>
    <w:lvl w:ilvl="8" w:tplc="99ACF72A">
      <w:start w:val="1"/>
      <w:numFmt w:val="bullet"/>
      <w:lvlText w:val=""/>
      <w:lvlJc w:val="left"/>
      <w:pPr>
        <w:ind w:left="3240" w:hanging="360"/>
      </w:pPr>
      <w:rPr>
        <w:rFonts w:ascii="Symbol" w:hAnsi="Symbol" w:hint="default"/>
      </w:rPr>
    </w:lvl>
  </w:abstractNum>
  <w:num w:numId="1" w16cid:durableId="1147165926">
    <w:abstractNumId w:val="1"/>
  </w:num>
  <w:num w:numId="2" w16cid:durableId="1550075033">
    <w:abstractNumId w:val="33"/>
  </w:num>
  <w:num w:numId="3" w16cid:durableId="1101025445">
    <w:abstractNumId w:val="38"/>
  </w:num>
  <w:num w:numId="4" w16cid:durableId="1412383950">
    <w:abstractNumId w:val="62"/>
  </w:num>
  <w:num w:numId="5" w16cid:durableId="224024916">
    <w:abstractNumId w:val="12"/>
  </w:num>
  <w:num w:numId="6" w16cid:durableId="41829845">
    <w:abstractNumId w:val="51"/>
  </w:num>
  <w:num w:numId="7" w16cid:durableId="1603950430">
    <w:abstractNumId w:val="20"/>
  </w:num>
  <w:num w:numId="8" w16cid:durableId="775518200">
    <w:abstractNumId w:val="0"/>
  </w:num>
  <w:num w:numId="9" w16cid:durableId="470366312">
    <w:abstractNumId w:val="14"/>
  </w:num>
  <w:num w:numId="10" w16cid:durableId="1096555937">
    <w:abstractNumId w:val="6"/>
  </w:num>
  <w:num w:numId="11" w16cid:durableId="1804500867">
    <w:abstractNumId w:val="7"/>
  </w:num>
  <w:num w:numId="12" w16cid:durableId="260458799">
    <w:abstractNumId w:val="34"/>
  </w:num>
  <w:num w:numId="13" w16cid:durableId="52898572">
    <w:abstractNumId w:val="27"/>
  </w:num>
  <w:num w:numId="14" w16cid:durableId="1956517061">
    <w:abstractNumId w:val="43"/>
  </w:num>
  <w:num w:numId="15" w16cid:durableId="2028477563">
    <w:abstractNumId w:val="46"/>
  </w:num>
  <w:num w:numId="16" w16cid:durableId="1168256402">
    <w:abstractNumId w:val="41"/>
  </w:num>
  <w:num w:numId="17" w16cid:durableId="321157484">
    <w:abstractNumId w:val="25"/>
  </w:num>
  <w:num w:numId="18" w16cid:durableId="1680042218">
    <w:abstractNumId w:val="3"/>
  </w:num>
  <w:num w:numId="19" w16cid:durableId="971209026">
    <w:abstractNumId w:val="26"/>
  </w:num>
  <w:num w:numId="20" w16cid:durableId="1115753701">
    <w:abstractNumId w:val="57"/>
  </w:num>
  <w:num w:numId="21" w16cid:durableId="1289705433">
    <w:abstractNumId w:val="60"/>
  </w:num>
  <w:num w:numId="22" w16cid:durableId="1428233097">
    <w:abstractNumId w:val="55"/>
  </w:num>
  <w:num w:numId="23" w16cid:durableId="575554684">
    <w:abstractNumId w:val="40"/>
  </w:num>
  <w:num w:numId="24" w16cid:durableId="1724258264">
    <w:abstractNumId w:val="54"/>
  </w:num>
  <w:num w:numId="25" w16cid:durableId="1825394350">
    <w:abstractNumId w:val="30"/>
  </w:num>
  <w:num w:numId="26" w16cid:durableId="760679982">
    <w:abstractNumId w:val="47"/>
  </w:num>
  <w:num w:numId="27" w16cid:durableId="872688995">
    <w:abstractNumId w:val="35"/>
  </w:num>
  <w:num w:numId="28" w16cid:durableId="355812815">
    <w:abstractNumId w:val="9"/>
  </w:num>
  <w:num w:numId="29" w16cid:durableId="909000182">
    <w:abstractNumId w:val="59"/>
  </w:num>
  <w:num w:numId="30" w16cid:durableId="233975110">
    <w:abstractNumId w:val="23"/>
  </w:num>
  <w:num w:numId="31" w16cid:durableId="1453010314">
    <w:abstractNumId w:val="42"/>
  </w:num>
  <w:num w:numId="32" w16cid:durableId="2145271071">
    <w:abstractNumId w:val="44"/>
  </w:num>
  <w:num w:numId="33" w16cid:durableId="923684173">
    <w:abstractNumId w:val="29"/>
  </w:num>
  <w:num w:numId="34" w16cid:durableId="2054497136">
    <w:abstractNumId w:val="52"/>
  </w:num>
  <w:num w:numId="35" w16cid:durableId="1682317475">
    <w:abstractNumId w:val="61"/>
  </w:num>
  <w:num w:numId="36" w16cid:durableId="1257516437">
    <w:abstractNumId w:val="39"/>
  </w:num>
  <w:num w:numId="37" w16cid:durableId="955714793">
    <w:abstractNumId w:val="49"/>
  </w:num>
  <w:num w:numId="38" w16cid:durableId="1051612237">
    <w:abstractNumId w:val="21"/>
  </w:num>
  <w:num w:numId="39" w16cid:durableId="2001998925">
    <w:abstractNumId w:val="36"/>
  </w:num>
  <w:num w:numId="40" w16cid:durableId="1245459706">
    <w:abstractNumId w:val="17"/>
  </w:num>
  <w:num w:numId="41" w16cid:durableId="54932814">
    <w:abstractNumId w:val="13"/>
  </w:num>
  <w:num w:numId="42" w16cid:durableId="176622800">
    <w:abstractNumId w:val="56"/>
  </w:num>
  <w:num w:numId="43" w16cid:durableId="1633708765">
    <w:abstractNumId w:val="31"/>
  </w:num>
  <w:num w:numId="44" w16cid:durableId="2141530571">
    <w:abstractNumId w:val="22"/>
  </w:num>
  <w:num w:numId="45" w16cid:durableId="656567068">
    <w:abstractNumId w:val="15"/>
  </w:num>
  <w:num w:numId="46" w16cid:durableId="344214382">
    <w:abstractNumId w:val="24"/>
  </w:num>
  <w:num w:numId="47" w16cid:durableId="1657568029">
    <w:abstractNumId w:val="50"/>
  </w:num>
  <w:num w:numId="48" w16cid:durableId="675425859">
    <w:abstractNumId w:val="18"/>
  </w:num>
  <w:num w:numId="49" w16cid:durableId="1689716781">
    <w:abstractNumId w:val="53"/>
  </w:num>
  <w:num w:numId="50" w16cid:durableId="517501696">
    <w:abstractNumId w:val="53"/>
  </w:num>
  <w:num w:numId="51" w16cid:durableId="1546453277">
    <w:abstractNumId w:val="4"/>
  </w:num>
  <w:num w:numId="52" w16cid:durableId="735930510">
    <w:abstractNumId w:val="16"/>
  </w:num>
  <w:num w:numId="53" w16cid:durableId="1479372013">
    <w:abstractNumId w:val="11"/>
  </w:num>
  <w:num w:numId="54" w16cid:durableId="1012606149">
    <w:abstractNumId w:val="48"/>
  </w:num>
  <w:num w:numId="55" w16cid:durableId="2088961236">
    <w:abstractNumId w:val="58"/>
  </w:num>
  <w:num w:numId="56" w16cid:durableId="1986934967">
    <w:abstractNumId w:val="10"/>
  </w:num>
  <w:num w:numId="57" w16cid:durableId="1586374829">
    <w:abstractNumId w:val="19"/>
  </w:num>
  <w:num w:numId="58" w16cid:durableId="851453720">
    <w:abstractNumId w:val="2"/>
  </w:num>
  <w:num w:numId="59" w16cid:durableId="899175060">
    <w:abstractNumId w:val="28"/>
  </w:num>
  <w:num w:numId="60" w16cid:durableId="1041827311">
    <w:abstractNumId w:val="37"/>
  </w:num>
  <w:num w:numId="61" w16cid:durableId="1990086984">
    <w:abstractNumId w:val="8"/>
  </w:num>
  <w:num w:numId="62" w16cid:durableId="1378243175">
    <w:abstractNumId w:val="5"/>
  </w:num>
  <w:num w:numId="63" w16cid:durableId="70347357">
    <w:abstractNumId w:val="32"/>
  </w:num>
  <w:num w:numId="64" w16cid:durableId="1154833862">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3F"/>
    <w:rsid w:val="00000248"/>
    <w:rsid w:val="00001952"/>
    <w:rsid w:val="0000402D"/>
    <w:rsid w:val="00006E0D"/>
    <w:rsid w:val="0000772C"/>
    <w:rsid w:val="000077D6"/>
    <w:rsid w:val="00007835"/>
    <w:rsid w:val="000106A3"/>
    <w:rsid w:val="00010730"/>
    <w:rsid w:val="00010BDA"/>
    <w:rsid w:val="000115C6"/>
    <w:rsid w:val="00011D30"/>
    <w:rsid w:val="000133C2"/>
    <w:rsid w:val="000134E7"/>
    <w:rsid w:val="000137B8"/>
    <w:rsid w:val="0001406A"/>
    <w:rsid w:val="00014B3A"/>
    <w:rsid w:val="00016549"/>
    <w:rsid w:val="0001720C"/>
    <w:rsid w:val="00017E00"/>
    <w:rsid w:val="00020A6E"/>
    <w:rsid w:val="00021662"/>
    <w:rsid w:val="000218DC"/>
    <w:rsid w:val="00022A3E"/>
    <w:rsid w:val="00024D88"/>
    <w:rsid w:val="0002505C"/>
    <w:rsid w:val="00026944"/>
    <w:rsid w:val="00026C65"/>
    <w:rsid w:val="00027FC0"/>
    <w:rsid w:val="000303C9"/>
    <w:rsid w:val="000310E1"/>
    <w:rsid w:val="000318D4"/>
    <w:rsid w:val="00031BA6"/>
    <w:rsid w:val="00033196"/>
    <w:rsid w:val="00033A59"/>
    <w:rsid w:val="00033E40"/>
    <w:rsid w:val="00034A9F"/>
    <w:rsid w:val="00034E7E"/>
    <w:rsid w:val="00035C48"/>
    <w:rsid w:val="00035CB0"/>
    <w:rsid w:val="000364E2"/>
    <w:rsid w:val="00040209"/>
    <w:rsid w:val="0004022B"/>
    <w:rsid w:val="00040514"/>
    <w:rsid w:val="00041C1F"/>
    <w:rsid w:val="00042244"/>
    <w:rsid w:val="00042F46"/>
    <w:rsid w:val="00043F1B"/>
    <w:rsid w:val="00044004"/>
    <w:rsid w:val="000473A6"/>
    <w:rsid w:val="00047454"/>
    <w:rsid w:val="0004746D"/>
    <w:rsid w:val="00047C80"/>
    <w:rsid w:val="000502AE"/>
    <w:rsid w:val="000509A1"/>
    <w:rsid w:val="00052173"/>
    <w:rsid w:val="00052AD1"/>
    <w:rsid w:val="00052B50"/>
    <w:rsid w:val="00053061"/>
    <w:rsid w:val="00053A23"/>
    <w:rsid w:val="000558D8"/>
    <w:rsid w:val="000559BE"/>
    <w:rsid w:val="00057329"/>
    <w:rsid w:val="000579AF"/>
    <w:rsid w:val="00057B2C"/>
    <w:rsid w:val="00060D34"/>
    <w:rsid w:val="00061551"/>
    <w:rsid w:val="00062394"/>
    <w:rsid w:val="00062B1B"/>
    <w:rsid w:val="000631B1"/>
    <w:rsid w:val="00063B99"/>
    <w:rsid w:val="00064A95"/>
    <w:rsid w:val="00067840"/>
    <w:rsid w:val="00067E55"/>
    <w:rsid w:val="000710F9"/>
    <w:rsid w:val="00071CF9"/>
    <w:rsid w:val="00071E18"/>
    <w:rsid w:val="00072434"/>
    <w:rsid w:val="000737B5"/>
    <w:rsid w:val="00073CCA"/>
    <w:rsid w:val="00074052"/>
    <w:rsid w:val="000743A8"/>
    <w:rsid w:val="00076EAC"/>
    <w:rsid w:val="00077D58"/>
    <w:rsid w:val="00080034"/>
    <w:rsid w:val="0008030E"/>
    <w:rsid w:val="000808BE"/>
    <w:rsid w:val="00082067"/>
    <w:rsid w:val="0008210C"/>
    <w:rsid w:val="000823E9"/>
    <w:rsid w:val="00083276"/>
    <w:rsid w:val="00085913"/>
    <w:rsid w:val="00085E51"/>
    <w:rsid w:val="0008683A"/>
    <w:rsid w:val="00086C6A"/>
    <w:rsid w:val="00086E29"/>
    <w:rsid w:val="00087D15"/>
    <w:rsid w:val="000908B1"/>
    <w:rsid w:val="00091671"/>
    <w:rsid w:val="000918DE"/>
    <w:rsid w:val="0009247A"/>
    <w:rsid w:val="00092B08"/>
    <w:rsid w:val="00095310"/>
    <w:rsid w:val="0009596E"/>
    <w:rsid w:val="00096B35"/>
    <w:rsid w:val="00097081"/>
    <w:rsid w:val="000973A4"/>
    <w:rsid w:val="00097415"/>
    <w:rsid w:val="000974D8"/>
    <w:rsid w:val="000A1290"/>
    <w:rsid w:val="000A30E7"/>
    <w:rsid w:val="000A31C4"/>
    <w:rsid w:val="000A3CC6"/>
    <w:rsid w:val="000A3F2D"/>
    <w:rsid w:val="000A4293"/>
    <w:rsid w:val="000A4FF9"/>
    <w:rsid w:val="000A6206"/>
    <w:rsid w:val="000A6902"/>
    <w:rsid w:val="000A69FF"/>
    <w:rsid w:val="000A6B58"/>
    <w:rsid w:val="000A6C48"/>
    <w:rsid w:val="000B0D84"/>
    <w:rsid w:val="000B0E6D"/>
    <w:rsid w:val="000B2108"/>
    <w:rsid w:val="000B2821"/>
    <w:rsid w:val="000B2D05"/>
    <w:rsid w:val="000B2F11"/>
    <w:rsid w:val="000B3658"/>
    <w:rsid w:val="000B3F8A"/>
    <w:rsid w:val="000B4E2C"/>
    <w:rsid w:val="000B5634"/>
    <w:rsid w:val="000B7A42"/>
    <w:rsid w:val="000C061D"/>
    <w:rsid w:val="000C0FC4"/>
    <w:rsid w:val="000C1E10"/>
    <w:rsid w:val="000C26E6"/>
    <w:rsid w:val="000C3F1E"/>
    <w:rsid w:val="000C43FC"/>
    <w:rsid w:val="000C615F"/>
    <w:rsid w:val="000C6C96"/>
    <w:rsid w:val="000C743F"/>
    <w:rsid w:val="000C79FA"/>
    <w:rsid w:val="000D0187"/>
    <w:rsid w:val="000D0CEA"/>
    <w:rsid w:val="000D11AF"/>
    <w:rsid w:val="000D120D"/>
    <w:rsid w:val="000D1442"/>
    <w:rsid w:val="000D28A6"/>
    <w:rsid w:val="000D2BD1"/>
    <w:rsid w:val="000D2E58"/>
    <w:rsid w:val="000D2E85"/>
    <w:rsid w:val="000D3EEA"/>
    <w:rsid w:val="000D4B3D"/>
    <w:rsid w:val="000D5878"/>
    <w:rsid w:val="000E053F"/>
    <w:rsid w:val="000E0CA6"/>
    <w:rsid w:val="000E0D83"/>
    <w:rsid w:val="000E611C"/>
    <w:rsid w:val="000E61BE"/>
    <w:rsid w:val="000E73A3"/>
    <w:rsid w:val="000E7B87"/>
    <w:rsid w:val="000F2FE4"/>
    <w:rsid w:val="000F3095"/>
    <w:rsid w:val="000F3127"/>
    <w:rsid w:val="000F3CF2"/>
    <w:rsid w:val="000F4931"/>
    <w:rsid w:val="000F5CB4"/>
    <w:rsid w:val="000F6404"/>
    <w:rsid w:val="000F7273"/>
    <w:rsid w:val="000F7D1B"/>
    <w:rsid w:val="000F7FB1"/>
    <w:rsid w:val="001001A8"/>
    <w:rsid w:val="00100A75"/>
    <w:rsid w:val="001017B7"/>
    <w:rsid w:val="0010378D"/>
    <w:rsid w:val="0010380D"/>
    <w:rsid w:val="001040E6"/>
    <w:rsid w:val="00105A14"/>
    <w:rsid w:val="00105ACE"/>
    <w:rsid w:val="00106296"/>
    <w:rsid w:val="001065FA"/>
    <w:rsid w:val="00107EA3"/>
    <w:rsid w:val="0011036E"/>
    <w:rsid w:val="00110384"/>
    <w:rsid w:val="0011113F"/>
    <w:rsid w:val="001138E0"/>
    <w:rsid w:val="0011566A"/>
    <w:rsid w:val="00115780"/>
    <w:rsid w:val="00116521"/>
    <w:rsid w:val="00116E2A"/>
    <w:rsid w:val="00117797"/>
    <w:rsid w:val="00117EB2"/>
    <w:rsid w:val="00121095"/>
    <w:rsid w:val="001216CA"/>
    <w:rsid w:val="001218AF"/>
    <w:rsid w:val="001236D3"/>
    <w:rsid w:val="001245CA"/>
    <w:rsid w:val="001246F2"/>
    <w:rsid w:val="00125F48"/>
    <w:rsid w:val="00127E50"/>
    <w:rsid w:val="001332DA"/>
    <w:rsid w:val="00133784"/>
    <w:rsid w:val="001341A4"/>
    <w:rsid w:val="00134471"/>
    <w:rsid w:val="00137919"/>
    <w:rsid w:val="001405D3"/>
    <w:rsid w:val="00142798"/>
    <w:rsid w:val="001433CB"/>
    <w:rsid w:val="0014374C"/>
    <w:rsid w:val="00143FEF"/>
    <w:rsid w:val="0014492E"/>
    <w:rsid w:val="00146CC5"/>
    <w:rsid w:val="00151B59"/>
    <w:rsid w:val="0015252B"/>
    <w:rsid w:val="001533DA"/>
    <w:rsid w:val="00155CB4"/>
    <w:rsid w:val="001566CC"/>
    <w:rsid w:val="00156FE6"/>
    <w:rsid w:val="001578A6"/>
    <w:rsid w:val="001579EF"/>
    <w:rsid w:val="00160732"/>
    <w:rsid w:val="00161CE4"/>
    <w:rsid w:val="0016220A"/>
    <w:rsid w:val="00162B3E"/>
    <w:rsid w:val="00164A01"/>
    <w:rsid w:val="001668C4"/>
    <w:rsid w:val="00167A87"/>
    <w:rsid w:val="00167E1C"/>
    <w:rsid w:val="001708FC"/>
    <w:rsid w:val="001709D9"/>
    <w:rsid w:val="00170E00"/>
    <w:rsid w:val="001714CE"/>
    <w:rsid w:val="00171B0E"/>
    <w:rsid w:val="00171EE7"/>
    <w:rsid w:val="00172E4C"/>
    <w:rsid w:val="0017305C"/>
    <w:rsid w:val="00173120"/>
    <w:rsid w:val="00173C77"/>
    <w:rsid w:val="00173EB5"/>
    <w:rsid w:val="00174454"/>
    <w:rsid w:val="00176EB7"/>
    <w:rsid w:val="001810D6"/>
    <w:rsid w:val="00181A00"/>
    <w:rsid w:val="001843F6"/>
    <w:rsid w:val="00184A0D"/>
    <w:rsid w:val="00185CF3"/>
    <w:rsid w:val="00186365"/>
    <w:rsid w:val="001869AD"/>
    <w:rsid w:val="00187CA9"/>
    <w:rsid w:val="00190868"/>
    <w:rsid w:val="00191C59"/>
    <w:rsid w:val="0019270B"/>
    <w:rsid w:val="00193197"/>
    <w:rsid w:val="00193785"/>
    <w:rsid w:val="00193C83"/>
    <w:rsid w:val="00195FF0"/>
    <w:rsid w:val="001972EC"/>
    <w:rsid w:val="0019735E"/>
    <w:rsid w:val="001976AC"/>
    <w:rsid w:val="00197AB5"/>
    <w:rsid w:val="00197B6E"/>
    <w:rsid w:val="001A0DDC"/>
    <w:rsid w:val="001A1BDD"/>
    <w:rsid w:val="001A1C56"/>
    <w:rsid w:val="001A351F"/>
    <w:rsid w:val="001A3551"/>
    <w:rsid w:val="001A358A"/>
    <w:rsid w:val="001A3A05"/>
    <w:rsid w:val="001A4350"/>
    <w:rsid w:val="001A6525"/>
    <w:rsid w:val="001A6B55"/>
    <w:rsid w:val="001A73DF"/>
    <w:rsid w:val="001A7802"/>
    <w:rsid w:val="001B0255"/>
    <w:rsid w:val="001B157C"/>
    <w:rsid w:val="001B2246"/>
    <w:rsid w:val="001B3F8F"/>
    <w:rsid w:val="001B4B7E"/>
    <w:rsid w:val="001B5186"/>
    <w:rsid w:val="001B547B"/>
    <w:rsid w:val="001B56D1"/>
    <w:rsid w:val="001B6F94"/>
    <w:rsid w:val="001B7065"/>
    <w:rsid w:val="001B7332"/>
    <w:rsid w:val="001C0B2B"/>
    <w:rsid w:val="001C1DFE"/>
    <w:rsid w:val="001C2A54"/>
    <w:rsid w:val="001C2C60"/>
    <w:rsid w:val="001C2D73"/>
    <w:rsid w:val="001C33BB"/>
    <w:rsid w:val="001C38E4"/>
    <w:rsid w:val="001C3B8D"/>
    <w:rsid w:val="001C4019"/>
    <w:rsid w:val="001C5FD2"/>
    <w:rsid w:val="001C6B75"/>
    <w:rsid w:val="001C713E"/>
    <w:rsid w:val="001D3AA1"/>
    <w:rsid w:val="001D3E76"/>
    <w:rsid w:val="001D3E93"/>
    <w:rsid w:val="001D41A0"/>
    <w:rsid w:val="001D436F"/>
    <w:rsid w:val="001D532C"/>
    <w:rsid w:val="001D54EE"/>
    <w:rsid w:val="001D5917"/>
    <w:rsid w:val="001D6756"/>
    <w:rsid w:val="001D6DD6"/>
    <w:rsid w:val="001E00E0"/>
    <w:rsid w:val="001E0ADE"/>
    <w:rsid w:val="001E15AE"/>
    <w:rsid w:val="001E1AC5"/>
    <w:rsid w:val="001E259A"/>
    <w:rsid w:val="001E337E"/>
    <w:rsid w:val="001E4746"/>
    <w:rsid w:val="001E5A29"/>
    <w:rsid w:val="001E5A6E"/>
    <w:rsid w:val="001E6B96"/>
    <w:rsid w:val="001E6C5B"/>
    <w:rsid w:val="001E768E"/>
    <w:rsid w:val="001F2AE7"/>
    <w:rsid w:val="001F364B"/>
    <w:rsid w:val="001F5776"/>
    <w:rsid w:val="001F5DD2"/>
    <w:rsid w:val="001F64EB"/>
    <w:rsid w:val="001F7EC6"/>
    <w:rsid w:val="00201573"/>
    <w:rsid w:val="002023B6"/>
    <w:rsid w:val="00203EE0"/>
    <w:rsid w:val="0020498E"/>
    <w:rsid w:val="002058D1"/>
    <w:rsid w:val="0020601A"/>
    <w:rsid w:val="00206207"/>
    <w:rsid w:val="0020636E"/>
    <w:rsid w:val="00206447"/>
    <w:rsid w:val="002100C3"/>
    <w:rsid w:val="00210458"/>
    <w:rsid w:val="0021138C"/>
    <w:rsid w:val="00212A16"/>
    <w:rsid w:val="00212BEB"/>
    <w:rsid w:val="002135D6"/>
    <w:rsid w:val="00213745"/>
    <w:rsid w:val="00213CE1"/>
    <w:rsid w:val="00214585"/>
    <w:rsid w:val="00214DC4"/>
    <w:rsid w:val="002163F8"/>
    <w:rsid w:val="00217180"/>
    <w:rsid w:val="00217EF0"/>
    <w:rsid w:val="00220D1B"/>
    <w:rsid w:val="00221AF6"/>
    <w:rsid w:val="002224AC"/>
    <w:rsid w:val="002231E5"/>
    <w:rsid w:val="00223A45"/>
    <w:rsid w:val="00223F58"/>
    <w:rsid w:val="00230059"/>
    <w:rsid w:val="0023072C"/>
    <w:rsid w:val="002308D4"/>
    <w:rsid w:val="00231297"/>
    <w:rsid w:val="00231978"/>
    <w:rsid w:val="002326B0"/>
    <w:rsid w:val="00234F5E"/>
    <w:rsid w:val="0023535C"/>
    <w:rsid w:val="002359D4"/>
    <w:rsid w:val="00235A00"/>
    <w:rsid w:val="00240619"/>
    <w:rsid w:val="00241199"/>
    <w:rsid w:val="00241A50"/>
    <w:rsid w:val="00242B21"/>
    <w:rsid w:val="0024357F"/>
    <w:rsid w:val="00244B7C"/>
    <w:rsid w:val="0024555E"/>
    <w:rsid w:val="0024791B"/>
    <w:rsid w:val="00250528"/>
    <w:rsid w:val="002510AA"/>
    <w:rsid w:val="00251CDA"/>
    <w:rsid w:val="002523D3"/>
    <w:rsid w:val="0025451B"/>
    <w:rsid w:val="002546D3"/>
    <w:rsid w:val="00254AA7"/>
    <w:rsid w:val="00255B47"/>
    <w:rsid w:val="00256177"/>
    <w:rsid w:val="002566B6"/>
    <w:rsid w:val="002576A4"/>
    <w:rsid w:val="00257EFD"/>
    <w:rsid w:val="002611CC"/>
    <w:rsid w:val="00261D1C"/>
    <w:rsid w:val="00261D78"/>
    <w:rsid w:val="00261E04"/>
    <w:rsid w:val="0026305F"/>
    <w:rsid w:val="00263A1B"/>
    <w:rsid w:val="0026492F"/>
    <w:rsid w:val="00265BC3"/>
    <w:rsid w:val="002669ED"/>
    <w:rsid w:val="002671F3"/>
    <w:rsid w:val="00267FE4"/>
    <w:rsid w:val="00270959"/>
    <w:rsid w:val="00271343"/>
    <w:rsid w:val="0027144B"/>
    <w:rsid w:val="0027197D"/>
    <w:rsid w:val="0027262B"/>
    <w:rsid w:val="002743BA"/>
    <w:rsid w:val="0027450A"/>
    <w:rsid w:val="00274FE5"/>
    <w:rsid w:val="00275135"/>
    <w:rsid w:val="0027655A"/>
    <w:rsid w:val="0027735E"/>
    <w:rsid w:val="002776DC"/>
    <w:rsid w:val="002808CC"/>
    <w:rsid w:val="00282B12"/>
    <w:rsid w:val="00282B82"/>
    <w:rsid w:val="00282F4C"/>
    <w:rsid w:val="00283C8F"/>
    <w:rsid w:val="00284CBA"/>
    <w:rsid w:val="00285392"/>
    <w:rsid w:val="00285462"/>
    <w:rsid w:val="002856D4"/>
    <w:rsid w:val="00286B22"/>
    <w:rsid w:val="002900A7"/>
    <w:rsid w:val="002921EA"/>
    <w:rsid w:val="00292A26"/>
    <w:rsid w:val="0029588B"/>
    <w:rsid w:val="00295E36"/>
    <w:rsid w:val="0029660C"/>
    <w:rsid w:val="00297D64"/>
    <w:rsid w:val="002A26CA"/>
    <w:rsid w:val="002A2969"/>
    <w:rsid w:val="002A2C45"/>
    <w:rsid w:val="002A3A51"/>
    <w:rsid w:val="002A4AF2"/>
    <w:rsid w:val="002A4FE1"/>
    <w:rsid w:val="002A5B3C"/>
    <w:rsid w:val="002A62DA"/>
    <w:rsid w:val="002B074A"/>
    <w:rsid w:val="002B1A84"/>
    <w:rsid w:val="002B1AC1"/>
    <w:rsid w:val="002B2DF2"/>
    <w:rsid w:val="002B3410"/>
    <w:rsid w:val="002B4F05"/>
    <w:rsid w:val="002B5975"/>
    <w:rsid w:val="002B5BBA"/>
    <w:rsid w:val="002B6FA5"/>
    <w:rsid w:val="002C0905"/>
    <w:rsid w:val="002C25F6"/>
    <w:rsid w:val="002C2AA2"/>
    <w:rsid w:val="002C3247"/>
    <w:rsid w:val="002C387C"/>
    <w:rsid w:val="002C38DA"/>
    <w:rsid w:val="002C3DD6"/>
    <w:rsid w:val="002C42F9"/>
    <w:rsid w:val="002C5C5C"/>
    <w:rsid w:val="002C5D0F"/>
    <w:rsid w:val="002C715A"/>
    <w:rsid w:val="002C7576"/>
    <w:rsid w:val="002D02B1"/>
    <w:rsid w:val="002D0E02"/>
    <w:rsid w:val="002D2CC4"/>
    <w:rsid w:val="002D2FC9"/>
    <w:rsid w:val="002D4089"/>
    <w:rsid w:val="002D4319"/>
    <w:rsid w:val="002D44B9"/>
    <w:rsid w:val="002D45EC"/>
    <w:rsid w:val="002D4FA4"/>
    <w:rsid w:val="002D4FD9"/>
    <w:rsid w:val="002D5213"/>
    <w:rsid w:val="002D5811"/>
    <w:rsid w:val="002D79F6"/>
    <w:rsid w:val="002E0AC1"/>
    <w:rsid w:val="002E12AD"/>
    <w:rsid w:val="002E1B54"/>
    <w:rsid w:val="002E3275"/>
    <w:rsid w:val="002E3964"/>
    <w:rsid w:val="002E440C"/>
    <w:rsid w:val="002E5190"/>
    <w:rsid w:val="002E5231"/>
    <w:rsid w:val="002E79A8"/>
    <w:rsid w:val="002E7DE9"/>
    <w:rsid w:val="002F05E9"/>
    <w:rsid w:val="002F09D2"/>
    <w:rsid w:val="002F1F18"/>
    <w:rsid w:val="002F283C"/>
    <w:rsid w:val="002F35A2"/>
    <w:rsid w:val="002F36C7"/>
    <w:rsid w:val="002F43E9"/>
    <w:rsid w:val="002F5289"/>
    <w:rsid w:val="002F5A6D"/>
    <w:rsid w:val="002F6324"/>
    <w:rsid w:val="002F6CDB"/>
    <w:rsid w:val="002F7295"/>
    <w:rsid w:val="0030128D"/>
    <w:rsid w:val="003014CA"/>
    <w:rsid w:val="00301C46"/>
    <w:rsid w:val="00301D22"/>
    <w:rsid w:val="00301DB5"/>
    <w:rsid w:val="00302EC8"/>
    <w:rsid w:val="003036B1"/>
    <w:rsid w:val="003044D5"/>
    <w:rsid w:val="00304EC8"/>
    <w:rsid w:val="0030524C"/>
    <w:rsid w:val="0030590E"/>
    <w:rsid w:val="00307444"/>
    <w:rsid w:val="00307460"/>
    <w:rsid w:val="00307B4A"/>
    <w:rsid w:val="00313A98"/>
    <w:rsid w:val="003157AF"/>
    <w:rsid w:val="00315EC9"/>
    <w:rsid w:val="00316869"/>
    <w:rsid w:val="0031725F"/>
    <w:rsid w:val="00317C84"/>
    <w:rsid w:val="00317ECE"/>
    <w:rsid w:val="00320BBE"/>
    <w:rsid w:val="0032250A"/>
    <w:rsid w:val="0032278C"/>
    <w:rsid w:val="003233BE"/>
    <w:rsid w:val="00323689"/>
    <w:rsid w:val="00323F9A"/>
    <w:rsid w:val="00326174"/>
    <w:rsid w:val="003267AC"/>
    <w:rsid w:val="003275F5"/>
    <w:rsid w:val="00330D91"/>
    <w:rsid w:val="00331A67"/>
    <w:rsid w:val="00331C04"/>
    <w:rsid w:val="00334E84"/>
    <w:rsid w:val="003355BB"/>
    <w:rsid w:val="00335A5B"/>
    <w:rsid w:val="00335BA1"/>
    <w:rsid w:val="00335EED"/>
    <w:rsid w:val="00335F31"/>
    <w:rsid w:val="00340BBF"/>
    <w:rsid w:val="003414F7"/>
    <w:rsid w:val="00342C73"/>
    <w:rsid w:val="00342E8C"/>
    <w:rsid w:val="00344778"/>
    <w:rsid w:val="00346D68"/>
    <w:rsid w:val="0035012E"/>
    <w:rsid w:val="003501E7"/>
    <w:rsid w:val="00350EA0"/>
    <w:rsid w:val="003513A1"/>
    <w:rsid w:val="00351BAC"/>
    <w:rsid w:val="00351E67"/>
    <w:rsid w:val="00352070"/>
    <w:rsid w:val="00352A57"/>
    <w:rsid w:val="00352D9F"/>
    <w:rsid w:val="00354127"/>
    <w:rsid w:val="0035549E"/>
    <w:rsid w:val="00357149"/>
    <w:rsid w:val="003575A7"/>
    <w:rsid w:val="0036024D"/>
    <w:rsid w:val="00363D66"/>
    <w:rsid w:val="00363DBA"/>
    <w:rsid w:val="00364473"/>
    <w:rsid w:val="003646FC"/>
    <w:rsid w:val="00364A0F"/>
    <w:rsid w:val="00364A1D"/>
    <w:rsid w:val="00365D56"/>
    <w:rsid w:val="00366358"/>
    <w:rsid w:val="00367D0C"/>
    <w:rsid w:val="003703B2"/>
    <w:rsid w:val="00371D9C"/>
    <w:rsid w:val="00372011"/>
    <w:rsid w:val="00372902"/>
    <w:rsid w:val="00373260"/>
    <w:rsid w:val="00373B0E"/>
    <w:rsid w:val="00373B5D"/>
    <w:rsid w:val="00373EC2"/>
    <w:rsid w:val="00374F5E"/>
    <w:rsid w:val="0037623A"/>
    <w:rsid w:val="0037657B"/>
    <w:rsid w:val="00377C8E"/>
    <w:rsid w:val="00380C46"/>
    <w:rsid w:val="0038336E"/>
    <w:rsid w:val="0038362B"/>
    <w:rsid w:val="00383825"/>
    <w:rsid w:val="0038480A"/>
    <w:rsid w:val="00384FDD"/>
    <w:rsid w:val="00385614"/>
    <w:rsid w:val="003870F8"/>
    <w:rsid w:val="00387AF8"/>
    <w:rsid w:val="00391580"/>
    <w:rsid w:val="003921AF"/>
    <w:rsid w:val="00393545"/>
    <w:rsid w:val="003947A0"/>
    <w:rsid w:val="00394D1C"/>
    <w:rsid w:val="00394FC7"/>
    <w:rsid w:val="00395076"/>
    <w:rsid w:val="00395390"/>
    <w:rsid w:val="0039652B"/>
    <w:rsid w:val="00397239"/>
    <w:rsid w:val="00397E39"/>
    <w:rsid w:val="00397F0E"/>
    <w:rsid w:val="003A0338"/>
    <w:rsid w:val="003A1FB4"/>
    <w:rsid w:val="003A2B6A"/>
    <w:rsid w:val="003A396A"/>
    <w:rsid w:val="003A5E0E"/>
    <w:rsid w:val="003A6243"/>
    <w:rsid w:val="003A6BAD"/>
    <w:rsid w:val="003B0251"/>
    <w:rsid w:val="003B033E"/>
    <w:rsid w:val="003B082A"/>
    <w:rsid w:val="003B1679"/>
    <w:rsid w:val="003B1CB6"/>
    <w:rsid w:val="003B25C7"/>
    <w:rsid w:val="003B2CE8"/>
    <w:rsid w:val="003B39CA"/>
    <w:rsid w:val="003B3E43"/>
    <w:rsid w:val="003B4397"/>
    <w:rsid w:val="003B56D7"/>
    <w:rsid w:val="003B6269"/>
    <w:rsid w:val="003B6A85"/>
    <w:rsid w:val="003B7630"/>
    <w:rsid w:val="003C00B8"/>
    <w:rsid w:val="003C0755"/>
    <w:rsid w:val="003C0966"/>
    <w:rsid w:val="003C14D8"/>
    <w:rsid w:val="003C16D6"/>
    <w:rsid w:val="003C20A9"/>
    <w:rsid w:val="003C2AB5"/>
    <w:rsid w:val="003C3AC2"/>
    <w:rsid w:val="003C4502"/>
    <w:rsid w:val="003C47B1"/>
    <w:rsid w:val="003C750E"/>
    <w:rsid w:val="003D1840"/>
    <w:rsid w:val="003D1C59"/>
    <w:rsid w:val="003D246A"/>
    <w:rsid w:val="003D28C6"/>
    <w:rsid w:val="003D59E2"/>
    <w:rsid w:val="003D5BCC"/>
    <w:rsid w:val="003D5D70"/>
    <w:rsid w:val="003D628A"/>
    <w:rsid w:val="003D754D"/>
    <w:rsid w:val="003D7856"/>
    <w:rsid w:val="003D7BC0"/>
    <w:rsid w:val="003D7F8E"/>
    <w:rsid w:val="003E1F56"/>
    <w:rsid w:val="003E2F94"/>
    <w:rsid w:val="003E4604"/>
    <w:rsid w:val="003E52AB"/>
    <w:rsid w:val="003E5320"/>
    <w:rsid w:val="003E5507"/>
    <w:rsid w:val="003E6A04"/>
    <w:rsid w:val="003E723C"/>
    <w:rsid w:val="003F03EE"/>
    <w:rsid w:val="003F0659"/>
    <w:rsid w:val="003F0ECF"/>
    <w:rsid w:val="003F0EFF"/>
    <w:rsid w:val="003F31C5"/>
    <w:rsid w:val="003F3BDE"/>
    <w:rsid w:val="003F499D"/>
    <w:rsid w:val="003F5250"/>
    <w:rsid w:val="003F5515"/>
    <w:rsid w:val="003F58D5"/>
    <w:rsid w:val="003F7335"/>
    <w:rsid w:val="003F766D"/>
    <w:rsid w:val="003F7B26"/>
    <w:rsid w:val="00400469"/>
    <w:rsid w:val="0040049C"/>
    <w:rsid w:val="00400614"/>
    <w:rsid w:val="00400901"/>
    <w:rsid w:val="00400934"/>
    <w:rsid w:val="0040112A"/>
    <w:rsid w:val="004016EA"/>
    <w:rsid w:val="00401971"/>
    <w:rsid w:val="004036D8"/>
    <w:rsid w:val="00403C07"/>
    <w:rsid w:val="004041C1"/>
    <w:rsid w:val="00404F2B"/>
    <w:rsid w:val="0040538C"/>
    <w:rsid w:val="00405AC8"/>
    <w:rsid w:val="00406E63"/>
    <w:rsid w:val="0040712D"/>
    <w:rsid w:val="004107A0"/>
    <w:rsid w:val="00411E0C"/>
    <w:rsid w:val="00414015"/>
    <w:rsid w:val="00414A7B"/>
    <w:rsid w:val="00414DE3"/>
    <w:rsid w:val="004157DD"/>
    <w:rsid w:val="00417907"/>
    <w:rsid w:val="00420491"/>
    <w:rsid w:val="004208F0"/>
    <w:rsid w:val="004209CC"/>
    <w:rsid w:val="00421D0C"/>
    <w:rsid w:val="004228B1"/>
    <w:rsid w:val="00423FB1"/>
    <w:rsid w:val="004248BE"/>
    <w:rsid w:val="004249F3"/>
    <w:rsid w:val="0042516B"/>
    <w:rsid w:val="00425D11"/>
    <w:rsid w:val="004267C2"/>
    <w:rsid w:val="00426B05"/>
    <w:rsid w:val="00427A9A"/>
    <w:rsid w:val="00427ADB"/>
    <w:rsid w:val="00427BDD"/>
    <w:rsid w:val="00430F11"/>
    <w:rsid w:val="00431989"/>
    <w:rsid w:val="004319F4"/>
    <w:rsid w:val="004324AF"/>
    <w:rsid w:val="004336F6"/>
    <w:rsid w:val="00434D56"/>
    <w:rsid w:val="0043592B"/>
    <w:rsid w:val="0043663E"/>
    <w:rsid w:val="004366E4"/>
    <w:rsid w:val="00436BBE"/>
    <w:rsid w:val="004372B8"/>
    <w:rsid w:val="004374C2"/>
    <w:rsid w:val="004375C8"/>
    <w:rsid w:val="00437E26"/>
    <w:rsid w:val="00440148"/>
    <w:rsid w:val="00443EAF"/>
    <w:rsid w:val="004445CF"/>
    <w:rsid w:val="00444B7B"/>
    <w:rsid w:val="00444F2B"/>
    <w:rsid w:val="00445661"/>
    <w:rsid w:val="00445FB0"/>
    <w:rsid w:val="004469E7"/>
    <w:rsid w:val="00447016"/>
    <w:rsid w:val="0045030D"/>
    <w:rsid w:val="0045092A"/>
    <w:rsid w:val="00452138"/>
    <w:rsid w:val="004523BA"/>
    <w:rsid w:val="00454C26"/>
    <w:rsid w:val="0045503C"/>
    <w:rsid w:val="004562DE"/>
    <w:rsid w:val="004563EA"/>
    <w:rsid w:val="004569B5"/>
    <w:rsid w:val="00456E94"/>
    <w:rsid w:val="00457A71"/>
    <w:rsid w:val="00457E45"/>
    <w:rsid w:val="00457E48"/>
    <w:rsid w:val="00460190"/>
    <w:rsid w:val="00460296"/>
    <w:rsid w:val="00461CFE"/>
    <w:rsid w:val="004625D6"/>
    <w:rsid w:val="004628BA"/>
    <w:rsid w:val="00462CFD"/>
    <w:rsid w:val="00462E0C"/>
    <w:rsid w:val="00463466"/>
    <w:rsid w:val="00464097"/>
    <w:rsid w:val="004640BF"/>
    <w:rsid w:val="00465E4A"/>
    <w:rsid w:val="00466982"/>
    <w:rsid w:val="00466EF8"/>
    <w:rsid w:val="004675D0"/>
    <w:rsid w:val="0046779D"/>
    <w:rsid w:val="00467AD0"/>
    <w:rsid w:val="00467FEF"/>
    <w:rsid w:val="00473397"/>
    <w:rsid w:val="004736EF"/>
    <w:rsid w:val="00475C21"/>
    <w:rsid w:val="0047645B"/>
    <w:rsid w:val="004774EA"/>
    <w:rsid w:val="0047784A"/>
    <w:rsid w:val="00480723"/>
    <w:rsid w:val="00480963"/>
    <w:rsid w:val="00480A52"/>
    <w:rsid w:val="004823B0"/>
    <w:rsid w:val="00482C72"/>
    <w:rsid w:val="00483222"/>
    <w:rsid w:val="0048349C"/>
    <w:rsid w:val="00483A71"/>
    <w:rsid w:val="00483C89"/>
    <w:rsid w:val="0048480E"/>
    <w:rsid w:val="00484842"/>
    <w:rsid w:val="0048607F"/>
    <w:rsid w:val="00487D3D"/>
    <w:rsid w:val="00490143"/>
    <w:rsid w:val="00492248"/>
    <w:rsid w:val="00495466"/>
    <w:rsid w:val="00495736"/>
    <w:rsid w:val="0049656B"/>
    <w:rsid w:val="004966B5"/>
    <w:rsid w:val="004970F8"/>
    <w:rsid w:val="004975C4"/>
    <w:rsid w:val="004A0D20"/>
    <w:rsid w:val="004A35F5"/>
    <w:rsid w:val="004A3A7C"/>
    <w:rsid w:val="004A3B29"/>
    <w:rsid w:val="004A46E0"/>
    <w:rsid w:val="004A4DFF"/>
    <w:rsid w:val="004A516B"/>
    <w:rsid w:val="004A599F"/>
    <w:rsid w:val="004A5F33"/>
    <w:rsid w:val="004A6D03"/>
    <w:rsid w:val="004B0893"/>
    <w:rsid w:val="004B19C0"/>
    <w:rsid w:val="004B1FFC"/>
    <w:rsid w:val="004B2894"/>
    <w:rsid w:val="004B296A"/>
    <w:rsid w:val="004B2EBB"/>
    <w:rsid w:val="004B3597"/>
    <w:rsid w:val="004B3EC1"/>
    <w:rsid w:val="004B4C66"/>
    <w:rsid w:val="004B4E64"/>
    <w:rsid w:val="004B57FA"/>
    <w:rsid w:val="004B5CBA"/>
    <w:rsid w:val="004B6108"/>
    <w:rsid w:val="004B64DC"/>
    <w:rsid w:val="004C0173"/>
    <w:rsid w:val="004C16E7"/>
    <w:rsid w:val="004C3DED"/>
    <w:rsid w:val="004C455D"/>
    <w:rsid w:val="004C4E28"/>
    <w:rsid w:val="004C4F79"/>
    <w:rsid w:val="004C56DE"/>
    <w:rsid w:val="004C60D6"/>
    <w:rsid w:val="004C6F4D"/>
    <w:rsid w:val="004C7121"/>
    <w:rsid w:val="004C748E"/>
    <w:rsid w:val="004C7D30"/>
    <w:rsid w:val="004D1A31"/>
    <w:rsid w:val="004D2E9B"/>
    <w:rsid w:val="004D332E"/>
    <w:rsid w:val="004D37F4"/>
    <w:rsid w:val="004D406D"/>
    <w:rsid w:val="004D52A1"/>
    <w:rsid w:val="004D5349"/>
    <w:rsid w:val="004D65F9"/>
    <w:rsid w:val="004E015A"/>
    <w:rsid w:val="004E0A19"/>
    <w:rsid w:val="004E0AFD"/>
    <w:rsid w:val="004E2A28"/>
    <w:rsid w:val="004E2F7D"/>
    <w:rsid w:val="004E41A1"/>
    <w:rsid w:val="004E43CE"/>
    <w:rsid w:val="004E4B7E"/>
    <w:rsid w:val="004E6261"/>
    <w:rsid w:val="004E65E9"/>
    <w:rsid w:val="004E6E2A"/>
    <w:rsid w:val="004E7244"/>
    <w:rsid w:val="004F165A"/>
    <w:rsid w:val="004F1742"/>
    <w:rsid w:val="004F2AA8"/>
    <w:rsid w:val="004F3596"/>
    <w:rsid w:val="004F48EF"/>
    <w:rsid w:val="004F4B69"/>
    <w:rsid w:val="004F52B7"/>
    <w:rsid w:val="004F571F"/>
    <w:rsid w:val="004F5F76"/>
    <w:rsid w:val="004F63C0"/>
    <w:rsid w:val="004F7EF1"/>
    <w:rsid w:val="005014F8"/>
    <w:rsid w:val="005021F5"/>
    <w:rsid w:val="005031A0"/>
    <w:rsid w:val="00504650"/>
    <w:rsid w:val="00505642"/>
    <w:rsid w:val="005063E2"/>
    <w:rsid w:val="0050778D"/>
    <w:rsid w:val="00507E8F"/>
    <w:rsid w:val="00511A83"/>
    <w:rsid w:val="00512233"/>
    <w:rsid w:val="0051235F"/>
    <w:rsid w:val="00512B9B"/>
    <w:rsid w:val="00513D65"/>
    <w:rsid w:val="005141FD"/>
    <w:rsid w:val="005148DB"/>
    <w:rsid w:val="0051722E"/>
    <w:rsid w:val="00517828"/>
    <w:rsid w:val="0051793A"/>
    <w:rsid w:val="0052193B"/>
    <w:rsid w:val="0052437B"/>
    <w:rsid w:val="00524683"/>
    <w:rsid w:val="005250C2"/>
    <w:rsid w:val="0052535A"/>
    <w:rsid w:val="00525557"/>
    <w:rsid w:val="005262BA"/>
    <w:rsid w:val="00526976"/>
    <w:rsid w:val="00526E43"/>
    <w:rsid w:val="00527451"/>
    <w:rsid w:val="00530B9F"/>
    <w:rsid w:val="005321D6"/>
    <w:rsid w:val="005322D2"/>
    <w:rsid w:val="00532873"/>
    <w:rsid w:val="00532970"/>
    <w:rsid w:val="00533DE0"/>
    <w:rsid w:val="00535108"/>
    <w:rsid w:val="00535388"/>
    <w:rsid w:val="00535834"/>
    <w:rsid w:val="005404E8"/>
    <w:rsid w:val="005404FA"/>
    <w:rsid w:val="005407A1"/>
    <w:rsid w:val="00542530"/>
    <w:rsid w:val="00542CCC"/>
    <w:rsid w:val="0054361F"/>
    <w:rsid w:val="00543B05"/>
    <w:rsid w:val="00544F35"/>
    <w:rsid w:val="00545A51"/>
    <w:rsid w:val="00545BCA"/>
    <w:rsid w:val="005465EB"/>
    <w:rsid w:val="00546A5B"/>
    <w:rsid w:val="00547E26"/>
    <w:rsid w:val="005507AF"/>
    <w:rsid w:val="00551752"/>
    <w:rsid w:val="00552E4C"/>
    <w:rsid w:val="00554FF5"/>
    <w:rsid w:val="005556C1"/>
    <w:rsid w:val="005557B8"/>
    <w:rsid w:val="005568AF"/>
    <w:rsid w:val="00556BE4"/>
    <w:rsid w:val="00556FFA"/>
    <w:rsid w:val="0055785F"/>
    <w:rsid w:val="00560A3A"/>
    <w:rsid w:val="005617F5"/>
    <w:rsid w:val="00563FBF"/>
    <w:rsid w:val="00564F92"/>
    <w:rsid w:val="005651BC"/>
    <w:rsid w:val="005655B8"/>
    <w:rsid w:val="00565CD1"/>
    <w:rsid w:val="005708D1"/>
    <w:rsid w:val="00571F03"/>
    <w:rsid w:val="00572599"/>
    <w:rsid w:val="00572D10"/>
    <w:rsid w:val="00573057"/>
    <w:rsid w:val="00574736"/>
    <w:rsid w:val="005753E6"/>
    <w:rsid w:val="00576E2D"/>
    <w:rsid w:val="0057780C"/>
    <w:rsid w:val="00577973"/>
    <w:rsid w:val="00577E5A"/>
    <w:rsid w:val="005810E8"/>
    <w:rsid w:val="00582287"/>
    <w:rsid w:val="00583118"/>
    <w:rsid w:val="005839EA"/>
    <w:rsid w:val="00585259"/>
    <w:rsid w:val="0058547B"/>
    <w:rsid w:val="0058719B"/>
    <w:rsid w:val="00587B0B"/>
    <w:rsid w:val="00587C93"/>
    <w:rsid w:val="00587D75"/>
    <w:rsid w:val="00590D7A"/>
    <w:rsid w:val="00593F81"/>
    <w:rsid w:val="0059425E"/>
    <w:rsid w:val="00594767"/>
    <w:rsid w:val="005948DB"/>
    <w:rsid w:val="00594B6C"/>
    <w:rsid w:val="00594FEF"/>
    <w:rsid w:val="005961D2"/>
    <w:rsid w:val="00596410"/>
    <w:rsid w:val="005967CD"/>
    <w:rsid w:val="00597E0D"/>
    <w:rsid w:val="005A241A"/>
    <w:rsid w:val="005A3C87"/>
    <w:rsid w:val="005A490D"/>
    <w:rsid w:val="005A5530"/>
    <w:rsid w:val="005B010F"/>
    <w:rsid w:val="005B2DA0"/>
    <w:rsid w:val="005B3043"/>
    <w:rsid w:val="005B3067"/>
    <w:rsid w:val="005B3162"/>
    <w:rsid w:val="005B4D72"/>
    <w:rsid w:val="005B5926"/>
    <w:rsid w:val="005B5BF5"/>
    <w:rsid w:val="005B6492"/>
    <w:rsid w:val="005B76B5"/>
    <w:rsid w:val="005B7C9F"/>
    <w:rsid w:val="005C037B"/>
    <w:rsid w:val="005C0A37"/>
    <w:rsid w:val="005C0EBD"/>
    <w:rsid w:val="005C13A2"/>
    <w:rsid w:val="005C2E30"/>
    <w:rsid w:val="005C41A8"/>
    <w:rsid w:val="005C4560"/>
    <w:rsid w:val="005C459B"/>
    <w:rsid w:val="005C4A3C"/>
    <w:rsid w:val="005C6E75"/>
    <w:rsid w:val="005C75DA"/>
    <w:rsid w:val="005C7DD5"/>
    <w:rsid w:val="005D06BB"/>
    <w:rsid w:val="005D1673"/>
    <w:rsid w:val="005D7236"/>
    <w:rsid w:val="005D74CE"/>
    <w:rsid w:val="005D7EFD"/>
    <w:rsid w:val="005E13B3"/>
    <w:rsid w:val="005E140D"/>
    <w:rsid w:val="005E1682"/>
    <w:rsid w:val="005E19F8"/>
    <w:rsid w:val="005E338A"/>
    <w:rsid w:val="005E34E1"/>
    <w:rsid w:val="005E3E5A"/>
    <w:rsid w:val="005E6679"/>
    <w:rsid w:val="005E751C"/>
    <w:rsid w:val="005E77B1"/>
    <w:rsid w:val="005F1846"/>
    <w:rsid w:val="005F1D4D"/>
    <w:rsid w:val="005F214C"/>
    <w:rsid w:val="005F2FAE"/>
    <w:rsid w:val="005F3479"/>
    <w:rsid w:val="005F41BE"/>
    <w:rsid w:val="005F4562"/>
    <w:rsid w:val="005F6304"/>
    <w:rsid w:val="005F6C20"/>
    <w:rsid w:val="005F719E"/>
    <w:rsid w:val="006011FD"/>
    <w:rsid w:val="00601346"/>
    <w:rsid w:val="006015ED"/>
    <w:rsid w:val="00603646"/>
    <w:rsid w:val="00603949"/>
    <w:rsid w:val="00603F94"/>
    <w:rsid w:val="00604FA7"/>
    <w:rsid w:val="006057F8"/>
    <w:rsid w:val="006075E9"/>
    <w:rsid w:val="00607DE8"/>
    <w:rsid w:val="00610D40"/>
    <w:rsid w:val="00610EC1"/>
    <w:rsid w:val="00611097"/>
    <w:rsid w:val="00611A68"/>
    <w:rsid w:val="00611B7D"/>
    <w:rsid w:val="00612E4B"/>
    <w:rsid w:val="00613578"/>
    <w:rsid w:val="00613BFE"/>
    <w:rsid w:val="00617F44"/>
    <w:rsid w:val="006221C8"/>
    <w:rsid w:val="00622590"/>
    <w:rsid w:val="00623317"/>
    <w:rsid w:val="00623D04"/>
    <w:rsid w:val="00624DA8"/>
    <w:rsid w:val="006268C3"/>
    <w:rsid w:val="00626ECB"/>
    <w:rsid w:val="00627768"/>
    <w:rsid w:val="00627D32"/>
    <w:rsid w:val="00630308"/>
    <w:rsid w:val="0063089D"/>
    <w:rsid w:val="006314E7"/>
    <w:rsid w:val="00631C48"/>
    <w:rsid w:val="00632CFD"/>
    <w:rsid w:val="00634CD1"/>
    <w:rsid w:val="00635092"/>
    <w:rsid w:val="00635191"/>
    <w:rsid w:val="0063523D"/>
    <w:rsid w:val="00636478"/>
    <w:rsid w:val="0064037E"/>
    <w:rsid w:val="00640ACA"/>
    <w:rsid w:val="006417A1"/>
    <w:rsid w:val="006419A8"/>
    <w:rsid w:val="00641A4D"/>
    <w:rsid w:val="00642721"/>
    <w:rsid w:val="006427A6"/>
    <w:rsid w:val="00642E05"/>
    <w:rsid w:val="0064423F"/>
    <w:rsid w:val="00645B5B"/>
    <w:rsid w:val="00645E11"/>
    <w:rsid w:val="00646215"/>
    <w:rsid w:val="006478AD"/>
    <w:rsid w:val="0065156A"/>
    <w:rsid w:val="00652006"/>
    <w:rsid w:val="00652930"/>
    <w:rsid w:val="00652A1C"/>
    <w:rsid w:val="00653DE1"/>
    <w:rsid w:val="006557CA"/>
    <w:rsid w:val="00655A28"/>
    <w:rsid w:val="006578AF"/>
    <w:rsid w:val="00662110"/>
    <w:rsid w:val="00662249"/>
    <w:rsid w:val="00662549"/>
    <w:rsid w:val="00662650"/>
    <w:rsid w:val="006626CA"/>
    <w:rsid w:val="00662927"/>
    <w:rsid w:val="0066307B"/>
    <w:rsid w:val="00663252"/>
    <w:rsid w:val="0066371C"/>
    <w:rsid w:val="00664870"/>
    <w:rsid w:val="00664DEC"/>
    <w:rsid w:val="006651E9"/>
    <w:rsid w:val="00665543"/>
    <w:rsid w:val="0066583A"/>
    <w:rsid w:val="00665951"/>
    <w:rsid w:val="00665A75"/>
    <w:rsid w:val="0066767E"/>
    <w:rsid w:val="0066771E"/>
    <w:rsid w:val="006677D6"/>
    <w:rsid w:val="006704D1"/>
    <w:rsid w:val="00670B54"/>
    <w:rsid w:val="00672043"/>
    <w:rsid w:val="006723A5"/>
    <w:rsid w:val="00672991"/>
    <w:rsid w:val="0067337A"/>
    <w:rsid w:val="00673A8C"/>
    <w:rsid w:val="00673E79"/>
    <w:rsid w:val="00674830"/>
    <w:rsid w:val="00676726"/>
    <w:rsid w:val="00676C35"/>
    <w:rsid w:val="00681A4C"/>
    <w:rsid w:val="00681A6D"/>
    <w:rsid w:val="00683D35"/>
    <w:rsid w:val="00683EF7"/>
    <w:rsid w:val="00684114"/>
    <w:rsid w:val="0068438A"/>
    <w:rsid w:val="006852E7"/>
    <w:rsid w:val="006854C9"/>
    <w:rsid w:val="00685835"/>
    <w:rsid w:val="00685F2B"/>
    <w:rsid w:val="00686C04"/>
    <w:rsid w:val="0068737A"/>
    <w:rsid w:val="006876DE"/>
    <w:rsid w:val="0068778F"/>
    <w:rsid w:val="006879AA"/>
    <w:rsid w:val="00687A03"/>
    <w:rsid w:val="006909E1"/>
    <w:rsid w:val="00691C60"/>
    <w:rsid w:val="00693085"/>
    <w:rsid w:val="0069366E"/>
    <w:rsid w:val="00693786"/>
    <w:rsid w:val="00694C7E"/>
    <w:rsid w:val="00694CFD"/>
    <w:rsid w:val="00696D30"/>
    <w:rsid w:val="00697D1A"/>
    <w:rsid w:val="006A18CE"/>
    <w:rsid w:val="006A1E14"/>
    <w:rsid w:val="006A2035"/>
    <w:rsid w:val="006A2811"/>
    <w:rsid w:val="006A2908"/>
    <w:rsid w:val="006A301C"/>
    <w:rsid w:val="006A309E"/>
    <w:rsid w:val="006A349D"/>
    <w:rsid w:val="006A3846"/>
    <w:rsid w:val="006A442D"/>
    <w:rsid w:val="006A50B0"/>
    <w:rsid w:val="006A53E5"/>
    <w:rsid w:val="006A7F69"/>
    <w:rsid w:val="006B0836"/>
    <w:rsid w:val="006B0C8E"/>
    <w:rsid w:val="006B1206"/>
    <w:rsid w:val="006B158F"/>
    <w:rsid w:val="006B20FB"/>
    <w:rsid w:val="006B24AC"/>
    <w:rsid w:val="006B24F3"/>
    <w:rsid w:val="006B27D3"/>
    <w:rsid w:val="006B3279"/>
    <w:rsid w:val="006B6582"/>
    <w:rsid w:val="006B7130"/>
    <w:rsid w:val="006B7C01"/>
    <w:rsid w:val="006C119C"/>
    <w:rsid w:val="006C22F1"/>
    <w:rsid w:val="006C2774"/>
    <w:rsid w:val="006C3A2E"/>
    <w:rsid w:val="006C4883"/>
    <w:rsid w:val="006C5C30"/>
    <w:rsid w:val="006C66C8"/>
    <w:rsid w:val="006C74AF"/>
    <w:rsid w:val="006C7949"/>
    <w:rsid w:val="006C7C83"/>
    <w:rsid w:val="006C7E83"/>
    <w:rsid w:val="006D0032"/>
    <w:rsid w:val="006D12AE"/>
    <w:rsid w:val="006D17D8"/>
    <w:rsid w:val="006D1CFB"/>
    <w:rsid w:val="006D33C1"/>
    <w:rsid w:val="006D354B"/>
    <w:rsid w:val="006D4284"/>
    <w:rsid w:val="006D4801"/>
    <w:rsid w:val="006D4F8D"/>
    <w:rsid w:val="006D595E"/>
    <w:rsid w:val="006D603E"/>
    <w:rsid w:val="006D6740"/>
    <w:rsid w:val="006D73A3"/>
    <w:rsid w:val="006D7D68"/>
    <w:rsid w:val="006E1920"/>
    <w:rsid w:val="006E26CE"/>
    <w:rsid w:val="006E30DA"/>
    <w:rsid w:val="006E35AA"/>
    <w:rsid w:val="006E39F9"/>
    <w:rsid w:val="006E3D07"/>
    <w:rsid w:val="006E3F10"/>
    <w:rsid w:val="006E4C1B"/>
    <w:rsid w:val="006E50CE"/>
    <w:rsid w:val="006E5294"/>
    <w:rsid w:val="006E6608"/>
    <w:rsid w:val="006E6720"/>
    <w:rsid w:val="006E6941"/>
    <w:rsid w:val="006E6DA2"/>
    <w:rsid w:val="006F0900"/>
    <w:rsid w:val="006F0BA9"/>
    <w:rsid w:val="006F105A"/>
    <w:rsid w:val="006F2276"/>
    <w:rsid w:val="006F2B51"/>
    <w:rsid w:val="006F2F3B"/>
    <w:rsid w:val="006F2FDB"/>
    <w:rsid w:val="006F47B7"/>
    <w:rsid w:val="006F57EF"/>
    <w:rsid w:val="006F5F9B"/>
    <w:rsid w:val="006F7504"/>
    <w:rsid w:val="00700D8A"/>
    <w:rsid w:val="00700F8E"/>
    <w:rsid w:val="00702C1D"/>
    <w:rsid w:val="007031CC"/>
    <w:rsid w:val="00704AB7"/>
    <w:rsid w:val="00705BEE"/>
    <w:rsid w:val="00705CB1"/>
    <w:rsid w:val="00706CB1"/>
    <w:rsid w:val="00711015"/>
    <w:rsid w:val="00711418"/>
    <w:rsid w:val="007129B5"/>
    <w:rsid w:val="00712C2A"/>
    <w:rsid w:val="007134C1"/>
    <w:rsid w:val="00713673"/>
    <w:rsid w:val="00713D0D"/>
    <w:rsid w:val="00713DF7"/>
    <w:rsid w:val="00714245"/>
    <w:rsid w:val="00714CB2"/>
    <w:rsid w:val="0071586D"/>
    <w:rsid w:val="00716280"/>
    <w:rsid w:val="00716928"/>
    <w:rsid w:val="00720834"/>
    <w:rsid w:val="00721559"/>
    <w:rsid w:val="00721A77"/>
    <w:rsid w:val="00724934"/>
    <w:rsid w:val="00724E5A"/>
    <w:rsid w:val="00724E88"/>
    <w:rsid w:val="00725688"/>
    <w:rsid w:val="007256EB"/>
    <w:rsid w:val="0072703C"/>
    <w:rsid w:val="007278AC"/>
    <w:rsid w:val="007279B9"/>
    <w:rsid w:val="00727AC3"/>
    <w:rsid w:val="00727ADC"/>
    <w:rsid w:val="00727C03"/>
    <w:rsid w:val="00727CE0"/>
    <w:rsid w:val="00731183"/>
    <w:rsid w:val="0073125E"/>
    <w:rsid w:val="007321AB"/>
    <w:rsid w:val="00733EBD"/>
    <w:rsid w:val="00734CDF"/>
    <w:rsid w:val="00734DC6"/>
    <w:rsid w:val="007353A0"/>
    <w:rsid w:val="00736397"/>
    <w:rsid w:val="007366E4"/>
    <w:rsid w:val="007374E8"/>
    <w:rsid w:val="00737C00"/>
    <w:rsid w:val="007400B0"/>
    <w:rsid w:val="0074073F"/>
    <w:rsid w:val="00740F7C"/>
    <w:rsid w:val="0074145B"/>
    <w:rsid w:val="00741A14"/>
    <w:rsid w:val="0074296A"/>
    <w:rsid w:val="0074298A"/>
    <w:rsid w:val="00743B85"/>
    <w:rsid w:val="00745524"/>
    <w:rsid w:val="00745795"/>
    <w:rsid w:val="007464E0"/>
    <w:rsid w:val="0074665E"/>
    <w:rsid w:val="00746AC6"/>
    <w:rsid w:val="00747945"/>
    <w:rsid w:val="007504A8"/>
    <w:rsid w:val="007504E1"/>
    <w:rsid w:val="00751C11"/>
    <w:rsid w:val="00752940"/>
    <w:rsid w:val="00752A6B"/>
    <w:rsid w:val="00752DB6"/>
    <w:rsid w:val="00753E34"/>
    <w:rsid w:val="00754BFF"/>
    <w:rsid w:val="00754E9E"/>
    <w:rsid w:val="00755A88"/>
    <w:rsid w:val="00757476"/>
    <w:rsid w:val="00757AA4"/>
    <w:rsid w:val="00761737"/>
    <w:rsid w:val="00762B06"/>
    <w:rsid w:val="007641A9"/>
    <w:rsid w:val="007648F1"/>
    <w:rsid w:val="00764E70"/>
    <w:rsid w:val="00765820"/>
    <w:rsid w:val="00766A6B"/>
    <w:rsid w:val="00766E42"/>
    <w:rsid w:val="00766E51"/>
    <w:rsid w:val="007675A6"/>
    <w:rsid w:val="007675DC"/>
    <w:rsid w:val="007679E4"/>
    <w:rsid w:val="0077088A"/>
    <w:rsid w:val="007717FD"/>
    <w:rsid w:val="0077200B"/>
    <w:rsid w:val="00773590"/>
    <w:rsid w:val="007737E6"/>
    <w:rsid w:val="00774C52"/>
    <w:rsid w:val="00774E11"/>
    <w:rsid w:val="007760C4"/>
    <w:rsid w:val="0077627B"/>
    <w:rsid w:val="0078041C"/>
    <w:rsid w:val="007826FD"/>
    <w:rsid w:val="0078337D"/>
    <w:rsid w:val="00784A57"/>
    <w:rsid w:val="00785A6B"/>
    <w:rsid w:val="007865C6"/>
    <w:rsid w:val="0078662F"/>
    <w:rsid w:val="00787360"/>
    <w:rsid w:val="007874BA"/>
    <w:rsid w:val="0078767C"/>
    <w:rsid w:val="007906EB"/>
    <w:rsid w:val="00790A95"/>
    <w:rsid w:val="00791056"/>
    <w:rsid w:val="00791467"/>
    <w:rsid w:val="00792572"/>
    <w:rsid w:val="0079257C"/>
    <w:rsid w:val="00792A42"/>
    <w:rsid w:val="00794C7E"/>
    <w:rsid w:val="00796208"/>
    <w:rsid w:val="0079728C"/>
    <w:rsid w:val="007A3D1C"/>
    <w:rsid w:val="007A449E"/>
    <w:rsid w:val="007A4F41"/>
    <w:rsid w:val="007A59C4"/>
    <w:rsid w:val="007A6495"/>
    <w:rsid w:val="007A656E"/>
    <w:rsid w:val="007A692C"/>
    <w:rsid w:val="007A6BA3"/>
    <w:rsid w:val="007A7480"/>
    <w:rsid w:val="007A7A3F"/>
    <w:rsid w:val="007A7C3B"/>
    <w:rsid w:val="007B040E"/>
    <w:rsid w:val="007B0EDF"/>
    <w:rsid w:val="007B12D6"/>
    <w:rsid w:val="007B1EB6"/>
    <w:rsid w:val="007B3ACD"/>
    <w:rsid w:val="007B3EA0"/>
    <w:rsid w:val="007B7371"/>
    <w:rsid w:val="007C04D2"/>
    <w:rsid w:val="007C25BE"/>
    <w:rsid w:val="007C2725"/>
    <w:rsid w:val="007C2A8B"/>
    <w:rsid w:val="007C2AD6"/>
    <w:rsid w:val="007C2CD0"/>
    <w:rsid w:val="007C377B"/>
    <w:rsid w:val="007C4A7A"/>
    <w:rsid w:val="007C4B39"/>
    <w:rsid w:val="007C52BC"/>
    <w:rsid w:val="007C5C45"/>
    <w:rsid w:val="007C7038"/>
    <w:rsid w:val="007C794C"/>
    <w:rsid w:val="007D20AE"/>
    <w:rsid w:val="007D44E4"/>
    <w:rsid w:val="007D4A7A"/>
    <w:rsid w:val="007E01B3"/>
    <w:rsid w:val="007E0625"/>
    <w:rsid w:val="007E295E"/>
    <w:rsid w:val="007E3185"/>
    <w:rsid w:val="007E390D"/>
    <w:rsid w:val="007E3DD2"/>
    <w:rsid w:val="007E42D2"/>
    <w:rsid w:val="007E46A1"/>
    <w:rsid w:val="007E47F9"/>
    <w:rsid w:val="007E636D"/>
    <w:rsid w:val="007E6471"/>
    <w:rsid w:val="007E6CA0"/>
    <w:rsid w:val="007E6CED"/>
    <w:rsid w:val="007E77CB"/>
    <w:rsid w:val="007F0593"/>
    <w:rsid w:val="007F064F"/>
    <w:rsid w:val="007F24D4"/>
    <w:rsid w:val="007F37B6"/>
    <w:rsid w:val="007F4885"/>
    <w:rsid w:val="007F5E41"/>
    <w:rsid w:val="007F62D6"/>
    <w:rsid w:val="007F6584"/>
    <w:rsid w:val="007F6FB4"/>
    <w:rsid w:val="007F7357"/>
    <w:rsid w:val="007F7FC5"/>
    <w:rsid w:val="008001E6"/>
    <w:rsid w:val="00800446"/>
    <w:rsid w:val="00802191"/>
    <w:rsid w:val="008026EC"/>
    <w:rsid w:val="00803469"/>
    <w:rsid w:val="0080389B"/>
    <w:rsid w:val="00804F14"/>
    <w:rsid w:val="00805A10"/>
    <w:rsid w:val="00805D47"/>
    <w:rsid w:val="00806503"/>
    <w:rsid w:val="0080748A"/>
    <w:rsid w:val="00811115"/>
    <w:rsid w:val="00811ABA"/>
    <w:rsid w:val="00811F46"/>
    <w:rsid w:val="008126A3"/>
    <w:rsid w:val="00812A59"/>
    <w:rsid w:val="008139AF"/>
    <w:rsid w:val="00813C00"/>
    <w:rsid w:val="00816236"/>
    <w:rsid w:val="0081694F"/>
    <w:rsid w:val="00816EE5"/>
    <w:rsid w:val="00817803"/>
    <w:rsid w:val="00820E2E"/>
    <w:rsid w:val="00821C50"/>
    <w:rsid w:val="00821CF0"/>
    <w:rsid w:val="00822C62"/>
    <w:rsid w:val="00824177"/>
    <w:rsid w:val="0082451C"/>
    <w:rsid w:val="00825291"/>
    <w:rsid w:val="008260B3"/>
    <w:rsid w:val="00826901"/>
    <w:rsid w:val="008269B4"/>
    <w:rsid w:val="0083065E"/>
    <w:rsid w:val="00830BD0"/>
    <w:rsid w:val="0083112C"/>
    <w:rsid w:val="00832CA1"/>
    <w:rsid w:val="00833FAA"/>
    <w:rsid w:val="00835E56"/>
    <w:rsid w:val="0083655C"/>
    <w:rsid w:val="00837EF1"/>
    <w:rsid w:val="008405F6"/>
    <w:rsid w:val="00840C45"/>
    <w:rsid w:val="00841192"/>
    <w:rsid w:val="008435E2"/>
    <w:rsid w:val="00843DA3"/>
    <w:rsid w:val="00844118"/>
    <w:rsid w:val="00844A27"/>
    <w:rsid w:val="00845754"/>
    <w:rsid w:val="00845F0B"/>
    <w:rsid w:val="00846448"/>
    <w:rsid w:val="008504E8"/>
    <w:rsid w:val="008517AB"/>
    <w:rsid w:val="00851ADA"/>
    <w:rsid w:val="00852076"/>
    <w:rsid w:val="00852DC5"/>
    <w:rsid w:val="00852F23"/>
    <w:rsid w:val="00855D8A"/>
    <w:rsid w:val="00856877"/>
    <w:rsid w:val="00860920"/>
    <w:rsid w:val="00861026"/>
    <w:rsid w:val="0086211E"/>
    <w:rsid w:val="008626F6"/>
    <w:rsid w:val="00863C60"/>
    <w:rsid w:val="00864090"/>
    <w:rsid w:val="008643BC"/>
    <w:rsid w:val="00865041"/>
    <w:rsid w:val="00865682"/>
    <w:rsid w:val="00870E9C"/>
    <w:rsid w:val="00870F4C"/>
    <w:rsid w:val="008716E2"/>
    <w:rsid w:val="00871CD3"/>
    <w:rsid w:val="0087362F"/>
    <w:rsid w:val="0087386F"/>
    <w:rsid w:val="00873FC6"/>
    <w:rsid w:val="00874302"/>
    <w:rsid w:val="008747C1"/>
    <w:rsid w:val="00874ACB"/>
    <w:rsid w:val="008765B8"/>
    <w:rsid w:val="00876F5D"/>
    <w:rsid w:val="00880967"/>
    <w:rsid w:val="00880D20"/>
    <w:rsid w:val="00882B1E"/>
    <w:rsid w:val="00883479"/>
    <w:rsid w:val="0088549B"/>
    <w:rsid w:val="00886A7A"/>
    <w:rsid w:val="008877C4"/>
    <w:rsid w:val="00887941"/>
    <w:rsid w:val="008924DF"/>
    <w:rsid w:val="00892C36"/>
    <w:rsid w:val="00892D57"/>
    <w:rsid w:val="008942F6"/>
    <w:rsid w:val="008A0142"/>
    <w:rsid w:val="008A0EBB"/>
    <w:rsid w:val="008A1371"/>
    <w:rsid w:val="008A227B"/>
    <w:rsid w:val="008A2722"/>
    <w:rsid w:val="008A2A1A"/>
    <w:rsid w:val="008A38A1"/>
    <w:rsid w:val="008A42B8"/>
    <w:rsid w:val="008A4465"/>
    <w:rsid w:val="008A466E"/>
    <w:rsid w:val="008A4B62"/>
    <w:rsid w:val="008A4BB8"/>
    <w:rsid w:val="008A4CB9"/>
    <w:rsid w:val="008A60D7"/>
    <w:rsid w:val="008A6B4E"/>
    <w:rsid w:val="008A7B9D"/>
    <w:rsid w:val="008B1EA4"/>
    <w:rsid w:val="008B23E7"/>
    <w:rsid w:val="008B403B"/>
    <w:rsid w:val="008B593C"/>
    <w:rsid w:val="008B6678"/>
    <w:rsid w:val="008B6B13"/>
    <w:rsid w:val="008B7186"/>
    <w:rsid w:val="008C0EC9"/>
    <w:rsid w:val="008C143F"/>
    <w:rsid w:val="008C2034"/>
    <w:rsid w:val="008C234A"/>
    <w:rsid w:val="008C28D8"/>
    <w:rsid w:val="008C2EC9"/>
    <w:rsid w:val="008C3224"/>
    <w:rsid w:val="008C43BE"/>
    <w:rsid w:val="008C43D7"/>
    <w:rsid w:val="008C581E"/>
    <w:rsid w:val="008C5D3E"/>
    <w:rsid w:val="008C685B"/>
    <w:rsid w:val="008D04D1"/>
    <w:rsid w:val="008D0955"/>
    <w:rsid w:val="008D23BD"/>
    <w:rsid w:val="008D23DB"/>
    <w:rsid w:val="008D3B26"/>
    <w:rsid w:val="008D4B03"/>
    <w:rsid w:val="008D4DC7"/>
    <w:rsid w:val="008D612A"/>
    <w:rsid w:val="008D65C7"/>
    <w:rsid w:val="008D6C48"/>
    <w:rsid w:val="008D70E3"/>
    <w:rsid w:val="008E054E"/>
    <w:rsid w:val="008E1042"/>
    <w:rsid w:val="008E1256"/>
    <w:rsid w:val="008E146F"/>
    <w:rsid w:val="008E24F6"/>
    <w:rsid w:val="008E2C76"/>
    <w:rsid w:val="008E3752"/>
    <w:rsid w:val="008E3A90"/>
    <w:rsid w:val="008E4216"/>
    <w:rsid w:val="008E4537"/>
    <w:rsid w:val="008E55E7"/>
    <w:rsid w:val="008E7BE1"/>
    <w:rsid w:val="008F36D5"/>
    <w:rsid w:val="008F44CF"/>
    <w:rsid w:val="008F44F4"/>
    <w:rsid w:val="008F48B9"/>
    <w:rsid w:val="008F4A64"/>
    <w:rsid w:val="008F637F"/>
    <w:rsid w:val="008F63C3"/>
    <w:rsid w:val="008F63E7"/>
    <w:rsid w:val="00902D32"/>
    <w:rsid w:val="009069CD"/>
    <w:rsid w:val="00907037"/>
    <w:rsid w:val="0090735C"/>
    <w:rsid w:val="00907564"/>
    <w:rsid w:val="009077C7"/>
    <w:rsid w:val="00907F8C"/>
    <w:rsid w:val="009103F8"/>
    <w:rsid w:val="009106CF"/>
    <w:rsid w:val="00915290"/>
    <w:rsid w:val="0091542A"/>
    <w:rsid w:val="00916367"/>
    <w:rsid w:val="00916F48"/>
    <w:rsid w:val="00917BF1"/>
    <w:rsid w:val="00920611"/>
    <w:rsid w:val="009219E9"/>
    <w:rsid w:val="00921C02"/>
    <w:rsid w:val="00923BCB"/>
    <w:rsid w:val="009255FC"/>
    <w:rsid w:val="009256A1"/>
    <w:rsid w:val="009303BC"/>
    <w:rsid w:val="00932A89"/>
    <w:rsid w:val="00932DA8"/>
    <w:rsid w:val="0093432C"/>
    <w:rsid w:val="00934D0F"/>
    <w:rsid w:val="00934DE6"/>
    <w:rsid w:val="009359A0"/>
    <w:rsid w:val="009368D3"/>
    <w:rsid w:val="00936DFB"/>
    <w:rsid w:val="00936EB3"/>
    <w:rsid w:val="0094106C"/>
    <w:rsid w:val="00942696"/>
    <w:rsid w:val="00943868"/>
    <w:rsid w:val="00945430"/>
    <w:rsid w:val="0094738D"/>
    <w:rsid w:val="00947A6F"/>
    <w:rsid w:val="00947F51"/>
    <w:rsid w:val="009508D3"/>
    <w:rsid w:val="00950DF6"/>
    <w:rsid w:val="00951F6B"/>
    <w:rsid w:val="00952616"/>
    <w:rsid w:val="00953277"/>
    <w:rsid w:val="00954E2E"/>
    <w:rsid w:val="009564EE"/>
    <w:rsid w:val="009570B7"/>
    <w:rsid w:val="009576FA"/>
    <w:rsid w:val="0096080C"/>
    <w:rsid w:val="009620C7"/>
    <w:rsid w:val="0096260C"/>
    <w:rsid w:val="009629C5"/>
    <w:rsid w:val="009640B6"/>
    <w:rsid w:val="00965EEA"/>
    <w:rsid w:val="00966AA0"/>
    <w:rsid w:val="0096746B"/>
    <w:rsid w:val="00967C6A"/>
    <w:rsid w:val="00970017"/>
    <w:rsid w:val="009718EE"/>
    <w:rsid w:val="009720E9"/>
    <w:rsid w:val="0097350B"/>
    <w:rsid w:val="009740A3"/>
    <w:rsid w:val="0097476B"/>
    <w:rsid w:val="009751C6"/>
    <w:rsid w:val="0097526A"/>
    <w:rsid w:val="009758FD"/>
    <w:rsid w:val="00975BA8"/>
    <w:rsid w:val="00975C39"/>
    <w:rsid w:val="00976B22"/>
    <w:rsid w:val="00980807"/>
    <w:rsid w:val="00981061"/>
    <w:rsid w:val="009813E8"/>
    <w:rsid w:val="00981D0C"/>
    <w:rsid w:val="009827F3"/>
    <w:rsid w:val="00982F45"/>
    <w:rsid w:val="009834FB"/>
    <w:rsid w:val="00983533"/>
    <w:rsid w:val="00983A66"/>
    <w:rsid w:val="00984F04"/>
    <w:rsid w:val="0098781C"/>
    <w:rsid w:val="0098798C"/>
    <w:rsid w:val="00990A43"/>
    <w:rsid w:val="00990E27"/>
    <w:rsid w:val="0099172D"/>
    <w:rsid w:val="00991A35"/>
    <w:rsid w:val="0099231E"/>
    <w:rsid w:val="009928DB"/>
    <w:rsid w:val="00993133"/>
    <w:rsid w:val="0099333E"/>
    <w:rsid w:val="00993888"/>
    <w:rsid w:val="00993C4F"/>
    <w:rsid w:val="0099411C"/>
    <w:rsid w:val="00994898"/>
    <w:rsid w:val="00994903"/>
    <w:rsid w:val="0099595B"/>
    <w:rsid w:val="00996B9B"/>
    <w:rsid w:val="00996EBC"/>
    <w:rsid w:val="009A0B99"/>
    <w:rsid w:val="009A144E"/>
    <w:rsid w:val="009A1672"/>
    <w:rsid w:val="009A1F26"/>
    <w:rsid w:val="009A232C"/>
    <w:rsid w:val="009A321A"/>
    <w:rsid w:val="009A3FBD"/>
    <w:rsid w:val="009A4898"/>
    <w:rsid w:val="009A48C2"/>
    <w:rsid w:val="009A538E"/>
    <w:rsid w:val="009A5923"/>
    <w:rsid w:val="009A60C4"/>
    <w:rsid w:val="009A7395"/>
    <w:rsid w:val="009A78B7"/>
    <w:rsid w:val="009A7D1E"/>
    <w:rsid w:val="009B1146"/>
    <w:rsid w:val="009B1247"/>
    <w:rsid w:val="009B1AF3"/>
    <w:rsid w:val="009B4B37"/>
    <w:rsid w:val="009B5CD9"/>
    <w:rsid w:val="009B69CE"/>
    <w:rsid w:val="009B736B"/>
    <w:rsid w:val="009B74FC"/>
    <w:rsid w:val="009C01FB"/>
    <w:rsid w:val="009C1560"/>
    <w:rsid w:val="009C3071"/>
    <w:rsid w:val="009C426B"/>
    <w:rsid w:val="009C58A2"/>
    <w:rsid w:val="009C60C6"/>
    <w:rsid w:val="009C6190"/>
    <w:rsid w:val="009C64B4"/>
    <w:rsid w:val="009C66BB"/>
    <w:rsid w:val="009C7B9A"/>
    <w:rsid w:val="009C7CF4"/>
    <w:rsid w:val="009D0537"/>
    <w:rsid w:val="009D0A9F"/>
    <w:rsid w:val="009D16BC"/>
    <w:rsid w:val="009D22EE"/>
    <w:rsid w:val="009D288B"/>
    <w:rsid w:val="009D3881"/>
    <w:rsid w:val="009D4DEF"/>
    <w:rsid w:val="009D5477"/>
    <w:rsid w:val="009D68FE"/>
    <w:rsid w:val="009D691D"/>
    <w:rsid w:val="009D6B45"/>
    <w:rsid w:val="009D6CBC"/>
    <w:rsid w:val="009D7D2E"/>
    <w:rsid w:val="009E0069"/>
    <w:rsid w:val="009E0582"/>
    <w:rsid w:val="009E0772"/>
    <w:rsid w:val="009E0A33"/>
    <w:rsid w:val="009E0C60"/>
    <w:rsid w:val="009E1829"/>
    <w:rsid w:val="009E1BE0"/>
    <w:rsid w:val="009E23BA"/>
    <w:rsid w:val="009E306A"/>
    <w:rsid w:val="009E3D27"/>
    <w:rsid w:val="009E4771"/>
    <w:rsid w:val="009E534E"/>
    <w:rsid w:val="009E5A5E"/>
    <w:rsid w:val="009E5DC6"/>
    <w:rsid w:val="009E71A8"/>
    <w:rsid w:val="009E7DB2"/>
    <w:rsid w:val="009F052B"/>
    <w:rsid w:val="009F2843"/>
    <w:rsid w:val="009F286F"/>
    <w:rsid w:val="009F3220"/>
    <w:rsid w:val="009F3721"/>
    <w:rsid w:val="009F4A84"/>
    <w:rsid w:val="009F6A68"/>
    <w:rsid w:val="00A00710"/>
    <w:rsid w:val="00A0154E"/>
    <w:rsid w:val="00A01EEC"/>
    <w:rsid w:val="00A03C89"/>
    <w:rsid w:val="00A042C7"/>
    <w:rsid w:val="00A048C8"/>
    <w:rsid w:val="00A04DAD"/>
    <w:rsid w:val="00A04FFC"/>
    <w:rsid w:val="00A05423"/>
    <w:rsid w:val="00A0613F"/>
    <w:rsid w:val="00A06F1A"/>
    <w:rsid w:val="00A073A5"/>
    <w:rsid w:val="00A10EF0"/>
    <w:rsid w:val="00A11351"/>
    <w:rsid w:val="00A13B37"/>
    <w:rsid w:val="00A13BD1"/>
    <w:rsid w:val="00A141B9"/>
    <w:rsid w:val="00A15035"/>
    <w:rsid w:val="00A15264"/>
    <w:rsid w:val="00A20004"/>
    <w:rsid w:val="00A20392"/>
    <w:rsid w:val="00A20D85"/>
    <w:rsid w:val="00A21F63"/>
    <w:rsid w:val="00A22B2A"/>
    <w:rsid w:val="00A22BDF"/>
    <w:rsid w:val="00A22EC9"/>
    <w:rsid w:val="00A23993"/>
    <w:rsid w:val="00A23A75"/>
    <w:rsid w:val="00A23DBD"/>
    <w:rsid w:val="00A256F9"/>
    <w:rsid w:val="00A2602C"/>
    <w:rsid w:val="00A2672F"/>
    <w:rsid w:val="00A26F87"/>
    <w:rsid w:val="00A27A6A"/>
    <w:rsid w:val="00A3137B"/>
    <w:rsid w:val="00A3430B"/>
    <w:rsid w:val="00A34DEE"/>
    <w:rsid w:val="00A34E33"/>
    <w:rsid w:val="00A35D6F"/>
    <w:rsid w:val="00A3641B"/>
    <w:rsid w:val="00A37C99"/>
    <w:rsid w:val="00A4053E"/>
    <w:rsid w:val="00A406F6"/>
    <w:rsid w:val="00A40815"/>
    <w:rsid w:val="00A42BBC"/>
    <w:rsid w:val="00A42C19"/>
    <w:rsid w:val="00A43493"/>
    <w:rsid w:val="00A442CF"/>
    <w:rsid w:val="00A4460A"/>
    <w:rsid w:val="00A4575B"/>
    <w:rsid w:val="00A45F7A"/>
    <w:rsid w:val="00A474BE"/>
    <w:rsid w:val="00A47797"/>
    <w:rsid w:val="00A509FD"/>
    <w:rsid w:val="00A50B0D"/>
    <w:rsid w:val="00A511FE"/>
    <w:rsid w:val="00A5175D"/>
    <w:rsid w:val="00A52315"/>
    <w:rsid w:val="00A52645"/>
    <w:rsid w:val="00A549BF"/>
    <w:rsid w:val="00A5504D"/>
    <w:rsid w:val="00A55615"/>
    <w:rsid w:val="00A57A81"/>
    <w:rsid w:val="00A57F6B"/>
    <w:rsid w:val="00A60422"/>
    <w:rsid w:val="00A6130D"/>
    <w:rsid w:val="00A61662"/>
    <w:rsid w:val="00A616EF"/>
    <w:rsid w:val="00A618BD"/>
    <w:rsid w:val="00A61B85"/>
    <w:rsid w:val="00A61FB6"/>
    <w:rsid w:val="00A6361D"/>
    <w:rsid w:val="00A650AA"/>
    <w:rsid w:val="00A65AAA"/>
    <w:rsid w:val="00A672E6"/>
    <w:rsid w:val="00A673E0"/>
    <w:rsid w:val="00A72618"/>
    <w:rsid w:val="00A728F8"/>
    <w:rsid w:val="00A72DDD"/>
    <w:rsid w:val="00A72EF4"/>
    <w:rsid w:val="00A7406F"/>
    <w:rsid w:val="00A74C7E"/>
    <w:rsid w:val="00A74FFF"/>
    <w:rsid w:val="00A75354"/>
    <w:rsid w:val="00A7743E"/>
    <w:rsid w:val="00A80178"/>
    <w:rsid w:val="00A80574"/>
    <w:rsid w:val="00A82D50"/>
    <w:rsid w:val="00A82FB8"/>
    <w:rsid w:val="00A846B9"/>
    <w:rsid w:val="00A84797"/>
    <w:rsid w:val="00A854C8"/>
    <w:rsid w:val="00A8558D"/>
    <w:rsid w:val="00A87CF9"/>
    <w:rsid w:val="00A87D9E"/>
    <w:rsid w:val="00A9167B"/>
    <w:rsid w:val="00A92A96"/>
    <w:rsid w:val="00A930DE"/>
    <w:rsid w:val="00A93829"/>
    <w:rsid w:val="00A94A1C"/>
    <w:rsid w:val="00A94A99"/>
    <w:rsid w:val="00A94C64"/>
    <w:rsid w:val="00A94E52"/>
    <w:rsid w:val="00A9700A"/>
    <w:rsid w:val="00A970B9"/>
    <w:rsid w:val="00AA0FDD"/>
    <w:rsid w:val="00AA2AAF"/>
    <w:rsid w:val="00AA47BC"/>
    <w:rsid w:val="00AA6078"/>
    <w:rsid w:val="00AA6518"/>
    <w:rsid w:val="00AA7AE0"/>
    <w:rsid w:val="00AB0545"/>
    <w:rsid w:val="00AB174F"/>
    <w:rsid w:val="00AB198F"/>
    <w:rsid w:val="00AB1991"/>
    <w:rsid w:val="00AB1C89"/>
    <w:rsid w:val="00AB27FA"/>
    <w:rsid w:val="00AB3544"/>
    <w:rsid w:val="00AB438B"/>
    <w:rsid w:val="00AB43D5"/>
    <w:rsid w:val="00AB49FD"/>
    <w:rsid w:val="00AB5971"/>
    <w:rsid w:val="00AB5EF4"/>
    <w:rsid w:val="00AB6651"/>
    <w:rsid w:val="00AB6861"/>
    <w:rsid w:val="00AB6A03"/>
    <w:rsid w:val="00AB6D1F"/>
    <w:rsid w:val="00AC0569"/>
    <w:rsid w:val="00AC2D50"/>
    <w:rsid w:val="00AC533B"/>
    <w:rsid w:val="00AC539D"/>
    <w:rsid w:val="00AC6F28"/>
    <w:rsid w:val="00AC742D"/>
    <w:rsid w:val="00AD0063"/>
    <w:rsid w:val="00AD09C3"/>
    <w:rsid w:val="00AD1180"/>
    <w:rsid w:val="00AD16DA"/>
    <w:rsid w:val="00AD44BB"/>
    <w:rsid w:val="00AD55CD"/>
    <w:rsid w:val="00AD5E95"/>
    <w:rsid w:val="00AD7D8C"/>
    <w:rsid w:val="00AE0198"/>
    <w:rsid w:val="00AE0215"/>
    <w:rsid w:val="00AE2B78"/>
    <w:rsid w:val="00AE4C05"/>
    <w:rsid w:val="00AE7B17"/>
    <w:rsid w:val="00AF00BA"/>
    <w:rsid w:val="00AF03CA"/>
    <w:rsid w:val="00AF0C1E"/>
    <w:rsid w:val="00AF112A"/>
    <w:rsid w:val="00AF18B6"/>
    <w:rsid w:val="00AF257B"/>
    <w:rsid w:val="00AF29CE"/>
    <w:rsid w:val="00AF2E5F"/>
    <w:rsid w:val="00AF523A"/>
    <w:rsid w:val="00AF575F"/>
    <w:rsid w:val="00AF5A56"/>
    <w:rsid w:val="00B0026B"/>
    <w:rsid w:val="00B041E4"/>
    <w:rsid w:val="00B0505A"/>
    <w:rsid w:val="00B0550F"/>
    <w:rsid w:val="00B06316"/>
    <w:rsid w:val="00B06343"/>
    <w:rsid w:val="00B07CA6"/>
    <w:rsid w:val="00B107ED"/>
    <w:rsid w:val="00B11219"/>
    <w:rsid w:val="00B142D4"/>
    <w:rsid w:val="00B155D2"/>
    <w:rsid w:val="00B15B03"/>
    <w:rsid w:val="00B163F8"/>
    <w:rsid w:val="00B17F1E"/>
    <w:rsid w:val="00B20FD4"/>
    <w:rsid w:val="00B21B42"/>
    <w:rsid w:val="00B228B3"/>
    <w:rsid w:val="00B23321"/>
    <w:rsid w:val="00B234CE"/>
    <w:rsid w:val="00B2480E"/>
    <w:rsid w:val="00B24B63"/>
    <w:rsid w:val="00B25CF5"/>
    <w:rsid w:val="00B30515"/>
    <w:rsid w:val="00B309E5"/>
    <w:rsid w:val="00B31201"/>
    <w:rsid w:val="00B314A5"/>
    <w:rsid w:val="00B3152A"/>
    <w:rsid w:val="00B3333E"/>
    <w:rsid w:val="00B343DE"/>
    <w:rsid w:val="00B35172"/>
    <w:rsid w:val="00B3616B"/>
    <w:rsid w:val="00B36D64"/>
    <w:rsid w:val="00B37514"/>
    <w:rsid w:val="00B37A4F"/>
    <w:rsid w:val="00B37F6E"/>
    <w:rsid w:val="00B4123F"/>
    <w:rsid w:val="00B4269F"/>
    <w:rsid w:val="00B42D9F"/>
    <w:rsid w:val="00B42E58"/>
    <w:rsid w:val="00B43CA8"/>
    <w:rsid w:val="00B449F8"/>
    <w:rsid w:val="00B449FF"/>
    <w:rsid w:val="00B44D3E"/>
    <w:rsid w:val="00B452FE"/>
    <w:rsid w:val="00B46D6B"/>
    <w:rsid w:val="00B471C0"/>
    <w:rsid w:val="00B50D7E"/>
    <w:rsid w:val="00B51384"/>
    <w:rsid w:val="00B51656"/>
    <w:rsid w:val="00B51CB0"/>
    <w:rsid w:val="00B5232E"/>
    <w:rsid w:val="00B53CC4"/>
    <w:rsid w:val="00B545F2"/>
    <w:rsid w:val="00B60A67"/>
    <w:rsid w:val="00B60DA7"/>
    <w:rsid w:val="00B60EBD"/>
    <w:rsid w:val="00B61176"/>
    <w:rsid w:val="00B61A42"/>
    <w:rsid w:val="00B626FD"/>
    <w:rsid w:val="00B6480A"/>
    <w:rsid w:val="00B65359"/>
    <w:rsid w:val="00B6541B"/>
    <w:rsid w:val="00B65FAA"/>
    <w:rsid w:val="00B66DAE"/>
    <w:rsid w:val="00B674CB"/>
    <w:rsid w:val="00B70B5B"/>
    <w:rsid w:val="00B70D67"/>
    <w:rsid w:val="00B718D5"/>
    <w:rsid w:val="00B725D1"/>
    <w:rsid w:val="00B72D7C"/>
    <w:rsid w:val="00B75146"/>
    <w:rsid w:val="00B75E5F"/>
    <w:rsid w:val="00B76786"/>
    <w:rsid w:val="00B77C53"/>
    <w:rsid w:val="00B8046D"/>
    <w:rsid w:val="00B80BB5"/>
    <w:rsid w:val="00B8148D"/>
    <w:rsid w:val="00B82A8F"/>
    <w:rsid w:val="00B8380D"/>
    <w:rsid w:val="00B842D1"/>
    <w:rsid w:val="00B8533C"/>
    <w:rsid w:val="00B85DE7"/>
    <w:rsid w:val="00B865C9"/>
    <w:rsid w:val="00B869A7"/>
    <w:rsid w:val="00B86B06"/>
    <w:rsid w:val="00B876B6"/>
    <w:rsid w:val="00B8789B"/>
    <w:rsid w:val="00B91624"/>
    <w:rsid w:val="00B94260"/>
    <w:rsid w:val="00B945A8"/>
    <w:rsid w:val="00B9535D"/>
    <w:rsid w:val="00B9611A"/>
    <w:rsid w:val="00B96996"/>
    <w:rsid w:val="00B96FF7"/>
    <w:rsid w:val="00B977F3"/>
    <w:rsid w:val="00B97BFE"/>
    <w:rsid w:val="00B97C52"/>
    <w:rsid w:val="00BA2226"/>
    <w:rsid w:val="00BA41C7"/>
    <w:rsid w:val="00BA4919"/>
    <w:rsid w:val="00BA5B1E"/>
    <w:rsid w:val="00BA620F"/>
    <w:rsid w:val="00BA642D"/>
    <w:rsid w:val="00BA6D8E"/>
    <w:rsid w:val="00BA6FA7"/>
    <w:rsid w:val="00BB10D8"/>
    <w:rsid w:val="00BB22C3"/>
    <w:rsid w:val="00BB381D"/>
    <w:rsid w:val="00BB504D"/>
    <w:rsid w:val="00BB5B21"/>
    <w:rsid w:val="00BB651D"/>
    <w:rsid w:val="00BC105F"/>
    <w:rsid w:val="00BC18FF"/>
    <w:rsid w:val="00BC1C43"/>
    <w:rsid w:val="00BC2137"/>
    <w:rsid w:val="00BC2314"/>
    <w:rsid w:val="00BC3347"/>
    <w:rsid w:val="00BC3683"/>
    <w:rsid w:val="00BC3D12"/>
    <w:rsid w:val="00BC4012"/>
    <w:rsid w:val="00BC4EAD"/>
    <w:rsid w:val="00BC5889"/>
    <w:rsid w:val="00BC5D51"/>
    <w:rsid w:val="00BC6933"/>
    <w:rsid w:val="00BD032B"/>
    <w:rsid w:val="00BD097C"/>
    <w:rsid w:val="00BD0E6F"/>
    <w:rsid w:val="00BD2681"/>
    <w:rsid w:val="00BD281B"/>
    <w:rsid w:val="00BD35DF"/>
    <w:rsid w:val="00BD3BBA"/>
    <w:rsid w:val="00BD435D"/>
    <w:rsid w:val="00BD478A"/>
    <w:rsid w:val="00BD4D6C"/>
    <w:rsid w:val="00BD4FE6"/>
    <w:rsid w:val="00BD5262"/>
    <w:rsid w:val="00BD76C2"/>
    <w:rsid w:val="00BD76FE"/>
    <w:rsid w:val="00BD792F"/>
    <w:rsid w:val="00BD7C32"/>
    <w:rsid w:val="00BE016B"/>
    <w:rsid w:val="00BE2315"/>
    <w:rsid w:val="00BE3F5E"/>
    <w:rsid w:val="00BE4653"/>
    <w:rsid w:val="00BE4FE3"/>
    <w:rsid w:val="00BE542C"/>
    <w:rsid w:val="00BE659D"/>
    <w:rsid w:val="00BE681C"/>
    <w:rsid w:val="00BE6B74"/>
    <w:rsid w:val="00BE6F0C"/>
    <w:rsid w:val="00BE75A5"/>
    <w:rsid w:val="00BF0B2D"/>
    <w:rsid w:val="00BF0D12"/>
    <w:rsid w:val="00BF0EB8"/>
    <w:rsid w:val="00BF191A"/>
    <w:rsid w:val="00BF2D32"/>
    <w:rsid w:val="00BF3860"/>
    <w:rsid w:val="00BF3C0C"/>
    <w:rsid w:val="00BF4208"/>
    <w:rsid w:val="00BF4321"/>
    <w:rsid w:val="00BF4E61"/>
    <w:rsid w:val="00BF533D"/>
    <w:rsid w:val="00BF6C74"/>
    <w:rsid w:val="00BF7145"/>
    <w:rsid w:val="00BF73B2"/>
    <w:rsid w:val="00C0094E"/>
    <w:rsid w:val="00C0141E"/>
    <w:rsid w:val="00C01C74"/>
    <w:rsid w:val="00C020C7"/>
    <w:rsid w:val="00C0227A"/>
    <w:rsid w:val="00C02691"/>
    <w:rsid w:val="00C03B96"/>
    <w:rsid w:val="00C04BD6"/>
    <w:rsid w:val="00C05065"/>
    <w:rsid w:val="00C0575A"/>
    <w:rsid w:val="00C0621A"/>
    <w:rsid w:val="00C11E8F"/>
    <w:rsid w:val="00C1234C"/>
    <w:rsid w:val="00C123F6"/>
    <w:rsid w:val="00C13E0F"/>
    <w:rsid w:val="00C14067"/>
    <w:rsid w:val="00C14B92"/>
    <w:rsid w:val="00C1525C"/>
    <w:rsid w:val="00C15560"/>
    <w:rsid w:val="00C15A59"/>
    <w:rsid w:val="00C168F0"/>
    <w:rsid w:val="00C16AD0"/>
    <w:rsid w:val="00C16B20"/>
    <w:rsid w:val="00C17430"/>
    <w:rsid w:val="00C17CF4"/>
    <w:rsid w:val="00C20649"/>
    <w:rsid w:val="00C218B0"/>
    <w:rsid w:val="00C21D0A"/>
    <w:rsid w:val="00C22121"/>
    <w:rsid w:val="00C22953"/>
    <w:rsid w:val="00C22B3E"/>
    <w:rsid w:val="00C23549"/>
    <w:rsid w:val="00C23589"/>
    <w:rsid w:val="00C23A50"/>
    <w:rsid w:val="00C2576F"/>
    <w:rsid w:val="00C2660A"/>
    <w:rsid w:val="00C272FF"/>
    <w:rsid w:val="00C3432B"/>
    <w:rsid w:val="00C3473C"/>
    <w:rsid w:val="00C34CC6"/>
    <w:rsid w:val="00C354E6"/>
    <w:rsid w:val="00C3581C"/>
    <w:rsid w:val="00C378A4"/>
    <w:rsid w:val="00C410BE"/>
    <w:rsid w:val="00C41A75"/>
    <w:rsid w:val="00C41AEE"/>
    <w:rsid w:val="00C429B4"/>
    <w:rsid w:val="00C42FA2"/>
    <w:rsid w:val="00C4324C"/>
    <w:rsid w:val="00C43F43"/>
    <w:rsid w:val="00C43FB9"/>
    <w:rsid w:val="00C43FCE"/>
    <w:rsid w:val="00C46F1E"/>
    <w:rsid w:val="00C47E21"/>
    <w:rsid w:val="00C516FA"/>
    <w:rsid w:val="00C51DB4"/>
    <w:rsid w:val="00C51FBA"/>
    <w:rsid w:val="00C52E39"/>
    <w:rsid w:val="00C53BD5"/>
    <w:rsid w:val="00C53FE9"/>
    <w:rsid w:val="00C5453D"/>
    <w:rsid w:val="00C556C2"/>
    <w:rsid w:val="00C560FA"/>
    <w:rsid w:val="00C569AB"/>
    <w:rsid w:val="00C56E41"/>
    <w:rsid w:val="00C578BB"/>
    <w:rsid w:val="00C579A1"/>
    <w:rsid w:val="00C57B26"/>
    <w:rsid w:val="00C57BEA"/>
    <w:rsid w:val="00C60C1D"/>
    <w:rsid w:val="00C616D1"/>
    <w:rsid w:val="00C626DA"/>
    <w:rsid w:val="00C62EDB"/>
    <w:rsid w:val="00C63BD5"/>
    <w:rsid w:val="00C6601A"/>
    <w:rsid w:val="00C6771E"/>
    <w:rsid w:val="00C71434"/>
    <w:rsid w:val="00C73DDE"/>
    <w:rsid w:val="00C7475F"/>
    <w:rsid w:val="00C74C3C"/>
    <w:rsid w:val="00C74DA9"/>
    <w:rsid w:val="00C74F76"/>
    <w:rsid w:val="00C75D37"/>
    <w:rsid w:val="00C765F4"/>
    <w:rsid w:val="00C7665F"/>
    <w:rsid w:val="00C76F19"/>
    <w:rsid w:val="00C772EC"/>
    <w:rsid w:val="00C77AD1"/>
    <w:rsid w:val="00C77BF8"/>
    <w:rsid w:val="00C77E44"/>
    <w:rsid w:val="00C80AA3"/>
    <w:rsid w:val="00C80BBF"/>
    <w:rsid w:val="00C8251B"/>
    <w:rsid w:val="00C82F89"/>
    <w:rsid w:val="00C837C5"/>
    <w:rsid w:val="00C83F03"/>
    <w:rsid w:val="00C83FBF"/>
    <w:rsid w:val="00C847E7"/>
    <w:rsid w:val="00C858B0"/>
    <w:rsid w:val="00C86167"/>
    <w:rsid w:val="00C91495"/>
    <w:rsid w:val="00C924A1"/>
    <w:rsid w:val="00C93569"/>
    <w:rsid w:val="00C939BB"/>
    <w:rsid w:val="00C93B0B"/>
    <w:rsid w:val="00C94013"/>
    <w:rsid w:val="00C94083"/>
    <w:rsid w:val="00C954C2"/>
    <w:rsid w:val="00C95584"/>
    <w:rsid w:val="00C96613"/>
    <w:rsid w:val="00C96DAA"/>
    <w:rsid w:val="00C97383"/>
    <w:rsid w:val="00CA0255"/>
    <w:rsid w:val="00CA03BD"/>
    <w:rsid w:val="00CA05A4"/>
    <w:rsid w:val="00CA0FB6"/>
    <w:rsid w:val="00CA10B4"/>
    <w:rsid w:val="00CA1B99"/>
    <w:rsid w:val="00CA219F"/>
    <w:rsid w:val="00CA2406"/>
    <w:rsid w:val="00CA38E0"/>
    <w:rsid w:val="00CA4FD5"/>
    <w:rsid w:val="00CA5284"/>
    <w:rsid w:val="00CA63AD"/>
    <w:rsid w:val="00CA6CD3"/>
    <w:rsid w:val="00CB0681"/>
    <w:rsid w:val="00CB0E2A"/>
    <w:rsid w:val="00CB1800"/>
    <w:rsid w:val="00CB21B7"/>
    <w:rsid w:val="00CB229C"/>
    <w:rsid w:val="00CB3267"/>
    <w:rsid w:val="00CB36E8"/>
    <w:rsid w:val="00CB3EDD"/>
    <w:rsid w:val="00CB41D9"/>
    <w:rsid w:val="00CB4774"/>
    <w:rsid w:val="00CB4971"/>
    <w:rsid w:val="00CB58D1"/>
    <w:rsid w:val="00CB6C59"/>
    <w:rsid w:val="00CB74C4"/>
    <w:rsid w:val="00CB7E31"/>
    <w:rsid w:val="00CB7EB4"/>
    <w:rsid w:val="00CC34A8"/>
    <w:rsid w:val="00CC470A"/>
    <w:rsid w:val="00CC5889"/>
    <w:rsid w:val="00CC6843"/>
    <w:rsid w:val="00CC7304"/>
    <w:rsid w:val="00CC7BCB"/>
    <w:rsid w:val="00CC7CC2"/>
    <w:rsid w:val="00CD0E8D"/>
    <w:rsid w:val="00CD132A"/>
    <w:rsid w:val="00CD1602"/>
    <w:rsid w:val="00CD187B"/>
    <w:rsid w:val="00CD2097"/>
    <w:rsid w:val="00CD26B9"/>
    <w:rsid w:val="00CD30F1"/>
    <w:rsid w:val="00CD3722"/>
    <w:rsid w:val="00CD37FB"/>
    <w:rsid w:val="00CD463B"/>
    <w:rsid w:val="00CD5A8D"/>
    <w:rsid w:val="00CE13D9"/>
    <w:rsid w:val="00CE18CF"/>
    <w:rsid w:val="00CE404F"/>
    <w:rsid w:val="00CE4908"/>
    <w:rsid w:val="00CE49D0"/>
    <w:rsid w:val="00CE6BB0"/>
    <w:rsid w:val="00CE6CA1"/>
    <w:rsid w:val="00CE7321"/>
    <w:rsid w:val="00CE75B5"/>
    <w:rsid w:val="00CE77FC"/>
    <w:rsid w:val="00CE7830"/>
    <w:rsid w:val="00CF0863"/>
    <w:rsid w:val="00CF0BA8"/>
    <w:rsid w:val="00CF1B7B"/>
    <w:rsid w:val="00CF27C4"/>
    <w:rsid w:val="00CF341F"/>
    <w:rsid w:val="00CF79B0"/>
    <w:rsid w:val="00CF7A7D"/>
    <w:rsid w:val="00D00B78"/>
    <w:rsid w:val="00D044D2"/>
    <w:rsid w:val="00D046FC"/>
    <w:rsid w:val="00D0509C"/>
    <w:rsid w:val="00D05B32"/>
    <w:rsid w:val="00D05D4F"/>
    <w:rsid w:val="00D06230"/>
    <w:rsid w:val="00D06B67"/>
    <w:rsid w:val="00D06E86"/>
    <w:rsid w:val="00D07933"/>
    <w:rsid w:val="00D10769"/>
    <w:rsid w:val="00D10A89"/>
    <w:rsid w:val="00D12DB8"/>
    <w:rsid w:val="00D13926"/>
    <w:rsid w:val="00D140F3"/>
    <w:rsid w:val="00D145C3"/>
    <w:rsid w:val="00D148EA"/>
    <w:rsid w:val="00D14BC0"/>
    <w:rsid w:val="00D14D39"/>
    <w:rsid w:val="00D15955"/>
    <w:rsid w:val="00D15CA4"/>
    <w:rsid w:val="00D178D4"/>
    <w:rsid w:val="00D20882"/>
    <w:rsid w:val="00D212D1"/>
    <w:rsid w:val="00D21BDB"/>
    <w:rsid w:val="00D2254A"/>
    <w:rsid w:val="00D231D9"/>
    <w:rsid w:val="00D23877"/>
    <w:rsid w:val="00D23A9E"/>
    <w:rsid w:val="00D255F8"/>
    <w:rsid w:val="00D25D25"/>
    <w:rsid w:val="00D25D72"/>
    <w:rsid w:val="00D2653C"/>
    <w:rsid w:val="00D30303"/>
    <w:rsid w:val="00D3081D"/>
    <w:rsid w:val="00D30F58"/>
    <w:rsid w:val="00D31057"/>
    <w:rsid w:val="00D32134"/>
    <w:rsid w:val="00D32FEA"/>
    <w:rsid w:val="00D33A81"/>
    <w:rsid w:val="00D34236"/>
    <w:rsid w:val="00D3455E"/>
    <w:rsid w:val="00D3457C"/>
    <w:rsid w:val="00D34B88"/>
    <w:rsid w:val="00D351AA"/>
    <w:rsid w:val="00D35777"/>
    <w:rsid w:val="00D37A36"/>
    <w:rsid w:val="00D400F3"/>
    <w:rsid w:val="00D40143"/>
    <w:rsid w:val="00D40516"/>
    <w:rsid w:val="00D4208D"/>
    <w:rsid w:val="00D4220E"/>
    <w:rsid w:val="00D422DE"/>
    <w:rsid w:val="00D425A0"/>
    <w:rsid w:val="00D42E24"/>
    <w:rsid w:val="00D434D1"/>
    <w:rsid w:val="00D44181"/>
    <w:rsid w:val="00D445E3"/>
    <w:rsid w:val="00D44B4B"/>
    <w:rsid w:val="00D46585"/>
    <w:rsid w:val="00D47FC2"/>
    <w:rsid w:val="00D503FC"/>
    <w:rsid w:val="00D50951"/>
    <w:rsid w:val="00D51D04"/>
    <w:rsid w:val="00D520E9"/>
    <w:rsid w:val="00D52A1A"/>
    <w:rsid w:val="00D52B20"/>
    <w:rsid w:val="00D5448C"/>
    <w:rsid w:val="00D549E4"/>
    <w:rsid w:val="00D54B59"/>
    <w:rsid w:val="00D55EE6"/>
    <w:rsid w:val="00D567E2"/>
    <w:rsid w:val="00D60A9C"/>
    <w:rsid w:val="00D61F13"/>
    <w:rsid w:val="00D62149"/>
    <w:rsid w:val="00D628E7"/>
    <w:rsid w:val="00D62EC2"/>
    <w:rsid w:val="00D6375D"/>
    <w:rsid w:val="00D641D3"/>
    <w:rsid w:val="00D65DED"/>
    <w:rsid w:val="00D65FFD"/>
    <w:rsid w:val="00D660E4"/>
    <w:rsid w:val="00D66AE3"/>
    <w:rsid w:val="00D66CDA"/>
    <w:rsid w:val="00D67B56"/>
    <w:rsid w:val="00D70431"/>
    <w:rsid w:val="00D71D28"/>
    <w:rsid w:val="00D7222F"/>
    <w:rsid w:val="00D72EDD"/>
    <w:rsid w:val="00D75634"/>
    <w:rsid w:val="00D75A87"/>
    <w:rsid w:val="00D75EF6"/>
    <w:rsid w:val="00D7719A"/>
    <w:rsid w:val="00D777E6"/>
    <w:rsid w:val="00D77C1F"/>
    <w:rsid w:val="00D80796"/>
    <w:rsid w:val="00D813FB"/>
    <w:rsid w:val="00D81600"/>
    <w:rsid w:val="00D81E78"/>
    <w:rsid w:val="00D83BDA"/>
    <w:rsid w:val="00D85731"/>
    <w:rsid w:val="00D86CBF"/>
    <w:rsid w:val="00D86EF2"/>
    <w:rsid w:val="00D91479"/>
    <w:rsid w:val="00D93023"/>
    <w:rsid w:val="00D93384"/>
    <w:rsid w:val="00D939E9"/>
    <w:rsid w:val="00D953FA"/>
    <w:rsid w:val="00D97522"/>
    <w:rsid w:val="00D97DBD"/>
    <w:rsid w:val="00DA071C"/>
    <w:rsid w:val="00DA07E3"/>
    <w:rsid w:val="00DA1874"/>
    <w:rsid w:val="00DA1920"/>
    <w:rsid w:val="00DA1A63"/>
    <w:rsid w:val="00DA2282"/>
    <w:rsid w:val="00DA2292"/>
    <w:rsid w:val="00DA35E4"/>
    <w:rsid w:val="00DA360F"/>
    <w:rsid w:val="00DA387D"/>
    <w:rsid w:val="00DA3CA4"/>
    <w:rsid w:val="00DA4F95"/>
    <w:rsid w:val="00DA5E63"/>
    <w:rsid w:val="00DA60B2"/>
    <w:rsid w:val="00DA7096"/>
    <w:rsid w:val="00DB0622"/>
    <w:rsid w:val="00DB15C8"/>
    <w:rsid w:val="00DB25B2"/>
    <w:rsid w:val="00DB39EF"/>
    <w:rsid w:val="00DB4E3A"/>
    <w:rsid w:val="00DB5872"/>
    <w:rsid w:val="00DC0134"/>
    <w:rsid w:val="00DC04F9"/>
    <w:rsid w:val="00DC1415"/>
    <w:rsid w:val="00DC21CC"/>
    <w:rsid w:val="00DC2857"/>
    <w:rsid w:val="00DC2DF4"/>
    <w:rsid w:val="00DC3B8D"/>
    <w:rsid w:val="00DC4369"/>
    <w:rsid w:val="00DC55AF"/>
    <w:rsid w:val="00DC657E"/>
    <w:rsid w:val="00DC699C"/>
    <w:rsid w:val="00DD00DA"/>
    <w:rsid w:val="00DD20D6"/>
    <w:rsid w:val="00DD3922"/>
    <w:rsid w:val="00DD3C50"/>
    <w:rsid w:val="00DD4B3A"/>
    <w:rsid w:val="00DD5EAA"/>
    <w:rsid w:val="00DD6037"/>
    <w:rsid w:val="00DD7324"/>
    <w:rsid w:val="00DD7A53"/>
    <w:rsid w:val="00DE09AF"/>
    <w:rsid w:val="00DE0AAB"/>
    <w:rsid w:val="00DE10FE"/>
    <w:rsid w:val="00DE1171"/>
    <w:rsid w:val="00DE176F"/>
    <w:rsid w:val="00DE1CA8"/>
    <w:rsid w:val="00DE296E"/>
    <w:rsid w:val="00DE5830"/>
    <w:rsid w:val="00DE58F1"/>
    <w:rsid w:val="00DE684A"/>
    <w:rsid w:val="00DE7274"/>
    <w:rsid w:val="00DE79C9"/>
    <w:rsid w:val="00DF0F5F"/>
    <w:rsid w:val="00DF212E"/>
    <w:rsid w:val="00DF23EE"/>
    <w:rsid w:val="00DF4176"/>
    <w:rsid w:val="00DF5DEA"/>
    <w:rsid w:val="00DF5F82"/>
    <w:rsid w:val="00DF770E"/>
    <w:rsid w:val="00E002ED"/>
    <w:rsid w:val="00E0161A"/>
    <w:rsid w:val="00E016CF"/>
    <w:rsid w:val="00E0281C"/>
    <w:rsid w:val="00E0400E"/>
    <w:rsid w:val="00E040D1"/>
    <w:rsid w:val="00E05D99"/>
    <w:rsid w:val="00E0749B"/>
    <w:rsid w:val="00E0786F"/>
    <w:rsid w:val="00E11076"/>
    <w:rsid w:val="00E13ED5"/>
    <w:rsid w:val="00E14312"/>
    <w:rsid w:val="00E14324"/>
    <w:rsid w:val="00E14BE1"/>
    <w:rsid w:val="00E15A61"/>
    <w:rsid w:val="00E15E5B"/>
    <w:rsid w:val="00E16184"/>
    <w:rsid w:val="00E20DE5"/>
    <w:rsid w:val="00E21298"/>
    <w:rsid w:val="00E21AB6"/>
    <w:rsid w:val="00E21C35"/>
    <w:rsid w:val="00E22946"/>
    <w:rsid w:val="00E22BCA"/>
    <w:rsid w:val="00E22BF1"/>
    <w:rsid w:val="00E234DC"/>
    <w:rsid w:val="00E23A49"/>
    <w:rsid w:val="00E24554"/>
    <w:rsid w:val="00E25A31"/>
    <w:rsid w:val="00E25CFE"/>
    <w:rsid w:val="00E25F56"/>
    <w:rsid w:val="00E271C5"/>
    <w:rsid w:val="00E30056"/>
    <w:rsid w:val="00E3026C"/>
    <w:rsid w:val="00E30EC0"/>
    <w:rsid w:val="00E312D3"/>
    <w:rsid w:val="00E315CC"/>
    <w:rsid w:val="00E31C58"/>
    <w:rsid w:val="00E321EE"/>
    <w:rsid w:val="00E323B4"/>
    <w:rsid w:val="00E35138"/>
    <w:rsid w:val="00E365A3"/>
    <w:rsid w:val="00E37F9F"/>
    <w:rsid w:val="00E40916"/>
    <w:rsid w:val="00E42699"/>
    <w:rsid w:val="00E43675"/>
    <w:rsid w:val="00E43A07"/>
    <w:rsid w:val="00E44F54"/>
    <w:rsid w:val="00E45A56"/>
    <w:rsid w:val="00E45CEB"/>
    <w:rsid w:val="00E467EA"/>
    <w:rsid w:val="00E500CA"/>
    <w:rsid w:val="00E50DE4"/>
    <w:rsid w:val="00E535DD"/>
    <w:rsid w:val="00E53A42"/>
    <w:rsid w:val="00E53E1E"/>
    <w:rsid w:val="00E55415"/>
    <w:rsid w:val="00E55CC8"/>
    <w:rsid w:val="00E55E93"/>
    <w:rsid w:val="00E56081"/>
    <w:rsid w:val="00E5722A"/>
    <w:rsid w:val="00E57D29"/>
    <w:rsid w:val="00E6095E"/>
    <w:rsid w:val="00E60A5B"/>
    <w:rsid w:val="00E60C39"/>
    <w:rsid w:val="00E62FC6"/>
    <w:rsid w:val="00E630AD"/>
    <w:rsid w:val="00E63747"/>
    <w:rsid w:val="00E65202"/>
    <w:rsid w:val="00E65694"/>
    <w:rsid w:val="00E65A94"/>
    <w:rsid w:val="00E66D93"/>
    <w:rsid w:val="00E6784B"/>
    <w:rsid w:val="00E67C5D"/>
    <w:rsid w:val="00E67C82"/>
    <w:rsid w:val="00E71F3B"/>
    <w:rsid w:val="00E72550"/>
    <w:rsid w:val="00E73131"/>
    <w:rsid w:val="00E73BC0"/>
    <w:rsid w:val="00E73EFC"/>
    <w:rsid w:val="00E7439B"/>
    <w:rsid w:val="00E74647"/>
    <w:rsid w:val="00E75A8A"/>
    <w:rsid w:val="00E76C75"/>
    <w:rsid w:val="00E76CD2"/>
    <w:rsid w:val="00E76FAF"/>
    <w:rsid w:val="00E77A84"/>
    <w:rsid w:val="00E77BCA"/>
    <w:rsid w:val="00E77E4A"/>
    <w:rsid w:val="00E8034F"/>
    <w:rsid w:val="00E81003"/>
    <w:rsid w:val="00E81CB9"/>
    <w:rsid w:val="00E824DF"/>
    <w:rsid w:val="00E839BB"/>
    <w:rsid w:val="00E83C6B"/>
    <w:rsid w:val="00E842D7"/>
    <w:rsid w:val="00E858C1"/>
    <w:rsid w:val="00E87548"/>
    <w:rsid w:val="00E878EA"/>
    <w:rsid w:val="00E9043A"/>
    <w:rsid w:val="00E9110D"/>
    <w:rsid w:val="00E912A4"/>
    <w:rsid w:val="00E91667"/>
    <w:rsid w:val="00E9190E"/>
    <w:rsid w:val="00E92602"/>
    <w:rsid w:val="00E92749"/>
    <w:rsid w:val="00E9304B"/>
    <w:rsid w:val="00E93619"/>
    <w:rsid w:val="00E94643"/>
    <w:rsid w:val="00E946B6"/>
    <w:rsid w:val="00E946FC"/>
    <w:rsid w:val="00E954D4"/>
    <w:rsid w:val="00E96088"/>
    <w:rsid w:val="00E96695"/>
    <w:rsid w:val="00E96983"/>
    <w:rsid w:val="00E97A61"/>
    <w:rsid w:val="00E97B70"/>
    <w:rsid w:val="00EA0CEC"/>
    <w:rsid w:val="00EA0D24"/>
    <w:rsid w:val="00EA1A25"/>
    <w:rsid w:val="00EA2E29"/>
    <w:rsid w:val="00EA449D"/>
    <w:rsid w:val="00EA468C"/>
    <w:rsid w:val="00EA493B"/>
    <w:rsid w:val="00EA4E8E"/>
    <w:rsid w:val="00EA6001"/>
    <w:rsid w:val="00EA6168"/>
    <w:rsid w:val="00EA72C2"/>
    <w:rsid w:val="00EA7983"/>
    <w:rsid w:val="00EB0410"/>
    <w:rsid w:val="00EB23D8"/>
    <w:rsid w:val="00EB4433"/>
    <w:rsid w:val="00EC0331"/>
    <w:rsid w:val="00EC09D4"/>
    <w:rsid w:val="00EC2B01"/>
    <w:rsid w:val="00EC3D2D"/>
    <w:rsid w:val="00EC3E0D"/>
    <w:rsid w:val="00EC47E2"/>
    <w:rsid w:val="00EC494B"/>
    <w:rsid w:val="00EC59C4"/>
    <w:rsid w:val="00EC64B1"/>
    <w:rsid w:val="00EC6525"/>
    <w:rsid w:val="00EC6E74"/>
    <w:rsid w:val="00EC7869"/>
    <w:rsid w:val="00ED005D"/>
    <w:rsid w:val="00ED05A2"/>
    <w:rsid w:val="00ED0CDE"/>
    <w:rsid w:val="00ED2CD8"/>
    <w:rsid w:val="00ED3F47"/>
    <w:rsid w:val="00ED4189"/>
    <w:rsid w:val="00ED4499"/>
    <w:rsid w:val="00ED4EDB"/>
    <w:rsid w:val="00ED6CCD"/>
    <w:rsid w:val="00ED6D14"/>
    <w:rsid w:val="00ED6DC0"/>
    <w:rsid w:val="00ED72D2"/>
    <w:rsid w:val="00ED773B"/>
    <w:rsid w:val="00EE01A2"/>
    <w:rsid w:val="00EE242F"/>
    <w:rsid w:val="00EE29D3"/>
    <w:rsid w:val="00EE2B50"/>
    <w:rsid w:val="00EE35C8"/>
    <w:rsid w:val="00EE421F"/>
    <w:rsid w:val="00EE4D02"/>
    <w:rsid w:val="00EE7060"/>
    <w:rsid w:val="00EE7090"/>
    <w:rsid w:val="00EE7A43"/>
    <w:rsid w:val="00EE7F42"/>
    <w:rsid w:val="00EF128D"/>
    <w:rsid w:val="00EF1ACC"/>
    <w:rsid w:val="00EF2E35"/>
    <w:rsid w:val="00EF3924"/>
    <w:rsid w:val="00EF4D69"/>
    <w:rsid w:val="00EF78BA"/>
    <w:rsid w:val="00EF7D8E"/>
    <w:rsid w:val="00F01252"/>
    <w:rsid w:val="00F02A4F"/>
    <w:rsid w:val="00F0441D"/>
    <w:rsid w:val="00F05A4E"/>
    <w:rsid w:val="00F05D56"/>
    <w:rsid w:val="00F06BE9"/>
    <w:rsid w:val="00F06F0B"/>
    <w:rsid w:val="00F071BE"/>
    <w:rsid w:val="00F07B01"/>
    <w:rsid w:val="00F07B86"/>
    <w:rsid w:val="00F1172C"/>
    <w:rsid w:val="00F11C8B"/>
    <w:rsid w:val="00F11D12"/>
    <w:rsid w:val="00F13586"/>
    <w:rsid w:val="00F13F47"/>
    <w:rsid w:val="00F157D8"/>
    <w:rsid w:val="00F16160"/>
    <w:rsid w:val="00F175F7"/>
    <w:rsid w:val="00F17972"/>
    <w:rsid w:val="00F21263"/>
    <w:rsid w:val="00F21723"/>
    <w:rsid w:val="00F22B28"/>
    <w:rsid w:val="00F236C6"/>
    <w:rsid w:val="00F23AAB"/>
    <w:rsid w:val="00F23C06"/>
    <w:rsid w:val="00F2484B"/>
    <w:rsid w:val="00F2631C"/>
    <w:rsid w:val="00F271A7"/>
    <w:rsid w:val="00F30AA7"/>
    <w:rsid w:val="00F3105A"/>
    <w:rsid w:val="00F318E9"/>
    <w:rsid w:val="00F32B5D"/>
    <w:rsid w:val="00F34003"/>
    <w:rsid w:val="00F34E8C"/>
    <w:rsid w:val="00F3546C"/>
    <w:rsid w:val="00F36164"/>
    <w:rsid w:val="00F37B09"/>
    <w:rsid w:val="00F40340"/>
    <w:rsid w:val="00F40C85"/>
    <w:rsid w:val="00F415D5"/>
    <w:rsid w:val="00F427B7"/>
    <w:rsid w:val="00F4374B"/>
    <w:rsid w:val="00F43AC2"/>
    <w:rsid w:val="00F4533E"/>
    <w:rsid w:val="00F45651"/>
    <w:rsid w:val="00F45934"/>
    <w:rsid w:val="00F46601"/>
    <w:rsid w:val="00F472FB"/>
    <w:rsid w:val="00F5033A"/>
    <w:rsid w:val="00F505AE"/>
    <w:rsid w:val="00F515AE"/>
    <w:rsid w:val="00F52265"/>
    <w:rsid w:val="00F52712"/>
    <w:rsid w:val="00F5440D"/>
    <w:rsid w:val="00F5484F"/>
    <w:rsid w:val="00F54B8A"/>
    <w:rsid w:val="00F550EC"/>
    <w:rsid w:val="00F557B3"/>
    <w:rsid w:val="00F55B36"/>
    <w:rsid w:val="00F57285"/>
    <w:rsid w:val="00F579A8"/>
    <w:rsid w:val="00F6139A"/>
    <w:rsid w:val="00F61504"/>
    <w:rsid w:val="00F63FD3"/>
    <w:rsid w:val="00F6594B"/>
    <w:rsid w:val="00F659AE"/>
    <w:rsid w:val="00F65AF2"/>
    <w:rsid w:val="00F66109"/>
    <w:rsid w:val="00F6629A"/>
    <w:rsid w:val="00F677C7"/>
    <w:rsid w:val="00F70941"/>
    <w:rsid w:val="00F709A6"/>
    <w:rsid w:val="00F71737"/>
    <w:rsid w:val="00F72B2B"/>
    <w:rsid w:val="00F75028"/>
    <w:rsid w:val="00F764BA"/>
    <w:rsid w:val="00F76B71"/>
    <w:rsid w:val="00F76CC1"/>
    <w:rsid w:val="00F77A85"/>
    <w:rsid w:val="00F77B38"/>
    <w:rsid w:val="00F77F31"/>
    <w:rsid w:val="00F80432"/>
    <w:rsid w:val="00F808E3"/>
    <w:rsid w:val="00F810DA"/>
    <w:rsid w:val="00F8195F"/>
    <w:rsid w:val="00F81C87"/>
    <w:rsid w:val="00F833FD"/>
    <w:rsid w:val="00F8768F"/>
    <w:rsid w:val="00F87A69"/>
    <w:rsid w:val="00F90EF4"/>
    <w:rsid w:val="00F90FC4"/>
    <w:rsid w:val="00F910B3"/>
    <w:rsid w:val="00F9255B"/>
    <w:rsid w:val="00F93BCF"/>
    <w:rsid w:val="00F947C4"/>
    <w:rsid w:val="00F953A3"/>
    <w:rsid w:val="00F95BC5"/>
    <w:rsid w:val="00F9722E"/>
    <w:rsid w:val="00F97A32"/>
    <w:rsid w:val="00F97FA0"/>
    <w:rsid w:val="00FA1219"/>
    <w:rsid w:val="00FA1AF9"/>
    <w:rsid w:val="00FA3B94"/>
    <w:rsid w:val="00FA3CBF"/>
    <w:rsid w:val="00FA4A7E"/>
    <w:rsid w:val="00FA5392"/>
    <w:rsid w:val="00FA54B6"/>
    <w:rsid w:val="00FA5D45"/>
    <w:rsid w:val="00FA5F52"/>
    <w:rsid w:val="00FA665B"/>
    <w:rsid w:val="00FA6680"/>
    <w:rsid w:val="00FA73C7"/>
    <w:rsid w:val="00FA7CF4"/>
    <w:rsid w:val="00FB09FB"/>
    <w:rsid w:val="00FB0B84"/>
    <w:rsid w:val="00FB0FA3"/>
    <w:rsid w:val="00FB12C5"/>
    <w:rsid w:val="00FB1DD0"/>
    <w:rsid w:val="00FB244B"/>
    <w:rsid w:val="00FB26C8"/>
    <w:rsid w:val="00FB271C"/>
    <w:rsid w:val="00FB3DC9"/>
    <w:rsid w:val="00FB4AB9"/>
    <w:rsid w:val="00FB536D"/>
    <w:rsid w:val="00FB5A67"/>
    <w:rsid w:val="00FB5CCF"/>
    <w:rsid w:val="00FB66E0"/>
    <w:rsid w:val="00FB6D77"/>
    <w:rsid w:val="00FC02F8"/>
    <w:rsid w:val="00FC0325"/>
    <w:rsid w:val="00FC12B7"/>
    <w:rsid w:val="00FC17BD"/>
    <w:rsid w:val="00FC2898"/>
    <w:rsid w:val="00FC3F92"/>
    <w:rsid w:val="00FC4D87"/>
    <w:rsid w:val="00FC6A2E"/>
    <w:rsid w:val="00FC6AAD"/>
    <w:rsid w:val="00FC78D0"/>
    <w:rsid w:val="00FD13EE"/>
    <w:rsid w:val="00FD1739"/>
    <w:rsid w:val="00FD187A"/>
    <w:rsid w:val="00FD3930"/>
    <w:rsid w:val="00FD42E7"/>
    <w:rsid w:val="00FD42F1"/>
    <w:rsid w:val="00FD4CED"/>
    <w:rsid w:val="00FD4FA4"/>
    <w:rsid w:val="00FD7450"/>
    <w:rsid w:val="00FE1F3E"/>
    <w:rsid w:val="00FE258B"/>
    <w:rsid w:val="00FE2CA0"/>
    <w:rsid w:val="00FE37D5"/>
    <w:rsid w:val="00FE5849"/>
    <w:rsid w:val="00FE6E3B"/>
    <w:rsid w:val="00FE7D6C"/>
    <w:rsid w:val="00FE7F0F"/>
    <w:rsid w:val="00FF0908"/>
    <w:rsid w:val="00FF0AB5"/>
    <w:rsid w:val="00FF1C8C"/>
    <w:rsid w:val="00FF2949"/>
    <w:rsid w:val="00FF48CB"/>
    <w:rsid w:val="00FF4A6A"/>
    <w:rsid w:val="00FF4FBD"/>
    <w:rsid w:val="00FF5AC3"/>
    <w:rsid w:val="00FF746A"/>
    <w:rsid w:val="02061B33"/>
    <w:rsid w:val="03254DDB"/>
    <w:rsid w:val="06EF53EB"/>
    <w:rsid w:val="0CAFDDDD"/>
    <w:rsid w:val="0DA0AB78"/>
    <w:rsid w:val="0F4AE18C"/>
    <w:rsid w:val="0F68B00D"/>
    <w:rsid w:val="10F34B4A"/>
    <w:rsid w:val="1189107C"/>
    <w:rsid w:val="177D74E5"/>
    <w:rsid w:val="187BEEC5"/>
    <w:rsid w:val="1892B942"/>
    <w:rsid w:val="199F0EDC"/>
    <w:rsid w:val="1A998293"/>
    <w:rsid w:val="1C40DA8E"/>
    <w:rsid w:val="1CBF1916"/>
    <w:rsid w:val="1DF07FA7"/>
    <w:rsid w:val="208FBA3B"/>
    <w:rsid w:val="20B75AA8"/>
    <w:rsid w:val="21893BED"/>
    <w:rsid w:val="219DAD44"/>
    <w:rsid w:val="21F47485"/>
    <w:rsid w:val="227AFDCC"/>
    <w:rsid w:val="241DBE99"/>
    <w:rsid w:val="26E766F9"/>
    <w:rsid w:val="26E799CA"/>
    <w:rsid w:val="27B3CCAB"/>
    <w:rsid w:val="2A8D1326"/>
    <w:rsid w:val="2C80D344"/>
    <w:rsid w:val="2D3AB3FC"/>
    <w:rsid w:val="2E5C7090"/>
    <w:rsid w:val="30162DB0"/>
    <w:rsid w:val="315B9A75"/>
    <w:rsid w:val="327A3979"/>
    <w:rsid w:val="33F44944"/>
    <w:rsid w:val="35B922F3"/>
    <w:rsid w:val="3697BA50"/>
    <w:rsid w:val="36F4D3EF"/>
    <w:rsid w:val="399BFC09"/>
    <w:rsid w:val="3A7E14C8"/>
    <w:rsid w:val="3B4A6FE2"/>
    <w:rsid w:val="3BE6659D"/>
    <w:rsid w:val="3D6A3C91"/>
    <w:rsid w:val="3F3B29D0"/>
    <w:rsid w:val="3FA09DD1"/>
    <w:rsid w:val="40828C16"/>
    <w:rsid w:val="41BD0E22"/>
    <w:rsid w:val="423C7EC4"/>
    <w:rsid w:val="429CFAF5"/>
    <w:rsid w:val="43B0D6B1"/>
    <w:rsid w:val="463AB226"/>
    <w:rsid w:val="4699B9EB"/>
    <w:rsid w:val="488FCBC7"/>
    <w:rsid w:val="48C4512D"/>
    <w:rsid w:val="49624444"/>
    <w:rsid w:val="49DECF93"/>
    <w:rsid w:val="4B954BE3"/>
    <w:rsid w:val="4C9AB111"/>
    <w:rsid w:val="4CB70877"/>
    <w:rsid w:val="4D1E132A"/>
    <w:rsid w:val="4D2D8435"/>
    <w:rsid w:val="4D7137D3"/>
    <w:rsid w:val="4DB2C5C4"/>
    <w:rsid w:val="4FB2E134"/>
    <w:rsid w:val="50386ABF"/>
    <w:rsid w:val="5673B140"/>
    <w:rsid w:val="57641A34"/>
    <w:rsid w:val="57F9BDDB"/>
    <w:rsid w:val="583009A9"/>
    <w:rsid w:val="58EC4746"/>
    <w:rsid w:val="5A00F6E8"/>
    <w:rsid w:val="5A1D423F"/>
    <w:rsid w:val="5AA40D23"/>
    <w:rsid w:val="5AEBC6A9"/>
    <w:rsid w:val="5B8AEA62"/>
    <w:rsid w:val="5C638CBA"/>
    <w:rsid w:val="5DE6CC36"/>
    <w:rsid w:val="5F4855B5"/>
    <w:rsid w:val="61D0602A"/>
    <w:rsid w:val="63744FE7"/>
    <w:rsid w:val="6581189A"/>
    <w:rsid w:val="661882A9"/>
    <w:rsid w:val="663BC1EF"/>
    <w:rsid w:val="671C59E8"/>
    <w:rsid w:val="673FC0DD"/>
    <w:rsid w:val="69141621"/>
    <w:rsid w:val="69606223"/>
    <w:rsid w:val="6B318233"/>
    <w:rsid w:val="6B602187"/>
    <w:rsid w:val="6B9A8CFF"/>
    <w:rsid w:val="6EFC5E24"/>
    <w:rsid w:val="70491FFC"/>
    <w:rsid w:val="711E908E"/>
    <w:rsid w:val="72E84BF7"/>
    <w:rsid w:val="74334744"/>
    <w:rsid w:val="753EC435"/>
    <w:rsid w:val="769F9C08"/>
    <w:rsid w:val="7734E9DB"/>
    <w:rsid w:val="787AA39E"/>
    <w:rsid w:val="78B71657"/>
    <w:rsid w:val="78E1ADAA"/>
    <w:rsid w:val="7B011FDD"/>
    <w:rsid w:val="7BDE1130"/>
    <w:rsid w:val="7BFCCAF5"/>
    <w:rsid w:val="7CAE26AF"/>
    <w:rsid w:val="7E00423E"/>
    <w:rsid w:val="7E480338"/>
    <w:rsid w:val="7F156C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67B67E"/>
  <w15:chartTrackingRefBased/>
  <w15:docId w15:val="{1C353126-A005-4D56-828D-2F56A251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7B"/>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4324AF"/>
    <w:pPr>
      <w:keepNext/>
      <w:keepLines/>
      <w:spacing w:before="360" w:after="160"/>
      <w:outlineLvl w:val="1"/>
    </w:pPr>
    <w:rPr>
      <w:b/>
      <w:bCs/>
      <w:color w:val="167166" w:themeColor="background2" w:themeShade="BF"/>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paragraph" w:styleId="Heading5">
    <w:name w:val="heading 5"/>
    <w:basedOn w:val="Normal"/>
    <w:next w:val="Normal"/>
    <w:link w:val="Heading5Char"/>
    <w:uiPriority w:val="9"/>
    <w:unhideWhenUsed/>
    <w:qFormat/>
    <w:rsid w:val="00A0613F"/>
    <w:pPr>
      <w:keepNext/>
      <w:keepLines/>
      <w:spacing w:before="40" w:after="0"/>
      <w:outlineLvl w:val="4"/>
    </w:pPr>
    <w:rPr>
      <w:rFonts w:ascii="Calibri Light" w:eastAsia="MS Gothic"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4324AF"/>
    <w:rPr>
      <w:b/>
      <w:bCs/>
      <w:color w:val="167166" w:themeColor="background2" w:themeShade="BF"/>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397239"/>
    <w:pPr>
      <w:spacing w:after="420" w:line="760" w:lineRule="exact"/>
      <w:ind w:right="1701"/>
    </w:pPr>
    <w:rPr>
      <w:b/>
      <w:bCs/>
      <w:color w:val="FFFFFF" w:themeColor="background1"/>
      <w:sz w:val="66"/>
      <w:szCs w:val="66"/>
    </w:rPr>
  </w:style>
  <w:style w:type="character" w:customStyle="1" w:styleId="TitleChar">
    <w:name w:val="Title Char"/>
    <w:basedOn w:val="DefaultParagraphFont"/>
    <w:link w:val="Title"/>
    <w:uiPriority w:val="10"/>
    <w:rsid w:val="00397239"/>
    <w:rPr>
      <w:b/>
      <w:bCs/>
      <w:color w:val="FFFFFF" w:themeColor="background1"/>
      <w:sz w:val="66"/>
      <w:szCs w:val="66"/>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Heading51">
    <w:name w:val="Heading 51"/>
    <w:basedOn w:val="Normal"/>
    <w:next w:val="Normal"/>
    <w:uiPriority w:val="9"/>
    <w:unhideWhenUsed/>
    <w:qFormat/>
    <w:rsid w:val="00A0613F"/>
    <w:pPr>
      <w:keepNext/>
      <w:keepLines/>
      <w:spacing w:before="40" w:after="0" w:line="259" w:lineRule="auto"/>
      <w:outlineLvl w:val="4"/>
    </w:pPr>
    <w:rPr>
      <w:rFonts w:ascii="Calibri Light" w:eastAsia="MS Gothic" w:hAnsi="Calibri Light" w:cs="Times New Roman"/>
      <w:color w:val="2F5496"/>
      <w:sz w:val="22"/>
      <w:szCs w:val="22"/>
      <w:lang w:val="en-US" w:eastAsia="en-US"/>
    </w:rPr>
  </w:style>
  <w:style w:type="paragraph" w:styleId="TOC2">
    <w:name w:val="toc 2"/>
    <w:basedOn w:val="Normal"/>
    <w:next w:val="Normal"/>
    <w:autoRedefine/>
    <w:uiPriority w:val="39"/>
    <w:unhideWhenUsed/>
    <w:rsid w:val="00725688"/>
    <w:pPr>
      <w:tabs>
        <w:tab w:val="right" w:leader="dot" w:pos="9016"/>
      </w:tabs>
      <w:spacing w:after="100"/>
    </w:pPr>
    <w:rPr>
      <w:b/>
      <w:bCs/>
      <w:noProof/>
      <w:lang w:val="en-US" w:eastAsia="en-US"/>
    </w:rPr>
  </w:style>
  <w:style w:type="character" w:customStyle="1" w:styleId="Heading5Char">
    <w:name w:val="Heading 5 Char"/>
    <w:basedOn w:val="DefaultParagraphFont"/>
    <w:link w:val="Heading5"/>
    <w:uiPriority w:val="9"/>
    <w:rsid w:val="00A0613F"/>
    <w:rPr>
      <w:rFonts w:ascii="Calibri Light" w:eastAsia="MS Gothic" w:hAnsi="Calibri Light" w:cs="Times New Roman"/>
      <w:color w:val="2F5496"/>
    </w:rPr>
  </w:style>
  <w:style w:type="character" w:customStyle="1" w:styleId="normaltextrun">
    <w:name w:val="normaltextrun"/>
    <w:basedOn w:val="DefaultParagraphFont"/>
    <w:rsid w:val="00A0613F"/>
  </w:style>
  <w:style w:type="character" w:customStyle="1" w:styleId="eop">
    <w:name w:val="eop"/>
    <w:basedOn w:val="DefaultParagraphFont"/>
    <w:rsid w:val="00A0613F"/>
  </w:style>
  <w:style w:type="paragraph" w:customStyle="1" w:styleId="AList1">
    <w:name w:val="A. List1"/>
    <w:basedOn w:val="Normal"/>
    <w:next w:val="ListParagraph"/>
    <w:uiPriority w:val="34"/>
    <w:qFormat/>
    <w:rsid w:val="00A0613F"/>
    <w:pPr>
      <w:spacing w:after="160" w:line="259" w:lineRule="auto"/>
      <w:ind w:left="720"/>
      <w:contextualSpacing/>
    </w:pPr>
    <w:rPr>
      <w:rFonts w:eastAsia="Calibri"/>
      <w:sz w:val="22"/>
      <w:szCs w:val="22"/>
      <w:lang w:val="en-US" w:eastAsia="en-US"/>
    </w:rPr>
  </w:style>
  <w:style w:type="character" w:customStyle="1" w:styleId="Hyperlink1">
    <w:name w:val="Hyperlink1"/>
    <w:basedOn w:val="DefaultParagraphFont"/>
    <w:uiPriority w:val="99"/>
    <w:unhideWhenUsed/>
    <w:rsid w:val="00A0613F"/>
    <w:rPr>
      <w:color w:val="0563C1"/>
      <w:u w:val="single"/>
    </w:rPr>
  </w:style>
  <w:style w:type="character" w:styleId="UnresolvedMention">
    <w:name w:val="Unresolved Mention"/>
    <w:basedOn w:val="DefaultParagraphFont"/>
    <w:uiPriority w:val="99"/>
    <w:semiHidden/>
    <w:unhideWhenUsed/>
    <w:rsid w:val="00A0613F"/>
    <w:rPr>
      <w:color w:val="605E5C"/>
      <w:shd w:val="clear" w:color="auto" w:fill="E1DFDD"/>
    </w:rPr>
  </w:style>
  <w:style w:type="character" w:styleId="CommentReference">
    <w:name w:val="annotation reference"/>
    <w:basedOn w:val="DefaultParagraphFont"/>
    <w:uiPriority w:val="99"/>
    <w:semiHidden/>
    <w:unhideWhenUsed/>
    <w:rsid w:val="00A0613F"/>
    <w:rPr>
      <w:sz w:val="16"/>
      <w:szCs w:val="16"/>
    </w:rPr>
  </w:style>
  <w:style w:type="paragraph" w:customStyle="1" w:styleId="CommentText1">
    <w:name w:val="Comment Text1"/>
    <w:basedOn w:val="Normal"/>
    <w:next w:val="CommentText"/>
    <w:link w:val="CommentTextChar"/>
    <w:uiPriority w:val="99"/>
    <w:unhideWhenUsed/>
    <w:rsid w:val="00A0613F"/>
    <w:pPr>
      <w:spacing w:after="160" w:line="240" w:lineRule="auto"/>
    </w:pPr>
  </w:style>
  <w:style w:type="character" w:customStyle="1" w:styleId="CommentTextChar">
    <w:name w:val="Comment Text Char"/>
    <w:basedOn w:val="DefaultParagraphFont"/>
    <w:link w:val="CommentText1"/>
    <w:uiPriority w:val="99"/>
    <w:rsid w:val="00A0613F"/>
    <w:rPr>
      <w:sz w:val="20"/>
      <w:szCs w:val="20"/>
    </w:rPr>
  </w:style>
  <w:style w:type="paragraph" w:customStyle="1" w:styleId="CommentSubject1">
    <w:name w:val="Comment Subject1"/>
    <w:basedOn w:val="CommentText"/>
    <w:next w:val="CommentText"/>
    <w:uiPriority w:val="99"/>
    <w:semiHidden/>
    <w:unhideWhenUsed/>
    <w:rsid w:val="00A0613F"/>
    <w:pPr>
      <w:spacing w:after="160"/>
    </w:pPr>
    <w:rPr>
      <w:rFonts w:eastAsia="Calibri"/>
      <w:b/>
      <w:bCs/>
      <w:lang w:val="en-US" w:eastAsia="en-US"/>
    </w:rPr>
  </w:style>
  <w:style w:type="character" w:customStyle="1" w:styleId="CommentSubjectChar">
    <w:name w:val="Comment Subject Char"/>
    <w:basedOn w:val="CommentTextChar"/>
    <w:link w:val="CommentSubject"/>
    <w:uiPriority w:val="99"/>
    <w:semiHidden/>
    <w:rsid w:val="00A0613F"/>
    <w:rPr>
      <w:b/>
      <w:bCs/>
      <w:sz w:val="20"/>
      <w:szCs w:val="20"/>
    </w:rPr>
  </w:style>
  <w:style w:type="paragraph" w:customStyle="1" w:styleId="Revision1">
    <w:name w:val="Revision1"/>
    <w:next w:val="Revision"/>
    <w:hidden/>
    <w:uiPriority w:val="99"/>
    <w:semiHidden/>
    <w:rsid w:val="00A0613F"/>
    <w:pPr>
      <w:spacing w:after="0" w:line="240" w:lineRule="auto"/>
    </w:pPr>
    <w:rPr>
      <w:rFonts w:eastAsia="Calibri"/>
      <w:sz w:val="22"/>
      <w:szCs w:val="22"/>
      <w:lang w:val="en-US" w:eastAsia="en-US"/>
    </w:rPr>
  </w:style>
  <w:style w:type="paragraph" w:customStyle="1" w:styleId="paragraph">
    <w:name w:val="paragraph"/>
    <w:basedOn w:val="Normal"/>
    <w:rsid w:val="00A061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martLink">
    <w:name w:val="Smart Link"/>
    <w:basedOn w:val="DefaultParagraphFont"/>
    <w:uiPriority w:val="99"/>
    <w:semiHidden/>
    <w:unhideWhenUsed/>
    <w:rsid w:val="00A0613F"/>
    <w:rPr>
      <w:color w:val="0000FF"/>
      <w:u w:val="single"/>
      <w:shd w:val="clear" w:color="auto" w:fill="F3F2F1"/>
    </w:rPr>
  </w:style>
  <w:style w:type="table" w:customStyle="1" w:styleId="PlainTable41">
    <w:name w:val="Plain Table 41"/>
    <w:basedOn w:val="TableNormal"/>
    <w:next w:val="PlainTable4"/>
    <w:uiPriority w:val="44"/>
    <w:rsid w:val="00A0613F"/>
    <w:pPr>
      <w:spacing w:after="0" w:line="240" w:lineRule="auto"/>
    </w:pPr>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A0613F"/>
    <w:pPr>
      <w:spacing w:after="0" w:line="240" w:lineRule="auto"/>
    </w:pPr>
    <w:rPr>
      <w:rFonts w:eastAsia="Calibr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basedOn w:val="DefaultParagraphFont"/>
    <w:uiPriority w:val="20"/>
    <w:qFormat/>
    <w:rsid w:val="00A0613F"/>
    <w:rPr>
      <w:i/>
      <w:iCs/>
    </w:rPr>
  </w:style>
  <w:style w:type="character" w:customStyle="1" w:styleId="IntenseEmphasis1">
    <w:name w:val="Intense Emphasis1"/>
    <w:basedOn w:val="DefaultParagraphFont"/>
    <w:uiPriority w:val="21"/>
    <w:qFormat/>
    <w:rsid w:val="00A0613F"/>
    <w:rPr>
      <w:i/>
      <w:iCs/>
      <w:color w:val="4472C4"/>
    </w:rPr>
  </w:style>
  <w:style w:type="table" w:customStyle="1" w:styleId="TableGrid1">
    <w:name w:val="Table Grid1"/>
    <w:basedOn w:val="TableNormal"/>
    <w:next w:val="TableGrid"/>
    <w:uiPriority w:val="59"/>
    <w:rsid w:val="00A0613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613F"/>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0613F"/>
    <w:pPr>
      <w:spacing w:after="0" w:line="240" w:lineRule="auto"/>
    </w:pPr>
    <w:rPr>
      <w:rFonts w:eastAsia="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tion">
    <w:name w:val="Mention"/>
    <w:basedOn w:val="DefaultParagraphFont"/>
    <w:uiPriority w:val="99"/>
    <w:unhideWhenUsed/>
    <w:rsid w:val="00A0613F"/>
    <w:rPr>
      <w:color w:val="2B579A"/>
      <w:shd w:val="clear" w:color="auto" w:fill="E1DFDD"/>
    </w:rPr>
  </w:style>
  <w:style w:type="character" w:customStyle="1" w:styleId="CommentTextChar1">
    <w:name w:val="Comment Text Char1"/>
    <w:basedOn w:val="DefaultParagraphFont"/>
    <w:uiPriority w:val="99"/>
    <w:rsid w:val="00A0613F"/>
    <w:rPr>
      <w:sz w:val="20"/>
      <w:szCs w:val="20"/>
    </w:rPr>
  </w:style>
  <w:style w:type="paragraph" w:customStyle="1" w:styleId="NoSpacing1">
    <w:name w:val="No Spacing1"/>
    <w:next w:val="NoSpacing"/>
    <w:link w:val="NoSpacingChar"/>
    <w:uiPriority w:val="1"/>
    <w:qFormat/>
    <w:rsid w:val="00A0613F"/>
    <w:pPr>
      <w:spacing w:after="0" w:line="240" w:lineRule="auto"/>
    </w:pPr>
    <w:rPr>
      <w:rFonts w:eastAsia="Calibri"/>
      <w:sz w:val="22"/>
      <w:szCs w:val="22"/>
      <w:lang w:eastAsia="en-US"/>
    </w:rPr>
  </w:style>
  <w:style w:type="character" w:customStyle="1" w:styleId="NoSpacingChar">
    <w:name w:val="No Spacing Char"/>
    <w:basedOn w:val="DefaultParagraphFont"/>
    <w:link w:val="NoSpacing1"/>
    <w:uiPriority w:val="1"/>
    <w:rsid w:val="00A0613F"/>
    <w:rPr>
      <w:lang w:val="en-AU"/>
    </w:rPr>
  </w:style>
  <w:style w:type="character" w:customStyle="1" w:styleId="superscript">
    <w:name w:val="superscript"/>
    <w:basedOn w:val="DefaultParagraphFont"/>
    <w:rsid w:val="00A0613F"/>
  </w:style>
  <w:style w:type="character" w:customStyle="1" w:styleId="cf01">
    <w:name w:val="cf01"/>
    <w:basedOn w:val="DefaultParagraphFont"/>
    <w:rsid w:val="00A0613F"/>
    <w:rPr>
      <w:rFonts w:ascii="Segoe UI" w:hAnsi="Segoe UI" w:cs="Segoe UI" w:hint="default"/>
      <w:sz w:val="18"/>
      <w:szCs w:val="18"/>
    </w:rPr>
  </w:style>
  <w:style w:type="paragraph" w:customStyle="1" w:styleId="TOCHeading1">
    <w:name w:val="TOC Heading1"/>
    <w:basedOn w:val="Heading1"/>
    <w:next w:val="Normal"/>
    <w:uiPriority w:val="39"/>
    <w:unhideWhenUsed/>
    <w:qFormat/>
    <w:rsid w:val="00A0613F"/>
    <w:pPr>
      <w:pageBreakBefore w:val="0"/>
      <w:spacing w:before="240" w:after="0" w:line="259" w:lineRule="auto"/>
      <w:outlineLvl w:val="9"/>
    </w:pPr>
    <w:rPr>
      <w:rFonts w:ascii="Calibri Light" w:eastAsia="MS Gothic" w:hAnsi="Calibri Light" w:cs="Times New Roman"/>
      <w:b w:val="0"/>
      <w:bCs w:val="0"/>
      <w:color w:val="2F5496"/>
      <w:sz w:val="32"/>
      <w:szCs w:val="32"/>
      <w:lang w:val="en-US" w:eastAsia="en-US"/>
    </w:rPr>
  </w:style>
  <w:style w:type="paragraph" w:customStyle="1" w:styleId="TOC11">
    <w:name w:val="TOC 11"/>
    <w:basedOn w:val="Normal"/>
    <w:next w:val="Normal"/>
    <w:autoRedefine/>
    <w:uiPriority w:val="39"/>
    <w:unhideWhenUsed/>
    <w:rsid w:val="00A0613F"/>
    <w:pPr>
      <w:tabs>
        <w:tab w:val="right" w:leader="dot" w:pos="9350"/>
      </w:tabs>
      <w:spacing w:after="100" w:line="259" w:lineRule="auto"/>
    </w:pPr>
    <w:rPr>
      <w:rFonts w:eastAsia="Calibri"/>
      <w:b/>
      <w:bCs/>
      <w:noProof/>
      <w:sz w:val="22"/>
      <w:szCs w:val="22"/>
      <w:lang w:val="en-US" w:eastAsia="en-US"/>
    </w:rPr>
  </w:style>
  <w:style w:type="paragraph" w:customStyle="1" w:styleId="TOC21">
    <w:name w:val="TOC 21"/>
    <w:basedOn w:val="Normal"/>
    <w:next w:val="Normal"/>
    <w:autoRedefine/>
    <w:uiPriority w:val="39"/>
    <w:unhideWhenUsed/>
    <w:rsid w:val="00A0613F"/>
    <w:pPr>
      <w:tabs>
        <w:tab w:val="right" w:leader="dot" w:pos="9350"/>
      </w:tabs>
      <w:spacing w:after="100" w:line="259" w:lineRule="auto"/>
      <w:ind w:left="220"/>
    </w:pPr>
    <w:rPr>
      <w:rFonts w:eastAsia="Calibri"/>
      <w:sz w:val="22"/>
      <w:szCs w:val="22"/>
      <w:lang w:val="en-US" w:eastAsia="en-US"/>
    </w:rPr>
  </w:style>
  <w:style w:type="paragraph" w:customStyle="1" w:styleId="TOC31">
    <w:name w:val="TOC 31"/>
    <w:basedOn w:val="Normal"/>
    <w:next w:val="Normal"/>
    <w:autoRedefine/>
    <w:uiPriority w:val="39"/>
    <w:unhideWhenUsed/>
    <w:rsid w:val="00A0613F"/>
    <w:pPr>
      <w:spacing w:after="100" w:line="259" w:lineRule="auto"/>
      <w:ind w:left="440"/>
    </w:pPr>
    <w:rPr>
      <w:rFonts w:eastAsia="Calibri"/>
      <w:sz w:val="22"/>
      <w:szCs w:val="22"/>
      <w:lang w:val="en-US" w:eastAsia="en-US"/>
    </w:rPr>
  </w:style>
  <w:style w:type="table" w:customStyle="1" w:styleId="TableGrid21">
    <w:name w:val="Table Grid21"/>
    <w:basedOn w:val="TableNormal"/>
    <w:next w:val="TableGrid"/>
    <w:uiPriority w:val="59"/>
    <w:rsid w:val="00A0613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A0613F"/>
    <w:pPr>
      <w:spacing w:after="0" w:line="240" w:lineRule="auto"/>
    </w:pPr>
    <w:rPr>
      <w:rFonts w:eastAsia="Calibri"/>
      <w:sz w:val="22"/>
      <w:szCs w:val="22"/>
      <w:lang w:val="en-US"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7F7F7F"/>
        </w:tcBorders>
        <w:shd w:val="clear" w:color="auto" w:fill="FFFFFF"/>
      </w:tcPr>
    </w:tblStylePr>
    <w:tblStylePr w:type="lastRow">
      <w:rPr>
        <w:rFonts w:ascii="Calibri Light" w:eastAsia="MS Gothic"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7F7F7F"/>
        </w:tcBorders>
        <w:shd w:val="clear" w:color="auto" w:fill="FFFFFF"/>
      </w:tcPr>
    </w:tblStylePr>
    <w:tblStylePr w:type="lastCol">
      <w:rPr>
        <w:rFonts w:ascii="Calibri Light" w:eastAsia="MS Gothic"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A0613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2-Accent11">
    <w:name w:val="Grid Table 2 - Accent 11"/>
    <w:basedOn w:val="TableNormal"/>
    <w:next w:val="GridTable2-Accent1"/>
    <w:uiPriority w:val="47"/>
    <w:rsid w:val="00A0613F"/>
    <w:pPr>
      <w:spacing w:after="0" w:line="240" w:lineRule="auto"/>
    </w:pPr>
    <w:rPr>
      <w:rFonts w:eastAsia="Calibri"/>
      <w:sz w:val="22"/>
      <w:szCs w:val="22"/>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next w:val="GridTable2-Accent5"/>
    <w:uiPriority w:val="47"/>
    <w:rsid w:val="00A0613F"/>
    <w:pPr>
      <w:spacing w:after="0" w:line="240" w:lineRule="auto"/>
    </w:pPr>
    <w:rPr>
      <w:rFonts w:eastAsia="Calibri"/>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next w:val="GridTable6Colorful-Accent5"/>
    <w:uiPriority w:val="51"/>
    <w:rsid w:val="00A0613F"/>
    <w:pPr>
      <w:spacing w:after="0" w:line="240" w:lineRule="auto"/>
    </w:pPr>
    <w:rPr>
      <w:rFonts w:eastAsia="Calibri"/>
      <w:color w:val="2E74B5"/>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f0">
    <w:name w:val="pf0"/>
    <w:basedOn w:val="Normal"/>
    <w:rsid w:val="00A0613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5Dark-Accent51">
    <w:name w:val="Grid Table 5 Dark - Accent 51"/>
    <w:basedOn w:val="TableNormal"/>
    <w:next w:val="GridTable5Dark-Accent5"/>
    <w:uiPriority w:val="50"/>
    <w:rsid w:val="00A0613F"/>
    <w:pPr>
      <w:spacing w:after="0" w:line="240" w:lineRule="auto"/>
    </w:pPr>
    <w:rPr>
      <w:rFonts w:eastAsia="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GridTable5Dark-Accent1"/>
    <w:uiPriority w:val="50"/>
    <w:rsid w:val="00A0613F"/>
    <w:pPr>
      <w:spacing w:after="0" w:line="240" w:lineRule="auto"/>
    </w:pPr>
    <w:rPr>
      <w:rFonts w:eastAsia="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next w:val="TableGrid"/>
    <w:uiPriority w:val="59"/>
    <w:rsid w:val="00A0613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A0613F"/>
    <w:rPr>
      <w:rFonts w:asciiTheme="majorHAnsi" w:eastAsiaTheme="majorEastAsia" w:hAnsiTheme="majorHAnsi" w:cstheme="majorBidi"/>
      <w:color w:val="5B3161" w:themeColor="accent1" w:themeShade="BF"/>
    </w:rPr>
  </w:style>
  <w:style w:type="paragraph" w:styleId="ListParagraph">
    <w:name w:val="List Paragraph"/>
    <w:basedOn w:val="Normal"/>
    <w:uiPriority w:val="34"/>
    <w:rsid w:val="00A0613F"/>
    <w:pPr>
      <w:ind w:left="720"/>
      <w:contextualSpacing/>
    </w:pPr>
  </w:style>
  <w:style w:type="character" w:styleId="Hyperlink">
    <w:name w:val="Hyperlink"/>
    <w:basedOn w:val="DefaultParagraphFont"/>
    <w:uiPriority w:val="99"/>
    <w:unhideWhenUsed/>
    <w:rsid w:val="00A0613F"/>
    <w:rPr>
      <w:color w:val="2E1A47" w:themeColor="hyperlink"/>
      <w:u w:val="single"/>
    </w:rPr>
  </w:style>
  <w:style w:type="paragraph" w:styleId="CommentText">
    <w:name w:val="annotation text"/>
    <w:basedOn w:val="Normal"/>
    <w:link w:val="CommentTextChar2"/>
    <w:uiPriority w:val="99"/>
    <w:unhideWhenUsed/>
    <w:rsid w:val="00A0613F"/>
    <w:pPr>
      <w:spacing w:line="240" w:lineRule="auto"/>
    </w:pPr>
  </w:style>
  <w:style w:type="character" w:customStyle="1" w:styleId="CommentTextChar2">
    <w:name w:val="Comment Text Char2"/>
    <w:basedOn w:val="DefaultParagraphFont"/>
    <w:link w:val="CommentText"/>
    <w:uiPriority w:val="99"/>
    <w:rsid w:val="00A0613F"/>
  </w:style>
  <w:style w:type="paragraph" w:styleId="CommentSubject">
    <w:name w:val="annotation subject"/>
    <w:basedOn w:val="CommentText"/>
    <w:next w:val="CommentText"/>
    <w:link w:val="CommentSubjectChar"/>
    <w:uiPriority w:val="99"/>
    <w:semiHidden/>
    <w:unhideWhenUsed/>
    <w:rsid w:val="00A0613F"/>
    <w:rPr>
      <w:b/>
      <w:bCs/>
    </w:rPr>
  </w:style>
  <w:style w:type="character" w:customStyle="1" w:styleId="CommentSubjectChar1">
    <w:name w:val="Comment Subject Char1"/>
    <w:basedOn w:val="CommentTextChar2"/>
    <w:uiPriority w:val="99"/>
    <w:semiHidden/>
    <w:rsid w:val="00A0613F"/>
    <w:rPr>
      <w:b/>
      <w:bCs/>
    </w:rPr>
  </w:style>
  <w:style w:type="paragraph" w:styleId="Revision">
    <w:name w:val="Revision"/>
    <w:hidden/>
    <w:uiPriority w:val="99"/>
    <w:semiHidden/>
    <w:rsid w:val="00A0613F"/>
    <w:pPr>
      <w:spacing w:after="0" w:line="240" w:lineRule="auto"/>
    </w:pPr>
  </w:style>
  <w:style w:type="table" w:styleId="PlainTable4">
    <w:name w:val="Plain Table 4"/>
    <w:basedOn w:val="TableNormal"/>
    <w:uiPriority w:val="44"/>
    <w:rsid w:val="00A061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rsid w:val="00A0613F"/>
    <w:rPr>
      <w:i/>
      <w:iCs/>
      <w:color w:val="7A4282" w:themeColor="accent1"/>
    </w:rPr>
  </w:style>
  <w:style w:type="table" w:styleId="TableGrid">
    <w:name w:val="Table Grid"/>
    <w:basedOn w:val="TableNormal"/>
    <w:uiPriority w:val="59"/>
    <w:rsid w:val="00A0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61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0613F"/>
    <w:pPr>
      <w:spacing w:after="0" w:line="240" w:lineRule="auto"/>
    </w:pPr>
  </w:style>
  <w:style w:type="table" w:styleId="PlainTable5">
    <w:name w:val="Plain Table 5"/>
    <w:basedOn w:val="TableNormal"/>
    <w:uiPriority w:val="45"/>
    <w:rsid w:val="00A061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A0613F"/>
    <w:pPr>
      <w:spacing w:after="0" w:line="240" w:lineRule="auto"/>
    </w:pPr>
    <w:tblPr>
      <w:tblStyleRowBandSize w:val="1"/>
      <w:tblStyleColBandSize w:val="1"/>
      <w:tblBorders>
        <w:top w:val="single" w:sz="2" w:space="0" w:color="B781BF" w:themeColor="accent1" w:themeTint="99"/>
        <w:bottom w:val="single" w:sz="2" w:space="0" w:color="B781BF" w:themeColor="accent1" w:themeTint="99"/>
        <w:insideH w:val="single" w:sz="2" w:space="0" w:color="B781BF" w:themeColor="accent1" w:themeTint="99"/>
        <w:insideV w:val="single" w:sz="2" w:space="0" w:color="B781BF" w:themeColor="accent1" w:themeTint="99"/>
      </w:tblBorders>
    </w:tblPr>
    <w:tblStylePr w:type="firstRow">
      <w:rPr>
        <w:b/>
        <w:bCs/>
      </w:rPr>
      <w:tblPr/>
      <w:tcPr>
        <w:tcBorders>
          <w:top w:val="nil"/>
          <w:bottom w:val="single" w:sz="12" w:space="0" w:color="B781BF" w:themeColor="accent1" w:themeTint="99"/>
          <w:insideH w:val="nil"/>
          <w:insideV w:val="nil"/>
        </w:tcBorders>
        <w:shd w:val="clear" w:color="auto" w:fill="FFFFFF" w:themeFill="background1"/>
      </w:tcPr>
    </w:tblStylePr>
    <w:tblStylePr w:type="lastRow">
      <w:rPr>
        <w:b/>
        <w:bCs/>
      </w:rPr>
      <w:tblPr/>
      <w:tcPr>
        <w:tcBorders>
          <w:top w:val="double" w:sz="2" w:space="0" w:color="B781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2-Accent5">
    <w:name w:val="Grid Table 2 Accent 5"/>
    <w:basedOn w:val="TableNormal"/>
    <w:uiPriority w:val="47"/>
    <w:rsid w:val="00A0613F"/>
    <w:pPr>
      <w:spacing w:after="0" w:line="240" w:lineRule="auto"/>
    </w:pPr>
    <w:tblPr>
      <w:tblStyleRowBandSize w:val="1"/>
      <w:tblStyleColBandSize w:val="1"/>
      <w:tblBorders>
        <w:top w:val="single" w:sz="2" w:space="0" w:color="B7AFAD" w:themeColor="accent5" w:themeTint="99"/>
        <w:bottom w:val="single" w:sz="2" w:space="0" w:color="B7AFAD" w:themeColor="accent5" w:themeTint="99"/>
        <w:insideH w:val="single" w:sz="2" w:space="0" w:color="B7AFAD" w:themeColor="accent5" w:themeTint="99"/>
        <w:insideV w:val="single" w:sz="2" w:space="0" w:color="B7AFAD" w:themeColor="accent5" w:themeTint="99"/>
      </w:tblBorders>
    </w:tblPr>
    <w:tblStylePr w:type="firstRow">
      <w:rPr>
        <w:b/>
        <w:bCs/>
      </w:rPr>
      <w:tblPr/>
      <w:tcPr>
        <w:tcBorders>
          <w:top w:val="nil"/>
          <w:bottom w:val="single" w:sz="12" w:space="0" w:color="B7AFAD" w:themeColor="accent5" w:themeTint="99"/>
          <w:insideH w:val="nil"/>
          <w:insideV w:val="nil"/>
        </w:tcBorders>
        <w:shd w:val="clear" w:color="auto" w:fill="FFFFFF" w:themeFill="background1"/>
      </w:tcPr>
    </w:tblStylePr>
    <w:tblStylePr w:type="lastRow">
      <w:rPr>
        <w:b/>
        <w:bCs/>
      </w:rPr>
      <w:tblPr/>
      <w:tcPr>
        <w:tcBorders>
          <w:top w:val="double" w:sz="2" w:space="0" w:color="B7AF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6Colorful-Accent5">
    <w:name w:val="Grid Table 6 Colorful Accent 5"/>
    <w:basedOn w:val="TableNormal"/>
    <w:uiPriority w:val="51"/>
    <w:rsid w:val="00A0613F"/>
    <w:pPr>
      <w:spacing w:after="0" w:line="240" w:lineRule="auto"/>
    </w:pPr>
    <w:rPr>
      <w:color w:val="645C59" w:themeColor="accent5" w:themeShade="BF"/>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bottom w:val="single" w:sz="12" w:space="0" w:color="B7AFAD" w:themeColor="accent5" w:themeTint="99"/>
        </w:tcBorders>
      </w:tcPr>
    </w:tblStylePr>
    <w:tblStylePr w:type="lastRow">
      <w:rPr>
        <w:b/>
        <w:bCs/>
      </w:rPr>
      <w:tblPr/>
      <w:tcPr>
        <w:tcBorders>
          <w:top w:val="doub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5Dark-Accent5">
    <w:name w:val="Grid Table 5 Dark Accent 5"/>
    <w:basedOn w:val="TableNormal"/>
    <w:uiPriority w:val="50"/>
    <w:rsid w:val="00A061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4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7B7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7B7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7B7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7B77" w:themeFill="accent5"/>
      </w:tcPr>
    </w:tblStylePr>
    <w:tblStylePr w:type="band1Vert">
      <w:tblPr/>
      <w:tcPr>
        <w:shd w:val="clear" w:color="auto" w:fill="CFC9C8" w:themeFill="accent5" w:themeFillTint="66"/>
      </w:tcPr>
    </w:tblStylePr>
    <w:tblStylePr w:type="band1Horz">
      <w:tblPr/>
      <w:tcPr>
        <w:shd w:val="clear" w:color="auto" w:fill="CFC9C8" w:themeFill="accent5" w:themeFillTint="66"/>
      </w:tcPr>
    </w:tblStylePr>
  </w:style>
  <w:style w:type="table" w:styleId="GridTable5Dark-Accent1">
    <w:name w:val="Grid Table 5 Dark Accent 1"/>
    <w:basedOn w:val="TableNormal"/>
    <w:uiPriority w:val="50"/>
    <w:rsid w:val="00A061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5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42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42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42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4282" w:themeFill="accent1"/>
      </w:tcPr>
    </w:tblStylePr>
    <w:tblStylePr w:type="band1Vert">
      <w:tblPr/>
      <w:tcPr>
        <w:shd w:val="clear" w:color="auto" w:fill="CFABD4" w:themeFill="accent1" w:themeFillTint="66"/>
      </w:tcPr>
    </w:tblStylePr>
    <w:tblStylePr w:type="band1Horz">
      <w:tblPr/>
      <w:tcPr>
        <w:shd w:val="clear" w:color="auto" w:fill="CFABD4" w:themeFill="accent1" w:themeFillTint="66"/>
      </w:tcPr>
    </w:tblStylePr>
  </w:style>
  <w:style w:type="paragraph" w:styleId="TOC3">
    <w:name w:val="toc 3"/>
    <w:basedOn w:val="Normal"/>
    <w:next w:val="Normal"/>
    <w:autoRedefine/>
    <w:uiPriority w:val="39"/>
    <w:unhideWhenUsed/>
    <w:rsid w:val="00E96983"/>
    <w:pPr>
      <w:tabs>
        <w:tab w:val="right" w:leader="dot" w:pos="9016"/>
      </w:tabs>
      <w:spacing w:after="100"/>
      <w:ind w:left="400"/>
    </w:pPr>
    <w:rPr>
      <w:b/>
      <w:bCs/>
      <w:noProof/>
    </w:rPr>
  </w:style>
  <w:style w:type="character" w:styleId="FollowedHyperlink">
    <w:name w:val="FollowedHyperlink"/>
    <w:basedOn w:val="DefaultParagraphFont"/>
    <w:uiPriority w:val="99"/>
    <w:semiHidden/>
    <w:unhideWhenUsed/>
    <w:rsid w:val="00251CDA"/>
    <w:rPr>
      <w:color w:val="2E1A47" w:themeColor="followedHyperlink"/>
      <w:u w:val="single"/>
    </w:rPr>
  </w:style>
  <w:style w:type="paragraph" w:styleId="TOC5">
    <w:name w:val="toc 5"/>
    <w:basedOn w:val="Normal"/>
    <w:next w:val="Normal"/>
    <w:autoRedefine/>
    <w:uiPriority w:val="39"/>
    <w:unhideWhenUsed/>
    <w:pPr>
      <w:spacing w:after="100"/>
      <w:ind w:left="88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rsid w:val="007E636D"/>
    <w:pPr>
      <w:pageBreakBefore w:val="0"/>
      <w:spacing w:before="240" w:after="0" w:line="259" w:lineRule="auto"/>
      <w:outlineLvl w:val="9"/>
    </w:pPr>
    <w:rPr>
      <w:rFonts w:asciiTheme="majorHAnsi" w:eastAsiaTheme="majorEastAsia" w:hAnsiTheme="majorHAnsi" w:cstheme="majorBidi"/>
      <w:b w:val="0"/>
      <w:bCs w:val="0"/>
      <w:color w:val="5B316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8183">
      <w:bodyDiv w:val="1"/>
      <w:marLeft w:val="0"/>
      <w:marRight w:val="0"/>
      <w:marTop w:val="0"/>
      <w:marBottom w:val="0"/>
      <w:divBdr>
        <w:top w:val="none" w:sz="0" w:space="0" w:color="auto"/>
        <w:left w:val="none" w:sz="0" w:space="0" w:color="auto"/>
        <w:bottom w:val="none" w:sz="0" w:space="0" w:color="auto"/>
        <w:right w:val="none" w:sz="0" w:space="0" w:color="auto"/>
      </w:divBdr>
    </w:div>
    <w:div w:id="918441891">
      <w:bodyDiv w:val="1"/>
      <w:marLeft w:val="0"/>
      <w:marRight w:val="0"/>
      <w:marTop w:val="0"/>
      <w:marBottom w:val="0"/>
      <w:divBdr>
        <w:top w:val="none" w:sz="0" w:space="0" w:color="auto"/>
        <w:left w:val="none" w:sz="0" w:space="0" w:color="auto"/>
        <w:bottom w:val="none" w:sz="0" w:space="0" w:color="auto"/>
        <w:right w:val="none" w:sz="0" w:space="0" w:color="auto"/>
      </w:divBdr>
    </w:div>
    <w:div w:id="976684538">
      <w:bodyDiv w:val="1"/>
      <w:marLeft w:val="0"/>
      <w:marRight w:val="0"/>
      <w:marTop w:val="0"/>
      <w:marBottom w:val="0"/>
      <w:divBdr>
        <w:top w:val="none" w:sz="0" w:space="0" w:color="auto"/>
        <w:left w:val="none" w:sz="0" w:space="0" w:color="auto"/>
        <w:bottom w:val="none" w:sz="0" w:space="0" w:color="auto"/>
        <w:right w:val="none" w:sz="0" w:space="0" w:color="auto"/>
      </w:divBdr>
    </w:div>
    <w:div w:id="15733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hyperlink" Target="https://business.gov.au/grants-and-programs/Export-Accelerator-SA" TargetMode="External"/><Relationship Id="rId39" Type="http://schemas.openxmlformats.org/officeDocument/2006/relationships/hyperlink" Target="https://www.great.gov.uk/campaigns/internationalisation-fund-for-english-businesses/" TargetMode="External"/><Relationship Id="rId21" Type="http://schemas.openxmlformats.org/officeDocument/2006/relationships/image" Target="media/image9.png"/><Relationship Id="rId34" Type="http://schemas.openxmlformats.org/officeDocument/2006/relationships/hyperlink" Target="https://www.smefund.tid.gov.hk/english/emf/emf_objective.html"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tmp"/><Relationship Id="rId29" Type="http://schemas.openxmlformats.org/officeDocument/2006/relationships/hyperlink" Target="https://www.austrade.gov.au/australian/how-austrade-can-help/trade-services/tradesta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vestment.nsw.gov.au/living-working-and-business/nsw-going-global-export-program/" TargetMode="External"/><Relationship Id="rId32" Type="http://schemas.openxmlformats.org/officeDocument/2006/relationships/hyperlink" Target="https://ec.europa.eu/chafea/agri/en/enter-new-markets/support-for-exporters" TargetMode="External"/><Relationship Id="rId37" Type="http://schemas.openxmlformats.org/officeDocument/2006/relationships/hyperlink" Target="https://www.bmwk.de/Redaktion/EN/Dossier/export-initiatives.html"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strade.sharepoint.com/:x:/r/sites/ProgramDesignDelivery-PDD/Shared%20Documents/Data/EMDG%201.0/EMDG%201%20Key%20Stats%20-%20Oct22.xlsx?d=wc63f02854d2a431b830ad165b49d1112&amp;csf=1&amp;web=1&amp;e=E4IHEg" TargetMode="External"/><Relationship Id="rId23" Type="http://schemas.openxmlformats.org/officeDocument/2006/relationships/hyperlink" Target="https://www.austrade.gov.au/ArticleDocuments/10855/EMDG%20Evaluation%20summary%20Paper%20Giant%202022.docx.aspx" TargetMode="External"/><Relationship Id="rId28" Type="http://schemas.openxmlformats.org/officeDocument/2006/relationships/hyperlink" Target="https://export.business.gov.au/" TargetMode="External"/><Relationship Id="rId36" Type="http://schemas.openxmlformats.org/officeDocument/2006/relationships/hyperlink" Target="https://esd.ny.gov/global-ny-fund-grant-program"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ec.europa.eu/docsroom/documents/44244/attachments/1/translations/en/renditions/nativ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rade.sharepoint.com/sites/EMDGHealthCheck2022/Shared%20Documents/General/EMDG%20Review%202022/Report%20-%20drafts/Full%20report/V20%20EMDG%20Operational%20Review%20Accessibility%20version.docx" TargetMode="External"/><Relationship Id="rId22" Type="http://schemas.openxmlformats.org/officeDocument/2006/relationships/hyperlink" Target="https://www.austrade.gov.au/ArticleDocuments/10855/EMDG%20Applicant%20Survey%202022.docx.aspx" TargetMode="External"/><Relationship Id="rId27" Type="http://schemas.openxmlformats.org/officeDocument/2006/relationships/hyperlink" Target="https://nt.gov.au/industry/business-grants-funding/global-trade-scheme" TargetMode="External"/><Relationship Id="rId30" Type="http://schemas.openxmlformats.org/officeDocument/2006/relationships/hyperlink" Target="https://business.gov.au/grants-and-programs?resultsNum=10" TargetMode="External"/><Relationship Id="rId35" Type="http://schemas.openxmlformats.org/officeDocument/2006/relationships/hyperlink" Target="https://www.sba.gov/funding-programs/grants/state-trade-expansion-program-step"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global.vic.gov.au/our-programs-and-services/our-programs/global-victoria-intellect-program" TargetMode="External"/><Relationship Id="rId33" Type="http://schemas.openxmlformats.org/officeDocument/2006/relationships/hyperlink" Target="https://www.tradecommissioner.gc.ca/funding-financement/canexport/sme-pme/index.aspx?lang=eng" TargetMode="External"/><Relationship Id="rId38" Type="http://schemas.openxmlformats.org/officeDocument/2006/relationships/hyperlink" Target="https://www.export.org.uk/news/news.asp?id=572712&amp;hhSearchTerms=%22tradeshow+and+access%22" TargetMode="External"/><Relationship Id="rId20" Type="http://schemas.openxmlformats.org/officeDocument/2006/relationships/image" Target="media/image8.png"/><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7e78c3-b9b6-41a5-ad78-8d660a4266b4">
      <Terms xmlns="http://schemas.microsoft.com/office/infopath/2007/PartnerControls"/>
    </lcf76f155ced4ddcb4097134ff3c332f>
    <TaxCatchAll xmlns="51f67222-1a2a-4608-a0ac-0f5c7d733b04" xsi:nil="true"/>
    <Notes xmlns="907e78c3-b9b6-41a5-ad78-8d660a4266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8E6B27800A1A489E5EF483778BB5B3" ma:contentTypeVersion="13" ma:contentTypeDescription="Create a new document." ma:contentTypeScope="" ma:versionID="86af6e928c9d1b70550a2918a55d2050">
  <xsd:schema xmlns:xsd="http://www.w3.org/2001/XMLSchema" xmlns:xs="http://www.w3.org/2001/XMLSchema" xmlns:p="http://schemas.microsoft.com/office/2006/metadata/properties" xmlns:ns2="907e78c3-b9b6-41a5-ad78-8d660a4266b4" xmlns:ns3="51f67222-1a2a-4608-a0ac-0f5c7d733b04" targetNamespace="http://schemas.microsoft.com/office/2006/metadata/properties" ma:root="true" ma:fieldsID="0e517e16eb055fddee02fe60d2a69684" ns2:_="" ns3:_="">
    <xsd:import namespace="907e78c3-b9b6-41a5-ad78-8d660a4266b4"/>
    <xsd:import namespace="51f67222-1a2a-4608-a0ac-0f5c7d733b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e78c3-b9b6-41a5-ad78-8d660a426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67222-1a2a-4608-a0ac-0f5c7d733b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25412b-c4d6-4bc7-b934-c586d3725f28}" ma:internalName="TaxCatchAll" ma:showField="CatchAllData" ma:web="51f67222-1a2a-4608-a0ac-0f5c7d733b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FC1C-3631-440D-92C5-38640946EC04}">
  <ds:schemaRefs>
    <ds:schemaRef ds:uri="http://schemas.microsoft.com/office/2006/metadata/properties"/>
    <ds:schemaRef ds:uri="http://schemas.microsoft.com/office/infopath/2007/PartnerControls"/>
    <ds:schemaRef ds:uri="907e78c3-b9b6-41a5-ad78-8d660a4266b4"/>
    <ds:schemaRef ds:uri="51f67222-1a2a-4608-a0ac-0f5c7d733b04"/>
  </ds:schemaRefs>
</ds:datastoreItem>
</file>

<file path=customXml/itemProps2.xml><?xml version="1.0" encoding="utf-8"?>
<ds:datastoreItem xmlns:ds="http://schemas.openxmlformats.org/officeDocument/2006/customXml" ds:itemID="{DCA2D549-0278-4964-89CA-E6A015B1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e78c3-b9b6-41a5-ad78-8d660a4266b4"/>
    <ds:schemaRef ds:uri="51f67222-1a2a-4608-a0ac-0f5c7d733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B2F97-A076-489B-B9F8-5E4D8BC7EBD5}">
  <ds:schemaRefs>
    <ds:schemaRef ds:uri="http://schemas.microsoft.com/sharepoint/v3/contenttype/forms"/>
  </ds:schemaRefs>
</ds:datastoreItem>
</file>

<file path=customXml/itemProps4.xml><?xml version="1.0" encoding="utf-8"?>
<ds:datastoreItem xmlns:ds="http://schemas.openxmlformats.org/officeDocument/2006/customXml" ds:itemID="{DBF74FFA-C699-4254-A844-0C53397F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Cover.dotx</Template>
  <TotalTime>0</TotalTime>
  <Pages>45</Pages>
  <Words>14970</Words>
  <Characters>85331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V20 EMDG Operational Review Accessibility version</vt:lpstr>
    </vt:vector>
  </TitlesOfParts>
  <Company/>
  <LinksUpToDate>false</LinksUpToDate>
  <CharactersWithSpaces>100101</CharactersWithSpaces>
  <SharedDoc>false</SharedDoc>
  <HLinks>
    <vt:vector size="336" baseType="variant">
      <vt:variant>
        <vt:i4>4456470</vt:i4>
      </vt:variant>
      <vt:variant>
        <vt:i4>261</vt:i4>
      </vt:variant>
      <vt:variant>
        <vt:i4>0</vt:i4>
      </vt:variant>
      <vt:variant>
        <vt:i4>5</vt:i4>
      </vt:variant>
      <vt:variant>
        <vt:lpwstr>https://www.great.gov.uk/campaigns/internationalisation-fund-for-english-businesses/</vt:lpwstr>
      </vt:variant>
      <vt:variant>
        <vt:lpwstr/>
      </vt:variant>
      <vt:variant>
        <vt:i4>8126513</vt:i4>
      </vt:variant>
      <vt:variant>
        <vt:i4>258</vt:i4>
      </vt:variant>
      <vt:variant>
        <vt:i4>0</vt:i4>
      </vt:variant>
      <vt:variant>
        <vt:i4>5</vt:i4>
      </vt:variant>
      <vt:variant>
        <vt:lpwstr>https://www.export.org.uk/news/news.asp?id=572712&amp;hhSearchTerms=%22tradeshow+and+access%22</vt:lpwstr>
      </vt:variant>
      <vt:variant>
        <vt:lpwstr/>
      </vt:variant>
      <vt:variant>
        <vt:i4>6029318</vt:i4>
      </vt:variant>
      <vt:variant>
        <vt:i4>255</vt:i4>
      </vt:variant>
      <vt:variant>
        <vt:i4>0</vt:i4>
      </vt:variant>
      <vt:variant>
        <vt:i4>5</vt:i4>
      </vt:variant>
      <vt:variant>
        <vt:lpwstr>https://www.bmwk.de/Redaktion/EN/Dossier/export-initiatives.html</vt:lpwstr>
      </vt:variant>
      <vt:variant>
        <vt:lpwstr/>
      </vt:variant>
      <vt:variant>
        <vt:i4>7929966</vt:i4>
      </vt:variant>
      <vt:variant>
        <vt:i4>252</vt:i4>
      </vt:variant>
      <vt:variant>
        <vt:i4>0</vt:i4>
      </vt:variant>
      <vt:variant>
        <vt:i4>5</vt:i4>
      </vt:variant>
      <vt:variant>
        <vt:lpwstr>https://esd.ny.gov/global-ny-fund-grant-program</vt:lpwstr>
      </vt:variant>
      <vt:variant>
        <vt:lpwstr/>
      </vt:variant>
      <vt:variant>
        <vt:i4>3080296</vt:i4>
      </vt:variant>
      <vt:variant>
        <vt:i4>249</vt:i4>
      </vt:variant>
      <vt:variant>
        <vt:i4>0</vt:i4>
      </vt:variant>
      <vt:variant>
        <vt:i4>5</vt:i4>
      </vt:variant>
      <vt:variant>
        <vt:lpwstr>https://www.sba.gov/funding-programs/grants/state-trade-expansion-program-step</vt:lpwstr>
      </vt:variant>
      <vt:variant>
        <vt:lpwstr/>
      </vt:variant>
      <vt:variant>
        <vt:i4>131184</vt:i4>
      </vt:variant>
      <vt:variant>
        <vt:i4>246</vt:i4>
      </vt:variant>
      <vt:variant>
        <vt:i4>0</vt:i4>
      </vt:variant>
      <vt:variant>
        <vt:i4>5</vt:i4>
      </vt:variant>
      <vt:variant>
        <vt:lpwstr>https://www.smefund.tid.gov.hk/english/emf/emf_objective.html</vt:lpwstr>
      </vt:variant>
      <vt:variant>
        <vt:lpwstr/>
      </vt:variant>
      <vt:variant>
        <vt:i4>93</vt:i4>
      </vt:variant>
      <vt:variant>
        <vt:i4>243</vt:i4>
      </vt:variant>
      <vt:variant>
        <vt:i4>0</vt:i4>
      </vt:variant>
      <vt:variant>
        <vt:i4>5</vt:i4>
      </vt:variant>
      <vt:variant>
        <vt:lpwstr>https://www.tradecommissioner.gc.ca/funding-financement/canexport/sme-pme/index.aspx?lang=eng</vt:lpwstr>
      </vt:variant>
      <vt:variant>
        <vt:lpwstr/>
      </vt:variant>
      <vt:variant>
        <vt:i4>7602298</vt:i4>
      </vt:variant>
      <vt:variant>
        <vt:i4>240</vt:i4>
      </vt:variant>
      <vt:variant>
        <vt:i4>0</vt:i4>
      </vt:variant>
      <vt:variant>
        <vt:i4>5</vt:i4>
      </vt:variant>
      <vt:variant>
        <vt:lpwstr>https://ec.europa.eu/chafea/agri/en/enter-new-markets/support-for-exporters</vt:lpwstr>
      </vt:variant>
      <vt:variant>
        <vt:lpwstr/>
      </vt:variant>
      <vt:variant>
        <vt:i4>4915266</vt:i4>
      </vt:variant>
      <vt:variant>
        <vt:i4>237</vt:i4>
      </vt:variant>
      <vt:variant>
        <vt:i4>0</vt:i4>
      </vt:variant>
      <vt:variant>
        <vt:i4>5</vt:i4>
      </vt:variant>
      <vt:variant>
        <vt:lpwstr>https://ec.europa.eu/docsroom/documents/44244/attachments/1/translations/en/renditions/native</vt:lpwstr>
      </vt:variant>
      <vt:variant>
        <vt:lpwstr/>
      </vt:variant>
      <vt:variant>
        <vt:i4>4653083</vt:i4>
      </vt:variant>
      <vt:variant>
        <vt:i4>234</vt:i4>
      </vt:variant>
      <vt:variant>
        <vt:i4>0</vt:i4>
      </vt:variant>
      <vt:variant>
        <vt:i4>5</vt:i4>
      </vt:variant>
      <vt:variant>
        <vt:lpwstr>https://business.gov.au/grants-and-programs?resultsNum=10</vt:lpwstr>
      </vt:variant>
      <vt:variant>
        <vt:lpwstr/>
      </vt:variant>
      <vt:variant>
        <vt:i4>3670067</vt:i4>
      </vt:variant>
      <vt:variant>
        <vt:i4>231</vt:i4>
      </vt:variant>
      <vt:variant>
        <vt:i4>0</vt:i4>
      </vt:variant>
      <vt:variant>
        <vt:i4>5</vt:i4>
      </vt:variant>
      <vt:variant>
        <vt:lpwstr>https://www.austrade.gov.au/australian/how-austrade-can-help/trade-services/tradestart</vt:lpwstr>
      </vt:variant>
      <vt:variant>
        <vt:lpwstr/>
      </vt:variant>
      <vt:variant>
        <vt:i4>6553715</vt:i4>
      </vt:variant>
      <vt:variant>
        <vt:i4>228</vt:i4>
      </vt:variant>
      <vt:variant>
        <vt:i4>0</vt:i4>
      </vt:variant>
      <vt:variant>
        <vt:i4>5</vt:i4>
      </vt:variant>
      <vt:variant>
        <vt:lpwstr>https://export.business.gov.au/</vt:lpwstr>
      </vt:variant>
      <vt:variant>
        <vt:lpwstr/>
      </vt:variant>
      <vt:variant>
        <vt:i4>7864438</vt:i4>
      </vt:variant>
      <vt:variant>
        <vt:i4>225</vt:i4>
      </vt:variant>
      <vt:variant>
        <vt:i4>0</vt:i4>
      </vt:variant>
      <vt:variant>
        <vt:i4>5</vt:i4>
      </vt:variant>
      <vt:variant>
        <vt:lpwstr>https://nt.gov.au/industry/business-grants-funding/global-trade-scheme</vt:lpwstr>
      </vt:variant>
      <vt:variant>
        <vt:lpwstr/>
      </vt:variant>
      <vt:variant>
        <vt:i4>4587587</vt:i4>
      </vt:variant>
      <vt:variant>
        <vt:i4>222</vt:i4>
      </vt:variant>
      <vt:variant>
        <vt:i4>0</vt:i4>
      </vt:variant>
      <vt:variant>
        <vt:i4>5</vt:i4>
      </vt:variant>
      <vt:variant>
        <vt:lpwstr>https://connectplus.sa.gov.au/programs/sa-export-accelerator</vt:lpwstr>
      </vt:variant>
      <vt:variant>
        <vt:lpwstr/>
      </vt:variant>
      <vt:variant>
        <vt:i4>3407927</vt:i4>
      </vt:variant>
      <vt:variant>
        <vt:i4>219</vt:i4>
      </vt:variant>
      <vt:variant>
        <vt:i4>0</vt:i4>
      </vt:variant>
      <vt:variant>
        <vt:i4>5</vt:i4>
      </vt:variant>
      <vt:variant>
        <vt:lpwstr>https://global.vic.gov.au/our-programs-and-services/our-programs/global-victoria-intellect-program</vt:lpwstr>
      </vt:variant>
      <vt:variant>
        <vt:lpwstr/>
      </vt:variant>
      <vt:variant>
        <vt:i4>2818152</vt:i4>
      </vt:variant>
      <vt:variant>
        <vt:i4>216</vt:i4>
      </vt:variant>
      <vt:variant>
        <vt:i4>0</vt:i4>
      </vt:variant>
      <vt:variant>
        <vt:i4>5</vt:i4>
      </vt:variant>
      <vt:variant>
        <vt:lpwstr>https://www.investment.nsw.gov.au/living-working-and-business/nsw-going-global-export-program/</vt:lpwstr>
      </vt:variant>
      <vt:variant>
        <vt:lpwstr/>
      </vt:variant>
      <vt:variant>
        <vt:i4>6094866</vt:i4>
      </vt:variant>
      <vt:variant>
        <vt:i4>213</vt:i4>
      </vt:variant>
      <vt:variant>
        <vt:i4>0</vt:i4>
      </vt:variant>
      <vt:variant>
        <vt:i4>5</vt:i4>
      </vt:variant>
      <vt:variant>
        <vt:lpwstr>https://www.austrade.gov.au/ArticleDocuments/10855/EMDG Evaluation summary Paper Giant 2022.docx.aspx</vt:lpwstr>
      </vt:variant>
      <vt:variant>
        <vt:lpwstr/>
      </vt:variant>
      <vt:variant>
        <vt:i4>7077944</vt:i4>
      </vt:variant>
      <vt:variant>
        <vt:i4>210</vt:i4>
      </vt:variant>
      <vt:variant>
        <vt:i4>0</vt:i4>
      </vt:variant>
      <vt:variant>
        <vt:i4>5</vt:i4>
      </vt:variant>
      <vt:variant>
        <vt:lpwstr>https://www.austrade.gov.au/ArticleDocuments/10855/EMDG Applicant Survey 2022.docx.aspx</vt:lpwstr>
      </vt:variant>
      <vt:variant>
        <vt:lpwstr/>
      </vt:variant>
      <vt:variant>
        <vt:i4>7667733</vt:i4>
      </vt:variant>
      <vt:variant>
        <vt:i4>207</vt:i4>
      </vt:variant>
      <vt:variant>
        <vt:i4>0</vt:i4>
      </vt:variant>
      <vt:variant>
        <vt:i4>5</vt:i4>
      </vt:variant>
      <vt:variant>
        <vt:lpwstr/>
      </vt:variant>
      <vt:variant>
        <vt:lpwstr>_Attachment_F:_International</vt:lpwstr>
      </vt:variant>
      <vt:variant>
        <vt:i4>7667798</vt:i4>
      </vt:variant>
      <vt:variant>
        <vt:i4>204</vt:i4>
      </vt:variant>
      <vt:variant>
        <vt:i4>0</vt:i4>
      </vt:variant>
      <vt:variant>
        <vt:i4>5</vt:i4>
      </vt:variant>
      <vt:variant>
        <vt:lpwstr/>
      </vt:variant>
      <vt:variant>
        <vt:lpwstr>_Attachment_E_-</vt:lpwstr>
      </vt:variant>
      <vt:variant>
        <vt:i4>7667799</vt:i4>
      </vt:variant>
      <vt:variant>
        <vt:i4>201</vt:i4>
      </vt:variant>
      <vt:variant>
        <vt:i4>0</vt:i4>
      </vt:variant>
      <vt:variant>
        <vt:i4>5</vt:i4>
      </vt:variant>
      <vt:variant>
        <vt:lpwstr/>
      </vt:variant>
      <vt:variant>
        <vt:lpwstr>_Attachment_D_–</vt:lpwstr>
      </vt:variant>
      <vt:variant>
        <vt:i4>7667792</vt:i4>
      </vt:variant>
      <vt:variant>
        <vt:i4>198</vt:i4>
      </vt:variant>
      <vt:variant>
        <vt:i4>0</vt:i4>
      </vt:variant>
      <vt:variant>
        <vt:i4>5</vt:i4>
      </vt:variant>
      <vt:variant>
        <vt:lpwstr/>
      </vt:variant>
      <vt:variant>
        <vt:lpwstr>_Attachment_C_-</vt:lpwstr>
      </vt:variant>
      <vt:variant>
        <vt:i4>7667793</vt:i4>
      </vt:variant>
      <vt:variant>
        <vt:i4>195</vt:i4>
      </vt:variant>
      <vt:variant>
        <vt:i4>0</vt:i4>
      </vt:variant>
      <vt:variant>
        <vt:i4>5</vt:i4>
      </vt:variant>
      <vt:variant>
        <vt:lpwstr/>
      </vt:variant>
      <vt:variant>
        <vt:lpwstr>_Attachment_B_–</vt:lpwstr>
      </vt:variant>
      <vt:variant>
        <vt:i4>7667794</vt:i4>
      </vt:variant>
      <vt:variant>
        <vt:i4>192</vt:i4>
      </vt:variant>
      <vt:variant>
        <vt:i4>0</vt:i4>
      </vt:variant>
      <vt:variant>
        <vt:i4>5</vt:i4>
      </vt:variant>
      <vt:variant>
        <vt:lpwstr/>
      </vt:variant>
      <vt:variant>
        <vt:lpwstr>_Attachment_A_-</vt:lpwstr>
      </vt:variant>
      <vt:variant>
        <vt:i4>2228334</vt:i4>
      </vt:variant>
      <vt:variant>
        <vt:i4>189</vt:i4>
      </vt:variant>
      <vt:variant>
        <vt:i4>0</vt:i4>
      </vt:variant>
      <vt:variant>
        <vt:i4>5</vt:i4>
      </vt:variant>
      <vt:variant>
        <vt:lpwstr>https://austrade.sharepoint.com/:x:/r/sites/ProgramDesignDelivery-PDD/Shared Documents/Data/EMDG 1.0/EMDG 1 Key Stats - Oct22.xlsx?d=wc63f02854d2a431b830ad165b49d1112&amp;csf=1&amp;web=1&amp;e=E4IHEg</vt:lpwstr>
      </vt:variant>
      <vt:variant>
        <vt:lpwstr/>
      </vt:variant>
      <vt:variant>
        <vt:i4>1245234</vt:i4>
      </vt:variant>
      <vt:variant>
        <vt:i4>179</vt:i4>
      </vt:variant>
      <vt:variant>
        <vt:i4>0</vt:i4>
      </vt:variant>
      <vt:variant>
        <vt:i4>5</vt:i4>
      </vt:variant>
      <vt:variant>
        <vt:lpwstr/>
      </vt:variant>
      <vt:variant>
        <vt:lpwstr>_Toc124433416</vt:lpwstr>
      </vt:variant>
      <vt:variant>
        <vt:i4>1245234</vt:i4>
      </vt:variant>
      <vt:variant>
        <vt:i4>173</vt:i4>
      </vt:variant>
      <vt:variant>
        <vt:i4>0</vt:i4>
      </vt:variant>
      <vt:variant>
        <vt:i4>5</vt:i4>
      </vt:variant>
      <vt:variant>
        <vt:lpwstr/>
      </vt:variant>
      <vt:variant>
        <vt:lpwstr>_Toc124433415</vt:lpwstr>
      </vt:variant>
      <vt:variant>
        <vt:i4>1245234</vt:i4>
      </vt:variant>
      <vt:variant>
        <vt:i4>167</vt:i4>
      </vt:variant>
      <vt:variant>
        <vt:i4>0</vt:i4>
      </vt:variant>
      <vt:variant>
        <vt:i4>5</vt:i4>
      </vt:variant>
      <vt:variant>
        <vt:lpwstr/>
      </vt:variant>
      <vt:variant>
        <vt:lpwstr>_Toc124433414</vt:lpwstr>
      </vt:variant>
      <vt:variant>
        <vt:i4>1179698</vt:i4>
      </vt:variant>
      <vt:variant>
        <vt:i4>161</vt:i4>
      </vt:variant>
      <vt:variant>
        <vt:i4>0</vt:i4>
      </vt:variant>
      <vt:variant>
        <vt:i4>5</vt:i4>
      </vt:variant>
      <vt:variant>
        <vt:lpwstr/>
      </vt:variant>
      <vt:variant>
        <vt:lpwstr>_Toc124433406</vt:lpwstr>
      </vt:variant>
      <vt:variant>
        <vt:i4>1179698</vt:i4>
      </vt:variant>
      <vt:variant>
        <vt:i4>155</vt:i4>
      </vt:variant>
      <vt:variant>
        <vt:i4>0</vt:i4>
      </vt:variant>
      <vt:variant>
        <vt:i4>5</vt:i4>
      </vt:variant>
      <vt:variant>
        <vt:lpwstr/>
      </vt:variant>
      <vt:variant>
        <vt:lpwstr>_Toc124433405</vt:lpwstr>
      </vt:variant>
      <vt:variant>
        <vt:i4>1769525</vt:i4>
      </vt:variant>
      <vt:variant>
        <vt:i4>149</vt:i4>
      </vt:variant>
      <vt:variant>
        <vt:i4>0</vt:i4>
      </vt:variant>
      <vt:variant>
        <vt:i4>5</vt:i4>
      </vt:variant>
      <vt:variant>
        <vt:lpwstr/>
      </vt:variant>
      <vt:variant>
        <vt:lpwstr>_Toc124433397</vt:lpwstr>
      </vt:variant>
      <vt:variant>
        <vt:i4>1769525</vt:i4>
      </vt:variant>
      <vt:variant>
        <vt:i4>143</vt:i4>
      </vt:variant>
      <vt:variant>
        <vt:i4>0</vt:i4>
      </vt:variant>
      <vt:variant>
        <vt:i4>5</vt:i4>
      </vt:variant>
      <vt:variant>
        <vt:lpwstr/>
      </vt:variant>
      <vt:variant>
        <vt:lpwstr>_Toc124433396</vt:lpwstr>
      </vt:variant>
      <vt:variant>
        <vt:i4>1769525</vt:i4>
      </vt:variant>
      <vt:variant>
        <vt:i4>137</vt:i4>
      </vt:variant>
      <vt:variant>
        <vt:i4>0</vt:i4>
      </vt:variant>
      <vt:variant>
        <vt:i4>5</vt:i4>
      </vt:variant>
      <vt:variant>
        <vt:lpwstr/>
      </vt:variant>
      <vt:variant>
        <vt:lpwstr>_Toc124433395</vt:lpwstr>
      </vt:variant>
      <vt:variant>
        <vt:i4>1769525</vt:i4>
      </vt:variant>
      <vt:variant>
        <vt:i4>131</vt:i4>
      </vt:variant>
      <vt:variant>
        <vt:i4>0</vt:i4>
      </vt:variant>
      <vt:variant>
        <vt:i4>5</vt:i4>
      </vt:variant>
      <vt:variant>
        <vt:lpwstr/>
      </vt:variant>
      <vt:variant>
        <vt:lpwstr>_Toc124433394</vt:lpwstr>
      </vt:variant>
      <vt:variant>
        <vt:i4>1769525</vt:i4>
      </vt:variant>
      <vt:variant>
        <vt:i4>125</vt:i4>
      </vt:variant>
      <vt:variant>
        <vt:i4>0</vt:i4>
      </vt:variant>
      <vt:variant>
        <vt:i4>5</vt:i4>
      </vt:variant>
      <vt:variant>
        <vt:lpwstr/>
      </vt:variant>
      <vt:variant>
        <vt:lpwstr>_Toc124433393</vt:lpwstr>
      </vt:variant>
      <vt:variant>
        <vt:i4>1703989</vt:i4>
      </vt:variant>
      <vt:variant>
        <vt:i4>119</vt:i4>
      </vt:variant>
      <vt:variant>
        <vt:i4>0</vt:i4>
      </vt:variant>
      <vt:variant>
        <vt:i4>5</vt:i4>
      </vt:variant>
      <vt:variant>
        <vt:lpwstr/>
      </vt:variant>
      <vt:variant>
        <vt:lpwstr>_Toc124433389</vt:lpwstr>
      </vt:variant>
      <vt:variant>
        <vt:i4>7077975</vt:i4>
      </vt:variant>
      <vt:variant>
        <vt:i4>113</vt:i4>
      </vt:variant>
      <vt:variant>
        <vt:i4>0</vt:i4>
      </vt:variant>
      <vt:variant>
        <vt:i4>5</vt:i4>
      </vt:variant>
      <vt:variant>
        <vt:lpwstr>https://austrade.sharepoint.com/sites/EMDGHealthCheck2022/Shared Documents/General/EMDG Review 2022/Report - drafts/Full report/V20 EMDG Operational Review Accessibility version.docx</vt:lpwstr>
      </vt:variant>
      <vt:variant>
        <vt:lpwstr>_Toc124433388</vt:lpwstr>
      </vt:variant>
      <vt:variant>
        <vt:i4>1703989</vt:i4>
      </vt:variant>
      <vt:variant>
        <vt:i4>107</vt:i4>
      </vt:variant>
      <vt:variant>
        <vt:i4>0</vt:i4>
      </vt:variant>
      <vt:variant>
        <vt:i4>5</vt:i4>
      </vt:variant>
      <vt:variant>
        <vt:lpwstr/>
      </vt:variant>
      <vt:variant>
        <vt:lpwstr>_Toc124433386</vt:lpwstr>
      </vt:variant>
      <vt:variant>
        <vt:i4>1703989</vt:i4>
      </vt:variant>
      <vt:variant>
        <vt:i4>101</vt:i4>
      </vt:variant>
      <vt:variant>
        <vt:i4>0</vt:i4>
      </vt:variant>
      <vt:variant>
        <vt:i4>5</vt:i4>
      </vt:variant>
      <vt:variant>
        <vt:lpwstr/>
      </vt:variant>
      <vt:variant>
        <vt:lpwstr>_Toc124433385</vt:lpwstr>
      </vt:variant>
      <vt:variant>
        <vt:i4>1703989</vt:i4>
      </vt:variant>
      <vt:variant>
        <vt:i4>95</vt:i4>
      </vt:variant>
      <vt:variant>
        <vt:i4>0</vt:i4>
      </vt:variant>
      <vt:variant>
        <vt:i4>5</vt:i4>
      </vt:variant>
      <vt:variant>
        <vt:lpwstr/>
      </vt:variant>
      <vt:variant>
        <vt:lpwstr>_Toc124433384</vt:lpwstr>
      </vt:variant>
      <vt:variant>
        <vt:i4>1703989</vt:i4>
      </vt:variant>
      <vt:variant>
        <vt:i4>89</vt:i4>
      </vt:variant>
      <vt:variant>
        <vt:i4>0</vt:i4>
      </vt:variant>
      <vt:variant>
        <vt:i4>5</vt:i4>
      </vt:variant>
      <vt:variant>
        <vt:lpwstr/>
      </vt:variant>
      <vt:variant>
        <vt:lpwstr>_Toc124433383</vt:lpwstr>
      </vt:variant>
      <vt:variant>
        <vt:i4>1703989</vt:i4>
      </vt:variant>
      <vt:variant>
        <vt:i4>83</vt:i4>
      </vt:variant>
      <vt:variant>
        <vt:i4>0</vt:i4>
      </vt:variant>
      <vt:variant>
        <vt:i4>5</vt:i4>
      </vt:variant>
      <vt:variant>
        <vt:lpwstr/>
      </vt:variant>
      <vt:variant>
        <vt:lpwstr>_Toc124433382</vt:lpwstr>
      </vt:variant>
      <vt:variant>
        <vt:i4>1703989</vt:i4>
      </vt:variant>
      <vt:variant>
        <vt:i4>77</vt:i4>
      </vt:variant>
      <vt:variant>
        <vt:i4>0</vt:i4>
      </vt:variant>
      <vt:variant>
        <vt:i4>5</vt:i4>
      </vt:variant>
      <vt:variant>
        <vt:lpwstr/>
      </vt:variant>
      <vt:variant>
        <vt:lpwstr>_Toc124433381</vt:lpwstr>
      </vt:variant>
      <vt:variant>
        <vt:i4>1703989</vt:i4>
      </vt:variant>
      <vt:variant>
        <vt:i4>71</vt:i4>
      </vt:variant>
      <vt:variant>
        <vt:i4>0</vt:i4>
      </vt:variant>
      <vt:variant>
        <vt:i4>5</vt:i4>
      </vt:variant>
      <vt:variant>
        <vt:lpwstr/>
      </vt:variant>
      <vt:variant>
        <vt:lpwstr>_Toc124433380</vt:lpwstr>
      </vt:variant>
      <vt:variant>
        <vt:i4>1376309</vt:i4>
      </vt:variant>
      <vt:variant>
        <vt:i4>65</vt:i4>
      </vt:variant>
      <vt:variant>
        <vt:i4>0</vt:i4>
      </vt:variant>
      <vt:variant>
        <vt:i4>5</vt:i4>
      </vt:variant>
      <vt:variant>
        <vt:lpwstr/>
      </vt:variant>
      <vt:variant>
        <vt:lpwstr>_Toc124433379</vt:lpwstr>
      </vt:variant>
      <vt:variant>
        <vt:i4>1376309</vt:i4>
      </vt:variant>
      <vt:variant>
        <vt:i4>59</vt:i4>
      </vt:variant>
      <vt:variant>
        <vt:i4>0</vt:i4>
      </vt:variant>
      <vt:variant>
        <vt:i4>5</vt:i4>
      </vt:variant>
      <vt:variant>
        <vt:lpwstr/>
      </vt:variant>
      <vt:variant>
        <vt:lpwstr>_Toc124433378</vt:lpwstr>
      </vt:variant>
      <vt:variant>
        <vt:i4>1376309</vt:i4>
      </vt:variant>
      <vt:variant>
        <vt:i4>53</vt:i4>
      </vt:variant>
      <vt:variant>
        <vt:i4>0</vt:i4>
      </vt:variant>
      <vt:variant>
        <vt:i4>5</vt:i4>
      </vt:variant>
      <vt:variant>
        <vt:lpwstr/>
      </vt:variant>
      <vt:variant>
        <vt:lpwstr>_Toc124433377</vt:lpwstr>
      </vt:variant>
      <vt:variant>
        <vt:i4>1376309</vt:i4>
      </vt:variant>
      <vt:variant>
        <vt:i4>47</vt:i4>
      </vt:variant>
      <vt:variant>
        <vt:i4>0</vt:i4>
      </vt:variant>
      <vt:variant>
        <vt:i4>5</vt:i4>
      </vt:variant>
      <vt:variant>
        <vt:lpwstr/>
      </vt:variant>
      <vt:variant>
        <vt:lpwstr>_Toc124433376</vt:lpwstr>
      </vt:variant>
      <vt:variant>
        <vt:i4>1376309</vt:i4>
      </vt:variant>
      <vt:variant>
        <vt:i4>41</vt:i4>
      </vt:variant>
      <vt:variant>
        <vt:i4>0</vt:i4>
      </vt:variant>
      <vt:variant>
        <vt:i4>5</vt:i4>
      </vt:variant>
      <vt:variant>
        <vt:lpwstr/>
      </vt:variant>
      <vt:variant>
        <vt:lpwstr>_Toc124433375</vt:lpwstr>
      </vt:variant>
      <vt:variant>
        <vt:i4>1376309</vt:i4>
      </vt:variant>
      <vt:variant>
        <vt:i4>35</vt:i4>
      </vt:variant>
      <vt:variant>
        <vt:i4>0</vt:i4>
      </vt:variant>
      <vt:variant>
        <vt:i4>5</vt:i4>
      </vt:variant>
      <vt:variant>
        <vt:lpwstr/>
      </vt:variant>
      <vt:variant>
        <vt:lpwstr>_Toc124433374</vt:lpwstr>
      </vt:variant>
      <vt:variant>
        <vt:i4>1376309</vt:i4>
      </vt:variant>
      <vt:variant>
        <vt:i4>29</vt:i4>
      </vt:variant>
      <vt:variant>
        <vt:i4>0</vt:i4>
      </vt:variant>
      <vt:variant>
        <vt:i4>5</vt:i4>
      </vt:variant>
      <vt:variant>
        <vt:lpwstr/>
      </vt:variant>
      <vt:variant>
        <vt:lpwstr>_Toc124433373</vt:lpwstr>
      </vt:variant>
      <vt:variant>
        <vt:i4>1376309</vt:i4>
      </vt:variant>
      <vt:variant>
        <vt:i4>23</vt:i4>
      </vt:variant>
      <vt:variant>
        <vt:i4>0</vt:i4>
      </vt:variant>
      <vt:variant>
        <vt:i4>5</vt:i4>
      </vt:variant>
      <vt:variant>
        <vt:lpwstr/>
      </vt:variant>
      <vt:variant>
        <vt:lpwstr>_Toc124433372</vt:lpwstr>
      </vt:variant>
      <vt:variant>
        <vt:i4>1376309</vt:i4>
      </vt:variant>
      <vt:variant>
        <vt:i4>17</vt:i4>
      </vt:variant>
      <vt:variant>
        <vt:i4>0</vt:i4>
      </vt:variant>
      <vt:variant>
        <vt:i4>5</vt:i4>
      </vt:variant>
      <vt:variant>
        <vt:lpwstr/>
      </vt:variant>
      <vt:variant>
        <vt:lpwstr>_Toc124433371</vt:lpwstr>
      </vt:variant>
      <vt:variant>
        <vt:i4>1310773</vt:i4>
      </vt:variant>
      <vt:variant>
        <vt:i4>11</vt:i4>
      </vt:variant>
      <vt:variant>
        <vt:i4>0</vt:i4>
      </vt:variant>
      <vt:variant>
        <vt:i4>5</vt:i4>
      </vt:variant>
      <vt:variant>
        <vt:lpwstr/>
      </vt:variant>
      <vt:variant>
        <vt:lpwstr>_Toc124433364</vt:lpwstr>
      </vt:variant>
      <vt:variant>
        <vt:i4>1310773</vt:i4>
      </vt:variant>
      <vt:variant>
        <vt:i4>5</vt:i4>
      </vt:variant>
      <vt:variant>
        <vt:i4>0</vt:i4>
      </vt:variant>
      <vt:variant>
        <vt:i4>5</vt:i4>
      </vt:variant>
      <vt:variant>
        <vt:lpwstr/>
      </vt:variant>
      <vt:variant>
        <vt:lpwstr>_Toc124433363</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V20 EMDG Operational Review Accessibility version</dc:title>
  <dc:subject/>
  <dc:creator>Jill-Brightling [Canberra]</dc:creator>
  <cp:keywords>[SEC=OFFICIAL]</cp:keywords>
  <dc:description/>
  <cp:lastModifiedBy>Silas-Irvine [Canberra]</cp:lastModifiedBy>
  <cp:revision>2</cp:revision>
  <cp:lastPrinted>2022-12-14T07:05:00Z</cp:lastPrinted>
  <dcterms:created xsi:type="dcterms:W3CDTF">2023-02-15T03:55:00Z</dcterms:created>
  <dcterms:modified xsi:type="dcterms:W3CDTF">2023-02-15T03:55:00Z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0x010100A38E6B27800A1A489E5EF483778BB5B3</vt:lpwstr>
  </property>
  <property fmtid="{D5CDD505-2E9C-101B-9397-08002B2CF9AE}" pid="3" name="_dlc_DocIdItemGuid">
    <vt:lpwstr>6b425dc4-ebe0-4e9a-b60b-bc0448c37e38</vt:lpwstr>
  </property>
  <property fmtid="{D5CDD505-2E9C-101B-9397-08002B2CF9AE}" pid="4" name="MediaServiceImageTags">
    <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30884F3634EA4234BEEE1FD2277C8831</vt:lpwstr>
  </property>
  <property fmtid="{D5CDD505-2E9C-101B-9397-08002B2CF9AE}" pid="12" name="PM_ProtectiveMarkingValue_Footer">
    <vt:lpwstr>OFFICIAL</vt:lpwstr>
  </property>
  <property fmtid="{D5CDD505-2E9C-101B-9397-08002B2CF9AE}" pid="13" name="PM_Originator_Hash_SHA1">
    <vt:lpwstr>CFCD01808B87D526D389A6B86167B2F45C6AB0ED</vt:lpwstr>
  </property>
  <property fmtid="{D5CDD505-2E9C-101B-9397-08002B2CF9AE}" pid="14" name="PM_OriginationTimeStamp">
    <vt:lpwstr>2022-11-22T04:08:42Z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ABBFF5E2-9674-55C9-B08D-C9980002FD58</vt:lpwstr>
  </property>
  <property fmtid="{D5CDD505-2E9C-101B-9397-08002B2CF9AE}" pid="23" name="PMUuidVer">
    <vt:lpwstr>2022.1</vt:lpwstr>
  </property>
  <property fmtid="{D5CDD505-2E9C-101B-9397-08002B2CF9AE}" pid="24" name="PM_Hash_Version">
    <vt:lpwstr>2018.0</vt:lpwstr>
  </property>
  <property fmtid="{D5CDD505-2E9C-101B-9397-08002B2CF9AE}" pid="25" name="PM_Hash_Salt_Prev">
    <vt:lpwstr>55757D978297EE4FCD94D863FA8119FD</vt:lpwstr>
  </property>
  <property fmtid="{D5CDD505-2E9C-101B-9397-08002B2CF9AE}" pid="26" name="PM_Hash_Salt">
    <vt:lpwstr>55757D978297EE4FCD94D863FA8119FD</vt:lpwstr>
  </property>
  <property fmtid="{D5CDD505-2E9C-101B-9397-08002B2CF9AE}" pid="27" name="PM_Hash_SHA1">
    <vt:lpwstr>3539A201E64DB4DB3FC06C78C3DA55B44E860441</vt:lpwstr>
  </property>
  <property fmtid="{D5CDD505-2E9C-101B-9397-08002B2CF9AE}" pid="28" name="PM_OriginatorUserAccountName_SHA256">
    <vt:lpwstr>D588907D10D40794D584AADBF952E2ACB49D64AC65439BE6D2C401C04374A988</vt:lpwstr>
  </property>
  <property fmtid="{D5CDD505-2E9C-101B-9397-08002B2CF9AE}" pid="29" name="PM_OriginatorDomainName_SHA256">
    <vt:lpwstr>6F3591835F3B2A8A025B00B5BA6418010DA3A17C9C26EA9C049FFD28039489A2</vt:lpwstr>
  </property>
  <property fmtid="{D5CDD505-2E9C-101B-9397-08002B2CF9AE}" pid="30" name="PM_MinimumSecurityClassification">
    <vt:lpwstr/>
  </property>
</Properties>
</file>