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Cs w:val="0"/>
          <w:color w:val="000000" w:themeColor="text1"/>
          <w:sz w:val="20"/>
          <w:szCs w:val="20"/>
        </w:rPr>
        <w:id w:val="-1649280474"/>
        <w:docPartObj>
          <w:docPartGallery w:val="Cover Pages"/>
          <w:docPartUnique/>
        </w:docPartObj>
      </w:sdtPr>
      <w:sdtEndPr>
        <w:rPr>
          <w:b/>
        </w:rPr>
      </w:sdtEndPr>
      <w:sdtContent>
        <w:p w14:paraId="69EEC543" w14:textId="24557124" w:rsidR="004370A3" w:rsidRDefault="003A58AB" w:rsidP="004370A3">
          <w:pPr>
            <w:pStyle w:val="Heading1"/>
            <w:spacing w:before="0"/>
          </w:pPr>
          <w:r w:rsidRPr="00FB606A">
            <w:rPr>
              <w:rStyle w:val="Heading2Char"/>
              <w:noProof/>
              <w:lang w:eastAsia="en-AU"/>
            </w:rPr>
            <w:drawing>
              <wp:anchor distT="0" distB="0" distL="114300" distR="114300" simplePos="0" relativeHeight="251659264" behindDoc="0" locked="0" layoutInCell="1" allowOverlap="1" wp14:anchorId="491653CB" wp14:editId="7894A065">
                <wp:simplePos x="0" y="0"/>
                <wp:positionH relativeFrom="column">
                  <wp:posOffset>-628015</wp:posOffset>
                </wp:positionH>
                <wp:positionV relativeFrom="paragraph">
                  <wp:posOffset>-1209040</wp:posOffset>
                </wp:positionV>
                <wp:extent cx="7533640" cy="1306195"/>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Cover - Large Bann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33640" cy="1306195"/>
                        </a:xfrm>
                        <a:prstGeom prst="rect">
                          <a:avLst/>
                        </a:prstGeom>
                      </pic:spPr>
                    </pic:pic>
                  </a:graphicData>
                </a:graphic>
                <wp14:sizeRelH relativeFrom="margin">
                  <wp14:pctWidth>0</wp14:pctWidth>
                </wp14:sizeRelH>
                <wp14:sizeRelV relativeFrom="margin">
                  <wp14:pctHeight>0</wp14:pctHeight>
                </wp14:sizeRelV>
              </wp:anchor>
            </w:drawing>
          </w:r>
          <w:r w:rsidRPr="00FB606A">
            <w:rPr>
              <w:rStyle w:val="Heading2Char"/>
              <w:noProof/>
              <w:lang w:eastAsia="en-AU"/>
            </w:rPr>
            <w:drawing>
              <wp:anchor distT="0" distB="0" distL="114300" distR="114300" simplePos="0" relativeHeight="251660288" behindDoc="0" locked="0" layoutInCell="1" allowOverlap="1" wp14:anchorId="2F803855" wp14:editId="64FDD863">
                <wp:simplePos x="0" y="0"/>
                <wp:positionH relativeFrom="margin">
                  <wp:posOffset>-118110</wp:posOffset>
                </wp:positionH>
                <wp:positionV relativeFrom="paragraph">
                  <wp:posOffset>-1042670</wp:posOffset>
                </wp:positionV>
                <wp:extent cx="2857500" cy="8235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06A">
            <w:rPr>
              <w:rStyle w:val="Heading2Char"/>
              <w:noProof/>
              <w:lang w:eastAsia="en-AU"/>
            </w:rPr>
            <w:drawing>
              <wp:anchor distT="0" distB="0" distL="114300" distR="114300" simplePos="0" relativeHeight="251661312" behindDoc="0" locked="0" layoutInCell="1" allowOverlap="1" wp14:anchorId="7963410D" wp14:editId="6FC38FEC">
                <wp:simplePos x="0" y="0"/>
                <wp:positionH relativeFrom="column">
                  <wp:posOffset>4801870</wp:posOffset>
                </wp:positionH>
                <wp:positionV relativeFrom="page">
                  <wp:posOffset>509905</wp:posOffset>
                </wp:positionV>
                <wp:extent cx="1476375" cy="1549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6375" cy="154976"/>
                        </a:xfrm>
                        <a:prstGeom prst="rect">
                          <a:avLst/>
                        </a:prstGeom>
                        <a:noFill/>
                        <a:ln>
                          <a:noFill/>
                        </a:ln>
                      </pic:spPr>
                    </pic:pic>
                  </a:graphicData>
                </a:graphic>
                <wp14:sizeRelH relativeFrom="page">
                  <wp14:pctWidth>0</wp14:pctWidth>
                </wp14:sizeRelH>
                <wp14:sizeRelV relativeFrom="page">
                  <wp14:pctHeight>0</wp14:pctHeight>
                </wp14:sizeRelV>
              </wp:anchor>
            </w:drawing>
          </w:r>
          <w:r w:rsidR="004370A3">
            <w:rPr>
              <w:noProof/>
              <w:lang w:eastAsia="en-AU"/>
            </w:rPr>
            <w:drawing>
              <wp:anchor distT="0" distB="0" distL="114300" distR="114300" simplePos="0" relativeHeight="251664384" behindDoc="1" locked="1" layoutInCell="1" allowOverlap="1" wp14:anchorId="2867CFC3" wp14:editId="319A2CBB">
                <wp:simplePos x="0" y="0"/>
                <wp:positionH relativeFrom="page">
                  <wp:posOffset>720090</wp:posOffset>
                </wp:positionH>
                <wp:positionV relativeFrom="page">
                  <wp:posOffset>504190</wp:posOffset>
                </wp:positionV>
                <wp:extent cx="3178800" cy="504000"/>
                <wp:effectExtent l="0" t="0" r="317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TIC_Asset 2.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178800" cy="504000"/>
                        </a:xfrm>
                        <a:prstGeom prst="rect">
                          <a:avLst/>
                        </a:prstGeom>
                      </pic:spPr>
                    </pic:pic>
                  </a:graphicData>
                </a:graphic>
                <wp14:sizeRelH relativeFrom="margin">
                  <wp14:pctWidth>0</wp14:pctWidth>
                </wp14:sizeRelH>
                <wp14:sizeRelV relativeFrom="margin">
                  <wp14:pctHeight>0</wp14:pctHeight>
                </wp14:sizeRelV>
              </wp:anchor>
            </w:drawing>
          </w:r>
          <w:r w:rsidR="004370A3">
            <w:t>THRIVE 2030 Implementation Advisory Group (TIAG)</w:t>
          </w:r>
        </w:p>
        <w:p w14:paraId="7CE22699" w14:textId="1019F469" w:rsidR="004370A3" w:rsidRPr="004370A3" w:rsidRDefault="004370A3" w:rsidP="004370A3">
          <w:pPr>
            <w:pStyle w:val="Title"/>
            <w:spacing w:before="0"/>
          </w:pPr>
          <w:r>
            <w:t>Summary of Meeting – 25 May 2022</w:t>
          </w:r>
        </w:p>
        <w:p w14:paraId="154CDA36" w14:textId="77777777" w:rsidR="004370A3" w:rsidRDefault="004370A3" w:rsidP="004370A3">
          <w:pPr>
            <w:spacing w:after="0"/>
          </w:pPr>
          <w:r>
            <w:t xml:space="preserve">The first meeting of the THRIVE 2030 Implementation Advisory Group (TIAG) was held in Sydney on 25 May 2022. The Chair acknowledged traditional custodians. Members briefly introduced themselves and their history in the visitor economy. </w:t>
          </w:r>
        </w:p>
        <w:p w14:paraId="26B294BE" w14:textId="77777777" w:rsidR="004370A3" w:rsidRDefault="004370A3" w:rsidP="004370A3">
          <w:pPr>
            <w:spacing w:after="0"/>
          </w:pPr>
          <w:r>
            <w:t xml:space="preserve">Austrade briefed members on the development of THRIVE 2030, the national industry-led, government-enabled strategy for Australia’s visitor economy, and the TIAG’s role supporting and monitoring implementation. </w:t>
          </w:r>
        </w:p>
        <w:p w14:paraId="3E222D20" w14:textId="77777777" w:rsidR="004370A3" w:rsidRPr="0035754D" w:rsidRDefault="004370A3" w:rsidP="004370A3">
          <w:pPr>
            <w:spacing w:after="0"/>
          </w:pPr>
          <w:r>
            <w:t xml:space="preserve">Members highlighted their implementation priorities and opportunities. The following themes emerged from the discussion: </w:t>
          </w:r>
        </w:p>
        <w:p w14:paraId="255ED50D" w14:textId="77777777" w:rsidR="004370A3" w:rsidRDefault="004370A3" w:rsidP="004370A3">
          <w:pPr>
            <w:pStyle w:val="Heading3"/>
          </w:pPr>
          <w:r>
            <w:t>Workforce shortages</w:t>
          </w:r>
        </w:p>
        <w:p w14:paraId="66196F26" w14:textId="4D59908D" w:rsidR="004370A3" w:rsidRDefault="004370A3" w:rsidP="004370A3">
          <w:pPr>
            <w:spacing w:after="0"/>
          </w:pPr>
          <w:r>
            <w:t>Members agreed that workforce shortages were the most significant current challenge in the visitor economy. Both skilled and unskilled workers, particularly in regional and remote Australia, were in short supply and were constraining meeting demand. Housing supply was flagged as a barrier to attracting workers, especially in regional Australia. Workforce shortages were noted as putting significant pressure on the existing workforce which risked further people leaving the visitor economy.</w:t>
          </w:r>
        </w:p>
        <w:p w14:paraId="78C9EE9A" w14:textId="77777777" w:rsidR="004370A3" w:rsidRDefault="004370A3" w:rsidP="004370A3">
          <w:pPr>
            <w:spacing w:after="0"/>
          </w:pPr>
          <w:r>
            <w:t xml:space="preserve">Members welcomed the convening of the THRIVE 2030 workforce and skills technical working group. The group acknowledged workforce shortages could be addressed, in part, by incentivising under-employed available cohorts to work in the visitor economy (including Indigenous Australians, retirees and people with a disability, women with children). A range of suggestions were put forward for Austrade to explore to ease workforce pressures. Promoting the visitor economy as a career of choice was also considered essential to build workforce capability in the medium to long term. </w:t>
          </w:r>
        </w:p>
        <w:p w14:paraId="4C654836" w14:textId="77777777" w:rsidR="004370A3" w:rsidRDefault="004370A3" w:rsidP="004370A3">
          <w:pPr>
            <w:pStyle w:val="Heading3"/>
          </w:pPr>
          <w:r>
            <w:t xml:space="preserve">Mental Health </w:t>
          </w:r>
        </w:p>
        <w:p w14:paraId="649017F5" w14:textId="77777777" w:rsidR="004370A3" w:rsidRPr="008D4D6A" w:rsidRDefault="004370A3" w:rsidP="004370A3">
          <w:pPr>
            <w:spacing w:after="0"/>
          </w:pPr>
          <w:r>
            <w:t>Members noted mental health was a critical issue for some operators and staff after events of the past three years and the level of demand versus available workforce.</w:t>
          </w:r>
        </w:p>
        <w:p w14:paraId="578EA4EC" w14:textId="77777777" w:rsidR="004370A3" w:rsidRDefault="004370A3" w:rsidP="004370A3">
          <w:pPr>
            <w:pStyle w:val="Heading3"/>
          </w:pPr>
          <w:r>
            <w:lastRenderedPageBreak/>
            <w:t>Building a competitive, world class destination</w:t>
          </w:r>
        </w:p>
        <w:p w14:paraId="10C656D7" w14:textId="3FB4DFF1" w:rsidR="004370A3" w:rsidRDefault="004370A3" w:rsidP="004370A3">
          <w:pPr>
            <w:spacing w:after="0"/>
          </w:pPr>
          <w:r>
            <w:t xml:space="preserve">The group noted Australia had to work very hard to secure its place as a competitive, world-class destination. Visiting Australia was comparatively costly and Australia’s visa processes were creating challenges. The group noted Australia’s unique offerings, particularly Indigenous </w:t>
          </w:r>
          <w:proofErr w:type="gramStart"/>
          <w:r>
            <w:t>tourism</w:t>
          </w:r>
          <w:proofErr w:type="gramEnd"/>
          <w:r>
            <w:t xml:space="preserve"> and its natural environment, that could build Australia’s standing globally and attract travellers as the global economy continued to reopen. </w:t>
          </w:r>
        </w:p>
        <w:p w14:paraId="23FE3832" w14:textId="77777777" w:rsidR="004370A3" w:rsidRPr="00D135AF" w:rsidRDefault="004370A3" w:rsidP="004370A3">
          <w:pPr>
            <w:pStyle w:val="Heading3"/>
          </w:pPr>
          <w:r>
            <w:t>Rebuilding international visitor base through d</w:t>
          </w:r>
          <w:r w:rsidRPr="00D135AF">
            <w:t>iversificati</w:t>
          </w:r>
          <w:r>
            <w:t xml:space="preserve">on of markets and visitors </w:t>
          </w:r>
        </w:p>
        <w:p w14:paraId="2BE3DC8B" w14:textId="6B87A1DD" w:rsidR="004370A3" w:rsidRPr="004370A3" w:rsidRDefault="004370A3" w:rsidP="004370A3">
          <w:pPr>
            <w:spacing w:after="0"/>
          </w:pPr>
          <w:r>
            <w:t>Diversification of international markets, segments, products, and visitor types was discussed as an important focus of THRIVE 2030, with the work to return visitors from Australia’s core international markets also contributing to recovery.</w:t>
          </w:r>
        </w:p>
        <w:p w14:paraId="5F908B0C" w14:textId="77777777" w:rsidR="004370A3" w:rsidRDefault="004370A3" w:rsidP="004370A3">
          <w:pPr>
            <w:pStyle w:val="Heading3"/>
          </w:pPr>
          <w:r w:rsidRPr="00660898">
            <w:t>Galvanising</w:t>
          </w:r>
          <w:r>
            <w:t xml:space="preserve"> industry support to implement THRIVE 2030</w:t>
          </w:r>
        </w:p>
        <w:p w14:paraId="145CD6B4" w14:textId="0246A72A" w:rsidR="004370A3" w:rsidRDefault="004370A3" w:rsidP="004370A3">
          <w:pPr>
            <w:spacing w:after="0"/>
          </w:pPr>
          <w:r>
            <w:t xml:space="preserve">With THRIVE 2030 being an industry-led, government-enabled strategy, the group highlighted the importance of Australia’s tourism industry getting behind and driving THRIVE 2030’s implementation through collaboration within a competitive environment. State and Territory Government collaboration and whole-of-government Commonwealth efforts were noted as also essential to achieve THRIVE’s objectives. </w:t>
          </w:r>
        </w:p>
        <w:p w14:paraId="48A585EA" w14:textId="484B0D36" w:rsidR="004370A3" w:rsidRPr="002A7B7E" w:rsidRDefault="004370A3" w:rsidP="004370A3">
          <w:pPr>
            <w:pStyle w:val="Heading3"/>
          </w:pPr>
          <w:r w:rsidRPr="002A7B7E">
            <w:t xml:space="preserve">Community </w:t>
          </w:r>
          <w:r>
            <w:t>su</w:t>
          </w:r>
          <w:r w:rsidRPr="002A7B7E">
            <w:t>pport</w:t>
          </w:r>
          <w:r>
            <w:t xml:space="preserve"> for the visitor economy</w:t>
          </w:r>
        </w:p>
        <w:p w14:paraId="1288ADB6" w14:textId="54EAC945" w:rsidR="004370A3" w:rsidRDefault="004370A3" w:rsidP="004370A3">
          <w:pPr>
            <w:spacing w:after="0"/>
          </w:pPr>
          <w:r>
            <w:t>The importance of social licence and community support for the visitor economy was noted as being essential for future growth.</w:t>
          </w:r>
        </w:p>
        <w:p w14:paraId="70EF9425" w14:textId="4E3846EA" w:rsidR="004370A3" w:rsidRDefault="004370A3" w:rsidP="004370A3">
          <w:pPr>
            <w:spacing w:after="0"/>
          </w:pPr>
          <w:r>
            <w:t xml:space="preserve">The Group looks forward to hearing the new Government’s tourism priorities and supporting its work </w:t>
          </w:r>
          <w:r w:rsidRPr="004370A3">
            <w:t>and is enthusiastic about meeting regularly to contribute to THRIVE 2030</w:t>
          </w:r>
          <w:r>
            <w:t>.</w:t>
          </w:r>
        </w:p>
        <w:p w14:paraId="321345C1" w14:textId="77777777" w:rsidR="004370A3" w:rsidRDefault="004370A3" w:rsidP="004370A3">
          <w:pPr>
            <w:spacing w:after="0"/>
          </w:pPr>
          <w:r>
            <w:t xml:space="preserve">The next </w:t>
          </w:r>
          <w:r w:rsidRPr="004370A3">
            <w:t>formal face to face</w:t>
          </w:r>
          <w:r>
            <w:t xml:space="preserve"> meeting of TIAG is proposed to be held in October 2022. </w:t>
          </w:r>
        </w:p>
        <w:p w14:paraId="5AE86E6F" w14:textId="5EF21B6C" w:rsidR="00501469" w:rsidRDefault="00CB6ED1">
          <w:pPr>
            <w:spacing w:before="0" w:after="160" w:line="259" w:lineRule="auto"/>
          </w:pPr>
        </w:p>
      </w:sdtContent>
    </w:sdt>
    <w:sectPr w:rsidR="00501469" w:rsidSect="00501469">
      <w:headerReference w:type="even" r:id="rId18"/>
      <w:headerReference w:type="default" r:id="rId19"/>
      <w:footerReference w:type="even" r:id="rId20"/>
      <w:footerReference w:type="default" r:id="rId21"/>
      <w:headerReference w:type="first" r:id="rId22"/>
      <w:footerReference w:type="first" r:id="rId23"/>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DF9ED" w14:textId="77777777" w:rsidR="00B04E4E" w:rsidRDefault="00B04E4E" w:rsidP="007B0021">
      <w:r>
        <w:separator/>
      </w:r>
    </w:p>
    <w:p w14:paraId="1139ED8A" w14:textId="77777777" w:rsidR="00B04E4E" w:rsidRDefault="00B04E4E" w:rsidP="007B0021"/>
  </w:endnote>
  <w:endnote w:type="continuationSeparator" w:id="0">
    <w:p w14:paraId="09B0F23E" w14:textId="77777777" w:rsidR="00B04E4E" w:rsidRDefault="00B04E4E" w:rsidP="007B0021">
      <w:r>
        <w:continuationSeparator/>
      </w:r>
    </w:p>
    <w:p w14:paraId="6449E633" w14:textId="77777777" w:rsidR="00B04E4E" w:rsidRDefault="00B04E4E"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8F399" w14:textId="77777777" w:rsidR="00A176D9" w:rsidRDefault="00A17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B61D5" w14:textId="77777777" w:rsidR="00A176D9" w:rsidRPr="003D0704" w:rsidRDefault="00A176D9" w:rsidP="00A176D9">
    <w:pPr>
      <w:pStyle w:val="Footer"/>
      <w:tabs>
        <w:tab w:val="clear" w:pos="4513"/>
        <w:tab w:val="clear" w:pos="9026"/>
        <w:tab w:val="right" w:pos="9923"/>
      </w:tabs>
      <w:spacing w:before="0"/>
      <w:rPr>
        <w:color w:val="173F35" w:themeColor="accent1"/>
        <w:sz w:val="14"/>
        <w:szCs w:val="14"/>
      </w:rPr>
    </w:pPr>
    <w:r w:rsidRPr="003D0704">
      <w:rPr>
        <w:noProof/>
        <w:color w:val="173F35" w:themeColor="accent1"/>
        <w:sz w:val="14"/>
        <w:szCs w:val="14"/>
        <w:lang w:eastAsia="en-AU"/>
      </w:rPr>
      <mc:AlternateContent>
        <mc:Choice Requires="wps">
          <w:drawing>
            <wp:anchor distT="0" distB="0" distL="114300" distR="114300" simplePos="0" relativeHeight="251672576" behindDoc="0" locked="0" layoutInCell="1" allowOverlap="1" wp14:anchorId="10651E18" wp14:editId="12403FE9">
              <wp:simplePos x="0" y="0"/>
              <wp:positionH relativeFrom="column">
                <wp:posOffset>-23495</wp:posOffset>
              </wp:positionH>
              <wp:positionV relativeFrom="paragraph">
                <wp:posOffset>10697</wp:posOffset>
              </wp:positionV>
              <wp:extent cx="6310386" cy="0"/>
              <wp:effectExtent l="0" t="0" r="0" b="0"/>
              <wp:wrapNone/>
              <wp:docPr id="184" name="Straight Connector 184"/>
              <wp:cNvGraphicFramePr/>
              <a:graphic xmlns:a="http://schemas.openxmlformats.org/drawingml/2006/main">
                <a:graphicData uri="http://schemas.microsoft.com/office/word/2010/wordprocessingShape">
                  <wps:wsp>
                    <wps:cNvCnPr/>
                    <wps:spPr>
                      <a:xfrm>
                        <a:off x="0" y="0"/>
                        <a:ext cx="6310386"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79ED9" id="Straight Connector 18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" strokecolor="#173f35 [3204]" strokeweight="1.5pt">
              <v:stroke joinstyle="miter"/>
            </v:line>
          </w:pict>
        </mc:Fallback>
      </mc:AlternateContent>
    </w:r>
    <w:r>
      <w:rPr>
        <w:color w:val="173F35" w:themeColor="accent1"/>
        <w:sz w:val="14"/>
        <w:szCs w:val="14"/>
      </w:rPr>
      <w:t>TIAG meeting summary: 25 May 2022</w:t>
    </w:r>
    <w:r>
      <w:rPr>
        <w:color w:val="173F35" w:themeColor="accent1"/>
        <w:sz w:val="14"/>
        <w:szCs w:val="14"/>
      </w:rPr>
      <w:tab/>
    </w:r>
  </w:p>
  <w:p w14:paraId="0FBCB880" w14:textId="77777777" w:rsidR="00A176D9" w:rsidRDefault="00A17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89BAE" w14:textId="77777777" w:rsidR="00A176D9" w:rsidRPr="003D0704" w:rsidRDefault="00A176D9" w:rsidP="00A176D9">
    <w:pPr>
      <w:pStyle w:val="Footer"/>
      <w:tabs>
        <w:tab w:val="clear" w:pos="4513"/>
        <w:tab w:val="clear" w:pos="9026"/>
        <w:tab w:val="right" w:pos="9923"/>
      </w:tabs>
      <w:spacing w:before="0"/>
      <w:rPr>
        <w:color w:val="173F35" w:themeColor="accent1"/>
        <w:sz w:val="14"/>
        <w:szCs w:val="14"/>
      </w:rPr>
    </w:pPr>
    <w:r w:rsidRPr="003D0704">
      <w:rPr>
        <w:noProof/>
        <w:color w:val="173F35" w:themeColor="accent1"/>
        <w:sz w:val="14"/>
        <w:szCs w:val="14"/>
        <w:lang w:eastAsia="en-AU"/>
      </w:rPr>
      <mc:AlternateContent>
        <mc:Choice Requires="wps">
          <w:drawing>
            <wp:anchor distT="0" distB="0" distL="114300" distR="114300" simplePos="0" relativeHeight="251674624" behindDoc="0" locked="0" layoutInCell="1" allowOverlap="1" wp14:anchorId="27295C0C" wp14:editId="78BCF952">
              <wp:simplePos x="0" y="0"/>
              <wp:positionH relativeFrom="column">
                <wp:posOffset>-23495</wp:posOffset>
              </wp:positionH>
              <wp:positionV relativeFrom="paragraph">
                <wp:posOffset>10697</wp:posOffset>
              </wp:positionV>
              <wp:extent cx="631038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10386"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025E12"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" strokecolor="#173f35 [3204]" strokeweight="1.5pt">
              <v:stroke joinstyle="miter"/>
            </v:line>
          </w:pict>
        </mc:Fallback>
      </mc:AlternateContent>
    </w:r>
    <w:r>
      <w:rPr>
        <w:color w:val="173F35" w:themeColor="accent1"/>
        <w:sz w:val="14"/>
        <w:szCs w:val="14"/>
      </w:rPr>
      <w:t>TIAG meeting summary: 25 May 2022</w:t>
    </w:r>
    <w:r>
      <w:rPr>
        <w:color w:val="173F35" w:themeColor="accent1"/>
        <w:sz w:val="14"/>
        <w:szCs w:val="14"/>
      </w:rPr>
      <w:tab/>
    </w:r>
  </w:p>
  <w:p w14:paraId="283A1D1B" w14:textId="77777777" w:rsidR="00A176D9" w:rsidRDefault="00A176D9" w:rsidP="00A176D9">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7084D" w14:textId="77777777" w:rsidR="00B04E4E" w:rsidRDefault="00B04E4E" w:rsidP="007B0021">
      <w:r>
        <w:separator/>
      </w:r>
    </w:p>
    <w:p w14:paraId="29E64C90" w14:textId="77777777" w:rsidR="00B04E4E" w:rsidRDefault="00B04E4E" w:rsidP="007B0021"/>
  </w:footnote>
  <w:footnote w:type="continuationSeparator" w:id="0">
    <w:p w14:paraId="308EC618" w14:textId="77777777" w:rsidR="00B04E4E" w:rsidRDefault="00B04E4E" w:rsidP="007B0021">
      <w:r>
        <w:continuationSeparator/>
      </w:r>
    </w:p>
    <w:p w14:paraId="705258B1" w14:textId="77777777" w:rsidR="00B04E4E" w:rsidRDefault="00B04E4E" w:rsidP="007B0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D38CD" w14:textId="77777777" w:rsidR="00A176D9" w:rsidRDefault="00A17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DAB90" w14:textId="77777777" w:rsidR="00A176D9" w:rsidRDefault="00A17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5A201" w14:textId="77777777" w:rsidR="003A58AB" w:rsidRDefault="003A58AB" w:rsidP="007B0021">
    <w:pPr>
      <w:pStyle w:val="Header"/>
    </w:pPr>
  </w:p>
  <w:p w14:paraId="4ED4BDA7" w14:textId="77777777" w:rsidR="003A58AB" w:rsidRDefault="003A58AB" w:rsidP="007B0021">
    <w:r>
      <w:rPr>
        <w:noProof/>
        <w:lang w:eastAsia="en-AU"/>
      </w:rPr>
      <w:drawing>
        <wp:anchor distT="0" distB="0" distL="114300" distR="114300" simplePos="0" relativeHeight="251670528" behindDoc="0" locked="0" layoutInCell="1" allowOverlap="1" wp14:anchorId="527C9FD6" wp14:editId="120CAB5D">
          <wp:simplePos x="0" y="0"/>
          <wp:positionH relativeFrom="column">
            <wp:posOffset>3971925</wp:posOffset>
          </wp:positionH>
          <wp:positionV relativeFrom="margin">
            <wp:posOffset>-410210</wp:posOffset>
          </wp:positionV>
          <wp:extent cx="2276475" cy="238760"/>
          <wp:effectExtent l="0" t="0" r="952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23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D903CA"/>
    <w:multiLevelType w:val="hybridMultilevel"/>
    <w:tmpl w:val="6F9E89FC"/>
    <w:lvl w:ilvl="0" w:tplc="16200BEE">
      <w:start w:val="1"/>
      <w:numFmt w:val="bullet"/>
      <w:pStyle w:val="BulletList"/>
      <w:lvlText w:val=""/>
      <w:lvlJc w:val="left"/>
      <w:pPr>
        <w:ind w:left="1856" w:hanging="360"/>
      </w:pPr>
      <w:rPr>
        <w:rFonts w:ascii="Symbol" w:hAnsi="Symbol" w:cs="Symbol" w:hint="default"/>
      </w:rPr>
    </w:lvl>
    <w:lvl w:ilvl="1" w:tplc="0C090003">
      <w:start w:val="1"/>
      <w:numFmt w:val="bullet"/>
      <w:lvlText w:val="o"/>
      <w:lvlJc w:val="left"/>
      <w:pPr>
        <w:ind w:left="2576" w:hanging="360"/>
      </w:pPr>
      <w:rPr>
        <w:rFonts w:ascii="Courier New" w:hAnsi="Courier New" w:cs="Courier New" w:hint="default"/>
      </w:rPr>
    </w:lvl>
    <w:lvl w:ilvl="2" w:tplc="0C090005">
      <w:start w:val="1"/>
      <w:numFmt w:val="bullet"/>
      <w:lvlText w:val=""/>
      <w:lvlJc w:val="left"/>
      <w:pPr>
        <w:ind w:left="3296" w:hanging="360"/>
      </w:pPr>
      <w:rPr>
        <w:rFonts w:ascii="Wingdings" w:hAnsi="Wingdings" w:cs="Wingdings" w:hint="default"/>
      </w:rPr>
    </w:lvl>
    <w:lvl w:ilvl="3" w:tplc="0C090001" w:tentative="1">
      <w:start w:val="1"/>
      <w:numFmt w:val="bullet"/>
      <w:lvlText w:val=""/>
      <w:lvlJc w:val="left"/>
      <w:pPr>
        <w:ind w:left="4016" w:hanging="360"/>
      </w:pPr>
      <w:rPr>
        <w:rFonts w:ascii="Symbol" w:hAnsi="Symbol" w:cs="Symbol" w:hint="default"/>
      </w:rPr>
    </w:lvl>
    <w:lvl w:ilvl="4" w:tplc="0C090003" w:tentative="1">
      <w:start w:val="1"/>
      <w:numFmt w:val="bullet"/>
      <w:lvlText w:val="o"/>
      <w:lvlJc w:val="left"/>
      <w:pPr>
        <w:ind w:left="4736" w:hanging="360"/>
      </w:pPr>
      <w:rPr>
        <w:rFonts w:ascii="Courier New" w:hAnsi="Courier New" w:cs="Courier New" w:hint="default"/>
      </w:rPr>
    </w:lvl>
    <w:lvl w:ilvl="5" w:tplc="0C090005" w:tentative="1">
      <w:start w:val="1"/>
      <w:numFmt w:val="bullet"/>
      <w:lvlText w:val=""/>
      <w:lvlJc w:val="left"/>
      <w:pPr>
        <w:ind w:left="5456" w:hanging="360"/>
      </w:pPr>
      <w:rPr>
        <w:rFonts w:ascii="Wingdings" w:hAnsi="Wingdings" w:cs="Wingdings" w:hint="default"/>
      </w:rPr>
    </w:lvl>
    <w:lvl w:ilvl="6" w:tplc="0C090001" w:tentative="1">
      <w:start w:val="1"/>
      <w:numFmt w:val="bullet"/>
      <w:lvlText w:val=""/>
      <w:lvlJc w:val="left"/>
      <w:pPr>
        <w:ind w:left="6176" w:hanging="360"/>
      </w:pPr>
      <w:rPr>
        <w:rFonts w:ascii="Symbol" w:hAnsi="Symbol" w:cs="Symbol" w:hint="default"/>
      </w:rPr>
    </w:lvl>
    <w:lvl w:ilvl="7" w:tplc="0C090003" w:tentative="1">
      <w:start w:val="1"/>
      <w:numFmt w:val="bullet"/>
      <w:lvlText w:val="o"/>
      <w:lvlJc w:val="left"/>
      <w:pPr>
        <w:ind w:left="6896" w:hanging="360"/>
      </w:pPr>
      <w:rPr>
        <w:rFonts w:ascii="Courier New" w:hAnsi="Courier New" w:cs="Courier New" w:hint="default"/>
      </w:rPr>
    </w:lvl>
    <w:lvl w:ilvl="8" w:tplc="0C090005" w:tentative="1">
      <w:start w:val="1"/>
      <w:numFmt w:val="bullet"/>
      <w:lvlText w:val=""/>
      <w:lvlJc w:val="left"/>
      <w:pPr>
        <w:ind w:left="7616" w:hanging="360"/>
      </w:pPr>
      <w:rPr>
        <w:rFonts w:ascii="Wingdings" w:hAnsi="Wingdings" w:cs="Wingdings" w:hint="default"/>
      </w:rPr>
    </w:lvl>
  </w:abstractNum>
  <w:abstractNum w:abstractNumId="2"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1"/>
  </w:num>
  <w:num w:numId="2">
    <w:abstractNumId w:val="2"/>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9A"/>
    <w:rsid w:val="000B6D50"/>
    <w:rsid w:val="000D3DF4"/>
    <w:rsid w:val="000E7E86"/>
    <w:rsid w:val="00117092"/>
    <w:rsid w:val="0012425F"/>
    <w:rsid w:val="00147D40"/>
    <w:rsid w:val="00191835"/>
    <w:rsid w:val="001E186F"/>
    <w:rsid w:val="00245E86"/>
    <w:rsid w:val="00253226"/>
    <w:rsid w:val="00261F28"/>
    <w:rsid w:val="002749C0"/>
    <w:rsid w:val="0028112D"/>
    <w:rsid w:val="00282C92"/>
    <w:rsid w:val="0028696F"/>
    <w:rsid w:val="002C1F51"/>
    <w:rsid w:val="002E309C"/>
    <w:rsid w:val="00321E47"/>
    <w:rsid w:val="00326B31"/>
    <w:rsid w:val="00390F9A"/>
    <w:rsid w:val="003A58AB"/>
    <w:rsid w:val="003C3B0A"/>
    <w:rsid w:val="003D0704"/>
    <w:rsid w:val="003D65E7"/>
    <w:rsid w:val="003E38E3"/>
    <w:rsid w:val="003E5497"/>
    <w:rsid w:val="00401EF2"/>
    <w:rsid w:val="0043062E"/>
    <w:rsid w:val="004370A3"/>
    <w:rsid w:val="0045192E"/>
    <w:rsid w:val="00460A41"/>
    <w:rsid w:val="004767E6"/>
    <w:rsid w:val="004A5D92"/>
    <w:rsid w:val="004C6441"/>
    <w:rsid w:val="004D06AF"/>
    <w:rsid w:val="004D6F59"/>
    <w:rsid w:val="00501469"/>
    <w:rsid w:val="00571BDC"/>
    <w:rsid w:val="005B661E"/>
    <w:rsid w:val="005D3E5E"/>
    <w:rsid w:val="0065148D"/>
    <w:rsid w:val="00694AAD"/>
    <w:rsid w:val="006969E3"/>
    <w:rsid w:val="00696F9E"/>
    <w:rsid w:val="006E5730"/>
    <w:rsid w:val="006F7525"/>
    <w:rsid w:val="00774485"/>
    <w:rsid w:val="0078435A"/>
    <w:rsid w:val="007A0FC3"/>
    <w:rsid w:val="007B0021"/>
    <w:rsid w:val="00800F81"/>
    <w:rsid w:val="008407EC"/>
    <w:rsid w:val="008514EC"/>
    <w:rsid w:val="00857A0A"/>
    <w:rsid w:val="00865233"/>
    <w:rsid w:val="00877D9B"/>
    <w:rsid w:val="00880118"/>
    <w:rsid w:val="008B6033"/>
    <w:rsid w:val="008F4FD7"/>
    <w:rsid w:val="00904581"/>
    <w:rsid w:val="00910C53"/>
    <w:rsid w:val="00914090"/>
    <w:rsid w:val="00921435"/>
    <w:rsid w:val="0092648B"/>
    <w:rsid w:val="0094463A"/>
    <w:rsid w:val="0096640D"/>
    <w:rsid w:val="0098379B"/>
    <w:rsid w:val="00996B27"/>
    <w:rsid w:val="009D6B24"/>
    <w:rsid w:val="009D70B3"/>
    <w:rsid w:val="009E1D4B"/>
    <w:rsid w:val="00A00806"/>
    <w:rsid w:val="00A176D9"/>
    <w:rsid w:val="00AC0F96"/>
    <w:rsid w:val="00AC6A14"/>
    <w:rsid w:val="00AE3D08"/>
    <w:rsid w:val="00AE58C5"/>
    <w:rsid w:val="00B04E4E"/>
    <w:rsid w:val="00B54801"/>
    <w:rsid w:val="00B76F42"/>
    <w:rsid w:val="00B96CEF"/>
    <w:rsid w:val="00BE1C64"/>
    <w:rsid w:val="00C06C20"/>
    <w:rsid w:val="00C279D9"/>
    <w:rsid w:val="00C3141D"/>
    <w:rsid w:val="00CB6ED1"/>
    <w:rsid w:val="00CD0CE5"/>
    <w:rsid w:val="00CD1BE3"/>
    <w:rsid w:val="00CF4F9D"/>
    <w:rsid w:val="00D76AE4"/>
    <w:rsid w:val="00D86523"/>
    <w:rsid w:val="00D871C3"/>
    <w:rsid w:val="00D93830"/>
    <w:rsid w:val="00DB21A7"/>
    <w:rsid w:val="00DE31B4"/>
    <w:rsid w:val="00E24D12"/>
    <w:rsid w:val="00E703F2"/>
    <w:rsid w:val="00E902C6"/>
    <w:rsid w:val="00EA11C9"/>
    <w:rsid w:val="00EA272C"/>
    <w:rsid w:val="00EA4240"/>
    <w:rsid w:val="00EE05FC"/>
    <w:rsid w:val="00EE4027"/>
    <w:rsid w:val="00F23FEC"/>
    <w:rsid w:val="00F246B1"/>
    <w:rsid w:val="00F45A2B"/>
    <w:rsid w:val="00F65113"/>
    <w:rsid w:val="00F85A20"/>
    <w:rsid w:val="00F97D50"/>
    <w:rsid w:val="00FB606A"/>
    <w:rsid w:val="00FC1ABB"/>
    <w:rsid w:val="00FD6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AE8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390F9A"/>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C279D9"/>
    <w:pPr>
      <w:outlineLvl w:val="0"/>
    </w:pPr>
    <w:rPr>
      <w:b w:val="0"/>
    </w:rPr>
  </w:style>
  <w:style w:type="paragraph" w:styleId="Heading2">
    <w:name w:val="heading 2"/>
    <w:basedOn w:val="Normal"/>
    <w:next w:val="Normal"/>
    <w:link w:val="Heading2Char"/>
    <w:uiPriority w:val="9"/>
    <w:unhideWhenUsed/>
    <w:qFormat/>
    <w:rsid w:val="00390F9A"/>
    <w:pPr>
      <w:spacing w:after="480" w:line="240" w:lineRule="auto"/>
      <w:outlineLvl w:val="1"/>
    </w:pPr>
    <w:rPr>
      <w:color w:val="173F35" w:themeColor="accent1"/>
      <w:sz w:val="48"/>
      <w:szCs w:val="48"/>
    </w:rPr>
  </w:style>
  <w:style w:type="paragraph" w:styleId="Heading3">
    <w:name w:val="heading 3"/>
    <w:basedOn w:val="Title"/>
    <w:next w:val="Normal"/>
    <w:link w:val="Heading3Char"/>
    <w:uiPriority w:val="9"/>
    <w:unhideWhenUsed/>
    <w:qFormat/>
    <w:rsid w:val="00C279D9"/>
    <w:pPr>
      <w:outlineLvl w:val="2"/>
    </w:pPr>
    <w:rPr>
      <w:b w:val="0"/>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C279D9"/>
    <w:rPr>
      <w:rFonts w:ascii="Verdana" w:hAnsi="Verdana"/>
      <w:bCs/>
      <w:color w:val="173F35" w:themeColor="accent1"/>
      <w:sz w:val="68"/>
      <w:szCs w:val="68"/>
    </w:rPr>
  </w:style>
  <w:style w:type="character" w:styleId="Strong">
    <w:name w:val="Strong"/>
    <w:aliases w:val="IntroCopy"/>
    <w:uiPriority w:val="22"/>
    <w:rsid w:val="00571BDC"/>
    <w:rPr>
      <w:color w:val="173F35" w:themeColor="accent1"/>
      <w:sz w:val="32"/>
      <w:szCs w:val="32"/>
      <w:lang w:val="pt-PT"/>
    </w:rPr>
  </w:style>
  <w:style w:type="paragraph" w:styleId="Title">
    <w:name w:val="Title"/>
    <w:aliases w:val="SubHeader1"/>
    <w:basedOn w:val="Normal"/>
    <w:next w:val="Normal"/>
    <w:link w:val="TitleChar"/>
    <w:uiPriority w:val="10"/>
    <w:qFormat/>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390F9A"/>
    <w:rPr>
      <w:rFonts w:ascii="Verdana" w:hAnsi="Verdana"/>
      <w:color w:val="173F35" w:themeColor="accent1"/>
      <w:sz w:val="48"/>
      <w:szCs w:val="48"/>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ind w:left="1004" w:hanging="284"/>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173F35" w:themeColor="accent1"/>
      <w:sz w:val="28"/>
      <w:szCs w:val="28"/>
    </w:rPr>
  </w:style>
  <w:style w:type="character" w:customStyle="1" w:styleId="QuoteChar">
    <w:name w:val="Quote Char"/>
    <w:basedOn w:val="DefaultParagraphFont"/>
    <w:link w:val="Quote"/>
    <w:uiPriority w:val="29"/>
    <w:rsid w:val="00FC1ABB"/>
    <w:rPr>
      <w:rFonts w:ascii="Verdana" w:hAnsi="Verdana"/>
      <w:color w:val="173F35" w:themeColor="accent1"/>
      <w:sz w:val="28"/>
      <w:szCs w:val="28"/>
    </w:rPr>
  </w:style>
  <w:style w:type="paragraph" w:customStyle="1" w:styleId="QuoteSource">
    <w:name w:val="QuoteSource"/>
    <w:basedOn w:val="Normal"/>
    <w:qFormat/>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173F35"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173F35"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1E988A" w:themeFill="accent4"/>
    </w:pPr>
    <w:rPr>
      <w:b/>
      <w:sz w:val="22"/>
    </w:rPr>
  </w:style>
  <w:style w:type="paragraph" w:customStyle="1" w:styleId="IntroCopy">
    <w:name w:val="Intro Copy"/>
    <w:basedOn w:val="Normal"/>
    <w:link w:val="IntroCopyChar"/>
    <w:rsid w:val="00571BDC"/>
    <w:pPr>
      <w:spacing w:line="420" w:lineRule="exact"/>
    </w:pPr>
    <w:rPr>
      <w:color w:val="173F35" w:themeColor="accent1"/>
      <w:sz w:val="32"/>
      <w:szCs w:val="32"/>
    </w:rPr>
  </w:style>
  <w:style w:type="character" w:customStyle="1" w:styleId="IntroCopyChar">
    <w:name w:val="Intro Copy Char"/>
    <w:basedOn w:val="DefaultParagraphFont"/>
    <w:link w:val="IntroCopy"/>
    <w:rsid w:val="00571BDC"/>
    <w:rPr>
      <w:rFonts w:ascii="Verdana" w:hAnsi="Verdana"/>
      <w:color w:val="173F35" w:themeColor="accent1"/>
      <w:sz w:val="32"/>
      <w:szCs w:val="32"/>
    </w:rPr>
  </w:style>
  <w:style w:type="paragraph" w:customStyle="1" w:styleId="CoverPageHeader">
    <w:name w:val="CoverPage Header"/>
    <w:basedOn w:val="Title"/>
    <w:rsid w:val="00F45A2B"/>
    <w:pPr>
      <w:spacing w:after="480" w:line="240" w:lineRule="auto"/>
    </w:pPr>
    <w:rPr>
      <w:color w:val="173F35"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C279D9"/>
    <w:rPr>
      <w:rFonts w:ascii="Verdana" w:hAnsi="Verdana"/>
      <w:bCs/>
      <w:color w:val="000000" w:themeColor="text1"/>
      <w:sz w:val="32"/>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semiHidden/>
    <w:unhideWhenUsed/>
    <w:rsid w:val="00C279D9"/>
    <w:pPr>
      <w:spacing w:line="240" w:lineRule="auto"/>
    </w:pPr>
  </w:style>
  <w:style w:type="character" w:customStyle="1" w:styleId="CommentTextChar">
    <w:name w:val="Comment Text Char"/>
    <w:basedOn w:val="DefaultParagraphFont"/>
    <w:link w:val="CommentText"/>
    <w:uiPriority w:val="99"/>
    <w:semiHidden/>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character" w:styleId="FollowedHyperlink">
    <w:name w:val="FollowedHyperlink"/>
    <w:basedOn w:val="DefaultParagraphFont"/>
    <w:uiPriority w:val="99"/>
    <w:semiHidden/>
    <w:unhideWhenUsed/>
    <w:rsid w:val="00D86523"/>
    <w:rPr>
      <w:color w:val="173F35" w:themeColor="followedHyperlink"/>
      <w:u w:val="single"/>
    </w:rPr>
  </w:style>
  <w:style w:type="paragraph" w:styleId="Subtitle">
    <w:name w:val="Subtitle"/>
    <w:basedOn w:val="Normal"/>
    <w:next w:val="Normal"/>
    <w:link w:val="SubtitleChar"/>
    <w:uiPriority w:val="11"/>
    <w:qFormat/>
    <w:rsid w:val="004370A3"/>
    <w:pPr>
      <w:spacing w:before="0" w:after="60" w:line="252" w:lineRule="auto"/>
      <w:ind w:right="1700"/>
    </w:pPr>
    <w:rPr>
      <w:rFonts w:asciiTheme="minorHAnsi" w:eastAsiaTheme="minorEastAsia" w:hAnsiTheme="minorHAnsi"/>
      <w:color w:val="FFFFFF" w:themeColor="background1"/>
      <w:sz w:val="26"/>
      <w:szCs w:val="26"/>
      <w:lang w:eastAsia="zh-CN"/>
    </w:rPr>
  </w:style>
  <w:style w:type="character" w:customStyle="1" w:styleId="SubtitleChar">
    <w:name w:val="Subtitle Char"/>
    <w:basedOn w:val="DefaultParagraphFont"/>
    <w:link w:val="Subtitle"/>
    <w:uiPriority w:val="11"/>
    <w:rsid w:val="004370A3"/>
    <w:rPr>
      <w:rFonts w:eastAsiaTheme="minorEastAsia"/>
      <w:color w:val="FFFFFF" w:themeColor="background1"/>
      <w:sz w:val="26"/>
      <w:szCs w:val="26"/>
      <w:lang w:eastAsia="zh-CN"/>
    </w:rPr>
  </w:style>
  <w:style w:type="paragraph" w:customStyle="1" w:styleId="Spacer-cover">
    <w:name w:val="Spacer - cover"/>
    <w:basedOn w:val="Normal"/>
    <w:rsid w:val="004370A3"/>
    <w:pPr>
      <w:spacing w:before="0" w:after="1060" w:line="252" w:lineRule="auto"/>
    </w:pPr>
    <w:rPr>
      <w:rFonts w:asciiTheme="minorHAnsi" w:eastAsiaTheme="minorEastAsia" w:hAnsiTheme="minorHAnsi"/>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Brand Australia_Word">
      <a:dk1>
        <a:srgbClr val="000000"/>
      </a:dk1>
      <a:lt1>
        <a:sysClr val="window" lastClr="FFFFFF"/>
      </a:lt1>
      <a:dk2>
        <a:srgbClr val="AEA99A"/>
      </a:dk2>
      <a:lt2>
        <a:srgbClr val="D8CC98"/>
      </a:lt2>
      <a:accent1>
        <a:srgbClr val="173F35"/>
      </a:accent1>
      <a:accent2>
        <a:srgbClr val="002316"/>
      </a:accent2>
      <a:accent3>
        <a:srgbClr val="216644"/>
      </a:accent3>
      <a:accent4>
        <a:srgbClr val="1E988A"/>
      </a:accent4>
      <a:accent5>
        <a:srgbClr val="CEB888"/>
      </a:accent5>
      <a:accent6>
        <a:srgbClr val="AA2C1C"/>
      </a:accent6>
      <a:hlink>
        <a:srgbClr val="173F35"/>
      </a:hlink>
      <a:folHlink>
        <a:srgbClr val="173F3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976467FC898D7945B95D3EE9111C463D" ma:contentTypeVersion="43" ma:contentTypeDescription="" ma:contentTypeScope="" ma:versionID="fc7cbaeba4bcf88d08216e7a5b1d3439">
  <xsd:schema xmlns:xsd="http://www.w3.org/2001/XMLSchema" xmlns:xs="http://www.w3.org/2001/XMLSchema" xmlns:p="http://schemas.microsoft.com/office/2006/metadata/properties" xmlns:ns2="2124141f-bf93-4eca-8662-34a4511e35c8" xmlns:ns3="c6215fba-df62-4d66-b0b8-48fe9a1fd12f" xmlns:ns4="29ff9cd8-bf2e-4523-8fd5-254dd68a43c6" targetNamespace="http://schemas.microsoft.com/office/2006/metadata/properties" ma:root="true" ma:fieldsID="c65ba3c22fa0c2d7179be4b2d14673a9" ns2:_="" ns3:_="" ns4:_="">
    <xsd:import namespace="2124141f-bf93-4eca-8662-34a4511e35c8"/>
    <xsd:import namespace="c6215fba-df62-4d66-b0b8-48fe9a1fd12f"/>
    <xsd:import namespace="29ff9cd8-bf2e-4523-8fd5-254dd68a43c6"/>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3:Project"/>
                <xsd:element ref="ns3:Product"/>
                <xsd:element ref="ns3:Subject_x0020_matter_x0020_expert" minOccurs="0"/>
                <xsd:element ref="ns3:EL2_x0020_validato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26f64b0-2248-4865-bfbc-6e6cbd80c93c}" ma:internalName="TaxCatchAll" ma:showField="CatchAllData" ma:web="29ff9cd8-bf2e-4523-8fd5-254dd68a43c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26f64b0-2248-4865-bfbc-6e6cbd80c93c}" ma:internalName="TaxCatchAllLabel" ma:readOnly="true" ma:showField="CatchAllDataLabel" ma:web="29ff9cd8-bf2e-4523-8fd5-254dd68a43c6">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215fba-df62-4d66-b0b8-48fe9a1fd12f" elementFormDefault="qualified">
    <xsd:import namespace="http://schemas.microsoft.com/office/2006/documentManagement/types"/>
    <xsd:import namespace="http://schemas.microsoft.com/office/infopath/2007/PartnerControls"/>
    <xsd:element name="Project" ma:index="15" ma:displayName="Product" ma:format="Dropdown" ma:internalName="Project">
      <xsd:simpleType>
        <xsd:union memberTypes="dms:Text">
          <xsd:simpleType>
            <xsd:restriction base="dms:Choice">
              <xsd:enumeration value="AustradeGovAu"/>
              <xsd:enumeration value="CMS"/>
              <xsd:enumeration value="EMP"/>
              <xsd:enumeration value="Governance"/>
              <xsd:enumeration value="Team admin"/>
              <xsd:enumeration value="TRA"/>
            </xsd:restriction>
          </xsd:simpleType>
        </xsd:union>
      </xsd:simpleType>
    </xsd:element>
    <xsd:element name="Product" ma:index="16" ma:displayName="Content" ma:description="Choose the relevant product" ma:format="Dropdown" ma:internalName="Product">
      <xsd:simpleType>
        <xsd:restriction base="dms:Choice">
          <xsd:enumeration value="About us"/>
          <xsd:enumeration value="AGA FAQs"/>
          <xsd:enumeration value="Articles"/>
          <xsd:enumeration value="Benchmark report"/>
          <xsd:enumeration value="Buy from Australia"/>
          <xsd:enumeration value="Content management"/>
          <xsd:enumeration value="Exporting to India"/>
          <xsd:enumeration value="Governance"/>
          <xsd:enumeration value="Grants"/>
          <xsd:enumeration value="Invest in Australia"/>
          <xsd:enumeration value="Landing pads"/>
          <xsd:enumeration value="IVS quarterly"/>
          <xsd:enumeration value="NVS monthly snapshot"/>
          <xsd:enumeration value="NVS quarterly"/>
          <xsd:enumeration value="Schedule"/>
          <xsd:enumeration value="Selling online overseas"/>
          <xsd:enumeration value="Services page"/>
          <xsd:enumeration value="State of the industry"/>
          <xsd:enumeration value="Team processes"/>
          <xsd:enumeration value="Template"/>
          <xsd:enumeration value="Tourism businesses"/>
          <xsd:enumeration value="Tourism satellite account"/>
          <xsd:enumeration value="Tourism scenarios"/>
          <xsd:enumeration value="User research"/>
          <xsd:enumeration value="Visitor economy"/>
        </xsd:restriction>
      </xsd:simpleType>
    </xsd:element>
    <xsd:element name="Subject_x0020_matter_x0020_expert" ma:index="17" nillable="true" ma:displayName="Subject matter expert" ma:list="UserInfo" ma:SharePointGroup="0" ma:internalName="Subject_x0020_matter_x0020_exper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L2_x0020_validator" ma:index="18" nillable="true" ma:displayName="EL2 validator" ma:list="UserInfo" ma:SharePointGroup="0" ma:internalName="EL2_x0020_valid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ff9cd8-bf2e-4523-8fd5-254dd68a43c6"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duct xmlns="c6215fba-df62-4d66-b0b8-48fe9a1fd12f">Template</Product>
    <nf7721a2bf6741678a34670e75d66499 xmlns="2124141f-bf93-4eca-8662-34a4511e35c8">
      <Terms xmlns="http://schemas.microsoft.com/office/infopath/2007/PartnerControls"/>
    </nf7721a2bf6741678a34670e75d66499>
    <Operational-Site-Doc-URL xmlns="2124141f-bf93-4eca-8662-34a4511e35c8" xsi:nil="true"/>
    <Project xmlns="c6215fba-df62-4d66-b0b8-48fe9a1fd12f">AustradeGovAu</Project>
    <Tradestart-Access xmlns="2124141f-bf93-4eca-8662-34a4511e35c8">false</Tradestart-Access>
    <TaxCatchAll xmlns="2124141f-bf93-4eca-8662-34a4511e35c8"/>
    <Operational-Doc-Desc xmlns="2124141f-bf93-4eca-8662-34a4511e35c8" xsi:nil="true"/>
    <_dlc_DocId xmlns="29ff9cd8-bf2e-4523-8fd5-254dd68a43c6">HUB01-2142452017-267</_dlc_DocId>
    <_dlc_DocIdUrl xmlns="29ff9cd8-bf2e-4523-8fd5-254dd68a43c6">
      <Url>http://thehub/ws/ao/cm/_layouts/15/DocIdRedir.aspx?ID=HUB01-2142452017-267</Url>
      <Description>HUB01-2142452017-267</Description>
    </_dlc_DocIdUrl>
    <Subject_x0020_matter_x0020_expert xmlns="c6215fba-df62-4d66-b0b8-48fe9a1fd12f">
      <UserInfo>
        <DisplayName/>
        <AccountId xsi:nil="true"/>
        <AccountType/>
      </UserInfo>
    </Subject_x0020_matter_x0020_expert>
    <EL2_x0020_validator xmlns="c6215fba-df62-4d66-b0b8-48fe9a1fd12f">
      <UserInfo>
        <DisplayName/>
        <AccountId xsi:nil="true"/>
        <AccountType/>
      </UserInfo>
    </EL2_x0020_validato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66d92cf1-08e1-41e5-92d3-0cdcdb1e2433" ContentTypeId="0x01010004862C10171BD149BCA86DC4F354848008" PreviousValue="false"/>
</file>

<file path=customXml/itemProps1.xml><?xml version="1.0" encoding="utf-8"?>
<ds:datastoreItem xmlns:ds="http://schemas.openxmlformats.org/officeDocument/2006/customXml" ds:itemID="{B2B1626E-3450-4621-ADAA-A5D45E83D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c6215fba-df62-4d66-b0b8-48fe9a1fd12f"/>
    <ds:schemaRef ds:uri="29ff9cd8-bf2e-4523-8fd5-254dd68a4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c6215fba-df62-4d66-b0b8-48fe9a1fd12f"/>
    <ds:schemaRef ds:uri="2124141f-bf93-4eca-8662-34a4511e35c8"/>
    <ds:schemaRef ds:uri="29ff9cd8-bf2e-4523-8fd5-254dd68a43c6"/>
  </ds:schemaRefs>
</ds:datastoreItem>
</file>

<file path=customXml/itemProps3.xml><?xml version="1.0" encoding="utf-8"?>
<ds:datastoreItem xmlns:ds="http://schemas.openxmlformats.org/officeDocument/2006/customXml" ds:itemID="{3312B97D-E3A9-497F-ABBB-2DC0EE111CF8}">
  <ds:schemaRefs>
    <ds:schemaRef ds:uri="http://schemas.openxmlformats.org/officeDocument/2006/bibliography"/>
  </ds:schemaRefs>
</ds:datastoreItem>
</file>

<file path=customXml/itemProps4.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5.xml><?xml version="1.0" encoding="utf-8"?>
<ds:datastoreItem xmlns:ds="http://schemas.openxmlformats.org/officeDocument/2006/customXml" ds:itemID="{00189CA5-7BBF-457D-BDE5-3EDFAFC8EABE}">
  <ds:schemaRefs>
    <ds:schemaRef ds:uri="http://schemas.microsoft.com/sharepoint/events"/>
  </ds:schemaRefs>
</ds:datastoreItem>
</file>

<file path=customXml/itemProps6.xml><?xml version="1.0" encoding="utf-8"?>
<ds:datastoreItem xmlns:ds="http://schemas.openxmlformats.org/officeDocument/2006/customXml" ds:itemID="{C6AF7610-FA67-401E-A5DC-36498E152A6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2022-06-22T02:09:00Z</dcterms:created>
  <dcterms:modified xsi:type="dcterms:W3CDTF">2022-06-22T02:09:00Z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0x01010004862C10171BD149BCA86DC4F35484800800976467FC898D7945B95D3EE9111C463D</vt:lpwstr>
  </property>
  <property fmtid="{D5CDD505-2E9C-101B-9397-08002B2CF9AE}" pid="3" name="_dlc_DocIdItemGuid">
    <vt:lpwstr>88b9502c-3f8a-4026-8045-1aaba0925f53</vt:lpwstr>
  </property>
  <property fmtid="{D5CDD505-2E9C-101B-9397-08002B2CF9AE}" pid="4" name="Protective Markings">
    <vt:lpwstr/>
  </property>
</Properties>
</file>