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90890699" w:displacedByCustomXml="next"/>
    <w:bookmarkStart w:id="1" w:name="_Toc90889652" w:displacedByCustomXml="next"/>
    <w:sdt>
      <w:sdtPr>
        <w:rPr>
          <w:bCs w:val="0"/>
          <w:color w:val="000000" w:themeColor="text1"/>
          <w:sz w:val="20"/>
          <w:szCs w:val="20"/>
        </w:rPr>
        <w:id w:val="-1649280474"/>
        <w:docPartObj>
          <w:docPartGallery w:val="Cover Pages"/>
          <w:docPartUnique/>
        </w:docPartObj>
      </w:sdtPr>
      <w:sdtEndPr>
        <w:rPr>
          <w:b/>
          <w:bCs/>
          <w:color w:val="173F35" w:themeColor="accent1"/>
          <w:sz w:val="68"/>
          <w:szCs w:val="68"/>
        </w:rPr>
      </w:sdtEndPr>
      <w:sdtContent>
        <w:p w14:paraId="039E8D43" w14:textId="0726A72F" w:rsidR="00C9628B" w:rsidRPr="008F53B2" w:rsidRDefault="00CE58C0" w:rsidP="00C9628B">
          <w:pPr>
            <w:pStyle w:val="Heading1"/>
          </w:pPr>
          <w:r w:rsidRPr="00FB606A">
            <w:rPr>
              <w:rStyle w:val="Heading2Char"/>
              <w:noProof/>
              <w:lang w:eastAsia="en-AU"/>
            </w:rPr>
            <w:drawing>
              <wp:anchor distT="0" distB="0" distL="114300" distR="114300" simplePos="0" relativeHeight="251659264" behindDoc="0" locked="0" layoutInCell="1" allowOverlap="1" wp14:anchorId="3CB273E4" wp14:editId="2FD0215B">
                <wp:simplePos x="0" y="0"/>
                <wp:positionH relativeFrom="margin">
                  <wp:align>center</wp:align>
                </wp:positionH>
                <wp:positionV relativeFrom="paragraph">
                  <wp:posOffset>-1178560</wp:posOffset>
                </wp:positionV>
                <wp:extent cx="7533640" cy="1306195"/>
                <wp:effectExtent l="0" t="0" r="0" b="0"/>
                <wp:wrapNone/>
                <wp:docPr id="301" name="Picture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3640" cy="1306195"/>
                        </a:xfrm>
                        <a:prstGeom prst="rect">
                          <a:avLst/>
                        </a:prstGeom>
                      </pic:spPr>
                    </pic:pic>
                  </a:graphicData>
                </a:graphic>
                <wp14:sizeRelH relativeFrom="margin">
                  <wp14:pctWidth>0</wp14:pctWidth>
                </wp14:sizeRelH>
                <wp14:sizeRelV relativeFrom="margin">
                  <wp14:pctHeight>0</wp14:pctHeight>
                </wp14:sizeRelV>
              </wp:anchor>
            </w:drawing>
          </w:r>
          <w:r w:rsidR="002940D7" w:rsidRPr="00FB606A">
            <w:rPr>
              <w:rStyle w:val="Heading2Char"/>
              <w:noProof/>
              <w:lang w:eastAsia="en-AU"/>
            </w:rPr>
            <w:drawing>
              <wp:anchor distT="0" distB="0" distL="114300" distR="114300" simplePos="0" relativeHeight="251660288" behindDoc="0" locked="0" layoutInCell="1" allowOverlap="1" wp14:anchorId="293817E8" wp14:editId="6D75E413">
                <wp:simplePos x="0" y="0"/>
                <wp:positionH relativeFrom="margin">
                  <wp:posOffset>-308610</wp:posOffset>
                </wp:positionH>
                <wp:positionV relativeFrom="paragraph">
                  <wp:posOffset>-945515</wp:posOffset>
                </wp:positionV>
                <wp:extent cx="2857500" cy="82359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28B">
            <w:t>The 2021 Australian artificial intelligence export survey</w:t>
          </w:r>
        </w:p>
      </w:sdtContent>
    </w:sdt>
    <w:bookmarkEnd w:id="0" w:displacedByCustomXml="prev"/>
    <w:bookmarkEnd w:id="1" w:displacedByCustomXml="prev"/>
    <w:p w14:paraId="33F27E42" w14:textId="5E7C4162" w:rsidR="00817A0A" w:rsidRDefault="00817A0A" w:rsidP="00817A0A">
      <w:pPr>
        <w:rPr>
          <w:lang w:eastAsia="en-AU"/>
        </w:rPr>
      </w:pPr>
    </w:p>
    <w:bookmarkStart w:id="2" w:name="_Toc90889654" w:displacedByCustomXml="next"/>
    <w:bookmarkStart w:id="3" w:name="_Toc90890700" w:displacedByCustomXml="next"/>
    <w:sdt>
      <w:sdtPr>
        <w:rPr>
          <w:color w:val="000000" w:themeColor="text1"/>
          <w:sz w:val="20"/>
          <w:szCs w:val="20"/>
        </w:rPr>
        <w:id w:val="463776780"/>
        <w:docPartObj>
          <w:docPartGallery w:val="Table of Contents"/>
          <w:docPartUnique/>
        </w:docPartObj>
      </w:sdtPr>
      <w:sdtEndPr>
        <w:rPr>
          <w:b/>
          <w:bCs/>
          <w:noProof/>
        </w:rPr>
      </w:sdtEndPr>
      <w:sdtContent>
        <w:p w14:paraId="7AA7FA68" w14:textId="15C14EA3" w:rsidR="00C14A82" w:rsidRDefault="00C14A82" w:rsidP="00817A0A">
          <w:pPr>
            <w:pStyle w:val="Heading2"/>
          </w:pPr>
          <w:r>
            <w:t>Contents</w:t>
          </w:r>
          <w:bookmarkEnd w:id="3"/>
          <w:bookmarkEnd w:id="2"/>
        </w:p>
        <w:p w14:paraId="55451263" w14:textId="43338EBE" w:rsidR="00721698" w:rsidRDefault="00C14A82">
          <w:pPr>
            <w:pStyle w:val="TOC1"/>
            <w:tabs>
              <w:tab w:val="right" w:leader="dot" w:pos="9958"/>
            </w:tabs>
            <w:rPr>
              <w:rFonts w:asciiTheme="minorHAnsi" w:eastAsiaTheme="minorEastAsia" w:hAnsiTheme="minorHAnsi"/>
              <w:noProof/>
              <w:color w:val="auto"/>
              <w:sz w:val="22"/>
              <w:szCs w:val="22"/>
              <w:lang w:eastAsia="en-AU"/>
            </w:rPr>
          </w:pPr>
          <w:r>
            <w:fldChar w:fldCharType="begin"/>
          </w:r>
          <w:r>
            <w:instrText xml:space="preserve"> TOC \o "1-2" \h \z \u </w:instrText>
          </w:r>
          <w:r>
            <w:fldChar w:fldCharType="separate"/>
          </w:r>
          <w:hyperlink w:anchor="_Toc90890699" w:history="1">
            <w:r w:rsidR="00721698" w:rsidRPr="005D699B">
              <w:rPr>
                <w:rStyle w:val="Hyperlink"/>
                <w:noProof/>
              </w:rPr>
              <w:t>The 2021 Australian artificial intelligence export survey</w:t>
            </w:r>
            <w:r w:rsidR="00721698">
              <w:rPr>
                <w:noProof/>
                <w:webHidden/>
              </w:rPr>
              <w:tab/>
            </w:r>
            <w:r w:rsidR="00721698">
              <w:rPr>
                <w:noProof/>
                <w:webHidden/>
              </w:rPr>
              <w:fldChar w:fldCharType="begin"/>
            </w:r>
            <w:r w:rsidR="00721698">
              <w:rPr>
                <w:noProof/>
                <w:webHidden/>
              </w:rPr>
              <w:instrText xml:space="preserve"> PAGEREF _Toc90890699 \h </w:instrText>
            </w:r>
            <w:r w:rsidR="00721698">
              <w:rPr>
                <w:noProof/>
                <w:webHidden/>
              </w:rPr>
            </w:r>
            <w:r w:rsidR="00721698">
              <w:rPr>
                <w:noProof/>
                <w:webHidden/>
              </w:rPr>
              <w:fldChar w:fldCharType="separate"/>
            </w:r>
            <w:r w:rsidR="00721698">
              <w:rPr>
                <w:noProof/>
                <w:webHidden/>
              </w:rPr>
              <w:t>1</w:t>
            </w:r>
            <w:r w:rsidR="00721698">
              <w:rPr>
                <w:noProof/>
                <w:webHidden/>
              </w:rPr>
              <w:fldChar w:fldCharType="end"/>
            </w:r>
          </w:hyperlink>
        </w:p>
        <w:p w14:paraId="55DF5108" w14:textId="46C2BBE6" w:rsidR="00721698" w:rsidRDefault="00E0040D">
          <w:pPr>
            <w:pStyle w:val="TOC2"/>
            <w:tabs>
              <w:tab w:val="right" w:leader="dot" w:pos="9958"/>
            </w:tabs>
            <w:rPr>
              <w:rFonts w:asciiTheme="minorHAnsi" w:eastAsiaTheme="minorEastAsia" w:hAnsiTheme="minorHAnsi"/>
              <w:noProof/>
              <w:color w:val="auto"/>
              <w:sz w:val="22"/>
              <w:szCs w:val="22"/>
              <w:lang w:eastAsia="en-AU"/>
            </w:rPr>
          </w:pPr>
          <w:hyperlink w:anchor="_Toc90890700" w:history="1">
            <w:r w:rsidR="00721698" w:rsidRPr="005D699B">
              <w:rPr>
                <w:rStyle w:val="Hyperlink"/>
                <w:noProof/>
              </w:rPr>
              <w:t>Contents</w:t>
            </w:r>
            <w:r w:rsidR="00721698">
              <w:rPr>
                <w:noProof/>
                <w:webHidden/>
              </w:rPr>
              <w:tab/>
            </w:r>
            <w:r w:rsidR="00721698">
              <w:rPr>
                <w:noProof/>
                <w:webHidden/>
              </w:rPr>
              <w:fldChar w:fldCharType="begin"/>
            </w:r>
            <w:r w:rsidR="00721698">
              <w:rPr>
                <w:noProof/>
                <w:webHidden/>
              </w:rPr>
              <w:instrText xml:space="preserve"> PAGEREF _Toc90890700 \h </w:instrText>
            </w:r>
            <w:r w:rsidR="00721698">
              <w:rPr>
                <w:noProof/>
                <w:webHidden/>
              </w:rPr>
            </w:r>
            <w:r w:rsidR="00721698">
              <w:rPr>
                <w:noProof/>
                <w:webHidden/>
              </w:rPr>
              <w:fldChar w:fldCharType="separate"/>
            </w:r>
            <w:r w:rsidR="00721698">
              <w:rPr>
                <w:noProof/>
                <w:webHidden/>
              </w:rPr>
              <w:t>1</w:t>
            </w:r>
            <w:r w:rsidR="00721698">
              <w:rPr>
                <w:noProof/>
                <w:webHidden/>
              </w:rPr>
              <w:fldChar w:fldCharType="end"/>
            </w:r>
          </w:hyperlink>
        </w:p>
        <w:p w14:paraId="73347D6A" w14:textId="0CF9AD48" w:rsidR="00721698" w:rsidRDefault="00E0040D">
          <w:pPr>
            <w:pStyle w:val="TOC2"/>
            <w:tabs>
              <w:tab w:val="right" w:leader="dot" w:pos="9958"/>
            </w:tabs>
            <w:rPr>
              <w:rFonts w:asciiTheme="minorHAnsi" w:eastAsiaTheme="minorEastAsia" w:hAnsiTheme="minorHAnsi"/>
              <w:noProof/>
              <w:color w:val="auto"/>
              <w:sz w:val="22"/>
              <w:szCs w:val="22"/>
              <w:lang w:eastAsia="en-AU"/>
            </w:rPr>
          </w:pPr>
          <w:hyperlink w:anchor="_Toc90890701" w:history="1">
            <w:r w:rsidR="00721698" w:rsidRPr="005D699B">
              <w:rPr>
                <w:rStyle w:val="Hyperlink"/>
                <w:noProof/>
              </w:rPr>
              <w:t>Executive summary</w:t>
            </w:r>
            <w:r w:rsidR="00721698">
              <w:rPr>
                <w:noProof/>
                <w:webHidden/>
              </w:rPr>
              <w:tab/>
            </w:r>
            <w:r w:rsidR="00721698">
              <w:rPr>
                <w:noProof/>
                <w:webHidden/>
              </w:rPr>
              <w:fldChar w:fldCharType="begin"/>
            </w:r>
            <w:r w:rsidR="00721698">
              <w:rPr>
                <w:noProof/>
                <w:webHidden/>
              </w:rPr>
              <w:instrText xml:space="preserve"> PAGEREF _Toc90890701 \h </w:instrText>
            </w:r>
            <w:r w:rsidR="00721698">
              <w:rPr>
                <w:noProof/>
                <w:webHidden/>
              </w:rPr>
            </w:r>
            <w:r w:rsidR="00721698">
              <w:rPr>
                <w:noProof/>
                <w:webHidden/>
              </w:rPr>
              <w:fldChar w:fldCharType="separate"/>
            </w:r>
            <w:r w:rsidR="00721698">
              <w:rPr>
                <w:noProof/>
                <w:webHidden/>
              </w:rPr>
              <w:t>2</w:t>
            </w:r>
            <w:r w:rsidR="00721698">
              <w:rPr>
                <w:noProof/>
                <w:webHidden/>
              </w:rPr>
              <w:fldChar w:fldCharType="end"/>
            </w:r>
          </w:hyperlink>
        </w:p>
        <w:p w14:paraId="3FBC3FB9" w14:textId="7C56956A" w:rsidR="00721698" w:rsidRDefault="00E0040D">
          <w:pPr>
            <w:pStyle w:val="TOC2"/>
            <w:tabs>
              <w:tab w:val="right" w:leader="dot" w:pos="9958"/>
            </w:tabs>
            <w:rPr>
              <w:rFonts w:asciiTheme="minorHAnsi" w:eastAsiaTheme="minorEastAsia" w:hAnsiTheme="minorHAnsi"/>
              <w:noProof/>
              <w:color w:val="auto"/>
              <w:sz w:val="22"/>
              <w:szCs w:val="22"/>
              <w:lang w:eastAsia="en-AU"/>
            </w:rPr>
          </w:pPr>
          <w:hyperlink w:anchor="_Toc90890702" w:history="1">
            <w:r w:rsidR="00721698" w:rsidRPr="005D699B">
              <w:rPr>
                <w:rStyle w:val="Hyperlink"/>
                <w:noProof/>
              </w:rPr>
              <w:t>The survey</w:t>
            </w:r>
            <w:r w:rsidR="00721698">
              <w:rPr>
                <w:noProof/>
                <w:webHidden/>
              </w:rPr>
              <w:tab/>
            </w:r>
            <w:r w:rsidR="00721698">
              <w:rPr>
                <w:noProof/>
                <w:webHidden/>
              </w:rPr>
              <w:fldChar w:fldCharType="begin"/>
            </w:r>
            <w:r w:rsidR="00721698">
              <w:rPr>
                <w:noProof/>
                <w:webHidden/>
              </w:rPr>
              <w:instrText xml:space="preserve"> PAGEREF _Toc90890702 \h </w:instrText>
            </w:r>
            <w:r w:rsidR="00721698">
              <w:rPr>
                <w:noProof/>
                <w:webHidden/>
              </w:rPr>
            </w:r>
            <w:r w:rsidR="00721698">
              <w:rPr>
                <w:noProof/>
                <w:webHidden/>
              </w:rPr>
              <w:fldChar w:fldCharType="separate"/>
            </w:r>
            <w:r w:rsidR="00721698">
              <w:rPr>
                <w:noProof/>
                <w:webHidden/>
              </w:rPr>
              <w:t>3</w:t>
            </w:r>
            <w:r w:rsidR="00721698">
              <w:rPr>
                <w:noProof/>
                <w:webHidden/>
              </w:rPr>
              <w:fldChar w:fldCharType="end"/>
            </w:r>
          </w:hyperlink>
        </w:p>
        <w:p w14:paraId="33E56B8F" w14:textId="78AEABA0" w:rsidR="00721698" w:rsidRDefault="00E0040D">
          <w:pPr>
            <w:pStyle w:val="TOC2"/>
            <w:tabs>
              <w:tab w:val="right" w:leader="dot" w:pos="9958"/>
            </w:tabs>
            <w:rPr>
              <w:rFonts w:asciiTheme="minorHAnsi" w:eastAsiaTheme="minorEastAsia" w:hAnsiTheme="minorHAnsi"/>
              <w:noProof/>
              <w:color w:val="auto"/>
              <w:sz w:val="22"/>
              <w:szCs w:val="22"/>
              <w:lang w:eastAsia="en-AU"/>
            </w:rPr>
          </w:pPr>
          <w:hyperlink w:anchor="_Toc90890703" w:history="1">
            <w:r w:rsidR="00721698" w:rsidRPr="005D699B">
              <w:rPr>
                <w:rStyle w:val="Hyperlink"/>
                <w:noProof/>
              </w:rPr>
              <w:t>Exporter highlights</w:t>
            </w:r>
            <w:r w:rsidR="00721698">
              <w:rPr>
                <w:noProof/>
                <w:webHidden/>
              </w:rPr>
              <w:tab/>
            </w:r>
            <w:r w:rsidR="00721698">
              <w:rPr>
                <w:noProof/>
                <w:webHidden/>
              </w:rPr>
              <w:fldChar w:fldCharType="begin"/>
            </w:r>
            <w:r w:rsidR="00721698">
              <w:rPr>
                <w:noProof/>
                <w:webHidden/>
              </w:rPr>
              <w:instrText xml:space="preserve"> PAGEREF _Toc90890703 \h </w:instrText>
            </w:r>
            <w:r w:rsidR="00721698">
              <w:rPr>
                <w:noProof/>
                <w:webHidden/>
              </w:rPr>
            </w:r>
            <w:r w:rsidR="00721698">
              <w:rPr>
                <w:noProof/>
                <w:webHidden/>
              </w:rPr>
              <w:fldChar w:fldCharType="separate"/>
            </w:r>
            <w:r w:rsidR="00721698">
              <w:rPr>
                <w:noProof/>
                <w:webHidden/>
              </w:rPr>
              <w:t>5</w:t>
            </w:r>
            <w:r w:rsidR="00721698">
              <w:rPr>
                <w:noProof/>
                <w:webHidden/>
              </w:rPr>
              <w:fldChar w:fldCharType="end"/>
            </w:r>
          </w:hyperlink>
        </w:p>
        <w:p w14:paraId="035C0E24" w14:textId="213E8668" w:rsidR="00721698" w:rsidRDefault="00E0040D">
          <w:pPr>
            <w:pStyle w:val="TOC2"/>
            <w:tabs>
              <w:tab w:val="right" w:leader="dot" w:pos="9958"/>
            </w:tabs>
            <w:rPr>
              <w:rFonts w:asciiTheme="minorHAnsi" w:eastAsiaTheme="minorEastAsia" w:hAnsiTheme="minorHAnsi"/>
              <w:noProof/>
              <w:color w:val="auto"/>
              <w:sz w:val="22"/>
              <w:szCs w:val="22"/>
              <w:lang w:eastAsia="en-AU"/>
            </w:rPr>
          </w:pPr>
          <w:hyperlink w:anchor="_Toc90890704" w:history="1">
            <w:r w:rsidR="00721698" w:rsidRPr="005D699B">
              <w:rPr>
                <w:rStyle w:val="Hyperlink"/>
                <w:noProof/>
              </w:rPr>
              <w:t>Exporter demographics</w:t>
            </w:r>
            <w:r w:rsidR="00721698">
              <w:rPr>
                <w:noProof/>
                <w:webHidden/>
              </w:rPr>
              <w:tab/>
            </w:r>
            <w:r w:rsidR="00721698">
              <w:rPr>
                <w:noProof/>
                <w:webHidden/>
              </w:rPr>
              <w:fldChar w:fldCharType="begin"/>
            </w:r>
            <w:r w:rsidR="00721698">
              <w:rPr>
                <w:noProof/>
                <w:webHidden/>
              </w:rPr>
              <w:instrText xml:space="preserve"> PAGEREF _Toc90890704 \h </w:instrText>
            </w:r>
            <w:r w:rsidR="00721698">
              <w:rPr>
                <w:noProof/>
                <w:webHidden/>
              </w:rPr>
            </w:r>
            <w:r w:rsidR="00721698">
              <w:rPr>
                <w:noProof/>
                <w:webHidden/>
              </w:rPr>
              <w:fldChar w:fldCharType="separate"/>
            </w:r>
            <w:r w:rsidR="00721698">
              <w:rPr>
                <w:noProof/>
                <w:webHidden/>
              </w:rPr>
              <w:t>7</w:t>
            </w:r>
            <w:r w:rsidR="00721698">
              <w:rPr>
                <w:noProof/>
                <w:webHidden/>
              </w:rPr>
              <w:fldChar w:fldCharType="end"/>
            </w:r>
          </w:hyperlink>
        </w:p>
        <w:p w14:paraId="7D972F99" w14:textId="15199A2A" w:rsidR="00721698" w:rsidRDefault="00E0040D">
          <w:pPr>
            <w:pStyle w:val="TOC2"/>
            <w:tabs>
              <w:tab w:val="right" w:leader="dot" w:pos="9958"/>
            </w:tabs>
            <w:rPr>
              <w:rFonts w:asciiTheme="minorHAnsi" w:eastAsiaTheme="minorEastAsia" w:hAnsiTheme="minorHAnsi"/>
              <w:noProof/>
              <w:color w:val="auto"/>
              <w:sz w:val="22"/>
              <w:szCs w:val="22"/>
              <w:lang w:eastAsia="en-AU"/>
            </w:rPr>
          </w:pPr>
          <w:hyperlink w:anchor="_Toc90890705" w:history="1">
            <w:r w:rsidR="00721698" w:rsidRPr="005D699B">
              <w:rPr>
                <w:rStyle w:val="Hyperlink"/>
                <w:noProof/>
              </w:rPr>
              <w:t>Challenges and barriers faced by exporters</w:t>
            </w:r>
            <w:r w:rsidR="00721698">
              <w:rPr>
                <w:noProof/>
                <w:webHidden/>
              </w:rPr>
              <w:tab/>
            </w:r>
            <w:r w:rsidR="00721698">
              <w:rPr>
                <w:noProof/>
                <w:webHidden/>
              </w:rPr>
              <w:fldChar w:fldCharType="begin"/>
            </w:r>
            <w:r w:rsidR="00721698">
              <w:rPr>
                <w:noProof/>
                <w:webHidden/>
              </w:rPr>
              <w:instrText xml:space="preserve"> PAGEREF _Toc90890705 \h </w:instrText>
            </w:r>
            <w:r w:rsidR="00721698">
              <w:rPr>
                <w:noProof/>
                <w:webHidden/>
              </w:rPr>
            </w:r>
            <w:r w:rsidR="00721698">
              <w:rPr>
                <w:noProof/>
                <w:webHidden/>
              </w:rPr>
              <w:fldChar w:fldCharType="separate"/>
            </w:r>
            <w:r w:rsidR="00721698">
              <w:rPr>
                <w:noProof/>
                <w:webHidden/>
              </w:rPr>
              <w:t>8</w:t>
            </w:r>
            <w:r w:rsidR="00721698">
              <w:rPr>
                <w:noProof/>
                <w:webHidden/>
              </w:rPr>
              <w:fldChar w:fldCharType="end"/>
            </w:r>
          </w:hyperlink>
        </w:p>
        <w:p w14:paraId="2C0A0D73" w14:textId="7C4A4C10" w:rsidR="00721698" w:rsidRDefault="00E0040D">
          <w:pPr>
            <w:pStyle w:val="TOC2"/>
            <w:tabs>
              <w:tab w:val="right" w:leader="dot" w:pos="9958"/>
            </w:tabs>
            <w:rPr>
              <w:rFonts w:asciiTheme="minorHAnsi" w:eastAsiaTheme="minorEastAsia" w:hAnsiTheme="minorHAnsi"/>
              <w:noProof/>
              <w:color w:val="auto"/>
              <w:sz w:val="22"/>
              <w:szCs w:val="22"/>
              <w:lang w:eastAsia="en-AU"/>
            </w:rPr>
          </w:pPr>
          <w:hyperlink w:anchor="_Toc90890706" w:history="1">
            <w:r w:rsidR="00721698" w:rsidRPr="005D699B">
              <w:rPr>
                <w:rStyle w:val="Hyperlink"/>
                <w:noProof/>
              </w:rPr>
              <w:t>Challenges and barriers faced by non-exporters</w:t>
            </w:r>
            <w:r w:rsidR="00721698">
              <w:rPr>
                <w:noProof/>
                <w:webHidden/>
              </w:rPr>
              <w:tab/>
            </w:r>
            <w:r w:rsidR="00721698">
              <w:rPr>
                <w:noProof/>
                <w:webHidden/>
              </w:rPr>
              <w:fldChar w:fldCharType="begin"/>
            </w:r>
            <w:r w:rsidR="00721698">
              <w:rPr>
                <w:noProof/>
                <w:webHidden/>
              </w:rPr>
              <w:instrText xml:space="preserve"> PAGEREF _Toc90890706 \h </w:instrText>
            </w:r>
            <w:r w:rsidR="00721698">
              <w:rPr>
                <w:noProof/>
                <w:webHidden/>
              </w:rPr>
            </w:r>
            <w:r w:rsidR="00721698">
              <w:rPr>
                <w:noProof/>
                <w:webHidden/>
              </w:rPr>
              <w:fldChar w:fldCharType="separate"/>
            </w:r>
            <w:r w:rsidR="00721698">
              <w:rPr>
                <w:noProof/>
                <w:webHidden/>
              </w:rPr>
              <w:t>8</w:t>
            </w:r>
            <w:r w:rsidR="00721698">
              <w:rPr>
                <w:noProof/>
                <w:webHidden/>
              </w:rPr>
              <w:fldChar w:fldCharType="end"/>
            </w:r>
          </w:hyperlink>
        </w:p>
        <w:p w14:paraId="18B2BAD7" w14:textId="0D5D9B1F" w:rsidR="00721698" w:rsidRDefault="00E0040D">
          <w:pPr>
            <w:pStyle w:val="TOC2"/>
            <w:tabs>
              <w:tab w:val="right" w:leader="dot" w:pos="9958"/>
            </w:tabs>
            <w:rPr>
              <w:rFonts w:asciiTheme="minorHAnsi" w:eastAsiaTheme="minorEastAsia" w:hAnsiTheme="minorHAnsi"/>
              <w:noProof/>
              <w:color w:val="auto"/>
              <w:sz w:val="22"/>
              <w:szCs w:val="22"/>
              <w:lang w:eastAsia="en-AU"/>
            </w:rPr>
          </w:pPr>
          <w:hyperlink w:anchor="_Toc90890707" w:history="1">
            <w:r w:rsidR="00721698" w:rsidRPr="005D699B">
              <w:rPr>
                <w:rStyle w:val="Hyperlink"/>
                <w:noProof/>
              </w:rPr>
              <w:t>A bright outlook</w:t>
            </w:r>
            <w:r w:rsidR="00721698">
              <w:rPr>
                <w:noProof/>
                <w:webHidden/>
              </w:rPr>
              <w:tab/>
            </w:r>
            <w:r w:rsidR="00721698">
              <w:rPr>
                <w:noProof/>
                <w:webHidden/>
              </w:rPr>
              <w:fldChar w:fldCharType="begin"/>
            </w:r>
            <w:r w:rsidR="00721698">
              <w:rPr>
                <w:noProof/>
                <w:webHidden/>
              </w:rPr>
              <w:instrText xml:space="preserve"> PAGEREF _Toc90890707 \h </w:instrText>
            </w:r>
            <w:r w:rsidR="00721698">
              <w:rPr>
                <w:noProof/>
                <w:webHidden/>
              </w:rPr>
            </w:r>
            <w:r w:rsidR="00721698">
              <w:rPr>
                <w:noProof/>
                <w:webHidden/>
              </w:rPr>
              <w:fldChar w:fldCharType="separate"/>
            </w:r>
            <w:r w:rsidR="00721698">
              <w:rPr>
                <w:noProof/>
                <w:webHidden/>
              </w:rPr>
              <w:t>9</w:t>
            </w:r>
            <w:r w:rsidR="00721698">
              <w:rPr>
                <w:noProof/>
                <w:webHidden/>
              </w:rPr>
              <w:fldChar w:fldCharType="end"/>
            </w:r>
          </w:hyperlink>
        </w:p>
        <w:p w14:paraId="1BB67737" w14:textId="2A39FA3B" w:rsidR="00721698" w:rsidRDefault="00E0040D">
          <w:pPr>
            <w:pStyle w:val="TOC2"/>
            <w:tabs>
              <w:tab w:val="right" w:leader="dot" w:pos="9958"/>
            </w:tabs>
            <w:rPr>
              <w:rFonts w:asciiTheme="minorHAnsi" w:eastAsiaTheme="minorEastAsia" w:hAnsiTheme="minorHAnsi"/>
              <w:noProof/>
              <w:color w:val="auto"/>
              <w:sz w:val="22"/>
              <w:szCs w:val="22"/>
              <w:lang w:eastAsia="en-AU"/>
            </w:rPr>
          </w:pPr>
          <w:hyperlink w:anchor="_Toc90890708" w:history="1">
            <w:r w:rsidR="00721698" w:rsidRPr="005D699B">
              <w:rPr>
                <w:rStyle w:val="Hyperlink"/>
                <w:noProof/>
                <w:lang w:eastAsia="en-AU"/>
              </w:rPr>
              <w:t>Publication</w:t>
            </w:r>
            <w:r w:rsidR="00721698">
              <w:rPr>
                <w:noProof/>
                <w:webHidden/>
              </w:rPr>
              <w:tab/>
            </w:r>
            <w:r w:rsidR="00721698">
              <w:rPr>
                <w:noProof/>
                <w:webHidden/>
              </w:rPr>
              <w:fldChar w:fldCharType="begin"/>
            </w:r>
            <w:r w:rsidR="00721698">
              <w:rPr>
                <w:noProof/>
                <w:webHidden/>
              </w:rPr>
              <w:instrText xml:space="preserve"> PAGEREF _Toc90890708 \h </w:instrText>
            </w:r>
            <w:r w:rsidR="00721698">
              <w:rPr>
                <w:noProof/>
                <w:webHidden/>
              </w:rPr>
            </w:r>
            <w:r w:rsidR="00721698">
              <w:rPr>
                <w:noProof/>
                <w:webHidden/>
              </w:rPr>
              <w:fldChar w:fldCharType="separate"/>
            </w:r>
            <w:r w:rsidR="00721698">
              <w:rPr>
                <w:noProof/>
                <w:webHidden/>
              </w:rPr>
              <w:t>9</w:t>
            </w:r>
            <w:r w:rsidR="00721698">
              <w:rPr>
                <w:noProof/>
                <w:webHidden/>
              </w:rPr>
              <w:fldChar w:fldCharType="end"/>
            </w:r>
          </w:hyperlink>
        </w:p>
        <w:p w14:paraId="106A39A8" w14:textId="420839CB" w:rsidR="00B764A0" w:rsidRDefault="00C14A82" w:rsidP="00B764A0">
          <w:pPr>
            <w:rPr>
              <w:b/>
              <w:bCs/>
              <w:noProof/>
            </w:rPr>
          </w:pPr>
          <w:r>
            <w:fldChar w:fldCharType="end"/>
          </w:r>
        </w:p>
      </w:sdtContent>
    </w:sdt>
    <w:p w14:paraId="7F816875" w14:textId="7BD75F26" w:rsidR="00C14A82" w:rsidRDefault="00817A0A" w:rsidP="00C71A5C">
      <w:pPr>
        <w:pStyle w:val="Heading2"/>
      </w:pPr>
      <w:r>
        <w:br w:type="page"/>
      </w:r>
      <w:bookmarkStart w:id="4" w:name="_Toc90890701"/>
      <w:r w:rsidR="00C14A82">
        <w:lastRenderedPageBreak/>
        <w:t>Executive summary</w:t>
      </w:r>
      <w:bookmarkEnd w:id="4"/>
    </w:p>
    <w:p w14:paraId="22913BCE" w14:textId="77777777" w:rsidR="00C14A82" w:rsidRDefault="00C14A82" w:rsidP="001A3B5E">
      <w:pPr>
        <w:rPr>
          <w:color w:val="1A3028"/>
        </w:rPr>
      </w:pPr>
      <w:r>
        <w:t>Artificial intelligence (AI) has a growing role in Australia’s export economy. It is helping existing exporters to improve their products and become more competitive in global markets. And Australian expertise is devising new AI-based products and services and exporting those directly.</w:t>
      </w:r>
    </w:p>
    <w:p w14:paraId="38B00582" w14:textId="77777777" w:rsidR="00C14A82" w:rsidRDefault="00C14A82" w:rsidP="00C14A82">
      <w:r>
        <w:t xml:space="preserve">Austrade undertook an industry survey of 85 AI technology organisations in mid-2021. Our goal: to help policy makers and the technology industry gain a better understanding of the role of AI in Australia today. </w:t>
      </w:r>
    </w:p>
    <w:p w14:paraId="53D0247E" w14:textId="77777777" w:rsidR="00C14A82" w:rsidRPr="002D76D7" w:rsidRDefault="00C14A82" w:rsidP="00C14A82">
      <w:r w:rsidRPr="001E4762">
        <w:t xml:space="preserve">The </w:t>
      </w:r>
      <w:r w:rsidRPr="001E4762">
        <w:rPr>
          <w:rFonts w:cs="AU Sans BETA Text Medium"/>
          <w:i/>
          <w:iCs/>
        </w:rPr>
        <w:t xml:space="preserve">‘2021 Australian Artificial Intelligence Export Survey’ </w:t>
      </w:r>
      <w:r w:rsidRPr="001E4762">
        <w:t>identifies</w:t>
      </w:r>
      <w:r>
        <w:t xml:space="preserve"> areas of commercial success for Australian AI technology in overseas markets. It also identifies barriers to growth that could be addressed by industry and government.</w:t>
      </w:r>
    </w:p>
    <w:p w14:paraId="7314CE90" w14:textId="77777777" w:rsidR="00C14A82" w:rsidRDefault="00C14A82" w:rsidP="00EB2D64">
      <w:pPr>
        <w:pStyle w:val="Heading3"/>
      </w:pPr>
      <w:r>
        <w:t>Results summary</w:t>
      </w:r>
    </w:p>
    <w:p w14:paraId="00454D86" w14:textId="77777777" w:rsidR="00C14A82" w:rsidRDefault="00C14A82" w:rsidP="00C14A82">
      <w:r>
        <w:t xml:space="preserve">The survey provides deep insights into Australia’s internationally focussed AI-enabled companies. This includes the technologies they use, the industries they sell to, and the customer segments they service. Key highlights include: </w:t>
      </w:r>
    </w:p>
    <w:p w14:paraId="7DBBADAC" w14:textId="77777777" w:rsidR="00C14A82" w:rsidRDefault="00C14A82" w:rsidP="00C14A82">
      <w:pPr>
        <w:pStyle w:val="ListParagraph"/>
        <w:numPr>
          <w:ilvl w:val="0"/>
          <w:numId w:val="13"/>
        </w:numPr>
      </w:pPr>
      <w:r>
        <w:t xml:space="preserve">Most respondents are </w:t>
      </w:r>
      <w:proofErr w:type="spellStart"/>
      <w:r>
        <w:t>startups</w:t>
      </w:r>
      <w:proofErr w:type="spellEnd"/>
      <w:r>
        <w:t xml:space="preserve"> or small business with less than AUD5 million in revenue. </w:t>
      </w:r>
    </w:p>
    <w:p w14:paraId="24028ED5" w14:textId="77777777" w:rsidR="00C14A82" w:rsidRDefault="00C14A82" w:rsidP="00C14A82">
      <w:pPr>
        <w:pStyle w:val="ListParagraph"/>
        <w:numPr>
          <w:ilvl w:val="0"/>
          <w:numId w:val="13"/>
        </w:numPr>
      </w:pPr>
      <w:r>
        <w:t xml:space="preserve">The majority service other businesses including enterprise customers and government customers. Few are servicing consumers directly. </w:t>
      </w:r>
    </w:p>
    <w:p w14:paraId="112E4019" w14:textId="77777777" w:rsidR="00C14A82" w:rsidRDefault="00C14A82" w:rsidP="00C14A82">
      <w:pPr>
        <w:pStyle w:val="ListParagraph"/>
        <w:numPr>
          <w:ilvl w:val="0"/>
          <w:numId w:val="13"/>
        </w:numPr>
      </w:pPr>
      <w:r>
        <w:t xml:space="preserve">The top sectors serviced by Australian AI companies are Defence, Mining and Energy, Agriculture, and Healthcare. </w:t>
      </w:r>
    </w:p>
    <w:p w14:paraId="365DB3D5" w14:textId="77777777" w:rsidR="00C14A82" w:rsidRDefault="00C14A82" w:rsidP="00C14A82">
      <w:pPr>
        <w:pStyle w:val="ListParagraph"/>
        <w:numPr>
          <w:ilvl w:val="0"/>
          <w:numId w:val="13"/>
        </w:numPr>
      </w:pPr>
      <w:r>
        <w:t xml:space="preserve">Approximately 65 per cent of companies surveyed are currently exporting, with an additional 14 per cent having previously exported. </w:t>
      </w:r>
    </w:p>
    <w:p w14:paraId="43C8C76C" w14:textId="77777777" w:rsidR="00C14A82" w:rsidRDefault="00C14A82" w:rsidP="00C14A82">
      <w:pPr>
        <w:pStyle w:val="ListParagraph"/>
        <w:numPr>
          <w:ilvl w:val="0"/>
          <w:numId w:val="13"/>
        </w:numPr>
      </w:pPr>
      <w:r>
        <w:t xml:space="preserve">50 per cent of exporters noted a country in the Americas as their top export destination, with the US featuring most prominently. </w:t>
      </w:r>
    </w:p>
    <w:p w14:paraId="08975A4C" w14:textId="77777777" w:rsidR="00C14A82" w:rsidRDefault="00C14A82" w:rsidP="00C14A82">
      <w:pPr>
        <w:pStyle w:val="ListParagraph"/>
        <w:numPr>
          <w:ilvl w:val="0"/>
          <w:numId w:val="13"/>
        </w:numPr>
      </w:pPr>
      <w:r>
        <w:t xml:space="preserve">24 per cent identified a country in Europe as their top export market, led by the UK. </w:t>
      </w:r>
    </w:p>
    <w:p w14:paraId="316FC3D7" w14:textId="77777777" w:rsidR="00C14A82" w:rsidRDefault="00C14A82" w:rsidP="00C14A82">
      <w:pPr>
        <w:pStyle w:val="ListParagraph"/>
        <w:numPr>
          <w:ilvl w:val="0"/>
          <w:numId w:val="13"/>
        </w:numPr>
      </w:pPr>
      <w:r>
        <w:t xml:space="preserve">16 per cent identified a country in APAC (excluding Americas) as their top export market. </w:t>
      </w:r>
    </w:p>
    <w:p w14:paraId="27B8EBB8" w14:textId="77777777" w:rsidR="00C14A82" w:rsidRDefault="00C14A82" w:rsidP="00EB2D64">
      <w:pPr>
        <w:pStyle w:val="Heading3"/>
      </w:pPr>
      <w:r>
        <w:t>Australian AI is already going global</w:t>
      </w:r>
    </w:p>
    <w:p w14:paraId="7C37B8CC" w14:textId="77777777" w:rsidR="00C14A82" w:rsidRPr="00A540C4" w:rsidRDefault="00C14A82" w:rsidP="00C14A82">
      <w:r w:rsidRPr="00A540C4">
        <w:t xml:space="preserve">The survey shows that for those companies that do trade overseas, exporting is a significant contributor to total revenue. Overall, 34 per cent of those that export claim that export revenue contributes over 50 per cent of their total revenue. Considering that most respondents were </w:t>
      </w:r>
      <w:proofErr w:type="spellStart"/>
      <w:r w:rsidRPr="00A540C4">
        <w:t>startups</w:t>
      </w:r>
      <w:proofErr w:type="spellEnd"/>
      <w:r w:rsidRPr="00A540C4">
        <w:t xml:space="preserve"> or small business, this indicates that AI companies are ‘going global’ fast. </w:t>
      </w:r>
    </w:p>
    <w:p w14:paraId="00B96AD7" w14:textId="77777777" w:rsidR="00C14A82" w:rsidRPr="00A540C4" w:rsidRDefault="00C14A82" w:rsidP="00C14A82">
      <w:r w:rsidRPr="00A540C4">
        <w:t xml:space="preserve">In terms of challenges, respondents said that COVID-19 has been the greatest barrier for existing exporters. The pandemic has made it difficult for them to access international customers, undertake business development and build global teams. For non-exporters, their readiness to export and limited international network have been barriers for them to commence exporting. </w:t>
      </w:r>
    </w:p>
    <w:p w14:paraId="64446FFA" w14:textId="77777777" w:rsidR="00C14A82" w:rsidRPr="00F15569" w:rsidRDefault="00C14A82" w:rsidP="00C14A82">
      <w:r w:rsidRPr="00A540C4">
        <w:lastRenderedPageBreak/>
        <w:t xml:space="preserve">The survey highlights the specific needs of firms with global ambitions. It will be a useful reference for Australia’s AI innovation community. The survey will also provide context for accelerator programs and start-up hubs that aim to drive capability growth. </w:t>
      </w:r>
    </w:p>
    <w:p w14:paraId="086DDFD5" w14:textId="34177094" w:rsidR="00C14A82" w:rsidRDefault="00C14A82" w:rsidP="00944E6F">
      <w:r>
        <w:t xml:space="preserve">If you want to know more about the survey results, please reach out to Austrade Advanced Technology and Manufacturing Centre of Excellence at </w:t>
      </w:r>
      <w:r w:rsidRPr="00EB2D64">
        <w:rPr>
          <w:rFonts w:cs="AU Sans BETA Text Bold"/>
        </w:rPr>
        <w:t>AdvTechManuCoE@austrade.gov.au</w:t>
      </w:r>
      <w:r w:rsidRPr="000867A0">
        <w:t>.</w:t>
      </w:r>
    </w:p>
    <w:p w14:paraId="7A309A35" w14:textId="77777777" w:rsidR="00C14A82" w:rsidRDefault="00C14A82" w:rsidP="00EB2D64">
      <w:pPr>
        <w:pStyle w:val="Heading2"/>
      </w:pPr>
      <w:bookmarkStart w:id="5" w:name="_Toc90890702"/>
      <w:r>
        <w:t>The survey</w:t>
      </w:r>
      <w:bookmarkEnd w:id="5"/>
    </w:p>
    <w:p w14:paraId="3598ED6C" w14:textId="77777777" w:rsidR="00C14A82" w:rsidRDefault="00C14A82" w:rsidP="00EB2D64">
      <w:r>
        <w:t>Austrade helps Australian AI businesses build export capability, connect to foreign markets, and solve industry problems globally. To ensure our support is evidence-based, Austrade conducted a survey of AI organisations in mid-2021.</w:t>
      </w:r>
    </w:p>
    <w:p w14:paraId="46D91FFA" w14:textId="77777777" w:rsidR="00C14A82" w:rsidRDefault="00C14A82" w:rsidP="00EB2D64">
      <w:pPr>
        <w:pStyle w:val="Heading3"/>
      </w:pPr>
      <w:r>
        <w:t xml:space="preserve">Respondent demographics </w:t>
      </w:r>
    </w:p>
    <w:p w14:paraId="12AC8833" w14:textId="77777777" w:rsidR="00C14A82" w:rsidRDefault="00C14A82" w:rsidP="00C14A82">
      <w:r>
        <w:t xml:space="preserve">The survey received responses from </w:t>
      </w:r>
      <w:r>
        <w:rPr>
          <w:rFonts w:cs="AU Sans BETA Text Bold"/>
          <w:b/>
          <w:bCs/>
        </w:rPr>
        <w:t xml:space="preserve">85 </w:t>
      </w:r>
      <w:r>
        <w:t xml:space="preserve">organisations, with </w:t>
      </w:r>
      <w:r>
        <w:rPr>
          <w:rFonts w:cs="AU Sans BETA Text Bold"/>
          <w:b/>
          <w:bCs/>
        </w:rPr>
        <w:t xml:space="preserve">83 per cent </w:t>
      </w:r>
      <w:r>
        <w:t xml:space="preserve">of the participants from an executive level role. </w:t>
      </w:r>
    </w:p>
    <w:p w14:paraId="7FF1BFDA" w14:textId="77777777" w:rsidR="00C14A82" w:rsidRDefault="00C14A82" w:rsidP="00C14A82">
      <w:pPr>
        <w:pStyle w:val="Heading3"/>
      </w:pPr>
      <w:r>
        <w:t>Capabilities and customers</w:t>
      </w:r>
    </w:p>
    <w:p w14:paraId="7859F84A" w14:textId="77777777" w:rsidR="00C14A82" w:rsidRDefault="00C14A82" w:rsidP="00C14A82">
      <w:r>
        <w:t>87 per cent of respondents identified as having Machine Learning (ML) capabilities, followed by Deep Learning with 66 per cent and Computer Vision. 54 per cent of respondents said their business employed multiple AI technologies in their solutions.</w:t>
      </w:r>
    </w:p>
    <w:p w14:paraId="2E9736E1" w14:textId="77777777" w:rsidR="00C14A82" w:rsidRDefault="00C14A82" w:rsidP="00C14A82">
      <w:r>
        <w:t xml:space="preserve">Participants most commonly service other businesses and government. A few have developed solutions to service consumer customers. </w:t>
      </w:r>
    </w:p>
    <w:p w14:paraId="7A212349" w14:textId="77777777" w:rsidR="00C14A82" w:rsidRDefault="00C14A82" w:rsidP="00C14A82">
      <w:r>
        <w:t>Business to business (B2B) is the most prominent segment serviced with 76 per cent of respondents servicing other businesses. This is followed by enterprise customers (B2E) and government (B2G) customer segments. While AI solutions are embedded in many consumer products from financial services to retail, the businesses which responded to the survey are typically applying their capabilities to service other organisations.</w:t>
      </w:r>
    </w:p>
    <w:p w14:paraId="6453A7A5" w14:textId="77777777" w:rsidR="00C14A82" w:rsidRDefault="00C14A82" w:rsidP="00C14A82">
      <w:pPr>
        <w:pStyle w:val="Heading3"/>
      </w:pPr>
      <w:r>
        <w:t>Machine learning</w:t>
      </w:r>
    </w:p>
    <w:p w14:paraId="78535628" w14:textId="77777777" w:rsidR="00C14A82" w:rsidRPr="006B13F1" w:rsidRDefault="00C14A82" w:rsidP="00C14A82">
      <w:r w:rsidRPr="006B13F1">
        <w:t xml:space="preserve">Machine learning (ML) is a sub field of AI. It refers to a computer system with the ability to learn from experience and feedback without being explicitly programmed to do so. ML is used to make predictions and conclusions on the basis of data. Machines learn by updating their internal model based on observed data, with the aim of performing ever more accurate predictions on future data. Machines can also be engineered to adapt to complex changing environments and adapt their responses based on the data they receive. </w:t>
      </w:r>
    </w:p>
    <w:p w14:paraId="301D27FB" w14:textId="77777777" w:rsidR="00C14A82" w:rsidRPr="006B13F1" w:rsidRDefault="00C14A82" w:rsidP="00C14A82">
      <w:r w:rsidRPr="006B13F1">
        <w:t>The global machine learning market is projected to grow from $7.3B in 2020 to $30.6B in 2024, attaining a CAGR of 43%</w:t>
      </w:r>
      <w:r>
        <w:t>.</w:t>
      </w:r>
    </w:p>
    <w:p w14:paraId="69938DF1" w14:textId="77777777" w:rsidR="00C14A82" w:rsidRDefault="00C14A82" w:rsidP="00C14A82">
      <w:r w:rsidRPr="006B13F1">
        <w:t>Source: Market Research Future, Machine Learning Market Forecast Report – Global Forecast to 2024.</w:t>
      </w:r>
    </w:p>
    <w:p w14:paraId="482056E3" w14:textId="77777777" w:rsidR="00C14A82" w:rsidRDefault="00C14A82" w:rsidP="00C14A82">
      <w:pPr>
        <w:pStyle w:val="Heading3"/>
      </w:pPr>
      <w:r>
        <w:t>Top selling industry verticals</w:t>
      </w:r>
    </w:p>
    <w:p w14:paraId="1BB21F61" w14:textId="77777777" w:rsidR="00C14A82" w:rsidRDefault="00C14A82" w:rsidP="00C14A82">
      <w:r>
        <w:t xml:space="preserve">The most common industry verticals currently serviced by AI businesses are Aerospace, Defence &amp; Security followed by Mining, Resources &amp; Energy, Agriculture, and Healthcare. </w:t>
      </w:r>
    </w:p>
    <w:p w14:paraId="1B6A88B5" w14:textId="77777777" w:rsidR="00C14A82" w:rsidRDefault="00C14A82" w:rsidP="00C14A82">
      <w:pPr>
        <w:pStyle w:val="ListParagraph"/>
        <w:numPr>
          <w:ilvl w:val="0"/>
          <w:numId w:val="8"/>
        </w:numPr>
      </w:pPr>
      <w:r>
        <w:t>Aerospace (50.6%)</w:t>
      </w:r>
    </w:p>
    <w:p w14:paraId="610B51A2" w14:textId="77777777" w:rsidR="00C14A82" w:rsidRDefault="00C14A82" w:rsidP="00C14A82">
      <w:pPr>
        <w:pStyle w:val="ListParagraph"/>
        <w:numPr>
          <w:ilvl w:val="0"/>
          <w:numId w:val="8"/>
        </w:numPr>
      </w:pPr>
      <w:r>
        <w:t>Mining, energy and resources (43.4%)</w:t>
      </w:r>
    </w:p>
    <w:p w14:paraId="0A479171" w14:textId="77777777" w:rsidR="00C14A82" w:rsidRDefault="00C14A82" w:rsidP="00C14A82">
      <w:pPr>
        <w:pStyle w:val="ListParagraph"/>
        <w:numPr>
          <w:ilvl w:val="0"/>
          <w:numId w:val="8"/>
        </w:numPr>
      </w:pPr>
      <w:r>
        <w:t>Agriculture (33.7%</w:t>
      </w:r>
    </w:p>
    <w:p w14:paraId="76A34A81" w14:textId="77777777" w:rsidR="00C14A82" w:rsidRDefault="00C14A82" w:rsidP="00C14A82">
      <w:pPr>
        <w:pStyle w:val="ListParagraph"/>
        <w:numPr>
          <w:ilvl w:val="0"/>
          <w:numId w:val="8"/>
        </w:numPr>
      </w:pPr>
      <w:r>
        <w:t>Healthcare (33.7%)</w:t>
      </w:r>
    </w:p>
    <w:p w14:paraId="716E2861" w14:textId="77777777" w:rsidR="00C14A82" w:rsidRDefault="00C14A82" w:rsidP="00C14A82">
      <w:pPr>
        <w:pStyle w:val="ListParagraph"/>
        <w:numPr>
          <w:ilvl w:val="0"/>
          <w:numId w:val="8"/>
        </w:numPr>
      </w:pPr>
      <w:r>
        <w:t>Transport (32.5%)</w:t>
      </w:r>
    </w:p>
    <w:p w14:paraId="2A0FF246" w14:textId="77777777" w:rsidR="00C14A82" w:rsidRDefault="00C14A82" w:rsidP="00C14A82">
      <w:pPr>
        <w:pStyle w:val="ListParagraph"/>
        <w:numPr>
          <w:ilvl w:val="0"/>
          <w:numId w:val="8"/>
        </w:numPr>
      </w:pPr>
      <w:r>
        <w:t>Information technology services (30.1%)</w:t>
      </w:r>
    </w:p>
    <w:p w14:paraId="40CE2399" w14:textId="77777777" w:rsidR="00C14A82" w:rsidRDefault="00C14A82" w:rsidP="00C14A82">
      <w:pPr>
        <w:pStyle w:val="ListParagraph"/>
        <w:numPr>
          <w:ilvl w:val="0"/>
          <w:numId w:val="8"/>
        </w:numPr>
      </w:pPr>
      <w:r>
        <w:t>Financial services (26.5%)</w:t>
      </w:r>
    </w:p>
    <w:p w14:paraId="3F3878F4" w14:textId="77777777" w:rsidR="00C14A82" w:rsidRDefault="00C14A82" w:rsidP="00C14A82">
      <w:pPr>
        <w:pStyle w:val="ListParagraph"/>
        <w:numPr>
          <w:ilvl w:val="0"/>
          <w:numId w:val="8"/>
        </w:numPr>
      </w:pPr>
      <w:r>
        <w:t>Logistics (26.5%)</w:t>
      </w:r>
    </w:p>
    <w:p w14:paraId="7484F058" w14:textId="77777777" w:rsidR="00C14A82" w:rsidRDefault="00C14A82" w:rsidP="00C14A82">
      <w:pPr>
        <w:pStyle w:val="ListParagraph"/>
        <w:numPr>
          <w:ilvl w:val="0"/>
          <w:numId w:val="8"/>
        </w:numPr>
      </w:pPr>
      <w:r>
        <w:t>Retail (25.3%)</w:t>
      </w:r>
    </w:p>
    <w:p w14:paraId="2B0559A7" w14:textId="77777777" w:rsidR="00C14A82" w:rsidRDefault="00C14A82" w:rsidP="00C14A82">
      <w:pPr>
        <w:pStyle w:val="ListParagraph"/>
        <w:numPr>
          <w:ilvl w:val="0"/>
          <w:numId w:val="8"/>
        </w:numPr>
      </w:pPr>
      <w:r>
        <w:t>Other (21.7%)</w:t>
      </w:r>
    </w:p>
    <w:p w14:paraId="074D34E9" w14:textId="77777777" w:rsidR="00C14A82" w:rsidRDefault="00C14A82" w:rsidP="00C14A82">
      <w:pPr>
        <w:pStyle w:val="ListParagraph"/>
        <w:numPr>
          <w:ilvl w:val="0"/>
          <w:numId w:val="8"/>
        </w:numPr>
      </w:pPr>
      <w:r>
        <w:t>Construction and infrastructure (20.5%)</w:t>
      </w:r>
    </w:p>
    <w:p w14:paraId="37F38EEF" w14:textId="77777777" w:rsidR="00C14A82" w:rsidRDefault="00C14A82" w:rsidP="00C14A82">
      <w:pPr>
        <w:pStyle w:val="ListParagraph"/>
        <w:numPr>
          <w:ilvl w:val="0"/>
          <w:numId w:val="8"/>
        </w:numPr>
      </w:pPr>
      <w:r>
        <w:t>Education (18.1%)</w:t>
      </w:r>
    </w:p>
    <w:p w14:paraId="15BF3AD2" w14:textId="77777777" w:rsidR="00C14A82" w:rsidRDefault="00C14A82" w:rsidP="00C14A82">
      <w:pPr>
        <w:pStyle w:val="ListParagraph"/>
        <w:numPr>
          <w:ilvl w:val="0"/>
          <w:numId w:val="8"/>
        </w:numPr>
      </w:pPr>
      <w:r>
        <w:t>Automotive (14.5%)</w:t>
      </w:r>
    </w:p>
    <w:p w14:paraId="64405584" w14:textId="77777777" w:rsidR="00C14A82" w:rsidRDefault="00C14A82" w:rsidP="00C14A82">
      <w:pPr>
        <w:pStyle w:val="ListParagraph"/>
        <w:numPr>
          <w:ilvl w:val="0"/>
          <w:numId w:val="8"/>
        </w:numPr>
      </w:pPr>
      <w:r>
        <w:t>Consumer (13.3%)</w:t>
      </w:r>
    </w:p>
    <w:p w14:paraId="131D90E2" w14:textId="77777777" w:rsidR="00C14A82" w:rsidRDefault="00C14A82" w:rsidP="00C14A82">
      <w:pPr>
        <w:pStyle w:val="ListParagraph"/>
        <w:numPr>
          <w:ilvl w:val="0"/>
          <w:numId w:val="8"/>
        </w:numPr>
      </w:pPr>
      <w:r>
        <w:t>Real estate (12.0%)</w:t>
      </w:r>
    </w:p>
    <w:p w14:paraId="704BDF1A" w14:textId="77777777" w:rsidR="00C14A82" w:rsidRDefault="00C14A82" w:rsidP="00C14A82">
      <w:pPr>
        <w:pStyle w:val="ListParagraph"/>
        <w:numPr>
          <w:ilvl w:val="0"/>
          <w:numId w:val="8"/>
        </w:numPr>
      </w:pPr>
      <w:r>
        <w:t>Media (9.6%)</w:t>
      </w:r>
    </w:p>
    <w:p w14:paraId="29BAE0B5" w14:textId="77777777" w:rsidR="00C14A82" w:rsidRDefault="00C14A82" w:rsidP="00C14A82">
      <w:pPr>
        <w:pStyle w:val="ListParagraph"/>
        <w:numPr>
          <w:ilvl w:val="0"/>
          <w:numId w:val="8"/>
        </w:numPr>
      </w:pPr>
      <w:r>
        <w:t>Entertainment (8.4%).</w:t>
      </w:r>
    </w:p>
    <w:p w14:paraId="014B47C4" w14:textId="77777777" w:rsidR="00C14A82" w:rsidRPr="001B47C5" w:rsidRDefault="00C14A82" w:rsidP="00C14A82">
      <w:r w:rsidRPr="001B47C5">
        <w:t xml:space="preserve">The industry verticals serviced results demonstrate the versatility of Australian AI solutions and its applicability to a range of industries. Of the 85 respondents: </w:t>
      </w:r>
    </w:p>
    <w:p w14:paraId="400CCCAC" w14:textId="77777777" w:rsidR="00C14A82" w:rsidRPr="001B47C5" w:rsidRDefault="00C14A82" w:rsidP="00C14A82">
      <w:pPr>
        <w:pStyle w:val="BulletList"/>
      </w:pPr>
      <w:r w:rsidRPr="001B47C5">
        <w:t xml:space="preserve">74 per cent noted they service </w:t>
      </w:r>
      <w:r w:rsidRPr="001B47C5">
        <w:rPr>
          <w:rFonts w:ascii="AU Sans BETA Text Bold" w:hAnsi="AU Sans BETA Text Bold" w:cs="AU Sans BETA Text Bold"/>
          <w:b/>
          <w:bCs/>
        </w:rPr>
        <w:t xml:space="preserve">two </w:t>
      </w:r>
      <w:r w:rsidRPr="001B47C5">
        <w:t xml:space="preserve">or more industry verticals. </w:t>
      </w:r>
    </w:p>
    <w:p w14:paraId="4614AB3E" w14:textId="77777777" w:rsidR="00C14A82" w:rsidRPr="001B47C5" w:rsidRDefault="00C14A82" w:rsidP="00C14A82">
      <w:pPr>
        <w:pStyle w:val="BulletList"/>
      </w:pPr>
      <w:r w:rsidRPr="001B47C5">
        <w:t xml:space="preserve">58 per cent service </w:t>
      </w:r>
      <w:r w:rsidRPr="001B47C5">
        <w:rPr>
          <w:rFonts w:ascii="AU Sans BETA Text Bold" w:hAnsi="AU Sans BETA Text Bold" w:cs="AU Sans BETA Text Bold"/>
          <w:b/>
          <w:bCs/>
        </w:rPr>
        <w:t xml:space="preserve">three </w:t>
      </w:r>
      <w:r w:rsidRPr="001B47C5">
        <w:t xml:space="preserve">or more industry verticals. </w:t>
      </w:r>
    </w:p>
    <w:p w14:paraId="21FA36C7" w14:textId="77777777" w:rsidR="00C14A82" w:rsidRPr="001B47C5" w:rsidRDefault="00C14A82" w:rsidP="00C14A82">
      <w:pPr>
        <w:pStyle w:val="BulletList"/>
      </w:pPr>
      <w:r w:rsidRPr="001B47C5">
        <w:t xml:space="preserve">48 per cent service </w:t>
      </w:r>
      <w:r w:rsidRPr="001B47C5">
        <w:rPr>
          <w:rFonts w:ascii="AU Sans BETA Text Bold" w:hAnsi="AU Sans BETA Text Bold" w:cs="AU Sans BETA Text Bold"/>
          <w:b/>
          <w:bCs/>
        </w:rPr>
        <w:t xml:space="preserve">four </w:t>
      </w:r>
      <w:r w:rsidRPr="001B47C5">
        <w:t xml:space="preserve">or more industry verticals. </w:t>
      </w:r>
    </w:p>
    <w:p w14:paraId="17142E30" w14:textId="77777777" w:rsidR="00C14A82" w:rsidRPr="001B47C5" w:rsidRDefault="00C14A82" w:rsidP="00C14A82">
      <w:pPr>
        <w:pStyle w:val="BulletList"/>
      </w:pPr>
      <w:r w:rsidRPr="001B47C5">
        <w:t xml:space="preserve">38 per cent service </w:t>
      </w:r>
      <w:r w:rsidRPr="001B47C5">
        <w:rPr>
          <w:rFonts w:ascii="AU Sans BETA Text Bold" w:hAnsi="AU Sans BETA Text Bold" w:cs="AU Sans BETA Text Bold"/>
          <w:b/>
          <w:bCs/>
        </w:rPr>
        <w:t xml:space="preserve">five </w:t>
      </w:r>
      <w:r w:rsidRPr="001B47C5">
        <w:t xml:space="preserve">or more industry verticals. </w:t>
      </w:r>
    </w:p>
    <w:p w14:paraId="7C3C9C42" w14:textId="77777777" w:rsidR="00C14A82" w:rsidRDefault="00C14A82" w:rsidP="00C14A82">
      <w:r>
        <w:t>To further emphasise the diverse applications of Australian AI solutions, out of 36 AI businesses servicing Mining, Energy and Resources:</w:t>
      </w:r>
    </w:p>
    <w:p w14:paraId="3C43925A" w14:textId="77777777" w:rsidR="00C14A82" w:rsidRDefault="00C14A82" w:rsidP="00C14A82">
      <w:pPr>
        <w:pStyle w:val="ListParagraph"/>
        <w:numPr>
          <w:ilvl w:val="0"/>
          <w:numId w:val="12"/>
        </w:numPr>
      </w:pPr>
      <w:r>
        <w:t xml:space="preserve">22 service defence and security </w:t>
      </w:r>
    </w:p>
    <w:p w14:paraId="075262A3" w14:textId="77777777" w:rsidR="00C14A82" w:rsidRDefault="00C14A82" w:rsidP="00C14A82">
      <w:pPr>
        <w:pStyle w:val="ListParagraph"/>
        <w:numPr>
          <w:ilvl w:val="0"/>
          <w:numId w:val="12"/>
        </w:numPr>
      </w:pPr>
      <w:r>
        <w:t>21 service aerospace and defence</w:t>
      </w:r>
    </w:p>
    <w:p w14:paraId="7E9EB5D1" w14:textId="77777777" w:rsidR="00C14A82" w:rsidRDefault="00C14A82" w:rsidP="00C14A82">
      <w:pPr>
        <w:pStyle w:val="ListParagraph"/>
        <w:numPr>
          <w:ilvl w:val="0"/>
          <w:numId w:val="12"/>
        </w:numPr>
      </w:pPr>
      <w:r>
        <w:t>21 service transport</w:t>
      </w:r>
    </w:p>
    <w:p w14:paraId="29B21261" w14:textId="77777777" w:rsidR="00C14A82" w:rsidRDefault="00C14A82" w:rsidP="00C14A82">
      <w:pPr>
        <w:pStyle w:val="ListParagraph"/>
        <w:numPr>
          <w:ilvl w:val="0"/>
          <w:numId w:val="12"/>
        </w:numPr>
      </w:pPr>
      <w:r>
        <w:t>19 service agriculture</w:t>
      </w:r>
    </w:p>
    <w:p w14:paraId="2F77EC08" w14:textId="77777777" w:rsidR="00C14A82" w:rsidRDefault="00C14A82" w:rsidP="00C14A82">
      <w:pPr>
        <w:pStyle w:val="ListParagraph"/>
        <w:numPr>
          <w:ilvl w:val="0"/>
          <w:numId w:val="12"/>
        </w:numPr>
      </w:pPr>
      <w:r>
        <w:t>15 service construction and infrastructure</w:t>
      </w:r>
    </w:p>
    <w:p w14:paraId="26A6ABC0" w14:textId="77777777" w:rsidR="00C14A82" w:rsidRDefault="00C14A82" w:rsidP="00C14A82">
      <w:pPr>
        <w:pStyle w:val="ListParagraph"/>
        <w:numPr>
          <w:ilvl w:val="0"/>
          <w:numId w:val="12"/>
        </w:numPr>
      </w:pPr>
      <w:r>
        <w:t>15 service financial services</w:t>
      </w:r>
    </w:p>
    <w:p w14:paraId="6317AB1B" w14:textId="77777777" w:rsidR="00C14A82" w:rsidRDefault="00C14A82" w:rsidP="00C14A82">
      <w:pPr>
        <w:pStyle w:val="ListParagraph"/>
        <w:numPr>
          <w:ilvl w:val="0"/>
          <w:numId w:val="12"/>
        </w:numPr>
      </w:pPr>
      <w:r>
        <w:t>14 service healthcare</w:t>
      </w:r>
    </w:p>
    <w:p w14:paraId="1E0C1A28" w14:textId="77777777" w:rsidR="00C14A82" w:rsidRDefault="00C14A82" w:rsidP="00C14A82">
      <w:pPr>
        <w:pStyle w:val="ListParagraph"/>
        <w:numPr>
          <w:ilvl w:val="0"/>
          <w:numId w:val="12"/>
        </w:numPr>
      </w:pPr>
      <w:r>
        <w:t>14 service information technology services</w:t>
      </w:r>
    </w:p>
    <w:p w14:paraId="515420DC" w14:textId="77777777" w:rsidR="00C14A82" w:rsidRDefault="00C14A82" w:rsidP="00C14A82">
      <w:pPr>
        <w:pStyle w:val="ListParagraph"/>
        <w:numPr>
          <w:ilvl w:val="0"/>
          <w:numId w:val="12"/>
        </w:numPr>
      </w:pPr>
      <w:r>
        <w:t>14 service logistics</w:t>
      </w:r>
    </w:p>
    <w:p w14:paraId="237D77D5" w14:textId="77777777" w:rsidR="00C14A82" w:rsidRDefault="00C14A82" w:rsidP="00C14A82">
      <w:pPr>
        <w:pStyle w:val="ListParagraph"/>
        <w:numPr>
          <w:ilvl w:val="0"/>
          <w:numId w:val="12"/>
        </w:numPr>
      </w:pPr>
      <w:r>
        <w:t>11 service retail</w:t>
      </w:r>
    </w:p>
    <w:p w14:paraId="1F6AED0A" w14:textId="77777777" w:rsidR="00C14A82" w:rsidRDefault="00C14A82" w:rsidP="00C14A82">
      <w:pPr>
        <w:pStyle w:val="ListParagraph"/>
        <w:numPr>
          <w:ilvl w:val="0"/>
          <w:numId w:val="12"/>
        </w:numPr>
      </w:pPr>
      <w:r>
        <w:t>10 service automotive</w:t>
      </w:r>
    </w:p>
    <w:p w14:paraId="6414571F" w14:textId="77777777" w:rsidR="00C14A82" w:rsidRDefault="00C14A82" w:rsidP="00C14A82">
      <w:pPr>
        <w:pStyle w:val="ListParagraph"/>
        <w:numPr>
          <w:ilvl w:val="0"/>
          <w:numId w:val="12"/>
        </w:numPr>
      </w:pPr>
      <w:r>
        <w:t>10 service education</w:t>
      </w:r>
    </w:p>
    <w:p w14:paraId="7B5F2CD4" w14:textId="77777777" w:rsidR="00C14A82" w:rsidRDefault="00C14A82" w:rsidP="00C14A82">
      <w:pPr>
        <w:pStyle w:val="ListParagraph"/>
        <w:numPr>
          <w:ilvl w:val="0"/>
          <w:numId w:val="12"/>
        </w:numPr>
      </w:pPr>
      <w:r>
        <w:t>6 service real estate</w:t>
      </w:r>
    </w:p>
    <w:p w14:paraId="0D47C8CA" w14:textId="77777777" w:rsidR="00C14A82" w:rsidRDefault="00C14A82" w:rsidP="00C14A82">
      <w:pPr>
        <w:pStyle w:val="ListParagraph"/>
        <w:numPr>
          <w:ilvl w:val="0"/>
          <w:numId w:val="12"/>
        </w:numPr>
      </w:pPr>
      <w:r>
        <w:t>5 service consumer</w:t>
      </w:r>
    </w:p>
    <w:p w14:paraId="15EEA5F5" w14:textId="77777777" w:rsidR="00C14A82" w:rsidRDefault="00C14A82" w:rsidP="00C14A82">
      <w:pPr>
        <w:pStyle w:val="ListParagraph"/>
        <w:numPr>
          <w:ilvl w:val="0"/>
          <w:numId w:val="12"/>
        </w:numPr>
      </w:pPr>
      <w:r>
        <w:t>4 service media</w:t>
      </w:r>
    </w:p>
    <w:p w14:paraId="7F6160CC" w14:textId="77777777" w:rsidR="00C14A82" w:rsidRDefault="00C14A82" w:rsidP="00C14A82">
      <w:pPr>
        <w:pStyle w:val="ListParagraph"/>
        <w:numPr>
          <w:ilvl w:val="0"/>
          <w:numId w:val="12"/>
        </w:numPr>
      </w:pPr>
      <w:r>
        <w:t>3 service entertainment.</w:t>
      </w:r>
    </w:p>
    <w:p w14:paraId="55CB662C" w14:textId="77777777" w:rsidR="00C14A82" w:rsidRDefault="00C14A82" w:rsidP="00C14A82">
      <w:pPr>
        <w:pStyle w:val="Heading3"/>
      </w:pPr>
      <w:r>
        <w:t>Turnover</w:t>
      </w:r>
    </w:p>
    <w:p w14:paraId="771B8DC2" w14:textId="77777777" w:rsidR="00C14A82" w:rsidRDefault="00C14A82" w:rsidP="00C14A82">
      <w:r>
        <w:t xml:space="preserve">The majority of participants in the survey are small businesses or </w:t>
      </w:r>
      <w:proofErr w:type="spellStart"/>
      <w:r>
        <w:t>startups</w:t>
      </w:r>
      <w:proofErr w:type="spellEnd"/>
      <w:r>
        <w:t xml:space="preserve">, based on income. Seventy per cent had total revenue of less than AUD5 million, while 42 per cent had total revenue of less than AUD1 million. </w:t>
      </w:r>
    </w:p>
    <w:p w14:paraId="771A3B44" w14:textId="77777777" w:rsidR="00C14A82" w:rsidRDefault="00C14A82" w:rsidP="00C14A82">
      <w:pPr>
        <w:pStyle w:val="Heading3"/>
      </w:pPr>
      <w:r>
        <w:t>Total turnover in 2019/2020 (AUD)</w:t>
      </w:r>
    </w:p>
    <w:p w14:paraId="4460A035" w14:textId="77777777" w:rsidR="00C14A82" w:rsidRPr="008C4729" w:rsidRDefault="00C14A82" w:rsidP="00C14A82">
      <w:pPr>
        <w:pStyle w:val="ListParagraph"/>
        <w:numPr>
          <w:ilvl w:val="0"/>
          <w:numId w:val="9"/>
        </w:numPr>
      </w:pPr>
      <w:r w:rsidRPr="008C4729">
        <w:t>Less than 1 million: 42.17%</w:t>
      </w:r>
    </w:p>
    <w:p w14:paraId="49EED883" w14:textId="77777777" w:rsidR="00C14A82" w:rsidRDefault="00C14A82" w:rsidP="00C14A82">
      <w:pPr>
        <w:pStyle w:val="ListParagraph"/>
        <w:numPr>
          <w:ilvl w:val="0"/>
          <w:numId w:val="9"/>
        </w:numPr>
      </w:pPr>
      <w:r>
        <w:t>Between 1 million and 4.99 million: 27.71%</w:t>
      </w:r>
    </w:p>
    <w:p w14:paraId="6AF4E976" w14:textId="77777777" w:rsidR="00C14A82" w:rsidRDefault="00C14A82" w:rsidP="00C14A82">
      <w:pPr>
        <w:pStyle w:val="ListParagraph"/>
        <w:numPr>
          <w:ilvl w:val="0"/>
          <w:numId w:val="9"/>
        </w:numPr>
      </w:pPr>
      <w:r>
        <w:t>Between 5 million and 19.99 million: 15.66%</w:t>
      </w:r>
    </w:p>
    <w:p w14:paraId="50AD45D5" w14:textId="77777777" w:rsidR="00C14A82" w:rsidRDefault="00C14A82" w:rsidP="00C14A82">
      <w:pPr>
        <w:pStyle w:val="ListParagraph"/>
        <w:numPr>
          <w:ilvl w:val="0"/>
          <w:numId w:val="9"/>
        </w:numPr>
      </w:pPr>
      <w:r>
        <w:t>Above 20 million: 3.61%.</w:t>
      </w:r>
    </w:p>
    <w:p w14:paraId="225CE0DC" w14:textId="77777777" w:rsidR="00C14A82" w:rsidRPr="008C4729" w:rsidRDefault="00C14A82" w:rsidP="00C14A82">
      <w:pPr>
        <w:pStyle w:val="Heading3"/>
      </w:pPr>
      <w:r>
        <w:t>What percentage of exports made up your organisation’s total turnover last financial year (2019/2020)?</w:t>
      </w:r>
    </w:p>
    <w:p w14:paraId="602B21A6" w14:textId="77777777" w:rsidR="00C14A82" w:rsidRDefault="00C14A82" w:rsidP="00C14A82">
      <w:pPr>
        <w:pStyle w:val="BulletList"/>
        <w:numPr>
          <w:ilvl w:val="0"/>
          <w:numId w:val="11"/>
        </w:numPr>
      </w:pPr>
      <w:r>
        <w:t>40 per cent of organisations said exports made up 0–24% of their organisation’s total turnover in 2019/2020</w:t>
      </w:r>
    </w:p>
    <w:p w14:paraId="71B6D350" w14:textId="77777777" w:rsidR="00C14A82" w:rsidRDefault="00C14A82" w:rsidP="00C14A82">
      <w:pPr>
        <w:pStyle w:val="BulletList"/>
        <w:numPr>
          <w:ilvl w:val="0"/>
          <w:numId w:val="11"/>
        </w:numPr>
      </w:pPr>
      <w:r>
        <w:t>18 per cent of organisations said exports made up 25–49% of their organisation’s total turnover in 2019/2020</w:t>
      </w:r>
    </w:p>
    <w:p w14:paraId="0DD5A77D" w14:textId="77777777" w:rsidR="00C14A82" w:rsidRDefault="00C14A82" w:rsidP="00C14A82">
      <w:pPr>
        <w:pStyle w:val="BulletList"/>
        <w:numPr>
          <w:ilvl w:val="0"/>
          <w:numId w:val="11"/>
        </w:numPr>
      </w:pPr>
      <w:r>
        <w:t>14 per cent of organisations said exports made up 50–74% of their organisation’s total turnover in 2019/2020</w:t>
      </w:r>
    </w:p>
    <w:p w14:paraId="588730F6" w14:textId="77777777" w:rsidR="00C14A82" w:rsidRDefault="00C14A82" w:rsidP="00C14A82">
      <w:pPr>
        <w:pStyle w:val="BulletList"/>
        <w:numPr>
          <w:ilvl w:val="0"/>
          <w:numId w:val="11"/>
        </w:numPr>
      </w:pPr>
      <w:r>
        <w:t>20 per cent of organisations said exports made up 75–100% of their organisation’s total turnover in 2019/2020.</w:t>
      </w:r>
    </w:p>
    <w:p w14:paraId="556E434E" w14:textId="77777777" w:rsidR="00C14A82" w:rsidRPr="00306B15" w:rsidRDefault="00C14A82" w:rsidP="00C14A82">
      <w:pPr>
        <w:pStyle w:val="Heading2"/>
      </w:pPr>
      <w:bookmarkStart w:id="6" w:name="_Toc90890703"/>
      <w:r w:rsidRPr="00306B15">
        <w:t>Exporter highlights</w:t>
      </w:r>
      <w:bookmarkEnd w:id="6"/>
      <w:r w:rsidRPr="00306B15">
        <w:t xml:space="preserve"> </w:t>
      </w:r>
    </w:p>
    <w:p w14:paraId="0218DD6F" w14:textId="77777777" w:rsidR="00C14A82" w:rsidRPr="00306B15" w:rsidRDefault="00C14A82" w:rsidP="00C14A82">
      <w:r w:rsidRPr="00306B15">
        <w:t>The majority of respondents – 65 per cent – are currently servicing customers in international markets. Of the 34 per cent that are not currently exporting, over half had previously tried. This indicates the global nature of these businesses.</w:t>
      </w:r>
    </w:p>
    <w:p w14:paraId="0EF3937D" w14:textId="77777777" w:rsidR="00C14A82" w:rsidRPr="00306B15" w:rsidRDefault="00C14A82" w:rsidP="00C14A82">
      <w:pPr>
        <w:pStyle w:val="Heading3"/>
      </w:pPr>
      <w:r w:rsidRPr="00306B15">
        <w:t>Export revenue</w:t>
      </w:r>
    </w:p>
    <w:p w14:paraId="316DE3AD" w14:textId="77777777" w:rsidR="00C14A82" w:rsidRPr="00306B15" w:rsidRDefault="00C14A82" w:rsidP="00C14A82">
      <w:r w:rsidRPr="00306B15">
        <w:t>Approximately 34 per cent of exporters reported that 50 per cent or more of their total revenue is derived from exports. 20 per cent noted that 75–100 per cent of their revenue is derived from exports, demonstrating AI businesses reliance on overseas sources of income.</w:t>
      </w:r>
    </w:p>
    <w:p w14:paraId="5FC43658" w14:textId="77777777" w:rsidR="00C14A82" w:rsidRPr="00306B15" w:rsidRDefault="00C14A82" w:rsidP="00C14A82">
      <w:pPr>
        <w:pStyle w:val="Heading3"/>
      </w:pPr>
      <w:r w:rsidRPr="00306B15">
        <w:t xml:space="preserve">Overseas markets serviced </w:t>
      </w:r>
    </w:p>
    <w:p w14:paraId="0565A74A" w14:textId="77777777" w:rsidR="00C14A82" w:rsidRDefault="00C14A82" w:rsidP="00C14A82">
      <w:r w:rsidRPr="00306B15">
        <w:t>Unsurprisingly, when asked to share the current top 3 country export destinations by revenue, the US and UK featured most prominently. 76 per cent of respondents list the US in their top 3, 38 per cent the UK followed by 14 per cent for Germany.</w:t>
      </w:r>
    </w:p>
    <w:p w14:paraId="27CF62C7" w14:textId="77777777" w:rsidR="00C14A82" w:rsidRDefault="00C14A82" w:rsidP="00C14A82">
      <w:pPr>
        <w:pStyle w:val="Heading3"/>
      </w:pPr>
      <w:r>
        <w:t xml:space="preserve">Top export markets – current </w:t>
      </w:r>
    </w:p>
    <w:p w14:paraId="5A0D3C2A" w14:textId="77777777" w:rsidR="00C14A82" w:rsidRDefault="00C14A82" w:rsidP="00C14A82">
      <w:pPr>
        <w:pStyle w:val="ListParagraph"/>
        <w:numPr>
          <w:ilvl w:val="0"/>
          <w:numId w:val="10"/>
        </w:numPr>
      </w:pPr>
      <w:r>
        <w:t>US: 76 per cent</w:t>
      </w:r>
    </w:p>
    <w:p w14:paraId="48CA0939" w14:textId="77777777" w:rsidR="00C14A82" w:rsidRDefault="00C14A82" w:rsidP="00C14A82">
      <w:pPr>
        <w:pStyle w:val="ListParagraph"/>
        <w:numPr>
          <w:ilvl w:val="0"/>
          <w:numId w:val="10"/>
        </w:numPr>
      </w:pPr>
      <w:r>
        <w:t>UK: 38 per cent</w:t>
      </w:r>
    </w:p>
    <w:p w14:paraId="09D0B41D" w14:textId="77777777" w:rsidR="00C14A82" w:rsidRDefault="00C14A82" w:rsidP="00C14A82">
      <w:pPr>
        <w:pStyle w:val="ListParagraph"/>
        <w:numPr>
          <w:ilvl w:val="0"/>
          <w:numId w:val="10"/>
        </w:numPr>
      </w:pPr>
      <w:r>
        <w:t>Germany: 14 per cent</w:t>
      </w:r>
    </w:p>
    <w:p w14:paraId="269A7F4C" w14:textId="77777777" w:rsidR="00C14A82" w:rsidRDefault="00C14A82" w:rsidP="00C14A82">
      <w:pPr>
        <w:pStyle w:val="ListParagraph"/>
        <w:numPr>
          <w:ilvl w:val="0"/>
          <w:numId w:val="10"/>
        </w:numPr>
      </w:pPr>
      <w:r>
        <w:t>Singapore: 12 per cent</w:t>
      </w:r>
    </w:p>
    <w:p w14:paraId="10125A62" w14:textId="77777777" w:rsidR="00C14A82" w:rsidRDefault="00C14A82" w:rsidP="00C14A82">
      <w:pPr>
        <w:pStyle w:val="ListParagraph"/>
        <w:numPr>
          <w:ilvl w:val="0"/>
          <w:numId w:val="10"/>
        </w:numPr>
      </w:pPr>
      <w:r>
        <w:t>Canada: 10 per cent</w:t>
      </w:r>
    </w:p>
    <w:p w14:paraId="2B2217ED" w14:textId="77777777" w:rsidR="00C14A82" w:rsidRDefault="00C14A82" w:rsidP="00C14A82">
      <w:pPr>
        <w:pStyle w:val="ListParagraph"/>
        <w:numPr>
          <w:ilvl w:val="0"/>
          <w:numId w:val="10"/>
        </w:numPr>
      </w:pPr>
      <w:r>
        <w:t>New Zealand: 10 per cent</w:t>
      </w:r>
    </w:p>
    <w:p w14:paraId="55FCAD06" w14:textId="77777777" w:rsidR="00C14A82" w:rsidRDefault="00C14A82" w:rsidP="00C14A82">
      <w:pPr>
        <w:pStyle w:val="ListParagraph"/>
        <w:numPr>
          <w:ilvl w:val="0"/>
          <w:numId w:val="10"/>
        </w:numPr>
      </w:pPr>
      <w:r>
        <w:t>Japan: 6 per cent</w:t>
      </w:r>
    </w:p>
    <w:p w14:paraId="5986956C" w14:textId="77777777" w:rsidR="00C14A82" w:rsidRDefault="00C14A82" w:rsidP="00C14A82">
      <w:pPr>
        <w:pStyle w:val="ListParagraph"/>
        <w:numPr>
          <w:ilvl w:val="0"/>
          <w:numId w:val="10"/>
        </w:numPr>
      </w:pPr>
      <w:r>
        <w:t>Chile: 6 per cent</w:t>
      </w:r>
    </w:p>
    <w:p w14:paraId="1B1F2CB3" w14:textId="77777777" w:rsidR="00C14A82" w:rsidRDefault="00C14A82" w:rsidP="00C14A82">
      <w:pPr>
        <w:pStyle w:val="ListParagraph"/>
        <w:numPr>
          <w:ilvl w:val="0"/>
          <w:numId w:val="10"/>
        </w:numPr>
      </w:pPr>
      <w:r>
        <w:t>South Africa: 4 per cent</w:t>
      </w:r>
    </w:p>
    <w:p w14:paraId="1602880D" w14:textId="77777777" w:rsidR="00C14A82" w:rsidRDefault="00C14A82" w:rsidP="00C14A82">
      <w:pPr>
        <w:pStyle w:val="ListParagraph"/>
        <w:numPr>
          <w:ilvl w:val="0"/>
          <w:numId w:val="10"/>
        </w:numPr>
      </w:pPr>
      <w:r>
        <w:t>UAE: 4 per cent.</w:t>
      </w:r>
    </w:p>
    <w:p w14:paraId="7A2A16F6" w14:textId="77777777" w:rsidR="00C14A82" w:rsidRPr="006127AF" w:rsidRDefault="00C14A82" w:rsidP="00C14A82">
      <w:r w:rsidRPr="006127AF">
        <w:t xml:space="preserve">When narrowing down to the number one export market, 38 per cent of exporters cited the US as its number 1 market and 20 per cent the UK. </w:t>
      </w:r>
    </w:p>
    <w:p w14:paraId="3BBFDD12" w14:textId="77777777" w:rsidR="00C14A82" w:rsidRPr="006127AF" w:rsidRDefault="00C14A82" w:rsidP="00C14A82">
      <w:r w:rsidRPr="006127AF">
        <w:t xml:space="preserve">Exporters were also asked to share the top 3 export markets they would like to target next. While the US and UK also lead in markets that AI businesses want to export to, highlighting the immense customer opportunity in each location, there’s a divergence between responses to current and future export destinations. </w:t>
      </w:r>
    </w:p>
    <w:p w14:paraId="4A90BF33" w14:textId="77777777" w:rsidR="00C14A82" w:rsidRDefault="00C14A82" w:rsidP="00C14A82">
      <w:r w:rsidRPr="006127AF">
        <w:t>AI exporters want to lift their sales in Canada and Japan. Countries like France, Brazil and India that don’t feature in the current top markets are being targeted.</w:t>
      </w:r>
    </w:p>
    <w:p w14:paraId="2E03E231" w14:textId="77777777" w:rsidR="00C14A82" w:rsidRDefault="00C14A82" w:rsidP="00C14A82">
      <w:pPr>
        <w:pStyle w:val="Heading3"/>
      </w:pPr>
      <w:r>
        <w:t xml:space="preserve">Top export markets – future </w:t>
      </w:r>
    </w:p>
    <w:p w14:paraId="66094365" w14:textId="77777777" w:rsidR="00C14A82" w:rsidRDefault="00C14A82" w:rsidP="00C14A82">
      <w:pPr>
        <w:pStyle w:val="ListParagraph"/>
        <w:numPr>
          <w:ilvl w:val="0"/>
          <w:numId w:val="10"/>
        </w:numPr>
      </w:pPr>
      <w:r>
        <w:t>US: 63 per cent</w:t>
      </w:r>
    </w:p>
    <w:p w14:paraId="0C6B727B" w14:textId="77777777" w:rsidR="00C14A82" w:rsidRDefault="00C14A82" w:rsidP="00C14A82">
      <w:pPr>
        <w:pStyle w:val="ListParagraph"/>
        <w:numPr>
          <w:ilvl w:val="0"/>
          <w:numId w:val="10"/>
        </w:numPr>
      </w:pPr>
      <w:r>
        <w:t>UK: 33 per cent</w:t>
      </w:r>
    </w:p>
    <w:p w14:paraId="111384AB" w14:textId="77777777" w:rsidR="00C14A82" w:rsidRDefault="00C14A82" w:rsidP="00C14A82">
      <w:pPr>
        <w:pStyle w:val="ListParagraph"/>
        <w:numPr>
          <w:ilvl w:val="0"/>
          <w:numId w:val="10"/>
        </w:numPr>
      </w:pPr>
      <w:r>
        <w:t>Canada: 31 per cent</w:t>
      </w:r>
    </w:p>
    <w:p w14:paraId="34D55F80" w14:textId="77777777" w:rsidR="00C14A82" w:rsidRDefault="00C14A82" w:rsidP="00C14A82">
      <w:pPr>
        <w:pStyle w:val="ListParagraph"/>
        <w:numPr>
          <w:ilvl w:val="0"/>
          <w:numId w:val="10"/>
        </w:numPr>
      </w:pPr>
      <w:r>
        <w:t>Germany: 13 per cent</w:t>
      </w:r>
    </w:p>
    <w:p w14:paraId="78BD80FF" w14:textId="77777777" w:rsidR="00C14A82" w:rsidRDefault="00C14A82" w:rsidP="00C14A82">
      <w:pPr>
        <w:pStyle w:val="ListParagraph"/>
        <w:numPr>
          <w:ilvl w:val="0"/>
          <w:numId w:val="10"/>
        </w:numPr>
      </w:pPr>
      <w:r>
        <w:t>Japan: 10 per cent</w:t>
      </w:r>
    </w:p>
    <w:p w14:paraId="190AAC21" w14:textId="77777777" w:rsidR="00C14A82" w:rsidRDefault="00C14A82" w:rsidP="00C14A82">
      <w:pPr>
        <w:pStyle w:val="ListParagraph"/>
        <w:numPr>
          <w:ilvl w:val="0"/>
          <w:numId w:val="10"/>
        </w:numPr>
      </w:pPr>
      <w:r>
        <w:t>France: 8 per cent</w:t>
      </w:r>
    </w:p>
    <w:p w14:paraId="497A1A45" w14:textId="77777777" w:rsidR="00C14A82" w:rsidRDefault="00C14A82" w:rsidP="00C14A82">
      <w:pPr>
        <w:pStyle w:val="ListParagraph"/>
        <w:numPr>
          <w:ilvl w:val="0"/>
          <w:numId w:val="10"/>
        </w:numPr>
      </w:pPr>
      <w:r>
        <w:t>Brazil: 8 per cent</w:t>
      </w:r>
    </w:p>
    <w:p w14:paraId="6C4EB051" w14:textId="77777777" w:rsidR="00C14A82" w:rsidRDefault="00C14A82" w:rsidP="00C14A82">
      <w:pPr>
        <w:pStyle w:val="ListParagraph"/>
        <w:numPr>
          <w:ilvl w:val="0"/>
          <w:numId w:val="10"/>
        </w:numPr>
      </w:pPr>
      <w:r>
        <w:t>India: 6 per cent</w:t>
      </w:r>
    </w:p>
    <w:p w14:paraId="21CEF8CE" w14:textId="77777777" w:rsidR="00C14A82" w:rsidRDefault="00C14A82" w:rsidP="00C14A82">
      <w:pPr>
        <w:pStyle w:val="ListParagraph"/>
        <w:numPr>
          <w:ilvl w:val="0"/>
          <w:numId w:val="10"/>
        </w:numPr>
      </w:pPr>
      <w:r>
        <w:t>Chile: 6 per cent.</w:t>
      </w:r>
    </w:p>
    <w:p w14:paraId="1C2BC789" w14:textId="77777777" w:rsidR="00C14A82" w:rsidRPr="00122489" w:rsidRDefault="00C14A82" w:rsidP="00C14A82">
      <w:pPr>
        <w:pStyle w:val="Heading3"/>
      </w:pPr>
      <w:r w:rsidRPr="00122489">
        <w:t xml:space="preserve">Overseas industries serviced </w:t>
      </w:r>
    </w:p>
    <w:p w14:paraId="56929E4C" w14:textId="77777777" w:rsidR="00C14A82" w:rsidRPr="00122489" w:rsidRDefault="00C14A82" w:rsidP="00C14A82">
      <w:r w:rsidRPr="00122489">
        <w:t>Exporters target a wide range of industry verticals in overseas markets. The top target market is Defence, Aerospace &amp; Security. This vertical was selected by 14 per cent of the 50 current exporters.</w:t>
      </w:r>
    </w:p>
    <w:p w14:paraId="51CFA70B" w14:textId="77777777" w:rsidR="00C14A82" w:rsidRPr="00122489" w:rsidRDefault="00C14A82" w:rsidP="00C14A82">
      <w:r w:rsidRPr="00122489">
        <w:t xml:space="preserve">12 per cent selected Financial Services, Healthcare and Mining, Energy &amp; Resources each, followed by Information Technology Services at 10 per cent. </w:t>
      </w:r>
    </w:p>
    <w:p w14:paraId="26483E3E" w14:textId="77777777" w:rsidR="00C14A82" w:rsidRPr="00122489" w:rsidRDefault="00C14A82" w:rsidP="00C14A82">
      <w:r w:rsidRPr="00122489">
        <w:t>Interestingly, when asked earlier to share their top industry verticals overall, Financial Services was 8th. However, here as an export priority it sits 2nd. Similarly, Healthcare and Information Technology Services ranked higher as an export vertical.</w:t>
      </w:r>
    </w:p>
    <w:p w14:paraId="3C88A3EB" w14:textId="77777777" w:rsidR="00C14A82" w:rsidRDefault="00C14A82" w:rsidP="00C14A82">
      <w:pPr>
        <w:pStyle w:val="Heading3"/>
      </w:pPr>
      <w:r>
        <w:t>Top industry verticals</w:t>
      </w:r>
    </w:p>
    <w:p w14:paraId="61054E94" w14:textId="77777777" w:rsidR="00C14A82" w:rsidRDefault="00C14A82" w:rsidP="00C14A82">
      <w:pPr>
        <w:pStyle w:val="ListParagraph"/>
        <w:numPr>
          <w:ilvl w:val="0"/>
          <w:numId w:val="14"/>
        </w:numPr>
      </w:pPr>
      <w:r>
        <w:t>Aerospace and defence: 14 per cent</w:t>
      </w:r>
    </w:p>
    <w:p w14:paraId="23A4664C" w14:textId="77777777" w:rsidR="00C14A82" w:rsidRDefault="00C14A82" w:rsidP="00C14A82">
      <w:pPr>
        <w:pStyle w:val="ListParagraph"/>
        <w:numPr>
          <w:ilvl w:val="0"/>
          <w:numId w:val="14"/>
        </w:numPr>
      </w:pPr>
      <w:r>
        <w:t>Financial services: 12 per cent</w:t>
      </w:r>
    </w:p>
    <w:p w14:paraId="74F545FA" w14:textId="77777777" w:rsidR="00C14A82" w:rsidRDefault="00C14A82" w:rsidP="00C14A82">
      <w:pPr>
        <w:pStyle w:val="ListParagraph"/>
        <w:numPr>
          <w:ilvl w:val="0"/>
          <w:numId w:val="14"/>
        </w:numPr>
      </w:pPr>
      <w:r>
        <w:t>Healthcare: 12 per cent</w:t>
      </w:r>
    </w:p>
    <w:p w14:paraId="008A75E5" w14:textId="77777777" w:rsidR="00C14A82" w:rsidRDefault="00C14A82" w:rsidP="00C14A82">
      <w:pPr>
        <w:pStyle w:val="ListParagraph"/>
        <w:numPr>
          <w:ilvl w:val="0"/>
          <w:numId w:val="14"/>
        </w:numPr>
      </w:pPr>
      <w:r>
        <w:t>Mining, energy and resources: 12 per cent</w:t>
      </w:r>
    </w:p>
    <w:p w14:paraId="5AD97F39" w14:textId="77777777" w:rsidR="00C14A82" w:rsidRDefault="00C14A82" w:rsidP="00C14A82">
      <w:pPr>
        <w:pStyle w:val="ListParagraph"/>
        <w:numPr>
          <w:ilvl w:val="0"/>
          <w:numId w:val="14"/>
        </w:numPr>
      </w:pPr>
      <w:r>
        <w:t xml:space="preserve">Information technology services: 10 per cent </w:t>
      </w:r>
    </w:p>
    <w:p w14:paraId="64F28DEA" w14:textId="77777777" w:rsidR="00C14A82" w:rsidRPr="00DD7B24" w:rsidRDefault="00C14A82" w:rsidP="00C14A82">
      <w:pPr>
        <w:pStyle w:val="ListParagraph"/>
        <w:numPr>
          <w:ilvl w:val="0"/>
          <w:numId w:val="14"/>
        </w:numPr>
      </w:pPr>
      <w:r w:rsidRPr="00DD7B24">
        <w:t xml:space="preserve">Agriculture: 8 per cent </w:t>
      </w:r>
    </w:p>
    <w:p w14:paraId="483B3801" w14:textId="77777777" w:rsidR="00C14A82" w:rsidRDefault="00C14A82" w:rsidP="00C14A82">
      <w:pPr>
        <w:pStyle w:val="ListParagraph"/>
        <w:numPr>
          <w:ilvl w:val="0"/>
          <w:numId w:val="14"/>
        </w:numPr>
      </w:pPr>
      <w:r w:rsidRPr="00DD7B24">
        <w:t>C</w:t>
      </w:r>
      <w:r>
        <w:t xml:space="preserve">onsumer: 6 per cent </w:t>
      </w:r>
    </w:p>
    <w:p w14:paraId="22E04AB8" w14:textId="77777777" w:rsidR="00C14A82" w:rsidRDefault="00C14A82" w:rsidP="00C14A82">
      <w:pPr>
        <w:pStyle w:val="ListParagraph"/>
        <w:numPr>
          <w:ilvl w:val="0"/>
          <w:numId w:val="14"/>
        </w:numPr>
      </w:pPr>
      <w:r>
        <w:t>Defence and security: 6 per cent</w:t>
      </w:r>
    </w:p>
    <w:p w14:paraId="119F2BD8" w14:textId="77777777" w:rsidR="00C14A82" w:rsidRDefault="00C14A82" w:rsidP="00C14A82">
      <w:pPr>
        <w:pStyle w:val="ListParagraph"/>
        <w:numPr>
          <w:ilvl w:val="0"/>
          <w:numId w:val="14"/>
        </w:numPr>
      </w:pPr>
      <w:r>
        <w:t xml:space="preserve">Entertainment: 6 per cent </w:t>
      </w:r>
    </w:p>
    <w:p w14:paraId="2261BD62" w14:textId="77777777" w:rsidR="00C14A82" w:rsidRDefault="00C14A82" w:rsidP="00C14A82">
      <w:pPr>
        <w:pStyle w:val="ListParagraph"/>
        <w:numPr>
          <w:ilvl w:val="0"/>
          <w:numId w:val="14"/>
        </w:numPr>
      </w:pPr>
      <w:r>
        <w:t>Retail: 4 per cent</w:t>
      </w:r>
    </w:p>
    <w:p w14:paraId="1AAB301F" w14:textId="77777777" w:rsidR="00C14A82" w:rsidRDefault="00C14A82" w:rsidP="00C14A82">
      <w:pPr>
        <w:pStyle w:val="ListParagraph"/>
        <w:numPr>
          <w:ilvl w:val="0"/>
          <w:numId w:val="14"/>
        </w:numPr>
      </w:pPr>
      <w:r>
        <w:t>Transport: 4 per cent</w:t>
      </w:r>
    </w:p>
    <w:p w14:paraId="3461CEBC" w14:textId="77777777" w:rsidR="00C14A82" w:rsidRDefault="00C14A82" w:rsidP="00C14A82">
      <w:pPr>
        <w:pStyle w:val="ListParagraph"/>
        <w:numPr>
          <w:ilvl w:val="0"/>
          <w:numId w:val="14"/>
        </w:numPr>
      </w:pPr>
      <w:r>
        <w:t>Logistics: 2 per cent</w:t>
      </w:r>
    </w:p>
    <w:p w14:paraId="2744C1FD" w14:textId="77777777" w:rsidR="00C14A82" w:rsidRDefault="00C14A82" w:rsidP="00C14A82">
      <w:pPr>
        <w:pStyle w:val="ListParagraph"/>
        <w:numPr>
          <w:ilvl w:val="0"/>
          <w:numId w:val="14"/>
        </w:numPr>
      </w:pPr>
      <w:r>
        <w:t>Media: 2 per cent</w:t>
      </w:r>
    </w:p>
    <w:p w14:paraId="13D2C986" w14:textId="77777777" w:rsidR="00C14A82" w:rsidRDefault="00C14A82" w:rsidP="00C14A82">
      <w:pPr>
        <w:pStyle w:val="ListParagraph"/>
        <w:numPr>
          <w:ilvl w:val="0"/>
          <w:numId w:val="14"/>
        </w:numPr>
      </w:pPr>
      <w:r>
        <w:t>Real estate: 2 per cent.</w:t>
      </w:r>
    </w:p>
    <w:p w14:paraId="1889DF84" w14:textId="77777777" w:rsidR="00C14A82" w:rsidRPr="005042DF" w:rsidRDefault="00C14A82" w:rsidP="00C14A82">
      <w:pPr>
        <w:pStyle w:val="Heading2"/>
      </w:pPr>
      <w:bookmarkStart w:id="7" w:name="_Toc90890704"/>
      <w:r w:rsidRPr="005042DF">
        <w:t>Exporter demographics</w:t>
      </w:r>
      <w:bookmarkEnd w:id="7"/>
      <w:r w:rsidRPr="005042DF">
        <w:t xml:space="preserve"> </w:t>
      </w:r>
    </w:p>
    <w:p w14:paraId="7C508984" w14:textId="77777777" w:rsidR="00C14A82" w:rsidRDefault="00C14A82" w:rsidP="00C14A82">
      <w:r w:rsidRPr="005042DF">
        <w:t xml:space="preserve">The survey asked AI exporters about their current and future employment plans. </w:t>
      </w:r>
    </w:p>
    <w:p w14:paraId="38B8807E" w14:textId="77777777" w:rsidR="00C14A82" w:rsidRDefault="00C14A82" w:rsidP="00C14A82">
      <w:pPr>
        <w:pStyle w:val="ListParagraph"/>
        <w:numPr>
          <w:ilvl w:val="0"/>
          <w:numId w:val="15"/>
        </w:numPr>
      </w:pPr>
      <w:r w:rsidRPr="005042DF">
        <w:t>46 per cent indicated they currently employ between 20 to 99 full-time staff</w:t>
      </w:r>
    </w:p>
    <w:p w14:paraId="19263F36" w14:textId="77777777" w:rsidR="00C14A82" w:rsidRDefault="00C14A82" w:rsidP="00C14A82">
      <w:pPr>
        <w:pStyle w:val="ListParagraph"/>
        <w:numPr>
          <w:ilvl w:val="0"/>
          <w:numId w:val="15"/>
        </w:numPr>
      </w:pPr>
      <w:r>
        <w:t>34 per cent indicated they currently employ between 10 and 19 full-time staff</w:t>
      </w:r>
    </w:p>
    <w:p w14:paraId="6B53C17F" w14:textId="77777777" w:rsidR="00C14A82" w:rsidRDefault="00C14A82" w:rsidP="00C14A82">
      <w:pPr>
        <w:pStyle w:val="ListParagraph"/>
        <w:numPr>
          <w:ilvl w:val="0"/>
          <w:numId w:val="15"/>
        </w:numPr>
      </w:pPr>
      <w:r>
        <w:t>20 per cent indicated they currently employ between 0 and 9 full-time staff.</w:t>
      </w:r>
    </w:p>
    <w:p w14:paraId="07331EE6" w14:textId="77777777" w:rsidR="00C14A82" w:rsidRDefault="00C14A82" w:rsidP="00C14A82">
      <w:r>
        <w:t>All exporters said they plan to hire more employees in the next 12 months.</w:t>
      </w:r>
    </w:p>
    <w:p w14:paraId="4F351779" w14:textId="77777777" w:rsidR="00C14A82" w:rsidRDefault="00C14A82" w:rsidP="00C14A82">
      <w:pPr>
        <w:pStyle w:val="ListParagraph"/>
        <w:numPr>
          <w:ilvl w:val="0"/>
          <w:numId w:val="15"/>
        </w:numPr>
      </w:pPr>
      <w:r>
        <w:t>24</w:t>
      </w:r>
      <w:r w:rsidRPr="005042DF">
        <w:t xml:space="preserve"> per cent indicated they </w:t>
      </w:r>
      <w:r>
        <w:t xml:space="preserve">intend to employ </w:t>
      </w:r>
      <w:r w:rsidRPr="005042DF">
        <w:t xml:space="preserve">between </w:t>
      </w:r>
      <w:r>
        <w:t>1 and 5 employees</w:t>
      </w:r>
    </w:p>
    <w:p w14:paraId="42D26675" w14:textId="77777777" w:rsidR="00C14A82" w:rsidRDefault="00C14A82" w:rsidP="00C14A82">
      <w:pPr>
        <w:pStyle w:val="ListParagraph"/>
        <w:numPr>
          <w:ilvl w:val="0"/>
          <w:numId w:val="15"/>
        </w:numPr>
      </w:pPr>
      <w:r>
        <w:t>22</w:t>
      </w:r>
      <w:r w:rsidRPr="005042DF">
        <w:t xml:space="preserve"> per cent indicated they </w:t>
      </w:r>
      <w:r>
        <w:t xml:space="preserve">intend to employ </w:t>
      </w:r>
      <w:r w:rsidRPr="005042DF">
        <w:t xml:space="preserve">between </w:t>
      </w:r>
      <w:r>
        <w:t>6 and 10 employees</w:t>
      </w:r>
    </w:p>
    <w:p w14:paraId="1CB166C1" w14:textId="77777777" w:rsidR="00C14A82" w:rsidRDefault="00C14A82" w:rsidP="00C14A82">
      <w:pPr>
        <w:pStyle w:val="ListParagraph"/>
        <w:numPr>
          <w:ilvl w:val="0"/>
          <w:numId w:val="15"/>
        </w:numPr>
      </w:pPr>
      <w:r>
        <w:t>18</w:t>
      </w:r>
      <w:r w:rsidRPr="005042DF">
        <w:t xml:space="preserve"> per cent indicated they </w:t>
      </w:r>
      <w:r>
        <w:t xml:space="preserve">intend to employ </w:t>
      </w:r>
      <w:r w:rsidRPr="005042DF">
        <w:t xml:space="preserve">between </w:t>
      </w:r>
      <w:r>
        <w:t>11 and 20 employees</w:t>
      </w:r>
    </w:p>
    <w:p w14:paraId="5CBFC231" w14:textId="77777777" w:rsidR="00C14A82" w:rsidRDefault="00C14A82" w:rsidP="00C14A82">
      <w:pPr>
        <w:pStyle w:val="ListParagraph"/>
        <w:numPr>
          <w:ilvl w:val="0"/>
          <w:numId w:val="15"/>
        </w:numPr>
      </w:pPr>
      <w:r>
        <w:t>32</w:t>
      </w:r>
      <w:r w:rsidRPr="005042DF">
        <w:t xml:space="preserve"> per cent indicated they </w:t>
      </w:r>
      <w:r>
        <w:t>intend to employ more than 21 employees.</w:t>
      </w:r>
    </w:p>
    <w:p w14:paraId="4389C7F6" w14:textId="77777777" w:rsidR="00C14A82" w:rsidRPr="00C1273E" w:rsidRDefault="00C14A82" w:rsidP="00C14A82">
      <w:pPr>
        <w:rPr>
          <w:b/>
          <w:i/>
          <w:iCs/>
          <w:color w:val="auto"/>
        </w:rPr>
      </w:pPr>
      <w:r w:rsidRPr="00C1273E">
        <w:rPr>
          <w:i/>
          <w:iCs/>
        </w:rPr>
        <w:t>Percentage of respondents that preferred not to disclose has not been included.</w:t>
      </w:r>
    </w:p>
    <w:p w14:paraId="17C9135E" w14:textId="77777777" w:rsidR="00C14A82" w:rsidRPr="00C1273E" w:rsidRDefault="00C14A82" w:rsidP="00C14A82">
      <w:r w:rsidRPr="00C1273E">
        <w:t xml:space="preserve">When asked about capital raising, 92 per cent of exporters indicated they intend to raise funding in the future. Of this group, 83 per cent are planning to execute a capital raise in the next 12 months. Viewed alongside employment intent, it is clear that AI exporting businesses are highly optimistic in terms of growth outlook. </w:t>
      </w:r>
    </w:p>
    <w:p w14:paraId="17F8BF50" w14:textId="77777777" w:rsidR="00C14A82" w:rsidRPr="00C1273E" w:rsidRDefault="00C14A82" w:rsidP="00903C9A">
      <w:pPr>
        <w:pStyle w:val="Heading2"/>
      </w:pPr>
      <w:bookmarkStart w:id="8" w:name="_Toc90890705"/>
      <w:r w:rsidRPr="00C1273E">
        <w:t>Challenges and barriers faced by exporters</w:t>
      </w:r>
      <w:bookmarkEnd w:id="8"/>
      <w:r w:rsidRPr="00C1273E">
        <w:t xml:space="preserve"> </w:t>
      </w:r>
    </w:p>
    <w:p w14:paraId="3CD02273" w14:textId="77777777" w:rsidR="00C14A82" w:rsidRPr="00C1273E" w:rsidRDefault="00C14A82" w:rsidP="00C14A82">
      <w:r w:rsidRPr="00C1273E">
        <w:t xml:space="preserve">The survey sought insights on the challenges and barriers experienced by exporters in taking solutions global. Unsurprisingly, COVID’s impact was cited most frequently. The impact spanned the ability to network with potential customers, the ability to generate leads, and the ability to hire the right </w:t>
      </w:r>
      <w:proofErr w:type="spellStart"/>
      <w:r w:rsidRPr="00C1273E">
        <w:t>staffto</w:t>
      </w:r>
      <w:proofErr w:type="spellEnd"/>
      <w:r w:rsidRPr="00C1273E">
        <w:t xml:space="preserve"> take their businesses forward in overseas markets. </w:t>
      </w:r>
    </w:p>
    <w:p w14:paraId="17C66D12" w14:textId="77777777" w:rsidR="00C14A82" w:rsidRPr="00B54B7B" w:rsidRDefault="00C14A82" w:rsidP="00C14A82">
      <w:r w:rsidRPr="00C1273E">
        <w:t>Representative comments include:</w:t>
      </w:r>
    </w:p>
    <w:p w14:paraId="32531678" w14:textId="77777777" w:rsidR="00C14A82" w:rsidRPr="008373FF" w:rsidRDefault="00C14A82" w:rsidP="00C14A82">
      <w:r w:rsidRPr="008373FF">
        <w:rPr>
          <w:rStyle w:val="A5"/>
        </w:rPr>
        <w:t>“Travel limitations, due to COVID-19, have impacted the ability to access clients, conduct research and clinical trials in hospitals and aged care facilities.”</w:t>
      </w:r>
      <w:r w:rsidRPr="008373FF">
        <w:t xml:space="preserve"> </w:t>
      </w:r>
    </w:p>
    <w:p w14:paraId="3891C5A6" w14:textId="77777777" w:rsidR="00C14A82" w:rsidRPr="00B75674" w:rsidRDefault="00C14A82" w:rsidP="00C14A82">
      <w:pPr>
        <w:rPr>
          <w:i/>
          <w:iCs/>
        </w:rPr>
      </w:pPr>
      <w:r w:rsidRPr="00B75674">
        <w:rPr>
          <w:i/>
          <w:iCs/>
        </w:rPr>
        <w:t>“The restrictions on travel due to COVID are currently our largest challenge. The ability to access the market and to be physically present for face-to-face meetings and events limits relationship building and business transaction opportunities.”</w:t>
      </w:r>
    </w:p>
    <w:p w14:paraId="4B5832CB" w14:textId="77777777" w:rsidR="00C14A82" w:rsidRPr="00F96544" w:rsidRDefault="00C14A82" w:rsidP="00C14A82">
      <w:r w:rsidRPr="00F96544">
        <w:t xml:space="preserve">Respondents also said that the lack of relevant connections restricted export opportunities. Without brand recognition and awareness – and the marketing budget needed to change this – some companies said they struggled to compete in overseas markets. </w:t>
      </w:r>
    </w:p>
    <w:p w14:paraId="11A16626" w14:textId="77777777" w:rsidR="00C14A82" w:rsidRPr="00F96544" w:rsidRDefault="00C14A82" w:rsidP="00C14A82">
      <w:pPr>
        <w:rPr>
          <w:i/>
          <w:iCs/>
        </w:rPr>
      </w:pPr>
      <w:r w:rsidRPr="00F96544">
        <w:rPr>
          <w:i/>
          <w:iCs/>
        </w:rPr>
        <w:t>“Lead generation is easy enough but getting the opportunity to engage with the ‘right’ people at those companies is the trick.”</w:t>
      </w:r>
    </w:p>
    <w:p w14:paraId="77D86F75" w14:textId="77777777" w:rsidR="00C14A82" w:rsidRPr="00F96544" w:rsidRDefault="00C14A82" w:rsidP="00C14A82">
      <w:r w:rsidRPr="00F96544">
        <w:t xml:space="preserve">AI exporters noted the following as challenges to going global: </w:t>
      </w:r>
    </w:p>
    <w:p w14:paraId="4538C96C" w14:textId="77777777" w:rsidR="00C14A82" w:rsidRPr="0017076E" w:rsidRDefault="00C14A82" w:rsidP="00C14A82">
      <w:pPr>
        <w:pStyle w:val="ListParagraph"/>
        <w:numPr>
          <w:ilvl w:val="0"/>
          <w:numId w:val="16"/>
        </w:numPr>
        <w:rPr>
          <w:i/>
          <w:iCs/>
        </w:rPr>
      </w:pPr>
      <w:r w:rsidRPr="0017076E">
        <w:rPr>
          <w:i/>
          <w:iCs/>
        </w:rPr>
        <w:t xml:space="preserve">“... [A] ….lack of networks into overseas industries.” </w:t>
      </w:r>
    </w:p>
    <w:p w14:paraId="2E94200F" w14:textId="77777777" w:rsidR="00C14A82" w:rsidRPr="0017076E" w:rsidRDefault="00C14A82" w:rsidP="00C14A82">
      <w:pPr>
        <w:pStyle w:val="ListParagraph"/>
        <w:numPr>
          <w:ilvl w:val="0"/>
          <w:numId w:val="16"/>
        </w:numPr>
        <w:rPr>
          <w:i/>
          <w:iCs/>
        </w:rPr>
      </w:pPr>
      <w:r w:rsidRPr="0017076E">
        <w:rPr>
          <w:i/>
          <w:iCs/>
        </w:rPr>
        <w:t xml:space="preserve">“... [A] ….lack of brand recognition in the new markets; time to learn to navigate the overseas markets.” </w:t>
      </w:r>
    </w:p>
    <w:p w14:paraId="039EA18A" w14:textId="77777777" w:rsidR="00C14A82" w:rsidRPr="0017076E" w:rsidRDefault="00C14A82" w:rsidP="00C14A82">
      <w:pPr>
        <w:pStyle w:val="ListParagraph"/>
        <w:numPr>
          <w:ilvl w:val="0"/>
          <w:numId w:val="16"/>
        </w:numPr>
        <w:rPr>
          <w:i/>
          <w:iCs/>
        </w:rPr>
      </w:pPr>
      <w:r w:rsidRPr="0017076E">
        <w:rPr>
          <w:i/>
          <w:iCs/>
        </w:rPr>
        <w:t>“The company struggles to obtain connections to relevant government entities and city decision-makers.”</w:t>
      </w:r>
    </w:p>
    <w:p w14:paraId="77A7E68C" w14:textId="77777777" w:rsidR="00C14A82" w:rsidRPr="00F96544" w:rsidRDefault="00C14A82" w:rsidP="00C14A82">
      <w:r w:rsidRPr="00F96544">
        <w:t xml:space="preserve">Austrade is well placed to help Australian AI businesses understand local culture, and to connect into overseas networking channels. This would help Australian AI-enabled companies to overcome some of their current exporting challenges. </w:t>
      </w:r>
    </w:p>
    <w:p w14:paraId="7F448AA2" w14:textId="77777777" w:rsidR="00C14A82" w:rsidRPr="00F96544" w:rsidRDefault="00C14A82" w:rsidP="00C14A82">
      <w:r w:rsidRPr="00F96544">
        <w:t xml:space="preserve">Creating the right mix of policies, governance, learning development and support will strengthen Australia’s AI instruments and enable a growing economy offering jobs and prosperity. This will help Australian AI businesses address current challenges. </w:t>
      </w:r>
    </w:p>
    <w:p w14:paraId="038759C6" w14:textId="77777777" w:rsidR="00C14A82" w:rsidRPr="00F96544" w:rsidRDefault="00C14A82" w:rsidP="00C14A82">
      <w:pPr>
        <w:pStyle w:val="Heading2"/>
      </w:pPr>
      <w:bookmarkStart w:id="9" w:name="_Toc90890706"/>
      <w:r w:rsidRPr="00F96544">
        <w:t>Challenges and barriers faced by non-exporters</w:t>
      </w:r>
      <w:bookmarkEnd w:id="9"/>
      <w:r w:rsidRPr="00F96544">
        <w:t xml:space="preserve"> </w:t>
      </w:r>
    </w:p>
    <w:p w14:paraId="7A8BAA36" w14:textId="77777777" w:rsidR="00C14A82" w:rsidRPr="00F96544" w:rsidRDefault="00C14A82" w:rsidP="00C14A82">
      <w:r w:rsidRPr="00F96544">
        <w:t xml:space="preserve">When asked to identify factors that impact their ability to export or attempts to export, a majority of non-exporting respondents emphasised that they were at too early a stage in their growth path. Other barriers in common with exporters included networks in overseas markets, travel restrictions due to COVID-19 and limited funding to scale internationally. </w:t>
      </w:r>
    </w:p>
    <w:p w14:paraId="5B0DDD0A" w14:textId="77777777" w:rsidR="00C14A82" w:rsidRPr="00F96544" w:rsidRDefault="00C14A82" w:rsidP="00C14A82">
      <w:r w:rsidRPr="00F96544">
        <w:t xml:space="preserve">Limited networks and connections into the right people in the right customers appears to be the significant obstacle to gaining traction in overseas markets. </w:t>
      </w:r>
    </w:p>
    <w:p w14:paraId="3DE5B98D" w14:textId="77777777" w:rsidR="00C14A82" w:rsidRPr="00F96544" w:rsidRDefault="00C14A82" w:rsidP="00C14A82">
      <w:r w:rsidRPr="00F96544">
        <w:t xml:space="preserve">A number of non-exporting AI businesses noted that “they don’t have the contacts to potential international customers.” </w:t>
      </w:r>
    </w:p>
    <w:p w14:paraId="310C25CC" w14:textId="77777777" w:rsidR="00C14A82" w:rsidRPr="00F96544" w:rsidRDefault="00C14A82" w:rsidP="00C14A82">
      <w:pPr>
        <w:rPr>
          <w:i/>
          <w:iCs/>
        </w:rPr>
      </w:pPr>
      <w:r w:rsidRPr="00F96544">
        <w:rPr>
          <w:i/>
          <w:iCs/>
        </w:rPr>
        <w:t>“I can’t source effective partners in international markets. My organisation requires help to identify new market opportunities.”</w:t>
      </w:r>
    </w:p>
    <w:p w14:paraId="3A12D934" w14:textId="77777777" w:rsidR="00C14A82" w:rsidRDefault="00C14A82" w:rsidP="00C14A82">
      <w:r w:rsidRPr="00F96544">
        <w:t>Austrade, with its global footprint of 80+ offices in over 40 countries, can help AI businesses land and expand in global markets. Austrade can help open doors, unlock opportunities and help Australian businesses go further, faster.</w:t>
      </w:r>
    </w:p>
    <w:p w14:paraId="6A4FC022" w14:textId="77777777" w:rsidR="00C14A82" w:rsidRDefault="00C14A82" w:rsidP="00903C9A">
      <w:pPr>
        <w:pStyle w:val="Heading2"/>
      </w:pPr>
      <w:bookmarkStart w:id="10" w:name="_Toc90890707"/>
      <w:r>
        <w:t>A bright outlook</w:t>
      </w:r>
      <w:bookmarkEnd w:id="10"/>
    </w:p>
    <w:p w14:paraId="108ABA36" w14:textId="77777777" w:rsidR="00C14A82" w:rsidRPr="00437F12" w:rsidRDefault="00C14A82" w:rsidP="00C14A82">
      <w:r w:rsidRPr="00437F12">
        <w:t xml:space="preserve">As the Australian and global economies start to bounce-back after the massive disruption caused by COVID-19, Australian AI technology businesses are poised to seize opportunities in overseas markets. Australia’s innovative AI solutions, solving a variety of problems, are in demand globally. </w:t>
      </w:r>
    </w:p>
    <w:p w14:paraId="35167406" w14:textId="77777777" w:rsidR="00C14A82" w:rsidRPr="00437F12" w:rsidRDefault="00C14A82" w:rsidP="00C14A82">
      <w:r w:rsidRPr="00437F12">
        <w:t xml:space="preserve">If you’re an Australian AI business, ensure that you’ve undertaken your due diligence before committing to international expansion. Carefully select your target markets, partners and potential customers to mitigate risks. </w:t>
      </w:r>
    </w:p>
    <w:p w14:paraId="547C803C" w14:textId="77777777" w:rsidR="00721698" w:rsidRDefault="00C14A82" w:rsidP="00721698">
      <w:r w:rsidRPr="00437F12">
        <w:t>Austrade is well placed to support Australian AI businesses that are ready for global expansion, put a plan in place to succeed and execute on it.</w:t>
      </w:r>
      <w:bookmarkStart w:id="11" w:name="_Toc90889653"/>
      <w:bookmarkStart w:id="12" w:name="_Toc90890708"/>
    </w:p>
    <w:p w14:paraId="2F3599EE" w14:textId="64D4D857" w:rsidR="00145629" w:rsidRPr="00721698" w:rsidRDefault="00145629" w:rsidP="00721698">
      <w:pPr>
        <w:pStyle w:val="Heading2"/>
      </w:pPr>
      <w:r w:rsidRPr="00721698">
        <w:t>Publication</w:t>
      </w:r>
      <w:bookmarkEnd w:id="11"/>
      <w:bookmarkEnd w:id="12"/>
    </w:p>
    <w:p w14:paraId="365EFD6D" w14:textId="77777777" w:rsidR="00145629" w:rsidRPr="00BC7014" w:rsidRDefault="00145629" w:rsidP="00145629">
      <w:pPr>
        <w:pStyle w:val="Heading3"/>
        <w:rPr>
          <w:lang w:eastAsia="en-AU"/>
        </w:rPr>
      </w:pPr>
      <w:r w:rsidRPr="00BC7014">
        <w:rPr>
          <w:lang w:eastAsia="en-AU"/>
        </w:rPr>
        <w:t>Disclaimer</w:t>
      </w:r>
    </w:p>
    <w:p w14:paraId="752D20C0" w14:textId="77777777" w:rsidR="00145629" w:rsidRPr="00BC7014" w:rsidRDefault="00145629" w:rsidP="00145629">
      <w:pPr>
        <w:rPr>
          <w:lang w:eastAsia="en-AU"/>
        </w:rPr>
      </w:pPr>
      <w:r w:rsidRPr="00BC7014">
        <w:rPr>
          <w:lang w:eastAsia="en-AU"/>
        </w:rPr>
        <w:t xml:space="preserve">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t>
      </w:r>
    </w:p>
    <w:p w14:paraId="5F4E6401" w14:textId="77777777" w:rsidR="00145629" w:rsidRPr="00BC7014" w:rsidRDefault="00145629" w:rsidP="00145629">
      <w:pPr>
        <w:rPr>
          <w:lang w:eastAsia="en-AU"/>
        </w:rPr>
      </w:pPr>
      <w:r w:rsidRPr="00BC7014">
        <w:rPr>
          <w:lang w:eastAsia="en-AU"/>
        </w:rPr>
        <w:t xml:space="preserve">While care has been taken to ensure the information in this report is accurate, the Commonwealth does not accept any liability for any loss arising from reliance on the information, or from any error or omission, in the report. </w:t>
      </w:r>
    </w:p>
    <w:p w14:paraId="5D5F56C0" w14:textId="77777777" w:rsidR="00145629" w:rsidRPr="00BC7014" w:rsidRDefault="00145629" w:rsidP="00145629">
      <w:pPr>
        <w:rPr>
          <w:lang w:eastAsia="en-AU"/>
        </w:rPr>
      </w:pPr>
      <w:r w:rsidRPr="00BC7014">
        <w:rPr>
          <w:lang w:eastAsia="en-AU"/>
        </w:rPr>
        <w:t xml:space="preserve">Any person relying on this information does so at their own risk. The Commonwealth recommends the person exercise their own skill and care, including obtaining professional advice, in relation to their use of the information for their purposes. </w:t>
      </w:r>
    </w:p>
    <w:p w14:paraId="2D8FDC2B" w14:textId="77777777" w:rsidR="00145629" w:rsidRPr="008B5430" w:rsidRDefault="00145629" w:rsidP="00145629">
      <w:pPr>
        <w:rPr>
          <w:rFonts w:ascii="AU Sans BETA Text" w:hAnsi="AU Sans BETA Text" w:cs="AU Sans BETA Text"/>
        </w:rPr>
      </w:pPr>
      <w:r w:rsidRPr="008B5430">
        <w:rPr>
          <w:lang w:eastAsia="en-AU"/>
        </w:rPr>
        <w:t>The Commonwealth does not endorse any company or activity referred to in the report, and does not accept responsibility for any losses suffered in connection with any company or its activities.</w:t>
      </w:r>
    </w:p>
    <w:p w14:paraId="02FE1DFD" w14:textId="77777777" w:rsidR="00145629" w:rsidRPr="00E81BC4" w:rsidRDefault="00145629" w:rsidP="00145629">
      <w:pPr>
        <w:pStyle w:val="Heading3"/>
        <w:rPr>
          <w:lang w:eastAsia="en-AU"/>
        </w:rPr>
      </w:pPr>
      <w:r w:rsidRPr="00E81BC4">
        <w:rPr>
          <w:lang w:eastAsia="en-AU"/>
        </w:rPr>
        <w:t>Copyright</w:t>
      </w:r>
    </w:p>
    <w:p w14:paraId="69D12782" w14:textId="77777777" w:rsidR="00145629" w:rsidRPr="00E81BC4" w:rsidRDefault="00145629" w:rsidP="00145629">
      <w:pPr>
        <w:rPr>
          <w:lang w:eastAsia="en-AU"/>
        </w:rPr>
      </w:pPr>
      <w:r w:rsidRPr="00E81BC4">
        <w:rPr>
          <w:lang w:eastAsia="en-AU"/>
        </w:rPr>
        <w:t>© Commonwealth of Australia 2021</w:t>
      </w:r>
    </w:p>
    <w:p w14:paraId="17E593B4" w14:textId="77777777" w:rsidR="00145629" w:rsidRPr="00E81BC4" w:rsidRDefault="00145629" w:rsidP="00145629">
      <w:pPr>
        <w:rPr>
          <w:lang w:eastAsia="en-AU"/>
        </w:rPr>
      </w:pPr>
      <w:r w:rsidRPr="00E81BC4">
        <w:rPr>
          <w:lang w:eastAsia="en-AU"/>
        </w:rPr>
        <w:t>The material in this document is licensed under a Creative Commons Attribution – 4.0 International licence, with the exception of:</w:t>
      </w:r>
    </w:p>
    <w:p w14:paraId="5D6012F7" w14:textId="77777777" w:rsidR="00145629" w:rsidRPr="00E81BC4" w:rsidRDefault="00145629" w:rsidP="00145629">
      <w:pPr>
        <w:pStyle w:val="BulletList"/>
        <w:rPr>
          <w:lang w:eastAsia="en-AU"/>
        </w:rPr>
      </w:pPr>
      <w:r w:rsidRPr="00E81BC4">
        <w:rPr>
          <w:lang w:eastAsia="en-AU"/>
        </w:rPr>
        <w:t>the Commonwealth Coat of Arms</w:t>
      </w:r>
    </w:p>
    <w:p w14:paraId="49C47EDF" w14:textId="77777777" w:rsidR="00145629" w:rsidRPr="00E81BC4" w:rsidRDefault="00145629" w:rsidP="00145629">
      <w:pPr>
        <w:pStyle w:val="BulletList"/>
        <w:rPr>
          <w:lang w:eastAsia="en-AU"/>
        </w:rPr>
      </w:pPr>
      <w:r w:rsidRPr="00E81BC4">
        <w:rPr>
          <w:lang w:eastAsia="en-AU"/>
        </w:rPr>
        <w:t>the Australian Trade and Investment Commission's logo</w:t>
      </w:r>
    </w:p>
    <w:p w14:paraId="1244157E" w14:textId="77777777" w:rsidR="00145629" w:rsidRPr="00E81BC4" w:rsidRDefault="00145629" w:rsidP="00145629">
      <w:pPr>
        <w:pStyle w:val="BulletList"/>
        <w:rPr>
          <w:lang w:eastAsia="en-AU"/>
        </w:rPr>
      </w:pPr>
      <w:r w:rsidRPr="00E81BC4">
        <w:rPr>
          <w:lang w:eastAsia="en-AU"/>
        </w:rPr>
        <w:t>any third party material</w:t>
      </w:r>
    </w:p>
    <w:p w14:paraId="58F94C80" w14:textId="77777777" w:rsidR="00145629" w:rsidRPr="00E81BC4" w:rsidRDefault="00145629" w:rsidP="00145629">
      <w:pPr>
        <w:pStyle w:val="BulletList"/>
        <w:rPr>
          <w:lang w:eastAsia="en-AU"/>
        </w:rPr>
      </w:pPr>
      <w:r w:rsidRPr="00E81BC4">
        <w:rPr>
          <w:lang w:eastAsia="en-AU"/>
        </w:rPr>
        <w:t>any material protected by a trade mark</w:t>
      </w:r>
    </w:p>
    <w:p w14:paraId="6EF8C082" w14:textId="77777777" w:rsidR="00145629" w:rsidRPr="00E81BC4" w:rsidRDefault="00145629" w:rsidP="00145629">
      <w:pPr>
        <w:pStyle w:val="BulletList"/>
        <w:rPr>
          <w:lang w:eastAsia="en-AU"/>
        </w:rPr>
      </w:pPr>
      <w:r w:rsidRPr="00E81BC4">
        <w:rPr>
          <w:lang w:eastAsia="en-AU"/>
        </w:rPr>
        <w:t>any images and photographs.</w:t>
      </w:r>
    </w:p>
    <w:p w14:paraId="57FE3EA6" w14:textId="77777777" w:rsidR="00145629" w:rsidRPr="00266EC3" w:rsidRDefault="00145629" w:rsidP="00145629">
      <w:r w:rsidRPr="008B5430">
        <w:rPr>
          <w:lang w:eastAsia="en-AU"/>
        </w:rPr>
        <w:t xml:space="preserve">More information on this CC BY licence is set out at the </w:t>
      </w:r>
      <w:r>
        <w:rPr>
          <w:lang w:eastAsia="en-AU"/>
        </w:rPr>
        <w:t>C</w:t>
      </w:r>
      <w:r w:rsidRPr="008B5430">
        <w:rPr>
          <w:lang w:eastAsia="en-AU"/>
        </w:rPr>
        <w:t xml:space="preserve">reative </w:t>
      </w:r>
      <w:r>
        <w:rPr>
          <w:lang w:eastAsia="en-AU"/>
        </w:rPr>
        <w:t>C</w:t>
      </w:r>
      <w:r w:rsidRPr="008B5430">
        <w:rPr>
          <w:lang w:eastAsia="en-AU"/>
        </w:rPr>
        <w:t xml:space="preserve">ommons website: </w:t>
      </w:r>
      <w:hyperlink r:id="rId15" w:history="1">
        <w:r w:rsidRPr="00266EC3">
          <w:t>https://creativecommons.org/licenses/by/4.0/legalcode</w:t>
        </w:r>
      </w:hyperlink>
    </w:p>
    <w:p w14:paraId="4FB65739" w14:textId="77777777" w:rsidR="00145629" w:rsidRDefault="00145629" w:rsidP="00145629">
      <w:pPr>
        <w:pStyle w:val="Heading3"/>
        <w:rPr>
          <w:lang w:eastAsia="en-AU"/>
        </w:rPr>
      </w:pPr>
      <w:r w:rsidRPr="008B5430">
        <w:rPr>
          <w:lang w:eastAsia="en-AU"/>
        </w:rPr>
        <w:t>Attribution</w:t>
      </w:r>
    </w:p>
    <w:p w14:paraId="213CF548" w14:textId="77777777" w:rsidR="00145629" w:rsidRDefault="00145629" w:rsidP="00145629">
      <w:pPr>
        <w:rPr>
          <w:lang w:eastAsia="en-AU"/>
        </w:rPr>
      </w:pPr>
      <w:r w:rsidRPr="008B5430">
        <w:rPr>
          <w:lang w:eastAsia="en-AU"/>
        </w:rPr>
        <w:t xml:space="preserve">Before reusing any part of this document, including reproduction, public display, public performance, distribution, dissemination, communication, or importation, you must comply with the Attribution requirements under the CC BY licence. Enquiries about this licence and any use of this document can be sent to: </w:t>
      </w:r>
      <w:hyperlink r:id="rId16" w:history="1">
        <w:r w:rsidRPr="005C6FB6">
          <w:rPr>
            <w:rStyle w:val="Hyperlink"/>
            <w:lang w:eastAsia="en-AU"/>
          </w:rPr>
          <w:t>advisory@austrade.gov.au</w:t>
        </w:r>
      </w:hyperlink>
    </w:p>
    <w:p w14:paraId="3A9AA140" w14:textId="77777777" w:rsidR="00145629" w:rsidRDefault="00145629" w:rsidP="00145629">
      <w:pPr>
        <w:pStyle w:val="Heading3"/>
        <w:rPr>
          <w:lang w:eastAsia="en-AU"/>
        </w:rPr>
      </w:pPr>
      <w:r w:rsidRPr="008B5430">
        <w:rPr>
          <w:lang w:eastAsia="en-AU"/>
        </w:rPr>
        <w:t>Using the Commonwealth Coat of Arms</w:t>
      </w:r>
    </w:p>
    <w:p w14:paraId="5928E2C6" w14:textId="77777777" w:rsidR="00145629" w:rsidRDefault="00145629" w:rsidP="00145629">
      <w:pPr>
        <w:rPr>
          <w:lang w:eastAsia="en-AU"/>
        </w:rPr>
      </w:pPr>
      <w:r w:rsidRPr="008B5430">
        <w:rPr>
          <w:lang w:eastAsia="en-AU"/>
        </w:rPr>
        <w:t xml:space="preserve">The terms of use for the Coat of Arms are available from the </w:t>
      </w:r>
      <w:r w:rsidRPr="008B5430">
        <w:rPr>
          <w:i/>
          <w:iCs/>
          <w:lang w:eastAsia="en-AU"/>
        </w:rPr>
        <w:t xml:space="preserve">It's an Honour </w:t>
      </w:r>
      <w:r w:rsidRPr="008B5430">
        <w:rPr>
          <w:lang w:eastAsia="en-AU"/>
        </w:rPr>
        <w:t>website (</w:t>
      </w:r>
      <w:hyperlink r:id="rId17" w:history="1">
        <w:r w:rsidRPr="00CB3194">
          <w:t>https://pmc.gov.au/government/its-honour</w:t>
        </w:r>
      </w:hyperlink>
      <w:r w:rsidRPr="008B5430">
        <w:rPr>
          <w:lang w:eastAsia="en-AU"/>
        </w:rPr>
        <w:t>).</w:t>
      </w:r>
    </w:p>
    <w:p w14:paraId="7ECA3A90" w14:textId="1090AD8F" w:rsidR="00145629" w:rsidRDefault="00145629" w:rsidP="00145629">
      <w:r>
        <w:rPr>
          <w:lang w:eastAsia="en-AU"/>
        </w:rPr>
        <w:t>Publication date: December 2021</w:t>
      </w:r>
    </w:p>
    <w:sectPr w:rsidR="00145629" w:rsidSect="00B9396E">
      <w:headerReference w:type="default" r:id="rId18"/>
      <w:headerReference w:type="first" r:id="rId19"/>
      <w:pgSz w:w="11906" w:h="16838"/>
      <w:pgMar w:top="851" w:right="945" w:bottom="993" w:left="993" w:header="708"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B0B9D" w14:textId="77777777" w:rsidR="00E30A02" w:rsidRDefault="00E30A02" w:rsidP="007B0021">
      <w:r>
        <w:separator/>
      </w:r>
    </w:p>
    <w:p w14:paraId="3F6983BA" w14:textId="77777777" w:rsidR="00E30A02" w:rsidRDefault="00E30A02" w:rsidP="007B0021"/>
  </w:endnote>
  <w:endnote w:type="continuationSeparator" w:id="0">
    <w:p w14:paraId="7214B07E" w14:textId="77777777" w:rsidR="00E30A02" w:rsidRDefault="00E30A02" w:rsidP="007B0021">
      <w:r>
        <w:continuationSeparator/>
      </w:r>
    </w:p>
    <w:p w14:paraId="1EC3CF0E" w14:textId="77777777" w:rsidR="00E30A02" w:rsidRDefault="00E30A02"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 Sans BETA Text Medium">
    <w:altName w:val="Calibri"/>
    <w:panose1 w:val="00000000000000000000"/>
    <w:charset w:val="00"/>
    <w:family w:val="swiss"/>
    <w:notTrueType/>
    <w:pitch w:val="default"/>
    <w:sig w:usb0="00000003" w:usb1="00000000" w:usb2="00000000" w:usb3="00000000" w:csb0="00000001" w:csb1="00000000"/>
  </w:font>
  <w:font w:name="AU Sans BETA Text Bold">
    <w:altName w:val="Calibri"/>
    <w:panose1 w:val="00000000000000000000"/>
    <w:charset w:val="00"/>
    <w:family w:val="swiss"/>
    <w:notTrueType/>
    <w:pitch w:val="default"/>
    <w:sig w:usb0="00000003" w:usb1="00000000" w:usb2="00000000" w:usb3="00000000" w:csb0="00000001" w:csb1="00000000"/>
  </w:font>
  <w:font w:name="AU Sans BETA Tex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FB676" w14:textId="77777777" w:rsidR="00E30A02" w:rsidRDefault="00E30A02" w:rsidP="007B0021">
      <w:r>
        <w:separator/>
      </w:r>
    </w:p>
    <w:p w14:paraId="52B79373" w14:textId="77777777" w:rsidR="00E30A02" w:rsidRDefault="00E30A02" w:rsidP="007B0021"/>
  </w:footnote>
  <w:footnote w:type="continuationSeparator" w:id="0">
    <w:p w14:paraId="1374C417" w14:textId="77777777" w:rsidR="00E30A02" w:rsidRDefault="00E30A02" w:rsidP="007B0021">
      <w:r>
        <w:continuationSeparator/>
      </w:r>
    </w:p>
    <w:p w14:paraId="01936107" w14:textId="77777777" w:rsidR="00E30A02" w:rsidRDefault="00E30A02"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4CAE9" w14:textId="54C9D600" w:rsidR="00C9628B" w:rsidRDefault="002940D7">
    <w:pPr>
      <w:pStyle w:val="Header"/>
    </w:pPr>
    <w:r>
      <w:rPr>
        <w:noProof/>
        <w:lang w:eastAsia="en-AU"/>
      </w:rPr>
      <w:drawing>
        <wp:anchor distT="0" distB="0" distL="114300" distR="114300" simplePos="0" relativeHeight="251659264" behindDoc="0" locked="0" layoutInCell="1" allowOverlap="1" wp14:anchorId="4CF87955" wp14:editId="1DAC558C">
          <wp:simplePos x="0" y="0"/>
          <wp:positionH relativeFrom="margin">
            <wp:posOffset>4062730</wp:posOffset>
          </wp:positionH>
          <wp:positionV relativeFrom="margin">
            <wp:posOffset>-461010</wp:posOffset>
          </wp:positionV>
          <wp:extent cx="2276475" cy="238760"/>
          <wp:effectExtent l="0" t="0" r="9525"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23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2535" w14:textId="77777777" w:rsidR="003A58AB" w:rsidRDefault="003A58AB" w:rsidP="007B0021">
    <w:pPr>
      <w:pStyle w:val="Header"/>
    </w:pPr>
  </w:p>
  <w:p w14:paraId="44E22923" w14:textId="5A03142E"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A0976"/>
    <w:multiLevelType w:val="hybridMultilevel"/>
    <w:tmpl w:val="6596A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903CA"/>
    <w:multiLevelType w:val="hybridMultilevel"/>
    <w:tmpl w:val="6F9E89FC"/>
    <w:lvl w:ilvl="0" w:tplc="16200BEE">
      <w:start w:val="1"/>
      <w:numFmt w:val="bullet"/>
      <w:pStyle w:val="BulletList"/>
      <w:lvlText w:val=""/>
      <w:lvlJc w:val="left"/>
      <w:pPr>
        <w:ind w:left="1856" w:hanging="360"/>
      </w:pPr>
      <w:rPr>
        <w:rFonts w:ascii="Symbol" w:hAnsi="Symbol" w:cs="Symbol" w:hint="default"/>
      </w:rPr>
    </w:lvl>
    <w:lvl w:ilvl="1" w:tplc="0C090003">
      <w:start w:val="1"/>
      <w:numFmt w:val="bullet"/>
      <w:lvlText w:val="o"/>
      <w:lvlJc w:val="left"/>
      <w:pPr>
        <w:ind w:left="2576" w:hanging="360"/>
      </w:pPr>
      <w:rPr>
        <w:rFonts w:ascii="Courier New" w:hAnsi="Courier New" w:cs="Courier New" w:hint="default"/>
      </w:rPr>
    </w:lvl>
    <w:lvl w:ilvl="2" w:tplc="0C090005">
      <w:start w:val="1"/>
      <w:numFmt w:val="bullet"/>
      <w:lvlText w:val=""/>
      <w:lvlJc w:val="left"/>
      <w:pPr>
        <w:ind w:left="3296" w:hanging="360"/>
      </w:pPr>
      <w:rPr>
        <w:rFonts w:ascii="Wingdings" w:hAnsi="Wingdings" w:cs="Wingdings" w:hint="default"/>
      </w:rPr>
    </w:lvl>
    <w:lvl w:ilvl="3" w:tplc="0C090001" w:tentative="1">
      <w:start w:val="1"/>
      <w:numFmt w:val="bullet"/>
      <w:lvlText w:val=""/>
      <w:lvlJc w:val="left"/>
      <w:pPr>
        <w:ind w:left="4016" w:hanging="360"/>
      </w:pPr>
      <w:rPr>
        <w:rFonts w:ascii="Symbol" w:hAnsi="Symbol" w:cs="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cs="Wingdings" w:hint="default"/>
      </w:rPr>
    </w:lvl>
    <w:lvl w:ilvl="6" w:tplc="0C090001" w:tentative="1">
      <w:start w:val="1"/>
      <w:numFmt w:val="bullet"/>
      <w:lvlText w:val=""/>
      <w:lvlJc w:val="left"/>
      <w:pPr>
        <w:ind w:left="6176" w:hanging="360"/>
      </w:pPr>
      <w:rPr>
        <w:rFonts w:ascii="Symbol" w:hAnsi="Symbol" w:cs="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cs="Wingdings" w:hint="default"/>
      </w:rPr>
    </w:lvl>
  </w:abstractNum>
  <w:abstractNum w:abstractNumId="3" w15:restartNumberingAfterBreak="0">
    <w:nsid w:val="433B6351"/>
    <w:multiLevelType w:val="hybridMultilevel"/>
    <w:tmpl w:val="E1702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C34FD4"/>
    <w:multiLevelType w:val="hybridMultilevel"/>
    <w:tmpl w:val="8A28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05220B"/>
    <w:multiLevelType w:val="hybridMultilevel"/>
    <w:tmpl w:val="6E76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E14716"/>
    <w:multiLevelType w:val="hybridMultilevel"/>
    <w:tmpl w:val="C28C2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62330F"/>
    <w:multiLevelType w:val="hybridMultilevel"/>
    <w:tmpl w:val="2B0AA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975183"/>
    <w:multiLevelType w:val="hybridMultilevel"/>
    <w:tmpl w:val="A91C0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79F34014"/>
    <w:multiLevelType w:val="hybridMultilevel"/>
    <w:tmpl w:val="1AE0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8406C4"/>
    <w:multiLevelType w:val="hybridMultilevel"/>
    <w:tmpl w:val="95705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1"/>
  </w:num>
  <w:num w:numId="7">
    <w:abstractNumId w:val="10"/>
  </w:num>
  <w:num w:numId="8">
    <w:abstractNumId w:val="3"/>
  </w:num>
  <w:num w:numId="9">
    <w:abstractNumId w:val="0"/>
  </w:num>
  <w:num w:numId="10">
    <w:abstractNumId w:val="9"/>
  </w:num>
  <w:num w:numId="11">
    <w:abstractNumId w:val="6"/>
  </w:num>
  <w:num w:numId="12">
    <w:abstractNumId w:val="7"/>
  </w:num>
  <w:num w:numId="13">
    <w:abstractNumId w:val="4"/>
  </w:num>
  <w:num w:numId="14">
    <w:abstractNumId w:val="1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02"/>
    <w:rsid w:val="00053DA3"/>
    <w:rsid w:val="00057D1C"/>
    <w:rsid w:val="000E7E86"/>
    <w:rsid w:val="001058BD"/>
    <w:rsid w:val="00117092"/>
    <w:rsid w:val="0012425F"/>
    <w:rsid w:val="00145629"/>
    <w:rsid w:val="00147D40"/>
    <w:rsid w:val="001A3B5E"/>
    <w:rsid w:val="001E186F"/>
    <w:rsid w:val="002315D8"/>
    <w:rsid w:val="00245E86"/>
    <w:rsid w:val="00253226"/>
    <w:rsid w:val="00261F28"/>
    <w:rsid w:val="00266EC3"/>
    <w:rsid w:val="002749C0"/>
    <w:rsid w:val="0028112D"/>
    <w:rsid w:val="00282C92"/>
    <w:rsid w:val="0028696F"/>
    <w:rsid w:val="002940D7"/>
    <w:rsid w:val="002C1F51"/>
    <w:rsid w:val="002E309C"/>
    <w:rsid w:val="003200DD"/>
    <w:rsid w:val="00321E47"/>
    <w:rsid w:val="00326B31"/>
    <w:rsid w:val="003536A2"/>
    <w:rsid w:val="00390F9A"/>
    <w:rsid w:val="003A58AB"/>
    <w:rsid w:val="003C3B0A"/>
    <w:rsid w:val="003D0704"/>
    <w:rsid w:val="003D65E7"/>
    <w:rsid w:val="003E38E3"/>
    <w:rsid w:val="003E5497"/>
    <w:rsid w:val="003F3CDD"/>
    <w:rsid w:val="00401EF2"/>
    <w:rsid w:val="0043062E"/>
    <w:rsid w:val="0045192E"/>
    <w:rsid w:val="00460A41"/>
    <w:rsid w:val="004767E6"/>
    <w:rsid w:val="00477D54"/>
    <w:rsid w:val="004A612E"/>
    <w:rsid w:val="004C6441"/>
    <w:rsid w:val="004D06AF"/>
    <w:rsid w:val="004D6F59"/>
    <w:rsid w:val="004E43F4"/>
    <w:rsid w:val="00501469"/>
    <w:rsid w:val="00571BDC"/>
    <w:rsid w:val="005D3E5E"/>
    <w:rsid w:val="005F574F"/>
    <w:rsid w:val="00623407"/>
    <w:rsid w:val="0065148D"/>
    <w:rsid w:val="0065306B"/>
    <w:rsid w:val="00684C8A"/>
    <w:rsid w:val="00694AAD"/>
    <w:rsid w:val="006969E3"/>
    <w:rsid w:val="00696F9E"/>
    <w:rsid w:val="006E5730"/>
    <w:rsid w:val="006F7525"/>
    <w:rsid w:val="00721698"/>
    <w:rsid w:val="00726888"/>
    <w:rsid w:val="00774485"/>
    <w:rsid w:val="0078435A"/>
    <w:rsid w:val="007A0FC3"/>
    <w:rsid w:val="007A662B"/>
    <w:rsid w:val="007B0021"/>
    <w:rsid w:val="00817A0A"/>
    <w:rsid w:val="008407EC"/>
    <w:rsid w:val="008514EC"/>
    <w:rsid w:val="00857A0A"/>
    <w:rsid w:val="00865233"/>
    <w:rsid w:val="00877D9B"/>
    <w:rsid w:val="00886189"/>
    <w:rsid w:val="008B6033"/>
    <w:rsid w:val="008D71E5"/>
    <w:rsid w:val="008F4FD7"/>
    <w:rsid w:val="00903C9A"/>
    <w:rsid w:val="00904581"/>
    <w:rsid w:val="00910C53"/>
    <w:rsid w:val="00921435"/>
    <w:rsid w:val="0092648B"/>
    <w:rsid w:val="0094463A"/>
    <w:rsid w:val="00944E6F"/>
    <w:rsid w:val="0096640D"/>
    <w:rsid w:val="0098053E"/>
    <w:rsid w:val="00981DBB"/>
    <w:rsid w:val="0098379B"/>
    <w:rsid w:val="00996B27"/>
    <w:rsid w:val="009D6B24"/>
    <w:rsid w:val="009D70B3"/>
    <w:rsid w:val="009E1D4B"/>
    <w:rsid w:val="00A00806"/>
    <w:rsid w:val="00A1612B"/>
    <w:rsid w:val="00A90F97"/>
    <w:rsid w:val="00AC0F96"/>
    <w:rsid w:val="00AC6A14"/>
    <w:rsid w:val="00AE3D08"/>
    <w:rsid w:val="00B54801"/>
    <w:rsid w:val="00B764A0"/>
    <w:rsid w:val="00B9396E"/>
    <w:rsid w:val="00B96CEF"/>
    <w:rsid w:val="00BA5FEC"/>
    <w:rsid w:val="00BE1C64"/>
    <w:rsid w:val="00C06C20"/>
    <w:rsid w:val="00C14A82"/>
    <w:rsid w:val="00C279D9"/>
    <w:rsid w:val="00C3141D"/>
    <w:rsid w:val="00C615CD"/>
    <w:rsid w:val="00C71A5C"/>
    <w:rsid w:val="00C9628B"/>
    <w:rsid w:val="00CB3194"/>
    <w:rsid w:val="00CD0CE5"/>
    <w:rsid w:val="00CD1BE3"/>
    <w:rsid w:val="00CE58C0"/>
    <w:rsid w:val="00CF4F9D"/>
    <w:rsid w:val="00D2163A"/>
    <w:rsid w:val="00D25C70"/>
    <w:rsid w:val="00D62008"/>
    <w:rsid w:val="00D76AE4"/>
    <w:rsid w:val="00D86523"/>
    <w:rsid w:val="00D871C3"/>
    <w:rsid w:val="00D93830"/>
    <w:rsid w:val="00DB21A7"/>
    <w:rsid w:val="00DE31B4"/>
    <w:rsid w:val="00E0040D"/>
    <w:rsid w:val="00E07542"/>
    <w:rsid w:val="00E24CC9"/>
    <w:rsid w:val="00E24D12"/>
    <w:rsid w:val="00E30A02"/>
    <w:rsid w:val="00E624E0"/>
    <w:rsid w:val="00E703F2"/>
    <w:rsid w:val="00E902C6"/>
    <w:rsid w:val="00EA11C9"/>
    <w:rsid w:val="00EA272C"/>
    <w:rsid w:val="00EA4240"/>
    <w:rsid w:val="00EB2D64"/>
    <w:rsid w:val="00EB4EF8"/>
    <w:rsid w:val="00EE05FC"/>
    <w:rsid w:val="00EE4027"/>
    <w:rsid w:val="00F23FEC"/>
    <w:rsid w:val="00F246B1"/>
    <w:rsid w:val="00F45A2B"/>
    <w:rsid w:val="00F566FD"/>
    <w:rsid w:val="00F65113"/>
    <w:rsid w:val="00F85A20"/>
    <w:rsid w:val="00F91C33"/>
    <w:rsid w:val="00F97D50"/>
    <w:rsid w:val="00FB606A"/>
    <w:rsid w:val="00FC1ABB"/>
    <w:rsid w:val="00FD6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8F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C279D9"/>
    <w:pPr>
      <w:outlineLvl w:val="0"/>
    </w:pPr>
    <w:rPr>
      <w:b w:val="0"/>
    </w:rPr>
  </w:style>
  <w:style w:type="paragraph" w:styleId="Heading2">
    <w:name w:val="heading 2"/>
    <w:basedOn w:val="Normal"/>
    <w:next w:val="Normal"/>
    <w:link w:val="Heading2Char"/>
    <w:uiPriority w:val="9"/>
    <w:unhideWhenUsed/>
    <w:qFormat/>
    <w:rsid w:val="00390F9A"/>
    <w:pPr>
      <w:spacing w:after="480" w:line="240" w:lineRule="auto"/>
      <w:outlineLvl w:val="1"/>
    </w:pPr>
    <w:rPr>
      <w:color w:val="173F35" w:themeColor="accent1"/>
      <w:sz w:val="48"/>
      <w:szCs w:val="48"/>
    </w:rPr>
  </w:style>
  <w:style w:type="paragraph" w:styleId="Heading3">
    <w:name w:val="heading 3"/>
    <w:basedOn w:val="Title"/>
    <w:next w:val="Normal"/>
    <w:link w:val="Heading3Char"/>
    <w:uiPriority w:val="9"/>
    <w:unhideWhenUsed/>
    <w:qFormat/>
    <w:rsid w:val="00C279D9"/>
    <w:pPr>
      <w:outlineLvl w:val="2"/>
    </w:pPr>
    <w:rPr>
      <w:b w:val="0"/>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C279D9"/>
    <w:rPr>
      <w:rFonts w:ascii="Verdana" w:hAnsi="Verdana"/>
      <w:bCs/>
      <w:color w:val="173F35" w:themeColor="accent1"/>
      <w:sz w:val="68"/>
      <w:szCs w:val="6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390F9A"/>
    <w:rPr>
      <w:rFonts w:ascii="Verdana" w:hAnsi="Verdana"/>
      <w:color w:val="173F35" w:themeColor="accent1"/>
      <w:sz w:val="48"/>
      <w:szCs w:val="48"/>
    </w:rPr>
  </w:style>
  <w:style w:type="paragraph" w:styleId="ListParagraph">
    <w:name w:val="List Paragraph"/>
    <w:aliases w:val="Bulleted Para,Bulletr List Paragraph,CAB - List Bullet,CV t,FooterText,L,List Bullet Cab,List Paragraph1,List Paragraph11,List Paragraph2,List Paragraph21,Listeafsnit1,NFP GP Bulleted List,Paragraphe de liste1,Parágrafo da Lista1,numbered"/>
    <w:basedOn w:val="Normal"/>
    <w:link w:val="ListParagraphChar"/>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ind w:left="1004" w:hanging="284"/>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173F35" w:themeColor="accent1"/>
      <w:sz w:val="28"/>
      <w:szCs w:val="28"/>
    </w:rPr>
  </w:style>
  <w:style w:type="character" w:customStyle="1" w:styleId="QuoteChar">
    <w:name w:val="Quote Char"/>
    <w:basedOn w:val="DefaultParagraphFont"/>
    <w:link w:val="Quote"/>
    <w:uiPriority w:val="29"/>
    <w:rsid w:val="00FC1ABB"/>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paragraph" w:customStyle="1" w:styleId="CoverPageHeader">
    <w:name w:val="CoverPage Header"/>
    <w:basedOn w:val="Title"/>
    <w:rsid w:val="00F45A2B"/>
    <w:pPr>
      <w:spacing w:after="480" w:line="240" w:lineRule="auto"/>
    </w:pPr>
    <w:rPr>
      <w:color w:val="173F35"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C279D9"/>
    <w:rPr>
      <w:rFonts w:ascii="Verdana" w:hAnsi="Verdana"/>
      <w:bCs/>
      <w:color w:val="000000" w:themeColor="text1"/>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D86523"/>
    <w:rPr>
      <w:color w:val="173F35" w:themeColor="followedHyperlink"/>
      <w:u w:val="single"/>
    </w:rPr>
  </w:style>
  <w:style w:type="character" w:customStyle="1" w:styleId="ListParagraphChar">
    <w:name w:val="List Paragraph Char"/>
    <w:aliases w:val="Bulleted Para Char,Bulletr List Paragraph Char,CAB - List Bullet Char,CV t Char,FooterText Char,L Char,List Bullet Cab Char,List Paragraph1 Char,List Paragraph11 Char,List Paragraph2 Char,List Paragraph21 Char,Listeafsnit1 Char"/>
    <w:basedOn w:val="DefaultParagraphFont"/>
    <w:link w:val="ListParagraph"/>
    <w:uiPriority w:val="34"/>
    <w:locked/>
    <w:rsid w:val="00C14A82"/>
    <w:rPr>
      <w:rFonts w:ascii="Verdana" w:hAnsi="Verdana"/>
      <w:color w:val="000000" w:themeColor="text1"/>
      <w:sz w:val="20"/>
      <w:szCs w:val="20"/>
    </w:rPr>
  </w:style>
  <w:style w:type="paragraph" w:styleId="TOCHeading">
    <w:name w:val="TOC Heading"/>
    <w:basedOn w:val="Heading1"/>
    <w:next w:val="Normal"/>
    <w:uiPriority w:val="39"/>
    <w:unhideWhenUsed/>
    <w:qFormat/>
    <w:rsid w:val="00C14A82"/>
    <w:pPr>
      <w:keepNext/>
      <w:keepLines/>
      <w:spacing w:before="240" w:after="0" w:line="259" w:lineRule="auto"/>
      <w:outlineLvl w:val="9"/>
    </w:pPr>
    <w:rPr>
      <w:rFonts w:asciiTheme="majorHAnsi" w:eastAsiaTheme="majorEastAsia" w:hAnsiTheme="majorHAnsi" w:cstheme="majorBidi"/>
      <w:bCs w:val="0"/>
      <w:color w:val="112F27" w:themeColor="accent1" w:themeShade="BF"/>
      <w:sz w:val="32"/>
      <w:szCs w:val="32"/>
      <w:lang w:val="en-US"/>
    </w:rPr>
  </w:style>
  <w:style w:type="paragraph" w:styleId="TOC1">
    <w:name w:val="toc 1"/>
    <w:basedOn w:val="Normal"/>
    <w:next w:val="Normal"/>
    <w:autoRedefine/>
    <w:uiPriority w:val="39"/>
    <w:unhideWhenUsed/>
    <w:rsid w:val="00C14A82"/>
    <w:pPr>
      <w:spacing w:after="100"/>
    </w:pPr>
  </w:style>
  <w:style w:type="paragraph" w:styleId="TOC2">
    <w:name w:val="toc 2"/>
    <w:basedOn w:val="Normal"/>
    <w:next w:val="Normal"/>
    <w:autoRedefine/>
    <w:uiPriority w:val="39"/>
    <w:unhideWhenUsed/>
    <w:rsid w:val="00C14A82"/>
    <w:pPr>
      <w:spacing w:after="100"/>
      <w:ind w:left="200"/>
    </w:pPr>
  </w:style>
  <w:style w:type="character" w:customStyle="1" w:styleId="A5">
    <w:name w:val="A5"/>
    <w:uiPriority w:val="99"/>
    <w:rsid w:val="00C14A82"/>
    <w:rPr>
      <w:rFonts w:ascii="AU Sans BETA Text Medium" w:hAnsi="AU Sans BETA Text Medium" w:cs="AU Sans BETA Text Medium"/>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mc.gov.au/government/its-honour" TargetMode="External"/><Relationship Id="rId2" Type="http://schemas.openxmlformats.org/officeDocument/2006/relationships/customXml" Target="../customXml/item2.xml"/><Relationship Id="rId16" Type="http://schemas.openxmlformats.org/officeDocument/2006/relationships/hyperlink" Target="mailto:advisory@austrad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reativecommons.org/licenses/by/4.0/legalcode"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Nation%20Brand\Nation%20Brand%20Website%20Publications.dotx" TargetMode="External"/></Relationships>
</file>

<file path=word/theme/theme1.xml><?xml version="1.0" encoding="utf-8"?>
<a:theme xmlns:a="http://schemas.openxmlformats.org/drawingml/2006/main" name="Office Theme">
  <a:themeElements>
    <a:clrScheme name="Custom 2">
      <a:dk1>
        <a:srgbClr val="000000"/>
      </a:dk1>
      <a:lt1>
        <a:sysClr val="window" lastClr="FFFFFF"/>
      </a:lt1>
      <a:dk2>
        <a:srgbClr val="173F35"/>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6d92cf1-08e1-41e5-92d3-0cdcdb1e2433" ContentTypeId="0x01010004862C10171BD149BCA86DC4F354848008" PreviousValue="false"/>
</file>

<file path=customXml/item3.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976467FC898D7945B95D3EE9111C463D" ma:contentTypeVersion="43" ma:contentTypeDescription="" ma:contentTypeScope="" ma:versionID="547e072fb8b011aa4f20dbde0de99988">
  <xsd:schema xmlns:xsd="http://www.w3.org/2001/XMLSchema" xmlns:xs="http://www.w3.org/2001/XMLSchema" xmlns:p="http://schemas.microsoft.com/office/2006/metadata/properties" xmlns:ns2="2124141f-bf93-4eca-8662-34a4511e35c8" xmlns:ns3="29ff9cd8-bf2e-4523-8fd5-254dd68a43c6" xmlns:ns4="c6215fba-df62-4d66-b0b8-48fe9a1fd12f" targetNamespace="http://schemas.microsoft.com/office/2006/metadata/properties" ma:root="true" ma:fieldsID="8fc65b18fc165c98b1a3cafcda50ef66" ns2:_="" ns3:_="" ns4:_="">
    <xsd:import namespace="2124141f-bf93-4eca-8662-34a4511e35c8"/>
    <xsd:import namespace="29ff9cd8-bf2e-4523-8fd5-254dd68a43c6"/>
    <xsd:import namespace="c6215fba-df62-4d66-b0b8-48fe9a1fd12f"/>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element ref="ns4:Project"/>
                <xsd:element ref="ns4:Product"/>
                <xsd:element ref="ns4:Subject_x0020_matter_x0020_expert" minOccurs="0"/>
                <xsd:element ref="ns4:EL2_x0020_valid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26f64b0-2248-4865-bfbc-6e6cbd80c93c}" ma:internalName="TaxCatchAll" ma:showField="CatchAllData"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6f64b0-2248-4865-bfbc-6e6cbd80c93c}" ma:internalName="TaxCatchAllLabel" ma:readOnly="true" ma:showField="CatchAllDataLabel"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f9cd8-bf2e-4523-8fd5-254dd68a43c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215fba-df62-4d66-b0b8-48fe9a1fd12f" elementFormDefault="qualified">
    <xsd:import namespace="http://schemas.microsoft.com/office/2006/documentManagement/types"/>
    <xsd:import namespace="http://schemas.microsoft.com/office/infopath/2007/PartnerControls"/>
    <xsd:element name="Project" ma:index="19" ma:displayName="Product" ma:format="Dropdown" ma:internalName="Project">
      <xsd:simpleType>
        <xsd:union memberTypes="dms:Text">
          <xsd:simpleType>
            <xsd:restriction base="dms:Choice">
              <xsd:enumeration value="AustradeGovAu"/>
              <xsd:enumeration value="CMS"/>
              <xsd:enumeration value="EMP"/>
              <xsd:enumeration value="Governance"/>
              <xsd:enumeration value="Team admin"/>
              <xsd:enumeration value="TRA"/>
            </xsd:restriction>
          </xsd:simpleType>
        </xsd:union>
      </xsd:simpleType>
    </xsd:element>
    <xsd:element name="Product" ma:index="20" ma:displayName="Content" ma:description="Choose the relevant product" ma:format="Dropdown" ma:internalName="Product">
      <xsd:simpleType>
        <xsd:restriction base="dms:Choice">
          <xsd:enumeration value="Benchmark report"/>
          <xsd:enumeration value="Content management"/>
          <xsd:enumeration value="Exporting to India"/>
          <xsd:enumeration value="Governance"/>
          <xsd:enumeration value="IVS quarterly"/>
          <xsd:enumeration value="NVS monthly snapshot"/>
          <xsd:enumeration value="NVS quarterly"/>
          <xsd:enumeration value="Schedule"/>
          <xsd:enumeration value="Selling online overseas"/>
          <xsd:enumeration value="Services page"/>
          <xsd:enumeration value="State of the industry"/>
          <xsd:enumeration value="Team processes"/>
          <xsd:enumeration value="Template"/>
          <xsd:enumeration value="Tourism businesses"/>
          <xsd:enumeration value="Tourism investment"/>
          <xsd:enumeration value="Tourism satellite account"/>
          <xsd:enumeration value="Tourism scenarios"/>
          <xsd:enumeration value="User research"/>
        </xsd:restriction>
      </xsd:simpleType>
    </xsd:element>
    <xsd:element name="Subject_x0020_matter_x0020_expert" ma:index="21" nillable="true" ma:displayName="Subject matter expert" ma:list="UserInfo" ma:SharePointGroup="0" ma:internalName="Subject_x0020_matter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L2_x0020_validator" ma:index="22" nillable="true" ma:displayName="EL2 validator" ma:list="UserInfo" ma:SharePointGroup="0" ma:internalName="EL2_x0020_valid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duct xmlns="c6215fba-df62-4d66-b0b8-48fe9a1fd12f">Template</Produc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Project xmlns="c6215fba-df62-4d66-b0b8-48fe9a1fd12f">AustradeGovAu</Project>
    <Tradestart-Access xmlns="2124141f-bf93-4eca-8662-34a4511e35c8">false</Tradestart-Access>
    <TaxCatchAll xmlns="2124141f-bf93-4eca-8662-34a4511e35c8"/>
    <Operational-Doc-Desc xmlns="2124141f-bf93-4eca-8662-34a4511e35c8" xsi:nil="true"/>
    <_dlc_DocId xmlns="29ff9cd8-bf2e-4523-8fd5-254dd68a43c6">HUB01-2142452017-502</_dlc_DocId>
    <_dlc_DocIdUrl xmlns="29ff9cd8-bf2e-4523-8fd5-254dd68a43c6">
      <Url>http://thehub/ws/ao/cm/_layouts/15/DocIdRedir.aspx?ID=HUB01-2142452017-502</Url>
      <Description>HUB01-2142452017-502</Description>
    </_dlc_DocIdUrl>
    <Subject_x0020_matter_x0020_expert xmlns="c6215fba-df62-4d66-b0b8-48fe9a1fd12f">
      <UserInfo>
        <DisplayName/>
        <AccountId xsi:nil="true"/>
        <AccountType/>
      </UserInfo>
    </Subject_x0020_matter_x0020_expert>
    <EL2_x0020_validator xmlns="c6215fba-df62-4d66-b0b8-48fe9a1fd12f">
      <UserInfo>
        <DisplayName/>
        <AccountId xsi:nil="true"/>
        <AccountType/>
      </UserInfo>
    </EL2_x0020_validato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89CA5-7BBF-457D-BDE5-3EDFAFC8EABE}">
  <ds:schemaRefs>
    <ds:schemaRef ds:uri="http://schemas.microsoft.com/sharepoint/events"/>
  </ds:schemaRefs>
</ds:datastoreItem>
</file>

<file path=customXml/itemProps2.xml><?xml version="1.0" encoding="utf-8"?>
<ds:datastoreItem xmlns:ds="http://schemas.openxmlformats.org/officeDocument/2006/customXml" ds:itemID="{C6AF7610-FA67-401E-A5DC-36498E152A66}">
  <ds:schemaRefs>
    <ds:schemaRef ds:uri="Microsoft.SharePoint.Taxonomy.ContentTypeSync"/>
  </ds:schemaRefs>
</ds:datastoreItem>
</file>

<file path=customXml/itemProps3.xml><?xml version="1.0" encoding="utf-8"?>
<ds:datastoreItem xmlns:ds="http://schemas.openxmlformats.org/officeDocument/2006/customXml" ds:itemID="{92713792-239D-4744-A6FC-C636EB65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29ff9cd8-bf2e-4523-8fd5-254dd68a43c6"/>
    <ds:schemaRef ds:uri="c6215fba-df62-4d66-b0b8-48fe9a1fd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c6215fba-df62-4d66-b0b8-48fe9a1fd12f"/>
    <ds:schemaRef ds:uri="2124141f-bf93-4eca-8662-34a4511e35c8"/>
    <ds:schemaRef ds:uri="29ff9cd8-bf2e-4523-8fd5-254dd68a43c6"/>
  </ds:schemaRefs>
</ds:datastoreItem>
</file>

<file path=customXml/itemProps5.xml><?xml version="1.0" encoding="utf-8"?>
<ds:datastoreItem xmlns:ds="http://schemas.openxmlformats.org/officeDocument/2006/customXml" ds:itemID="{3312B97D-E3A9-497F-ABBB-2DC0EE111CF8}">
  <ds:schemaRefs>
    <ds:schemaRef ds:uri="http://schemas.openxmlformats.org/officeDocument/2006/bibliography"/>
  </ds:schemaRefs>
</ds:datastoreItem>
</file>

<file path=customXml/itemProps6.xml><?xml version="1.0" encoding="utf-8"?>
<ds:datastoreItem xmlns:ds="http://schemas.openxmlformats.org/officeDocument/2006/customXml" ds:itemID="{1EFDA419-6733-483D-ABCC-A84EEDE37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Nation Brand Website Publications.dotx</Template>
  <TotalTime>0</TotalTime>
  <Pages>3</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2021-12-22T05:03:00Z</dcterms:created>
  <dcterms:modified xsi:type="dcterms:W3CDTF">2021-12-22T05:03:00Z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0x01010004862C10171BD149BCA86DC4F35484800800976467FC898D7945B95D3EE9111C463D</vt:lpwstr>
  </property>
  <property fmtid="{D5CDD505-2E9C-101B-9397-08002B2CF9AE}" pid="3" name="_dlc_DocIdItemGuid">
    <vt:lpwstr>1f93966a-5130-49a4-9d3f-4ec4f240bfaf</vt:lpwstr>
  </property>
  <property fmtid="{D5CDD505-2E9C-101B-9397-08002B2CF9AE}" pid="4" name="Protective Markings">
    <vt:lpwstr/>
  </property>
</Properties>
</file>