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DE96" w14:textId="62098871" w:rsidR="00B1377D" w:rsidRDefault="001F619C" w:rsidP="00B1377D">
      <w:pPr>
        <w:pStyle w:val="Heading1"/>
      </w:pPr>
      <w:r>
        <w:br/>
      </w:r>
      <w:r w:rsidR="00AC715C" w:rsidRPr="00756DB8">
        <w:rPr>
          <w:rFonts w:asciiTheme="minorHAnsi" w:eastAsiaTheme="minorHAnsi" w:hAnsiTheme="minorHAnsi" w:cstheme="minorBidi"/>
          <w:color w:val="538135" w:themeColor="accent6" w:themeShade="BF"/>
        </w:rPr>
        <w:t>Industry Data</w:t>
      </w:r>
      <w:r w:rsidR="00DD1987" w:rsidRPr="00756DB8">
        <w:rPr>
          <w:rFonts w:asciiTheme="minorHAnsi" w:eastAsiaTheme="minorHAnsi" w:hAnsiTheme="minorHAnsi" w:cstheme="minorBidi"/>
          <w:color w:val="538135" w:themeColor="accent6" w:themeShade="BF"/>
        </w:rPr>
        <w:t xml:space="preserve"> and</w:t>
      </w:r>
      <w:r w:rsidR="00AC715C" w:rsidRPr="00756DB8">
        <w:rPr>
          <w:rFonts w:asciiTheme="minorHAnsi" w:eastAsiaTheme="minorHAnsi" w:hAnsiTheme="minorHAnsi" w:cstheme="minorBidi"/>
          <w:color w:val="538135" w:themeColor="accent6" w:themeShade="BF"/>
        </w:rPr>
        <w:t xml:space="preserve"> Expert Analysis (IDEA) Working Group</w:t>
      </w:r>
      <w:r w:rsidR="00AC715C">
        <w:t xml:space="preserve"> </w:t>
      </w:r>
    </w:p>
    <w:p w14:paraId="33B316EE" w14:textId="4B4E71AB" w:rsidR="00756DB8" w:rsidRDefault="00756DB8" w:rsidP="00756DB8">
      <w:pPr>
        <w:rPr>
          <w:color w:val="538135" w:themeColor="accent6" w:themeShade="BF"/>
          <w:sz w:val="28"/>
          <w:szCs w:val="28"/>
        </w:rPr>
      </w:pPr>
      <w:r w:rsidRPr="00756DB8">
        <w:rPr>
          <w:color w:val="538135" w:themeColor="accent6" w:themeShade="BF"/>
          <w:sz w:val="28"/>
          <w:szCs w:val="28"/>
        </w:rPr>
        <w:t>Summary record, Meetings 5, 6 and 7</w:t>
      </w:r>
    </w:p>
    <w:p w14:paraId="1B6B7F2C" w14:textId="77777777" w:rsidR="005F4AFA" w:rsidRPr="005F4AFA" w:rsidRDefault="005F4AFA" w:rsidP="00756DB8">
      <w:pPr>
        <w:rPr>
          <w:color w:val="538135" w:themeColor="accent6" w:themeShade="BF"/>
          <w:sz w:val="28"/>
          <w:szCs w:val="28"/>
        </w:rPr>
      </w:pPr>
    </w:p>
    <w:tbl>
      <w:tblPr>
        <w:tblStyle w:val="TableGrid"/>
        <w:tblW w:w="85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0"/>
      </w:tblGrid>
      <w:tr w:rsidR="001D6936" w14:paraId="250B46A6" w14:textId="77777777" w:rsidTr="009C1391">
        <w:trPr>
          <w:divId w:val="591620094"/>
        </w:trPr>
        <w:tc>
          <w:tcPr>
            <w:tcW w:w="1555" w:type="dxa"/>
          </w:tcPr>
          <w:p w14:paraId="66763FB4" w14:textId="7B3CAEC4" w:rsidR="001D6936" w:rsidRPr="009C1391" w:rsidRDefault="001D6936" w:rsidP="001D6936">
            <w:pPr>
              <w:rPr>
                <w:rFonts w:ascii="Times New Roman" w:eastAsia="Times New Roman" w:hAnsi="Times New Roman" w:cs="Times New Roman"/>
                <w:b/>
                <w:bCs/>
                <w:color w:val="000000"/>
                <w:sz w:val="24"/>
                <w:szCs w:val="24"/>
                <w:lang w:eastAsia="en-GB"/>
              </w:rPr>
            </w:pPr>
            <w:r w:rsidRPr="009C1391">
              <w:rPr>
                <w:rFonts w:ascii="Times New Roman" w:eastAsia="Times New Roman" w:hAnsi="Times New Roman" w:cs="Times New Roman"/>
                <w:b/>
                <w:bCs/>
                <w:color w:val="000000"/>
                <w:sz w:val="24"/>
                <w:szCs w:val="24"/>
                <w:lang w:eastAsia="en-GB"/>
              </w:rPr>
              <w:t>Time:</w:t>
            </w:r>
          </w:p>
        </w:tc>
        <w:tc>
          <w:tcPr>
            <w:tcW w:w="6950" w:type="dxa"/>
          </w:tcPr>
          <w:p w14:paraId="6176C909" w14:textId="32CBD3BC" w:rsidR="001D6936" w:rsidRPr="009C1391" w:rsidRDefault="000A4EA9" w:rsidP="001D6936">
            <w:pPr>
              <w:rPr>
                <w:rFonts w:ascii="Times New Roman" w:eastAsia="Times New Roman" w:hAnsi="Times New Roman" w:cs="Times New Roman"/>
                <w:color w:val="000000"/>
                <w:sz w:val="24"/>
                <w:szCs w:val="24"/>
                <w:lang w:eastAsia="en-GB"/>
              </w:rPr>
            </w:pPr>
            <w:r w:rsidRPr="009C1391">
              <w:rPr>
                <w:rFonts w:ascii="Times New Roman" w:eastAsia="Times New Roman" w:hAnsi="Times New Roman" w:cs="Times New Roman"/>
                <w:color w:val="000000"/>
                <w:sz w:val="24"/>
                <w:szCs w:val="24"/>
                <w:lang w:eastAsia="en-GB"/>
              </w:rPr>
              <w:t>10am – 12noon (AEST)</w:t>
            </w:r>
          </w:p>
        </w:tc>
      </w:tr>
      <w:tr w:rsidR="001D6936" w14:paraId="6223FB7B" w14:textId="77777777" w:rsidTr="009C1391">
        <w:trPr>
          <w:divId w:val="591620094"/>
        </w:trPr>
        <w:tc>
          <w:tcPr>
            <w:tcW w:w="1555" w:type="dxa"/>
          </w:tcPr>
          <w:p w14:paraId="3CA202C1" w14:textId="69B5458E" w:rsidR="001D6936" w:rsidRPr="009C1391" w:rsidRDefault="001D6936" w:rsidP="001D6936">
            <w:pPr>
              <w:rPr>
                <w:rFonts w:ascii="Times New Roman" w:eastAsia="Times New Roman" w:hAnsi="Times New Roman" w:cs="Times New Roman"/>
                <w:b/>
                <w:bCs/>
                <w:color w:val="000000"/>
                <w:sz w:val="24"/>
                <w:szCs w:val="24"/>
                <w:lang w:eastAsia="en-GB"/>
              </w:rPr>
            </w:pPr>
            <w:r w:rsidRPr="009C1391">
              <w:rPr>
                <w:rFonts w:ascii="Times New Roman" w:eastAsia="Times New Roman" w:hAnsi="Times New Roman" w:cs="Times New Roman"/>
                <w:b/>
                <w:bCs/>
                <w:color w:val="000000"/>
                <w:sz w:val="24"/>
                <w:szCs w:val="24"/>
                <w:lang w:eastAsia="en-GB"/>
              </w:rPr>
              <w:t>Date</w:t>
            </w:r>
            <w:r w:rsidR="00BF37A0">
              <w:rPr>
                <w:rFonts w:ascii="Times New Roman" w:eastAsia="Times New Roman" w:hAnsi="Times New Roman" w:cs="Times New Roman"/>
                <w:b/>
                <w:bCs/>
                <w:color w:val="000000"/>
                <w:sz w:val="24"/>
                <w:szCs w:val="24"/>
                <w:lang w:eastAsia="en-GB"/>
              </w:rPr>
              <w:t>s</w:t>
            </w:r>
            <w:r w:rsidRPr="009C1391">
              <w:rPr>
                <w:rFonts w:ascii="Times New Roman" w:eastAsia="Times New Roman" w:hAnsi="Times New Roman" w:cs="Times New Roman"/>
                <w:b/>
                <w:bCs/>
                <w:color w:val="000000"/>
                <w:sz w:val="24"/>
                <w:szCs w:val="24"/>
                <w:lang w:eastAsia="en-GB"/>
              </w:rPr>
              <w:t>:</w:t>
            </w:r>
          </w:p>
        </w:tc>
        <w:tc>
          <w:tcPr>
            <w:tcW w:w="6950" w:type="dxa"/>
          </w:tcPr>
          <w:p w14:paraId="2E5085A6" w14:textId="539057F0" w:rsidR="001D6936" w:rsidRPr="009C1391" w:rsidRDefault="00B116A9" w:rsidP="001D6936">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r w:rsidR="00DD1987">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December</w:t>
            </w:r>
            <w:r w:rsidR="00BF37A0">
              <w:rPr>
                <w:rFonts w:ascii="Times New Roman" w:eastAsia="Times New Roman" w:hAnsi="Times New Roman" w:cs="Times New Roman"/>
                <w:color w:val="000000"/>
                <w:sz w:val="24"/>
                <w:szCs w:val="24"/>
                <w:lang w:eastAsia="en-GB"/>
              </w:rPr>
              <w:t xml:space="preserve"> 2022</w:t>
            </w:r>
            <w:r>
              <w:rPr>
                <w:rFonts w:ascii="Times New Roman" w:eastAsia="Times New Roman" w:hAnsi="Times New Roman" w:cs="Times New Roman"/>
                <w:color w:val="000000"/>
                <w:sz w:val="24"/>
                <w:szCs w:val="24"/>
                <w:lang w:eastAsia="en-GB"/>
              </w:rPr>
              <w:t>,</w:t>
            </w:r>
            <w:r w:rsidR="00BF37A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2</w:t>
            </w:r>
            <w:r w:rsidR="001D6936">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February</w:t>
            </w:r>
            <w:r w:rsidR="001D6936" w:rsidRPr="009C1391">
              <w:rPr>
                <w:rFonts w:ascii="Times New Roman" w:eastAsia="Times New Roman" w:hAnsi="Times New Roman" w:cs="Times New Roman"/>
                <w:color w:val="000000"/>
                <w:sz w:val="24"/>
                <w:szCs w:val="24"/>
                <w:lang w:eastAsia="en-GB"/>
              </w:rPr>
              <w:t xml:space="preserve"> 202</w:t>
            </w:r>
            <w:r>
              <w:rPr>
                <w:rFonts w:ascii="Times New Roman" w:eastAsia="Times New Roman" w:hAnsi="Times New Roman" w:cs="Times New Roman"/>
                <w:color w:val="000000"/>
                <w:sz w:val="24"/>
                <w:szCs w:val="24"/>
                <w:lang w:eastAsia="en-GB"/>
              </w:rPr>
              <w:t>3, and 4 April 2023</w:t>
            </w:r>
          </w:p>
        </w:tc>
      </w:tr>
      <w:tr w:rsidR="001D6936" w14:paraId="78BB8992" w14:textId="77777777" w:rsidTr="009C1391">
        <w:trPr>
          <w:divId w:val="591620094"/>
        </w:trPr>
        <w:tc>
          <w:tcPr>
            <w:tcW w:w="1555" w:type="dxa"/>
          </w:tcPr>
          <w:p w14:paraId="0416EB4B" w14:textId="3F479490" w:rsidR="001D6936" w:rsidRPr="009C1391" w:rsidRDefault="001D6936" w:rsidP="001D6936">
            <w:pPr>
              <w:rPr>
                <w:rFonts w:ascii="Times New Roman" w:eastAsia="Times New Roman" w:hAnsi="Times New Roman" w:cs="Times New Roman"/>
                <w:b/>
                <w:bCs/>
                <w:color w:val="000000"/>
                <w:sz w:val="24"/>
                <w:szCs w:val="24"/>
                <w:lang w:eastAsia="en-GB"/>
              </w:rPr>
            </w:pPr>
            <w:r w:rsidRPr="009C1391">
              <w:rPr>
                <w:rFonts w:ascii="Times New Roman" w:eastAsia="Times New Roman" w:hAnsi="Times New Roman" w:cs="Times New Roman"/>
                <w:b/>
                <w:bCs/>
                <w:color w:val="000000"/>
                <w:sz w:val="24"/>
                <w:szCs w:val="24"/>
                <w:lang w:eastAsia="en-GB"/>
              </w:rPr>
              <w:t>Location:</w:t>
            </w:r>
          </w:p>
        </w:tc>
        <w:tc>
          <w:tcPr>
            <w:tcW w:w="6950" w:type="dxa"/>
          </w:tcPr>
          <w:p w14:paraId="7E4D5B7B" w14:textId="788380CC" w:rsidR="001D6936" w:rsidRPr="009C1391" w:rsidRDefault="00B116A9" w:rsidP="001D6936">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Meeting 5 in-person in Melbourne, Meeting 6 &amp; 7 v</w:t>
            </w:r>
            <w:r w:rsidR="001D6936" w:rsidRPr="009C1391">
              <w:rPr>
                <w:rFonts w:ascii="Times New Roman" w:eastAsia="Times New Roman" w:hAnsi="Times New Roman" w:cs="Times New Roman"/>
                <w:color w:val="000000"/>
                <w:sz w:val="24"/>
                <w:szCs w:val="24"/>
                <w:lang w:eastAsia="en-GB"/>
              </w:rPr>
              <w:t>irtual meeting</w:t>
            </w:r>
            <w:r w:rsidR="00DD1987">
              <w:rPr>
                <w:rFonts w:ascii="Times New Roman" w:eastAsia="Times New Roman" w:hAnsi="Times New Roman" w:cs="Times New Roman"/>
                <w:color w:val="000000"/>
                <w:sz w:val="24"/>
                <w:szCs w:val="24"/>
                <w:lang w:eastAsia="en-GB"/>
              </w:rPr>
              <w:t>s</w:t>
            </w:r>
            <w:r w:rsidR="001D6936" w:rsidRPr="009C1391">
              <w:rPr>
                <w:rFonts w:ascii="Times New Roman" w:eastAsia="Times New Roman" w:hAnsi="Times New Roman" w:cs="Times New Roman"/>
                <w:color w:val="000000"/>
                <w:sz w:val="24"/>
                <w:szCs w:val="24"/>
                <w:lang w:eastAsia="en-GB"/>
              </w:rPr>
              <w:t xml:space="preserve">, via Webex </w:t>
            </w:r>
          </w:p>
        </w:tc>
      </w:tr>
    </w:tbl>
    <w:p w14:paraId="01B55274" w14:textId="77777777" w:rsidR="0008501B" w:rsidRDefault="0008501B" w:rsidP="00F52136">
      <w:pPr>
        <w:pStyle w:val="Heading2"/>
        <w:divId w:val="591620094"/>
      </w:pPr>
    </w:p>
    <w:p w14:paraId="6C3E22BC" w14:textId="2C4B61A2" w:rsidR="00AC715C" w:rsidRPr="00756DB8" w:rsidRDefault="00BF37A0" w:rsidP="00756DB8">
      <w:pPr>
        <w:spacing w:after="0" w:line="240" w:lineRule="auto"/>
        <w:divId w:val="591620094"/>
        <w:rPr>
          <w:color w:val="538135" w:themeColor="accent6" w:themeShade="BF"/>
          <w:sz w:val="28"/>
          <w:szCs w:val="28"/>
        </w:rPr>
      </w:pPr>
      <w:r w:rsidRPr="00756DB8">
        <w:rPr>
          <w:color w:val="538135" w:themeColor="accent6" w:themeShade="BF"/>
          <w:sz w:val="28"/>
          <w:szCs w:val="28"/>
        </w:rPr>
        <w:t>Backgroun</w:t>
      </w:r>
      <w:r w:rsidR="006D7DAF" w:rsidRPr="00756DB8">
        <w:rPr>
          <w:color w:val="538135" w:themeColor="accent6" w:themeShade="BF"/>
          <w:sz w:val="28"/>
          <w:szCs w:val="28"/>
        </w:rPr>
        <w:t>d</w:t>
      </w:r>
    </w:p>
    <w:p w14:paraId="69782319" w14:textId="60B2B869" w:rsidR="00BF37A0" w:rsidRDefault="00BF37A0" w:rsidP="001F3E6E">
      <w:pPr>
        <w:spacing w:after="0" w:line="240" w:lineRule="auto"/>
        <w:divId w:val="591620094"/>
        <w:rPr>
          <w:rFonts w:ascii="Times New Roman" w:hAnsi="Times New Roman" w:cs="Times New Roman"/>
          <w:color w:val="538135" w:themeColor="accent6" w:themeShade="BF"/>
          <w:sz w:val="24"/>
          <w:szCs w:val="24"/>
        </w:rPr>
      </w:pPr>
    </w:p>
    <w:p w14:paraId="67371625" w14:textId="077B2837" w:rsidR="006D3046" w:rsidRDefault="00BF37A0" w:rsidP="000E365D">
      <w:pPr>
        <w:spacing w:after="120" w:line="300" w:lineRule="exact"/>
        <w:divId w:val="591620094"/>
        <w:rPr>
          <w:rFonts w:ascii="Times New Roman" w:eastAsia="SimSun" w:hAnsi="Times New Roman" w:cs="Times New Roman"/>
          <w:sz w:val="24"/>
          <w:szCs w:val="24"/>
        </w:rPr>
      </w:pPr>
      <w:r w:rsidRPr="00BF37A0">
        <w:rPr>
          <w:rFonts w:ascii="Times New Roman" w:hAnsi="Times New Roman" w:cs="Times New Roman"/>
          <w:color w:val="000000" w:themeColor="text1"/>
          <w:sz w:val="24"/>
          <w:szCs w:val="24"/>
        </w:rPr>
        <w:t xml:space="preserve">The IDEA Working Group was established </w:t>
      </w:r>
      <w:r>
        <w:rPr>
          <w:rFonts w:ascii="Times New Roman" w:hAnsi="Times New Roman" w:cs="Times New Roman"/>
          <w:color w:val="000000" w:themeColor="text1"/>
          <w:sz w:val="24"/>
          <w:szCs w:val="24"/>
        </w:rPr>
        <w:t>in March 2022</w:t>
      </w:r>
      <w:r w:rsidRPr="00BF37A0">
        <w:rPr>
          <w:rFonts w:ascii="Times New Roman" w:eastAsia="Times New Roman" w:hAnsi="Times New Roman" w:cs="Times New Roman"/>
          <w:color w:val="000000"/>
          <w:sz w:val="24"/>
          <w:szCs w:val="24"/>
          <w:lang w:eastAsia="en-GB"/>
        </w:rPr>
        <w:t xml:space="preserve"> </w:t>
      </w:r>
      <w:r w:rsidR="006D7DAF">
        <w:rPr>
          <w:rFonts w:ascii="Times New Roman" w:eastAsia="SimSun" w:hAnsi="Times New Roman" w:cs="Times New Roman"/>
          <w:sz w:val="24"/>
          <w:szCs w:val="24"/>
        </w:rPr>
        <w:t xml:space="preserve">to identify information gaps and potential solutions as well as funding and distribution models to deliver those solutions. The Working Group’s </w:t>
      </w:r>
      <w:hyperlink r:id="rId11" w:history="1">
        <w:r w:rsidR="006D7DAF" w:rsidRPr="006D7DAF">
          <w:rPr>
            <w:rStyle w:val="Hyperlink"/>
            <w:rFonts w:ascii="Times New Roman" w:eastAsia="SimSun" w:hAnsi="Times New Roman" w:cs="Times New Roman"/>
            <w:sz w:val="24"/>
            <w:szCs w:val="24"/>
          </w:rPr>
          <w:t>terms of reference</w:t>
        </w:r>
      </w:hyperlink>
      <w:r w:rsidR="006D7DAF">
        <w:rPr>
          <w:rFonts w:ascii="Times New Roman" w:eastAsia="SimSun" w:hAnsi="Times New Roman" w:cs="Times New Roman"/>
          <w:sz w:val="24"/>
          <w:szCs w:val="24"/>
        </w:rPr>
        <w:t xml:space="preserve"> contain </w:t>
      </w:r>
      <w:r w:rsidR="00B116A9">
        <w:rPr>
          <w:rFonts w:ascii="Times New Roman" w:eastAsia="SimSun" w:hAnsi="Times New Roman" w:cs="Times New Roman"/>
          <w:sz w:val="24"/>
          <w:szCs w:val="24"/>
        </w:rPr>
        <w:t>6</w:t>
      </w:r>
      <w:r w:rsidR="006D7DAF">
        <w:rPr>
          <w:rFonts w:ascii="Times New Roman" w:eastAsia="SimSun" w:hAnsi="Times New Roman" w:cs="Times New Roman"/>
          <w:sz w:val="24"/>
          <w:szCs w:val="24"/>
        </w:rPr>
        <w:t xml:space="preserve"> responsibility areas, </w:t>
      </w:r>
      <w:r w:rsidR="006D3046">
        <w:rPr>
          <w:rFonts w:ascii="Times New Roman" w:eastAsia="SimSun" w:hAnsi="Times New Roman" w:cs="Times New Roman"/>
          <w:sz w:val="24"/>
          <w:szCs w:val="24"/>
        </w:rPr>
        <w:t xml:space="preserve">including to </w:t>
      </w:r>
      <w:r w:rsidR="006D7DAF">
        <w:rPr>
          <w:rFonts w:ascii="Times New Roman" w:eastAsia="SimSun" w:hAnsi="Times New Roman" w:cs="Times New Roman"/>
          <w:sz w:val="24"/>
          <w:szCs w:val="24"/>
        </w:rPr>
        <w:t xml:space="preserve">establish a collection of long-term progress indicators for the Australian visitor economy. </w:t>
      </w:r>
    </w:p>
    <w:p w14:paraId="5FE089DF" w14:textId="337CDE8A" w:rsidR="004D796F" w:rsidRDefault="006D7DAF" w:rsidP="004D796F">
      <w:pPr>
        <w:spacing w:after="120" w:line="300" w:lineRule="exact"/>
        <w:divId w:val="591620094"/>
        <w:rPr>
          <w:rFonts w:ascii="Times New Roman" w:eastAsia="SimSun" w:hAnsi="Times New Roman" w:cs="Times New Roman"/>
          <w:sz w:val="24"/>
          <w:szCs w:val="24"/>
        </w:rPr>
      </w:pPr>
      <w:r>
        <w:rPr>
          <w:rFonts w:ascii="Times New Roman" w:eastAsia="SimSun" w:hAnsi="Times New Roman" w:cs="Times New Roman"/>
          <w:sz w:val="24"/>
          <w:szCs w:val="24"/>
        </w:rPr>
        <w:t xml:space="preserve">The Working Group is comprised of </w:t>
      </w:r>
      <w:hyperlink r:id="rId12" w:history="1">
        <w:r w:rsidRPr="006D7DAF">
          <w:rPr>
            <w:rStyle w:val="Hyperlink"/>
            <w:rFonts w:ascii="Times New Roman" w:eastAsia="SimSun" w:hAnsi="Times New Roman" w:cs="Times New Roman"/>
            <w:sz w:val="24"/>
            <w:szCs w:val="24"/>
          </w:rPr>
          <w:t>13 industry, community and government representatives</w:t>
        </w:r>
      </w:hyperlink>
      <w:r>
        <w:rPr>
          <w:rFonts w:ascii="Times New Roman" w:eastAsia="SimSun" w:hAnsi="Times New Roman" w:cs="Times New Roman"/>
          <w:sz w:val="24"/>
          <w:szCs w:val="24"/>
        </w:rPr>
        <w:t xml:space="preserve"> and a Chair</w:t>
      </w:r>
      <w:r w:rsidR="006D3046">
        <w:rPr>
          <w:rFonts w:ascii="Times New Roman" w:eastAsia="SimSun" w:hAnsi="Times New Roman" w:cs="Times New Roman"/>
          <w:sz w:val="24"/>
          <w:szCs w:val="24"/>
        </w:rPr>
        <w:t>, each appointed by the CEO of the Australian Trade and Investment Commission</w:t>
      </w:r>
      <w:r>
        <w:rPr>
          <w:rFonts w:ascii="Times New Roman" w:eastAsia="SimSun" w:hAnsi="Times New Roman" w:cs="Times New Roman"/>
          <w:sz w:val="24"/>
          <w:szCs w:val="24"/>
        </w:rPr>
        <w:t>.</w:t>
      </w:r>
      <w:r w:rsidR="006D3046">
        <w:rPr>
          <w:rFonts w:ascii="Times New Roman" w:eastAsia="SimSun" w:hAnsi="Times New Roman" w:cs="Times New Roman"/>
          <w:sz w:val="24"/>
          <w:szCs w:val="24"/>
        </w:rPr>
        <w:t xml:space="preserve"> </w:t>
      </w:r>
      <w:r w:rsidR="004D796F">
        <w:rPr>
          <w:rFonts w:ascii="Times New Roman" w:eastAsia="SimSun" w:hAnsi="Times New Roman" w:cs="Times New Roman"/>
          <w:sz w:val="24"/>
          <w:szCs w:val="24"/>
        </w:rPr>
        <w:t xml:space="preserve">The IDEA Working Group </w:t>
      </w:r>
      <w:r w:rsidR="00B51C5A">
        <w:rPr>
          <w:rFonts w:ascii="Times New Roman" w:eastAsia="SimSun" w:hAnsi="Times New Roman" w:cs="Times New Roman"/>
          <w:sz w:val="24"/>
          <w:szCs w:val="24"/>
        </w:rPr>
        <w:t>was</w:t>
      </w:r>
      <w:r w:rsidR="004D796F">
        <w:rPr>
          <w:rFonts w:ascii="Times New Roman" w:eastAsia="SimSun" w:hAnsi="Times New Roman" w:cs="Times New Roman"/>
          <w:sz w:val="24"/>
          <w:szCs w:val="24"/>
        </w:rPr>
        <w:t xml:space="preserve"> established for 12 months.</w:t>
      </w:r>
    </w:p>
    <w:p w14:paraId="4658B4AB" w14:textId="3AF6986A" w:rsidR="006D3046" w:rsidRDefault="00B116A9" w:rsidP="000E365D">
      <w:pPr>
        <w:spacing w:after="120" w:line="300" w:lineRule="exact"/>
        <w:divId w:val="591620094"/>
        <w:rPr>
          <w:rFonts w:ascii="Times New Roman" w:eastAsia="SimSun" w:hAnsi="Times New Roman" w:cs="Times New Roman"/>
          <w:sz w:val="24"/>
          <w:szCs w:val="24"/>
        </w:rPr>
      </w:pPr>
      <w:r>
        <w:rPr>
          <w:rFonts w:ascii="Times New Roman" w:eastAsia="SimSun" w:hAnsi="Times New Roman" w:cs="Times New Roman"/>
          <w:sz w:val="24"/>
          <w:szCs w:val="24"/>
        </w:rPr>
        <w:t xml:space="preserve">The Working Group’s first four meetings were held on 27 April 2022, 26 May 2022, </w:t>
      </w:r>
      <w:r w:rsidR="00B1377D">
        <w:rPr>
          <w:rFonts w:ascii="Times New Roman" w:eastAsia="SimSun" w:hAnsi="Times New Roman" w:cs="Times New Roman"/>
          <w:sz w:val="24"/>
          <w:szCs w:val="24"/>
        </w:rPr>
        <w:t>21 July 2022</w:t>
      </w:r>
      <w:r>
        <w:rPr>
          <w:rFonts w:ascii="Times New Roman" w:eastAsia="SimSun" w:hAnsi="Times New Roman" w:cs="Times New Roman"/>
          <w:sz w:val="24"/>
          <w:szCs w:val="24"/>
        </w:rPr>
        <w:t xml:space="preserve"> and</w:t>
      </w:r>
      <w:r w:rsidR="00B1377D">
        <w:rPr>
          <w:rFonts w:ascii="Times New Roman" w:eastAsia="SimSun" w:hAnsi="Times New Roman" w:cs="Times New Roman"/>
          <w:sz w:val="24"/>
          <w:szCs w:val="24"/>
        </w:rPr>
        <w:t xml:space="preserve"> 6 October 2022.</w:t>
      </w:r>
      <w:r>
        <w:rPr>
          <w:rFonts w:ascii="Times New Roman" w:eastAsia="SimSun" w:hAnsi="Times New Roman" w:cs="Times New Roman"/>
          <w:sz w:val="24"/>
          <w:szCs w:val="24"/>
        </w:rPr>
        <w:t xml:space="preserve"> T</w:t>
      </w:r>
      <w:r w:rsidR="0043336A">
        <w:rPr>
          <w:rFonts w:ascii="Times New Roman" w:eastAsia="SimSun" w:hAnsi="Times New Roman" w:cs="Times New Roman"/>
          <w:sz w:val="24"/>
          <w:szCs w:val="24"/>
        </w:rPr>
        <w:t>wo</w:t>
      </w:r>
      <w:r>
        <w:rPr>
          <w:rFonts w:ascii="Times New Roman" w:eastAsia="SimSun" w:hAnsi="Times New Roman" w:cs="Times New Roman"/>
          <w:sz w:val="24"/>
          <w:szCs w:val="24"/>
        </w:rPr>
        <w:t xml:space="preserve"> communique</w:t>
      </w:r>
      <w:r w:rsidR="00B1377D">
        <w:rPr>
          <w:rFonts w:ascii="Times New Roman" w:eastAsia="SimSun" w:hAnsi="Times New Roman" w:cs="Times New Roman"/>
          <w:sz w:val="24"/>
          <w:szCs w:val="24"/>
        </w:rPr>
        <w:t>s</w:t>
      </w:r>
      <w:r w:rsidR="0043336A">
        <w:rPr>
          <w:rFonts w:ascii="Times New Roman" w:eastAsia="SimSun" w:hAnsi="Times New Roman" w:cs="Times New Roman"/>
          <w:sz w:val="24"/>
          <w:szCs w:val="24"/>
        </w:rPr>
        <w:t xml:space="preserve"> are available</w:t>
      </w:r>
      <w:r>
        <w:rPr>
          <w:rFonts w:ascii="Times New Roman" w:eastAsia="SimSun" w:hAnsi="Times New Roman" w:cs="Times New Roman"/>
          <w:sz w:val="24"/>
          <w:szCs w:val="24"/>
        </w:rPr>
        <w:t xml:space="preserve"> for</w:t>
      </w:r>
      <w:r w:rsidR="00B1377D">
        <w:rPr>
          <w:rFonts w:ascii="Times New Roman" w:eastAsia="SimSun" w:hAnsi="Times New Roman" w:cs="Times New Roman"/>
          <w:sz w:val="24"/>
          <w:szCs w:val="24"/>
        </w:rPr>
        <w:t xml:space="preserve"> the first 4</w:t>
      </w:r>
      <w:r>
        <w:rPr>
          <w:rFonts w:ascii="Times New Roman" w:eastAsia="SimSun" w:hAnsi="Times New Roman" w:cs="Times New Roman"/>
          <w:sz w:val="24"/>
          <w:szCs w:val="24"/>
        </w:rPr>
        <w:t xml:space="preserve"> meeting</w:t>
      </w:r>
      <w:r w:rsidR="00B1377D">
        <w:rPr>
          <w:rFonts w:ascii="Times New Roman" w:eastAsia="SimSun" w:hAnsi="Times New Roman" w:cs="Times New Roman"/>
          <w:sz w:val="24"/>
          <w:szCs w:val="24"/>
        </w:rPr>
        <w:t>s</w:t>
      </w:r>
      <w:r>
        <w:rPr>
          <w:rFonts w:ascii="Times New Roman" w:eastAsia="SimSun" w:hAnsi="Times New Roman" w:cs="Times New Roman"/>
          <w:sz w:val="24"/>
          <w:szCs w:val="24"/>
        </w:rPr>
        <w:t xml:space="preserve"> on the</w:t>
      </w:r>
      <w:r w:rsidR="00B1377D">
        <w:rPr>
          <w:rFonts w:ascii="Times New Roman" w:eastAsia="SimSun" w:hAnsi="Times New Roman" w:cs="Times New Roman"/>
          <w:sz w:val="24"/>
          <w:szCs w:val="24"/>
        </w:rPr>
        <w:t xml:space="preserve"> </w:t>
      </w:r>
      <w:hyperlink r:id="rId13" w:history="1">
        <w:r w:rsidR="00B1377D" w:rsidRPr="00B1377D">
          <w:rPr>
            <w:rStyle w:val="Hyperlink"/>
            <w:rFonts w:ascii="Times New Roman" w:eastAsia="SimSun" w:hAnsi="Times New Roman" w:cs="Times New Roman"/>
            <w:sz w:val="24"/>
            <w:szCs w:val="24"/>
          </w:rPr>
          <w:t>IDEA Working Group</w:t>
        </w:r>
        <w:r w:rsidRPr="00B1377D">
          <w:rPr>
            <w:rStyle w:val="Hyperlink"/>
            <w:rFonts w:ascii="Times New Roman" w:eastAsia="SimSun" w:hAnsi="Times New Roman" w:cs="Times New Roman"/>
            <w:sz w:val="24"/>
            <w:szCs w:val="24"/>
          </w:rPr>
          <w:t xml:space="preserve"> </w:t>
        </w:r>
        <w:r w:rsidR="001B39AC" w:rsidRPr="001B39AC">
          <w:rPr>
            <w:rStyle w:val="Hyperlink"/>
            <w:rFonts w:ascii="Times New Roman" w:eastAsia="SimSun" w:hAnsi="Times New Roman" w:cs="Times New Roman"/>
            <w:i/>
            <w:iCs/>
            <w:sz w:val="24"/>
            <w:szCs w:val="24"/>
          </w:rPr>
          <w:t>THRIVE 2030</w:t>
        </w:r>
      </w:hyperlink>
      <w:r w:rsidR="00B47EFD">
        <w:rPr>
          <w:rFonts w:ascii="Times New Roman" w:eastAsia="SimSun" w:hAnsi="Times New Roman" w:cs="Times New Roman"/>
          <w:sz w:val="24"/>
          <w:szCs w:val="24"/>
        </w:rPr>
        <w:t xml:space="preserve"> web page.</w:t>
      </w:r>
    </w:p>
    <w:p w14:paraId="2E32D040" w14:textId="0D0E8841" w:rsidR="00B1377D" w:rsidRDefault="0043336A" w:rsidP="000E365D">
      <w:pPr>
        <w:spacing w:after="120" w:line="300" w:lineRule="exact"/>
        <w:divId w:val="591620094"/>
        <w:rPr>
          <w:rFonts w:ascii="Times New Roman" w:eastAsia="SimSun" w:hAnsi="Times New Roman" w:cs="Times New Roman"/>
          <w:sz w:val="24"/>
          <w:szCs w:val="24"/>
        </w:rPr>
      </w:pPr>
      <w:r>
        <w:rPr>
          <w:rFonts w:ascii="Times New Roman" w:eastAsia="SimSun" w:hAnsi="Times New Roman" w:cs="Times New Roman"/>
          <w:sz w:val="24"/>
          <w:szCs w:val="24"/>
        </w:rPr>
        <w:t>The Working Group</w:t>
      </w:r>
      <w:r w:rsidR="003D4C08">
        <w:rPr>
          <w:rFonts w:ascii="Times New Roman" w:eastAsia="SimSun" w:hAnsi="Times New Roman" w:cs="Times New Roman"/>
          <w:sz w:val="24"/>
          <w:szCs w:val="24"/>
        </w:rPr>
        <w:t xml:space="preserve"> has concluded all </w:t>
      </w:r>
      <w:r w:rsidR="00B51C5A">
        <w:rPr>
          <w:rFonts w:ascii="Times New Roman" w:eastAsia="SimSun" w:hAnsi="Times New Roman" w:cs="Times New Roman"/>
          <w:sz w:val="24"/>
          <w:szCs w:val="24"/>
        </w:rPr>
        <w:t xml:space="preserve">7 scheduled </w:t>
      </w:r>
      <w:r w:rsidR="003D4C08">
        <w:rPr>
          <w:rFonts w:ascii="Times New Roman" w:eastAsia="SimSun" w:hAnsi="Times New Roman" w:cs="Times New Roman"/>
          <w:sz w:val="24"/>
          <w:szCs w:val="24"/>
        </w:rPr>
        <w:t>meetings and</w:t>
      </w:r>
      <w:r>
        <w:rPr>
          <w:rFonts w:ascii="Times New Roman" w:eastAsia="SimSun" w:hAnsi="Times New Roman" w:cs="Times New Roman"/>
          <w:sz w:val="24"/>
          <w:szCs w:val="24"/>
        </w:rPr>
        <w:t xml:space="preserve"> will be dissolved in </w:t>
      </w:r>
      <w:r w:rsidR="00610568">
        <w:rPr>
          <w:rFonts w:ascii="Times New Roman" w:eastAsia="SimSun" w:hAnsi="Times New Roman" w:cs="Times New Roman"/>
          <w:sz w:val="24"/>
          <w:szCs w:val="24"/>
        </w:rPr>
        <w:t>May</w:t>
      </w:r>
      <w:r>
        <w:rPr>
          <w:rFonts w:ascii="Times New Roman" w:eastAsia="SimSun" w:hAnsi="Times New Roman" w:cs="Times New Roman"/>
          <w:sz w:val="24"/>
          <w:szCs w:val="24"/>
        </w:rPr>
        <w:t xml:space="preserve"> 2023 once the</w:t>
      </w:r>
      <w:r w:rsidR="003D4C08">
        <w:rPr>
          <w:rFonts w:ascii="Times New Roman" w:eastAsia="SimSun" w:hAnsi="Times New Roman" w:cs="Times New Roman"/>
          <w:sz w:val="24"/>
          <w:szCs w:val="24"/>
        </w:rPr>
        <w:t xml:space="preserve"> Working Group</w:t>
      </w:r>
      <w:r w:rsidR="00B51C5A">
        <w:rPr>
          <w:rFonts w:ascii="Times New Roman" w:eastAsia="SimSun" w:hAnsi="Times New Roman" w:cs="Times New Roman"/>
          <w:sz w:val="24"/>
          <w:szCs w:val="24"/>
        </w:rPr>
        <w:t>’s</w:t>
      </w:r>
      <w:r>
        <w:rPr>
          <w:rFonts w:ascii="Times New Roman" w:eastAsia="SimSun" w:hAnsi="Times New Roman" w:cs="Times New Roman"/>
          <w:sz w:val="24"/>
          <w:szCs w:val="24"/>
        </w:rPr>
        <w:t xml:space="preserve"> recommendations report is finalised.</w:t>
      </w:r>
    </w:p>
    <w:p w14:paraId="45CEBC08" w14:textId="77777777" w:rsidR="0043336A" w:rsidRDefault="0043336A" w:rsidP="000E365D">
      <w:pPr>
        <w:spacing w:after="120" w:line="300" w:lineRule="exact"/>
        <w:divId w:val="591620094"/>
        <w:rPr>
          <w:rFonts w:ascii="Times New Roman" w:eastAsia="SimSun" w:hAnsi="Times New Roman" w:cs="Times New Roman"/>
          <w:sz w:val="24"/>
          <w:szCs w:val="24"/>
        </w:rPr>
      </w:pPr>
    </w:p>
    <w:p w14:paraId="47D4EFAF" w14:textId="4C07C150" w:rsidR="00853D1F" w:rsidRPr="00756DB8" w:rsidRDefault="006D3046" w:rsidP="00756DB8">
      <w:pPr>
        <w:spacing w:after="120" w:line="300" w:lineRule="exact"/>
        <w:divId w:val="591620094"/>
        <w:rPr>
          <w:color w:val="538135" w:themeColor="accent6" w:themeShade="BF"/>
          <w:sz w:val="28"/>
          <w:szCs w:val="28"/>
        </w:rPr>
      </w:pPr>
      <w:r w:rsidRPr="00756DB8">
        <w:rPr>
          <w:color w:val="538135" w:themeColor="accent6" w:themeShade="BF"/>
          <w:sz w:val="28"/>
          <w:szCs w:val="28"/>
        </w:rPr>
        <w:t>Meeting content</w:t>
      </w:r>
      <w:r w:rsidR="00853D1F" w:rsidRPr="00756DB8">
        <w:rPr>
          <w:color w:val="538135" w:themeColor="accent6" w:themeShade="BF"/>
          <w:sz w:val="28"/>
          <w:szCs w:val="28"/>
        </w:rPr>
        <w:t xml:space="preserve"> </w:t>
      </w:r>
    </w:p>
    <w:p w14:paraId="0243EC2F" w14:textId="77777777" w:rsidR="0001762B" w:rsidRPr="00756DB8" w:rsidRDefault="0001762B" w:rsidP="00756DB8">
      <w:pPr>
        <w:spacing w:after="120" w:line="300" w:lineRule="exact"/>
        <w:divId w:val="591620094"/>
        <w:rPr>
          <w:color w:val="538135" w:themeColor="accent6" w:themeShade="BF"/>
          <w:sz w:val="28"/>
          <w:szCs w:val="28"/>
        </w:rPr>
      </w:pPr>
    </w:p>
    <w:p w14:paraId="32B0B7C8" w14:textId="01724018" w:rsidR="006D3046" w:rsidRPr="005F4AFA" w:rsidRDefault="00853D1F" w:rsidP="00756DB8">
      <w:pPr>
        <w:spacing w:after="120" w:line="300" w:lineRule="exact"/>
        <w:divId w:val="591620094"/>
        <w:rPr>
          <w:color w:val="538135" w:themeColor="accent6" w:themeShade="BF"/>
          <w:sz w:val="24"/>
          <w:szCs w:val="24"/>
        </w:rPr>
      </w:pPr>
      <w:r w:rsidRPr="005F4AFA">
        <w:rPr>
          <w:color w:val="538135" w:themeColor="accent6" w:themeShade="BF"/>
          <w:sz w:val="24"/>
          <w:szCs w:val="24"/>
        </w:rPr>
        <w:t xml:space="preserve">Meeting </w:t>
      </w:r>
      <w:r w:rsidR="00B1377D" w:rsidRPr="005F4AFA">
        <w:rPr>
          <w:color w:val="538135" w:themeColor="accent6" w:themeShade="BF"/>
          <w:sz w:val="24"/>
          <w:szCs w:val="24"/>
        </w:rPr>
        <w:t>5</w:t>
      </w:r>
    </w:p>
    <w:p w14:paraId="69DA89FC" w14:textId="1F69A609" w:rsidR="00B51C5A" w:rsidRDefault="00FB5435" w:rsidP="00B51C5A">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00B51C5A">
        <w:rPr>
          <w:rFonts w:ascii="Times New Roman" w:eastAsia="Times New Roman" w:hAnsi="Times New Roman" w:cs="Times New Roman"/>
          <w:color w:val="000000"/>
          <w:sz w:val="24"/>
          <w:szCs w:val="24"/>
          <w:lang w:eastAsia="en-GB"/>
        </w:rPr>
        <w:t xml:space="preserve">rior to Meeting 5, </w:t>
      </w:r>
      <w:r w:rsidR="00B51C5A" w:rsidRPr="0001762B">
        <w:rPr>
          <w:rFonts w:ascii="Times New Roman" w:eastAsia="Times New Roman" w:hAnsi="Times New Roman" w:cs="Times New Roman"/>
          <w:color w:val="000000"/>
          <w:sz w:val="24"/>
          <w:szCs w:val="24"/>
          <w:lang w:eastAsia="en-GB"/>
        </w:rPr>
        <w:t>a facilitation sub-committee (FSC) was formed to prepare and facilitate the</w:t>
      </w:r>
      <w:r w:rsidR="00B51C5A">
        <w:rPr>
          <w:rFonts w:ascii="Times New Roman" w:eastAsia="Times New Roman" w:hAnsi="Times New Roman" w:cs="Times New Roman"/>
          <w:color w:val="000000"/>
          <w:sz w:val="24"/>
          <w:szCs w:val="24"/>
          <w:lang w:eastAsia="en-GB"/>
        </w:rPr>
        <w:t xml:space="preserve"> day’s</w:t>
      </w:r>
      <w:r w:rsidR="00B51C5A" w:rsidRPr="0001762B">
        <w:rPr>
          <w:rFonts w:ascii="Times New Roman" w:eastAsia="Times New Roman" w:hAnsi="Times New Roman" w:cs="Times New Roman"/>
          <w:color w:val="000000"/>
          <w:sz w:val="24"/>
          <w:szCs w:val="24"/>
          <w:lang w:eastAsia="en-GB"/>
        </w:rPr>
        <w:t xml:space="preserve"> LIVE framework workshop. The FSC was made up of IDEA Working Group members Adele Labine-Romain, Dr Grace Pan, Carol Giuseppi and Professor Leo Jago, and was supported by Associate Professor Sarah Gardiner and Professor Susanne Becken from Griffith University.</w:t>
      </w:r>
      <w:r w:rsidR="00B51C5A">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Over the 8 weeks before the meeting, t</w:t>
      </w:r>
      <w:r w:rsidR="00B51C5A">
        <w:rPr>
          <w:rFonts w:ascii="Times New Roman" w:eastAsia="Times New Roman" w:hAnsi="Times New Roman" w:cs="Times New Roman"/>
          <w:color w:val="000000"/>
          <w:sz w:val="24"/>
          <w:szCs w:val="24"/>
          <w:lang w:eastAsia="en-GB"/>
        </w:rPr>
        <w:t>he FSC developed a</w:t>
      </w:r>
      <w:r w:rsidR="00B51C5A" w:rsidRPr="00E43D52">
        <w:rPr>
          <w:rFonts w:ascii="Times New Roman" w:eastAsia="Times New Roman" w:hAnsi="Times New Roman" w:cs="Times New Roman"/>
          <w:color w:val="000000"/>
          <w:sz w:val="24"/>
          <w:szCs w:val="24"/>
          <w:lang w:eastAsia="en-GB"/>
        </w:rPr>
        <w:t xml:space="preserve"> list of 62 potential indicators, </w:t>
      </w:r>
      <w:r w:rsidR="00B51C5A">
        <w:rPr>
          <w:rFonts w:ascii="Times New Roman" w:eastAsia="Times New Roman" w:hAnsi="Times New Roman" w:cs="Times New Roman"/>
          <w:color w:val="000000"/>
          <w:sz w:val="24"/>
          <w:szCs w:val="24"/>
          <w:lang w:eastAsia="en-GB"/>
        </w:rPr>
        <w:t>that were grouped into 3 categories</w:t>
      </w:r>
      <w:r w:rsidR="00B51C5A" w:rsidRPr="00E43D52">
        <w:rPr>
          <w:rFonts w:ascii="Times New Roman" w:eastAsia="Times New Roman" w:hAnsi="Times New Roman" w:cs="Times New Roman"/>
          <w:color w:val="000000"/>
          <w:sz w:val="24"/>
          <w:szCs w:val="24"/>
          <w:lang w:eastAsia="en-GB"/>
        </w:rPr>
        <w:t>,</w:t>
      </w:r>
      <w:r w:rsidR="00B51C5A">
        <w:rPr>
          <w:rFonts w:ascii="Times New Roman" w:eastAsia="Times New Roman" w:hAnsi="Times New Roman" w:cs="Times New Roman"/>
          <w:color w:val="000000"/>
          <w:sz w:val="24"/>
          <w:szCs w:val="24"/>
          <w:lang w:eastAsia="en-GB"/>
        </w:rPr>
        <w:t xml:space="preserve"> economic, social and environmental. This</w:t>
      </w:r>
      <w:r w:rsidR="00B51C5A" w:rsidRPr="00E43D52">
        <w:rPr>
          <w:rFonts w:ascii="Times New Roman" w:eastAsia="Times New Roman" w:hAnsi="Times New Roman" w:cs="Times New Roman"/>
          <w:color w:val="000000"/>
          <w:sz w:val="24"/>
          <w:szCs w:val="24"/>
          <w:lang w:eastAsia="en-GB"/>
        </w:rPr>
        <w:t xml:space="preserve"> was sent to the Working Group </w:t>
      </w:r>
      <w:r>
        <w:rPr>
          <w:rFonts w:ascii="Times New Roman" w:eastAsia="Times New Roman" w:hAnsi="Times New Roman" w:cs="Times New Roman"/>
          <w:color w:val="000000"/>
          <w:sz w:val="24"/>
          <w:szCs w:val="24"/>
          <w:lang w:eastAsia="en-GB"/>
        </w:rPr>
        <w:t>for consultation</w:t>
      </w:r>
      <w:r w:rsidR="00B51C5A">
        <w:rPr>
          <w:rFonts w:ascii="Times New Roman" w:eastAsia="Times New Roman" w:hAnsi="Times New Roman" w:cs="Times New Roman"/>
          <w:color w:val="000000"/>
          <w:sz w:val="24"/>
          <w:szCs w:val="24"/>
          <w:lang w:eastAsia="en-GB"/>
        </w:rPr>
        <w:t xml:space="preserve"> and</w:t>
      </w:r>
      <w:r w:rsidR="00B51C5A" w:rsidRPr="00E43D52">
        <w:rPr>
          <w:rFonts w:ascii="Times New Roman" w:eastAsia="Times New Roman" w:hAnsi="Times New Roman" w:cs="Times New Roman"/>
          <w:color w:val="000000"/>
          <w:sz w:val="24"/>
          <w:szCs w:val="24"/>
          <w:lang w:eastAsia="en-GB"/>
        </w:rPr>
        <w:t xml:space="preserve"> members were asked to familiarise themselves with the list and to consider whether other indicators should be added.</w:t>
      </w:r>
    </w:p>
    <w:p w14:paraId="47BC0D0C" w14:textId="33135FEB" w:rsidR="004D796F" w:rsidRDefault="00636C71" w:rsidP="00853D1F">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At Meeting 5, the Chair took the first 5 minutes to acknowledge traditional custodians and thank the group for taking the time to meet in</w:t>
      </w:r>
      <w:r w:rsidR="00B51C5A">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person. </w:t>
      </w:r>
      <w:r w:rsidR="003D4C08">
        <w:rPr>
          <w:rFonts w:ascii="Times New Roman" w:eastAsia="Times New Roman" w:hAnsi="Times New Roman" w:cs="Times New Roman"/>
          <w:color w:val="000000"/>
          <w:sz w:val="24"/>
          <w:szCs w:val="24"/>
          <w:lang w:eastAsia="en-GB"/>
        </w:rPr>
        <w:t>It was</w:t>
      </w:r>
      <w:r w:rsidR="0001762B">
        <w:rPr>
          <w:rFonts w:ascii="Times New Roman" w:eastAsia="Times New Roman" w:hAnsi="Times New Roman" w:cs="Times New Roman"/>
          <w:color w:val="000000"/>
          <w:sz w:val="24"/>
          <w:szCs w:val="24"/>
          <w:lang w:eastAsia="en-GB"/>
        </w:rPr>
        <w:t xml:space="preserve"> noted that Meeting 5 would be solely focussed on the Working Group’s responsibility to establish long-term progress indicators for the Australian visitor economy.</w:t>
      </w:r>
    </w:p>
    <w:p w14:paraId="3BE8D9FA" w14:textId="77777777" w:rsidR="003D4C08" w:rsidRDefault="003D4C08" w:rsidP="003D4C08">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The Chair outlined some goals for the session were to:</w:t>
      </w:r>
    </w:p>
    <w:p w14:paraId="6EFF2FD9" w14:textId="77777777" w:rsidR="003D4C08" w:rsidRDefault="003D4C08" w:rsidP="003D4C08">
      <w:pPr>
        <w:pStyle w:val="ListParagraph"/>
        <w:numPr>
          <w:ilvl w:val="0"/>
          <w:numId w:val="21"/>
        </w:numPr>
        <w:spacing w:before="60" w:after="60"/>
        <w:divId w:val="591620094"/>
        <w:rPr>
          <w:rFonts w:ascii="Times New Roman" w:eastAsia="Times New Roman" w:hAnsi="Times New Roman" w:cs="Times New Roman"/>
          <w:color w:val="000000"/>
          <w:sz w:val="24"/>
          <w:szCs w:val="24"/>
          <w:lang w:eastAsia="en-GB"/>
        </w:rPr>
      </w:pPr>
      <w:r w:rsidRPr="002177AA">
        <w:rPr>
          <w:rFonts w:ascii="Times New Roman" w:eastAsia="Times New Roman" w:hAnsi="Times New Roman" w:cs="Times New Roman"/>
          <w:color w:val="000000"/>
          <w:sz w:val="24"/>
          <w:szCs w:val="24"/>
          <w:lang w:eastAsia="en-GB"/>
        </w:rPr>
        <w:t xml:space="preserve">aim for a solid, if imperfect, foundation, which could be iterated and improved over </w:t>
      </w:r>
      <w:proofErr w:type="gramStart"/>
      <w:r w:rsidRPr="002177AA">
        <w:rPr>
          <w:rFonts w:ascii="Times New Roman" w:eastAsia="Times New Roman" w:hAnsi="Times New Roman" w:cs="Times New Roman"/>
          <w:color w:val="000000"/>
          <w:sz w:val="24"/>
          <w:szCs w:val="24"/>
          <w:lang w:eastAsia="en-GB"/>
        </w:rPr>
        <w:t>time</w:t>
      </w:r>
      <w:proofErr w:type="gramEnd"/>
    </w:p>
    <w:p w14:paraId="4EDB847A" w14:textId="77777777" w:rsidR="003D4C08" w:rsidRDefault="003D4C08" w:rsidP="003D4C08">
      <w:pPr>
        <w:pStyle w:val="ListParagraph"/>
        <w:numPr>
          <w:ilvl w:val="0"/>
          <w:numId w:val="21"/>
        </w:numPr>
        <w:spacing w:before="60" w:after="60"/>
        <w:divId w:val="591620094"/>
        <w:rPr>
          <w:rFonts w:ascii="Times New Roman" w:eastAsia="Times New Roman" w:hAnsi="Times New Roman" w:cs="Times New Roman"/>
          <w:color w:val="000000"/>
          <w:sz w:val="24"/>
          <w:szCs w:val="24"/>
          <w:lang w:eastAsia="en-GB"/>
        </w:rPr>
      </w:pPr>
      <w:r w:rsidRPr="002177AA">
        <w:rPr>
          <w:rFonts w:ascii="Times New Roman" w:eastAsia="Times New Roman" w:hAnsi="Times New Roman" w:cs="Times New Roman"/>
          <w:color w:val="000000"/>
          <w:sz w:val="24"/>
          <w:szCs w:val="24"/>
          <w:lang w:eastAsia="en-GB"/>
        </w:rPr>
        <w:t>look for an outcome that is relevant to industry</w:t>
      </w:r>
    </w:p>
    <w:p w14:paraId="567624D8" w14:textId="77777777" w:rsidR="003D4C08" w:rsidRPr="002177AA" w:rsidRDefault="003D4C08" w:rsidP="003D4C08">
      <w:pPr>
        <w:pStyle w:val="ListParagraph"/>
        <w:numPr>
          <w:ilvl w:val="0"/>
          <w:numId w:val="21"/>
        </w:numPr>
        <w:spacing w:before="60" w:after="60"/>
        <w:divId w:val="591620094"/>
        <w:rPr>
          <w:rFonts w:ascii="Times New Roman" w:eastAsia="Times New Roman" w:hAnsi="Times New Roman" w:cs="Times New Roman"/>
          <w:color w:val="000000"/>
          <w:sz w:val="24"/>
          <w:szCs w:val="24"/>
          <w:lang w:eastAsia="en-GB"/>
        </w:rPr>
      </w:pPr>
      <w:r w:rsidRPr="002177AA">
        <w:rPr>
          <w:rFonts w:ascii="Times New Roman" w:eastAsia="Times New Roman" w:hAnsi="Times New Roman" w:cs="Times New Roman"/>
          <w:color w:val="000000"/>
          <w:sz w:val="24"/>
          <w:szCs w:val="24"/>
          <w:lang w:eastAsia="en-GB"/>
        </w:rPr>
        <w:t>achieve a practical outcome that can be commenced</w:t>
      </w:r>
      <w:r w:rsidRPr="002177AA">
        <w:rPr>
          <w:rFonts w:ascii="Times New Roman" w:eastAsia="Times New Roman" w:hAnsi="Times New Roman" w:cs="Times New Roman"/>
          <w:sz w:val="24"/>
          <w:szCs w:val="24"/>
          <w:lang w:eastAsia="en-GB"/>
        </w:rPr>
        <w:t xml:space="preserve"> in the near term.</w:t>
      </w:r>
    </w:p>
    <w:p w14:paraId="1A31F201" w14:textId="0D4D4460" w:rsidR="005323C4" w:rsidRDefault="002177AA" w:rsidP="005323C4">
      <w:pPr>
        <w:spacing w:before="120" w:after="120"/>
        <w:divId w:val="591620094"/>
        <w:rPr>
          <w:rFonts w:ascii="Times New Roman" w:eastAsia="Times New Roman" w:hAnsi="Times New Roman" w:cs="Times New Roman"/>
          <w:color w:val="000000"/>
          <w:sz w:val="24"/>
          <w:szCs w:val="24"/>
          <w:lang w:eastAsia="en-GB"/>
        </w:rPr>
      </w:pPr>
      <w:r w:rsidRPr="002177AA">
        <w:rPr>
          <w:rFonts w:ascii="Times New Roman" w:eastAsia="Times New Roman" w:hAnsi="Times New Roman" w:cs="Times New Roman"/>
          <w:color w:val="000000"/>
          <w:sz w:val="24"/>
          <w:szCs w:val="24"/>
          <w:lang w:eastAsia="en-GB"/>
        </w:rPr>
        <w:t>The</w:t>
      </w:r>
      <w:r>
        <w:rPr>
          <w:rFonts w:ascii="Times New Roman" w:eastAsia="Times New Roman" w:hAnsi="Times New Roman" w:cs="Times New Roman"/>
          <w:color w:val="000000"/>
          <w:sz w:val="24"/>
          <w:szCs w:val="24"/>
          <w:lang w:eastAsia="en-GB"/>
        </w:rPr>
        <w:t xml:space="preserve"> Chair then introduced the FSC. The</w:t>
      </w:r>
      <w:r w:rsidR="004F22B0">
        <w:rPr>
          <w:rFonts w:ascii="Times New Roman" w:eastAsia="Times New Roman" w:hAnsi="Times New Roman" w:cs="Times New Roman"/>
          <w:color w:val="000000"/>
          <w:sz w:val="24"/>
          <w:szCs w:val="24"/>
          <w:lang w:eastAsia="en-GB"/>
        </w:rPr>
        <w:t>y</w:t>
      </w:r>
      <w:r w:rsidRPr="002177AA">
        <w:rPr>
          <w:rFonts w:ascii="Times New Roman" w:eastAsia="Times New Roman" w:hAnsi="Times New Roman" w:cs="Times New Roman"/>
          <w:color w:val="000000"/>
          <w:sz w:val="24"/>
          <w:szCs w:val="24"/>
          <w:lang w:eastAsia="en-GB"/>
        </w:rPr>
        <w:t xml:space="preserve"> outlined the </w:t>
      </w:r>
      <w:r w:rsidR="00DA32F1">
        <w:rPr>
          <w:rFonts w:ascii="Times New Roman" w:eastAsia="Times New Roman" w:hAnsi="Times New Roman" w:cs="Times New Roman"/>
          <w:color w:val="000000"/>
          <w:sz w:val="24"/>
          <w:szCs w:val="24"/>
          <w:lang w:eastAsia="en-GB"/>
        </w:rPr>
        <w:t xml:space="preserve">main </w:t>
      </w:r>
      <w:r w:rsidRPr="002177AA">
        <w:rPr>
          <w:rFonts w:ascii="Times New Roman" w:eastAsia="Times New Roman" w:hAnsi="Times New Roman" w:cs="Times New Roman"/>
          <w:color w:val="000000"/>
          <w:sz w:val="24"/>
          <w:szCs w:val="24"/>
          <w:lang w:eastAsia="en-GB"/>
        </w:rPr>
        <w:t>purpose of the workshop was to arrive at a list of prioritised indicators that could be used to monitor the visitor economy performance over time.</w:t>
      </w:r>
      <w:r w:rsidR="005323C4">
        <w:rPr>
          <w:rFonts w:ascii="Times New Roman" w:eastAsia="Times New Roman" w:hAnsi="Times New Roman" w:cs="Times New Roman"/>
          <w:color w:val="000000"/>
          <w:sz w:val="24"/>
          <w:szCs w:val="24"/>
          <w:lang w:eastAsia="en-GB"/>
        </w:rPr>
        <w:t xml:space="preserve"> </w:t>
      </w:r>
      <w:r w:rsidR="00DA32F1">
        <w:rPr>
          <w:rFonts w:ascii="Times New Roman" w:eastAsia="Times New Roman" w:hAnsi="Times New Roman" w:cs="Times New Roman"/>
          <w:color w:val="000000"/>
          <w:sz w:val="24"/>
          <w:szCs w:val="24"/>
          <w:lang w:eastAsia="en-GB"/>
        </w:rPr>
        <w:t>A further goal</w:t>
      </w:r>
      <w:r w:rsidR="005323C4" w:rsidRPr="005323C4">
        <w:rPr>
          <w:rFonts w:ascii="Times New Roman" w:eastAsia="Times New Roman" w:hAnsi="Times New Roman" w:cs="Times New Roman"/>
          <w:color w:val="000000"/>
          <w:sz w:val="24"/>
          <w:szCs w:val="24"/>
          <w:lang w:eastAsia="en-GB"/>
        </w:rPr>
        <w:t xml:space="preserve"> of the workshop w</w:t>
      </w:r>
      <w:r w:rsidR="00DA32F1">
        <w:rPr>
          <w:rFonts w:ascii="Times New Roman" w:eastAsia="Times New Roman" w:hAnsi="Times New Roman" w:cs="Times New Roman"/>
          <w:color w:val="000000"/>
          <w:sz w:val="24"/>
          <w:szCs w:val="24"/>
          <w:lang w:eastAsia="en-GB"/>
        </w:rPr>
        <w:t>as</w:t>
      </w:r>
      <w:r w:rsidR="005323C4" w:rsidRPr="005323C4">
        <w:rPr>
          <w:rFonts w:ascii="Times New Roman" w:eastAsia="Times New Roman" w:hAnsi="Times New Roman" w:cs="Times New Roman"/>
          <w:color w:val="000000"/>
          <w:sz w:val="24"/>
          <w:szCs w:val="24"/>
          <w:lang w:eastAsia="en-GB"/>
        </w:rPr>
        <w:t xml:space="preserve"> to identify potential priority indicators, not to operationalise them</w:t>
      </w:r>
      <w:r w:rsidR="00FB5435">
        <w:rPr>
          <w:rFonts w:ascii="Times New Roman" w:eastAsia="Times New Roman" w:hAnsi="Times New Roman" w:cs="Times New Roman"/>
          <w:color w:val="000000"/>
          <w:sz w:val="24"/>
          <w:szCs w:val="24"/>
          <w:lang w:eastAsia="en-GB"/>
        </w:rPr>
        <w:t xml:space="preserve">, and </w:t>
      </w:r>
      <w:r w:rsidR="005323C4" w:rsidRPr="005323C4">
        <w:rPr>
          <w:rFonts w:ascii="Times New Roman" w:eastAsia="Times New Roman" w:hAnsi="Times New Roman" w:cs="Times New Roman"/>
          <w:color w:val="000000"/>
          <w:sz w:val="24"/>
          <w:szCs w:val="24"/>
          <w:lang w:eastAsia="en-GB"/>
        </w:rPr>
        <w:t>further consideration</w:t>
      </w:r>
      <w:r w:rsidR="00FB5435">
        <w:rPr>
          <w:rFonts w:ascii="Times New Roman" w:eastAsia="Times New Roman" w:hAnsi="Times New Roman" w:cs="Times New Roman"/>
          <w:color w:val="000000"/>
          <w:sz w:val="24"/>
          <w:szCs w:val="24"/>
          <w:lang w:eastAsia="en-GB"/>
        </w:rPr>
        <w:t xml:space="preserve"> could later be</w:t>
      </w:r>
      <w:r w:rsidR="005323C4" w:rsidRPr="005323C4">
        <w:rPr>
          <w:rFonts w:ascii="Times New Roman" w:eastAsia="Times New Roman" w:hAnsi="Times New Roman" w:cs="Times New Roman"/>
          <w:color w:val="000000"/>
          <w:sz w:val="24"/>
          <w:szCs w:val="24"/>
          <w:lang w:eastAsia="en-GB"/>
        </w:rPr>
        <w:t xml:space="preserve"> given t</w:t>
      </w:r>
      <w:r w:rsidR="005323C4">
        <w:rPr>
          <w:rFonts w:ascii="Times New Roman" w:eastAsia="Times New Roman" w:hAnsi="Times New Roman" w:cs="Times New Roman"/>
          <w:color w:val="000000"/>
          <w:sz w:val="24"/>
          <w:szCs w:val="24"/>
          <w:lang w:eastAsia="en-GB"/>
        </w:rPr>
        <w:t>o:</w:t>
      </w:r>
    </w:p>
    <w:p w14:paraId="0A8C2098" w14:textId="3311A713" w:rsidR="005323C4" w:rsidRDefault="005323C4" w:rsidP="005323C4">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5323C4">
        <w:rPr>
          <w:rFonts w:ascii="Times New Roman" w:eastAsia="Times New Roman" w:hAnsi="Times New Roman" w:cs="Times New Roman"/>
          <w:color w:val="000000"/>
          <w:sz w:val="24"/>
          <w:szCs w:val="24"/>
          <w:lang w:eastAsia="en-GB"/>
        </w:rPr>
        <w:t>whether data to measure the indicators is available, consistent and affordable</w:t>
      </w:r>
    </w:p>
    <w:p w14:paraId="48BEF80B" w14:textId="77777777" w:rsidR="005323C4" w:rsidRDefault="005323C4" w:rsidP="005323C4">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5323C4">
        <w:rPr>
          <w:rFonts w:ascii="Times New Roman" w:eastAsia="Times New Roman" w:hAnsi="Times New Roman" w:cs="Times New Roman"/>
          <w:color w:val="000000"/>
          <w:sz w:val="24"/>
          <w:szCs w:val="24"/>
          <w:lang w:eastAsia="en-GB"/>
        </w:rPr>
        <w:t>the mix of lagging and leading indicators</w:t>
      </w:r>
    </w:p>
    <w:p w14:paraId="0C8B7383" w14:textId="6E04C9CF" w:rsidR="005323C4" w:rsidRPr="005323C4" w:rsidRDefault="005323C4" w:rsidP="005323C4">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5323C4">
        <w:rPr>
          <w:rFonts w:ascii="Times New Roman" w:eastAsia="Times New Roman" w:hAnsi="Times New Roman" w:cs="Times New Roman"/>
          <w:color w:val="000000"/>
          <w:sz w:val="24"/>
          <w:szCs w:val="24"/>
          <w:lang w:eastAsia="en-GB"/>
        </w:rPr>
        <w:t>the specific ‘shape’ of the framework.</w:t>
      </w:r>
    </w:p>
    <w:p w14:paraId="376C04FE" w14:textId="6844DF8E" w:rsidR="005323C4" w:rsidRDefault="0029200C" w:rsidP="005323C4">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FSC revisited Tourism 2020 indicators, targets, data sources and reporting for historical context. The group also discussed the </w:t>
      </w:r>
      <w:r w:rsidR="001B39AC" w:rsidRPr="001B39AC">
        <w:rPr>
          <w:rFonts w:ascii="Times New Roman" w:eastAsia="Times New Roman" w:hAnsi="Times New Roman" w:cs="Times New Roman"/>
          <w:i/>
          <w:iCs/>
          <w:color w:val="000000"/>
          <w:sz w:val="24"/>
          <w:szCs w:val="24"/>
          <w:lang w:eastAsia="en-GB"/>
        </w:rPr>
        <w:t>THRIVE 2030</w:t>
      </w:r>
      <w:r>
        <w:rPr>
          <w:rFonts w:ascii="Times New Roman" w:eastAsia="Times New Roman" w:hAnsi="Times New Roman" w:cs="Times New Roman"/>
          <w:color w:val="000000"/>
          <w:sz w:val="24"/>
          <w:szCs w:val="24"/>
          <w:lang w:eastAsia="en-GB"/>
        </w:rPr>
        <w:t xml:space="preserve"> targets, priorities and success measures.</w:t>
      </w:r>
    </w:p>
    <w:p w14:paraId="234BFC42" w14:textId="05FA6A7E" w:rsidR="005323C4" w:rsidRDefault="0029200C" w:rsidP="005323C4">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Group discussions noted that there was a need to </w:t>
      </w:r>
      <w:r w:rsidR="00FB5435">
        <w:rPr>
          <w:rFonts w:ascii="Times New Roman" w:eastAsia="Times New Roman" w:hAnsi="Times New Roman" w:cs="Times New Roman"/>
          <w:color w:val="000000"/>
          <w:sz w:val="24"/>
          <w:szCs w:val="24"/>
          <w:lang w:eastAsia="en-GB"/>
        </w:rPr>
        <w:t xml:space="preserve">monitor the </w:t>
      </w:r>
      <w:r>
        <w:rPr>
          <w:rFonts w:ascii="Times New Roman" w:eastAsia="Times New Roman" w:hAnsi="Times New Roman" w:cs="Times New Roman"/>
          <w:color w:val="000000"/>
          <w:sz w:val="24"/>
          <w:szCs w:val="24"/>
          <w:lang w:eastAsia="en-GB"/>
        </w:rPr>
        <w:t xml:space="preserve">balance </w:t>
      </w:r>
      <w:r w:rsidR="00FB5435">
        <w:rPr>
          <w:rFonts w:ascii="Times New Roman" w:eastAsia="Times New Roman" w:hAnsi="Times New Roman" w:cs="Times New Roman"/>
          <w:color w:val="000000"/>
          <w:sz w:val="24"/>
          <w:szCs w:val="24"/>
          <w:lang w:eastAsia="en-GB"/>
        </w:rPr>
        <w:t xml:space="preserve">between </w:t>
      </w:r>
      <w:r>
        <w:rPr>
          <w:rFonts w:ascii="Times New Roman" w:eastAsia="Times New Roman" w:hAnsi="Times New Roman" w:cs="Times New Roman"/>
          <w:color w:val="000000"/>
          <w:sz w:val="24"/>
          <w:szCs w:val="24"/>
          <w:lang w:eastAsia="en-GB"/>
        </w:rPr>
        <w:t>economi</w:t>
      </w:r>
      <w:r w:rsidR="00125404">
        <w:rPr>
          <w:rFonts w:ascii="Times New Roman" w:eastAsia="Times New Roman" w:hAnsi="Times New Roman" w:cs="Times New Roman"/>
          <w:color w:val="000000"/>
          <w:sz w:val="24"/>
          <w:szCs w:val="24"/>
          <w:lang w:eastAsia="en-GB"/>
        </w:rPr>
        <w:t>c,</w:t>
      </w:r>
      <w:r w:rsidR="00FB5435">
        <w:rPr>
          <w:rFonts w:ascii="Times New Roman" w:eastAsia="Times New Roman" w:hAnsi="Times New Roman" w:cs="Times New Roman"/>
          <w:color w:val="000000"/>
          <w:sz w:val="24"/>
          <w:szCs w:val="24"/>
          <w:lang w:eastAsia="en-GB"/>
        </w:rPr>
        <w:t xml:space="preserve"> e</w:t>
      </w:r>
      <w:r>
        <w:rPr>
          <w:rFonts w:ascii="Times New Roman" w:eastAsia="Times New Roman" w:hAnsi="Times New Roman" w:cs="Times New Roman"/>
          <w:color w:val="000000"/>
          <w:sz w:val="24"/>
          <w:szCs w:val="24"/>
          <w:lang w:eastAsia="en-GB"/>
        </w:rPr>
        <w:t xml:space="preserve">nvironmental and social aspects. Other national and global developments related to climate change and general environmental awareness also pointed to </w:t>
      </w:r>
      <w:r w:rsidR="00125404">
        <w:rPr>
          <w:rFonts w:ascii="Times New Roman" w:eastAsia="Times New Roman" w:hAnsi="Times New Roman" w:cs="Times New Roman"/>
          <w:color w:val="000000"/>
          <w:sz w:val="24"/>
          <w:szCs w:val="24"/>
          <w:lang w:eastAsia="en-GB"/>
        </w:rPr>
        <w:t xml:space="preserve">a need for </w:t>
      </w:r>
      <w:r>
        <w:rPr>
          <w:rFonts w:ascii="Times New Roman" w:eastAsia="Times New Roman" w:hAnsi="Times New Roman" w:cs="Times New Roman"/>
          <w:color w:val="000000"/>
          <w:sz w:val="24"/>
          <w:szCs w:val="24"/>
          <w:lang w:eastAsia="en-GB"/>
        </w:rPr>
        <w:t>greater focus on tourism-specific indicators in these areas.</w:t>
      </w:r>
    </w:p>
    <w:p w14:paraId="479AFCB7" w14:textId="55DD58D9" w:rsidR="0029200C" w:rsidRPr="0029200C" w:rsidRDefault="0029200C" w:rsidP="0029200C">
      <w:pPr>
        <w:spacing w:before="120" w:after="120"/>
        <w:divId w:val="591620094"/>
        <w:rPr>
          <w:rFonts w:ascii="Times New Roman" w:eastAsia="Times New Roman" w:hAnsi="Times New Roman" w:cs="Times New Roman"/>
          <w:color w:val="000000"/>
          <w:sz w:val="24"/>
          <w:szCs w:val="24"/>
          <w:lang w:eastAsia="en-GB"/>
        </w:rPr>
      </w:pPr>
      <w:r w:rsidRPr="0029200C">
        <w:rPr>
          <w:rFonts w:ascii="Times New Roman" w:eastAsia="Times New Roman" w:hAnsi="Times New Roman" w:cs="Times New Roman"/>
          <w:color w:val="000000"/>
          <w:sz w:val="24"/>
          <w:szCs w:val="24"/>
          <w:lang w:eastAsia="en-GB"/>
        </w:rPr>
        <w:t xml:space="preserve">The Griffith Institute for Tourism drew from the Tourism 2020 and </w:t>
      </w:r>
      <w:r w:rsidR="001B39AC" w:rsidRPr="001B39AC">
        <w:rPr>
          <w:rFonts w:ascii="Times New Roman" w:eastAsia="Times New Roman" w:hAnsi="Times New Roman" w:cs="Times New Roman"/>
          <w:i/>
          <w:iCs/>
          <w:color w:val="000000"/>
          <w:sz w:val="24"/>
          <w:szCs w:val="24"/>
          <w:lang w:eastAsia="en-GB"/>
        </w:rPr>
        <w:t>THRIVE 2030</w:t>
      </w:r>
      <w:r w:rsidRPr="0029200C">
        <w:rPr>
          <w:rFonts w:ascii="Times New Roman" w:eastAsia="Times New Roman" w:hAnsi="Times New Roman" w:cs="Times New Roman"/>
          <w:color w:val="000000"/>
          <w:sz w:val="24"/>
          <w:szCs w:val="24"/>
          <w:lang w:eastAsia="en-GB"/>
        </w:rPr>
        <w:t xml:space="preserve"> strategies a</w:t>
      </w:r>
      <w:r w:rsidR="00251844">
        <w:rPr>
          <w:rFonts w:ascii="Times New Roman" w:eastAsia="Times New Roman" w:hAnsi="Times New Roman" w:cs="Times New Roman"/>
          <w:color w:val="000000"/>
          <w:sz w:val="24"/>
          <w:szCs w:val="24"/>
          <w:lang w:eastAsia="en-GB"/>
        </w:rPr>
        <w:t>n initial</w:t>
      </w:r>
      <w:r w:rsidRPr="0029200C">
        <w:rPr>
          <w:rFonts w:ascii="Times New Roman" w:eastAsia="Times New Roman" w:hAnsi="Times New Roman" w:cs="Times New Roman"/>
          <w:color w:val="000000"/>
          <w:sz w:val="24"/>
          <w:szCs w:val="24"/>
          <w:lang w:eastAsia="en-GB"/>
        </w:rPr>
        <w:t xml:space="preserve"> list of 9 key ‘tourism aspirations’ that were presented to the Working Group. These were to be considered when prioritising the indicators. They </w:t>
      </w:r>
      <w:r>
        <w:rPr>
          <w:rFonts w:ascii="Times New Roman" w:eastAsia="Times New Roman" w:hAnsi="Times New Roman" w:cs="Times New Roman"/>
          <w:color w:val="000000"/>
          <w:sz w:val="24"/>
          <w:szCs w:val="24"/>
          <w:lang w:eastAsia="en-GB"/>
        </w:rPr>
        <w:t>were</w:t>
      </w:r>
      <w:r w:rsidRPr="0029200C">
        <w:rPr>
          <w:rFonts w:ascii="Times New Roman" w:eastAsia="Times New Roman" w:hAnsi="Times New Roman" w:cs="Times New Roman"/>
          <w:color w:val="000000"/>
          <w:sz w:val="24"/>
          <w:szCs w:val="24"/>
          <w:lang w:eastAsia="en-GB"/>
        </w:rPr>
        <w:t>:</w:t>
      </w:r>
    </w:p>
    <w:p w14:paraId="41921F94" w14:textId="77777777" w:rsidR="0029200C"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International competitiveness</w:t>
      </w:r>
    </w:p>
    <w:p w14:paraId="1DD25579" w14:textId="77777777" w:rsidR="0029200C" w:rsidRPr="00ED6237"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Investment in tourism infrastructure</w:t>
      </w:r>
    </w:p>
    <w:p w14:paraId="2925BB3B" w14:textId="77777777" w:rsidR="0029200C" w:rsidRPr="00ED6237"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 xml:space="preserve">Secure and resilient workforce, including </w:t>
      </w:r>
      <w:r>
        <w:rPr>
          <w:rFonts w:ascii="Times New Roman" w:eastAsia="Times New Roman" w:hAnsi="Times New Roman" w:cs="Times New Roman"/>
          <w:color w:val="000000"/>
          <w:sz w:val="24"/>
          <w:szCs w:val="24"/>
          <w:lang w:eastAsia="en-GB"/>
        </w:rPr>
        <w:t>First Nations</w:t>
      </w:r>
      <w:r w:rsidRPr="00ED6237">
        <w:rPr>
          <w:rFonts w:ascii="Times New Roman" w:eastAsia="Times New Roman" w:hAnsi="Times New Roman" w:cs="Times New Roman"/>
          <w:color w:val="000000"/>
          <w:sz w:val="24"/>
          <w:szCs w:val="24"/>
          <w:lang w:eastAsia="en-GB"/>
        </w:rPr>
        <w:t xml:space="preserve"> participation</w:t>
      </w:r>
    </w:p>
    <w:p w14:paraId="278C89B9" w14:textId="7782CB29" w:rsidR="0029200C" w:rsidRPr="00ED6237"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High</w:t>
      </w:r>
      <w:r>
        <w:rPr>
          <w:rFonts w:ascii="Times New Roman" w:eastAsia="Times New Roman" w:hAnsi="Times New Roman" w:cs="Times New Roman"/>
          <w:color w:val="000000"/>
          <w:sz w:val="24"/>
          <w:szCs w:val="24"/>
          <w:lang w:eastAsia="en-GB"/>
        </w:rPr>
        <w:t>-</w:t>
      </w:r>
      <w:r w:rsidRPr="00ED6237">
        <w:rPr>
          <w:rFonts w:ascii="Times New Roman" w:eastAsia="Times New Roman" w:hAnsi="Times New Roman" w:cs="Times New Roman"/>
          <w:color w:val="000000"/>
          <w:sz w:val="24"/>
          <w:szCs w:val="24"/>
          <w:lang w:eastAsia="en-GB"/>
        </w:rPr>
        <w:t>quality product</w:t>
      </w:r>
      <w:r w:rsidR="00251844">
        <w:rPr>
          <w:rFonts w:ascii="Times New Roman" w:eastAsia="Times New Roman" w:hAnsi="Times New Roman" w:cs="Times New Roman"/>
          <w:color w:val="000000"/>
          <w:sz w:val="24"/>
          <w:szCs w:val="24"/>
          <w:lang w:eastAsia="en-GB"/>
        </w:rPr>
        <w:t>s</w:t>
      </w:r>
      <w:r w:rsidRPr="00ED6237">
        <w:rPr>
          <w:rFonts w:ascii="Times New Roman" w:eastAsia="Times New Roman" w:hAnsi="Times New Roman" w:cs="Times New Roman"/>
          <w:color w:val="000000"/>
          <w:sz w:val="24"/>
          <w:szCs w:val="24"/>
          <w:lang w:eastAsia="en-GB"/>
        </w:rPr>
        <w:t xml:space="preserve">, including </w:t>
      </w:r>
      <w:r>
        <w:rPr>
          <w:rFonts w:ascii="Times New Roman" w:eastAsia="Times New Roman" w:hAnsi="Times New Roman" w:cs="Times New Roman"/>
          <w:color w:val="000000"/>
          <w:sz w:val="24"/>
          <w:szCs w:val="24"/>
          <w:lang w:eastAsia="en-GB"/>
        </w:rPr>
        <w:t>First Nations</w:t>
      </w:r>
      <w:r w:rsidRPr="00ED6237">
        <w:rPr>
          <w:rFonts w:ascii="Times New Roman" w:eastAsia="Times New Roman" w:hAnsi="Times New Roman" w:cs="Times New Roman"/>
          <w:color w:val="000000"/>
          <w:sz w:val="24"/>
          <w:szCs w:val="24"/>
          <w:lang w:eastAsia="en-GB"/>
        </w:rPr>
        <w:t xml:space="preserve"> experiences</w:t>
      </w:r>
    </w:p>
    <w:p w14:paraId="558C3607" w14:textId="27A656BF" w:rsidR="0029200C" w:rsidRPr="00ED6237"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Sustainable tourism benefits f</w:t>
      </w:r>
      <w:r w:rsidR="00251844">
        <w:rPr>
          <w:rFonts w:ascii="Times New Roman" w:eastAsia="Times New Roman" w:hAnsi="Times New Roman" w:cs="Times New Roman"/>
          <w:color w:val="000000"/>
          <w:sz w:val="24"/>
          <w:szCs w:val="24"/>
          <w:lang w:eastAsia="en-GB"/>
        </w:rPr>
        <w:t>or</w:t>
      </w:r>
      <w:r w:rsidRPr="00ED6237">
        <w:rPr>
          <w:rFonts w:ascii="Times New Roman" w:eastAsia="Times New Roman" w:hAnsi="Times New Roman" w:cs="Times New Roman"/>
          <w:color w:val="000000"/>
          <w:sz w:val="24"/>
          <w:szCs w:val="24"/>
          <w:lang w:eastAsia="en-GB"/>
        </w:rPr>
        <w:t xml:space="preserve"> communities</w:t>
      </w:r>
    </w:p>
    <w:p w14:paraId="7F0190BE" w14:textId="77777777" w:rsidR="0029200C" w:rsidRPr="00ED6237"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Low carbon and resource efficien</w:t>
      </w:r>
      <w:r>
        <w:rPr>
          <w:rFonts w:ascii="Times New Roman" w:eastAsia="Times New Roman" w:hAnsi="Times New Roman" w:cs="Times New Roman"/>
          <w:color w:val="000000"/>
          <w:sz w:val="24"/>
          <w:szCs w:val="24"/>
          <w:lang w:eastAsia="en-GB"/>
        </w:rPr>
        <w:t>cy</w:t>
      </w:r>
    </w:p>
    <w:p w14:paraId="7A1ABFEE" w14:textId="77777777" w:rsidR="0029200C" w:rsidRPr="00ED6237"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Meet</w:t>
      </w:r>
      <w:r>
        <w:rPr>
          <w:rFonts w:ascii="Times New Roman" w:eastAsia="Times New Roman" w:hAnsi="Times New Roman" w:cs="Times New Roman"/>
          <w:color w:val="000000"/>
          <w:sz w:val="24"/>
          <w:szCs w:val="24"/>
          <w:lang w:eastAsia="en-GB"/>
        </w:rPr>
        <w:t xml:space="preserve">ing </w:t>
      </w:r>
      <w:r w:rsidRPr="00ED6237">
        <w:rPr>
          <w:rFonts w:ascii="Times New Roman" w:eastAsia="Times New Roman" w:hAnsi="Times New Roman" w:cs="Times New Roman"/>
          <w:color w:val="000000"/>
          <w:sz w:val="24"/>
          <w:szCs w:val="24"/>
          <w:lang w:eastAsia="en-GB"/>
        </w:rPr>
        <w:t>visitor needs</w:t>
      </w:r>
    </w:p>
    <w:p w14:paraId="13F7729D" w14:textId="77777777" w:rsidR="0029200C"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ED6237">
        <w:rPr>
          <w:rFonts w:ascii="Times New Roman" w:eastAsia="Times New Roman" w:hAnsi="Times New Roman" w:cs="Times New Roman"/>
          <w:color w:val="000000"/>
          <w:sz w:val="24"/>
          <w:szCs w:val="24"/>
          <w:lang w:eastAsia="en-GB"/>
        </w:rPr>
        <w:t>Driving innovation and productivity</w:t>
      </w:r>
    </w:p>
    <w:p w14:paraId="24827C00" w14:textId="2F426A14" w:rsidR="005323C4" w:rsidRPr="0029200C" w:rsidRDefault="0029200C" w:rsidP="0023725E">
      <w:pPr>
        <w:pStyle w:val="ListParagraph"/>
        <w:numPr>
          <w:ilvl w:val="0"/>
          <w:numId w:val="22"/>
        </w:numPr>
        <w:spacing w:before="120" w:after="120"/>
        <w:divId w:val="591620094"/>
        <w:rPr>
          <w:rFonts w:ascii="Times New Roman" w:eastAsia="Times New Roman" w:hAnsi="Times New Roman" w:cs="Times New Roman"/>
          <w:color w:val="000000"/>
          <w:sz w:val="24"/>
          <w:szCs w:val="24"/>
          <w:lang w:eastAsia="en-GB"/>
        </w:rPr>
      </w:pPr>
      <w:r w:rsidRPr="0029200C">
        <w:rPr>
          <w:rFonts w:ascii="Times New Roman" w:eastAsia="Times New Roman" w:hAnsi="Times New Roman" w:cs="Times New Roman"/>
          <w:color w:val="000000"/>
          <w:sz w:val="24"/>
          <w:szCs w:val="24"/>
          <w:lang w:eastAsia="en-GB"/>
        </w:rPr>
        <w:t>Protecting and enhancing natural and cultural heritage</w:t>
      </w:r>
      <w:r w:rsidR="00840DA1">
        <w:rPr>
          <w:rFonts w:ascii="Times New Roman" w:eastAsia="Times New Roman" w:hAnsi="Times New Roman" w:cs="Times New Roman"/>
          <w:color w:val="000000"/>
          <w:sz w:val="24"/>
          <w:szCs w:val="24"/>
          <w:lang w:eastAsia="en-GB"/>
        </w:rPr>
        <w:t>.</w:t>
      </w:r>
    </w:p>
    <w:p w14:paraId="2EB1767D" w14:textId="43EDFF32" w:rsidR="005323C4" w:rsidRPr="005323C4" w:rsidRDefault="005323C4" w:rsidP="005323C4">
      <w:pPr>
        <w:spacing w:before="120" w:after="120"/>
        <w:divId w:val="591620094"/>
        <w:rPr>
          <w:rFonts w:ascii="Times New Roman" w:eastAsia="Times New Roman" w:hAnsi="Times New Roman" w:cs="Times New Roman"/>
          <w:color w:val="000000"/>
          <w:sz w:val="24"/>
          <w:szCs w:val="24"/>
          <w:lang w:eastAsia="en-GB"/>
        </w:rPr>
      </w:pPr>
      <w:r w:rsidRPr="005323C4">
        <w:rPr>
          <w:rFonts w:ascii="Times New Roman" w:eastAsia="Times New Roman" w:hAnsi="Times New Roman" w:cs="Times New Roman"/>
          <w:color w:val="000000"/>
          <w:sz w:val="24"/>
          <w:szCs w:val="24"/>
          <w:lang w:eastAsia="en-GB"/>
        </w:rPr>
        <w:t xml:space="preserve">The </w:t>
      </w:r>
      <w:r w:rsidR="00251844">
        <w:rPr>
          <w:rFonts w:ascii="Times New Roman" w:eastAsia="Times New Roman" w:hAnsi="Times New Roman" w:cs="Times New Roman"/>
          <w:color w:val="000000"/>
          <w:sz w:val="24"/>
          <w:szCs w:val="24"/>
          <w:lang w:eastAsia="en-GB"/>
        </w:rPr>
        <w:t>W</w:t>
      </w:r>
      <w:r>
        <w:rPr>
          <w:rFonts w:ascii="Times New Roman" w:eastAsia="Times New Roman" w:hAnsi="Times New Roman" w:cs="Times New Roman"/>
          <w:color w:val="000000"/>
          <w:sz w:val="24"/>
          <w:szCs w:val="24"/>
          <w:lang w:eastAsia="en-GB"/>
        </w:rPr>
        <w:t xml:space="preserve">orking </w:t>
      </w:r>
      <w:r w:rsidR="00251844">
        <w:rPr>
          <w:rFonts w:ascii="Times New Roman" w:eastAsia="Times New Roman" w:hAnsi="Times New Roman" w:cs="Times New Roman"/>
          <w:color w:val="000000"/>
          <w:sz w:val="24"/>
          <w:szCs w:val="24"/>
          <w:lang w:eastAsia="en-GB"/>
        </w:rPr>
        <w:t>G</w:t>
      </w:r>
      <w:r w:rsidRPr="005323C4">
        <w:rPr>
          <w:rFonts w:ascii="Times New Roman" w:eastAsia="Times New Roman" w:hAnsi="Times New Roman" w:cs="Times New Roman"/>
          <w:color w:val="000000"/>
          <w:sz w:val="24"/>
          <w:szCs w:val="24"/>
          <w:lang w:eastAsia="en-GB"/>
        </w:rPr>
        <w:t>roup</w:t>
      </w:r>
      <w:r w:rsidR="003D4C08">
        <w:rPr>
          <w:rFonts w:ascii="Times New Roman" w:eastAsia="Times New Roman" w:hAnsi="Times New Roman" w:cs="Times New Roman"/>
          <w:color w:val="000000"/>
          <w:sz w:val="24"/>
          <w:szCs w:val="24"/>
          <w:lang w:eastAsia="en-GB"/>
        </w:rPr>
        <w:t xml:space="preserve"> then</w:t>
      </w:r>
      <w:r w:rsidRPr="005323C4">
        <w:rPr>
          <w:rFonts w:ascii="Times New Roman" w:eastAsia="Times New Roman" w:hAnsi="Times New Roman" w:cs="Times New Roman"/>
          <w:color w:val="000000"/>
          <w:sz w:val="24"/>
          <w:szCs w:val="24"/>
          <w:lang w:eastAsia="en-GB"/>
        </w:rPr>
        <w:t xml:space="preserve"> discussed each of the indicators at length</w:t>
      </w:r>
      <w:r w:rsidR="00D57CB2">
        <w:rPr>
          <w:rFonts w:ascii="Times New Roman" w:eastAsia="Times New Roman" w:hAnsi="Times New Roman" w:cs="Times New Roman"/>
          <w:color w:val="000000"/>
          <w:sz w:val="24"/>
          <w:szCs w:val="24"/>
          <w:lang w:eastAsia="en-GB"/>
        </w:rPr>
        <w:t>.</w:t>
      </w:r>
      <w:r w:rsidRPr="005323C4">
        <w:rPr>
          <w:rFonts w:ascii="Times New Roman" w:eastAsia="Times New Roman" w:hAnsi="Times New Roman" w:cs="Times New Roman"/>
          <w:color w:val="000000"/>
          <w:sz w:val="24"/>
          <w:szCs w:val="24"/>
          <w:lang w:eastAsia="en-GB"/>
        </w:rPr>
        <w:t xml:space="preserve"> </w:t>
      </w:r>
      <w:r w:rsidR="00D57CB2">
        <w:rPr>
          <w:rFonts w:ascii="Times New Roman" w:eastAsia="Times New Roman" w:hAnsi="Times New Roman" w:cs="Times New Roman"/>
          <w:color w:val="000000"/>
          <w:sz w:val="24"/>
          <w:szCs w:val="24"/>
          <w:lang w:eastAsia="en-GB"/>
        </w:rPr>
        <w:t>They focused on indicators within each of the 3 pillars (economic, social and environmental) separately and</w:t>
      </w:r>
      <w:r w:rsidRPr="005323C4">
        <w:rPr>
          <w:rFonts w:ascii="Times New Roman" w:eastAsia="Times New Roman" w:hAnsi="Times New Roman" w:cs="Times New Roman"/>
          <w:color w:val="000000"/>
          <w:sz w:val="24"/>
          <w:szCs w:val="24"/>
          <w:lang w:eastAsia="en-GB"/>
        </w:rPr>
        <w:t xml:space="preserve"> ranked them in order of priority</w:t>
      </w:r>
      <w:r w:rsidR="00D57CB2">
        <w:rPr>
          <w:rFonts w:ascii="Times New Roman" w:eastAsia="Times New Roman" w:hAnsi="Times New Roman" w:cs="Times New Roman"/>
          <w:color w:val="000000"/>
          <w:sz w:val="24"/>
          <w:szCs w:val="24"/>
          <w:lang w:eastAsia="en-GB"/>
        </w:rPr>
        <w:t xml:space="preserve"> in </w:t>
      </w:r>
      <w:r w:rsidR="00251844">
        <w:rPr>
          <w:rFonts w:ascii="Times New Roman" w:eastAsia="Times New Roman" w:hAnsi="Times New Roman" w:cs="Times New Roman"/>
          <w:color w:val="000000"/>
          <w:sz w:val="24"/>
          <w:szCs w:val="24"/>
          <w:lang w:eastAsia="en-GB"/>
        </w:rPr>
        <w:t>high</w:t>
      </w:r>
      <w:r w:rsidR="00D57CB2">
        <w:rPr>
          <w:rFonts w:ascii="Times New Roman" w:eastAsia="Times New Roman" w:hAnsi="Times New Roman" w:cs="Times New Roman"/>
          <w:color w:val="000000"/>
          <w:sz w:val="24"/>
          <w:szCs w:val="24"/>
          <w:lang w:eastAsia="en-GB"/>
        </w:rPr>
        <w:t xml:space="preserve">, medium and </w:t>
      </w:r>
      <w:r w:rsidR="00251844">
        <w:rPr>
          <w:rFonts w:ascii="Times New Roman" w:eastAsia="Times New Roman" w:hAnsi="Times New Roman" w:cs="Times New Roman"/>
          <w:color w:val="000000"/>
          <w:sz w:val="24"/>
          <w:szCs w:val="24"/>
          <w:lang w:eastAsia="en-GB"/>
        </w:rPr>
        <w:t xml:space="preserve">low </w:t>
      </w:r>
      <w:r w:rsidR="00D57CB2">
        <w:rPr>
          <w:rFonts w:ascii="Times New Roman" w:eastAsia="Times New Roman" w:hAnsi="Times New Roman" w:cs="Times New Roman"/>
          <w:color w:val="000000"/>
          <w:sz w:val="24"/>
          <w:szCs w:val="24"/>
          <w:lang w:eastAsia="en-GB"/>
        </w:rPr>
        <w:t>categories</w:t>
      </w:r>
      <w:r w:rsidRPr="005323C4">
        <w:rPr>
          <w:rFonts w:ascii="Times New Roman" w:eastAsia="Times New Roman" w:hAnsi="Times New Roman" w:cs="Times New Roman"/>
          <w:color w:val="000000"/>
          <w:sz w:val="24"/>
          <w:szCs w:val="24"/>
          <w:lang w:eastAsia="en-GB"/>
        </w:rPr>
        <w:t xml:space="preserve">. </w:t>
      </w:r>
      <w:r w:rsidR="00251844">
        <w:rPr>
          <w:rFonts w:ascii="Times New Roman" w:eastAsia="Times New Roman" w:hAnsi="Times New Roman" w:cs="Times New Roman"/>
          <w:color w:val="000000"/>
          <w:sz w:val="24"/>
          <w:szCs w:val="24"/>
          <w:lang w:eastAsia="en-GB"/>
        </w:rPr>
        <w:t>M</w:t>
      </w:r>
      <w:r w:rsidRPr="005323C4">
        <w:rPr>
          <w:rFonts w:ascii="Times New Roman" w:eastAsia="Times New Roman" w:hAnsi="Times New Roman" w:cs="Times New Roman"/>
          <w:color w:val="000000"/>
          <w:sz w:val="24"/>
          <w:szCs w:val="24"/>
          <w:lang w:eastAsia="en-GB"/>
        </w:rPr>
        <w:t>embers also added further indicators to be considered and ranked by the wider group.</w:t>
      </w:r>
      <w:r w:rsidR="00D57CB2">
        <w:rPr>
          <w:rFonts w:ascii="Times New Roman" w:eastAsia="Times New Roman" w:hAnsi="Times New Roman" w:cs="Times New Roman"/>
          <w:color w:val="000000"/>
          <w:sz w:val="24"/>
          <w:szCs w:val="24"/>
          <w:lang w:eastAsia="en-GB"/>
        </w:rPr>
        <w:t xml:space="preserve"> A list of over 70 indicators was ranked as an outcome of this exercise.</w:t>
      </w:r>
    </w:p>
    <w:p w14:paraId="01CF60B4" w14:textId="44F14C65" w:rsidR="00636C71" w:rsidRDefault="00307771" w:rsidP="00853D1F">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 conclusion, t</w:t>
      </w:r>
      <w:r w:rsidR="0023725E" w:rsidRPr="004D5F9C">
        <w:rPr>
          <w:rFonts w:ascii="Times New Roman" w:eastAsia="Times New Roman" w:hAnsi="Times New Roman" w:cs="Times New Roman"/>
          <w:color w:val="000000"/>
          <w:sz w:val="24"/>
          <w:szCs w:val="24"/>
          <w:lang w:eastAsia="en-GB"/>
        </w:rPr>
        <w:t>he Chair thanked the group for their enthusiasm</w:t>
      </w:r>
      <w:r w:rsidR="00D57CB2">
        <w:rPr>
          <w:rFonts w:ascii="Times New Roman" w:eastAsia="Times New Roman" w:hAnsi="Times New Roman" w:cs="Times New Roman"/>
          <w:color w:val="000000"/>
          <w:sz w:val="24"/>
          <w:szCs w:val="24"/>
          <w:lang w:eastAsia="en-GB"/>
        </w:rPr>
        <w:t xml:space="preserve"> and achievements</w:t>
      </w:r>
      <w:r w:rsidR="0023725E" w:rsidRPr="004D5F9C">
        <w:rPr>
          <w:rFonts w:ascii="Times New Roman" w:eastAsia="Times New Roman" w:hAnsi="Times New Roman" w:cs="Times New Roman"/>
          <w:color w:val="000000"/>
          <w:sz w:val="24"/>
          <w:szCs w:val="24"/>
          <w:lang w:eastAsia="en-GB"/>
        </w:rPr>
        <w:t xml:space="preserve"> during the exercise</w:t>
      </w:r>
      <w:r w:rsidR="0023725E">
        <w:rPr>
          <w:rFonts w:ascii="Times New Roman" w:eastAsia="Times New Roman" w:hAnsi="Times New Roman" w:cs="Times New Roman"/>
          <w:color w:val="000000"/>
          <w:sz w:val="24"/>
          <w:szCs w:val="24"/>
          <w:lang w:eastAsia="en-GB"/>
        </w:rPr>
        <w:t>,</w:t>
      </w:r>
      <w:r w:rsidR="0023725E" w:rsidRPr="004D5F9C">
        <w:rPr>
          <w:rFonts w:ascii="Times New Roman" w:eastAsia="Times New Roman" w:hAnsi="Times New Roman" w:cs="Times New Roman"/>
          <w:color w:val="000000"/>
          <w:sz w:val="24"/>
          <w:szCs w:val="24"/>
          <w:lang w:eastAsia="en-GB"/>
        </w:rPr>
        <w:t xml:space="preserve"> a</w:t>
      </w:r>
      <w:r w:rsidR="0023725E">
        <w:rPr>
          <w:rFonts w:ascii="Times New Roman" w:eastAsia="Times New Roman" w:hAnsi="Times New Roman" w:cs="Times New Roman"/>
          <w:color w:val="000000"/>
          <w:sz w:val="24"/>
          <w:szCs w:val="24"/>
          <w:lang w:eastAsia="en-GB"/>
        </w:rPr>
        <w:t>nd</w:t>
      </w:r>
      <w:r w:rsidR="0023725E" w:rsidRPr="004D5F9C">
        <w:rPr>
          <w:rFonts w:ascii="Times New Roman" w:eastAsia="Times New Roman" w:hAnsi="Times New Roman" w:cs="Times New Roman"/>
          <w:color w:val="000000"/>
          <w:sz w:val="24"/>
          <w:szCs w:val="24"/>
          <w:lang w:eastAsia="en-GB"/>
        </w:rPr>
        <w:t xml:space="preserve"> the FSC for facilitating the workshop. </w:t>
      </w:r>
      <w:r w:rsidR="003E4468">
        <w:rPr>
          <w:rFonts w:ascii="Times New Roman" w:eastAsia="Times New Roman" w:hAnsi="Times New Roman" w:cs="Times New Roman"/>
          <w:color w:val="000000"/>
          <w:sz w:val="24"/>
          <w:szCs w:val="24"/>
          <w:lang w:eastAsia="en-GB"/>
        </w:rPr>
        <w:t>T</w:t>
      </w:r>
      <w:r w:rsidR="0023725E" w:rsidRPr="004D5F9C">
        <w:rPr>
          <w:rFonts w:ascii="Times New Roman" w:eastAsia="Times New Roman" w:hAnsi="Times New Roman" w:cs="Times New Roman"/>
          <w:color w:val="000000"/>
          <w:sz w:val="24"/>
          <w:szCs w:val="24"/>
          <w:lang w:eastAsia="en-GB"/>
        </w:rPr>
        <w:t xml:space="preserve">he results would be </w:t>
      </w:r>
      <w:r w:rsidR="0023725E">
        <w:rPr>
          <w:rFonts w:ascii="Times New Roman" w:eastAsia="Times New Roman" w:hAnsi="Times New Roman" w:cs="Times New Roman"/>
          <w:color w:val="000000"/>
          <w:sz w:val="24"/>
          <w:szCs w:val="24"/>
          <w:lang w:eastAsia="en-GB"/>
        </w:rPr>
        <w:t>synthesised for the purpose of consulting within government and industry</w:t>
      </w:r>
      <w:r w:rsidR="003E4468">
        <w:rPr>
          <w:rFonts w:ascii="Times New Roman" w:eastAsia="Times New Roman" w:hAnsi="Times New Roman" w:cs="Times New Roman"/>
          <w:color w:val="000000"/>
          <w:sz w:val="24"/>
          <w:szCs w:val="24"/>
          <w:lang w:eastAsia="en-GB"/>
        </w:rPr>
        <w:t>.</w:t>
      </w:r>
    </w:p>
    <w:p w14:paraId="12D210FF" w14:textId="77777777" w:rsidR="0023725E" w:rsidRDefault="0023725E" w:rsidP="00853D1F">
      <w:pPr>
        <w:tabs>
          <w:tab w:val="left" w:pos="1876"/>
        </w:tabs>
        <w:spacing w:before="120" w:after="120"/>
        <w:divId w:val="591620094"/>
        <w:rPr>
          <w:rFonts w:ascii="Times New Roman" w:eastAsia="Times New Roman" w:hAnsi="Times New Roman" w:cs="Times New Roman"/>
          <w:color w:val="000000"/>
          <w:sz w:val="24"/>
          <w:szCs w:val="24"/>
          <w:lang w:eastAsia="en-GB"/>
        </w:rPr>
      </w:pPr>
    </w:p>
    <w:p w14:paraId="2A434F41" w14:textId="77777777" w:rsidR="008274A4" w:rsidRDefault="008274A4">
      <w:pPr>
        <w:rPr>
          <w:color w:val="538135" w:themeColor="accent6" w:themeShade="BF"/>
          <w:sz w:val="24"/>
          <w:szCs w:val="24"/>
        </w:rPr>
      </w:pPr>
      <w:r>
        <w:rPr>
          <w:color w:val="538135" w:themeColor="accent6" w:themeShade="BF"/>
          <w:sz w:val="24"/>
          <w:szCs w:val="24"/>
        </w:rPr>
        <w:br w:type="page"/>
      </w:r>
    </w:p>
    <w:p w14:paraId="4931F90B" w14:textId="2F63FF3B" w:rsidR="00853D1F" w:rsidRPr="00756DB8" w:rsidRDefault="00853D1F" w:rsidP="00756DB8">
      <w:pPr>
        <w:spacing w:after="120" w:line="300" w:lineRule="exact"/>
        <w:divId w:val="591620094"/>
        <w:rPr>
          <w:color w:val="538135" w:themeColor="accent6" w:themeShade="BF"/>
          <w:sz w:val="24"/>
          <w:szCs w:val="24"/>
        </w:rPr>
      </w:pPr>
      <w:r w:rsidRPr="00756DB8">
        <w:rPr>
          <w:color w:val="538135" w:themeColor="accent6" w:themeShade="BF"/>
          <w:sz w:val="24"/>
          <w:szCs w:val="24"/>
        </w:rPr>
        <w:lastRenderedPageBreak/>
        <w:t xml:space="preserve">Meeting </w:t>
      </w:r>
      <w:r w:rsidR="00BF1880" w:rsidRPr="00756DB8">
        <w:rPr>
          <w:color w:val="538135" w:themeColor="accent6" w:themeShade="BF"/>
          <w:sz w:val="24"/>
          <w:szCs w:val="24"/>
        </w:rPr>
        <w:t>6</w:t>
      </w:r>
    </w:p>
    <w:p w14:paraId="14A5D09C" w14:textId="627DC4AF" w:rsidR="00E53D6C" w:rsidRDefault="00307771" w:rsidP="00307771">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Chair acknowledged traditional custodians and thanked members for their continued support and attendance at the meetings.</w:t>
      </w:r>
      <w:r w:rsidR="00E53D6C">
        <w:rPr>
          <w:rFonts w:ascii="Times New Roman" w:eastAsia="Times New Roman" w:hAnsi="Times New Roman" w:cs="Times New Roman"/>
          <w:color w:val="000000"/>
          <w:sz w:val="24"/>
          <w:szCs w:val="24"/>
          <w:lang w:eastAsia="en-GB"/>
        </w:rPr>
        <w:t xml:space="preserve"> The Chair raised 3 matters in the introduction.</w:t>
      </w:r>
    </w:p>
    <w:p w14:paraId="0DEF67DC" w14:textId="24765906" w:rsidR="00E53D6C" w:rsidRDefault="00E53D6C" w:rsidP="00E53D6C">
      <w:pPr>
        <w:pStyle w:val="ListParagraph"/>
        <w:numPr>
          <w:ilvl w:val="0"/>
          <w:numId w:val="24"/>
        </w:num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voluntary administration of the firm Big Village</w:t>
      </w:r>
      <w:r w:rsidR="009202B7">
        <w:rPr>
          <w:rFonts w:ascii="Times New Roman" w:eastAsia="Times New Roman" w:hAnsi="Times New Roman" w:cs="Times New Roman"/>
          <w:color w:val="000000"/>
          <w:sz w:val="24"/>
          <w:szCs w:val="24"/>
          <w:lang w:eastAsia="en-GB"/>
        </w:rPr>
        <w:t xml:space="preserve"> Australia, which conducts</w:t>
      </w:r>
      <w:r>
        <w:rPr>
          <w:rFonts w:ascii="Times New Roman" w:eastAsia="Times New Roman" w:hAnsi="Times New Roman" w:cs="Times New Roman"/>
          <w:color w:val="000000"/>
          <w:sz w:val="24"/>
          <w:szCs w:val="24"/>
          <w:lang w:eastAsia="en-GB"/>
        </w:rPr>
        <w:t xml:space="preserve"> </w:t>
      </w:r>
      <w:r w:rsidR="008274A4">
        <w:rPr>
          <w:rFonts w:ascii="Times New Roman" w:eastAsia="Times New Roman" w:hAnsi="Times New Roman" w:cs="Times New Roman"/>
          <w:color w:val="000000"/>
          <w:sz w:val="24"/>
          <w:szCs w:val="24"/>
          <w:lang w:eastAsia="en-GB"/>
        </w:rPr>
        <w:t>Tourism Research Australia (</w:t>
      </w:r>
      <w:r>
        <w:rPr>
          <w:rFonts w:ascii="Times New Roman" w:eastAsia="Times New Roman" w:hAnsi="Times New Roman" w:cs="Times New Roman"/>
          <w:color w:val="000000"/>
          <w:sz w:val="24"/>
          <w:szCs w:val="24"/>
          <w:lang w:eastAsia="en-GB"/>
        </w:rPr>
        <w:t>TRA</w:t>
      </w:r>
      <w:r w:rsidR="008274A4">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’s National Visitor Survey and International Visitor Survey. So far, TRA data deliveries had not been impacted and a trade sale was intended.</w:t>
      </w:r>
    </w:p>
    <w:p w14:paraId="53D6ACE7" w14:textId="02FB66B4" w:rsidR="00E86C4A" w:rsidRPr="00E86C4A" w:rsidRDefault="009202B7" w:rsidP="00E86C4A">
      <w:pPr>
        <w:pStyle w:val="ListParagraph"/>
        <w:numPr>
          <w:ilvl w:val="0"/>
          <w:numId w:val="24"/>
        </w:num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w:t>
      </w:r>
      <w:r w:rsidR="00E86C4A" w:rsidRPr="00E86C4A">
        <w:rPr>
          <w:rFonts w:ascii="Times New Roman" w:eastAsia="Times New Roman" w:hAnsi="Times New Roman" w:cs="Times New Roman"/>
          <w:color w:val="000000"/>
          <w:sz w:val="24"/>
          <w:szCs w:val="24"/>
          <w:lang w:eastAsia="en-GB"/>
        </w:rPr>
        <w:t>h</w:t>
      </w:r>
      <w:r>
        <w:rPr>
          <w:rFonts w:ascii="Times New Roman" w:eastAsia="Times New Roman" w:hAnsi="Times New Roman" w:cs="Times New Roman"/>
          <w:color w:val="000000"/>
          <w:sz w:val="24"/>
          <w:szCs w:val="24"/>
          <w:lang w:eastAsia="en-GB"/>
        </w:rPr>
        <w:t>e</w:t>
      </w:r>
      <w:r w:rsidR="00E86C4A" w:rsidRPr="00E86C4A">
        <w:rPr>
          <w:rFonts w:ascii="Times New Roman" w:eastAsia="Times New Roman" w:hAnsi="Times New Roman" w:cs="Times New Roman"/>
          <w:color w:val="000000"/>
          <w:sz w:val="24"/>
          <w:szCs w:val="24"/>
          <w:lang w:eastAsia="en-GB"/>
        </w:rPr>
        <w:t xml:space="preserve"> Working Group’s </w:t>
      </w:r>
      <w:r>
        <w:rPr>
          <w:rFonts w:ascii="Times New Roman" w:eastAsia="Times New Roman" w:hAnsi="Times New Roman" w:cs="Times New Roman"/>
          <w:color w:val="000000"/>
          <w:sz w:val="24"/>
          <w:szCs w:val="24"/>
          <w:lang w:eastAsia="en-GB"/>
        </w:rPr>
        <w:t xml:space="preserve">may wish to consider if it wishes to include a </w:t>
      </w:r>
      <w:r w:rsidR="00E86C4A" w:rsidRPr="00E86C4A">
        <w:rPr>
          <w:rFonts w:ascii="Times New Roman" w:eastAsia="Times New Roman" w:hAnsi="Times New Roman" w:cs="Times New Roman"/>
          <w:color w:val="000000"/>
          <w:sz w:val="24"/>
          <w:szCs w:val="24"/>
          <w:lang w:eastAsia="en-GB"/>
        </w:rPr>
        <w:t xml:space="preserve">recommendation </w:t>
      </w:r>
      <w:r>
        <w:rPr>
          <w:rFonts w:ascii="Times New Roman" w:eastAsia="Times New Roman" w:hAnsi="Times New Roman" w:cs="Times New Roman"/>
          <w:color w:val="000000"/>
          <w:sz w:val="24"/>
          <w:szCs w:val="24"/>
          <w:lang w:eastAsia="en-GB"/>
        </w:rPr>
        <w:t xml:space="preserve">in its final report that </w:t>
      </w:r>
      <w:r w:rsidR="00E86C4A" w:rsidRPr="00E86C4A">
        <w:rPr>
          <w:rFonts w:ascii="Times New Roman" w:eastAsia="Times New Roman" w:hAnsi="Times New Roman" w:cs="Times New Roman"/>
          <w:color w:val="000000"/>
          <w:sz w:val="24"/>
          <w:szCs w:val="24"/>
          <w:lang w:eastAsia="en-GB"/>
        </w:rPr>
        <w:t>the indicators</w:t>
      </w:r>
      <w:r>
        <w:rPr>
          <w:rFonts w:ascii="Times New Roman" w:eastAsia="Times New Roman" w:hAnsi="Times New Roman" w:cs="Times New Roman"/>
          <w:color w:val="000000"/>
          <w:sz w:val="24"/>
          <w:szCs w:val="24"/>
          <w:lang w:eastAsia="en-GB"/>
        </w:rPr>
        <w:t xml:space="preserve"> framework be adopted or included in any</w:t>
      </w:r>
      <w:r w:rsidR="00E86C4A" w:rsidRPr="00E86C4A">
        <w:rPr>
          <w:rFonts w:ascii="Times New Roman" w:eastAsia="Times New Roman" w:hAnsi="Times New Roman" w:cs="Times New Roman"/>
          <w:color w:val="000000"/>
          <w:sz w:val="24"/>
          <w:szCs w:val="24"/>
          <w:lang w:eastAsia="en-GB"/>
        </w:rPr>
        <w:t xml:space="preserve"> </w:t>
      </w:r>
      <w:r w:rsidR="001B39AC" w:rsidRPr="001B39AC">
        <w:rPr>
          <w:rFonts w:ascii="Times New Roman" w:eastAsia="Times New Roman" w:hAnsi="Times New Roman" w:cs="Times New Roman"/>
          <w:i/>
          <w:iCs/>
          <w:color w:val="000000"/>
          <w:sz w:val="24"/>
          <w:szCs w:val="24"/>
          <w:lang w:eastAsia="en-GB"/>
        </w:rPr>
        <w:t>THRIVE 2030</w:t>
      </w:r>
      <w:r w:rsidR="00D57CB2">
        <w:rPr>
          <w:rFonts w:ascii="Times New Roman" w:eastAsia="Times New Roman" w:hAnsi="Times New Roman" w:cs="Times New Roman"/>
          <w:color w:val="000000"/>
          <w:sz w:val="24"/>
          <w:szCs w:val="24"/>
          <w:lang w:eastAsia="en-GB"/>
        </w:rPr>
        <w:t xml:space="preserve"> re-cast</w:t>
      </w:r>
      <w:r w:rsidR="00E86C4A">
        <w:rPr>
          <w:rFonts w:ascii="Times New Roman" w:eastAsia="Times New Roman" w:hAnsi="Times New Roman" w:cs="Times New Roman"/>
          <w:color w:val="000000"/>
          <w:sz w:val="24"/>
          <w:szCs w:val="24"/>
          <w:lang w:eastAsia="en-GB"/>
        </w:rPr>
        <w:t xml:space="preserve"> process next year</w:t>
      </w:r>
      <w:r w:rsidR="00E86C4A" w:rsidRPr="00E86C4A">
        <w:rPr>
          <w:rFonts w:ascii="Times New Roman" w:eastAsia="Times New Roman" w:hAnsi="Times New Roman" w:cs="Times New Roman"/>
          <w:color w:val="000000"/>
          <w:sz w:val="24"/>
          <w:szCs w:val="24"/>
          <w:lang w:eastAsia="en-GB"/>
        </w:rPr>
        <w:t>.</w:t>
      </w:r>
      <w:r w:rsidR="00E86C4A">
        <w:rPr>
          <w:rFonts w:ascii="Times New Roman" w:eastAsia="Times New Roman" w:hAnsi="Times New Roman" w:cs="Times New Roman"/>
          <w:color w:val="000000"/>
          <w:sz w:val="24"/>
          <w:szCs w:val="24"/>
          <w:lang w:eastAsia="en-GB"/>
        </w:rPr>
        <w:t xml:space="preserve"> There was some support shown from members</w:t>
      </w:r>
      <w:r w:rsidR="00D57CB2">
        <w:rPr>
          <w:rFonts w:ascii="Times New Roman" w:eastAsia="Times New Roman" w:hAnsi="Times New Roman" w:cs="Times New Roman"/>
          <w:color w:val="000000"/>
          <w:sz w:val="24"/>
          <w:szCs w:val="24"/>
          <w:lang w:eastAsia="en-GB"/>
        </w:rPr>
        <w:t>.</w:t>
      </w:r>
      <w:r w:rsidR="00E86C4A">
        <w:rPr>
          <w:rFonts w:ascii="Times New Roman" w:eastAsia="Times New Roman" w:hAnsi="Times New Roman" w:cs="Times New Roman"/>
          <w:color w:val="000000"/>
          <w:sz w:val="24"/>
          <w:szCs w:val="24"/>
          <w:lang w:eastAsia="en-GB"/>
        </w:rPr>
        <w:t xml:space="preserve"> The Chair asked members to continue to consider this for further discussion at the final meeting.</w:t>
      </w:r>
    </w:p>
    <w:p w14:paraId="6F14A7F9" w14:textId="670D311D" w:rsidR="00E53D6C" w:rsidRPr="00E53D6C" w:rsidRDefault="00E86C4A" w:rsidP="00E53D6C">
      <w:pPr>
        <w:pStyle w:val="ListParagraph"/>
        <w:numPr>
          <w:ilvl w:val="0"/>
          <w:numId w:val="24"/>
        </w:num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 simple online survey would be distributed </w:t>
      </w:r>
      <w:r w:rsidR="009202B7">
        <w:rPr>
          <w:rFonts w:ascii="Times New Roman" w:eastAsia="Times New Roman" w:hAnsi="Times New Roman" w:cs="Times New Roman"/>
          <w:color w:val="000000"/>
          <w:sz w:val="24"/>
          <w:szCs w:val="24"/>
          <w:lang w:eastAsia="en-GB"/>
        </w:rPr>
        <w:t>to members after the final meeting in</w:t>
      </w:r>
      <w:r>
        <w:rPr>
          <w:rFonts w:ascii="Times New Roman" w:eastAsia="Times New Roman" w:hAnsi="Times New Roman" w:cs="Times New Roman"/>
          <w:color w:val="000000"/>
          <w:sz w:val="24"/>
          <w:szCs w:val="24"/>
          <w:lang w:eastAsia="en-GB"/>
        </w:rPr>
        <w:t xml:space="preserve"> April </w:t>
      </w:r>
      <w:r w:rsidR="009202B7">
        <w:rPr>
          <w:rFonts w:ascii="Times New Roman" w:eastAsia="Times New Roman" w:hAnsi="Times New Roman" w:cs="Times New Roman"/>
          <w:color w:val="000000"/>
          <w:sz w:val="24"/>
          <w:szCs w:val="24"/>
          <w:lang w:eastAsia="en-GB"/>
        </w:rPr>
        <w:t xml:space="preserve">to assess </w:t>
      </w:r>
      <w:r>
        <w:rPr>
          <w:rFonts w:ascii="Times New Roman" w:eastAsia="Times New Roman" w:hAnsi="Times New Roman" w:cs="Times New Roman"/>
          <w:color w:val="000000"/>
          <w:sz w:val="24"/>
          <w:szCs w:val="24"/>
          <w:lang w:eastAsia="en-GB"/>
        </w:rPr>
        <w:t>TRA’s collaboration effort during the Working Group’s tenure.</w:t>
      </w:r>
    </w:p>
    <w:p w14:paraId="1206AADA" w14:textId="35E9BCBF" w:rsidR="00307771" w:rsidRDefault="00307771" w:rsidP="00307771">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Chair noted that since Meeting 5 there had been suggestions for further amendments to the prioritised indicators. </w:t>
      </w:r>
      <w:r w:rsidR="009202B7">
        <w:rPr>
          <w:rFonts w:ascii="Times New Roman" w:eastAsia="Times New Roman" w:hAnsi="Times New Roman" w:cs="Times New Roman"/>
          <w:color w:val="000000"/>
          <w:sz w:val="24"/>
          <w:szCs w:val="24"/>
          <w:lang w:eastAsia="en-GB"/>
        </w:rPr>
        <w:t>Those proposed amendments</w:t>
      </w:r>
      <w:r>
        <w:rPr>
          <w:rFonts w:ascii="Times New Roman" w:eastAsia="Times New Roman" w:hAnsi="Times New Roman" w:cs="Times New Roman"/>
          <w:color w:val="000000"/>
          <w:sz w:val="24"/>
          <w:szCs w:val="24"/>
          <w:lang w:eastAsia="en-GB"/>
        </w:rPr>
        <w:t xml:space="preserve"> had been distributed to members before the meeting and were presented on the screen. The Chair sought input on whether </w:t>
      </w:r>
      <w:r w:rsidR="009202B7">
        <w:rPr>
          <w:rFonts w:ascii="Times New Roman" w:eastAsia="Times New Roman" w:hAnsi="Times New Roman" w:cs="Times New Roman"/>
          <w:color w:val="000000"/>
          <w:sz w:val="24"/>
          <w:szCs w:val="24"/>
          <w:lang w:eastAsia="en-GB"/>
        </w:rPr>
        <w:t xml:space="preserve">any </w:t>
      </w:r>
      <w:r>
        <w:rPr>
          <w:rFonts w:ascii="Times New Roman" w:eastAsia="Times New Roman" w:hAnsi="Times New Roman" w:cs="Times New Roman"/>
          <w:color w:val="000000"/>
          <w:sz w:val="24"/>
          <w:szCs w:val="24"/>
          <w:lang w:eastAsia="en-GB"/>
        </w:rPr>
        <w:t>information was missing or misrepresented. No issues were noted.</w:t>
      </w:r>
    </w:p>
    <w:p w14:paraId="39A7EE6C" w14:textId="45C63A7A" w:rsidR="00307771" w:rsidRDefault="00307771" w:rsidP="00307771">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Chair then asked a broader strategic question about how to present the indicators in the final recommendations report. Three options were put forward for discussion</w:t>
      </w:r>
      <w:r w:rsidR="009202B7">
        <w:rPr>
          <w:rFonts w:ascii="Times New Roman" w:eastAsia="Times New Roman" w:hAnsi="Times New Roman" w:cs="Times New Roman"/>
          <w:color w:val="000000"/>
          <w:sz w:val="24"/>
          <w:szCs w:val="24"/>
          <w:lang w:eastAsia="en-GB"/>
        </w:rPr>
        <w:t>:</w:t>
      </w:r>
    </w:p>
    <w:p w14:paraId="07F1CF2C" w14:textId="1A97D46C" w:rsidR="00307771" w:rsidRDefault="009202B7" w:rsidP="00307771">
      <w:pPr>
        <w:pStyle w:val="ListParagraph"/>
        <w:numPr>
          <w:ilvl w:val="0"/>
          <w:numId w:val="23"/>
        </w:numPr>
        <w:spacing w:before="120"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Present </w:t>
      </w:r>
      <w:r w:rsidR="00307771">
        <w:rPr>
          <w:rFonts w:ascii="Times New Roman" w:eastAsia="Times New Roman" w:hAnsi="Times New Roman" w:cs="Times New Roman"/>
          <w:color w:val="000000"/>
          <w:sz w:val="24"/>
          <w:szCs w:val="24"/>
          <w:lang w:eastAsia="en-GB"/>
        </w:rPr>
        <w:t>all the indicators, in high-medium-low groups, potentially with a list of ranking criteria.</w:t>
      </w:r>
    </w:p>
    <w:p w14:paraId="62A57B29" w14:textId="70FCEE88" w:rsidR="00307771" w:rsidRDefault="009202B7" w:rsidP="00307771">
      <w:pPr>
        <w:pStyle w:val="ListParagraph"/>
        <w:numPr>
          <w:ilvl w:val="0"/>
          <w:numId w:val="23"/>
        </w:numPr>
        <w:spacing w:before="120"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Present </w:t>
      </w:r>
      <w:r w:rsidR="00307771">
        <w:rPr>
          <w:rFonts w:ascii="Times New Roman" w:eastAsia="Times New Roman" w:hAnsi="Times New Roman" w:cs="Times New Roman"/>
          <w:color w:val="000000"/>
          <w:sz w:val="24"/>
          <w:szCs w:val="24"/>
          <w:lang w:eastAsia="en-GB"/>
        </w:rPr>
        <w:t>a significantly shorter list, around 12, within a preferred framework setting – an example ‘conceptual framework’ was shared.</w:t>
      </w:r>
    </w:p>
    <w:p w14:paraId="0172CC3C" w14:textId="2A2E118C" w:rsidR="00307771" w:rsidRPr="00F2344A" w:rsidRDefault="00DF211C" w:rsidP="00307771">
      <w:pPr>
        <w:pStyle w:val="ListParagraph"/>
        <w:numPr>
          <w:ilvl w:val="0"/>
          <w:numId w:val="23"/>
        </w:numPr>
        <w:spacing w:before="120" w:after="120" w:line="300" w:lineRule="exact"/>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Present </w:t>
      </w:r>
      <w:r w:rsidR="00A14840">
        <w:rPr>
          <w:rFonts w:ascii="Times New Roman" w:eastAsia="Times New Roman" w:hAnsi="Times New Roman" w:cs="Times New Roman"/>
          <w:color w:val="000000"/>
          <w:sz w:val="24"/>
          <w:szCs w:val="24"/>
          <w:lang w:eastAsia="en-GB"/>
        </w:rPr>
        <w:t xml:space="preserve">a condensed list </w:t>
      </w:r>
      <w:r w:rsidR="00307771">
        <w:rPr>
          <w:rFonts w:ascii="Times New Roman" w:eastAsia="Times New Roman" w:hAnsi="Times New Roman" w:cs="Times New Roman"/>
          <w:color w:val="000000"/>
          <w:sz w:val="24"/>
          <w:szCs w:val="24"/>
          <w:lang w:eastAsia="en-GB"/>
        </w:rPr>
        <w:t>with more than 12 and less than 75 recommended indicators.</w:t>
      </w:r>
    </w:p>
    <w:p w14:paraId="2344C197" w14:textId="62FACE5D" w:rsidR="00307771" w:rsidRDefault="00307771" w:rsidP="00307771">
      <w:pPr>
        <w:spacing w:before="120" w:after="120"/>
        <w:divId w:val="591620094"/>
        <w:rPr>
          <w:rFonts w:ascii="Times New Roman" w:eastAsia="Times New Roman" w:hAnsi="Times New Roman" w:cs="Times New Roman"/>
          <w:color w:val="000000"/>
          <w:sz w:val="24"/>
          <w:szCs w:val="24"/>
          <w:lang w:eastAsia="en-GB"/>
        </w:rPr>
      </w:pPr>
      <w:r w:rsidRPr="00307771">
        <w:rPr>
          <w:rFonts w:ascii="Times New Roman" w:eastAsia="Times New Roman" w:hAnsi="Times New Roman" w:cs="Times New Roman"/>
          <w:color w:val="000000"/>
          <w:sz w:val="24"/>
          <w:szCs w:val="24"/>
          <w:lang w:eastAsia="en-GB"/>
        </w:rPr>
        <w:t>Members supported moving to a shorter list</w:t>
      </w:r>
      <w:r w:rsidR="008274A4">
        <w:rPr>
          <w:rFonts w:ascii="Times New Roman" w:eastAsia="Times New Roman" w:hAnsi="Times New Roman" w:cs="Times New Roman"/>
          <w:color w:val="000000"/>
          <w:sz w:val="24"/>
          <w:szCs w:val="24"/>
          <w:lang w:eastAsia="en-GB"/>
        </w:rPr>
        <w:t xml:space="preserve"> rather </w:t>
      </w:r>
      <w:r w:rsidRPr="00307771">
        <w:rPr>
          <w:rFonts w:ascii="Times New Roman" w:eastAsia="Times New Roman" w:hAnsi="Times New Roman" w:cs="Times New Roman"/>
          <w:color w:val="000000"/>
          <w:sz w:val="24"/>
          <w:szCs w:val="24"/>
          <w:lang w:eastAsia="en-GB"/>
        </w:rPr>
        <w:t>than the full set</w:t>
      </w:r>
      <w:r w:rsidR="00DF211C">
        <w:rPr>
          <w:rFonts w:ascii="Times New Roman" w:eastAsia="Times New Roman" w:hAnsi="Times New Roman" w:cs="Times New Roman"/>
          <w:color w:val="000000"/>
          <w:sz w:val="24"/>
          <w:szCs w:val="24"/>
          <w:lang w:eastAsia="en-GB"/>
        </w:rPr>
        <w:t xml:space="preserve"> </w:t>
      </w:r>
      <w:proofErr w:type="gramStart"/>
      <w:r w:rsidR="00DF211C">
        <w:rPr>
          <w:rFonts w:ascii="Times New Roman" w:eastAsia="Times New Roman" w:hAnsi="Times New Roman" w:cs="Times New Roman"/>
          <w:color w:val="000000"/>
          <w:sz w:val="24"/>
          <w:szCs w:val="24"/>
          <w:lang w:eastAsia="en-GB"/>
        </w:rPr>
        <w:t>and also</w:t>
      </w:r>
      <w:proofErr w:type="gramEnd"/>
      <w:r w:rsidR="00DF211C">
        <w:rPr>
          <w:rFonts w:ascii="Times New Roman" w:eastAsia="Times New Roman" w:hAnsi="Times New Roman" w:cs="Times New Roman"/>
          <w:color w:val="000000"/>
          <w:sz w:val="24"/>
          <w:szCs w:val="24"/>
          <w:lang w:eastAsia="en-GB"/>
        </w:rPr>
        <w:t xml:space="preserve"> agreed that </w:t>
      </w:r>
      <w:r w:rsidRPr="00307771">
        <w:rPr>
          <w:rFonts w:ascii="Times New Roman" w:eastAsia="Times New Roman" w:hAnsi="Times New Roman" w:cs="Times New Roman"/>
          <w:color w:val="000000"/>
          <w:sz w:val="24"/>
          <w:szCs w:val="24"/>
          <w:lang w:eastAsia="en-GB"/>
        </w:rPr>
        <w:t xml:space="preserve">12 items felt too narrow and minimalist to be </w:t>
      </w:r>
      <w:r w:rsidR="00DF211C">
        <w:rPr>
          <w:rFonts w:ascii="Times New Roman" w:eastAsia="Times New Roman" w:hAnsi="Times New Roman" w:cs="Times New Roman"/>
          <w:color w:val="000000"/>
          <w:sz w:val="24"/>
          <w:szCs w:val="24"/>
          <w:lang w:eastAsia="en-GB"/>
        </w:rPr>
        <w:t>representative</w:t>
      </w:r>
      <w:r w:rsidRPr="00307771">
        <w:rPr>
          <w:rFonts w:ascii="Times New Roman" w:eastAsia="Times New Roman" w:hAnsi="Times New Roman" w:cs="Times New Roman"/>
          <w:color w:val="000000"/>
          <w:sz w:val="24"/>
          <w:szCs w:val="24"/>
          <w:lang w:eastAsia="en-GB"/>
        </w:rPr>
        <w:t xml:space="preserve">. There was consensus that option 3 </w:t>
      </w:r>
      <w:r w:rsidR="00DF211C">
        <w:rPr>
          <w:rFonts w:ascii="Times New Roman" w:eastAsia="Times New Roman" w:hAnsi="Times New Roman" w:cs="Times New Roman"/>
          <w:color w:val="000000"/>
          <w:sz w:val="24"/>
          <w:szCs w:val="24"/>
          <w:lang w:eastAsia="en-GB"/>
        </w:rPr>
        <w:t>was preferred</w:t>
      </w:r>
      <w:r w:rsidRPr="00307771">
        <w:rPr>
          <w:rFonts w:ascii="Times New Roman" w:eastAsia="Times New Roman" w:hAnsi="Times New Roman" w:cs="Times New Roman"/>
          <w:color w:val="000000"/>
          <w:sz w:val="24"/>
          <w:szCs w:val="24"/>
          <w:lang w:eastAsia="en-GB"/>
        </w:rPr>
        <w:t xml:space="preserve">. There was also support for </w:t>
      </w:r>
      <w:r w:rsidR="00DF211C">
        <w:rPr>
          <w:rFonts w:ascii="Times New Roman" w:eastAsia="Times New Roman" w:hAnsi="Times New Roman" w:cs="Times New Roman"/>
          <w:color w:val="000000"/>
          <w:sz w:val="24"/>
          <w:szCs w:val="24"/>
          <w:lang w:eastAsia="en-GB"/>
        </w:rPr>
        <w:t>indicators</w:t>
      </w:r>
      <w:r w:rsidR="00DF211C" w:rsidRPr="00307771">
        <w:rPr>
          <w:rFonts w:ascii="Times New Roman" w:eastAsia="Times New Roman" w:hAnsi="Times New Roman" w:cs="Times New Roman"/>
          <w:color w:val="000000"/>
          <w:sz w:val="24"/>
          <w:szCs w:val="24"/>
          <w:lang w:eastAsia="en-GB"/>
        </w:rPr>
        <w:t xml:space="preserve"> </w:t>
      </w:r>
      <w:r w:rsidRPr="00307771">
        <w:rPr>
          <w:rFonts w:ascii="Times New Roman" w:eastAsia="Times New Roman" w:hAnsi="Times New Roman" w:cs="Times New Roman"/>
          <w:color w:val="000000"/>
          <w:sz w:val="24"/>
          <w:szCs w:val="24"/>
          <w:lang w:eastAsia="en-GB"/>
        </w:rPr>
        <w:t>to be presented in a format such as the ‘conceptual framework’ example shown</w:t>
      </w:r>
      <w:r w:rsidR="00A14840">
        <w:rPr>
          <w:rFonts w:ascii="Times New Roman" w:eastAsia="Times New Roman" w:hAnsi="Times New Roman" w:cs="Times New Roman"/>
          <w:color w:val="000000"/>
          <w:sz w:val="24"/>
          <w:szCs w:val="24"/>
          <w:lang w:eastAsia="en-GB"/>
        </w:rPr>
        <w:t xml:space="preserve"> (Attachment </w:t>
      </w:r>
      <w:r w:rsidR="00B47EFD">
        <w:rPr>
          <w:rFonts w:ascii="Times New Roman" w:eastAsia="Times New Roman" w:hAnsi="Times New Roman" w:cs="Times New Roman"/>
          <w:color w:val="000000"/>
          <w:sz w:val="24"/>
          <w:szCs w:val="24"/>
          <w:lang w:eastAsia="en-GB"/>
        </w:rPr>
        <w:t>A</w:t>
      </w:r>
      <w:r w:rsidR="00A14840">
        <w:rPr>
          <w:rFonts w:ascii="Times New Roman" w:eastAsia="Times New Roman" w:hAnsi="Times New Roman" w:cs="Times New Roman"/>
          <w:color w:val="000000"/>
          <w:sz w:val="24"/>
          <w:szCs w:val="24"/>
          <w:lang w:eastAsia="en-GB"/>
        </w:rPr>
        <w:t>)</w:t>
      </w:r>
      <w:r w:rsidRPr="00307771">
        <w:rPr>
          <w:rFonts w:ascii="Times New Roman" w:eastAsia="Times New Roman" w:hAnsi="Times New Roman" w:cs="Times New Roman"/>
          <w:color w:val="000000"/>
          <w:sz w:val="24"/>
          <w:szCs w:val="24"/>
          <w:lang w:eastAsia="en-GB"/>
        </w:rPr>
        <w:t xml:space="preserve">. </w:t>
      </w:r>
    </w:p>
    <w:p w14:paraId="35B7DCDF" w14:textId="4ACBC3F7" w:rsidR="00BF7A11" w:rsidRDefault="00BF7A11" w:rsidP="00BF7A11">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member suggested includ</w:t>
      </w:r>
      <w:r w:rsidR="00A14840">
        <w:rPr>
          <w:rFonts w:ascii="Times New Roman" w:eastAsia="Times New Roman" w:hAnsi="Times New Roman" w:cs="Times New Roman"/>
          <w:color w:val="000000"/>
          <w:sz w:val="24"/>
          <w:szCs w:val="24"/>
          <w:lang w:eastAsia="en-GB"/>
        </w:rPr>
        <w:t>ing</w:t>
      </w:r>
      <w:r>
        <w:rPr>
          <w:rFonts w:ascii="Times New Roman" w:eastAsia="Times New Roman" w:hAnsi="Times New Roman" w:cs="Times New Roman"/>
          <w:color w:val="000000"/>
          <w:sz w:val="24"/>
          <w:szCs w:val="24"/>
          <w:lang w:eastAsia="en-GB"/>
        </w:rPr>
        <w:t xml:space="preserve"> indicators that had regular statistics available (for example</w:t>
      </w:r>
      <w:r w:rsidR="00DF211C">
        <w:rPr>
          <w:rFonts w:ascii="Times New Roman" w:eastAsia="Times New Roman" w:hAnsi="Times New Roman" w:cs="Times New Roman"/>
          <w:color w:val="000000"/>
          <w:sz w:val="24"/>
          <w:szCs w:val="24"/>
          <w:lang w:eastAsia="en-GB"/>
        </w:rPr>
        <w:t>, updated on a</w:t>
      </w:r>
      <w:r>
        <w:rPr>
          <w:rFonts w:ascii="Times New Roman" w:eastAsia="Times New Roman" w:hAnsi="Times New Roman" w:cs="Times New Roman"/>
          <w:color w:val="000000"/>
          <w:sz w:val="24"/>
          <w:szCs w:val="24"/>
          <w:lang w:eastAsia="en-GB"/>
        </w:rPr>
        <w:t xml:space="preserve"> quarterly</w:t>
      </w:r>
      <w:r w:rsidR="00DF211C">
        <w:rPr>
          <w:rFonts w:ascii="Times New Roman" w:eastAsia="Times New Roman" w:hAnsi="Times New Roman" w:cs="Times New Roman"/>
          <w:color w:val="000000"/>
          <w:sz w:val="24"/>
          <w:szCs w:val="24"/>
          <w:lang w:eastAsia="en-GB"/>
        </w:rPr>
        <w:t xml:space="preserve"> basis</w:t>
      </w:r>
      <w:r>
        <w:rPr>
          <w:rFonts w:ascii="Times New Roman" w:eastAsia="Times New Roman" w:hAnsi="Times New Roman" w:cs="Times New Roman"/>
          <w:color w:val="000000"/>
          <w:sz w:val="24"/>
          <w:szCs w:val="24"/>
          <w:lang w:eastAsia="en-GB"/>
        </w:rPr>
        <w:t>)</w:t>
      </w:r>
      <w:r w:rsidR="00DF211C">
        <w:rPr>
          <w:rFonts w:ascii="Times New Roman" w:eastAsia="Times New Roman" w:hAnsi="Times New Roman" w:cs="Times New Roman"/>
          <w:color w:val="000000"/>
          <w:sz w:val="24"/>
          <w:szCs w:val="24"/>
          <w:lang w:eastAsia="en-GB"/>
        </w:rPr>
        <w:t xml:space="preserve">. Regularly changing statistics or indicators would present a more contemporary perspective that could assist with real-time decision making. </w:t>
      </w:r>
      <w:r>
        <w:rPr>
          <w:rFonts w:ascii="Times New Roman" w:eastAsia="Times New Roman" w:hAnsi="Times New Roman" w:cs="Times New Roman"/>
          <w:color w:val="000000"/>
          <w:sz w:val="24"/>
          <w:szCs w:val="24"/>
          <w:lang w:eastAsia="en-GB"/>
        </w:rPr>
        <w:t>Other members agreed but also pointed out that some metrics are likely to</w:t>
      </w:r>
      <w:r w:rsidR="00DF211C">
        <w:rPr>
          <w:rFonts w:ascii="Times New Roman" w:eastAsia="Times New Roman" w:hAnsi="Times New Roman" w:cs="Times New Roman"/>
          <w:color w:val="000000"/>
          <w:sz w:val="24"/>
          <w:szCs w:val="24"/>
          <w:lang w:eastAsia="en-GB"/>
        </w:rPr>
        <w:t xml:space="preserve"> </w:t>
      </w:r>
      <w:r w:rsidR="008274A4">
        <w:rPr>
          <w:rFonts w:ascii="Times New Roman" w:eastAsia="Times New Roman" w:hAnsi="Times New Roman" w:cs="Times New Roman"/>
          <w:color w:val="000000"/>
          <w:sz w:val="24"/>
          <w:szCs w:val="24"/>
          <w:lang w:eastAsia="en-GB"/>
        </w:rPr>
        <w:t xml:space="preserve">be </w:t>
      </w:r>
      <w:r w:rsidR="00DF211C">
        <w:rPr>
          <w:rFonts w:ascii="Times New Roman" w:eastAsia="Times New Roman" w:hAnsi="Times New Roman" w:cs="Times New Roman"/>
          <w:color w:val="000000"/>
          <w:sz w:val="24"/>
          <w:szCs w:val="24"/>
          <w:lang w:eastAsia="en-GB"/>
        </w:rPr>
        <w:t>equally</w:t>
      </w:r>
      <w:r>
        <w:rPr>
          <w:rFonts w:ascii="Times New Roman" w:eastAsia="Times New Roman" w:hAnsi="Times New Roman" w:cs="Times New Roman"/>
          <w:color w:val="000000"/>
          <w:sz w:val="24"/>
          <w:szCs w:val="24"/>
          <w:lang w:eastAsia="en-GB"/>
        </w:rPr>
        <w:t xml:space="preserve"> useful</w:t>
      </w:r>
      <w:r w:rsidR="00DF211C">
        <w:rPr>
          <w:rFonts w:ascii="Times New Roman" w:eastAsia="Times New Roman" w:hAnsi="Times New Roman" w:cs="Times New Roman"/>
          <w:color w:val="000000"/>
          <w:sz w:val="24"/>
          <w:szCs w:val="24"/>
          <w:lang w:eastAsia="en-GB"/>
        </w:rPr>
        <w:t>, even if not frequently update</w:t>
      </w:r>
      <w:r w:rsidR="00FD5857">
        <w:rPr>
          <w:rFonts w:ascii="Times New Roman" w:eastAsia="Times New Roman" w:hAnsi="Times New Roman" w:cs="Times New Roman"/>
          <w:color w:val="000000"/>
          <w:sz w:val="24"/>
          <w:szCs w:val="24"/>
          <w:lang w:eastAsia="en-GB"/>
        </w:rPr>
        <w:t>d</w:t>
      </w:r>
      <w:r w:rsidR="00DF211C">
        <w:rPr>
          <w:rFonts w:ascii="Times New Roman" w:eastAsia="Times New Roman" w:hAnsi="Times New Roman" w:cs="Times New Roman"/>
          <w:color w:val="000000"/>
          <w:sz w:val="24"/>
          <w:szCs w:val="24"/>
          <w:lang w:eastAsia="en-GB"/>
        </w:rPr>
        <w:t xml:space="preserve">, for their general </w:t>
      </w:r>
      <w:r>
        <w:rPr>
          <w:rFonts w:ascii="Times New Roman" w:eastAsia="Times New Roman" w:hAnsi="Times New Roman" w:cs="Times New Roman"/>
          <w:color w:val="000000"/>
          <w:sz w:val="24"/>
          <w:szCs w:val="24"/>
          <w:lang w:eastAsia="en-GB"/>
        </w:rPr>
        <w:t>awareness</w:t>
      </w:r>
      <w:r w:rsidR="00DF211C">
        <w:rPr>
          <w:rFonts w:ascii="Times New Roman" w:eastAsia="Times New Roman" w:hAnsi="Times New Roman" w:cs="Times New Roman"/>
          <w:color w:val="000000"/>
          <w:sz w:val="24"/>
          <w:szCs w:val="24"/>
          <w:lang w:eastAsia="en-GB"/>
        </w:rPr>
        <w:t>-raising potential</w:t>
      </w:r>
      <w:r>
        <w:rPr>
          <w:rFonts w:ascii="Times New Roman" w:eastAsia="Times New Roman" w:hAnsi="Times New Roman" w:cs="Times New Roman"/>
          <w:color w:val="000000"/>
          <w:sz w:val="24"/>
          <w:szCs w:val="24"/>
          <w:lang w:eastAsia="en-GB"/>
        </w:rPr>
        <w:t>.</w:t>
      </w:r>
    </w:p>
    <w:p w14:paraId="3B8F97E4" w14:textId="677B9D2D" w:rsidR="00E53D6C" w:rsidRDefault="00E53D6C" w:rsidP="00E53D6C">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One member commented th</w:t>
      </w:r>
      <w:r w:rsidR="00DF211C">
        <w:rPr>
          <w:rFonts w:ascii="Times New Roman" w:eastAsia="Times New Roman" w:hAnsi="Times New Roman" w:cs="Times New Roman"/>
          <w:color w:val="000000"/>
          <w:sz w:val="24"/>
          <w:szCs w:val="24"/>
          <w:lang w:eastAsia="en-GB"/>
        </w:rPr>
        <w:t xml:space="preserve">at the </w:t>
      </w:r>
      <w:r>
        <w:rPr>
          <w:rFonts w:ascii="Times New Roman" w:eastAsia="Times New Roman" w:hAnsi="Times New Roman" w:cs="Times New Roman"/>
          <w:color w:val="000000"/>
          <w:sz w:val="24"/>
          <w:szCs w:val="24"/>
          <w:lang w:eastAsia="en-GB"/>
        </w:rPr>
        <w:t>prioritised indicators need further consideration.</w:t>
      </w:r>
      <w:r w:rsidR="00DF211C">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The Chair noted that consultation on the proposed indicators and framework was already underway and noted the following entities as consultation parties: </w:t>
      </w:r>
      <w:r w:rsidR="00DF211C">
        <w:rPr>
          <w:rFonts w:ascii="Times New Roman" w:eastAsia="Times New Roman" w:hAnsi="Times New Roman" w:cs="Times New Roman"/>
          <w:color w:val="000000"/>
          <w:sz w:val="24"/>
          <w:szCs w:val="24"/>
          <w:lang w:eastAsia="en-GB"/>
        </w:rPr>
        <w:t>industry bodies,</w:t>
      </w:r>
      <w:r>
        <w:rPr>
          <w:rFonts w:ascii="Times New Roman" w:eastAsia="Times New Roman" w:hAnsi="Times New Roman" w:cs="Times New Roman"/>
          <w:color w:val="000000"/>
          <w:sz w:val="24"/>
          <w:szCs w:val="24"/>
          <w:lang w:eastAsia="en-GB"/>
        </w:rPr>
        <w:t xml:space="preserve"> ASCOT sustainability planning sub-committee, sustainability and net zero federal government bodies, the Tourism Research Committee (the data and research sub-committee of ASCOT), as well as with the THRIVE Implementation Advisory Group</w:t>
      </w:r>
      <w:r w:rsidR="00DF211C">
        <w:rPr>
          <w:rFonts w:ascii="Times New Roman" w:eastAsia="Times New Roman" w:hAnsi="Times New Roman" w:cs="Times New Roman"/>
          <w:color w:val="000000"/>
          <w:sz w:val="24"/>
          <w:szCs w:val="24"/>
          <w:lang w:eastAsia="en-GB"/>
        </w:rPr>
        <w:t xml:space="preserve"> (government and industry)</w:t>
      </w:r>
      <w:r>
        <w:rPr>
          <w:rFonts w:ascii="Times New Roman" w:eastAsia="Times New Roman" w:hAnsi="Times New Roman" w:cs="Times New Roman"/>
          <w:color w:val="000000"/>
          <w:sz w:val="24"/>
          <w:szCs w:val="24"/>
          <w:lang w:eastAsia="en-GB"/>
        </w:rPr>
        <w:t>.</w:t>
      </w:r>
    </w:p>
    <w:p w14:paraId="4C947685" w14:textId="04FAC397" w:rsidR="003E4468" w:rsidRDefault="00E53D6C" w:rsidP="00BF176F">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Chair asked members to consider if other</w:t>
      </w:r>
      <w:r w:rsidR="00DF211C">
        <w:rPr>
          <w:rFonts w:ascii="Times New Roman" w:eastAsia="Times New Roman" w:hAnsi="Times New Roman" w:cs="Times New Roman"/>
          <w:color w:val="000000"/>
          <w:sz w:val="24"/>
          <w:szCs w:val="24"/>
          <w:lang w:eastAsia="en-GB"/>
        </w:rPr>
        <w:t xml:space="preserve"> specific</w:t>
      </w:r>
      <w:r>
        <w:rPr>
          <w:rFonts w:ascii="Times New Roman" w:eastAsia="Times New Roman" w:hAnsi="Times New Roman" w:cs="Times New Roman"/>
          <w:color w:val="000000"/>
          <w:sz w:val="24"/>
          <w:szCs w:val="24"/>
          <w:lang w:eastAsia="en-GB"/>
        </w:rPr>
        <w:t xml:space="preserve"> entities should be consulted and to </w:t>
      </w:r>
      <w:r w:rsidR="00DF211C">
        <w:rPr>
          <w:rFonts w:ascii="Times New Roman" w:eastAsia="Times New Roman" w:hAnsi="Times New Roman" w:cs="Times New Roman"/>
          <w:color w:val="000000"/>
          <w:sz w:val="24"/>
          <w:szCs w:val="24"/>
          <w:lang w:eastAsia="en-GB"/>
        </w:rPr>
        <w:t>pass</w:t>
      </w:r>
      <w:r>
        <w:rPr>
          <w:rFonts w:ascii="Times New Roman" w:eastAsia="Times New Roman" w:hAnsi="Times New Roman" w:cs="Times New Roman"/>
          <w:color w:val="000000"/>
          <w:sz w:val="24"/>
          <w:szCs w:val="24"/>
          <w:lang w:eastAsia="en-GB"/>
        </w:rPr>
        <w:t xml:space="preserve"> suggestions</w:t>
      </w:r>
      <w:r w:rsidR="00DF211C">
        <w:rPr>
          <w:rFonts w:ascii="Times New Roman" w:eastAsia="Times New Roman" w:hAnsi="Times New Roman" w:cs="Times New Roman"/>
          <w:color w:val="000000"/>
          <w:sz w:val="24"/>
          <w:szCs w:val="24"/>
          <w:lang w:eastAsia="en-GB"/>
        </w:rPr>
        <w:t xml:space="preserve"> to TRA</w:t>
      </w:r>
      <w:r>
        <w:rPr>
          <w:rFonts w:ascii="Times New Roman" w:eastAsia="Times New Roman" w:hAnsi="Times New Roman" w:cs="Times New Roman"/>
          <w:color w:val="000000"/>
          <w:sz w:val="24"/>
          <w:szCs w:val="24"/>
          <w:lang w:eastAsia="en-GB"/>
        </w:rPr>
        <w:t xml:space="preserve"> as early as possible before the next meeting.</w:t>
      </w:r>
    </w:p>
    <w:p w14:paraId="444D091E" w14:textId="232E2065" w:rsidR="00BF176F" w:rsidRDefault="00BF176F" w:rsidP="00BF176F">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Next, </w:t>
      </w:r>
      <w:r w:rsidR="00DF211C">
        <w:rPr>
          <w:rFonts w:ascii="Times New Roman" w:eastAsia="Times New Roman" w:hAnsi="Times New Roman" w:cs="Times New Roman"/>
          <w:color w:val="000000"/>
          <w:sz w:val="24"/>
          <w:szCs w:val="24"/>
          <w:lang w:eastAsia="en-GB"/>
        </w:rPr>
        <w:t xml:space="preserve">the Chair introduced the proposed </w:t>
      </w:r>
      <w:r>
        <w:rPr>
          <w:rFonts w:ascii="Times New Roman" w:eastAsia="Times New Roman" w:hAnsi="Times New Roman" w:cs="Times New Roman"/>
          <w:color w:val="000000"/>
          <w:sz w:val="24"/>
          <w:szCs w:val="24"/>
          <w:lang w:eastAsia="en-GB"/>
        </w:rPr>
        <w:t>the draft structure and rational</w:t>
      </w:r>
      <w:r w:rsidR="00DF211C">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of the IDEA Working Group final recommendations report and invited any feedback via email.</w:t>
      </w:r>
      <w:r w:rsidR="00DF211C">
        <w:rPr>
          <w:rFonts w:ascii="Times New Roman" w:eastAsia="Times New Roman" w:hAnsi="Times New Roman" w:cs="Times New Roman"/>
          <w:color w:val="000000"/>
          <w:sz w:val="24"/>
          <w:szCs w:val="24"/>
          <w:lang w:eastAsia="en-GB"/>
        </w:rPr>
        <w:t xml:space="preserve"> The draft format of the proposed recommendations report had been distributed to members prior to the meeting.</w:t>
      </w:r>
    </w:p>
    <w:p w14:paraId="10E8433B" w14:textId="35529DCA" w:rsidR="00BF176F" w:rsidRDefault="00DF211C" w:rsidP="00BF176F">
      <w:pPr>
        <w:spacing w:before="120" w:after="120"/>
        <w:divId w:val="591620094"/>
        <w:rPr>
          <w:rFonts w:ascii="Times New Roman" w:eastAsia="Times New Roman" w:hAnsi="Times New Roman" w:cs="Times New Roman"/>
          <w:color w:val="000000"/>
          <w:sz w:val="24"/>
          <w:szCs w:val="24"/>
          <w:lang w:eastAsia="en-GB"/>
        </w:rPr>
      </w:pPr>
      <w:bookmarkStart w:id="0" w:name="_Hlk132192958"/>
      <w:r>
        <w:rPr>
          <w:rFonts w:ascii="Times New Roman" w:eastAsia="Times New Roman" w:hAnsi="Times New Roman" w:cs="Times New Roman"/>
          <w:color w:val="000000"/>
          <w:sz w:val="24"/>
          <w:szCs w:val="24"/>
          <w:lang w:eastAsia="en-GB"/>
        </w:rPr>
        <w:t xml:space="preserve">Next on the agenda, </w:t>
      </w:r>
      <w:r w:rsidR="00BF176F">
        <w:rPr>
          <w:rFonts w:ascii="Times New Roman" w:eastAsia="Times New Roman" w:hAnsi="Times New Roman" w:cs="Times New Roman"/>
          <w:color w:val="000000"/>
          <w:sz w:val="24"/>
          <w:szCs w:val="24"/>
          <w:lang w:eastAsia="en-GB"/>
        </w:rPr>
        <w:t>TRA provided an update on a</w:t>
      </w:r>
      <w:r>
        <w:rPr>
          <w:rFonts w:ascii="Times New Roman" w:eastAsia="Times New Roman" w:hAnsi="Times New Roman" w:cs="Times New Roman"/>
          <w:color w:val="000000"/>
          <w:sz w:val="24"/>
          <w:szCs w:val="24"/>
          <w:lang w:eastAsia="en-GB"/>
        </w:rPr>
        <w:t xml:space="preserve"> new project that</w:t>
      </w:r>
      <w:r w:rsidR="00BF176F">
        <w:rPr>
          <w:rFonts w:ascii="Times New Roman" w:eastAsia="Times New Roman" w:hAnsi="Times New Roman" w:cs="Times New Roman"/>
          <w:color w:val="000000"/>
          <w:sz w:val="24"/>
          <w:szCs w:val="24"/>
          <w:lang w:eastAsia="en-GB"/>
        </w:rPr>
        <w:t xml:space="preserve"> </w:t>
      </w:r>
      <w:r w:rsidR="008274A4">
        <w:rPr>
          <w:rFonts w:ascii="Times New Roman" w:eastAsia="Times New Roman" w:hAnsi="Times New Roman" w:cs="Times New Roman"/>
          <w:color w:val="000000"/>
          <w:sz w:val="24"/>
          <w:szCs w:val="24"/>
          <w:lang w:eastAsia="en-GB"/>
        </w:rPr>
        <w:t xml:space="preserve">was </w:t>
      </w:r>
      <w:r w:rsidR="00BF176F">
        <w:rPr>
          <w:rFonts w:ascii="Times New Roman" w:eastAsia="Times New Roman" w:hAnsi="Times New Roman" w:cs="Times New Roman"/>
          <w:color w:val="000000"/>
          <w:sz w:val="24"/>
          <w:szCs w:val="24"/>
          <w:lang w:eastAsia="en-GB"/>
        </w:rPr>
        <w:t>develop</w:t>
      </w:r>
      <w:r>
        <w:rPr>
          <w:rFonts w:ascii="Times New Roman" w:eastAsia="Times New Roman" w:hAnsi="Times New Roman" w:cs="Times New Roman"/>
          <w:color w:val="000000"/>
          <w:sz w:val="24"/>
          <w:szCs w:val="24"/>
          <w:lang w:eastAsia="en-GB"/>
        </w:rPr>
        <w:t>ed to</w:t>
      </w:r>
      <w:r w:rsidR="00BF176F">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better </w:t>
      </w:r>
      <w:r w:rsidR="00BF176F">
        <w:rPr>
          <w:rFonts w:ascii="Times New Roman" w:eastAsia="Times New Roman" w:hAnsi="Times New Roman" w:cs="Times New Roman"/>
          <w:color w:val="000000"/>
          <w:sz w:val="24"/>
          <w:szCs w:val="24"/>
          <w:lang w:eastAsia="en-GB"/>
        </w:rPr>
        <w:t>captur</w:t>
      </w:r>
      <w:r>
        <w:rPr>
          <w:rFonts w:ascii="Times New Roman" w:eastAsia="Times New Roman" w:hAnsi="Times New Roman" w:cs="Times New Roman"/>
          <w:color w:val="000000"/>
          <w:sz w:val="24"/>
          <w:szCs w:val="24"/>
          <w:lang w:eastAsia="en-GB"/>
        </w:rPr>
        <w:t>e</w:t>
      </w:r>
      <w:r w:rsidR="00BF176F">
        <w:rPr>
          <w:rFonts w:ascii="Times New Roman" w:eastAsia="Times New Roman" w:hAnsi="Times New Roman" w:cs="Times New Roman"/>
          <w:color w:val="000000"/>
          <w:sz w:val="24"/>
          <w:szCs w:val="24"/>
          <w:lang w:eastAsia="en-GB"/>
        </w:rPr>
        <w:t xml:space="preserve"> business events data. </w:t>
      </w:r>
      <w:r w:rsidR="00BE6C9E">
        <w:rPr>
          <w:rFonts w:ascii="Times New Roman" w:eastAsia="Times New Roman" w:hAnsi="Times New Roman" w:cs="Times New Roman"/>
          <w:color w:val="000000"/>
          <w:sz w:val="24"/>
          <w:szCs w:val="24"/>
          <w:lang w:eastAsia="en-GB"/>
        </w:rPr>
        <w:t xml:space="preserve">The project, </w:t>
      </w:r>
      <w:r w:rsidR="008274A4">
        <w:rPr>
          <w:rFonts w:ascii="Times New Roman" w:eastAsia="Times New Roman" w:hAnsi="Times New Roman" w:cs="Times New Roman"/>
          <w:color w:val="000000"/>
          <w:sz w:val="24"/>
          <w:szCs w:val="24"/>
          <w:lang w:eastAsia="en-GB"/>
        </w:rPr>
        <w:t xml:space="preserve">at a value of $2 million </w:t>
      </w:r>
      <w:r w:rsidR="00BE6C9E">
        <w:rPr>
          <w:rFonts w:ascii="Times New Roman" w:eastAsia="Times New Roman" w:hAnsi="Times New Roman" w:cs="Times New Roman"/>
          <w:color w:val="000000"/>
          <w:sz w:val="24"/>
          <w:szCs w:val="24"/>
          <w:lang w:eastAsia="en-GB"/>
        </w:rPr>
        <w:t xml:space="preserve">funded in the October 2022 federal Budget, commenced in January 2023 with an </w:t>
      </w:r>
      <w:r w:rsidR="00BF176F">
        <w:rPr>
          <w:rFonts w:ascii="Times New Roman" w:eastAsia="Times New Roman" w:hAnsi="Times New Roman" w:cs="Times New Roman"/>
          <w:color w:val="000000"/>
          <w:sz w:val="24"/>
          <w:szCs w:val="24"/>
          <w:lang w:eastAsia="en-GB"/>
        </w:rPr>
        <w:t>extensive set of business events</w:t>
      </w:r>
      <w:r w:rsidR="00BE6C9E">
        <w:rPr>
          <w:rFonts w:ascii="Times New Roman" w:eastAsia="Times New Roman" w:hAnsi="Times New Roman" w:cs="Times New Roman"/>
          <w:color w:val="000000"/>
          <w:sz w:val="24"/>
          <w:szCs w:val="24"/>
          <w:lang w:eastAsia="en-GB"/>
        </w:rPr>
        <w:t>-</w:t>
      </w:r>
      <w:r w:rsidR="00BF176F">
        <w:rPr>
          <w:rFonts w:ascii="Times New Roman" w:eastAsia="Times New Roman" w:hAnsi="Times New Roman" w:cs="Times New Roman"/>
          <w:color w:val="000000"/>
          <w:sz w:val="24"/>
          <w:szCs w:val="24"/>
          <w:lang w:eastAsia="en-GB"/>
        </w:rPr>
        <w:t>related questions added to the National Visitor Survey (NVS)</w:t>
      </w:r>
      <w:r w:rsidR="00BE6C9E">
        <w:rPr>
          <w:rFonts w:ascii="Times New Roman" w:eastAsia="Times New Roman" w:hAnsi="Times New Roman" w:cs="Times New Roman"/>
          <w:color w:val="000000"/>
          <w:sz w:val="24"/>
          <w:szCs w:val="24"/>
          <w:lang w:eastAsia="en-GB"/>
        </w:rPr>
        <w:t xml:space="preserve"> and International Visitor Survey (IVS). Two further phases of data collection and data transformation were planned to commence in 2023-24.</w:t>
      </w:r>
    </w:p>
    <w:bookmarkEnd w:id="0"/>
    <w:p w14:paraId="4D89D7A8" w14:textId="16AF7F14" w:rsidR="00BF176F" w:rsidRDefault="00BE6C9E" w:rsidP="00BF176F">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At the next agenda item, t</w:t>
      </w:r>
      <w:r w:rsidR="00BF176F">
        <w:rPr>
          <w:rFonts w:ascii="Times New Roman" w:eastAsia="Times New Roman" w:hAnsi="Times New Roman" w:cs="Times New Roman"/>
          <w:color w:val="000000"/>
          <w:sz w:val="24"/>
          <w:szCs w:val="24"/>
          <w:lang w:eastAsia="en-GB"/>
        </w:rPr>
        <w:t xml:space="preserve">he Chair introduced </w:t>
      </w:r>
      <w:hyperlink r:id="rId14" w:history="1">
        <w:r w:rsidR="00BF176F" w:rsidRPr="002A4A21">
          <w:rPr>
            <w:rStyle w:val="Hyperlink"/>
            <w:rFonts w:ascii="Times New Roman" w:eastAsia="Times New Roman" w:hAnsi="Times New Roman" w:cs="Times New Roman"/>
            <w:sz w:val="24"/>
            <w:szCs w:val="24"/>
            <w:lang w:eastAsia="en-GB"/>
          </w:rPr>
          <w:t>Dr Stefan Hajkowicz</w:t>
        </w:r>
      </w:hyperlink>
      <w:r w:rsidR="00BF176F">
        <w:rPr>
          <w:rFonts w:ascii="Times New Roman" w:eastAsia="Times New Roman" w:hAnsi="Times New Roman" w:cs="Times New Roman"/>
          <w:color w:val="000000"/>
          <w:sz w:val="24"/>
          <w:szCs w:val="24"/>
          <w:lang w:eastAsia="en-GB"/>
        </w:rPr>
        <w:t xml:space="preserve"> and </w:t>
      </w:r>
      <w:hyperlink r:id="rId15" w:history="1">
        <w:r w:rsidR="00BF176F" w:rsidRPr="002A4A21">
          <w:rPr>
            <w:rStyle w:val="Hyperlink"/>
            <w:rFonts w:ascii="Times New Roman" w:eastAsia="Times New Roman" w:hAnsi="Times New Roman" w:cs="Times New Roman"/>
            <w:sz w:val="24"/>
            <w:szCs w:val="24"/>
            <w:lang w:eastAsia="en-GB"/>
          </w:rPr>
          <w:t>Dr Alexandra Bratanova</w:t>
        </w:r>
      </w:hyperlink>
      <w:r w:rsidR="00BF176F">
        <w:rPr>
          <w:rFonts w:ascii="Times New Roman" w:eastAsia="Times New Roman" w:hAnsi="Times New Roman" w:cs="Times New Roman"/>
          <w:color w:val="000000"/>
          <w:sz w:val="24"/>
          <w:szCs w:val="24"/>
          <w:lang w:eastAsia="en-GB"/>
        </w:rPr>
        <w:t xml:space="preserve"> from Data 61, CSIRO, who are specialists in multiple criteria decision analysis</w:t>
      </w:r>
      <w:r w:rsidR="00A14840">
        <w:rPr>
          <w:rFonts w:ascii="Times New Roman" w:eastAsia="Times New Roman" w:hAnsi="Times New Roman" w:cs="Times New Roman"/>
          <w:color w:val="000000"/>
          <w:sz w:val="24"/>
          <w:szCs w:val="24"/>
          <w:lang w:eastAsia="en-GB"/>
        </w:rPr>
        <w:t>,</w:t>
      </w:r>
      <w:r w:rsidR="00BF176F">
        <w:rPr>
          <w:rFonts w:ascii="Times New Roman" w:eastAsia="Times New Roman" w:hAnsi="Times New Roman" w:cs="Times New Roman"/>
          <w:color w:val="000000"/>
          <w:sz w:val="24"/>
          <w:szCs w:val="24"/>
          <w:lang w:eastAsia="en-GB"/>
        </w:rPr>
        <w:t xml:space="preserve"> to share their experiences and observations of challenges and opportunities in data integration tasks.</w:t>
      </w:r>
    </w:p>
    <w:p w14:paraId="4C803EAB" w14:textId="68718DB1" w:rsidR="00BF176F" w:rsidRDefault="00BF176F" w:rsidP="00BF176F">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Stefan provided</w:t>
      </w:r>
      <w:r w:rsidR="00BE6C9E">
        <w:rPr>
          <w:rFonts w:ascii="Times New Roman" w:eastAsia="Times New Roman" w:hAnsi="Times New Roman" w:cs="Times New Roman"/>
          <w:color w:val="000000"/>
          <w:sz w:val="24"/>
          <w:szCs w:val="24"/>
          <w:lang w:eastAsia="en-GB"/>
        </w:rPr>
        <w:t xml:space="preserve"> a broad presentation on different data uses and worked through</w:t>
      </w:r>
      <w:r>
        <w:rPr>
          <w:rFonts w:ascii="Times New Roman" w:eastAsia="Times New Roman" w:hAnsi="Times New Roman" w:cs="Times New Roman"/>
          <w:color w:val="000000"/>
          <w:sz w:val="24"/>
          <w:szCs w:val="24"/>
          <w:lang w:eastAsia="en-GB"/>
        </w:rPr>
        <w:t xml:space="preserve"> two examples </w:t>
      </w:r>
      <w:r w:rsidR="00BE6C9E">
        <w:rPr>
          <w:rFonts w:ascii="Times New Roman" w:eastAsia="Times New Roman" w:hAnsi="Times New Roman" w:cs="Times New Roman"/>
          <w:color w:val="000000"/>
          <w:sz w:val="24"/>
          <w:szCs w:val="24"/>
          <w:lang w:eastAsia="en-GB"/>
        </w:rPr>
        <w:t xml:space="preserve">where </w:t>
      </w:r>
      <w:r>
        <w:rPr>
          <w:rFonts w:ascii="Times New Roman" w:eastAsia="Times New Roman" w:hAnsi="Times New Roman" w:cs="Times New Roman"/>
          <w:color w:val="000000"/>
          <w:sz w:val="24"/>
          <w:szCs w:val="24"/>
          <w:lang w:eastAsia="en-GB"/>
        </w:rPr>
        <w:t>multiple indicators were used to report</w:t>
      </w:r>
      <w:r w:rsidR="00BE6C9E">
        <w:rPr>
          <w:rFonts w:ascii="Times New Roman" w:eastAsia="Times New Roman" w:hAnsi="Times New Roman" w:cs="Times New Roman"/>
          <w:color w:val="000000"/>
          <w:sz w:val="24"/>
          <w:szCs w:val="24"/>
          <w:lang w:eastAsia="en-GB"/>
        </w:rPr>
        <w:t xml:space="preserve"> against</w:t>
      </w:r>
      <w:r>
        <w:rPr>
          <w:rFonts w:ascii="Times New Roman" w:eastAsia="Times New Roman" w:hAnsi="Times New Roman" w:cs="Times New Roman"/>
          <w:color w:val="000000"/>
          <w:sz w:val="24"/>
          <w:szCs w:val="24"/>
          <w:lang w:eastAsia="en-GB"/>
        </w:rPr>
        <w:t xml:space="preserve"> indices: the Economist City Liveability Index comparing li</w:t>
      </w:r>
      <w:r w:rsidR="00093DEE">
        <w:rPr>
          <w:rFonts w:ascii="Times New Roman" w:eastAsia="Times New Roman" w:hAnsi="Times New Roman" w:cs="Times New Roman"/>
          <w:color w:val="000000"/>
          <w:sz w:val="24"/>
          <w:szCs w:val="24"/>
          <w:lang w:eastAsia="en-GB"/>
        </w:rPr>
        <w:t>ve</w:t>
      </w:r>
      <w:r>
        <w:rPr>
          <w:rFonts w:ascii="Times New Roman" w:eastAsia="Times New Roman" w:hAnsi="Times New Roman" w:cs="Times New Roman"/>
          <w:color w:val="000000"/>
          <w:sz w:val="24"/>
          <w:szCs w:val="24"/>
          <w:lang w:eastAsia="en-GB"/>
        </w:rPr>
        <w:t xml:space="preserve">ability across the world’s cities, and the World Economic Forum Travel and Tourism Development Index framework. </w:t>
      </w:r>
    </w:p>
    <w:p w14:paraId="4DDB915B" w14:textId="67559BAF" w:rsidR="00BF176F" w:rsidRDefault="00BF176F" w:rsidP="00BF176F">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Stefan provided technical background for how indices can be developed such as by using various criteria and weighting them</w:t>
      </w:r>
      <w:r w:rsidR="00A14840">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and removing criteria that are highly correlated. He explained that this process would require consultation with stakeholders.</w:t>
      </w:r>
      <w:r w:rsidR="00A1484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Stefan also described some forecasting approaches to provide leading data.</w:t>
      </w:r>
    </w:p>
    <w:p w14:paraId="15A8B78C" w14:textId="3D69FC5C" w:rsidR="00BF176F" w:rsidRDefault="00BF176F" w:rsidP="00BF176F">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Stefan finally described the stages of development of </w:t>
      </w:r>
      <w:r w:rsidR="00B44ACC">
        <w:rPr>
          <w:rFonts w:ascii="Times New Roman" w:eastAsia="Times New Roman" w:hAnsi="Times New Roman" w:cs="Times New Roman"/>
          <w:color w:val="000000"/>
          <w:sz w:val="24"/>
          <w:szCs w:val="24"/>
          <w:lang w:eastAsia="en-GB"/>
        </w:rPr>
        <w:t>such a</w:t>
      </w:r>
      <w:r>
        <w:rPr>
          <w:rFonts w:ascii="Times New Roman" w:eastAsia="Times New Roman" w:hAnsi="Times New Roman" w:cs="Times New Roman"/>
          <w:color w:val="000000"/>
          <w:sz w:val="24"/>
          <w:szCs w:val="24"/>
          <w:lang w:eastAsia="en-GB"/>
        </w:rPr>
        <w:t xml:space="preserve"> project from start to completion. Stage 1 user needs analysis, Stage 2 problem structuring, Stage 3 database development, Stage 4 data analytics, Stage 5 apply, test and refine, and Stage 6 visualisation and communication.</w:t>
      </w:r>
    </w:p>
    <w:p w14:paraId="5DE1E16D" w14:textId="779C212E" w:rsidR="00BF176F" w:rsidRDefault="00BF176F" w:rsidP="00BF176F">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Chair concluded that it was likely that TRA would be required to take forward the Working Group’s recommendations on the </w:t>
      </w:r>
      <w:r w:rsidR="00610568">
        <w:rPr>
          <w:rFonts w:ascii="Times New Roman" w:eastAsia="Times New Roman" w:hAnsi="Times New Roman" w:cs="Times New Roman"/>
          <w:color w:val="000000"/>
          <w:sz w:val="24"/>
          <w:szCs w:val="24"/>
          <w:lang w:eastAsia="en-GB"/>
        </w:rPr>
        <w:t>indicator’s</w:t>
      </w:r>
      <w:r>
        <w:rPr>
          <w:rFonts w:ascii="Times New Roman" w:eastAsia="Times New Roman" w:hAnsi="Times New Roman" w:cs="Times New Roman"/>
          <w:color w:val="000000"/>
          <w:sz w:val="24"/>
          <w:szCs w:val="24"/>
          <w:lang w:eastAsia="en-GB"/>
        </w:rPr>
        <w:t xml:space="preserve"> framework and that Data61 and related partners would ideally be co-opted to provide assurance to such a project.</w:t>
      </w:r>
    </w:p>
    <w:p w14:paraId="679DDDCA" w14:textId="5A5E1875" w:rsidR="00B44ACC" w:rsidRDefault="00CD797B" w:rsidP="00B44ACC">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Next on the agenda, t</w:t>
      </w:r>
      <w:r w:rsidR="00B44ACC">
        <w:rPr>
          <w:rFonts w:ascii="Times New Roman" w:eastAsia="Times New Roman" w:hAnsi="Times New Roman" w:cs="Times New Roman"/>
          <w:color w:val="000000"/>
          <w:sz w:val="24"/>
          <w:szCs w:val="24"/>
          <w:lang w:eastAsia="en-GB"/>
        </w:rPr>
        <w:t xml:space="preserve">he Chair invited Rod Battye (TRA) and John Ellenberger (Head of Partnerships, Roy Morgan Research) to present </w:t>
      </w:r>
      <w:r>
        <w:rPr>
          <w:rFonts w:ascii="Times New Roman" w:eastAsia="Times New Roman" w:hAnsi="Times New Roman" w:cs="Times New Roman"/>
          <w:color w:val="000000"/>
          <w:sz w:val="24"/>
          <w:szCs w:val="24"/>
          <w:lang w:eastAsia="en-GB"/>
        </w:rPr>
        <w:t>an update on the</w:t>
      </w:r>
      <w:r w:rsidR="00B44ACC">
        <w:rPr>
          <w:rFonts w:ascii="Times New Roman" w:eastAsia="Times New Roman" w:hAnsi="Times New Roman" w:cs="Times New Roman"/>
          <w:color w:val="000000"/>
          <w:sz w:val="24"/>
          <w:szCs w:val="24"/>
          <w:lang w:eastAsia="en-GB"/>
        </w:rPr>
        <w:t xml:space="preserve"> Helix</w:t>
      </w:r>
      <w:r>
        <w:rPr>
          <w:rFonts w:ascii="Times New Roman" w:eastAsia="Times New Roman" w:hAnsi="Times New Roman" w:cs="Times New Roman"/>
          <w:color w:val="000000"/>
          <w:sz w:val="24"/>
          <w:szCs w:val="24"/>
          <w:lang w:eastAsia="en-GB"/>
        </w:rPr>
        <w:t xml:space="preserve"> Personas</w:t>
      </w:r>
      <w:r w:rsidR="00B44ACC">
        <w:rPr>
          <w:rFonts w:ascii="Times New Roman" w:eastAsia="Times New Roman" w:hAnsi="Times New Roman" w:cs="Times New Roman"/>
          <w:color w:val="000000"/>
          <w:sz w:val="24"/>
          <w:szCs w:val="24"/>
          <w:lang w:eastAsia="en-GB"/>
        </w:rPr>
        <w:t xml:space="preserve"> project and explain uses for the data</w:t>
      </w:r>
      <w:r>
        <w:rPr>
          <w:rFonts w:ascii="Times New Roman" w:eastAsia="Times New Roman" w:hAnsi="Times New Roman" w:cs="Times New Roman"/>
          <w:color w:val="000000"/>
          <w:sz w:val="24"/>
          <w:szCs w:val="24"/>
          <w:lang w:eastAsia="en-GB"/>
        </w:rPr>
        <w:t xml:space="preserve"> outputs</w:t>
      </w:r>
      <w:r w:rsidR="00B44ACC">
        <w:rPr>
          <w:rFonts w:ascii="Times New Roman" w:eastAsia="Times New Roman" w:hAnsi="Times New Roman" w:cs="Times New Roman"/>
          <w:color w:val="000000"/>
          <w:sz w:val="24"/>
          <w:szCs w:val="24"/>
          <w:lang w:eastAsia="en-GB"/>
        </w:rPr>
        <w:t>.</w:t>
      </w:r>
      <w:r w:rsidR="00B44ACC" w:rsidRPr="00B44ACC">
        <w:rPr>
          <w:rFonts w:ascii="Times New Roman" w:eastAsia="Times New Roman" w:hAnsi="Times New Roman" w:cs="Times New Roman"/>
          <w:color w:val="000000"/>
          <w:sz w:val="24"/>
          <w:szCs w:val="24"/>
          <w:lang w:eastAsia="en-GB"/>
        </w:rPr>
        <w:t xml:space="preserve"> </w:t>
      </w:r>
      <w:r w:rsidR="00B44ACC">
        <w:rPr>
          <w:rFonts w:ascii="Times New Roman" w:eastAsia="Times New Roman" w:hAnsi="Times New Roman" w:cs="Times New Roman"/>
          <w:color w:val="000000"/>
          <w:sz w:val="24"/>
          <w:szCs w:val="24"/>
          <w:lang w:eastAsia="en-GB"/>
        </w:rPr>
        <w:t xml:space="preserve">This project </w:t>
      </w:r>
      <w:r>
        <w:rPr>
          <w:rFonts w:ascii="Times New Roman" w:eastAsia="Times New Roman" w:hAnsi="Times New Roman" w:cs="Times New Roman"/>
          <w:color w:val="000000"/>
          <w:sz w:val="24"/>
          <w:szCs w:val="24"/>
          <w:lang w:eastAsia="en-GB"/>
        </w:rPr>
        <w:t>enhances the application of</w:t>
      </w:r>
      <w:r w:rsidR="00B44ACC">
        <w:rPr>
          <w:rFonts w:ascii="Times New Roman" w:eastAsia="Times New Roman" w:hAnsi="Times New Roman" w:cs="Times New Roman"/>
          <w:color w:val="000000"/>
          <w:sz w:val="24"/>
          <w:szCs w:val="24"/>
          <w:lang w:eastAsia="en-GB"/>
        </w:rPr>
        <w:t xml:space="preserve"> the NVS by integrating psychographic profiles, potentially useful for marketing, product development, and investment decision-making purposes.</w:t>
      </w:r>
      <w:r w:rsidR="00B44ACC" w:rsidRPr="00B44ACC">
        <w:rPr>
          <w:rFonts w:ascii="Times New Roman" w:eastAsia="Times New Roman" w:hAnsi="Times New Roman" w:cs="Times New Roman"/>
          <w:color w:val="000000"/>
          <w:sz w:val="24"/>
          <w:szCs w:val="24"/>
          <w:lang w:eastAsia="en-GB"/>
        </w:rPr>
        <w:t xml:space="preserve"> </w:t>
      </w:r>
      <w:r w:rsidR="00B44ACC">
        <w:rPr>
          <w:rFonts w:ascii="Times New Roman" w:eastAsia="Times New Roman" w:hAnsi="Times New Roman" w:cs="Times New Roman"/>
          <w:color w:val="000000"/>
          <w:sz w:val="24"/>
          <w:szCs w:val="24"/>
          <w:lang w:eastAsia="en-GB"/>
        </w:rPr>
        <w:t>Rod explained th</w:t>
      </w:r>
      <w:r>
        <w:rPr>
          <w:rFonts w:ascii="Times New Roman" w:eastAsia="Times New Roman" w:hAnsi="Times New Roman" w:cs="Times New Roman"/>
          <w:color w:val="000000"/>
          <w:sz w:val="24"/>
          <w:szCs w:val="24"/>
          <w:lang w:eastAsia="en-GB"/>
        </w:rPr>
        <w:t>at th</w:t>
      </w:r>
      <w:r w:rsidR="00B44ACC">
        <w:rPr>
          <w:rFonts w:ascii="Times New Roman" w:eastAsia="Times New Roman" w:hAnsi="Times New Roman" w:cs="Times New Roman"/>
          <w:color w:val="000000"/>
          <w:sz w:val="24"/>
          <w:szCs w:val="24"/>
          <w:lang w:eastAsia="en-GB"/>
        </w:rPr>
        <w:t xml:space="preserve">e information on psychographic personas </w:t>
      </w:r>
      <w:r>
        <w:rPr>
          <w:rFonts w:ascii="Times New Roman" w:eastAsia="Times New Roman" w:hAnsi="Times New Roman" w:cs="Times New Roman"/>
          <w:color w:val="000000"/>
          <w:sz w:val="24"/>
          <w:szCs w:val="24"/>
          <w:lang w:eastAsia="en-GB"/>
        </w:rPr>
        <w:t xml:space="preserve">had been made </w:t>
      </w:r>
      <w:r w:rsidR="00B44ACC">
        <w:rPr>
          <w:rFonts w:ascii="Times New Roman" w:eastAsia="Times New Roman" w:hAnsi="Times New Roman" w:cs="Times New Roman"/>
          <w:color w:val="000000"/>
          <w:sz w:val="24"/>
          <w:szCs w:val="24"/>
          <w:lang w:eastAsia="en-GB"/>
        </w:rPr>
        <w:t xml:space="preserve">available in the </w:t>
      </w:r>
      <w:r w:rsidR="007E1407">
        <w:rPr>
          <w:rFonts w:ascii="Times New Roman" w:eastAsia="Times New Roman" w:hAnsi="Times New Roman" w:cs="Times New Roman"/>
          <w:color w:val="000000"/>
          <w:sz w:val="24"/>
          <w:szCs w:val="24"/>
          <w:lang w:eastAsia="en-GB"/>
        </w:rPr>
        <w:t>NVS and</w:t>
      </w:r>
      <w:r>
        <w:rPr>
          <w:rFonts w:ascii="Times New Roman" w:eastAsia="Times New Roman" w:hAnsi="Times New Roman" w:cs="Times New Roman"/>
          <w:color w:val="000000"/>
          <w:sz w:val="24"/>
          <w:szCs w:val="24"/>
          <w:lang w:eastAsia="en-GB"/>
        </w:rPr>
        <w:t xml:space="preserve"> would be released to the state and territory government partners for testing</w:t>
      </w:r>
      <w:r w:rsidR="00B44ACC">
        <w:rPr>
          <w:rFonts w:ascii="Times New Roman" w:eastAsia="Times New Roman" w:hAnsi="Times New Roman" w:cs="Times New Roman"/>
          <w:color w:val="000000"/>
          <w:sz w:val="24"/>
          <w:szCs w:val="24"/>
          <w:lang w:eastAsia="en-GB"/>
        </w:rPr>
        <w:t>.</w:t>
      </w:r>
    </w:p>
    <w:p w14:paraId="502A0CD5" w14:textId="6474479E" w:rsidR="00B44ACC" w:rsidRDefault="00B44ACC" w:rsidP="00B44ACC">
      <w:pPr>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John </w:t>
      </w:r>
      <w:r w:rsidR="00CD797B">
        <w:rPr>
          <w:rFonts w:ascii="Times New Roman" w:eastAsia="Times New Roman" w:hAnsi="Times New Roman" w:cs="Times New Roman"/>
          <w:color w:val="000000"/>
          <w:sz w:val="24"/>
          <w:szCs w:val="24"/>
          <w:lang w:eastAsia="en-GB"/>
        </w:rPr>
        <w:t xml:space="preserve">explained that there were 54 different personas or mindsets, categorising different individuals based on their interests, behaviours, opinions, values, beliefs, and attitudes. He noted </w:t>
      </w:r>
      <w:r>
        <w:rPr>
          <w:rFonts w:ascii="Times New Roman" w:eastAsia="Times New Roman" w:hAnsi="Times New Roman" w:cs="Times New Roman"/>
          <w:color w:val="000000"/>
          <w:sz w:val="24"/>
          <w:szCs w:val="24"/>
          <w:lang w:eastAsia="en-GB"/>
        </w:rPr>
        <w:t xml:space="preserve">the main purpose of the data was to </w:t>
      </w:r>
      <w:r w:rsidR="00B167DE">
        <w:rPr>
          <w:rFonts w:ascii="Times New Roman" w:eastAsia="Times New Roman" w:hAnsi="Times New Roman" w:cs="Times New Roman"/>
          <w:color w:val="000000"/>
          <w:sz w:val="24"/>
          <w:szCs w:val="24"/>
          <w:lang w:eastAsia="en-GB"/>
        </w:rPr>
        <w:t>identify and segment key markets to target audiences and ultimately attract more visitors. The information c</w:t>
      </w:r>
      <w:r w:rsidR="00CD797B">
        <w:rPr>
          <w:rFonts w:ascii="Times New Roman" w:eastAsia="Times New Roman" w:hAnsi="Times New Roman" w:cs="Times New Roman"/>
          <w:color w:val="000000"/>
          <w:sz w:val="24"/>
          <w:szCs w:val="24"/>
          <w:lang w:eastAsia="en-GB"/>
        </w:rPr>
        <w:t>ould</w:t>
      </w:r>
      <w:r w:rsidR="00B167DE">
        <w:rPr>
          <w:rFonts w:ascii="Times New Roman" w:eastAsia="Times New Roman" w:hAnsi="Times New Roman" w:cs="Times New Roman"/>
          <w:color w:val="000000"/>
          <w:sz w:val="24"/>
          <w:szCs w:val="24"/>
          <w:lang w:eastAsia="en-GB"/>
        </w:rPr>
        <w:t xml:space="preserve"> be used </w:t>
      </w:r>
      <w:r w:rsidR="00B167DE" w:rsidRPr="00EF3ECF">
        <w:rPr>
          <w:rFonts w:ascii="Times New Roman" w:eastAsia="Times New Roman" w:hAnsi="Times New Roman" w:cs="Times New Roman"/>
          <w:color w:val="000000"/>
          <w:sz w:val="24"/>
          <w:szCs w:val="24"/>
          <w:lang w:eastAsia="en-GB"/>
        </w:rPr>
        <w:t xml:space="preserve">to understand a target audience, </w:t>
      </w:r>
      <w:r w:rsidR="00B167DE">
        <w:rPr>
          <w:rFonts w:ascii="Times New Roman" w:eastAsia="Times New Roman" w:hAnsi="Times New Roman" w:cs="Times New Roman"/>
          <w:color w:val="000000"/>
          <w:sz w:val="24"/>
          <w:szCs w:val="24"/>
          <w:lang w:eastAsia="en-GB"/>
        </w:rPr>
        <w:t>where</w:t>
      </w:r>
      <w:r w:rsidR="00B167DE" w:rsidRPr="00EF3ECF">
        <w:rPr>
          <w:rFonts w:ascii="Times New Roman" w:eastAsia="Times New Roman" w:hAnsi="Times New Roman" w:cs="Times New Roman"/>
          <w:color w:val="000000"/>
          <w:sz w:val="24"/>
          <w:szCs w:val="24"/>
          <w:lang w:eastAsia="en-GB"/>
        </w:rPr>
        <w:t xml:space="preserve"> to find them, which media should be used to reach them and the style of messaging that will resonate best with the consumer.</w:t>
      </w:r>
    </w:p>
    <w:p w14:paraId="74F52BF3" w14:textId="3C5082CB" w:rsidR="00E53D6C" w:rsidRPr="00E53D6C" w:rsidRDefault="00CF5B30"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Chair closed the meeting after outlining </w:t>
      </w:r>
      <w:r w:rsidR="00E53D6C">
        <w:rPr>
          <w:rFonts w:ascii="Times New Roman" w:eastAsia="Times New Roman" w:hAnsi="Times New Roman" w:cs="Times New Roman"/>
          <w:color w:val="000000"/>
          <w:sz w:val="24"/>
          <w:szCs w:val="24"/>
          <w:lang w:eastAsia="en-GB"/>
        </w:rPr>
        <w:t xml:space="preserve">proposed agenda </w:t>
      </w:r>
      <w:r w:rsidR="00E53D6C" w:rsidRPr="009C1391">
        <w:rPr>
          <w:rFonts w:ascii="Times New Roman" w:eastAsia="Times New Roman" w:hAnsi="Times New Roman" w:cs="Times New Roman"/>
          <w:color w:val="000000"/>
          <w:sz w:val="24"/>
          <w:szCs w:val="24"/>
          <w:lang w:eastAsia="en-GB"/>
        </w:rPr>
        <w:t xml:space="preserve">topics for </w:t>
      </w:r>
      <w:r w:rsidR="00E53D6C">
        <w:rPr>
          <w:rFonts w:ascii="Times New Roman" w:eastAsia="Times New Roman" w:hAnsi="Times New Roman" w:cs="Times New Roman"/>
          <w:color w:val="000000"/>
          <w:sz w:val="24"/>
          <w:szCs w:val="24"/>
          <w:lang w:eastAsia="en-GB"/>
        </w:rPr>
        <w:t xml:space="preserve">the final </w:t>
      </w:r>
      <w:r w:rsidR="00E53D6C" w:rsidRPr="009C1391">
        <w:rPr>
          <w:rFonts w:ascii="Times New Roman" w:eastAsia="Times New Roman" w:hAnsi="Times New Roman" w:cs="Times New Roman"/>
          <w:color w:val="000000"/>
          <w:sz w:val="24"/>
          <w:szCs w:val="24"/>
          <w:lang w:eastAsia="en-GB"/>
        </w:rPr>
        <w:t>meeting</w:t>
      </w:r>
      <w:r w:rsidR="00E53D6C">
        <w:rPr>
          <w:rFonts w:ascii="Times New Roman" w:eastAsia="Times New Roman" w:hAnsi="Times New Roman" w:cs="Times New Roman"/>
          <w:color w:val="000000"/>
          <w:sz w:val="24"/>
          <w:szCs w:val="24"/>
          <w:lang w:eastAsia="en-GB"/>
        </w:rPr>
        <w:t xml:space="preserve"> on 4 April 2023.</w:t>
      </w:r>
    </w:p>
    <w:p w14:paraId="46664FBD" w14:textId="573F3EBD" w:rsidR="00BF1880" w:rsidRPr="00756DB8" w:rsidRDefault="00BF1880" w:rsidP="00756DB8">
      <w:pPr>
        <w:spacing w:after="120" w:line="300" w:lineRule="exact"/>
        <w:divId w:val="591620094"/>
        <w:rPr>
          <w:color w:val="538135" w:themeColor="accent6" w:themeShade="BF"/>
          <w:sz w:val="24"/>
          <w:szCs w:val="24"/>
        </w:rPr>
      </w:pPr>
      <w:r w:rsidRPr="00756DB8">
        <w:rPr>
          <w:color w:val="538135" w:themeColor="accent6" w:themeShade="BF"/>
          <w:sz w:val="24"/>
          <w:szCs w:val="24"/>
        </w:rPr>
        <w:lastRenderedPageBreak/>
        <w:t>Meeting 7</w:t>
      </w:r>
    </w:p>
    <w:p w14:paraId="566045E5" w14:textId="66DD268E" w:rsidR="00BF1880" w:rsidRDefault="0008501B"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Chair commenced the </w:t>
      </w:r>
      <w:r w:rsidR="00B74D42">
        <w:rPr>
          <w:rFonts w:ascii="Times New Roman" w:eastAsia="Times New Roman" w:hAnsi="Times New Roman" w:cs="Times New Roman"/>
          <w:color w:val="000000"/>
          <w:sz w:val="24"/>
          <w:szCs w:val="24"/>
          <w:lang w:eastAsia="en-GB"/>
        </w:rPr>
        <w:t xml:space="preserve">final Working Group </w:t>
      </w:r>
      <w:r>
        <w:rPr>
          <w:rFonts w:ascii="Times New Roman" w:eastAsia="Times New Roman" w:hAnsi="Times New Roman" w:cs="Times New Roman"/>
          <w:color w:val="000000"/>
          <w:sz w:val="24"/>
          <w:szCs w:val="24"/>
          <w:lang w:eastAsia="en-GB"/>
        </w:rPr>
        <w:t xml:space="preserve">meeting by acknowledging traditional custodians, </w:t>
      </w:r>
      <w:r w:rsidR="00440A64">
        <w:rPr>
          <w:rFonts w:ascii="Times New Roman" w:eastAsia="Times New Roman" w:hAnsi="Times New Roman" w:cs="Times New Roman"/>
          <w:color w:val="000000"/>
          <w:sz w:val="24"/>
          <w:szCs w:val="24"/>
          <w:lang w:eastAsia="en-GB"/>
        </w:rPr>
        <w:t>and</w:t>
      </w:r>
      <w:r w:rsidR="00B74D42">
        <w:rPr>
          <w:rFonts w:ascii="Times New Roman" w:eastAsia="Times New Roman" w:hAnsi="Times New Roman" w:cs="Times New Roman"/>
          <w:color w:val="000000"/>
          <w:sz w:val="24"/>
          <w:szCs w:val="24"/>
          <w:lang w:eastAsia="en-GB"/>
        </w:rPr>
        <w:t xml:space="preserve"> </w:t>
      </w:r>
      <w:r w:rsidR="00440A64">
        <w:rPr>
          <w:rFonts w:ascii="Times New Roman" w:eastAsia="Times New Roman" w:hAnsi="Times New Roman" w:cs="Times New Roman"/>
          <w:color w:val="000000"/>
          <w:sz w:val="24"/>
          <w:szCs w:val="24"/>
          <w:lang w:eastAsia="en-GB"/>
        </w:rPr>
        <w:t>introduc</w:t>
      </w:r>
      <w:r w:rsidR="00443116">
        <w:rPr>
          <w:rFonts w:ascii="Times New Roman" w:eastAsia="Times New Roman" w:hAnsi="Times New Roman" w:cs="Times New Roman"/>
          <w:color w:val="000000"/>
          <w:sz w:val="24"/>
          <w:szCs w:val="24"/>
          <w:lang w:eastAsia="en-GB"/>
        </w:rPr>
        <w:t>ing</w:t>
      </w:r>
      <w:r w:rsidR="00440A64">
        <w:rPr>
          <w:rFonts w:ascii="Times New Roman" w:eastAsia="Times New Roman" w:hAnsi="Times New Roman" w:cs="Times New Roman"/>
          <w:color w:val="000000"/>
          <w:sz w:val="24"/>
          <w:szCs w:val="24"/>
          <w:lang w:eastAsia="en-GB"/>
        </w:rPr>
        <w:t xml:space="preserve"> the Minister</w:t>
      </w:r>
      <w:r w:rsidR="00B74D42">
        <w:rPr>
          <w:rFonts w:ascii="Times New Roman" w:eastAsia="Times New Roman" w:hAnsi="Times New Roman" w:cs="Times New Roman"/>
          <w:color w:val="000000"/>
          <w:sz w:val="24"/>
          <w:szCs w:val="24"/>
          <w:lang w:eastAsia="en-GB"/>
        </w:rPr>
        <w:t xml:space="preserve"> </w:t>
      </w:r>
      <w:r w:rsidR="00B74D42" w:rsidRPr="00B74D42">
        <w:rPr>
          <w:rFonts w:ascii="Times New Roman" w:eastAsia="Times New Roman" w:hAnsi="Times New Roman" w:cs="Times New Roman"/>
          <w:color w:val="000000"/>
          <w:sz w:val="24"/>
          <w:szCs w:val="24"/>
          <w:lang w:eastAsia="en-GB"/>
        </w:rPr>
        <w:t>for Trade and Tourism, Senator the Hon Don Farrell</w:t>
      </w:r>
      <w:r w:rsidR="00452E36">
        <w:rPr>
          <w:rFonts w:ascii="Times New Roman" w:eastAsia="Times New Roman" w:hAnsi="Times New Roman" w:cs="Times New Roman"/>
          <w:color w:val="000000"/>
          <w:sz w:val="24"/>
          <w:szCs w:val="24"/>
          <w:lang w:eastAsia="en-GB"/>
        </w:rPr>
        <w:t>.</w:t>
      </w:r>
      <w:r w:rsidR="00440A64">
        <w:rPr>
          <w:rFonts w:ascii="Times New Roman" w:eastAsia="Times New Roman" w:hAnsi="Times New Roman" w:cs="Times New Roman"/>
          <w:color w:val="000000"/>
          <w:sz w:val="24"/>
          <w:szCs w:val="24"/>
          <w:lang w:eastAsia="en-GB"/>
        </w:rPr>
        <w:t xml:space="preserve"> </w:t>
      </w:r>
      <w:r w:rsidR="00452E36">
        <w:rPr>
          <w:rFonts w:ascii="Times New Roman" w:eastAsia="Times New Roman" w:hAnsi="Times New Roman" w:cs="Times New Roman"/>
          <w:color w:val="000000"/>
          <w:sz w:val="24"/>
          <w:szCs w:val="24"/>
          <w:lang w:eastAsia="en-GB"/>
        </w:rPr>
        <w:t xml:space="preserve">The Minister </w:t>
      </w:r>
      <w:r w:rsidR="00B74D42">
        <w:rPr>
          <w:rFonts w:ascii="Times New Roman" w:eastAsia="Times New Roman" w:hAnsi="Times New Roman" w:cs="Times New Roman"/>
          <w:color w:val="000000"/>
          <w:sz w:val="24"/>
          <w:szCs w:val="24"/>
          <w:lang w:eastAsia="en-GB"/>
        </w:rPr>
        <w:t>personally thank</w:t>
      </w:r>
      <w:r w:rsidR="00452E36">
        <w:rPr>
          <w:rFonts w:ascii="Times New Roman" w:eastAsia="Times New Roman" w:hAnsi="Times New Roman" w:cs="Times New Roman"/>
          <w:color w:val="000000"/>
          <w:sz w:val="24"/>
          <w:szCs w:val="24"/>
          <w:lang w:eastAsia="en-GB"/>
        </w:rPr>
        <w:t>ed</w:t>
      </w:r>
      <w:r w:rsidR="00B74D42">
        <w:rPr>
          <w:rFonts w:ascii="Times New Roman" w:eastAsia="Times New Roman" w:hAnsi="Times New Roman" w:cs="Times New Roman"/>
          <w:color w:val="000000"/>
          <w:sz w:val="24"/>
          <w:szCs w:val="24"/>
          <w:lang w:eastAsia="en-GB"/>
        </w:rPr>
        <w:t xml:space="preserve"> the group for their </w:t>
      </w:r>
      <w:r w:rsidR="00AB5174">
        <w:rPr>
          <w:rFonts w:ascii="Times New Roman" w:eastAsia="Times New Roman" w:hAnsi="Times New Roman" w:cs="Times New Roman"/>
          <w:color w:val="000000"/>
          <w:sz w:val="24"/>
          <w:szCs w:val="24"/>
          <w:lang w:eastAsia="en-GB"/>
        </w:rPr>
        <w:t xml:space="preserve">voluntary </w:t>
      </w:r>
      <w:r w:rsidR="00B74D42">
        <w:rPr>
          <w:rFonts w:ascii="Times New Roman" w:eastAsia="Times New Roman" w:hAnsi="Times New Roman" w:cs="Times New Roman"/>
          <w:color w:val="000000"/>
          <w:sz w:val="24"/>
          <w:szCs w:val="24"/>
          <w:lang w:eastAsia="en-GB"/>
        </w:rPr>
        <w:t>contributions</w:t>
      </w:r>
      <w:r w:rsidR="00AB5174">
        <w:rPr>
          <w:rFonts w:ascii="Times New Roman" w:eastAsia="Times New Roman" w:hAnsi="Times New Roman" w:cs="Times New Roman"/>
          <w:color w:val="000000"/>
          <w:sz w:val="24"/>
          <w:szCs w:val="24"/>
          <w:lang w:eastAsia="en-GB"/>
        </w:rPr>
        <w:t xml:space="preserve"> to </w:t>
      </w:r>
      <w:r w:rsidR="001B39AC" w:rsidRPr="001B39AC">
        <w:rPr>
          <w:rFonts w:ascii="Times New Roman" w:eastAsia="Times New Roman" w:hAnsi="Times New Roman" w:cs="Times New Roman"/>
          <w:i/>
          <w:iCs/>
          <w:color w:val="000000"/>
          <w:sz w:val="24"/>
          <w:szCs w:val="24"/>
          <w:lang w:eastAsia="en-GB"/>
        </w:rPr>
        <w:t>THRIVE 2030</w:t>
      </w:r>
      <w:r w:rsidR="00452E36">
        <w:rPr>
          <w:rFonts w:ascii="Times New Roman" w:eastAsia="Times New Roman" w:hAnsi="Times New Roman" w:cs="Times New Roman"/>
          <w:color w:val="000000"/>
          <w:sz w:val="24"/>
          <w:szCs w:val="24"/>
          <w:lang w:eastAsia="en-GB"/>
        </w:rPr>
        <w:t xml:space="preserve"> and opened the floor for questions.</w:t>
      </w:r>
      <w:r w:rsidR="00FF1598">
        <w:rPr>
          <w:rFonts w:ascii="Times New Roman" w:eastAsia="Times New Roman" w:hAnsi="Times New Roman" w:cs="Times New Roman"/>
          <w:color w:val="000000"/>
          <w:sz w:val="24"/>
          <w:szCs w:val="24"/>
          <w:lang w:eastAsia="en-GB"/>
        </w:rPr>
        <w:t xml:space="preserve"> Members commented that the current </w:t>
      </w:r>
      <w:r w:rsidR="001B39AC" w:rsidRPr="001B39AC">
        <w:rPr>
          <w:rFonts w:ascii="Times New Roman" w:eastAsia="Times New Roman" w:hAnsi="Times New Roman" w:cs="Times New Roman"/>
          <w:i/>
          <w:iCs/>
          <w:color w:val="000000"/>
          <w:sz w:val="24"/>
          <w:szCs w:val="24"/>
          <w:lang w:eastAsia="en-GB"/>
        </w:rPr>
        <w:t>THRIVE 2030</w:t>
      </w:r>
      <w:r w:rsidR="00FF1598">
        <w:rPr>
          <w:rFonts w:ascii="Times New Roman" w:eastAsia="Times New Roman" w:hAnsi="Times New Roman" w:cs="Times New Roman"/>
          <w:color w:val="000000"/>
          <w:sz w:val="24"/>
          <w:szCs w:val="24"/>
          <w:lang w:eastAsia="en-GB"/>
        </w:rPr>
        <w:t xml:space="preserve"> strategy has a strong economic focus and </w:t>
      </w:r>
      <w:r w:rsidR="0046732D">
        <w:rPr>
          <w:rFonts w:ascii="Times New Roman" w:eastAsia="Times New Roman" w:hAnsi="Times New Roman" w:cs="Times New Roman"/>
          <w:color w:val="000000"/>
          <w:sz w:val="24"/>
          <w:szCs w:val="24"/>
          <w:lang w:eastAsia="en-GB"/>
        </w:rPr>
        <w:t xml:space="preserve">asked </w:t>
      </w:r>
      <w:r w:rsidR="00FF1598">
        <w:rPr>
          <w:rFonts w:ascii="Times New Roman" w:eastAsia="Times New Roman" w:hAnsi="Times New Roman" w:cs="Times New Roman"/>
          <w:color w:val="000000"/>
          <w:sz w:val="24"/>
          <w:szCs w:val="24"/>
          <w:lang w:eastAsia="en-GB"/>
        </w:rPr>
        <w:t xml:space="preserve">whether this will be broadened or could be broadened by the work of the working group. The Minister responded </w:t>
      </w:r>
      <w:r w:rsidR="00CF5B30">
        <w:rPr>
          <w:rFonts w:ascii="Times New Roman" w:eastAsia="Times New Roman" w:hAnsi="Times New Roman" w:cs="Times New Roman"/>
          <w:color w:val="000000"/>
          <w:sz w:val="24"/>
          <w:szCs w:val="24"/>
          <w:lang w:eastAsia="en-GB"/>
        </w:rPr>
        <w:t xml:space="preserve">noting that </w:t>
      </w:r>
      <w:r w:rsidR="00FF1598">
        <w:rPr>
          <w:rFonts w:ascii="Times New Roman" w:eastAsia="Times New Roman" w:hAnsi="Times New Roman" w:cs="Times New Roman"/>
          <w:color w:val="000000"/>
          <w:sz w:val="24"/>
          <w:szCs w:val="24"/>
          <w:lang w:eastAsia="en-GB"/>
        </w:rPr>
        <w:t>th</w:t>
      </w:r>
      <w:r w:rsidR="00F46A66">
        <w:rPr>
          <w:rFonts w:ascii="Times New Roman" w:eastAsia="Times New Roman" w:hAnsi="Times New Roman" w:cs="Times New Roman"/>
          <w:color w:val="000000"/>
          <w:sz w:val="24"/>
          <w:szCs w:val="24"/>
          <w:lang w:eastAsia="en-GB"/>
        </w:rPr>
        <w:t xml:space="preserve">e last few years have been </w:t>
      </w:r>
      <w:r w:rsidR="00CF5B30">
        <w:rPr>
          <w:rFonts w:ascii="Times New Roman" w:eastAsia="Times New Roman" w:hAnsi="Times New Roman" w:cs="Times New Roman"/>
          <w:color w:val="000000"/>
          <w:sz w:val="24"/>
          <w:szCs w:val="24"/>
          <w:lang w:eastAsia="en-GB"/>
        </w:rPr>
        <w:t>the most challenging times imaginable</w:t>
      </w:r>
      <w:r w:rsidR="00F46A66">
        <w:rPr>
          <w:rFonts w:ascii="Times New Roman" w:eastAsia="Times New Roman" w:hAnsi="Times New Roman" w:cs="Times New Roman"/>
          <w:color w:val="000000"/>
          <w:sz w:val="24"/>
          <w:szCs w:val="24"/>
          <w:lang w:eastAsia="en-GB"/>
        </w:rPr>
        <w:t xml:space="preserve"> for the tourism </w:t>
      </w:r>
      <w:r w:rsidR="00CF5B30">
        <w:rPr>
          <w:rFonts w:ascii="Times New Roman" w:eastAsia="Times New Roman" w:hAnsi="Times New Roman" w:cs="Times New Roman"/>
          <w:color w:val="000000"/>
          <w:sz w:val="24"/>
          <w:szCs w:val="24"/>
          <w:lang w:eastAsia="en-GB"/>
        </w:rPr>
        <w:t xml:space="preserve">sector </w:t>
      </w:r>
      <w:r w:rsidR="00F46A66">
        <w:rPr>
          <w:rFonts w:ascii="Times New Roman" w:eastAsia="Times New Roman" w:hAnsi="Times New Roman" w:cs="Times New Roman"/>
          <w:color w:val="000000"/>
          <w:sz w:val="24"/>
          <w:szCs w:val="24"/>
          <w:lang w:eastAsia="en-GB"/>
        </w:rPr>
        <w:t>and</w:t>
      </w:r>
      <w:r w:rsidR="00CF5B30">
        <w:rPr>
          <w:rFonts w:ascii="Times New Roman" w:eastAsia="Times New Roman" w:hAnsi="Times New Roman" w:cs="Times New Roman"/>
          <w:color w:val="000000"/>
          <w:sz w:val="24"/>
          <w:szCs w:val="24"/>
          <w:lang w:eastAsia="en-GB"/>
        </w:rPr>
        <w:t xml:space="preserve"> that</w:t>
      </w:r>
      <w:r w:rsidR="00F46A66">
        <w:rPr>
          <w:rFonts w:ascii="Times New Roman" w:eastAsia="Times New Roman" w:hAnsi="Times New Roman" w:cs="Times New Roman"/>
          <w:color w:val="000000"/>
          <w:sz w:val="24"/>
          <w:szCs w:val="24"/>
          <w:lang w:eastAsia="en-GB"/>
        </w:rPr>
        <w:t xml:space="preserve"> recovery </w:t>
      </w:r>
      <w:r w:rsidR="00CF5B30">
        <w:rPr>
          <w:rFonts w:ascii="Times New Roman" w:eastAsia="Times New Roman" w:hAnsi="Times New Roman" w:cs="Times New Roman"/>
          <w:color w:val="000000"/>
          <w:sz w:val="24"/>
          <w:szCs w:val="24"/>
          <w:lang w:eastAsia="en-GB"/>
        </w:rPr>
        <w:t>has been and remained</w:t>
      </w:r>
      <w:r w:rsidR="00F46A66">
        <w:rPr>
          <w:rFonts w:ascii="Times New Roman" w:eastAsia="Times New Roman" w:hAnsi="Times New Roman" w:cs="Times New Roman"/>
          <w:color w:val="000000"/>
          <w:sz w:val="24"/>
          <w:szCs w:val="24"/>
          <w:lang w:eastAsia="en-GB"/>
        </w:rPr>
        <w:t xml:space="preserve"> an important focus. </w:t>
      </w:r>
      <w:r w:rsidR="00CF5B30">
        <w:rPr>
          <w:rFonts w:ascii="Times New Roman" w:eastAsia="Times New Roman" w:hAnsi="Times New Roman" w:cs="Times New Roman"/>
          <w:color w:val="000000"/>
          <w:sz w:val="24"/>
          <w:szCs w:val="24"/>
          <w:lang w:eastAsia="en-GB"/>
        </w:rPr>
        <w:t xml:space="preserve">The Minister also observed that he would welcome recommendations and suggestions from the Working Group and that practical, achievable improvements would always be considered by the Government. </w:t>
      </w:r>
      <w:r w:rsidR="00AB5174">
        <w:rPr>
          <w:rFonts w:ascii="Times New Roman" w:eastAsia="Times New Roman" w:hAnsi="Times New Roman" w:cs="Times New Roman"/>
          <w:color w:val="000000"/>
          <w:sz w:val="24"/>
          <w:szCs w:val="24"/>
          <w:lang w:eastAsia="en-GB"/>
        </w:rPr>
        <w:t>The Chair thanked Minister Farrell for his</w:t>
      </w:r>
      <w:r w:rsidR="005070E5">
        <w:rPr>
          <w:rFonts w:ascii="Times New Roman" w:eastAsia="Times New Roman" w:hAnsi="Times New Roman" w:cs="Times New Roman"/>
          <w:color w:val="000000"/>
          <w:sz w:val="24"/>
          <w:szCs w:val="24"/>
          <w:lang w:eastAsia="en-GB"/>
        </w:rPr>
        <w:t xml:space="preserve"> </w:t>
      </w:r>
      <w:r w:rsidR="00CF5B30">
        <w:rPr>
          <w:rFonts w:ascii="Times New Roman" w:eastAsia="Times New Roman" w:hAnsi="Times New Roman" w:cs="Times New Roman"/>
          <w:color w:val="000000"/>
          <w:sz w:val="24"/>
          <w:szCs w:val="24"/>
          <w:lang w:eastAsia="en-GB"/>
        </w:rPr>
        <w:t>attendance</w:t>
      </w:r>
      <w:r w:rsidR="007E1407">
        <w:rPr>
          <w:rFonts w:ascii="Times New Roman" w:eastAsia="Times New Roman" w:hAnsi="Times New Roman" w:cs="Times New Roman"/>
          <w:color w:val="000000"/>
          <w:sz w:val="24"/>
          <w:szCs w:val="24"/>
          <w:lang w:eastAsia="en-GB"/>
        </w:rPr>
        <w:t>.</w:t>
      </w:r>
    </w:p>
    <w:p w14:paraId="0E0DA446" w14:textId="7EAD6079" w:rsidR="00993612" w:rsidRDefault="00F97F96"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Chair opened a discussion to summarise members views of the Minister’s comments. Members noted the need to be practical and achievable with any recommendations in the final report but also not to lose sight of the significant progressive step that an indicators framework would represent. Members discussed f</w:t>
      </w:r>
      <w:r w:rsidR="00993612">
        <w:rPr>
          <w:rFonts w:ascii="Times New Roman" w:eastAsia="Times New Roman" w:hAnsi="Times New Roman" w:cs="Times New Roman"/>
          <w:color w:val="000000"/>
          <w:sz w:val="24"/>
          <w:szCs w:val="24"/>
          <w:lang w:eastAsia="en-GB"/>
        </w:rPr>
        <w:t xml:space="preserve">urther global examples </w:t>
      </w:r>
      <w:r>
        <w:rPr>
          <w:rFonts w:ascii="Times New Roman" w:eastAsia="Times New Roman" w:hAnsi="Times New Roman" w:cs="Times New Roman"/>
          <w:color w:val="000000"/>
          <w:sz w:val="24"/>
          <w:szCs w:val="24"/>
          <w:lang w:eastAsia="en-GB"/>
        </w:rPr>
        <w:t xml:space="preserve">of expansion in tourism indicators, </w:t>
      </w:r>
      <w:r w:rsidR="00F23DD5">
        <w:rPr>
          <w:rFonts w:ascii="Times New Roman" w:eastAsia="Times New Roman" w:hAnsi="Times New Roman" w:cs="Times New Roman"/>
          <w:color w:val="000000"/>
          <w:sz w:val="24"/>
          <w:szCs w:val="24"/>
          <w:lang w:eastAsia="en-GB"/>
        </w:rPr>
        <w:t>such as the World Economic Forum</w:t>
      </w:r>
      <w:r>
        <w:rPr>
          <w:rFonts w:ascii="Times New Roman" w:eastAsia="Times New Roman" w:hAnsi="Times New Roman" w:cs="Times New Roman"/>
          <w:color w:val="000000"/>
          <w:sz w:val="24"/>
          <w:szCs w:val="24"/>
          <w:lang w:eastAsia="en-GB"/>
        </w:rPr>
        <w:t xml:space="preserve"> being</w:t>
      </w:r>
      <w:r w:rsidR="00F23DD5">
        <w:rPr>
          <w:rFonts w:ascii="Times New Roman" w:eastAsia="Times New Roman" w:hAnsi="Times New Roman" w:cs="Times New Roman"/>
          <w:color w:val="000000"/>
          <w:sz w:val="24"/>
          <w:szCs w:val="24"/>
          <w:lang w:eastAsia="en-GB"/>
        </w:rPr>
        <w:t xml:space="preserve"> revitalised to include a sustainability index.</w:t>
      </w:r>
      <w:r w:rsidR="00993612">
        <w:rPr>
          <w:rFonts w:ascii="Times New Roman" w:eastAsia="Times New Roman" w:hAnsi="Times New Roman" w:cs="Times New Roman"/>
          <w:color w:val="000000"/>
          <w:sz w:val="24"/>
          <w:szCs w:val="24"/>
          <w:lang w:eastAsia="en-GB"/>
        </w:rPr>
        <w:t xml:space="preserve"> The Chair </w:t>
      </w:r>
      <w:r>
        <w:rPr>
          <w:rFonts w:ascii="Times New Roman" w:eastAsia="Times New Roman" w:hAnsi="Times New Roman" w:cs="Times New Roman"/>
          <w:color w:val="000000"/>
          <w:sz w:val="24"/>
          <w:szCs w:val="24"/>
          <w:lang w:eastAsia="en-GB"/>
        </w:rPr>
        <w:t xml:space="preserve">explained that TRA’s intention was to </w:t>
      </w:r>
      <w:r w:rsidR="00F23DD5">
        <w:rPr>
          <w:rFonts w:ascii="Times New Roman" w:eastAsia="Times New Roman" w:hAnsi="Times New Roman" w:cs="Times New Roman"/>
          <w:color w:val="000000"/>
          <w:sz w:val="24"/>
          <w:szCs w:val="24"/>
          <w:lang w:eastAsia="en-GB"/>
        </w:rPr>
        <w:t>move ahead with the development of the indicators work</w:t>
      </w:r>
      <w:r w:rsidR="00F918FC">
        <w:rPr>
          <w:rFonts w:ascii="Times New Roman" w:eastAsia="Times New Roman" w:hAnsi="Times New Roman" w:cs="Times New Roman"/>
          <w:color w:val="000000"/>
          <w:sz w:val="24"/>
          <w:szCs w:val="24"/>
          <w:lang w:eastAsia="en-GB"/>
        </w:rPr>
        <w:t xml:space="preserve"> in the near term,</w:t>
      </w:r>
      <w:r>
        <w:rPr>
          <w:rFonts w:ascii="Times New Roman" w:eastAsia="Times New Roman" w:hAnsi="Times New Roman" w:cs="Times New Roman"/>
          <w:color w:val="000000"/>
          <w:sz w:val="24"/>
          <w:szCs w:val="24"/>
          <w:lang w:eastAsia="en-GB"/>
        </w:rPr>
        <w:t xml:space="preserve"> with a view that an initial indicators framework could be progressed to a point that it could be considered for </w:t>
      </w:r>
      <w:r w:rsidR="00F23DD5">
        <w:rPr>
          <w:rFonts w:ascii="Times New Roman" w:eastAsia="Times New Roman" w:hAnsi="Times New Roman" w:cs="Times New Roman"/>
          <w:color w:val="000000"/>
          <w:sz w:val="24"/>
          <w:szCs w:val="24"/>
          <w:lang w:eastAsia="en-GB"/>
        </w:rPr>
        <w:t>inclusion</w:t>
      </w:r>
      <w:r w:rsidR="00993612">
        <w:rPr>
          <w:rFonts w:ascii="Times New Roman" w:eastAsia="Times New Roman" w:hAnsi="Times New Roman" w:cs="Times New Roman"/>
          <w:color w:val="000000"/>
          <w:sz w:val="24"/>
          <w:szCs w:val="24"/>
          <w:lang w:eastAsia="en-GB"/>
        </w:rPr>
        <w:t xml:space="preserve"> </w:t>
      </w:r>
      <w:r w:rsidR="00F23DD5">
        <w:rPr>
          <w:rFonts w:ascii="Times New Roman" w:eastAsia="Times New Roman" w:hAnsi="Times New Roman" w:cs="Times New Roman"/>
          <w:color w:val="000000"/>
          <w:sz w:val="24"/>
          <w:szCs w:val="24"/>
          <w:lang w:eastAsia="en-GB"/>
        </w:rPr>
        <w:t xml:space="preserve">in the next phase of the </w:t>
      </w:r>
      <w:r w:rsidR="001B39AC" w:rsidRPr="001B39AC">
        <w:rPr>
          <w:rFonts w:ascii="Times New Roman" w:eastAsia="Times New Roman" w:hAnsi="Times New Roman" w:cs="Times New Roman"/>
          <w:i/>
          <w:iCs/>
          <w:color w:val="000000"/>
          <w:sz w:val="24"/>
          <w:szCs w:val="24"/>
          <w:lang w:eastAsia="en-GB"/>
        </w:rPr>
        <w:t>THRIVE 2030</w:t>
      </w:r>
      <w:r w:rsidR="00F23DD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strategy </w:t>
      </w:r>
      <w:r w:rsidR="00F23DD5">
        <w:rPr>
          <w:rFonts w:ascii="Times New Roman" w:eastAsia="Times New Roman" w:hAnsi="Times New Roman" w:cs="Times New Roman"/>
          <w:color w:val="000000"/>
          <w:sz w:val="24"/>
          <w:szCs w:val="24"/>
          <w:lang w:eastAsia="en-GB"/>
        </w:rPr>
        <w:t>(consolidation phase 2025-2027)</w:t>
      </w:r>
      <w:r>
        <w:rPr>
          <w:rFonts w:ascii="Times New Roman" w:eastAsia="Times New Roman" w:hAnsi="Times New Roman" w:cs="Times New Roman"/>
          <w:color w:val="000000"/>
          <w:sz w:val="24"/>
          <w:szCs w:val="24"/>
          <w:lang w:eastAsia="en-GB"/>
        </w:rPr>
        <w:t xml:space="preserve">. </w:t>
      </w:r>
    </w:p>
    <w:p w14:paraId="74317F91" w14:textId="1416174D" w:rsidR="00993612" w:rsidRDefault="001B39AC"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Members next reviewed </w:t>
      </w:r>
      <w:r w:rsidR="00B946CE">
        <w:rPr>
          <w:rFonts w:ascii="Times New Roman" w:eastAsia="Times New Roman" w:hAnsi="Times New Roman" w:cs="Times New Roman"/>
          <w:color w:val="000000"/>
          <w:sz w:val="24"/>
          <w:szCs w:val="24"/>
          <w:lang w:eastAsia="en-GB"/>
        </w:rPr>
        <w:t>the</w:t>
      </w:r>
      <w:r w:rsidR="00993612">
        <w:rPr>
          <w:rFonts w:ascii="Times New Roman" w:eastAsia="Times New Roman" w:hAnsi="Times New Roman" w:cs="Times New Roman"/>
          <w:color w:val="000000"/>
          <w:sz w:val="24"/>
          <w:szCs w:val="24"/>
          <w:lang w:eastAsia="en-GB"/>
        </w:rPr>
        <w:t xml:space="preserve"> latest conceptual framework (at Attachment A). </w:t>
      </w:r>
      <w:r w:rsidR="00E365A0">
        <w:rPr>
          <w:rFonts w:ascii="Times New Roman" w:eastAsia="Times New Roman" w:hAnsi="Times New Roman" w:cs="Times New Roman"/>
          <w:color w:val="000000"/>
          <w:sz w:val="24"/>
          <w:szCs w:val="24"/>
          <w:lang w:eastAsia="en-GB"/>
        </w:rPr>
        <w:t xml:space="preserve">Members </w:t>
      </w:r>
      <w:r>
        <w:rPr>
          <w:rFonts w:ascii="Times New Roman" w:eastAsia="Times New Roman" w:hAnsi="Times New Roman" w:cs="Times New Roman"/>
          <w:color w:val="000000"/>
          <w:sz w:val="24"/>
          <w:szCs w:val="24"/>
          <w:lang w:eastAsia="en-GB"/>
        </w:rPr>
        <w:t xml:space="preserve">were satisfied with </w:t>
      </w:r>
      <w:r w:rsidR="00E365A0">
        <w:rPr>
          <w:rFonts w:ascii="Times New Roman" w:eastAsia="Times New Roman" w:hAnsi="Times New Roman" w:cs="Times New Roman"/>
          <w:color w:val="000000"/>
          <w:sz w:val="24"/>
          <w:szCs w:val="24"/>
          <w:lang w:eastAsia="en-GB"/>
        </w:rPr>
        <w:t xml:space="preserve">the simplicity of the design. Members </w:t>
      </w:r>
      <w:r w:rsidR="00005C20">
        <w:rPr>
          <w:rFonts w:ascii="Times New Roman" w:eastAsia="Times New Roman" w:hAnsi="Times New Roman" w:cs="Times New Roman"/>
          <w:color w:val="000000"/>
          <w:sz w:val="24"/>
          <w:szCs w:val="24"/>
          <w:lang w:eastAsia="en-GB"/>
        </w:rPr>
        <w:t>questioned</w:t>
      </w:r>
      <w:r w:rsidR="00E365A0">
        <w:rPr>
          <w:rFonts w:ascii="Times New Roman" w:eastAsia="Times New Roman" w:hAnsi="Times New Roman" w:cs="Times New Roman"/>
          <w:color w:val="000000"/>
          <w:sz w:val="24"/>
          <w:szCs w:val="24"/>
          <w:lang w:eastAsia="en-GB"/>
        </w:rPr>
        <w:t xml:space="preserve"> whether</w:t>
      </w:r>
      <w:r w:rsidR="00005C20">
        <w:rPr>
          <w:rFonts w:ascii="Times New Roman" w:eastAsia="Times New Roman" w:hAnsi="Times New Roman" w:cs="Times New Roman"/>
          <w:color w:val="000000"/>
          <w:sz w:val="24"/>
          <w:szCs w:val="24"/>
          <w:lang w:eastAsia="en-GB"/>
        </w:rPr>
        <w:t xml:space="preserve"> the</w:t>
      </w:r>
      <w:r w:rsidR="00E365A0">
        <w:rPr>
          <w:rFonts w:ascii="Times New Roman" w:eastAsia="Times New Roman" w:hAnsi="Times New Roman" w:cs="Times New Roman"/>
          <w:color w:val="000000"/>
          <w:sz w:val="24"/>
          <w:szCs w:val="24"/>
          <w:lang w:eastAsia="en-GB"/>
        </w:rPr>
        <w:t xml:space="preserve"> 4 quadrants</w:t>
      </w:r>
      <w:r w:rsidR="00005C20">
        <w:rPr>
          <w:rFonts w:ascii="Times New Roman" w:eastAsia="Times New Roman" w:hAnsi="Times New Roman" w:cs="Times New Roman"/>
          <w:color w:val="000000"/>
          <w:sz w:val="24"/>
          <w:szCs w:val="24"/>
          <w:lang w:eastAsia="en-GB"/>
        </w:rPr>
        <w:t xml:space="preserve"> </w:t>
      </w:r>
      <w:r w:rsidR="000356CF">
        <w:rPr>
          <w:rFonts w:ascii="Times New Roman" w:eastAsia="Times New Roman" w:hAnsi="Times New Roman" w:cs="Times New Roman"/>
          <w:color w:val="000000"/>
          <w:sz w:val="24"/>
          <w:szCs w:val="24"/>
          <w:lang w:eastAsia="en-GB"/>
        </w:rPr>
        <w:t>were needed</w:t>
      </w:r>
      <w:r w:rsidR="00005C20">
        <w:rPr>
          <w:rFonts w:ascii="Times New Roman" w:eastAsia="Times New Roman" w:hAnsi="Times New Roman" w:cs="Times New Roman"/>
          <w:color w:val="000000"/>
          <w:sz w:val="24"/>
          <w:szCs w:val="24"/>
          <w:lang w:eastAsia="en-GB"/>
        </w:rPr>
        <w:t xml:space="preserve">. Members also developed an idea for a fourth </w:t>
      </w:r>
      <w:r w:rsidR="000356CF">
        <w:rPr>
          <w:rFonts w:ascii="Times New Roman" w:eastAsia="Times New Roman" w:hAnsi="Times New Roman" w:cs="Times New Roman"/>
          <w:color w:val="000000"/>
          <w:sz w:val="24"/>
          <w:szCs w:val="24"/>
          <w:lang w:eastAsia="en-GB"/>
        </w:rPr>
        <w:t>dimension to reflect a foundational underpinning like the institutional and broader economic and policy environment. In a graphical form, this could take the shape of a post or pole</w:t>
      </w:r>
      <w:r w:rsidR="00005C20">
        <w:rPr>
          <w:rFonts w:ascii="Times New Roman" w:eastAsia="Times New Roman" w:hAnsi="Times New Roman" w:cs="Times New Roman"/>
          <w:color w:val="000000"/>
          <w:sz w:val="24"/>
          <w:szCs w:val="24"/>
          <w:lang w:eastAsia="en-GB"/>
        </w:rPr>
        <w:t xml:space="preserve"> positioned through the middle of the diagram</w:t>
      </w:r>
      <w:r w:rsidR="000356CF">
        <w:rPr>
          <w:rFonts w:ascii="Times New Roman" w:eastAsia="Times New Roman" w:hAnsi="Times New Roman" w:cs="Times New Roman"/>
          <w:color w:val="000000"/>
          <w:sz w:val="24"/>
          <w:szCs w:val="24"/>
          <w:lang w:eastAsia="en-GB"/>
        </w:rPr>
        <w:t xml:space="preserve"> that connected the economic, social and environmental dimensions to the foundation. </w:t>
      </w:r>
    </w:p>
    <w:p w14:paraId="0C7470C0" w14:textId="6FC26751" w:rsidR="00DB4EF5" w:rsidRDefault="000356CF"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Next, t</w:t>
      </w:r>
      <w:r w:rsidR="00A5136A">
        <w:rPr>
          <w:rFonts w:ascii="Times New Roman" w:eastAsia="Times New Roman" w:hAnsi="Times New Roman" w:cs="Times New Roman"/>
          <w:color w:val="000000"/>
          <w:sz w:val="24"/>
          <w:szCs w:val="24"/>
          <w:lang w:eastAsia="en-GB"/>
        </w:rPr>
        <w:t xml:space="preserve">he Chair </w:t>
      </w:r>
      <w:r>
        <w:rPr>
          <w:rFonts w:ascii="Times New Roman" w:eastAsia="Times New Roman" w:hAnsi="Times New Roman" w:cs="Times New Roman"/>
          <w:color w:val="000000"/>
          <w:sz w:val="24"/>
          <w:szCs w:val="24"/>
          <w:lang w:eastAsia="en-GB"/>
        </w:rPr>
        <w:t xml:space="preserve">opened discussion on the </w:t>
      </w:r>
      <w:r w:rsidR="00A5136A">
        <w:rPr>
          <w:rFonts w:ascii="Times New Roman" w:eastAsia="Times New Roman" w:hAnsi="Times New Roman" w:cs="Times New Roman"/>
          <w:color w:val="000000"/>
          <w:sz w:val="24"/>
          <w:szCs w:val="24"/>
          <w:lang w:eastAsia="en-GB"/>
        </w:rPr>
        <w:t>prioritised indicators</w:t>
      </w:r>
      <w:r>
        <w:rPr>
          <w:rFonts w:ascii="Times New Roman" w:eastAsia="Times New Roman" w:hAnsi="Times New Roman" w:cs="Times New Roman"/>
          <w:color w:val="000000"/>
          <w:sz w:val="24"/>
          <w:szCs w:val="24"/>
          <w:lang w:eastAsia="en-GB"/>
        </w:rPr>
        <w:t>, starting by presenting on the screen the updates made between meetings by members</w:t>
      </w:r>
      <w:r w:rsidR="00A5136A">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The</w:t>
      </w:r>
      <w:r w:rsidR="00B946CE">
        <w:rPr>
          <w:rFonts w:ascii="Times New Roman" w:eastAsia="Times New Roman" w:hAnsi="Times New Roman" w:cs="Times New Roman"/>
          <w:color w:val="000000"/>
          <w:sz w:val="24"/>
          <w:szCs w:val="24"/>
          <w:lang w:eastAsia="en-GB"/>
        </w:rPr>
        <w:t xml:space="preserve"> suggested</w:t>
      </w:r>
      <w:r w:rsidR="005070E5">
        <w:rPr>
          <w:rFonts w:ascii="Times New Roman" w:eastAsia="Times New Roman" w:hAnsi="Times New Roman" w:cs="Times New Roman"/>
          <w:color w:val="000000"/>
          <w:sz w:val="24"/>
          <w:szCs w:val="24"/>
          <w:lang w:eastAsia="en-GB"/>
        </w:rPr>
        <w:t xml:space="preserve"> c</w:t>
      </w:r>
      <w:r w:rsidR="00A5136A">
        <w:rPr>
          <w:rFonts w:ascii="Times New Roman" w:eastAsia="Times New Roman" w:hAnsi="Times New Roman" w:cs="Times New Roman"/>
          <w:color w:val="000000"/>
          <w:sz w:val="24"/>
          <w:szCs w:val="24"/>
          <w:lang w:eastAsia="en-GB"/>
        </w:rPr>
        <w:t>hanges</w:t>
      </w:r>
      <w:r w:rsidR="00EA681A">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had been shared with members </w:t>
      </w:r>
      <w:r w:rsidR="00EA681A">
        <w:rPr>
          <w:rFonts w:ascii="Times New Roman" w:eastAsia="Times New Roman" w:hAnsi="Times New Roman" w:cs="Times New Roman"/>
          <w:color w:val="000000"/>
          <w:sz w:val="24"/>
          <w:szCs w:val="24"/>
          <w:lang w:eastAsia="en-GB"/>
        </w:rPr>
        <w:t>prior to the meetin</w:t>
      </w:r>
      <w:r>
        <w:rPr>
          <w:rFonts w:ascii="Times New Roman" w:eastAsia="Times New Roman" w:hAnsi="Times New Roman" w:cs="Times New Roman"/>
          <w:color w:val="000000"/>
          <w:sz w:val="24"/>
          <w:szCs w:val="24"/>
          <w:lang w:eastAsia="en-GB"/>
        </w:rPr>
        <w:t xml:space="preserve">g with the meeting preparation notes. </w:t>
      </w:r>
      <w:r w:rsidR="00B946CE">
        <w:rPr>
          <w:rFonts w:ascii="Times New Roman" w:eastAsia="Times New Roman" w:hAnsi="Times New Roman" w:cs="Times New Roman"/>
          <w:color w:val="000000"/>
          <w:sz w:val="24"/>
          <w:szCs w:val="24"/>
          <w:lang w:eastAsia="en-GB"/>
        </w:rPr>
        <w:t>S</w:t>
      </w:r>
      <w:r w:rsidR="005070E5">
        <w:rPr>
          <w:rFonts w:ascii="Times New Roman" w:eastAsia="Times New Roman" w:hAnsi="Times New Roman" w:cs="Times New Roman"/>
          <w:color w:val="000000"/>
          <w:sz w:val="24"/>
          <w:szCs w:val="24"/>
          <w:lang w:eastAsia="en-GB"/>
        </w:rPr>
        <w:t xml:space="preserve">everal changes were agreed by the group, </w:t>
      </w:r>
      <w:r w:rsidR="00EA681A">
        <w:rPr>
          <w:rFonts w:ascii="Times New Roman" w:eastAsia="Times New Roman" w:hAnsi="Times New Roman" w:cs="Times New Roman"/>
          <w:color w:val="000000"/>
          <w:sz w:val="24"/>
          <w:szCs w:val="24"/>
          <w:lang w:eastAsia="en-GB"/>
        </w:rPr>
        <w:t>including</w:t>
      </w:r>
      <w:r w:rsidR="00DB4EF5">
        <w:rPr>
          <w:rFonts w:ascii="Times New Roman" w:eastAsia="Times New Roman" w:hAnsi="Times New Roman" w:cs="Times New Roman"/>
          <w:color w:val="000000"/>
          <w:sz w:val="24"/>
          <w:szCs w:val="24"/>
          <w:lang w:eastAsia="en-GB"/>
        </w:rPr>
        <w:t>:</w:t>
      </w:r>
      <w:r w:rsidR="00EA681A">
        <w:rPr>
          <w:rFonts w:ascii="Times New Roman" w:eastAsia="Times New Roman" w:hAnsi="Times New Roman" w:cs="Times New Roman"/>
          <w:color w:val="000000"/>
          <w:sz w:val="24"/>
          <w:szCs w:val="24"/>
          <w:lang w:eastAsia="en-GB"/>
        </w:rPr>
        <w:t xml:space="preserve"> </w:t>
      </w:r>
    </w:p>
    <w:p w14:paraId="637E21FA" w14:textId="10027EE5" w:rsidR="00DB4EF5" w:rsidRDefault="00EA681A" w:rsidP="00DB4EF5">
      <w:pPr>
        <w:pStyle w:val="ListParagraph"/>
        <w:numPr>
          <w:ilvl w:val="0"/>
          <w:numId w:val="27"/>
        </w:numPr>
        <w:tabs>
          <w:tab w:val="left" w:pos="1876"/>
        </w:tabs>
        <w:spacing w:before="120" w:after="120"/>
        <w:divId w:val="591620094"/>
        <w:rPr>
          <w:rFonts w:ascii="Times New Roman" w:eastAsia="Times New Roman" w:hAnsi="Times New Roman" w:cs="Times New Roman"/>
          <w:color w:val="000000"/>
          <w:sz w:val="24"/>
          <w:szCs w:val="24"/>
          <w:lang w:eastAsia="en-GB"/>
        </w:rPr>
      </w:pPr>
      <w:r w:rsidRPr="00DB4EF5">
        <w:rPr>
          <w:rFonts w:ascii="Times New Roman" w:eastAsia="Times New Roman" w:hAnsi="Times New Roman" w:cs="Times New Roman"/>
          <w:color w:val="000000"/>
          <w:sz w:val="24"/>
          <w:szCs w:val="24"/>
          <w:lang w:eastAsia="en-GB"/>
        </w:rPr>
        <w:t xml:space="preserve">share of voice </w:t>
      </w:r>
      <w:r w:rsidR="00704A87" w:rsidRPr="00DB4EF5">
        <w:rPr>
          <w:rFonts w:ascii="Times New Roman" w:eastAsia="Times New Roman" w:hAnsi="Times New Roman" w:cs="Times New Roman"/>
          <w:color w:val="000000"/>
          <w:sz w:val="24"/>
          <w:szCs w:val="24"/>
          <w:lang w:eastAsia="en-GB"/>
        </w:rPr>
        <w:t>(</w:t>
      </w:r>
      <w:r w:rsidRPr="00DB4EF5">
        <w:rPr>
          <w:rFonts w:ascii="Times New Roman" w:eastAsia="Times New Roman" w:hAnsi="Times New Roman" w:cs="Times New Roman"/>
          <w:color w:val="000000"/>
          <w:sz w:val="24"/>
          <w:szCs w:val="24"/>
          <w:lang w:eastAsia="en-GB"/>
        </w:rPr>
        <w:t>advertising spend</w:t>
      </w:r>
      <w:r w:rsidR="00704A87" w:rsidRPr="00DB4EF5">
        <w:rPr>
          <w:rFonts w:ascii="Times New Roman" w:eastAsia="Times New Roman" w:hAnsi="Times New Roman" w:cs="Times New Roman"/>
          <w:color w:val="000000"/>
          <w:sz w:val="24"/>
          <w:szCs w:val="24"/>
          <w:lang w:eastAsia="en-GB"/>
        </w:rPr>
        <w:t>)</w:t>
      </w:r>
      <w:r w:rsidRPr="00DB4EF5">
        <w:rPr>
          <w:rFonts w:ascii="Times New Roman" w:eastAsia="Times New Roman" w:hAnsi="Times New Roman" w:cs="Times New Roman"/>
          <w:color w:val="000000"/>
          <w:sz w:val="24"/>
          <w:szCs w:val="24"/>
          <w:lang w:eastAsia="en-GB"/>
        </w:rPr>
        <w:t xml:space="preserve"> </w:t>
      </w:r>
      <w:r w:rsidR="000356CF">
        <w:rPr>
          <w:rFonts w:ascii="Times New Roman" w:eastAsia="Times New Roman" w:hAnsi="Times New Roman" w:cs="Times New Roman"/>
          <w:color w:val="000000"/>
          <w:sz w:val="24"/>
          <w:szCs w:val="24"/>
          <w:lang w:eastAsia="en-GB"/>
        </w:rPr>
        <w:t xml:space="preserve">should </w:t>
      </w:r>
      <w:r w:rsidRPr="00DB4EF5">
        <w:rPr>
          <w:rFonts w:ascii="Times New Roman" w:eastAsia="Times New Roman" w:hAnsi="Times New Roman" w:cs="Times New Roman"/>
          <w:color w:val="000000"/>
          <w:sz w:val="24"/>
          <w:szCs w:val="24"/>
          <w:lang w:eastAsia="en-GB"/>
        </w:rPr>
        <w:t>be modified</w:t>
      </w:r>
      <w:r w:rsidR="00704A87" w:rsidRPr="00DB4EF5">
        <w:rPr>
          <w:rFonts w:ascii="Times New Roman" w:eastAsia="Times New Roman" w:hAnsi="Times New Roman" w:cs="Times New Roman"/>
          <w:color w:val="000000"/>
          <w:sz w:val="24"/>
          <w:szCs w:val="24"/>
          <w:lang w:eastAsia="en-GB"/>
        </w:rPr>
        <w:t xml:space="preserve"> due to measurement challenges,</w:t>
      </w:r>
      <w:r w:rsidRPr="00DB4EF5">
        <w:rPr>
          <w:rFonts w:ascii="Times New Roman" w:eastAsia="Times New Roman" w:hAnsi="Times New Roman" w:cs="Times New Roman"/>
          <w:color w:val="000000"/>
          <w:sz w:val="24"/>
          <w:szCs w:val="24"/>
          <w:lang w:eastAsia="en-GB"/>
        </w:rPr>
        <w:t xml:space="preserve"> </w:t>
      </w:r>
      <w:r w:rsidR="000356CF">
        <w:rPr>
          <w:rFonts w:ascii="Times New Roman" w:eastAsia="Times New Roman" w:hAnsi="Times New Roman" w:cs="Times New Roman"/>
          <w:color w:val="000000"/>
          <w:sz w:val="24"/>
          <w:szCs w:val="24"/>
          <w:lang w:eastAsia="en-GB"/>
        </w:rPr>
        <w:t>and focus more on global competitiveness</w:t>
      </w:r>
    </w:p>
    <w:p w14:paraId="6656EA95" w14:textId="6C632AD1" w:rsidR="00DB4EF5" w:rsidRDefault="00EA681A" w:rsidP="00DB4EF5">
      <w:pPr>
        <w:pStyle w:val="ListParagraph"/>
        <w:numPr>
          <w:ilvl w:val="0"/>
          <w:numId w:val="27"/>
        </w:numPr>
        <w:tabs>
          <w:tab w:val="left" w:pos="1876"/>
        </w:tabs>
        <w:spacing w:before="120" w:after="120"/>
        <w:divId w:val="591620094"/>
        <w:rPr>
          <w:rFonts w:ascii="Times New Roman" w:eastAsia="Times New Roman" w:hAnsi="Times New Roman" w:cs="Times New Roman"/>
          <w:color w:val="000000"/>
          <w:sz w:val="24"/>
          <w:szCs w:val="24"/>
          <w:lang w:eastAsia="en-GB"/>
        </w:rPr>
      </w:pPr>
      <w:r w:rsidRPr="00DB4EF5">
        <w:rPr>
          <w:rFonts w:ascii="Times New Roman" w:eastAsia="Times New Roman" w:hAnsi="Times New Roman" w:cs="Times New Roman"/>
          <w:color w:val="000000"/>
          <w:sz w:val="24"/>
          <w:szCs w:val="24"/>
          <w:lang w:eastAsia="en-GB"/>
        </w:rPr>
        <w:t xml:space="preserve">digital capability be included in the framework under the </w:t>
      </w:r>
      <w:r w:rsidR="0046732D">
        <w:rPr>
          <w:rFonts w:ascii="Times New Roman" w:eastAsia="Times New Roman" w:hAnsi="Times New Roman" w:cs="Times New Roman"/>
          <w:color w:val="000000"/>
          <w:sz w:val="24"/>
          <w:szCs w:val="24"/>
          <w:lang w:eastAsia="en-GB"/>
        </w:rPr>
        <w:t>fourth</w:t>
      </w:r>
      <w:r w:rsidR="0046732D" w:rsidRPr="00DB4EF5">
        <w:rPr>
          <w:rFonts w:ascii="Times New Roman" w:eastAsia="Times New Roman" w:hAnsi="Times New Roman" w:cs="Times New Roman"/>
          <w:color w:val="000000"/>
          <w:sz w:val="24"/>
          <w:szCs w:val="24"/>
          <w:lang w:eastAsia="en-GB"/>
        </w:rPr>
        <w:t xml:space="preserve"> </w:t>
      </w:r>
      <w:proofErr w:type="gramStart"/>
      <w:r w:rsidRPr="00DB4EF5">
        <w:rPr>
          <w:rFonts w:ascii="Times New Roman" w:eastAsia="Times New Roman" w:hAnsi="Times New Roman" w:cs="Times New Roman"/>
          <w:color w:val="000000"/>
          <w:sz w:val="24"/>
          <w:szCs w:val="24"/>
          <w:lang w:eastAsia="en-GB"/>
        </w:rPr>
        <w:t>pillar</w:t>
      </w:r>
      <w:proofErr w:type="gramEnd"/>
    </w:p>
    <w:p w14:paraId="3C85808F" w14:textId="40240E53" w:rsidR="00DB4EF5" w:rsidRDefault="0076280A" w:rsidP="00DB4EF5">
      <w:pPr>
        <w:pStyle w:val="ListParagraph"/>
        <w:numPr>
          <w:ilvl w:val="0"/>
          <w:numId w:val="27"/>
        </w:numPr>
        <w:tabs>
          <w:tab w:val="left" w:pos="1876"/>
        </w:tabs>
        <w:spacing w:before="120" w:after="120"/>
        <w:divId w:val="591620094"/>
        <w:rPr>
          <w:rFonts w:ascii="Times New Roman" w:eastAsia="Times New Roman" w:hAnsi="Times New Roman" w:cs="Times New Roman"/>
          <w:color w:val="000000"/>
          <w:sz w:val="24"/>
          <w:szCs w:val="24"/>
          <w:lang w:eastAsia="en-GB"/>
        </w:rPr>
      </w:pPr>
      <w:r w:rsidRPr="00DB4EF5">
        <w:rPr>
          <w:rFonts w:ascii="Times New Roman" w:eastAsia="Times New Roman" w:hAnsi="Times New Roman" w:cs="Times New Roman"/>
          <w:color w:val="000000"/>
          <w:sz w:val="24"/>
          <w:szCs w:val="24"/>
          <w:lang w:eastAsia="en-GB"/>
        </w:rPr>
        <w:t>elevation of the indicator relating to accessibility</w:t>
      </w:r>
      <w:r w:rsidR="00EA681A" w:rsidRPr="00DB4EF5">
        <w:rPr>
          <w:rFonts w:ascii="Times New Roman" w:eastAsia="Times New Roman" w:hAnsi="Times New Roman" w:cs="Times New Roman"/>
          <w:color w:val="000000"/>
          <w:sz w:val="24"/>
          <w:szCs w:val="24"/>
          <w:lang w:eastAsia="en-GB"/>
        </w:rPr>
        <w:t>.</w:t>
      </w:r>
      <w:r w:rsidR="005070E5" w:rsidRPr="00DB4EF5">
        <w:rPr>
          <w:rFonts w:ascii="Times New Roman" w:eastAsia="Times New Roman" w:hAnsi="Times New Roman" w:cs="Times New Roman"/>
          <w:color w:val="000000"/>
          <w:sz w:val="24"/>
          <w:szCs w:val="24"/>
          <w:lang w:eastAsia="en-GB"/>
        </w:rPr>
        <w:t xml:space="preserve"> </w:t>
      </w:r>
    </w:p>
    <w:p w14:paraId="2F8BECCB" w14:textId="05A4313A" w:rsidR="00AB5174" w:rsidRPr="00DB4EF5" w:rsidRDefault="00DB4EF5" w:rsidP="00DB4EF5">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It was also noted that the inclusion of indicators relating to resilience, sustainability, </w:t>
      </w:r>
      <w:r w:rsidR="00D16DDF">
        <w:rPr>
          <w:rFonts w:ascii="Times New Roman" w:eastAsia="Times New Roman" w:hAnsi="Times New Roman" w:cs="Times New Roman"/>
          <w:color w:val="000000"/>
          <w:sz w:val="24"/>
          <w:szCs w:val="24"/>
          <w:lang w:eastAsia="en-GB"/>
        </w:rPr>
        <w:t>innovation,</w:t>
      </w:r>
      <w:r>
        <w:rPr>
          <w:rFonts w:ascii="Times New Roman" w:eastAsia="Times New Roman" w:hAnsi="Times New Roman" w:cs="Times New Roman"/>
          <w:color w:val="000000"/>
          <w:sz w:val="24"/>
          <w:szCs w:val="24"/>
          <w:lang w:eastAsia="en-GB"/>
        </w:rPr>
        <w:t xml:space="preserve"> and competitiveness </w:t>
      </w:r>
      <w:r w:rsidR="00D16DDF">
        <w:rPr>
          <w:rFonts w:ascii="Times New Roman" w:eastAsia="Times New Roman" w:hAnsi="Times New Roman" w:cs="Times New Roman"/>
          <w:color w:val="000000"/>
          <w:sz w:val="24"/>
          <w:szCs w:val="24"/>
          <w:lang w:eastAsia="en-GB"/>
        </w:rPr>
        <w:t xml:space="preserve">of the visitor economy </w:t>
      </w:r>
      <w:r>
        <w:rPr>
          <w:rFonts w:ascii="Times New Roman" w:eastAsia="Times New Roman" w:hAnsi="Times New Roman" w:cs="Times New Roman"/>
          <w:color w:val="000000"/>
          <w:sz w:val="24"/>
          <w:szCs w:val="24"/>
          <w:lang w:eastAsia="en-GB"/>
        </w:rPr>
        <w:t xml:space="preserve">would support the </w:t>
      </w:r>
      <w:r w:rsidR="001B39AC" w:rsidRPr="001B39AC">
        <w:rPr>
          <w:rFonts w:ascii="Times New Roman" w:eastAsia="Times New Roman" w:hAnsi="Times New Roman" w:cs="Times New Roman"/>
          <w:i/>
          <w:iCs/>
          <w:color w:val="000000"/>
          <w:sz w:val="24"/>
          <w:szCs w:val="24"/>
          <w:lang w:eastAsia="en-GB"/>
        </w:rPr>
        <w:t>THRIVE 2030</w:t>
      </w:r>
      <w:r>
        <w:rPr>
          <w:rFonts w:ascii="Times New Roman" w:eastAsia="Times New Roman" w:hAnsi="Times New Roman" w:cs="Times New Roman"/>
          <w:color w:val="000000"/>
          <w:sz w:val="24"/>
          <w:szCs w:val="24"/>
          <w:lang w:eastAsia="en-GB"/>
        </w:rPr>
        <w:t xml:space="preserve"> strategy</w:t>
      </w:r>
      <w:r w:rsidR="00D16DDF">
        <w:rPr>
          <w:rFonts w:ascii="Times New Roman" w:eastAsia="Times New Roman" w:hAnsi="Times New Roman" w:cs="Times New Roman"/>
          <w:color w:val="000000"/>
          <w:sz w:val="24"/>
          <w:szCs w:val="24"/>
          <w:lang w:eastAsia="en-GB"/>
        </w:rPr>
        <w:t xml:space="preserve"> priorities</w:t>
      </w:r>
      <w:r>
        <w:rPr>
          <w:rFonts w:ascii="Times New Roman" w:eastAsia="Times New Roman" w:hAnsi="Times New Roman" w:cs="Times New Roman"/>
          <w:color w:val="000000"/>
          <w:sz w:val="24"/>
          <w:szCs w:val="24"/>
          <w:lang w:eastAsia="en-GB"/>
        </w:rPr>
        <w:t xml:space="preserve">. </w:t>
      </w:r>
      <w:r w:rsidR="005070E5" w:rsidRPr="00DB4EF5">
        <w:rPr>
          <w:rFonts w:ascii="Times New Roman" w:eastAsia="Times New Roman" w:hAnsi="Times New Roman" w:cs="Times New Roman"/>
          <w:color w:val="000000"/>
          <w:sz w:val="24"/>
          <w:szCs w:val="24"/>
          <w:lang w:eastAsia="en-GB"/>
        </w:rPr>
        <w:t>The final prioritised indicator list</w:t>
      </w:r>
      <w:r w:rsidR="00704A87" w:rsidRPr="00DB4EF5">
        <w:rPr>
          <w:rFonts w:ascii="Times New Roman" w:eastAsia="Times New Roman" w:hAnsi="Times New Roman" w:cs="Times New Roman"/>
          <w:color w:val="000000"/>
          <w:sz w:val="24"/>
          <w:szCs w:val="24"/>
          <w:lang w:eastAsia="en-GB"/>
        </w:rPr>
        <w:t xml:space="preserve"> </w:t>
      </w:r>
      <w:r w:rsidR="000356CF">
        <w:rPr>
          <w:rFonts w:ascii="Times New Roman" w:eastAsia="Times New Roman" w:hAnsi="Times New Roman" w:cs="Times New Roman"/>
          <w:color w:val="000000"/>
          <w:sz w:val="24"/>
          <w:szCs w:val="24"/>
          <w:lang w:eastAsia="en-GB"/>
        </w:rPr>
        <w:t>with</w:t>
      </w:r>
      <w:r w:rsidR="000356CF" w:rsidRPr="00DB4EF5">
        <w:rPr>
          <w:rFonts w:ascii="Times New Roman" w:eastAsia="Times New Roman" w:hAnsi="Times New Roman" w:cs="Times New Roman"/>
          <w:color w:val="000000"/>
          <w:sz w:val="24"/>
          <w:szCs w:val="24"/>
          <w:lang w:eastAsia="en-GB"/>
        </w:rPr>
        <w:t xml:space="preserve"> </w:t>
      </w:r>
      <w:r w:rsidR="00704A87" w:rsidRPr="00DB4EF5">
        <w:rPr>
          <w:rFonts w:ascii="Times New Roman" w:eastAsia="Times New Roman" w:hAnsi="Times New Roman" w:cs="Times New Roman"/>
          <w:color w:val="000000"/>
          <w:sz w:val="24"/>
          <w:szCs w:val="24"/>
          <w:lang w:eastAsia="en-GB"/>
        </w:rPr>
        <w:t>changes</w:t>
      </w:r>
      <w:r w:rsidR="005070E5" w:rsidRPr="00DB4EF5">
        <w:rPr>
          <w:rFonts w:ascii="Times New Roman" w:eastAsia="Times New Roman" w:hAnsi="Times New Roman" w:cs="Times New Roman"/>
          <w:color w:val="000000"/>
          <w:sz w:val="24"/>
          <w:szCs w:val="24"/>
          <w:lang w:eastAsia="en-GB"/>
        </w:rPr>
        <w:t xml:space="preserve"> is at Attachment </w:t>
      </w:r>
      <w:r w:rsidR="00704A87" w:rsidRPr="00DB4EF5">
        <w:rPr>
          <w:rFonts w:ascii="Times New Roman" w:eastAsia="Times New Roman" w:hAnsi="Times New Roman" w:cs="Times New Roman"/>
          <w:color w:val="000000"/>
          <w:sz w:val="24"/>
          <w:szCs w:val="24"/>
          <w:lang w:eastAsia="en-GB"/>
        </w:rPr>
        <w:t>B</w:t>
      </w:r>
      <w:r w:rsidR="005070E5" w:rsidRPr="00DB4EF5">
        <w:rPr>
          <w:rFonts w:ascii="Times New Roman" w:eastAsia="Times New Roman" w:hAnsi="Times New Roman" w:cs="Times New Roman"/>
          <w:color w:val="000000"/>
          <w:sz w:val="24"/>
          <w:szCs w:val="24"/>
          <w:lang w:eastAsia="en-GB"/>
        </w:rPr>
        <w:t>.</w:t>
      </w:r>
    </w:p>
    <w:p w14:paraId="140658BE" w14:textId="2FC7840E" w:rsidR="00FF3B2D" w:rsidRDefault="000356CF"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Next in the agenda, t</w:t>
      </w:r>
      <w:r w:rsidR="00B162B3">
        <w:rPr>
          <w:rFonts w:ascii="Times New Roman" w:eastAsia="Times New Roman" w:hAnsi="Times New Roman" w:cs="Times New Roman"/>
          <w:color w:val="000000"/>
          <w:sz w:val="24"/>
          <w:szCs w:val="24"/>
          <w:lang w:eastAsia="en-GB"/>
        </w:rPr>
        <w:t>he Chair introduced</w:t>
      </w:r>
      <w:r>
        <w:rPr>
          <w:rFonts w:ascii="Times New Roman" w:eastAsia="Times New Roman" w:hAnsi="Times New Roman" w:cs="Times New Roman"/>
          <w:color w:val="000000"/>
          <w:sz w:val="24"/>
          <w:szCs w:val="24"/>
          <w:lang w:eastAsia="en-GB"/>
        </w:rPr>
        <w:t xml:space="preserve"> NEM</w:t>
      </w:r>
      <w:r w:rsidR="000D7E91">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w:t>
      </w:r>
      <w:r w:rsidR="000D7E91">
        <w:rPr>
          <w:rFonts w:ascii="Times New Roman" w:eastAsia="Times New Roman" w:hAnsi="Times New Roman" w:cs="Times New Roman"/>
          <w:color w:val="000000"/>
          <w:sz w:val="24"/>
          <w:szCs w:val="24"/>
          <w:lang w:eastAsia="en-GB"/>
        </w:rPr>
        <w:t>artners</w:t>
      </w:r>
      <w:r w:rsidR="00B162B3">
        <w:rPr>
          <w:rFonts w:ascii="Times New Roman" w:eastAsia="Times New Roman" w:hAnsi="Times New Roman" w:cs="Times New Roman"/>
          <w:color w:val="000000"/>
          <w:sz w:val="24"/>
          <w:szCs w:val="24"/>
          <w:lang w:eastAsia="en-GB"/>
        </w:rPr>
        <w:t xml:space="preserve"> Mark Dalton and Mark Griffiths </w:t>
      </w:r>
      <w:r>
        <w:rPr>
          <w:rFonts w:ascii="Times New Roman" w:eastAsia="Times New Roman" w:hAnsi="Times New Roman" w:cs="Times New Roman"/>
          <w:color w:val="000000"/>
          <w:sz w:val="24"/>
          <w:szCs w:val="24"/>
          <w:lang w:eastAsia="en-GB"/>
        </w:rPr>
        <w:t xml:space="preserve">to explain the </w:t>
      </w:r>
      <w:hyperlink r:id="rId16" w:history="1">
        <w:proofErr w:type="spellStart"/>
        <w:r w:rsidR="00B162B3" w:rsidRPr="00732820">
          <w:rPr>
            <w:rStyle w:val="Hyperlink"/>
            <w:rFonts w:ascii="Times New Roman" w:eastAsia="Times New Roman" w:hAnsi="Times New Roman" w:cs="Times New Roman"/>
            <w:sz w:val="24"/>
            <w:szCs w:val="24"/>
            <w:lang w:eastAsia="en-GB"/>
          </w:rPr>
          <w:t>VisScope</w:t>
        </w:r>
        <w:proofErr w:type="spellEnd"/>
      </w:hyperlink>
      <w:r>
        <w:rPr>
          <w:rFonts w:ascii="Times New Roman" w:eastAsia="Times New Roman" w:hAnsi="Times New Roman" w:cs="Times New Roman"/>
          <w:color w:val="000000"/>
          <w:sz w:val="24"/>
          <w:szCs w:val="24"/>
          <w:lang w:eastAsia="en-GB"/>
        </w:rPr>
        <w:t xml:space="preserve"> tool and product range.</w:t>
      </w:r>
      <w:r w:rsidR="000D7E91">
        <w:rPr>
          <w:rFonts w:ascii="Times New Roman" w:eastAsia="Times New Roman" w:hAnsi="Times New Roman" w:cs="Times New Roman"/>
          <w:color w:val="000000"/>
          <w:sz w:val="24"/>
          <w:szCs w:val="24"/>
          <w:lang w:eastAsia="en-GB"/>
        </w:rPr>
        <w:t xml:space="preserve"> </w:t>
      </w:r>
      <w:proofErr w:type="spellStart"/>
      <w:r w:rsidR="000D7E91">
        <w:rPr>
          <w:rFonts w:ascii="Times New Roman" w:eastAsia="Times New Roman" w:hAnsi="Times New Roman" w:cs="Times New Roman"/>
          <w:color w:val="000000"/>
          <w:sz w:val="24"/>
          <w:szCs w:val="24"/>
          <w:lang w:eastAsia="en-GB"/>
        </w:rPr>
        <w:t>VisScope</w:t>
      </w:r>
      <w:proofErr w:type="spellEnd"/>
      <w:r w:rsidR="000D7E91">
        <w:rPr>
          <w:rFonts w:ascii="Times New Roman" w:eastAsia="Times New Roman" w:hAnsi="Times New Roman" w:cs="Times New Roman"/>
          <w:color w:val="000000"/>
          <w:sz w:val="24"/>
          <w:szCs w:val="24"/>
          <w:lang w:eastAsia="en-GB"/>
        </w:rPr>
        <w:t xml:space="preserve"> </w:t>
      </w:r>
      <w:r w:rsidR="00B162B3">
        <w:rPr>
          <w:rFonts w:ascii="Times New Roman" w:eastAsia="Times New Roman" w:hAnsi="Times New Roman" w:cs="Times New Roman"/>
          <w:color w:val="000000"/>
          <w:sz w:val="24"/>
          <w:szCs w:val="24"/>
          <w:lang w:eastAsia="en-GB"/>
        </w:rPr>
        <w:t xml:space="preserve">produces analytics from </w:t>
      </w:r>
      <w:r w:rsidR="000D7E91">
        <w:rPr>
          <w:rFonts w:ascii="Times New Roman" w:eastAsia="Times New Roman" w:hAnsi="Times New Roman" w:cs="Times New Roman"/>
          <w:color w:val="000000"/>
          <w:sz w:val="24"/>
          <w:szCs w:val="24"/>
          <w:lang w:eastAsia="en-GB"/>
        </w:rPr>
        <w:t xml:space="preserve">combining and layering </w:t>
      </w:r>
      <w:r w:rsidR="00B162B3">
        <w:rPr>
          <w:rFonts w:ascii="Times New Roman" w:eastAsia="Times New Roman" w:hAnsi="Times New Roman" w:cs="Times New Roman"/>
          <w:color w:val="000000"/>
          <w:sz w:val="24"/>
          <w:szCs w:val="24"/>
          <w:lang w:eastAsia="en-GB"/>
        </w:rPr>
        <w:t>multiple data sources within one platform</w:t>
      </w:r>
      <w:r w:rsidR="00FF3B2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The presenters </w:t>
      </w:r>
      <w:r w:rsidR="00FF3B2D">
        <w:rPr>
          <w:rFonts w:ascii="Times New Roman" w:eastAsia="Times New Roman" w:hAnsi="Times New Roman" w:cs="Times New Roman"/>
          <w:color w:val="000000"/>
          <w:sz w:val="24"/>
          <w:szCs w:val="24"/>
          <w:lang w:eastAsia="en-GB"/>
        </w:rPr>
        <w:t>explained</w:t>
      </w:r>
      <w:r>
        <w:rPr>
          <w:rFonts w:ascii="Times New Roman" w:eastAsia="Times New Roman" w:hAnsi="Times New Roman" w:cs="Times New Roman"/>
          <w:color w:val="000000"/>
          <w:sz w:val="24"/>
          <w:szCs w:val="24"/>
          <w:lang w:eastAsia="en-GB"/>
        </w:rPr>
        <w:t xml:space="preserve"> how m</w:t>
      </w:r>
      <w:r w:rsidR="00FF3B2D">
        <w:rPr>
          <w:rFonts w:ascii="Times New Roman" w:eastAsia="Times New Roman" w:hAnsi="Times New Roman" w:cs="Times New Roman"/>
          <w:color w:val="000000"/>
          <w:sz w:val="24"/>
          <w:szCs w:val="24"/>
          <w:lang w:eastAsia="en-GB"/>
        </w:rPr>
        <w:t>ultiple data sources</w:t>
      </w:r>
      <w:r w:rsidR="001752A7">
        <w:rPr>
          <w:rFonts w:ascii="Times New Roman" w:eastAsia="Times New Roman" w:hAnsi="Times New Roman" w:cs="Times New Roman"/>
          <w:color w:val="000000"/>
          <w:sz w:val="24"/>
          <w:szCs w:val="24"/>
          <w:lang w:eastAsia="en-GB"/>
        </w:rPr>
        <w:t xml:space="preserve"> were used to produce data outputs</w:t>
      </w:r>
      <w:r w:rsidR="00C96D7B">
        <w:rPr>
          <w:rFonts w:ascii="Times New Roman" w:eastAsia="Times New Roman" w:hAnsi="Times New Roman" w:cs="Times New Roman"/>
          <w:color w:val="000000"/>
          <w:sz w:val="24"/>
          <w:szCs w:val="24"/>
          <w:lang w:eastAsia="en-GB"/>
        </w:rPr>
        <w:t>,</w:t>
      </w:r>
      <w:r w:rsidR="00FF3B2D">
        <w:rPr>
          <w:rFonts w:ascii="Times New Roman" w:eastAsia="Times New Roman" w:hAnsi="Times New Roman" w:cs="Times New Roman"/>
          <w:color w:val="000000"/>
          <w:sz w:val="24"/>
          <w:szCs w:val="24"/>
          <w:lang w:eastAsia="en-GB"/>
        </w:rPr>
        <w:t xml:space="preserve"> including the tourism location </w:t>
      </w:r>
      <w:r w:rsidR="00FF3B2D">
        <w:rPr>
          <w:rFonts w:ascii="Times New Roman" w:eastAsia="Times New Roman" w:hAnsi="Times New Roman" w:cs="Times New Roman"/>
          <w:color w:val="000000"/>
          <w:sz w:val="24"/>
          <w:szCs w:val="24"/>
          <w:lang w:eastAsia="en-GB"/>
        </w:rPr>
        <w:lastRenderedPageBreak/>
        <w:t xml:space="preserve">desirability index, </w:t>
      </w:r>
      <w:r w:rsidR="007C2740">
        <w:rPr>
          <w:rFonts w:ascii="Times New Roman" w:eastAsia="Times New Roman" w:hAnsi="Times New Roman" w:cs="Times New Roman"/>
          <w:color w:val="000000"/>
          <w:sz w:val="24"/>
          <w:szCs w:val="24"/>
          <w:lang w:eastAsia="en-GB"/>
        </w:rPr>
        <w:t xml:space="preserve">growth forecasting model </w:t>
      </w:r>
      <w:r w:rsidR="00FF3B2D">
        <w:rPr>
          <w:rFonts w:ascii="Times New Roman" w:eastAsia="Times New Roman" w:hAnsi="Times New Roman" w:cs="Times New Roman"/>
          <w:color w:val="000000"/>
          <w:sz w:val="24"/>
          <w:szCs w:val="24"/>
          <w:lang w:eastAsia="en-GB"/>
        </w:rPr>
        <w:t>an</w:t>
      </w:r>
      <w:r w:rsidR="00C96D7B">
        <w:rPr>
          <w:rFonts w:ascii="Times New Roman" w:eastAsia="Times New Roman" w:hAnsi="Times New Roman" w:cs="Times New Roman"/>
          <w:color w:val="000000"/>
          <w:sz w:val="24"/>
          <w:szCs w:val="24"/>
          <w:lang w:eastAsia="en-GB"/>
        </w:rPr>
        <w:t xml:space="preserve">d </w:t>
      </w:r>
      <w:r w:rsidR="00FF3B2D">
        <w:rPr>
          <w:rFonts w:ascii="Times New Roman" w:eastAsia="Times New Roman" w:hAnsi="Times New Roman" w:cs="Times New Roman"/>
          <w:color w:val="000000"/>
          <w:sz w:val="24"/>
          <w:szCs w:val="24"/>
          <w:lang w:eastAsia="en-GB"/>
        </w:rPr>
        <w:t xml:space="preserve">infrastructure model. </w:t>
      </w:r>
      <w:r w:rsidR="00D85D65">
        <w:rPr>
          <w:rFonts w:ascii="Times New Roman" w:eastAsia="Times New Roman" w:hAnsi="Times New Roman" w:cs="Times New Roman"/>
          <w:color w:val="000000"/>
          <w:sz w:val="24"/>
          <w:szCs w:val="24"/>
          <w:lang w:eastAsia="en-GB"/>
        </w:rPr>
        <w:t xml:space="preserve">Members </w:t>
      </w:r>
      <w:r w:rsidR="001752A7">
        <w:rPr>
          <w:rFonts w:ascii="Times New Roman" w:eastAsia="Times New Roman" w:hAnsi="Times New Roman" w:cs="Times New Roman"/>
          <w:color w:val="000000"/>
          <w:sz w:val="24"/>
          <w:szCs w:val="24"/>
          <w:lang w:eastAsia="en-GB"/>
        </w:rPr>
        <w:t xml:space="preserve">asked various questions and showed great </w:t>
      </w:r>
      <w:r w:rsidR="00D85D65">
        <w:rPr>
          <w:rFonts w:ascii="Times New Roman" w:eastAsia="Times New Roman" w:hAnsi="Times New Roman" w:cs="Times New Roman"/>
          <w:color w:val="000000"/>
          <w:sz w:val="24"/>
          <w:szCs w:val="24"/>
          <w:lang w:eastAsia="en-GB"/>
        </w:rPr>
        <w:t xml:space="preserve">interest in the </w:t>
      </w:r>
      <w:proofErr w:type="spellStart"/>
      <w:r w:rsidR="00D85D65">
        <w:rPr>
          <w:rFonts w:ascii="Times New Roman" w:eastAsia="Times New Roman" w:hAnsi="Times New Roman" w:cs="Times New Roman"/>
          <w:color w:val="000000"/>
          <w:sz w:val="24"/>
          <w:szCs w:val="24"/>
          <w:lang w:eastAsia="en-GB"/>
        </w:rPr>
        <w:t>VisScope</w:t>
      </w:r>
      <w:proofErr w:type="spellEnd"/>
      <w:r w:rsidR="00D85D65">
        <w:rPr>
          <w:rFonts w:ascii="Times New Roman" w:eastAsia="Times New Roman" w:hAnsi="Times New Roman" w:cs="Times New Roman"/>
          <w:color w:val="000000"/>
          <w:sz w:val="24"/>
          <w:szCs w:val="24"/>
          <w:lang w:eastAsia="en-GB"/>
        </w:rPr>
        <w:t xml:space="preserve"> products. </w:t>
      </w:r>
    </w:p>
    <w:p w14:paraId="09520AFF" w14:textId="3901C94E" w:rsidR="008C768D" w:rsidRDefault="00FF5316"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Working Group then discussed members</w:t>
      </w:r>
      <w:r w:rsidR="001752A7">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initial views on the draft IDEA Working Group </w:t>
      </w:r>
      <w:r w:rsidR="001752A7">
        <w:rPr>
          <w:rFonts w:ascii="Times New Roman" w:eastAsia="Times New Roman" w:hAnsi="Times New Roman" w:cs="Times New Roman"/>
          <w:color w:val="000000"/>
          <w:sz w:val="24"/>
          <w:szCs w:val="24"/>
          <w:lang w:eastAsia="en-GB"/>
        </w:rPr>
        <w:t xml:space="preserve">final </w:t>
      </w:r>
      <w:r>
        <w:rPr>
          <w:rFonts w:ascii="Times New Roman" w:eastAsia="Times New Roman" w:hAnsi="Times New Roman" w:cs="Times New Roman"/>
          <w:color w:val="000000"/>
          <w:sz w:val="24"/>
          <w:szCs w:val="24"/>
          <w:lang w:eastAsia="en-GB"/>
        </w:rPr>
        <w:t xml:space="preserve">report sent to members </w:t>
      </w:r>
      <w:r w:rsidR="001752A7">
        <w:rPr>
          <w:rFonts w:ascii="Times New Roman" w:eastAsia="Times New Roman" w:hAnsi="Times New Roman" w:cs="Times New Roman"/>
          <w:color w:val="000000"/>
          <w:sz w:val="24"/>
          <w:szCs w:val="24"/>
          <w:lang w:eastAsia="en-GB"/>
        </w:rPr>
        <w:t>before the meeting</w:t>
      </w:r>
      <w:r>
        <w:rPr>
          <w:rFonts w:ascii="Times New Roman" w:eastAsia="Times New Roman" w:hAnsi="Times New Roman" w:cs="Times New Roman"/>
          <w:color w:val="000000"/>
          <w:sz w:val="24"/>
          <w:szCs w:val="24"/>
          <w:lang w:eastAsia="en-GB"/>
        </w:rPr>
        <w:t xml:space="preserve">. Members </w:t>
      </w:r>
      <w:r w:rsidR="001752A7">
        <w:rPr>
          <w:rFonts w:ascii="Times New Roman" w:eastAsia="Times New Roman" w:hAnsi="Times New Roman" w:cs="Times New Roman"/>
          <w:color w:val="000000"/>
          <w:sz w:val="24"/>
          <w:szCs w:val="24"/>
          <w:lang w:eastAsia="en-GB"/>
        </w:rPr>
        <w:t>worked on improvements to the report to</w:t>
      </w:r>
      <w:r w:rsidR="008C768D">
        <w:rPr>
          <w:rFonts w:ascii="Times New Roman" w:eastAsia="Times New Roman" w:hAnsi="Times New Roman" w:cs="Times New Roman"/>
          <w:color w:val="000000"/>
          <w:sz w:val="24"/>
          <w:szCs w:val="24"/>
          <w:lang w:eastAsia="en-GB"/>
        </w:rPr>
        <w:t>:</w:t>
      </w:r>
    </w:p>
    <w:p w14:paraId="44C57451" w14:textId="14949A58" w:rsidR="008C768D" w:rsidRDefault="00D338E9" w:rsidP="008C768D">
      <w:pPr>
        <w:pStyle w:val="ListParagraph"/>
        <w:numPr>
          <w:ilvl w:val="0"/>
          <w:numId w:val="26"/>
        </w:numPr>
        <w:tabs>
          <w:tab w:val="left" w:pos="1876"/>
        </w:tabs>
        <w:spacing w:before="120" w:after="120"/>
        <w:divId w:val="591620094"/>
        <w:rPr>
          <w:rFonts w:ascii="Times New Roman" w:eastAsia="Times New Roman" w:hAnsi="Times New Roman" w:cs="Times New Roman"/>
          <w:color w:val="000000"/>
          <w:sz w:val="24"/>
          <w:szCs w:val="24"/>
          <w:lang w:eastAsia="en-GB"/>
        </w:rPr>
      </w:pPr>
      <w:r w:rsidRPr="008C768D">
        <w:rPr>
          <w:rFonts w:ascii="Times New Roman" w:eastAsia="Times New Roman" w:hAnsi="Times New Roman" w:cs="Times New Roman"/>
          <w:color w:val="000000"/>
          <w:sz w:val="24"/>
          <w:szCs w:val="24"/>
          <w:lang w:eastAsia="en-GB"/>
        </w:rPr>
        <w:t>highlight the significance of what has been achieved through the LIVE framework</w:t>
      </w:r>
    </w:p>
    <w:p w14:paraId="4CFA3EA8" w14:textId="23F1CFC1" w:rsidR="00C53DAC" w:rsidRDefault="00C53DAC" w:rsidP="008C768D">
      <w:pPr>
        <w:pStyle w:val="ListParagraph"/>
        <w:numPr>
          <w:ilvl w:val="0"/>
          <w:numId w:val="26"/>
        </w:num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includ</w:t>
      </w:r>
      <w:r w:rsidR="001752A7">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mention of the </w:t>
      </w:r>
      <w:r w:rsidRPr="00371FE6">
        <w:rPr>
          <w:rFonts w:ascii="Times New Roman" w:eastAsia="Times New Roman" w:hAnsi="Times New Roman" w:cs="Times New Roman"/>
          <w:color w:val="000000"/>
          <w:sz w:val="24"/>
          <w:szCs w:val="24"/>
          <w:lang w:eastAsia="en-GB"/>
        </w:rPr>
        <w:t xml:space="preserve">UNWTO </w:t>
      </w:r>
      <w:r w:rsidR="00371FE6">
        <w:rPr>
          <w:rFonts w:ascii="Times New Roman" w:eastAsia="Times New Roman" w:hAnsi="Times New Roman" w:cs="Times New Roman"/>
          <w:color w:val="000000"/>
          <w:sz w:val="24"/>
          <w:szCs w:val="24"/>
          <w:lang w:eastAsia="en-GB"/>
        </w:rPr>
        <w:t>sustainability measurement i</w:t>
      </w:r>
      <w:r w:rsidR="000B134C">
        <w:rPr>
          <w:rFonts w:ascii="Times New Roman" w:eastAsia="Times New Roman" w:hAnsi="Times New Roman" w:cs="Times New Roman"/>
          <w:color w:val="000000"/>
          <w:sz w:val="24"/>
          <w:szCs w:val="24"/>
          <w:lang w:eastAsia="en-GB"/>
        </w:rPr>
        <w:t xml:space="preserve">n </w:t>
      </w:r>
      <w:r>
        <w:rPr>
          <w:rFonts w:ascii="Times New Roman" w:eastAsia="Times New Roman" w:hAnsi="Times New Roman" w:cs="Times New Roman"/>
          <w:color w:val="000000"/>
          <w:sz w:val="24"/>
          <w:szCs w:val="24"/>
          <w:lang w:eastAsia="en-GB"/>
        </w:rPr>
        <w:t>developing the indicators</w:t>
      </w:r>
    </w:p>
    <w:p w14:paraId="35B8416B" w14:textId="336E83A5" w:rsidR="008C768D" w:rsidRDefault="008C768D" w:rsidP="008C768D">
      <w:pPr>
        <w:pStyle w:val="ListParagraph"/>
        <w:numPr>
          <w:ilvl w:val="0"/>
          <w:numId w:val="26"/>
        </w:numPr>
        <w:tabs>
          <w:tab w:val="left" w:pos="1876"/>
        </w:tabs>
        <w:spacing w:before="120" w:after="120"/>
        <w:divId w:val="591620094"/>
        <w:rPr>
          <w:rFonts w:ascii="Times New Roman" w:eastAsia="Times New Roman" w:hAnsi="Times New Roman" w:cs="Times New Roman"/>
          <w:color w:val="000000"/>
          <w:sz w:val="24"/>
          <w:szCs w:val="24"/>
          <w:lang w:eastAsia="en-GB"/>
        </w:rPr>
      </w:pPr>
      <w:r w:rsidRPr="008C768D">
        <w:rPr>
          <w:rFonts w:ascii="Times New Roman" w:eastAsia="Times New Roman" w:hAnsi="Times New Roman" w:cs="Times New Roman"/>
          <w:color w:val="000000"/>
          <w:sz w:val="24"/>
          <w:szCs w:val="24"/>
          <w:lang w:eastAsia="en-GB"/>
        </w:rPr>
        <w:t>provid</w:t>
      </w:r>
      <w:r w:rsidR="001752A7">
        <w:rPr>
          <w:rFonts w:ascii="Times New Roman" w:eastAsia="Times New Roman" w:hAnsi="Times New Roman" w:cs="Times New Roman"/>
          <w:color w:val="000000"/>
          <w:sz w:val="24"/>
          <w:szCs w:val="24"/>
          <w:lang w:eastAsia="en-GB"/>
        </w:rPr>
        <w:t>e</w:t>
      </w:r>
      <w:r w:rsidRPr="008C768D">
        <w:rPr>
          <w:rFonts w:ascii="Times New Roman" w:eastAsia="Times New Roman" w:hAnsi="Times New Roman" w:cs="Times New Roman"/>
          <w:color w:val="000000"/>
          <w:sz w:val="24"/>
          <w:szCs w:val="24"/>
          <w:lang w:eastAsia="en-GB"/>
        </w:rPr>
        <w:t xml:space="preserve"> more detail on</w:t>
      </w:r>
      <w:r>
        <w:rPr>
          <w:rFonts w:ascii="Times New Roman" w:eastAsia="Times New Roman" w:hAnsi="Times New Roman" w:cs="Times New Roman"/>
          <w:color w:val="000000"/>
          <w:sz w:val="24"/>
          <w:szCs w:val="24"/>
          <w:lang w:eastAsia="en-GB"/>
        </w:rPr>
        <w:t xml:space="preserve"> the</w:t>
      </w:r>
      <w:r w:rsidR="001752A7">
        <w:rPr>
          <w:rFonts w:ascii="Times New Roman" w:eastAsia="Times New Roman" w:hAnsi="Times New Roman" w:cs="Times New Roman"/>
          <w:color w:val="000000"/>
          <w:sz w:val="24"/>
          <w:szCs w:val="24"/>
          <w:lang w:eastAsia="en-GB"/>
        </w:rPr>
        <w:t xml:space="preserve"> proposed</w:t>
      </w:r>
      <w:r w:rsidR="00047B50" w:rsidRPr="008C768D">
        <w:rPr>
          <w:rFonts w:ascii="Times New Roman" w:eastAsia="Times New Roman" w:hAnsi="Times New Roman" w:cs="Times New Roman"/>
          <w:color w:val="000000"/>
          <w:sz w:val="24"/>
          <w:szCs w:val="24"/>
          <w:lang w:eastAsia="en-GB"/>
        </w:rPr>
        <w:t xml:space="preserve"> Project Coordination Committee (including</w:t>
      </w:r>
      <w:r>
        <w:rPr>
          <w:rFonts w:ascii="Times New Roman" w:eastAsia="Times New Roman" w:hAnsi="Times New Roman" w:cs="Times New Roman"/>
          <w:color w:val="000000"/>
          <w:sz w:val="24"/>
          <w:szCs w:val="24"/>
          <w:lang w:eastAsia="en-GB"/>
        </w:rPr>
        <w:t xml:space="preserve"> intended</w:t>
      </w:r>
      <w:r w:rsidR="00047B50" w:rsidRPr="008C768D">
        <w:rPr>
          <w:rFonts w:ascii="Times New Roman" w:eastAsia="Times New Roman" w:hAnsi="Times New Roman" w:cs="Times New Roman"/>
          <w:color w:val="000000"/>
          <w:sz w:val="24"/>
          <w:szCs w:val="24"/>
          <w:lang w:eastAsia="en-GB"/>
        </w:rPr>
        <w:t xml:space="preserve"> consultation efforts) </w:t>
      </w:r>
    </w:p>
    <w:p w14:paraId="398AA55A" w14:textId="5670DDB1" w:rsidR="008C768D" w:rsidRDefault="00047B50" w:rsidP="008C768D">
      <w:pPr>
        <w:pStyle w:val="ListParagraph"/>
        <w:numPr>
          <w:ilvl w:val="0"/>
          <w:numId w:val="26"/>
        </w:numPr>
        <w:tabs>
          <w:tab w:val="left" w:pos="1876"/>
        </w:tabs>
        <w:spacing w:before="120" w:after="120"/>
        <w:divId w:val="591620094"/>
        <w:rPr>
          <w:rFonts w:ascii="Times New Roman" w:eastAsia="Times New Roman" w:hAnsi="Times New Roman" w:cs="Times New Roman"/>
          <w:color w:val="000000"/>
          <w:sz w:val="24"/>
          <w:szCs w:val="24"/>
          <w:lang w:eastAsia="en-GB"/>
        </w:rPr>
      </w:pPr>
      <w:r w:rsidRPr="008C768D">
        <w:rPr>
          <w:rFonts w:ascii="Times New Roman" w:eastAsia="Times New Roman" w:hAnsi="Times New Roman" w:cs="Times New Roman"/>
          <w:color w:val="000000"/>
          <w:sz w:val="24"/>
          <w:szCs w:val="24"/>
          <w:lang w:eastAsia="en-GB"/>
        </w:rPr>
        <w:t>describ</w:t>
      </w:r>
      <w:r w:rsidR="001752A7">
        <w:rPr>
          <w:rFonts w:ascii="Times New Roman" w:eastAsia="Times New Roman" w:hAnsi="Times New Roman" w:cs="Times New Roman"/>
          <w:color w:val="000000"/>
          <w:sz w:val="24"/>
          <w:szCs w:val="24"/>
          <w:lang w:eastAsia="en-GB"/>
        </w:rPr>
        <w:t>e</w:t>
      </w:r>
      <w:r w:rsidRPr="008C768D">
        <w:rPr>
          <w:rFonts w:ascii="Times New Roman" w:eastAsia="Times New Roman" w:hAnsi="Times New Roman" w:cs="Times New Roman"/>
          <w:color w:val="000000"/>
          <w:sz w:val="24"/>
          <w:szCs w:val="24"/>
          <w:lang w:eastAsia="en-GB"/>
        </w:rPr>
        <w:t xml:space="preserve"> the regularity of data updates to the dashboard once developed</w:t>
      </w:r>
      <w:r w:rsidR="008C768D" w:rsidRPr="008C768D">
        <w:rPr>
          <w:rFonts w:ascii="Times New Roman" w:eastAsia="Times New Roman" w:hAnsi="Times New Roman" w:cs="Times New Roman"/>
          <w:color w:val="000000"/>
          <w:sz w:val="24"/>
          <w:szCs w:val="24"/>
          <w:lang w:eastAsia="en-GB"/>
        </w:rPr>
        <w:t xml:space="preserve"> </w:t>
      </w:r>
    </w:p>
    <w:p w14:paraId="28F0C8B4" w14:textId="42F5A76B" w:rsidR="00745852" w:rsidRDefault="008C768D" w:rsidP="008C768D">
      <w:pPr>
        <w:pStyle w:val="ListParagraph"/>
        <w:numPr>
          <w:ilvl w:val="0"/>
          <w:numId w:val="26"/>
        </w:num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w:t>
      </w:r>
      <w:r w:rsidR="001752A7">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w:t>
      </w:r>
      <w:r w:rsidRPr="008C768D">
        <w:rPr>
          <w:rFonts w:ascii="Times New Roman" w:eastAsia="Times New Roman" w:hAnsi="Times New Roman" w:cs="Times New Roman"/>
          <w:color w:val="000000"/>
          <w:sz w:val="24"/>
          <w:szCs w:val="24"/>
          <w:lang w:eastAsia="en-GB"/>
        </w:rPr>
        <w:t xml:space="preserve">the </w:t>
      </w:r>
      <w:r>
        <w:rPr>
          <w:rFonts w:ascii="Times New Roman" w:eastAsia="Times New Roman" w:hAnsi="Times New Roman" w:cs="Times New Roman"/>
          <w:color w:val="000000"/>
          <w:sz w:val="24"/>
          <w:szCs w:val="24"/>
          <w:lang w:eastAsia="en-GB"/>
        </w:rPr>
        <w:t>involvement</w:t>
      </w:r>
      <w:r w:rsidRPr="008C768D">
        <w:rPr>
          <w:rFonts w:ascii="Times New Roman" w:eastAsia="Times New Roman" w:hAnsi="Times New Roman" w:cs="Times New Roman"/>
          <w:color w:val="000000"/>
          <w:sz w:val="24"/>
          <w:szCs w:val="24"/>
          <w:lang w:eastAsia="en-GB"/>
        </w:rPr>
        <w:t xml:space="preserve"> of an industry panel for future </w:t>
      </w:r>
      <w:r>
        <w:rPr>
          <w:rFonts w:ascii="Times New Roman" w:eastAsia="Times New Roman" w:hAnsi="Times New Roman" w:cs="Times New Roman"/>
          <w:color w:val="000000"/>
          <w:sz w:val="24"/>
          <w:szCs w:val="24"/>
          <w:lang w:eastAsia="en-GB"/>
        </w:rPr>
        <w:t>updates to the dashboard</w:t>
      </w:r>
    </w:p>
    <w:p w14:paraId="23165D62" w14:textId="46C2DAB5" w:rsidR="005774FC" w:rsidRDefault="005774FC" w:rsidP="008C768D">
      <w:pPr>
        <w:pStyle w:val="ListParagraph"/>
        <w:numPr>
          <w:ilvl w:val="0"/>
          <w:numId w:val="26"/>
        </w:num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considering a list of </w:t>
      </w:r>
      <w:hyperlink r:id="rId17" w:history="1">
        <w:r w:rsidRPr="005774FC">
          <w:rPr>
            <w:rStyle w:val="Hyperlink"/>
            <w:rFonts w:ascii="Times New Roman" w:eastAsia="Times New Roman" w:hAnsi="Times New Roman" w:cs="Times New Roman"/>
            <w:sz w:val="24"/>
            <w:szCs w:val="24"/>
            <w:lang w:eastAsia="en-GB"/>
          </w:rPr>
          <w:t>OECD tourism resilience indicators</w:t>
        </w:r>
      </w:hyperlink>
      <w:r>
        <w:rPr>
          <w:rFonts w:ascii="Times New Roman" w:eastAsia="Times New Roman" w:hAnsi="Times New Roman" w:cs="Times New Roman"/>
          <w:color w:val="000000"/>
          <w:sz w:val="24"/>
          <w:szCs w:val="24"/>
          <w:lang w:eastAsia="en-GB"/>
        </w:rPr>
        <w:t xml:space="preserve"> (pg. 76) for inclusion </w:t>
      </w:r>
      <w:r w:rsidR="00FF05AD">
        <w:rPr>
          <w:rFonts w:ascii="Times New Roman" w:eastAsia="Times New Roman" w:hAnsi="Times New Roman" w:cs="Times New Roman"/>
          <w:color w:val="000000"/>
          <w:sz w:val="24"/>
          <w:szCs w:val="24"/>
          <w:lang w:eastAsia="en-GB"/>
        </w:rPr>
        <w:t>in the conceptual framework</w:t>
      </w:r>
      <w:r w:rsidR="001752A7">
        <w:rPr>
          <w:rFonts w:ascii="Times New Roman" w:eastAsia="Times New Roman" w:hAnsi="Times New Roman" w:cs="Times New Roman"/>
          <w:color w:val="000000"/>
          <w:sz w:val="24"/>
          <w:szCs w:val="24"/>
          <w:lang w:eastAsia="en-GB"/>
        </w:rPr>
        <w:t>.</w:t>
      </w:r>
    </w:p>
    <w:p w14:paraId="158699A3" w14:textId="402217B6" w:rsidR="0023725E" w:rsidRPr="008C768D" w:rsidRDefault="00FF5316" w:rsidP="008C768D">
      <w:pPr>
        <w:tabs>
          <w:tab w:val="left" w:pos="1876"/>
        </w:tabs>
        <w:spacing w:before="120" w:after="120"/>
        <w:divId w:val="591620094"/>
        <w:rPr>
          <w:rFonts w:ascii="Times New Roman" w:eastAsia="Times New Roman" w:hAnsi="Times New Roman" w:cs="Times New Roman"/>
          <w:color w:val="000000"/>
          <w:sz w:val="24"/>
          <w:szCs w:val="24"/>
          <w:lang w:eastAsia="en-GB"/>
        </w:rPr>
      </w:pPr>
      <w:r w:rsidRPr="008C768D">
        <w:rPr>
          <w:rFonts w:ascii="Times New Roman" w:eastAsia="Times New Roman" w:hAnsi="Times New Roman" w:cs="Times New Roman"/>
          <w:color w:val="000000"/>
          <w:sz w:val="24"/>
          <w:szCs w:val="24"/>
          <w:lang w:eastAsia="en-GB"/>
        </w:rPr>
        <w:t xml:space="preserve">The Chair noted that comments would be </w:t>
      </w:r>
      <w:r w:rsidR="008C768D">
        <w:rPr>
          <w:rFonts w:ascii="Times New Roman" w:eastAsia="Times New Roman" w:hAnsi="Times New Roman" w:cs="Times New Roman"/>
          <w:color w:val="000000"/>
          <w:sz w:val="24"/>
          <w:szCs w:val="24"/>
          <w:lang w:eastAsia="en-GB"/>
        </w:rPr>
        <w:t>reflected in the report</w:t>
      </w:r>
      <w:r w:rsidR="001752A7">
        <w:rPr>
          <w:rFonts w:ascii="Times New Roman" w:eastAsia="Times New Roman" w:hAnsi="Times New Roman" w:cs="Times New Roman"/>
          <w:color w:val="000000"/>
          <w:sz w:val="24"/>
          <w:szCs w:val="24"/>
          <w:lang w:eastAsia="en-GB"/>
        </w:rPr>
        <w:t xml:space="preserve">. The updated draft would be sent to members on or around </w:t>
      </w:r>
      <w:r w:rsidR="00610568">
        <w:rPr>
          <w:rFonts w:ascii="Times New Roman" w:eastAsia="Times New Roman" w:hAnsi="Times New Roman" w:cs="Times New Roman"/>
          <w:color w:val="000000"/>
          <w:sz w:val="24"/>
          <w:szCs w:val="24"/>
          <w:lang w:eastAsia="en-GB"/>
        </w:rPr>
        <w:t>21</w:t>
      </w:r>
      <w:r w:rsidR="001752A7">
        <w:rPr>
          <w:rFonts w:ascii="Times New Roman" w:eastAsia="Times New Roman" w:hAnsi="Times New Roman" w:cs="Times New Roman"/>
          <w:color w:val="000000"/>
          <w:sz w:val="24"/>
          <w:szCs w:val="24"/>
          <w:lang w:eastAsia="en-GB"/>
        </w:rPr>
        <w:t xml:space="preserve"> April and members would be asked for feedback by</w:t>
      </w:r>
      <w:r w:rsidR="00610568">
        <w:rPr>
          <w:rFonts w:ascii="Times New Roman" w:eastAsia="Times New Roman" w:hAnsi="Times New Roman" w:cs="Times New Roman"/>
          <w:color w:val="000000"/>
          <w:sz w:val="24"/>
          <w:szCs w:val="24"/>
          <w:lang w:eastAsia="en-GB"/>
        </w:rPr>
        <w:t xml:space="preserve"> early May</w:t>
      </w:r>
      <w:r w:rsidR="001752A7">
        <w:rPr>
          <w:rFonts w:ascii="Times New Roman" w:eastAsia="Times New Roman" w:hAnsi="Times New Roman" w:cs="Times New Roman"/>
          <w:color w:val="000000"/>
          <w:sz w:val="24"/>
          <w:szCs w:val="24"/>
          <w:lang w:eastAsia="en-GB"/>
        </w:rPr>
        <w:t xml:space="preserve"> 2023.</w:t>
      </w:r>
    </w:p>
    <w:p w14:paraId="605DAA90" w14:textId="4C17DE35" w:rsidR="00745852" w:rsidRDefault="003E3C25" w:rsidP="00B946CE">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Chair then</w:t>
      </w:r>
      <w:r w:rsidR="001752A7">
        <w:rPr>
          <w:rFonts w:ascii="Times New Roman" w:eastAsia="Times New Roman" w:hAnsi="Times New Roman" w:cs="Times New Roman"/>
          <w:color w:val="000000"/>
          <w:sz w:val="24"/>
          <w:szCs w:val="24"/>
          <w:lang w:eastAsia="en-GB"/>
        </w:rPr>
        <w:t xml:space="preserve"> noted the </w:t>
      </w:r>
      <w:r>
        <w:rPr>
          <w:rFonts w:ascii="Times New Roman" w:eastAsia="Times New Roman" w:hAnsi="Times New Roman" w:cs="Times New Roman"/>
          <w:color w:val="000000"/>
          <w:sz w:val="24"/>
          <w:szCs w:val="24"/>
          <w:lang w:eastAsia="en-GB"/>
        </w:rPr>
        <w:t xml:space="preserve">IDEA Working Group feedback survey that would be sent to </w:t>
      </w:r>
      <w:r w:rsidR="001752A7">
        <w:rPr>
          <w:rFonts w:ascii="Times New Roman" w:eastAsia="Times New Roman" w:hAnsi="Times New Roman" w:cs="Times New Roman"/>
          <w:color w:val="000000"/>
          <w:sz w:val="24"/>
          <w:szCs w:val="24"/>
          <w:lang w:eastAsia="en-GB"/>
        </w:rPr>
        <w:t xml:space="preserve">members </w:t>
      </w:r>
      <w:r>
        <w:rPr>
          <w:rFonts w:ascii="Times New Roman" w:eastAsia="Times New Roman" w:hAnsi="Times New Roman" w:cs="Times New Roman"/>
          <w:color w:val="000000"/>
          <w:sz w:val="24"/>
          <w:szCs w:val="24"/>
          <w:lang w:eastAsia="en-GB"/>
        </w:rPr>
        <w:t>following the meeting</w:t>
      </w:r>
      <w:r w:rsidR="001752A7">
        <w:rPr>
          <w:rFonts w:ascii="Times New Roman" w:eastAsia="Times New Roman" w:hAnsi="Times New Roman" w:cs="Times New Roman"/>
          <w:color w:val="000000"/>
          <w:sz w:val="24"/>
          <w:szCs w:val="24"/>
          <w:lang w:eastAsia="en-GB"/>
        </w:rPr>
        <w:t xml:space="preserve"> and</w:t>
      </w:r>
      <w:r w:rsidR="001752A7" w:rsidRPr="001752A7">
        <w:rPr>
          <w:rFonts w:ascii="Times New Roman" w:eastAsia="Times New Roman" w:hAnsi="Times New Roman" w:cs="Times New Roman"/>
          <w:color w:val="000000"/>
          <w:sz w:val="24"/>
          <w:szCs w:val="24"/>
          <w:lang w:eastAsia="en-GB"/>
        </w:rPr>
        <w:t xml:space="preserve"> </w:t>
      </w:r>
      <w:r w:rsidR="001752A7">
        <w:rPr>
          <w:rFonts w:ascii="Times New Roman" w:eastAsia="Times New Roman" w:hAnsi="Times New Roman" w:cs="Times New Roman"/>
          <w:color w:val="000000"/>
          <w:sz w:val="24"/>
          <w:szCs w:val="24"/>
          <w:lang w:eastAsia="en-GB"/>
        </w:rPr>
        <w:t>encouraged members to participate</w:t>
      </w:r>
      <w:r>
        <w:rPr>
          <w:rFonts w:ascii="Times New Roman" w:eastAsia="Times New Roman" w:hAnsi="Times New Roman" w:cs="Times New Roman"/>
          <w:color w:val="000000"/>
          <w:sz w:val="24"/>
          <w:szCs w:val="24"/>
          <w:lang w:eastAsia="en-GB"/>
        </w:rPr>
        <w:t xml:space="preserve">. The purpose was to inform Austrade’s delivery of similar </w:t>
      </w:r>
      <w:r w:rsidR="001752A7">
        <w:rPr>
          <w:rFonts w:ascii="Times New Roman" w:eastAsia="Times New Roman" w:hAnsi="Times New Roman" w:cs="Times New Roman"/>
          <w:color w:val="000000"/>
          <w:sz w:val="24"/>
          <w:szCs w:val="24"/>
          <w:lang w:eastAsia="en-GB"/>
        </w:rPr>
        <w:t xml:space="preserve">future </w:t>
      </w:r>
      <w:r>
        <w:rPr>
          <w:rFonts w:ascii="Times New Roman" w:eastAsia="Times New Roman" w:hAnsi="Times New Roman" w:cs="Times New Roman"/>
          <w:color w:val="000000"/>
          <w:sz w:val="24"/>
          <w:szCs w:val="24"/>
          <w:lang w:eastAsia="en-GB"/>
        </w:rPr>
        <w:t xml:space="preserve">working groups. </w:t>
      </w:r>
    </w:p>
    <w:p w14:paraId="02CDFB35" w14:textId="319696A0" w:rsidR="0052506B" w:rsidRPr="00B946CE" w:rsidRDefault="000D631D" w:rsidP="00B946CE">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Finally, t</w:t>
      </w:r>
      <w:r w:rsidR="003E3C25">
        <w:rPr>
          <w:rFonts w:ascii="Times New Roman" w:eastAsia="Times New Roman" w:hAnsi="Times New Roman" w:cs="Times New Roman"/>
          <w:color w:val="000000"/>
          <w:sz w:val="24"/>
          <w:szCs w:val="24"/>
          <w:lang w:eastAsia="en-GB"/>
        </w:rPr>
        <w:t>he Chair congratulated the</w:t>
      </w:r>
      <w:r w:rsidR="001752A7">
        <w:rPr>
          <w:rFonts w:ascii="Times New Roman" w:eastAsia="Times New Roman" w:hAnsi="Times New Roman" w:cs="Times New Roman"/>
          <w:color w:val="000000"/>
          <w:sz w:val="24"/>
          <w:szCs w:val="24"/>
          <w:lang w:eastAsia="en-GB"/>
        </w:rPr>
        <w:t xml:space="preserve"> W</w:t>
      </w:r>
      <w:r w:rsidR="003E3C25">
        <w:rPr>
          <w:rFonts w:ascii="Times New Roman" w:eastAsia="Times New Roman" w:hAnsi="Times New Roman" w:cs="Times New Roman"/>
          <w:color w:val="000000"/>
          <w:sz w:val="24"/>
          <w:szCs w:val="24"/>
          <w:lang w:eastAsia="en-GB"/>
        </w:rPr>
        <w:t xml:space="preserve">orking </w:t>
      </w:r>
      <w:r w:rsidR="001752A7">
        <w:rPr>
          <w:rFonts w:ascii="Times New Roman" w:eastAsia="Times New Roman" w:hAnsi="Times New Roman" w:cs="Times New Roman"/>
          <w:color w:val="000000"/>
          <w:sz w:val="24"/>
          <w:szCs w:val="24"/>
          <w:lang w:eastAsia="en-GB"/>
        </w:rPr>
        <w:t xml:space="preserve">Group </w:t>
      </w:r>
      <w:r w:rsidR="003E3C25">
        <w:rPr>
          <w:rFonts w:ascii="Times New Roman" w:eastAsia="Times New Roman" w:hAnsi="Times New Roman" w:cs="Times New Roman"/>
          <w:color w:val="000000"/>
          <w:sz w:val="24"/>
          <w:szCs w:val="24"/>
          <w:lang w:eastAsia="en-GB"/>
        </w:rPr>
        <w:t xml:space="preserve">for their </w:t>
      </w:r>
      <w:r w:rsidR="001752A7">
        <w:rPr>
          <w:rFonts w:ascii="Times New Roman" w:eastAsia="Times New Roman" w:hAnsi="Times New Roman" w:cs="Times New Roman"/>
          <w:color w:val="000000"/>
          <w:sz w:val="24"/>
          <w:szCs w:val="24"/>
          <w:lang w:eastAsia="en-GB"/>
        </w:rPr>
        <w:t>efforts through 7 meetings</w:t>
      </w:r>
      <w:r w:rsidR="003E3C2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over the </w:t>
      </w:r>
      <w:r w:rsidR="001752A7">
        <w:rPr>
          <w:rFonts w:ascii="Times New Roman" w:eastAsia="Times New Roman" w:hAnsi="Times New Roman" w:cs="Times New Roman"/>
          <w:color w:val="000000"/>
          <w:sz w:val="24"/>
          <w:szCs w:val="24"/>
          <w:lang w:eastAsia="en-GB"/>
        </w:rPr>
        <w:t xml:space="preserve">past </w:t>
      </w:r>
      <w:r>
        <w:rPr>
          <w:rFonts w:ascii="Times New Roman" w:eastAsia="Times New Roman" w:hAnsi="Times New Roman" w:cs="Times New Roman"/>
          <w:color w:val="000000"/>
          <w:sz w:val="24"/>
          <w:szCs w:val="24"/>
          <w:lang w:eastAsia="en-GB"/>
        </w:rPr>
        <w:t>12 months</w:t>
      </w:r>
      <w:r w:rsidR="001752A7">
        <w:rPr>
          <w:rFonts w:ascii="Times New Roman" w:eastAsia="Times New Roman" w:hAnsi="Times New Roman" w:cs="Times New Roman"/>
          <w:color w:val="000000"/>
          <w:sz w:val="24"/>
          <w:szCs w:val="24"/>
          <w:lang w:eastAsia="en-GB"/>
        </w:rPr>
        <w:t xml:space="preserve">. The Chair thanked all members for </w:t>
      </w:r>
      <w:r>
        <w:rPr>
          <w:rFonts w:ascii="Times New Roman" w:eastAsia="Times New Roman" w:hAnsi="Times New Roman" w:cs="Times New Roman"/>
          <w:color w:val="000000"/>
          <w:sz w:val="24"/>
          <w:szCs w:val="24"/>
          <w:lang w:eastAsia="en-GB"/>
        </w:rPr>
        <w:t xml:space="preserve">travelling to meet </w:t>
      </w:r>
      <w:r w:rsidR="001752A7">
        <w:rPr>
          <w:rFonts w:ascii="Times New Roman" w:eastAsia="Times New Roman" w:hAnsi="Times New Roman" w:cs="Times New Roman"/>
          <w:color w:val="000000"/>
          <w:sz w:val="24"/>
          <w:szCs w:val="24"/>
          <w:lang w:eastAsia="en-GB"/>
        </w:rPr>
        <w:t xml:space="preserve">in </w:t>
      </w:r>
      <w:r>
        <w:rPr>
          <w:rFonts w:ascii="Times New Roman" w:eastAsia="Times New Roman" w:hAnsi="Times New Roman" w:cs="Times New Roman"/>
          <w:color w:val="000000"/>
          <w:sz w:val="24"/>
          <w:szCs w:val="24"/>
          <w:lang w:eastAsia="en-GB"/>
        </w:rPr>
        <w:t>person in Melbourne</w:t>
      </w:r>
      <w:r w:rsidR="001752A7">
        <w:rPr>
          <w:rFonts w:ascii="Times New Roman" w:eastAsia="Times New Roman" w:hAnsi="Times New Roman" w:cs="Times New Roman"/>
          <w:color w:val="000000"/>
          <w:sz w:val="24"/>
          <w:szCs w:val="24"/>
          <w:lang w:eastAsia="en-GB"/>
        </w:rPr>
        <w:t xml:space="preserve"> in December 2022 and the FSC members for volunteering to facilitate the </w:t>
      </w:r>
      <w:r w:rsidR="003D40B5">
        <w:rPr>
          <w:rFonts w:ascii="Times New Roman" w:eastAsia="Times New Roman" w:hAnsi="Times New Roman" w:cs="Times New Roman"/>
          <w:color w:val="000000"/>
          <w:sz w:val="24"/>
          <w:szCs w:val="24"/>
          <w:lang w:eastAsia="en-GB"/>
        </w:rPr>
        <w:t>December meeting</w:t>
      </w:r>
      <w:r w:rsidR="0046732D">
        <w:rPr>
          <w:rFonts w:ascii="Times New Roman" w:eastAsia="Times New Roman" w:hAnsi="Times New Roman" w:cs="Times New Roman"/>
          <w:color w:val="000000"/>
          <w:sz w:val="24"/>
          <w:szCs w:val="24"/>
          <w:lang w:eastAsia="en-GB"/>
        </w:rPr>
        <w:t>.</w:t>
      </w:r>
      <w:r w:rsidR="001752A7">
        <w:rPr>
          <w:rFonts w:ascii="Times New Roman" w:eastAsia="Times New Roman" w:hAnsi="Times New Roman" w:cs="Times New Roman"/>
          <w:color w:val="000000"/>
          <w:sz w:val="24"/>
          <w:szCs w:val="24"/>
          <w:lang w:eastAsia="en-GB"/>
        </w:rPr>
        <w:t xml:space="preserve"> </w:t>
      </w:r>
      <w:r w:rsidR="003D40B5">
        <w:rPr>
          <w:rFonts w:ascii="Times New Roman" w:eastAsia="Times New Roman" w:hAnsi="Times New Roman" w:cs="Times New Roman"/>
          <w:color w:val="000000"/>
          <w:sz w:val="24"/>
          <w:szCs w:val="24"/>
          <w:lang w:eastAsia="en-GB"/>
        </w:rPr>
        <w:t>A number of members expressed an interest in continuing to engage with TRA on data-related topics, even outside the Working Group. The Chair</w:t>
      </w:r>
      <w:r w:rsidR="003E3C25">
        <w:rPr>
          <w:rFonts w:ascii="Times New Roman" w:eastAsia="Times New Roman" w:hAnsi="Times New Roman" w:cs="Times New Roman"/>
          <w:color w:val="000000"/>
          <w:sz w:val="24"/>
          <w:szCs w:val="24"/>
          <w:lang w:eastAsia="en-GB"/>
        </w:rPr>
        <w:t xml:space="preserve"> </w:t>
      </w:r>
      <w:r w:rsidR="003D40B5">
        <w:rPr>
          <w:rFonts w:ascii="Times New Roman" w:eastAsia="Times New Roman" w:hAnsi="Times New Roman" w:cs="Times New Roman"/>
          <w:color w:val="000000"/>
          <w:sz w:val="24"/>
          <w:szCs w:val="24"/>
          <w:lang w:eastAsia="en-GB"/>
        </w:rPr>
        <w:t>thanked members for their time and effort</w:t>
      </w:r>
      <w:r w:rsidR="003E3C25">
        <w:rPr>
          <w:rFonts w:ascii="Times New Roman" w:eastAsia="Times New Roman" w:hAnsi="Times New Roman" w:cs="Times New Roman"/>
          <w:color w:val="000000"/>
          <w:sz w:val="24"/>
          <w:szCs w:val="24"/>
          <w:lang w:eastAsia="en-GB"/>
        </w:rPr>
        <w:t>.</w:t>
      </w:r>
      <w:r w:rsidR="0052506B">
        <w:br w:type="page"/>
      </w:r>
    </w:p>
    <w:p w14:paraId="02AF398E" w14:textId="37F3EC7A" w:rsidR="0023725E" w:rsidRPr="00756DB8" w:rsidRDefault="0023725E" w:rsidP="00756DB8">
      <w:pPr>
        <w:spacing w:after="120" w:line="300" w:lineRule="exact"/>
        <w:divId w:val="591620094"/>
        <w:rPr>
          <w:color w:val="538135" w:themeColor="accent6" w:themeShade="BF"/>
          <w:sz w:val="24"/>
          <w:szCs w:val="24"/>
        </w:rPr>
      </w:pPr>
      <w:r w:rsidRPr="00756DB8">
        <w:rPr>
          <w:color w:val="538135" w:themeColor="accent6" w:themeShade="BF"/>
          <w:sz w:val="24"/>
          <w:szCs w:val="24"/>
        </w:rPr>
        <w:lastRenderedPageBreak/>
        <w:t xml:space="preserve">Attachment </w:t>
      </w:r>
      <w:r w:rsidR="005070E5" w:rsidRPr="00756DB8">
        <w:rPr>
          <w:color w:val="538135" w:themeColor="accent6" w:themeShade="BF"/>
          <w:sz w:val="24"/>
          <w:szCs w:val="24"/>
        </w:rPr>
        <w:t>A</w:t>
      </w:r>
    </w:p>
    <w:p w14:paraId="23C3E2A8" w14:textId="2CDB14CF" w:rsidR="00676D34" w:rsidRDefault="00676D34" w:rsidP="00676D34">
      <w:pPr>
        <w:divId w:val="591620094"/>
      </w:pPr>
    </w:p>
    <w:p w14:paraId="5C3E6691" w14:textId="77777777" w:rsidR="00676D34" w:rsidRDefault="00676D34" w:rsidP="00676D34">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Conceptual LIVE Framework</w:t>
      </w:r>
    </w:p>
    <w:p w14:paraId="01FBBC11" w14:textId="5B98DD12" w:rsidR="00676D34" w:rsidRDefault="00676D34" w:rsidP="00BF7A11">
      <w:pPr>
        <w:pStyle w:val="Heading3"/>
        <w:divId w:val="591620094"/>
      </w:pPr>
      <w:r>
        <w:rPr>
          <w:noProof/>
        </w:rPr>
        <w:drawing>
          <wp:inline distT="0" distB="0" distL="0" distR="0" wp14:anchorId="1265ECC2" wp14:editId="5528DDD0">
            <wp:extent cx="5731510" cy="4006215"/>
            <wp:effectExtent l="0" t="0" r="2540" b="0"/>
            <wp:docPr id="4" name="Picture 3">
              <a:extLst xmlns:a="http://schemas.openxmlformats.org/drawingml/2006/main">
                <a:ext uri="{FF2B5EF4-FFF2-40B4-BE49-F238E27FC236}">
                  <a16:creationId xmlns:a16="http://schemas.microsoft.com/office/drawing/2014/main" id="{5DAAB20E-6EA2-B575-2507-19737CEEC6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DAAB20E-6EA2-B575-2507-19737CEEC6E2}"/>
                        </a:ext>
                      </a:extLst>
                    </pic:cNvPr>
                    <pic:cNvPicPr>
                      <a:picLocks noChangeAspect="1"/>
                    </pic:cNvPicPr>
                  </pic:nvPicPr>
                  <pic:blipFill>
                    <a:blip r:embed="rId18"/>
                    <a:stretch>
                      <a:fillRect/>
                    </a:stretch>
                  </pic:blipFill>
                  <pic:spPr>
                    <a:xfrm>
                      <a:off x="0" y="0"/>
                      <a:ext cx="5731510" cy="4006215"/>
                    </a:xfrm>
                    <a:prstGeom prst="rect">
                      <a:avLst/>
                    </a:prstGeom>
                  </pic:spPr>
                </pic:pic>
              </a:graphicData>
            </a:graphic>
          </wp:inline>
        </w:drawing>
      </w:r>
    </w:p>
    <w:p w14:paraId="0AC94820" w14:textId="77777777" w:rsidR="001F7CCC" w:rsidRDefault="001F7CCC" w:rsidP="00BF7A11">
      <w:pPr>
        <w:pStyle w:val="Heading3"/>
        <w:divId w:val="591620094"/>
        <w:sectPr w:rsidR="001F7CCC" w:rsidSect="007A3F8E">
          <w:footerReference w:type="default" r:id="rId19"/>
          <w:headerReference w:type="first" r:id="rId20"/>
          <w:footerReference w:type="first" r:id="rId21"/>
          <w:pgSz w:w="11906" w:h="16838"/>
          <w:pgMar w:top="1440" w:right="1440" w:bottom="1135" w:left="1440" w:header="708" w:footer="708" w:gutter="0"/>
          <w:cols w:space="708"/>
          <w:titlePg/>
          <w:docGrid w:linePitch="360"/>
        </w:sectPr>
      </w:pPr>
    </w:p>
    <w:p w14:paraId="1B551BBA" w14:textId="77777777" w:rsidR="001F7CCC" w:rsidRDefault="001F7CCC" w:rsidP="00BF7A11">
      <w:pPr>
        <w:pStyle w:val="Heading3"/>
        <w:divId w:val="591620094"/>
      </w:pPr>
    </w:p>
    <w:p w14:paraId="0A32DF84" w14:textId="1E0E07FC" w:rsidR="00BF7A11" w:rsidRPr="00756DB8" w:rsidRDefault="00BF7A11" w:rsidP="00756DB8">
      <w:pPr>
        <w:spacing w:after="120" w:line="300" w:lineRule="exact"/>
        <w:divId w:val="591620094"/>
        <w:rPr>
          <w:color w:val="538135" w:themeColor="accent6" w:themeShade="BF"/>
          <w:sz w:val="24"/>
          <w:szCs w:val="24"/>
        </w:rPr>
      </w:pPr>
      <w:r w:rsidRPr="00756DB8">
        <w:rPr>
          <w:color w:val="538135" w:themeColor="accent6" w:themeShade="BF"/>
          <w:sz w:val="24"/>
          <w:szCs w:val="24"/>
        </w:rPr>
        <w:t xml:space="preserve">Attachment </w:t>
      </w:r>
      <w:r w:rsidR="005070E5" w:rsidRPr="00756DB8">
        <w:rPr>
          <w:color w:val="538135" w:themeColor="accent6" w:themeShade="BF"/>
          <w:sz w:val="24"/>
          <w:szCs w:val="24"/>
        </w:rPr>
        <w:t>B</w:t>
      </w:r>
    </w:p>
    <w:p w14:paraId="00BB49DC" w14:textId="18B29EC2" w:rsidR="0052506B" w:rsidRDefault="00676D34"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Changes resulting from Meeting 7</w:t>
      </w:r>
      <w:r w:rsidR="00B978E8">
        <w:rPr>
          <w:rFonts w:ascii="Times New Roman" w:eastAsia="Times New Roman" w:hAnsi="Times New Roman" w:cs="Times New Roman"/>
          <w:color w:val="000000"/>
          <w:sz w:val="24"/>
          <w:szCs w:val="24"/>
          <w:lang w:eastAsia="en-GB"/>
        </w:rPr>
        <w:t>,</w:t>
      </w:r>
      <w:r w:rsidR="00570C6B">
        <w:rPr>
          <w:rFonts w:ascii="Times New Roman" w:eastAsia="Times New Roman" w:hAnsi="Times New Roman" w:cs="Times New Roman"/>
          <w:color w:val="000000"/>
          <w:sz w:val="24"/>
          <w:szCs w:val="24"/>
          <w:lang w:eastAsia="en-GB"/>
        </w:rPr>
        <w:t xml:space="preserve"> with</w:t>
      </w:r>
      <w:r w:rsidR="00B978E8">
        <w:rPr>
          <w:rFonts w:ascii="Times New Roman" w:eastAsia="Times New Roman" w:hAnsi="Times New Roman" w:cs="Times New Roman"/>
          <w:color w:val="000000"/>
          <w:sz w:val="24"/>
          <w:szCs w:val="24"/>
          <w:lang w:eastAsia="en-GB"/>
        </w:rPr>
        <w:t xml:space="preserve"> additions bolded</w:t>
      </w:r>
      <w:r w:rsidR="00570C6B">
        <w:rPr>
          <w:rFonts w:ascii="Times New Roman" w:eastAsia="Times New Roman" w:hAnsi="Times New Roman" w:cs="Times New Roman"/>
          <w:color w:val="000000"/>
          <w:sz w:val="24"/>
          <w:szCs w:val="24"/>
          <w:lang w:eastAsia="en-GB"/>
        </w:rPr>
        <w:t xml:space="preserve"> and</w:t>
      </w:r>
      <w:r w:rsidR="00B978E8">
        <w:rPr>
          <w:rFonts w:ascii="Times New Roman" w:eastAsia="Times New Roman" w:hAnsi="Times New Roman" w:cs="Times New Roman"/>
          <w:color w:val="000000"/>
          <w:sz w:val="24"/>
          <w:szCs w:val="24"/>
          <w:lang w:eastAsia="en-GB"/>
        </w:rPr>
        <w:t xml:space="preserve"> deletions crossed out</w:t>
      </w:r>
      <w:r>
        <w:rPr>
          <w:rFonts w:ascii="Times New Roman" w:eastAsia="Times New Roman" w:hAnsi="Times New Roman" w:cs="Times New Roman"/>
          <w:color w:val="000000"/>
          <w:sz w:val="24"/>
          <w:szCs w:val="24"/>
          <w:lang w:eastAsia="en-GB"/>
        </w:rPr>
        <w:t>.</w:t>
      </w:r>
    </w:p>
    <w:p w14:paraId="24963340" w14:textId="77777777" w:rsidR="00676D34" w:rsidRPr="00C47D0F" w:rsidRDefault="00676D34" w:rsidP="00676D34">
      <w:pPr>
        <w:divId w:val="591620094"/>
        <w:rPr>
          <w:rFonts w:cstheme="minorHAnsi"/>
          <w:b/>
          <w:bCs/>
          <w:sz w:val="24"/>
          <w:szCs w:val="24"/>
        </w:rPr>
      </w:pPr>
      <w:r w:rsidRPr="00C47D0F">
        <w:rPr>
          <w:rFonts w:cstheme="minorHAnsi"/>
          <w:b/>
          <w:bCs/>
          <w:sz w:val="24"/>
          <w:szCs w:val="24"/>
        </w:rPr>
        <w:t>Economic indicators</w:t>
      </w:r>
    </w:p>
    <w:tbl>
      <w:tblPr>
        <w:tblStyle w:val="TableGrid"/>
        <w:tblW w:w="0" w:type="auto"/>
        <w:tblLook w:val="04A0" w:firstRow="1" w:lastRow="0" w:firstColumn="1" w:lastColumn="0" w:noHBand="0" w:noVBand="1"/>
      </w:tblPr>
      <w:tblGrid>
        <w:gridCol w:w="1129"/>
        <w:gridCol w:w="7887"/>
      </w:tblGrid>
      <w:tr w:rsidR="00676D34" w14:paraId="28F83F5D" w14:textId="77777777" w:rsidTr="00676D34">
        <w:trPr>
          <w:divId w:val="591620094"/>
          <w:trHeight w:val="284"/>
        </w:trPr>
        <w:tc>
          <w:tcPr>
            <w:tcW w:w="1129" w:type="dxa"/>
            <w:shd w:val="clear" w:color="auto" w:fill="9CC2E5" w:themeFill="accent5" w:themeFillTint="99"/>
          </w:tcPr>
          <w:p w14:paraId="3138E968" w14:textId="77777777" w:rsidR="00676D34" w:rsidRDefault="00676D34" w:rsidP="000343EE">
            <w:pPr>
              <w:spacing w:beforeLines="40" w:before="96" w:afterLines="40" w:after="96"/>
              <w:contextualSpacing/>
            </w:pPr>
            <w:r>
              <w:t>Priority</w:t>
            </w:r>
          </w:p>
        </w:tc>
        <w:tc>
          <w:tcPr>
            <w:tcW w:w="7887" w:type="dxa"/>
            <w:shd w:val="clear" w:color="auto" w:fill="9CC2E5" w:themeFill="accent5" w:themeFillTint="99"/>
          </w:tcPr>
          <w:p w14:paraId="6F5EF55F" w14:textId="77777777" w:rsidR="00676D34" w:rsidRDefault="00676D34" w:rsidP="000343EE">
            <w:pPr>
              <w:spacing w:before="40" w:after="40"/>
            </w:pPr>
            <w:r>
              <w:t>Indicator</w:t>
            </w:r>
          </w:p>
        </w:tc>
      </w:tr>
      <w:tr w:rsidR="00676D34" w14:paraId="3BE7B687" w14:textId="77777777" w:rsidTr="00676D34">
        <w:trPr>
          <w:divId w:val="591620094"/>
          <w:trHeight w:val="284"/>
        </w:trPr>
        <w:tc>
          <w:tcPr>
            <w:tcW w:w="1129" w:type="dxa"/>
            <w:vMerge w:val="restart"/>
            <w:shd w:val="clear" w:color="auto" w:fill="auto"/>
          </w:tcPr>
          <w:p w14:paraId="56A3A462" w14:textId="77777777" w:rsidR="00676D34" w:rsidRDefault="00676D34" w:rsidP="000343EE">
            <w:pPr>
              <w:spacing w:beforeLines="40" w:before="96" w:afterLines="40" w:after="96"/>
              <w:contextualSpacing/>
            </w:pPr>
            <w:r>
              <w:t>High</w:t>
            </w:r>
          </w:p>
        </w:tc>
        <w:tc>
          <w:tcPr>
            <w:tcW w:w="7887" w:type="dxa"/>
            <w:shd w:val="clear" w:color="auto" w:fill="auto"/>
            <w:vAlign w:val="bottom"/>
          </w:tcPr>
          <w:p w14:paraId="5EE61605" w14:textId="77777777" w:rsidR="00676D34" w:rsidRDefault="00676D34" w:rsidP="000343EE">
            <w:pPr>
              <w:spacing w:before="40" w:after="40"/>
            </w:pPr>
            <w:r w:rsidRPr="001A547E">
              <w:rPr>
                <w:rFonts w:eastAsia="Microsoft GothicNeo" w:cs="Calibri"/>
              </w:rPr>
              <w:t>Aviation route capacity (seats available, movements)</w:t>
            </w:r>
          </w:p>
        </w:tc>
      </w:tr>
      <w:tr w:rsidR="00676D34" w14:paraId="1E77856C" w14:textId="77777777" w:rsidTr="00676D34">
        <w:trPr>
          <w:divId w:val="591620094"/>
          <w:trHeight w:val="284"/>
        </w:trPr>
        <w:tc>
          <w:tcPr>
            <w:tcW w:w="1129" w:type="dxa"/>
            <w:vMerge/>
            <w:shd w:val="clear" w:color="auto" w:fill="auto"/>
          </w:tcPr>
          <w:p w14:paraId="4352246C" w14:textId="77777777" w:rsidR="00676D34" w:rsidRDefault="00676D34" w:rsidP="000343EE">
            <w:pPr>
              <w:spacing w:beforeLines="40" w:before="96" w:afterLines="40" w:after="96"/>
              <w:contextualSpacing/>
            </w:pPr>
          </w:p>
        </w:tc>
        <w:tc>
          <w:tcPr>
            <w:tcW w:w="7887" w:type="dxa"/>
            <w:shd w:val="clear" w:color="auto" w:fill="auto"/>
            <w:vAlign w:val="bottom"/>
          </w:tcPr>
          <w:p w14:paraId="414C12BC" w14:textId="77777777" w:rsidR="00676D34" w:rsidRPr="001A547E" w:rsidRDefault="00676D34" w:rsidP="000343EE">
            <w:pPr>
              <w:spacing w:before="40" w:after="40"/>
              <w:rPr>
                <w:rFonts w:eastAsia="Microsoft GothicNeo" w:cs="Calibri"/>
              </w:rPr>
            </w:pPr>
            <w:r w:rsidRPr="001A547E">
              <w:rPr>
                <w:rFonts w:eastAsia="Microsoft GothicNeo" w:cs="Calibri"/>
              </w:rPr>
              <w:t>Airports beyond gateways</w:t>
            </w:r>
          </w:p>
        </w:tc>
      </w:tr>
      <w:tr w:rsidR="00676D34" w14:paraId="70569749" w14:textId="77777777" w:rsidTr="00676D34">
        <w:trPr>
          <w:divId w:val="591620094"/>
          <w:trHeight w:val="284"/>
        </w:trPr>
        <w:tc>
          <w:tcPr>
            <w:tcW w:w="1129" w:type="dxa"/>
            <w:vMerge/>
            <w:shd w:val="clear" w:color="auto" w:fill="auto"/>
          </w:tcPr>
          <w:p w14:paraId="6A4652E1" w14:textId="77777777" w:rsidR="00676D34" w:rsidRDefault="00676D34" w:rsidP="000343EE">
            <w:pPr>
              <w:spacing w:beforeLines="40" w:before="96" w:afterLines="40" w:after="96"/>
              <w:contextualSpacing/>
            </w:pPr>
          </w:p>
        </w:tc>
        <w:tc>
          <w:tcPr>
            <w:tcW w:w="7887" w:type="dxa"/>
            <w:shd w:val="clear" w:color="auto" w:fill="auto"/>
            <w:vAlign w:val="bottom"/>
          </w:tcPr>
          <w:p w14:paraId="26E668FE" w14:textId="77777777" w:rsidR="00676D34" w:rsidRPr="001A547E" w:rsidRDefault="00676D34" w:rsidP="000343EE">
            <w:pPr>
              <w:spacing w:before="40" w:after="40"/>
              <w:rPr>
                <w:rFonts w:eastAsia="Microsoft GothicNeo" w:cs="Calibri"/>
              </w:rPr>
            </w:pPr>
            <w:r w:rsidRPr="001A547E">
              <w:rPr>
                <w:rFonts w:eastAsia="Microsoft GothicNeo" w:cs="Calibri"/>
              </w:rPr>
              <w:t>Number of visitors total</w:t>
            </w:r>
          </w:p>
        </w:tc>
      </w:tr>
      <w:tr w:rsidR="00676D34" w14:paraId="50343593" w14:textId="77777777" w:rsidTr="00676D34">
        <w:trPr>
          <w:divId w:val="591620094"/>
          <w:trHeight w:val="284"/>
        </w:trPr>
        <w:tc>
          <w:tcPr>
            <w:tcW w:w="1129" w:type="dxa"/>
            <w:vMerge/>
            <w:shd w:val="clear" w:color="auto" w:fill="auto"/>
          </w:tcPr>
          <w:p w14:paraId="44F6C281" w14:textId="77777777" w:rsidR="00676D34" w:rsidRDefault="00676D34" w:rsidP="000343EE">
            <w:pPr>
              <w:spacing w:beforeLines="40" w:before="96" w:afterLines="40" w:after="96"/>
              <w:contextualSpacing/>
            </w:pPr>
          </w:p>
        </w:tc>
        <w:tc>
          <w:tcPr>
            <w:tcW w:w="7887" w:type="dxa"/>
            <w:shd w:val="clear" w:color="auto" w:fill="auto"/>
            <w:vAlign w:val="bottom"/>
          </w:tcPr>
          <w:p w14:paraId="4990B9C9" w14:textId="77777777" w:rsidR="00676D34" w:rsidRPr="001A547E" w:rsidRDefault="00676D34" w:rsidP="000343EE">
            <w:pPr>
              <w:spacing w:before="40" w:after="40"/>
              <w:rPr>
                <w:rFonts w:eastAsia="Microsoft GothicNeo" w:cs="Calibri"/>
              </w:rPr>
            </w:pPr>
            <w:r w:rsidRPr="001A547E">
              <w:rPr>
                <w:rFonts w:eastAsia="Microsoft GothicNeo" w:cs="Calibri"/>
              </w:rPr>
              <w:t>Number of visitors by segment (by visa type, purpose, source market, etc.)</w:t>
            </w:r>
          </w:p>
        </w:tc>
      </w:tr>
      <w:tr w:rsidR="00676D34" w14:paraId="1B0E45C9" w14:textId="77777777" w:rsidTr="00676D34">
        <w:trPr>
          <w:divId w:val="591620094"/>
          <w:trHeight w:val="284"/>
        </w:trPr>
        <w:tc>
          <w:tcPr>
            <w:tcW w:w="1129" w:type="dxa"/>
            <w:vMerge/>
            <w:shd w:val="clear" w:color="auto" w:fill="auto"/>
          </w:tcPr>
          <w:p w14:paraId="7DF83545" w14:textId="77777777" w:rsidR="00676D34" w:rsidRDefault="00676D34" w:rsidP="000343EE">
            <w:pPr>
              <w:spacing w:beforeLines="40" w:before="96" w:afterLines="40" w:after="96"/>
              <w:contextualSpacing/>
            </w:pPr>
          </w:p>
        </w:tc>
        <w:tc>
          <w:tcPr>
            <w:tcW w:w="7887" w:type="dxa"/>
            <w:shd w:val="clear" w:color="auto" w:fill="auto"/>
            <w:vAlign w:val="bottom"/>
          </w:tcPr>
          <w:p w14:paraId="36209559" w14:textId="77777777" w:rsidR="00676D34" w:rsidRPr="001A547E" w:rsidRDefault="00676D34" w:rsidP="000343EE">
            <w:pPr>
              <w:spacing w:before="40" w:after="40"/>
              <w:rPr>
                <w:rFonts w:eastAsia="Microsoft GothicNeo" w:cs="Calibri"/>
              </w:rPr>
            </w:pPr>
            <w:r w:rsidRPr="001A547E">
              <w:rPr>
                <w:rFonts w:eastAsia="Microsoft GothicNeo" w:cs="Calibri"/>
              </w:rPr>
              <w:t>Forward visitor demand - Forward bookings and searches, consumer awareness, consideration and intention to visit, and lead time for destination choice and booking</w:t>
            </w:r>
          </w:p>
        </w:tc>
      </w:tr>
      <w:tr w:rsidR="00676D34" w14:paraId="0ED392A4" w14:textId="77777777" w:rsidTr="00676D34">
        <w:trPr>
          <w:divId w:val="591620094"/>
          <w:trHeight w:val="284"/>
        </w:trPr>
        <w:tc>
          <w:tcPr>
            <w:tcW w:w="1129" w:type="dxa"/>
            <w:vMerge/>
            <w:shd w:val="clear" w:color="auto" w:fill="auto"/>
          </w:tcPr>
          <w:p w14:paraId="0D97EA51" w14:textId="77777777" w:rsidR="00676D34" w:rsidRDefault="00676D34" w:rsidP="000343EE">
            <w:pPr>
              <w:spacing w:beforeLines="40" w:before="96" w:afterLines="40" w:after="96"/>
              <w:contextualSpacing/>
            </w:pPr>
          </w:p>
        </w:tc>
        <w:tc>
          <w:tcPr>
            <w:tcW w:w="7887" w:type="dxa"/>
            <w:shd w:val="clear" w:color="auto" w:fill="auto"/>
            <w:vAlign w:val="bottom"/>
          </w:tcPr>
          <w:p w14:paraId="1804E50B" w14:textId="77777777" w:rsidR="00676D34" w:rsidRPr="001A547E" w:rsidRDefault="00676D34" w:rsidP="000343EE">
            <w:pPr>
              <w:spacing w:before="40" w:after="40"/>
              <w:rPr>
                <w:rFonts w:eastAsia="Microsoft GothicNeo" w:cs="Calibri"/>
              </w:rPr>
            </w:pPr>
            <w:r w:rsidRPr="001A547E">
              <w:rPr>
                <w:rFonts w:eastAsia="Microsoft GothicNeo" w:cs="Calibri"/>
              </w:rPr>
              <w:t>Average length of stay/yield, per trip and per stay</w:t>
            </w:r>
          </w:p>
        </w:tc>
      </w:tr>
      <w:tr w:rsidR="00676D34" w14:paraId="19B69E11" w14:textId="77777777" w:rsidTr="00676D34">
        <w:trPr>
          <w:divId w:val="591620094"/>
          <w:trHeight w:val="284"/>
        </w:trPr>
        <w:tc>
          <w:tcPr>
            <w:tcW w:w="1129" w:type="dxa"/>
            <w:vMerge/>
            <w:shd w:val="clear" w:color="auto" w:fill="auto"/>
          </w:tcPr>
          <w:p w14:paraId="65AD6788" w14:textId="77777777" w:rsidR="00676D34" w:rsidRDefault="00676D34" w:rsidP="000343EE">
            <w:pPr>
              <w:spacing w:beforeLines="40" w:before="96" w:afterLines="40" w:after="96"/>
              <w:contextualSpacing/>
            </w:pPr>
          </w:p>
        </w:tc>
        <w:tc>
          <w:tcPr>
            <w:tcW w:w="7887" w:type="dxa"/>
            <w:shd w:val="clear" w:color="auto" w:fill="auto"/>
            <w:vAlign w:val="bottom"/>
          </w:tcPr>
          <w:p w14:paraId="4869B0F6" w14:textId="77777777" w:rsidR="00676D34" w:rsidRPr="001A547E" w:rsidRDefault="00676D34" w:rsidP="000343EE">
            <w:pPr>
              <w:spacing w:before="40" w:after="40"/>
              <w:rPr>
                <w:rFonts w:eastAsia="Microsoft GothicNeo" w:cs="Calibri"/>
              </w:rPr>
            </w:pPr>
            <w:r w:rsidRPr="001A547E">
              <w:rPr>
                <w:rFonts w:eastAsia="Microsoft GothicNeo" w:cs="Calibri"/>
              </w:rPr>
              <w:t>Spatial movement of visitors (dispersal and mobility)</w:t>
            </w:r>
          </w:p>
        </w:tc>
      </w:tr>
      <w:tr w:rsidR="00676D34" w14:paraId="43B0AEE6" w14:textId="77777777" w:rsidTr="00676D34">
        <w:trPr>
          <w:divId w:val="591620094"/>
          <w:trHeight w:val="284"/>
        </w:trPr>
        <w:tc>
          <w:tcPr>
            <w:tcW w:w="1129" w:type="dxa"/>
            <w:vMerge/>
            <w:shd w:val="clear" w:color="auto" w:fill="auto"/>
          </w:tcPr>
          <w:p w14:paraId="0DDABDB5" w14:textId="77777777" w:rsidR="00676D34" w:rsidRDefault="00676D34" w:rsidP="000343EE">
            <w:pPr>
              <w:spacing w:beforeLines="40" w:before="96" w:afterLines="40" w:after="96"/>
              <w:contextualSpacing/>
            </w:pPr>
          </w:p>
        </w:tc>
        <w:tc>
          <w:tcPr>
            <w:tcW w:w="7887" w:type="dxa"/>
            <w:shd w:val="clear" w:color="auto" w:fill="auto"/>
            <w:vAlign w:val="bottom"/>
          </w:tcPr>
          <w:p w14:paraId="1BAC7FD4" w14:textId="77777777" w:rsidR="00676D34" w:rsidRPr="001A547E" w:rsidRDefault="00676D34" w:rsidP="000343EE">
            <w:pPr>
              <w:spacing w:before="40" w:after="40"/>
              <w:rPr>
                <w:rFonts w:eastAsia="Microsoft GothicNeo" w:cs="Calibri"/>
              </w:rPr>
            </w:pPr>
            <w:r w:rsidRPr="001A547E">
              <w:rPr>
                <w:rFonts w:eastAsia="Microsoft GothicNeo" w:cs="Calibri"/>
              </w:rPr>
              <w:t>Visitor expenditure total and regional (domestic/international and daytrip/overnight)</w:t>
            </w:r>
          </w:p>
        </w:tc>
      </w:tr>
      <w:tr w:rsidR="00676D34" w14:paraId="0929D995" w14:textId="77777777" w:rsidTr="00676D34">
        <w:trPr>
          <w:divId w:val="591620094"/>
          <w:trHeight w:val="284"/>
        </w:trPr>
        <w:tc>
          <w:tcPr>
            <w:tcW w:w="1129" w:type="dxa"/>
            <w:vMerge/>
            <w:shd w:val="clear" w:color="auto" w:fill="auto"/>
          </w:tcPr>
          <w:p w14:paraId="6C3280F3" w14:textId="77777777" w:rsidR="00676D34" w:rsidRDefault="00676D34" w:rsidP="000343EE">
            <w:pPr>
              <w:spacing w:beforeLines="40" w:before="96" w:afterLines="40" w:after="96"/>
              <w:contextualSpacing/>
            </w:pPr>
          </w:p>
        </w:tc>
        <w:tc>
          <w:tcPr>
            <w:tcW w:w="7887" w:type="dxa"/>
            <w:shd w:val="clear" w:color="auto" w:fill="auto"/>
            <w:vAlign w:val="bottom"/>
          </w:tcPr>
          <w:p w14:paraId="6889CA7C" w14:textId="77777777" w:rsidR="00676D34" w:rsidRPr="001A547E" w:rsidRDefault="00676D34" w:rsidP="000343EE">
            <w:pPr>
              <w:spacing w:before="40" w:after="40"/>
              <w:rPr>
                <w:rFonts w:eastAsia="Microsoft GothicNeo" w:cs="Calibri"/>
              </w:rPr>
            </w:pPr>
            <w:r w:rsidRPr="001A547E">
              <w:rPr>
                <w:rFonts w:eastAsia="Microsoft GothicNeo" w:cs="Calibri"/>
              </w:rPr>
              <w:t>Visitor expenditure from events (sporting, cultural and business events)</w:t>
            </w:r>
          </w:p>
        </w:tc>
      </w:tr>
      <w:tr w:rsidR="00676D34" w14:paraId="7CDCFF8D" w14:textId="77777777" w:rsidTr="00676D34">
        <w:trPr>
          <w:divId w:val="591620094"/>
          <w:trHeight w:val="284"/>
        </w:trPr>
        <w:tc>
          <w:tcPr>
            <w:tcW w:w="1129" w:type="dxa"/>
            <w:vMerge/>
            <w:shd w:val="clear" w:color="auto" w:fill="auto"/>
          </w:tcPr>
          <w:p w14:paraId="258CD723" w14:textId="77777777" w:rsidR="00676D34" w:rsidRDefault="00676D34" w:rsidP="000343EE">
            <w:pPr>
              <w:spacing w:beforeLines="40" w:before="96" w:afterLines="40" w:after="96"/>
              <w:contextualSpacing/>
            </w:pPr>
          </w:p>
        </w:tc>
        <w:tc>
          <w:tcPr>
            <w:tcW w:w="7887" w:type="dxa"/>
            <w:shd w:val="clear" w:color="auto" w:fill="auto"/>
            <w:vAlign w:val="bottom"/>
          </w:tcPr>
          <w:p w14:paraId="2726216C" w14:textId="77777777" w:rsidR="00676D34" w:rsidRPr="001A547E" w:rsidRDefault="00676D34" w:rsidP="000343EE">
            <w:pPr>
              <w:spacing w:before="40" w:after="40"/>
              <w:rPr>
                <w:rFonts w:eastAsia="Microsoft GothicNeo" w:cs="Calibri"/>
              </w:rPr>
            </w:pPr>
            <w:r w:rsidRPr="001A547E">
              <w:rPr>
                <w:rFonts w:eastAsia="Microsoft GothicNeo" w:cs="Calibri"/>
              </w:rPr>
              <w:t>Distribution of yield: geography, seasonality</w:t>
            </w:r>
          </w:p>
        </w:tc>
      </w:tr>
      <w:tr w:rsidR="00676D34" w14:paraId="39F9D034" w14:textId="77777777" w:rsidTr="00676D34">
        <w:trPr>
          <w:divId w:val="591620094"/>
          <w:trHeight w:val="284"/>
        </w:trPr>
        <w:tc>
          <w:tcPr>
            <w:tcW w:w="1129" w:type="dxa"/>
            <w:vMerge/>
            <w:shd w:val="clear" w:color="auto" w:fill="auto"/>
          </w:tcPr>
          <w:p w14:paraId="4544C3D3" w14:textId="77777777" w:rsidR="00676D34" w:rsidRDefault="00676D34" w:rsidP="000343EE">
            <w:pPr>
              <w:spacing w:beforeLines="40" w:before="96" w:afterLines="40" w:after="96"/>
              <w:contextualSpacing/>
            </w:pPr>
          </w:p>
        </w:tc>
        <w:tc>
          <w:tcPr>
            <w:tcW w:w="7887" w:type="dxa"/>
            <w:shd w:val="clear" w:color="auto" w:fill="auto"/>
            <w:vAlign w:val="bottom"/>
          </w:tcPr>
          <w:p w14:paraId="7A195C60" w14:textId="77777777" w:rsidR="00676D34" w:rsidRPr="001A547E" w:rsidRDefault="00676D34" w:rsidP="000343EE">
            <w:pPr>
              <w:spacing w:before="40" w:after="40"/>
              <w:rPr>
                <w:rFonts w:eastAsia="Microsoft GothicNeo" w:cs="Calibri"/>
              </w:rPr>
            </w:pPr>
            <w:r w:rsidRPr="001A547E">
              <w:rPr>
                <w:rFonts w:eastAsia="Microsoft GothicNeo" w:cs="Calibri"/>
              </w:rPr>
              <w:t>Gross domestic product (%) / gross value added</w:t>
            </w:r>
          </w:p>
        </w:tc>
      </w:tr>
      <w:tr w:rsidR="00676D34" w14:paraId="4D576DD0" w14:textId="77777777" w:rsidTr="00676D34">
        <w:trPr>
          <w:divId w:val="591620094"/>
          <w:trHeight w:val="284"/>
        </w:trPr>
        <w:tc>
          <w:tcPr>
            <w:tcW w:w="1129" w:type="dxa"/>
            <w:vMerge/>
            <w:shd w:val="clear" w:color="auto" w:fill="auto"/>
          </w:tcPr>
          <w:p w14:paraId="3FB52226" w14:textId="77777777" w:rsidR="00676D34" w:rsidRDefault="00676D34" w:rsidP="000343EE">
            <w:pPr>
              <w:spacing w:beforeLines="40" w:before="96" w:afterLines="40" w:after="96"/>
              <w:contextualSpacing/>
            </w:pPr>
          </w:p>
        </w:tc>
        <w:tc>
          <w:tcPr>
            <w:tcW w:w="7887" w:type="dxa"/>
            <w:shd w:val="clear" w:color="auto" w:fill="auto"/>
            <w:vAlign w:val="bottom"/>
          </w:tcPr>
          <w:p w14:paraId="22EBDBAE" w14:textId="77777777" w:rsidR="00676D34" w:rsidRPr="001A547E" w:rsidRDefault="00676D34" w:rsidP="000343EE">
            <w:pPr>
              <w:spacing w:before="40" w:after="40"/>
              <w:rPr>
                <w:rFonts w:eastAsia="Microsoft GothicNeo" w:cs="Calibri"/>
              </w:rPr>
            </w:pPr>
            <w:r w:rsidRPr="001A547E">
              <w:rPr>
                <w:rFonts w:eastAsia="Microsoft GothicNeo" w:cs="Calibri"/>
              </w:rPr>
              <w:t>Share of global tourism expenditure (competitiveness)</w:t>
            </w:r>
          </w:p>
        </w:tc>
      </w:tr>
      <w:tr w:rsidR="00676D34" w14:paraId="19E04955" w14:textId="77777777" w:rsidTr="00676D34">
        <w:trPr>
          <w:divId w:val="591620094"/>
          <w:trHeight w:val="284"/>
        </w:trPr>
        <w:tc>
          <w:tcPr>
            <w:tcW w:w="1129" w:type="dxa"/>
            <w:vMerge/>
            <w:shd w:val="clear" w:color="auto" w:fill="auto"/>
          </w:tcPr>
          <w:p w14:paraId="2E1CA8F8" w14:textId="77777777" w:rsidR="00676D34" w:rsidRDefault="00676D34" w:rsidP="000343EE">
            <w:pPr>
              <w:spacing w:beforeLines="40" w:before="96" w:afterLines="40" w:after="96"/>
              <w:contextualSpacing/>
            </w:pPr>
          </w:p>
        </w:tc>
        <w:tc>
          <w:tcPr>
            <w:tcW w:w="7887" w:type="dxa"/>
            <w:shd w:val="clear" w:color="auto" w:fill="auto"/>
            <w:vAlign w:val="bottom"/>
          </w:tcPr>
          <w:p w14:paraId="1C8AF4DB" w14:textId="77777777" w:rsidR="00676D34" w:rsidRPr="001A547E" w:rsidRDefault="00676D34" w:rsidP="000343EE">
            <w:pPr>
              <w:spacing w:before="40" w:after="40"/>
              <w:rPr>
                <w:rFonts w:eastAsia="Microsoft GothicNeo" w:cs="Calibri"/>
              </w:rPr>
            </w:pPr>
            <w:r w:rsidRPr="001A547E">
              <w:rPr>
                <w:rFonts w:eastAsia="Microsoft GothicNeo" w:cs="Calibri"/>
              </w:rPr>
              <w:t>Number of people employed in the visitor economy</w:t>
            </w:r>
            <w:r>
              <w:rPr>
                <w:rFonts w:eastAsia="Microsoft GothicNeo" w:cs="Calibri"/>
              </w:rPr>
              <w:t xml:space="preserve">, </w:t>
            </w:r>
            <w:r w:rsidRPr="001A547E">
              <w:rPr>
                <w:rFonts w:eastAsia="Microsoft GothicNeo" w:cs="Calibri"/>
              </w:rPr>
              <w:t>FT/PT, quality of jobs</w:t>
            </w:r>
          </w:p>
        </w:tc>
      </w:tr>
      <w:tr w:rsidR="00676D34" w14:paraId="4383182B" w14:textId="77777777" w:rsidTr="00676D34">
        <w:trPr>
          <w:divId w:val="591620094"/>
          <w:trHeight w:val="284"/>
        </w:trPr>
        <w:tc>
          <w:tcPr>
            <w:tcW w:w="1129" w:type="dxa"/>
            <w:vMerge/>
            <w:shd w:val="clear" w:color="auto" w:fill="auto"/>
          </w:tcPr>
          <w:p w14:paraId="4C69F834" w14:textId="77777777" w:rsidR="00676D34" w:rsidRDefault="00676D34" w:rsidP="000343EE">
            <w:pPr>
              <w:spacing w:beforeLines="40" w:before="96" w:afterLines="40" w:after="96"/>
              <w:contextualSpacing/>
            </w:pPr>
          </w:p>
        </w:tc>
        <w:tc>
          <w:tcPr>
            <w:tcW w:w="7887" w:type="dxa"/>
            <w:shd w:val="clear" w:color="auto" w:fill="auto"/>
            <w:vAlign w:val="bottom"/>
          </w:tcPr>
          <w:p w14:paraId="1863B0D2" w14:textId="77777777" w:rsidR="00676D34" w:rsidRPr="001A547E" w:rsidRDefault="00676D34" w:rsidP="000343EE">
            <w:pPr>
              <w:spacing w:before="40" w:after="40"/>
              <w:rPr>
                <w:rFonts w:eastAsia="Microsoft GothicNeo" w:cs="Calibri"/>
              </w:rPr>
            </w:pPr>
            <w:r w:rsidRPr="001A547E">
              <w:rPr>
                <w:rFonts w:eastAsia="Microsoft GothicNeo" w:cs="Calibri"/>
              </w:rPr>
              <w:t>Labour productivity</w:t>
            </w:r>
          </w:p>
        </w:tc>
      </w:tr>
      <w:tr w:rsidR="00676D34" w14:paraId="09AADCB3" w14:textId="77777777" w:rsidTr="00676D34">
        <w:trPr>
          <w:divId w:val="591620094"/>
          <w:trHeight w:val="284"/>
        </w:trPr>
        <w:tc>
          <w:tcPr>
            <w:tcW w:w="1129" w:type="dxa"/>
            <w:vMerge/>
            <w:shd w:val="clear" w:color="auto" w:fill="auto"/>
          </w:tcPr>
          <w:p w14:paraId="17430616" w14:textId="77777777" w:rsidR="00676D34" w:rsidRDefault="00676D34" w:rsidP="000343EE">
            <w:pPr>
              <w:spacing w:beforeLines="40" w:before="96" w:afterLines="40" w:after="96"/>
              <w:contextualSpacing/>
            </w:pPr>
          </w:p>
        </w:tc>
        <w:tc>
          <w:tcPr>
            <w:tcW w:w="7887" w:type="dxa"/>
            <w:shd w:val="clear" w:color="auto" w:fill="auto"/>
            <w:vAlign w:val="bottom"/>
          </w:tcPr>
          <w:p w14:paraId="014D3304" w14:textId="77777777" w:rsidR="00676D34" w:rsidRPr="001A547E" w:rsidRDefault="00676D34" w:rsidP="000343EE">
            <w:pPr>
              <w:spacing w:before="40" w:after="40"/>
              <w:rPr>
                <w:rFonts w:eastAsia="Microsoft GothicNeo" w:cs="Calibri"/>
              </w:rPr>
            </w:pPr>
            <w:r w:rsidRPr="001A547E">
              <w:rPr>
                <w:rFonts w:eastAsia="Microsoft GothicNeo" w:cs="Calibri"/>
              </w:rPr>
              <w:t>Capital productivity</w:t>
            </w:r>
          </w:p>
        </w:tc>
      </w:tr>
      <w:tr w:rsidR="00676D34" w14:paraId="54D93328" w14:textId="77777777" w:rsidTr="00676D34">
        <w:trPr>
          <w:divId w:val="591620094"/>
          <w:trHeight w:val="284"/>
        </w:trPr>
        <w:tc>
          <w:tcPr>
            <w:tcW w:w="1129" w:type="dxa"/>
            <w:vMerge/>
            <w:shd w:val="clear" w:color="auto" w:fill="auto"/>
          </w:tcPr>
          <w:p w14:paraId="7AE17400" w14:textId="77777777" w:rsidR="00676D34" w:rsidRDefault="00676D34" w:rsidP="000343EE">
            <w:pPr>
              <w:spacing w:beforeLines="40" w:before="96" w:afterLines="40" w:after="96"/>
              <w:contextualSpacing/>
            </w:pPr>
          </w:p>
        </w:tc>
        <w:tc>
          <w:tcPr>
            <w:tcW w:w="7887" w:type="dxa"/>
            <w:shd w:val="clear" w:color="auto" w:fill="auto"/>
            <w:vAlign w:val="bottom"/>
          </w:tcPr>
          <w:p w14:paraId="362C1973" w14:textId="6A25FA69" w:rsidR="00676D34" w:rsidRPr="00B978E8" w:rsidRDefault="00676D34" w:rsidP="000343EE">
            <w:pPr>
              <w:spacing w:before="40" w:after="40"/>
              <w:rPr>
                <w:rFonts w:eastAsia="Microsoft GothicNeo" w:cs="Calibri"/>
                <w:b/>
                <w:bCs/>
              </w:rPr>
            </w:pPr>
            <w:r w:rsidRPr="00B978E8">
              <w:rPr>
                <w:rFonts w:eastAsia="Microsoft GothicNeo" w:cs="Calibri"/>
                <w:strike/>
              </w:rPr>
              <w:t>Share of voice (brand health)</w:t>
            </w:r>
            <w:r w:rsidR="00B978E8">
              <w:rPr>
                <w:rFonts w:eastAsia="Microsoft GothicNeo" w:cs="Calibri"/>
              </w:rPr>
              <w:t xml:space="preserve"> </w:t>
            </w:r>
            <w:r w:rsidR="00B978E8" w:rsidRPr="00B978E8">
              <w:rPr>
                <w:rFonts w:eastAsia="Microsoft GothicNeo" w:cs="Calibri"/>
                <w:b/>
                <w:bCs/>
              </w:rPr>
              <w:t>global position</w:t>
            </w:r>
          </w:p>
        </w:tc>
      </w:tr>
      <w:tr w:rsidR="00676D34" w14:paraId="27EC37CE" w14:textId="77777777" w:rsidTr="00676D34">
        <w:trPr>
          <w:divId w:val="591620094"/>
          <w:trHeight w:val="284"/>
        </w:trPr>
        <w:tc>
          <w:tcPr>
            <w:tcW w:w="1129" w:type="dxa"/>
            <w:vMerge w:val="restart"/>
            <w:shd w:val="clear" w:color="auto" w:fill="auto"/>
          </w:tcPr>
          <w:p w14:paraId="2B8C7254" w14:textId="77777777" w:rsidR="00676D34" w:rsidRDefault="00676D34" w:rsidP="000343EE">
            <w:pPr>
              <w:spacing w:beforeLines="40" w:before="96" w:afterLines="40" w:after="96"/>
              <w:contextualSpacing/>
            </w:pPr>
            <w:r>
              <w:t>Medium</w:t>
            </w:r>
          </w:p>
        </w:tc>
        <w:tc>
          <w:tcPr>
            <w:tcW w:w="7887" w:type="dxa"/>
            <w:shd w:val="clear" w:color="auto" w:fill="auto"/>
            <w:vAlign w:val="bottom"/>
          </w:tcPr>
          <w:p w14:paraId="460AD077" w14:textId="77777777" w:rsidR="00676D34" w:rsidRPr="001A547E" w:rsidRDefault="00676D34" w:rsidP="000343EE">
            <w:pPr>
              <w:spacing w:before="40" w:after="40"/>
              <w:rPr>
                <w:rFonts w:eastAsia="Microsoft GothicNeo" w:cs="Calibri"/>
              </w:rPr>
            </w:pPr>
            <w:r w:rsidRPr="001A547E">
              <w:rPr>
                <w:rFonts w:eastAsia="Microsoft GothicNeo" w:cs="Calibri"/>
              </w:rPr>
              <w:t xml:space="preserve">Skills and training level of the </w:t>
            </w:r>
            <w:r>
              <w:rPr>
                <w:rFonts w:eastAsia="Microsoft GothicNeo" w:cs="Calibri"/>
              </w:rPr>
              <w:t>visitor economy</w:t>
            </w:r>
            <w:r w:rsidRPr="001A547E">
              <w:rPr>
                <w:rFonts w:eastAsia="Microsoft GothicNeo" w:cs="Calibri"/>
              </w:rPr>
              <w:t xml:space="preserve"> workforce</w:t>
            </w:r>
          </w:p>
        </w:tc>
      </w:tr>
      <w:tr w:rsidR="00676D34" w14:paraId="42FC2349" w14:textId="77777777" w:rsidTr="00676D34">
        <w:trPr>
          <w:divId w:val="591620094"/>
          <w:trHeight w:val="284"/>
        </w:trPr>
        <w:tc>
          <w:tcPr>
            <w:tcW w:w="1129" w:type="dxa"/>
            <w:vMerge/>
            <w:shd w:val="clear" w:color="auto" w:fill="auto"/>
          </w:tcPr>
          <w:p w14:paraId="2C2593C2" w14:textId="77777777" w:rsidR="00676D34" w:rsidRDefault="00676D34" w:rsidP="000343EE">
            <w:pPr>
              <w:spacing w:beforeLines="40" w:before="96" w:afterLines="40" w:after="96"/>
              <w:contextualSpacing/>
            </w:pPr>
          </w:p>
        </w:tc>
        <w:tc>
          <w:tcPr>
            <w:tcW w:w="7887" w:type="dxa"/>
            <w:shd w:val="clear" w:color="auto" w:fill="auto"/>
            <w:vAlign w:val="bottom"/>
          </w:tcPr>
          <w:p w14:paraId="38A23C9D" w14:textId="77777777" w:rsidR="00676D34" w:rsidRPr="001A547E" w:rsidRDefault="00676D34" w:rsidP="000343EE">
            <w:pPr>
              <w:spacing w:before="40" w:after="40"/>
              <w:rPr>
                <w:rFonts w:eastAsia="Microsoft GothicNeo" w:cs="Calibri"/>
              </w:rPr>
            </w:pPr>
            <w:r w:rsidRPr="001A547E">
              <w:rPr>
                <w:rFonts w:eastAsia="Microsoft GothicNeo" w:cs="Calibri"/>
              </w:rPr>
              <w:t>Number of tourism, hospitality and event graduates (total and by level of qualification)</w:t>
            </w:r>
          </w:p>
        </w:tc>
      </w:tr>
      <w:tr w:rsidR="00676D34" w14:paraId="7EA10204" w14:textId="77777777" w:rsidTr="00676D34">
        <w:trPr>
          <w:divId w:val="591620094"/>
          <w:trHeight w:val="284"/>
        </w:trPr>
        <w:tc>
          <w:tcPr>
            <w:tcW w:w="1129" w:type="dxa"/>
            <w:vMerge/>
            <w:shd w:val="clear" w:color="auto" w:fill="auto"/>
          </w:tcPr>
          <w:p w14:paraId="5DE26F99" w14:textId="77777777" w:rsidR="00676D34" w:rsidRDefault="00676D34" w:rsidP="000343EE">
            <w:pPr>
              <w:spacing w:beforeLines="40" w:before="96" w:afterLines="40" w:after="96"/>
              <w:contextualSpacing/>
            </w:pPr>
          </w:p>
        </w:tc>
        <w:tc>
          <w:tcPr>
            <w:tcW w:w="7887" w:type="dxa"/>
            <w:shd w:val="clear" w:color="auto" w:fill="auto"/>
            <w:vAlign w:val="bottom"/>
          </w:tcPr>
          <w:p w14:paraId="52E036BE" w14:textId="77777777" w:rsidR="00676D34" w:rsidRPr="001A547E" w:rsidRDefault="00676D34" w:rsidP="000343EE">
            <w:pPr>
              <w:spacing w:before="40" w:after="40"/>
              <w:rPr>
                <w:rFonts w:eastAsia="Microsoft GothicNeo" w:cs="Calibri"/>
              </w:rPr>
            </w:pPr>
            <w:r w:rsidRPr="001A547E">
              <w:rPr>
                <w:rFonts w:eastAsia="Microsoft GothicNeo" w:cs="Calibri"/>
              </w:rPr>
              <w:t xml:space="preserve">Percentage of women in </w:t>
            </w:r>
            <w:r>
              <w:rPr>
                <w:rFonts w:eastAsia="Microsoft GothicNeo" w:cs="Calibri"/>
              </w:rPr>
              <w:t>visitor economy</w:t>
            </w:r>
            <w:r w:rsidRPr="001A547E">
              <w:rPr>
                <w:rFonts w:eastAsia="Microsoft GothicNeo" w:cs="Calibri"/>
              </w:rPr>
              <w:t xml:space="preserve"> workforce (and level of occupation)</w:t>
            </w:r>
          </w:p>
        </w:tc>
      </w:tr>
      <w:tr w:rsidR="00676D34" w14:paraId="60EC3639" w14:textId="77777777" w:rsidTr="00676D34">
        <w:trPr>
          <w:divId w:val="591620094"/>
          <w:trHeight w:val="284"/>
        </w:trPr>
        <w:tc>
          <w:tcPr>
            <w:tcW w:w="1129" w:type="dxa"/>
            <w:vMerge/>
            <w:shd w:val="clear" w:color="auto" w:fill="auto"/>
          </w:tcPr>
          <w:p w14:paraId="01D76258" w14:textId="77777777" w:rsidR="00676D34" w:rsidRDefault="00676D34" w:rsidP="000343EE">
            <w:pPr>
              <w:spacing w:beforeLines="40" w:before="96" w:afterLines="40" w:after="96"/>
              <w:contextualSpacing/>
            </w:pPr>
          </w:p>
        </w:tc>
        <w:tc>
          <w:tcPr>
            <w:tcW w:w="7887" w:type="dxa"/>
            <w:shd w:val="clear" w:color="auto" w:fill="auto"/>
            <w:vAlign w:val="bottom"/>
          </w:tcPr>
          <w:p w14:paraId="3EE48C6E" w14:textId="77777777" w:rsidR="00676D34" w:rsidRPr="001A547E" w:rsidRDefault="00676D34" w:rsidP="000343EE">
            <w:pPr>
              <w:spacing w:before="40" w:after="40"/>
              <w:rPr>
                <w:rFonts w:eastAsia="Microsoft GothicNeo" w:cs="Calibri"/>
              </w:rPr>
            </w:pPr>
            <w:r w:rsidRPr="001A547E">
              <w:rPr>
                <w:rFonts w:eastAsia="Microsoft GothicNeo" w:cs="Calibri"/>
              </w:rPr>
              <w:t>Other job vacancies, domestic prep, tracking</w:t>
            </w:r>
          </w:p>
        </w:tc>
      </w:tr>
      <w:tr w:rsidR="00676D34" w14:paraId="6AB0D500" w14:textId="77777777" w:rsidTr="00676D34">
        <w:trPr>
          <w:divId w:val="591620094"/>
          <w:trHeight w:val="284"/>
        </w:trPr>
        <w:tc>
          <w:tcPr>
            <w:tcW w:w="1129" w:type="dxa"/>
            <w:vMerge/>
            <w:shd w:val="clear" w:color="auto" w:fill="auto"/>
          </w:tcPr>
          <w:p w14:paraId="60E90684" w14:textId="77777777" w:rsidR="00676D34" w:rsidRDefault="00676D34" w:rsidP="000343EE">
            <w:pPr>
              <w:spacing w:beforeLines="40" w:before="96" w:afterLines="40" w:after="96"/>
              <w:contextualSpacing/>
            </w:pPr>
          </w:p>
        </w:tc>
        <w:tc>
          <w:tcPr>
            <w:tcW w:w="7887" w:type="dxa"/>
            <w:shd w:val="clear" w:color="auto" w:fill="auto"/>
            <w:vAlign w:val="bottom"/>
          </w:tcPr>
          <w:p w14:paraId="66ABDFAD" w14:textId="77777777" w:rsidR="00676D34" w:rsidRPr="001A547E" w:rsidRDefault="00676D34" w:rsidP="000343EE">
            <w:pPr>
              <w:spacing w:before="40" w:after="40"/>
              <w:rPr>
                <w:rFonts w:eastAsia="Microsoft GothicNeo" w:cs="Calibri"/>
              </w:rPr>
            </w:pPr>
            <w:r w:rsidRPr="001A547E">
              <w:rPr>
                <w:rFonts w:eastAsia="Microsoft GothicNeo" w:cs="Calibri"/>
              </w:rPr>
              <w:t xml:space="preserve">Number of </w:t>
            </w:r>
            <w:r>
              <w:rPr>
                <w:rFonts w:eastAsia="Microsoft GothicNeo" w:cs="Calibri"/>
              </w:rPr>
              <w:t>visitor economy</w:t>
            </w:r>
            <w:r w:rsidRPr="001A547E">
              <w:rPr>
                <w:rFonts w:eastAsia="Microsoft GothicNeo" w:cs="Calibri"/>
              </w:rPr>
              <w:t xml:space="preserve"> businesses (by size)</w:t>
            </w:r>
          </w:p>
        </w:tc>
      </w:tr>
      <w:tr w:rsidR="00676D34" w14:paraId="7745FAA7" w14:textId="77777777" w:rsidTr="00676D34">
        <w:trPr>
          <w:divId w:val="591620094"/>
          <w:trHeight w:val="284"/>
        </w:trPr>
        <w:tc>
          <w:tcPr>
            <w:tcW w:w="1129" w:type="dxa"/>
            <w:vMerge/>
            <w:shd w:val="clear" w:color="auto" w:fill="auto"/>
          </w:tcPr>
          <w:p w14:paraId="1CE84315" w14:textId="77777777" w:rsidR="00676D34" w:rsidRDefault="00676D34" w:rsidP="000343EE">
            <w:pPr>
              <w:spacing w:beforeLines="40" w:before="96" w:afterLines="40" w:after="96"/>
              <w:contextualSpacing/>
            </w:pPr>
          </w:p>
        </w:tc>
        <w:tc>
          <w:tcPr>
            <w:tcW w:w="7887" w:type="dxa"/>
            <w:shd w:val="clear" w:color="auto" w:fill="auto"/>
            <w:vAlign w:val="bottom"/>
          </w:tcPr>
          <w:p w14:paraId="15624D8E" w14:textId="77777777" w:rsidR="00676D34" w:rsidRPr="001A547E" w:rsidRDefault="00676D34" w:rsidP="000343EE">
            <w:pPr>
              <w:spacing w:before="40" w:after="40"/>
              <w:rPr>
                <w:rFonts w:eastAsia="Microsoft GothicNeo" w:cs="Calibri"/>
              </w:rPr>
            </w:pPr>
            <w:r>
              <w:rPr>
                <w:rFonts w:eastAsia="Microsoft GothicNeo" w:cs="Calibri"/>
              </w:rPr>
              <w:t>Visitor economy</w:t>
            </w:r>
            <w:r w:rsidRPr="001A547E">
              <w:rPr>
                <w:rFonts w:eastAsia="Microsoft GothicNeo" w:cs="Calibri"/>
              </w:rPr>
              <w:t xml:space="preserve"> business entries and exits</w:t>
            </w:r>
          </w:p>
        </w:tc>
      </w:tr>
      <w:tr w:rsidR="00676D34" w14:paraId="5CA8D17F" w14:textId="77777777" w:rsidTr="00676D34">
        <w:trPr>
          <w:divId w:val="591620094"/>
          <w:trHeight w:val="284"/>
        </w:trPr>
        <w:tc>
          <w:tcPr>
            <w:tcW w:w="1129" w:type="dxa"/>
            <w:vMerge/>
            <w:shd w:val="clear" w:color="auto" w:fill="auto"/>
          </w:tcPr>
          <w:p w14:paraId="52ADD01A" w14:textId="77777777" w:rsidR="00676D34" w:rsidRDefault="00676D34" w:rsidP="000343EE">
            <w:pPr>
              <w:spacing w:beforeLines="40" w:before="96" w:afterLines="40" w:after="96"/>
              <w:contextualSpacing/>
            </w:pPr>
          </w:p>
        </w:tc>
        <w:tc>
          <w:tcPr>
            <w:tcW w:w="7887" w:type="dxa"/>
            <w:shd w:val="clear" w:color="auto" w:fill="auto"/>
            <w:vAlign w:val="bottom"/>
          </w:tcPr>
          <w:p w14:paraId="711563F6" w14:textId="77777777" w:rsidR="00676D34" w:rsidRPr="001A547E" w:rsidRDefault="00676D34" w:rsidP="000343EE">
            <w:pPr>
              <w:spacing w:before="40" w:after="40"/>
              <w:rPr>
                <w:rFonts w:eastAsia="Microsoft GothicNeo" w:cs="Calibri"/>
              </w:rPr>
            </w:pPr>
            <w:r w:rsidRPr="001A547E">
              <w:rPr>
                <w:rFonts w:eastAsia="Microsoft GothicNeo" w:cs="Calibri"/>
              </w:rPr>
              <w:t xml:space="preserve">First Nations participation in the </w:t>
            </w:r>
            <w:r>
              <w:rPr>
                <w:rFonts w:eastAsia="Microsoft GothicNeo" w:cs="Calibri"/>
              </w:rPr>
              <w:t>visitor economy</w:t>
            </w:r>
            <w:r w:rsidRPr="001A547E">
              <w:rPr>
                <w:rFonts w:eastAsia="Microsoft GothicNeo" w:cs="Calibri"/>
              </w:rPr>
              <w:t xml:space="preserve"> workforce</w:t>
            </w:r>
          </w:p>
        </w:tc>
      </w:tr>
      <w:tr w:rsidR="00676D34" w14:paraId="6D356DEB" w14:textId="77777777" w:rsidTr="00676D34">
        <w:trPr>
          <w:divId w:val="591620094"/>
          <w:trHeight w:val="284"/>
        </w:trPr>
        <w:tc>
          <w:tcPr>
            <w:tcW w:w="1129" w:type="dxa"/>
            <w:vMerge/>
            <w:shd w:val="clear" w:color="auto" w:fill="auto"/>
          </w:tcPr>
          <w:p w14:paraId="5379DC2A" w14:textId="77777777" w:rsidR="00676D34" w:rsidRDefault="00676D34" w:rsidP="000343EE">
            <w:pPr>
              <w:spacing w:beforeLines="40" w:before="96" w:afterLines="40" w:after="96"/>
              <w:contextualSpacing/>
            </w:pPr>
          </w:p>
        </w:tc>
        <w:tc>
          <w:tcPr>
            <w:tcW w:w="7887" w:type="dxa"/>
            <w:shd w:val="clear" w:color="auto" w:fill="auto"/>
            <w:vAlign w:val="bottom"/>
          </w:tcPr>
          <w:p w14:paraId="050007BC" w14:textId="77777777" w:rsidR="00676D34" w:rsidRPr="001A547E" w:rsidRDefault="00676D34" w:rsidP="000343EE">
            <w:pPr>
              <w:spacing w:before="40" w:after="40"/>
              <w:rPr>
                <w:rFonts w:eastAsia="Microsoft GothicNeo" w:cs="Calibri"/>
              </w:rPr>
            </w:pPr>
            <w:r w:rsidRPr="001A547E">
              <w:rPr>
                <w:rFonts w:eastAsia="Microsoft GothicNeo" w:cs="Calibri"/>
              </w:rPr>
              <w:t xml:space="preserve">Number of First Nations </w:t>
            </w:r>
            <w:r>
              <w:rPr>
                <w:rFonts w:eastAsia="Microsoft GothicNeo" w:cs="Calibri"/>
              </w:rPr>
              <w:t>visitor economy</w:t>
            </w:r>
            <w:r w:rsidRPr="001A547E">
              <w:rPr>
                <w:rFonts w:eastAsia="Microsoft GothicNeo" w:cs="Calibri"/>
              </w:rPr>
              <w:t xml:space="preserve"> businesses</w:t>
            </w:r>
          </w:p>
        </w:tc>
      </w:tr>
      <w:tr w:rsidR="00676D34" w14:paraId="075A29FD" w14:textId="77777777" w:rsidTr="00676D34">
        <w:trPr>
          <w:divId w:val="591620094"/>
          <w:trHeight w:val="284"/>
        </w:trPr>
        <w:tc>
          <w:tcPr>
            <w:tcW w:w="1129" w:type="dxa"/>
            <w:vMerge/>
            <w:shd w:val="clear" w:color="auto" w:fill="auto"/>
          </w:tcPr>
          <w:p w14:paraId="35C6BA2C" w14:textId="77777777" w:rsidR="00676D34" w:rsidRDefault="00676D34" w:rsidP="000343EE">
            <w:pPr>
              <w:spacing w:beforeLines="40" w:before="96" w:afterLines="40" w:after="96"/>
              <w:contextualSpacing/>
            </w:pPr>
          </w:p>
        </w:tc>
        <w:tc>
          <w:tcPr>
            <w:tcW w:w="7887" w:type="dxa"/>
            <w:shd w:val="clear" w:color="auto" w:fill="auto"/>
            <w:vAlign w:val="bottom"/>
          </w:tcPr>
          <w:p w14:paraId="23E0EFBF" w14:textId="77777777" w:rsidR="00676D34" w:rsidRPr="001A547E" w:rsidRDefault="00676D34" w:rsidP="000343EE">
            <w:pPr>
              <w:spacing w:before="40" w:after="40"/>
              <w:rPr>
                <w:rFonts w:eastAsia="Microsoft GothicNeo" w:cs="Calibri"/>
              </w:rPr>
            </w:pPr>
            <w:r w:rsidRPr="001A547E">
              <w:rPr>
                <w:rFonts w:eastAsia="Microsoft GothicNeo" w:cs="Calibri"/>
              </w:rPr>
              <w:t>Business investment and innovation (apart from infrastructure)</w:t>
            </w:r>
          </w:p>
        </w:tc>
      </w:tr>
      <w:tr w:rsidR="00676D34" w14:paraId="2F10DC12" w14:textId="77777777" w:rsidTr="00676D34">
        <w:trPr>
          <w:divId w:val="591620094"/>
          <w:trHeight w:val="284"/>
        </w:trPr>
        <w:tc>
          <w:tcPr>
            <w:tcW w:w="1129" w:type="dxa"/>
            <w:vMerge/>
            <w:shd w:val="clear" w:color="auto" w:fill="auto"/>
          </w:tcPr>
          <w:p w14:paraId="290979D9" w14:textId="77777777" w:rsidR="00676D34" w:rsidRDefault="00676D34" w:rsidP="000343EE">
            <w:pPr>
              <w:spacing w:beforeLines="40" w:before="96" w:afterLines="40" w:after="96"/>
              <w:contextualSpacing/>
            </w:pPr>
          </w:p>
        </w:tc>
        <w:tc>
          <w:tcPr>
            <w:tcW w:w="7887" w:type="dxa"/>
            <w:shd w:val="clear" w:color="auto" w:fill="auto"/>
            <w:vAlign w:val="bottom"/>
          </w:tcPr>
          <w:p w14:paraId="6B943061" w14:textId="77777777" w:rsidR="00676D34" w:rsidRPr="001A547E" w:rsidRDefault="00676D34" w:rsidP="000343EE">
            <w:pPr>
              <w:spacing w:before="40" w:after="40"/>
              <w:rPr>
                <w:rFonts w:eastAsia="Microsoft GothicNeo" w:cs="Calibri"/>
              </w:rPr>
            </w:pPr>
            <w:r w:rsidRPr="001A547E">
              <w:rPr>
                <w:rFonts w:eastAsia="Microsoft GothicNeo" w:cs="Calibri"/>
              </w:rPr>
              <w:t xml:space="preserve">Public and/or private sector </w:t>
            </w:r>
            <w:r>
              <w:rPr>
                <w:rFonts w:eastAsia="Microsoft GothicNeo" w:cs="Calibri"/>
              </w:rPr>
              <w:t>visitor economy</w:t>
            </w:r>
            <w:r w:rsidRPr="001A547E">
              <w:rPr>
                <w:rFonts w:eastAsia="Microsoft GothicNeo" w:cs="Calibri"/>
              </w:rPr>
              <w:t xml:space="preserve"> investment tracking/pipeline (infrastructure)</w:t>
            </w:r>
          </w:p>
        </w:tc>
      </w:tr>
      <w:tr w:rsidR="00676D34" w14:paraId="49F0FD37" w14:textId="77777777" w:rsidTr="00676D34">
        <w:trPr>
          <w:divId w:val="591620094"/>
          <w:trHeight w:val="284"/>
        </w:trPr>
        <w:tc>
          <w:tcPr>
            <w:tcW w:w="1129" w:type="dxa"/>
            <w:vMerge/>
            <w:shd w:val="clear" w:color="auto" w:fill="auto"/>
          </w:tcPr>
          <w:p w14:paraId="34D7687F" w14:textId="77777777" w:rsidR="00676D34" w:rsidRDefault="00676D34" w:rsidP="000343EE">
            <w:pPr>
              <w:spacing w:beforeLines="40" w:before="96" w:afterLines="40" w:after="96"/>
              <w:contextualSpacing/>
            </w:pPr>
            <w:bookmarkStart w:id="1" w:name="_Hlk131603557"/>
          </w:p>
        </w:tc>
        <w:tc>
          <w:tcPr>
            <w:tcW w:w="7887" w:type="dxa"/>
            <w:shd w:val="clear" w:color="auto" w:fill="auto"/>
            <w:vAlign w:val="bottom"/>
          </w:tcPr>
          <w:p w14:paraId="46D08E54" w14:textId="30784FE2" w:rsidR="00676D34" w:rsidRPr="001A547E" w:rsidRDefault="00676D34" w:rsidP="000343EE">
            <w:pPr>
              <w:spacing w:before="40" w:after="40"/>
              <w:rPr>
                <w:rFonts w:eastAsia="Microsoft GothicNeo" w:cs="Calibri"/>
              </w:rPr>
            </w:pPr>
            <w:r w:rsidRPr="001A547E">
              <w:rPr>
                <w:rFonts w:eastAsia="Microsoft GothicNeo" w:cs="Calibri"/>
              </w:rPr>
              <w:t xml:space="preserve">New </w:t>
            </w:r>
            <w:r>
              <w:rPr>
                <w:rFonts w:eastAsia="Microsoft GothicNeo" w:cs="Calibri"/>
              </w:rPr>
              <w:t>visitor economy</w:t>
            </w:r>
            <w:r w:rsidRPr="001A547E">
              <w:rPr>
                <w:rFonts w:eastAsia="Microsoft GothicNeo" w:cs="Calibri"/>
              </w:rPr>
              <w:t xml:space="preserve"> experiences and products </w:t>
            </w:r>
            <w:r w:rsidR="00B978E8" w:rsidRPr="00B978E8">
              <w:rPr>
                <w:rFonts w:eastAsia="Microsoft GothicNeo" w:cs="Calibri"/>
                <w:b/>
                <w:bCs/>
              </w:rPr>
              <w:t xml:space="preserve">(including </w:t>
            </w:r>
            <w:r w:rsidR="00B978E8">
              <w:rPr>
                <w:rFonts w:eastAsia="Microsoft GothicNeo" w:cs="Calibri"/>
                <w:b/>
                <w:bCs/>
              </w:rPr>
              <w:t>First Nations</w:t>
            </w:r>
            <w:r w:rsidR="00B978E8" w:rsidRPr="00B978E8">
              <w:rPr>
                <w:rFonts w:eastAsia="Microsoft GothicNeo" w:cs="Calibri"/>
                <w:b/>
                <w:bCs/>
              </w:rPr>
              <w:t>)</w:t>
            </w:r>
          </w:p>
        </w:tc>
      </w:tr>
      <w:bookmarkEnd w:id="1"/>
      <w:tr w:rsidR="00676D34" w14:paraId="037C3AA5" w14:textId="77777777" w:rsidTr="00676D34">
        <w:trPr>
          <w:divId w:val="591620094"/>
          <w:trHeight w:val="284"/>
        </w:trPr>
        <w:tc>
          <w:tcPr>
            <w:tcW w:w="1129" w:type="dxa"/>
            <w:vMerge/>
            <w:shd w:val="clear" w:color="auto" w:fill="auto"/>
          </w:tcPr>
          <w:p w14:paraId="3D2EF282" w14:textId="77777777" w:rsidR="00676D34" w:rsidRDefault="00676D34" w:rsidP="000343EE">
            <w:pPr>
              <w:spacing w:beforeLines="40" w:before="96" w:afterLines="40" w:after="96"/>
              <w:contextualSpacing/>
            </w:pPr>
          </w:p>
        </w:tc>
        <w:tc>
          <w:tcPr>
            <w:tcW w:w="7887" w:type="dxa"/>
            <w:shd w:val="clear" w:color="auto" w:fill="auto"/>
            <w:vAlign w:val="bottom"/>
          </w:tcPr>
          <w:p w14:paraId="4D1A42A9" w14:textId="77777777" w:rsidR="00676D34" w:rsidRPr="001A547E" w:rsidRDefault="00676D34" w:rsidP="000343EE">
            <w:pPr>
              <w:spacing w:before="40" w:after="40"/>
              <w:rPr>
                <w:rFonts w:eastAsia="Microsoft GothicNeo" w:cs="Calibri"/>
              </w:rPr>
            </w:pPr>
            <w:r w:rsidRPr="001A547E">
              <w:rPr>
                <w:rFonts w:eastAsia="Microsoft GothicNeo" w:cs="Calibri"/>
              </w:rPr>
              <w:t>Available inventory / visitor demand</w:t>
            </w:r>
          </w:p>
        </w:tc>
      </w:tr>
      <w:tr w:rsidR="00676D34" w14:paraId="62EA0449" w14:textId="77777777" w:rsidTr="00676D34">
        <w:trPr>
          <w:divId w:val="591620094"/>
          <w:trHeight w:val="284"/>
        </w:trPr>
        <w:tc>
          <w:tcPr>
            <w:tcW w:w="1129" w:type="dxa"/>
            <w:vMerge/>
            <w:shd w:val="clear" w:color="auto" w:fill="auto"/>
          </w:tcPr>
          <w:p w14:paraId="4FE278F9" w14:textId="77777777" w:rsidR="00676D34" w:rsidRDefault="00676D34" w:rsidP="000343EE">
            <w:pPr>
              <w:spacing w:beforeLines="40" w:before="96" w:afterLines="40" w:after="96"/>
              <w:contextualSpacing/>
            </w:pPr>
          </w:p>
        </w:tc>
        <w:tc>
          <w:tcPr>
            <w:tcW w:w="7887" w:type="dxa"/>
            <w:shd w:val="clear" w:color="auto" w:fill="auto"/>
            <w:vAlign w:val="bottom"/>
          </w:tcPr>
          <w:p w14:paraId="3E47C8AA" w14:textId="77777777" w:rsidR="00676D34" w:rsidRPr="001A547E" w:rsidRDefault="00676D34" w:rsidP="000343EE">
            <w:pPr>
              <w:spacing w:before="40" w:after="40"/>
              <w:rPr>
                <w:rFonts w:eastAsia="Microsoft GothicNeo" w:cs="Calibri"/>
              </w:rPr>
            </w:pPr>
            <w:r w:rsidRPr="001A547E">
              <w:rPr>
                <w:rFonts w:eastAsia="Microsoft GothicNeo" w:cs="Calibri"/>
              </w:rPr>
              <w:t>Accommodation establishments and rooms (including mainstream and sharing economy)</w:t>
            </w:r>
          </w:p>
        </w:tc>
      </w:tr>
      <w:tr w:rsidR="00676D34" w14:paraId="1AFE051D" w14:textId="77777777" w:rsidTr="00676D34">
        <w:trPr>
          <w:divId w:val="591620094"/>
          <w:trHeight w:val="284"/>
        </w:trPr>
        <w:tc>
          <w:tcPr>
            <w:tcW w:w="1129" w:type="dxa"/>
            <w:vMerge/>
            <w:shd w:val="clear" w:color="auto" w:fill="auto"/>
          </w:tcPr>
          <w:p w14:paraId="46B35F41" w14:textId="77777777" w:rsidR="00676D34" w:rsidRDefault="00676D34" w:rsidP="000343EE">
            <w:pPr>
              <w:spacing w:beforeLines="40" w:before="96" w:afterLines="40" w:after="96"/>
              <w:contextualSpacing/>
            </w:pPr>
          </w:p>
        </w:tc>
        <w:tc>
          <w:tcPr>
            <w:tcW w:w="7887" w:type="dxa"/>
            <w:shd w:val="clear" w:color="auto" w:fill="auto"/>
            <w:vAlign w:val="bottom"/>
          </w:tcPr>
          <w:p w14:paraId="6A5A0851" w14:textId="77777777" w:rsidR="00676D34" w:rsidRPr="001A547E" w:rsidRDefault="00676D34" w:rsidP="000343EE">
            <w:pPr>
              <w:spacing w:before="40" w:after="40"/>
              <w:rPr>
                <w:rFonts w:eastAsia="Microsoft GothicNeo" w:cs="Calibri"/>
              </w:rPr>
            </w:pPr>
            <w:r w:rsidRPr="001A547E">
              <w:rPr>
                <w:rFonts w:eastAsia="Microsoft GothicNeo" w:cs="Calibri"/>
              </w:rPr>
              <w:t>Accommodation rates for mainstream (incl. average daily room rate</w:t>
            </w:r>
            <w:r>
              <w:rPr>
                <w:rFonts w:eastAsia="Microsoft GothicNeo" w:cs="Calibri"/>
              </w:rPr>
              <w:t xml:space="preserve"> (ADRR),</w:t>
            </w:r>
            <w:r w:rsidRPr="001A547E">
              <w:rPr>
                <w:rFonts w:eastAsia="Microsoft GothicNeo" w:cs="Calibri"/>
              </w:rPr>
              <w:t xml:space="preserve"> revenue per available room (RevPAR))</w:t>
            </w:r>
            <w:r>
              <w:rPr>
                <w:rFonts w:eastAsia="Microsoft GothicNeo" w:cs="Calibri"/>
              </w:rPr>
              <w:t xml:space="preserve"> and average length of stay</w:t>
            </w:r>
            <w:r w:rsidRPr="001A547E">
              <w:rPr>
                <w:rFonts w:eastAsia="Microsoft GothicNeo" w:cs="Calibri"/>
              </w:rPr>
              <w:t xml:space="preserve"> (ALOS)</w:t>
            </w:r>
          </w:p>
        </w:tc>
      </w:tr>
      <w:tr w:rsidR="00676D34" w14:paraId="58FCFC1A" w14:textId="77777777" w:rsidTr="00676D34">
        <w:trPr>
          <w:divId w:val="591620094"/>
          <w:trHeight w:val="284"/>
        </w:trPr>
        <w:tc>
          <w:tcPr>
            <w:tcW w:w="1129" w:type="dxa"/>
            <w:vMerge/>
            <w:shd w:val="clear" w:color="auto" w:fill="auto"/>
          </w:tcPr>
          <w:p w14:paraId="1E16DC6A" w14:textId="77777777" w:rsidR="00676D34" w:rsidRDefault="00676D34" w:rsidP="000343EE">
            <w:pPr>
              <w:spacing w:beforeLines="40" w:before="96" w:afterLines="40" w:after="96"/>
              <w:contextualSpacing/>
            </w:pPr>
          </w:p>
        </w:tc>
        <w:tc>
          <w:tcPr>
            <w:tcW w:w="7887" w:type="dxa"/>
            <w:shd w:val="clear" w:color="auto" w:fill="auto"/>
            <w:vAlign w:val="bottom"/>
          </w:tcPr>
          <w:p w14:paraId="6E128ECB" w14:textId="77777777" w:rsidR="00676D34" w:rsidRPr="001A547E" w:rsidRDefault="00676D34" w:rsidP="000343EE">
            <w:pPr>
              <w:spacing w:before="40" w:after="40"/>
              <w:rPr>
                <w:rFonts w:eastAsia="Microsoft GothicNeo" w:cs="Calibri"/>
              </w:rPr>
            </w:pPr>
            <w:r w:rsidRPr="001A547E">
              <w:rPr>
                <w:rFonts w:eastAsia="Times New Roman" w:cs="Times New Roman"/>
              </w:rPr>
              <w:t>Tourism transport mix</w:t>
            </w:r>
          </w:p>
        </w:tc>
      </w:tr>
      <w:tr w:rsidR="00676D34" w14:paraId="28F3176C" w14:textId="77777777" w:rsidTr="00676D34">
        <w:trPr>
          <w:divId w:val="591620094"/>
          <w:trHeight w:val="284"/>
        </w:trPr>
        <w:tc>
          <w:tcPr>
            <w:tcW w:w="1129" w:type="dxa"/>
            <w:vMerge w:val="restart"/>
            <w:shd w:val="clear" w:color="auto" w:fill="auto"/>
          </w:tcPr>
          <w:p w14:paraId="7C60631C" w14:textId="77777777" w:rsidR="00676D34" w:rsidRDefault="00676D34" w:rsidP="000343EE">
            <w:pPr>
              <w:spacing w:beforeLines="40" w:before="96" w:afterLines="40" w:after="96"/>
              <w:contextualSpacing/>
            </w:pPr>
            <w:r>
              <w:t>Low</w:t>
            </w:r>
          </w:p>
        </w:tc>
        <w:tc>
          <w:tcPr>
            <w:tcW w:w="7887" w:type="dxa"/>
            <w:shd w:val="clear" w:color="auto" w:fill="auto"/>
            <w:vAlign w:val="bottom"/>
          </w:tcPr>
          <w:p w14:paraId="18C71812" w14:textId="77777777" w:rsidR="00676D34" w:rsidRPr="001A547E" w:rsidRDefault="00676D34" w:rsidP="000343EE">
            <w:pPr>
              <w:spacing w:before="40" w:after="40"/>
              <w:rPr>
                <w:rFonts w:eastAsia="Microsoft GothicNeo" w:cs="Calibri"/>
              </w:rPr>
            </w:pPr>
            <w:r w:rsidRPr="001A547E">
              <w:rPr>
                <w:rFonts w:eastAsia="Microsoft GothicNeo" w:cs="Calibri"/>
              </w:rPr>
              <w:t>Visitors seeking health and medical assistance</w:t>
            </w:r>
          </w:p>
        </w:tc>
      </w:tr>
      <w:tr w:rsidR="00676D34" w14:paraId="5D705FD5" w14:textId="77777777" w:rsidTr="00676D34">
        <w:trPr>
          <w:divId w:val="591620094"/>
          <w:trHeight w:val="284"/>
        </w:trPr>
        <w:tc>
          <w:tcPr>
            <w:tcW w:w="1129" w:type="dxa"/>
            <w:vMerge/>
            <w:shd w:val="clear" w:color="auto" w:fill="auto"/>
          </w:tcPr>
          <w:p w14:paraId="10D65C82" w14:textId="77777777" w:rsidR="00676D34" w:rsidRDefault="00676D34" w:rsidP="000343EE">
            <w:pPr>
              <w:spacing w:beforeLines="40" w:before="96" w:afterLines="40" w:after="96"/>
              <w:contextualSpacing/>
            </w:pPr>
          </w:p>
        </w:tc>
        <w:tc>
          <w:tcPr>
            <w:tcW w:w="7887" w:type="dxa"/>
            <w:shd w:val="clear" w:color="auto" w:fill="auto"/>
            <w:vAlign w:val="bottom"/>
          </w:tcPr>
          <w:p w14:paraId="0AA7ABA4" w14:textId="77777777" w:rsidR="00676D34" w:rsidRPr="001A547E" w:rsidRDefault="00676D34" w:rsidP="000343EE">
            <w:pPr>
              <w:spacing w:before="40" w:after="40"/>
              <w:rPr>
                <w:rFonts w:eastAsia="Microsoft GothicNeo" w:cs="Calibri"/>
              </w:rPr>
            </w:pPr>
            <w:r w:rsidRPr="001A547E">
              <w:rPr>
                <w:rFonts w:eastAsia="Microsoft GothicNeo" w:cs="Calibri"/>
              </w:rPr>
              <w:t xml:space="preserve">Cruise ports (ship visits, mobility mapping, </w:t>
            </w:r>
            <w:proofErr w:type="spellStart"/>
            <w:r w:rsidRPr="001A547E">
              <w:rPr>
                <w:rFonts w:eastAsia="Microsoft GothicNeo" w:cs="Calibri"/>
              </w:rPr>
              <w:t>disembarkment</w:t>
            </w:r>
            <w:proofErr w:type="spellEnd"/>
            <w:r w:rsidRPr="001A547E">
              <w:rPr>
                <w:rFonts w:eastAsia="Microsoft GothicNeo" w:cs="Calibri"/>
              </w:rPr>
              <w:t xml:space="preserve"> of visitors)</w:t>
            </w:r>
          </w:p>
        </w:tc>
      </w:tr>
      <w:tr w:rsidR="00676D34" w14:paraId="2CE6290C" w14:textId="77777777" w:rsidTr="00676D34">
        <w:trPr>
          <w:divId w:val="591620094"/>
          <w:trHeight w:val="284"/>
        </w:trPr>
        <w:tc>
          <w:tcPr>
            <w:tcW w:w="1129" w:type="dxa"/>
            <w:vMerge/>
            <w:shd w:val="clear" w:color="auto" w:fill="auto"/>
          </w:tcPr>
          <w:p w14:paraId="3B19637E" w14:textId="77777777" w:rsidR="00676D34" w:rsidRDefault="00676D34" w:rsidP="000343EE">
            <w:pPr>
              <w:spacing w:beforeLines="40" w:before="96" w:afterLines="40" w:after="96"/>
              <w:contextualSpacing/>
            </w:pPr>
          </w:p>
        </w:tc>
        <w:tc>
          <w:tcPr>
            <w:tcW w:w="7887" w:type="dxa"/>
            <w:shd w:val="clear" w:color="auto" w:fill="auto"/>
            <w:vAlign w:val="bottom"/>
          </w:tcPr>
          <w:p w14:paraId="580AAEF1" w14:textId="2AF22A48" w:rsidR="00676D34" w:rsidRPr="00756DB8" w:rsidRDefault="00676D34" w:rsidP="000343EE">
            <w:pPr>
              <w:spacing w:before="40" w:after="40"/>
              <w:rPr>
                <w:rFonts w:eastAsia="Microsoft GothicNeo" w:cs="Calibri"/>
              </w:rPr>
            </w:pPr>
            <w:r w:rsidRPr="00756DB8">
              <w:rPr>
                <w:rFonts w:eastAsia="Microsoft GothicNeo" w:cs="Calibri"/>
              </w:rPr>
              <w:t xml:space="preserve">Government and industry collaboration to deliver </w:t>
            </w:r>
            <w:r w:rsidR="001B39AC" w:rsidRPr="00756DB8">
              <w:rPr>
                <w:rFonts w:eastAsia="Microsoft GothicNeo" w:cs="Calibri"/>
                <w:i/>
                <w:iCs/>
              </w:rPr>
              <w:t>THRIVE 2030</w:t>
            </w:r>
          </w:p>
        </w:tc>
      </w:tr>
      <w:tr w:rsidR="00676D34" w14:paraId="644412CA" w14:textId="77777777" w:rsidTr="00676D34">
        <w:trPr>
          <w:divId w:val="591620094"/>
          <w:trHeight w:val="284"/>
        </w:trPr>
        <w:tc>
          <w:tcPr>
            <w:tcW w:w="1129" w:type="dxa"/>
            <w:vMerge/>
            <w:shd w:val="clear" w:color="auto" w:fill="auto"/>
          </w:tcPr>
          <w:p w14:paraId="14C16E81" w14:textId="77777777" w:rsidR="00676D34" w:rsidRDefault="00676D34" w:rsidP="000343EE">
            <w:pPr>
              <w:spacing w:beforeLines="40" w:before="96" w:afterLines="40" w:after="96"/>
              <w:contextualSpacing/>
            </w:pPr>
          </w:p>
        </w:tc>
        <w:tc>
          <w:tcPr>
            <w:tcW w:w="7887" w:type="dxa"/>
            <w:shd w:val="clear" w:color="auto" w:fill="auto"/>
            <w:vAlign w:val="bottom"/>
          </w:tcPr>
          <w:p w14:paraId="5BB906BB" w14:textId="77777777" w:rsidR="00676D34" w:rsidRPr="00756DB8" w:rsidRDefault="00676D34" w:rsidP="000343EE">
            <w:pPr>
              <w:spacing w:before="40" w:after="40"/>
              <w:rPr>
                <w:rFonts w:eastAsia="Microsoft GothicNeo" w:cs="Calibri"/>
              </w:rPr>
            </w:pPr>
            <w:r w:rsidRPr="00756DB8">
              <w:rPr>
                <w:rFonts w:eastAsia="Microsoft GothicNeo" w:cs="Calibri"/>
              </w:rPr>
              <w:t>Open data</w:t>
            </w:r>
          </w:p>
        </w:tc>
      </w:tr>
      <w:tr w:rsidR="00676D34" w14:paraId="756F2E0D" w14:textId="77777777" w:rsidTr="00676D34">
        <w:trPr>
          <w:divId w:val="591620094"/>
          <w:trHeight w:val="284"/>
        </w:trPr>
        <w:tc>
          <w:tcPr>
            <w:tcW w:w="1129" w:type="dxa"/>
            <w:vMerge/>
            <w:shd w:val="clear" w:color="auto" w:fill="auto"/>
          </w:tcPr>
          <w:p w14:paraId="2291CDF0" w14:textId="77777777" w:rsidR="00676D34" w:rsidRDefault="00676D34" w:rsidP="000343EE">
            <w:pPr>
              <w:spacing w:beforeLines="40" w:before="96" w:afterLines="40" w:after="96"/>
              <w:contextualSpacing/>
            </w:pPr>
          </w:p>
        </w:tc>
        <w:tc>
          <w:tcPr>
            <w:tcW w:w="7887" w:type="dxa"/>
            <w:shd w:val="clear" w:color="auto" w:fill="auto"/>
            <w:vAlign w:val="bottom"/>
          </w:tcPr>
          <w:p w14:paraId="4E964202" w14:textId="77777777" w:rsidR="00676D34" w:rsidRPr="00B978E8" w:rsidRDefault="00676D34" w:rsidP="000343EE">
            <w:pPr>
              <w:spacing w:before="40" w:after="40"/>
              <w:rPr>
                <w:rFonts w:eastAsia="Microsoft GothicNeo" w:cs="Calibri"/>
                <w:strike/>
              </w:rPr>
            </w:pPr>
            <w:r w:rsidRPr="00B978E8">
              <w:rPr>
                <w:rFonts w:eastAsia="Microsoft GothicNeo" w:cs="Calibri"/>
                <w:strike/>
              </w:rPr>
              <w:t>Competitive digital capability (test integration, 5G network, data, interparty)</w:t>
            </w:r>
          </w:p>
        </w:tc>
      </w:tr>
      <w:tr w:rsidR="00676D34" w14:paraId="67FB4AAB" w14:textId="77777777" w:rsidTr="00676D34">
        <w:trPr>
          <w:divId w:val="591620094"/>
          <w:trHeight w:val="284"/>
        </w:trPr>
        <w:tc>
          <w:tcPr>
            <w:tcW w:w="1129" w:type="dxa"/>
            <w:vMerge/>
            <w:shd w:val="clear" w:color="auto" w:fill="auto"/>
          </w:tcPr>
          <w:p w14:paraId="45469512" w14:textId="77777777" w:rsidR="00676D34" w:rsidRDefault="00676D34" w:rsidP="000343EE">
            <w:pPr>
              <w:spacing w:beforeLines="40" w:before="96" w:afterLines="40" w:after="96"/>
              <w:contextualSpacing/>
            </w:pPr>
          </w:p>
        </w:tc>
        <w:tc>
          <w:tcPr>
            <w:tcW w:w="7887" w:type="dxa"/>
            <w:shd w:val="clear" w:color="auto" w:fill="auto"/>
            <w:vAlign w:val="bottom"/>
          </w:tcPr>
          <w:p w14:paraId="3FD1A031" w14:textId="77777777" w:rsidR="00676D34" w:rsidRPr="001A547E" w:rsidRDefault="00676D34" w:rsidP="000343EE">
            <w:pPr>
              <w:spacing w:before="40" w:after="40"/>
              <w:rPr>
                <w:rFonts w:eastAsia="Microsoft GothicNeo" w:cs="Calibri"/>
              </w:rPr>
            </w:pPr>
            <w:r w:rsidRPr="001A547E">
              <w:rPr>
                <w:rFonts w:eastAsia="Microsoft GothicNeo" w:cs="Calibri"/>
              </w:rPr>
              <w:t>Business event data gap — convention centre occupancy</w:t>
            </w:r>
          </w:p>
        </w:tc>
      </w:tr>
      <w:tr w:rsidR="00676D34" w14:paraId="7D50D0F1" w14:textId="77777777" w:rsidTr="00676D34">
        <w:trPr>
          <w:divId w:val="591620094"/>
          <w:trHeight w:val="284"/>
        </w:trPr>
        <w:tc>
          <w:tcPr>
            <w:tcW w:w="1129" w:type="dxa"/>
            <w:vMerge/>
            <w:shd w:val="clear" w:color="auto" w:fill="auto"/>
          </w:tcPr>
          <w:p w14:paraId="2E6C7E47" w14:textId="77777777" w:rsidR="00676D34" w:rsidRDefault="00676D34" w:rsidP="000343EE">
            <w:pPr>
              <w:spacing w:beforeLines="40" w:before="96" w:afterLines="40" w:after="96"/>
              <w:contextualSpacing/>
            </w:pPr>
          </w:p>
        </w:tc>
        <w:tc>
          <w:tcPr>
            <w:tcW w:w="7887" w:type="dxa"/>
            <w:shd w:val="clear" w:color="auto" w:fill="auto"/>
            <w:vAlign w:val="bottom"/>
          </w:tcPr>
          <w:p w14:paraId="133542D0" w14:textId="77777777" w:rsidR="00676D34" w:rsidRPr="00756DB8" w:rsidRDefault="00676D34" w:rsidP="000343EE">
            <w:pPr>
              <w:spacing w:before="40" w:after="40"/>
              <w:rPr>
                <w:rFonts w:eastAsia="Microsoft GothicNeo" w:cs="Calibri"/>
              </w:rPr>
            </w:pPr>
            <w:r w:rsidRPr="00756DB8">
              <w:rPr>
                <w:rFonts w:eastAsia="Microsoft GothicNeo" w:cs="Calibri"/>
              </w:rPr>
              <w:t>Data security, privacy</w:t>
            </w:r>
          </w:p>
        </w:tc>
      </w:tr>
      <w:tr w:rsidR="00676D34" w14:paraId="696332A3" w14:textId="77777777" w:rsidTr="00676D34">
        <w:trPr>
          <w:divId w:val="591620094"/>
          <w:trHeight w:val="284"/>
        </w:trPr>
        <w:tc>
          <w:tcPr>
            <w:tcW w:w="1129" w:type="dxa"/>
            <w:vMerge/>
            <w:shd w:val="clear" w:color="auto" w:fill="auto"/>
          </w:tcPr>
          <w:p w14:paraId="206CB446" w14:textId="77777777" w:rsidR="00676D34" w:rsidRDefault="00676D34" w:rsidP="000343EE">
            <w:pPr>
              <w:spacing w:beforeLines="40" w:before="96" w:afterLines="40" w:after="96"/>
              <w:contextualSpacing/>
            </w:pPr>
          </w:p>
        </w:tc>
        <w:tc>
          <w:tcPr>
            <w:tcW w:w="7887" w:type="dxa"/>
            <w:shd w:val="clear" w:color="auto" w:fill="auto"/>
            <w:vAlign w:val="bottom"/>
          </w:tcPr>
          <w:p w14:paraId="054CABB0" w14:textId="77777777" w:rsidR="00676D34" w:rsidRPr="001A547E" w:rsidRDefault="00676D34" w:rsidP="000343EE">
            <w:pPr>
              <w:spacing w:before="40" w:after="40"/>
              <w:rPr>
                <w:rFonts w:eastAsia="Microsoft GothicNeo" w:cs="Calibri"/>
              </w:rPr>
            </w:pPr>
            <w:r>
              <w:rPr>
                <w:rFonts w:eastAsia="Microsoft GothicNeo" w:cs="Calibri"/>
              </w:rPr>
              <w:t>Innovation (e.g. start-up activity)</w:t>
            </w:r>
          </w:p>
        </w:tc>
      </w:tr>
    </w:tbl>
    <w:p w14:paraId="1D9A7DCB" w14:textId="77777777" w:rsidR="00676D34" w:rsidRDefault="00676D34" w:rsidP="00676D34">
      <w:pPr>
        <w:divId w:val="591620094"/>
        <w:rPr>
          <w:b/>
          <w:bCs/>
          <w:sz w:val="24"/>
          <w:szCs w:val="24"/>
        </w:rPr>
      </w:pPr>
    </w:p>
    <w:p w14:paraId="4AD8A1C6" w14:textId="77777777" w:rsidR="00676D34" w:rsidRDefault="00676D34" w:rsidP="00676D34">
      <w:pPr>
        <w:spacing w:before="120"/>
        <w:divId w:val="591620094"/>
        <w:rPr>
          <w:b/>
          <w:bCs/>
          <w:sz w:val="24"/>
          <w:szCs w:val="24"/>
        </w:rPr>
      </w:pPr>
      <w:r w:rsidRPr="005A71B0">
        <w:rPr>
          <w:b/>
          <w:bCs/>
          <w:sz w:val="24"/>
          <w:szCs w:val="24"/>
        </w:rPr>
        <w:t>Social indicator</w:t>
      </w:r>
      <w:r>
        <w:rPr>
          <w:b/>
          <w:bCs/>
          <w:sz w:val="24"/>
          <w:szCs w:val="24"/>
        </w:rPr>
        <w:t>s</w:t>
      </w:r>
    </w:p>
    <w:tbl>
      <w:tblPr>
        <w:tblStyle w:val="TableGrid"/>
        <w:tblW w:w="0" w:type="auto"/>
        <w:tblLook w:val="04A0" w:firstRow="1" w:lastRow="0" w:firstColumn="1" w:lastColumn="0" w:noHBand="0" w:noVBand="1"/>
      </w:tblPr>
      <w:tblGrid>
        <w:gridCol w:w="1129"/>
        <w:gridCol w:w="7887"/>
      </w:tblGrid>
      <w:tr w:rsidR="00676D34" w14:paraId="4E764202" w14:textId="77777777" w:rsidTr="00676D34">
        <w:trPr>
          <w:divId w:val="591620094"/>
          <w:trHeight w:val="284"/>
        </w:trPr>
        <w:tc>
          <w:tcPr>
            <w:tcW w:w="1129" w:type="dxa"/>
            <w:shd w:val="clear" w:color="auto" w:fill="9CC2E5" w:themeFill="accent5" w:themeFillTint="99"/>
          </w:tcPr>
          <w:p w14:paraId="73C2F847" w14:textId="77777777" w:rsidR="00676D34" w:rsidRDefault="00676D34" w:rsidP="000343EE">
            <w:pPr>
              <w:spacing w:before="40" w:after="40"/>
            </w:pPr>
            <w:r>
              <w:t>Priority</w:t>
            </w:r>
          </w:p>
        </w:tc>
        <w:tc>
          <w:tcPr>
            <w:tcW w:w="7887" w:type="dxa"/>
            <w:shd w:val="clear" w:color="auto" w:fill="9CC2E5" w:themeFill="accent5" w:themeFillTint="99"/>
          </w:tcPr>
          <w:p w14:paraId="19BBA359" w14:textId="77777777" w:rsidR="00676D34" w:rsidRDefault="00676D34" w:rsidP="000343EE">
            <w:pPr>
              <w:spacing w:before="40" w:after="40"/>
            </w:pPr>
            <w:r>
              <w:t>Indicator</w:t>
            </w:r>
          </w:p>
        </w:tc>
      </w:tr>
      <w:tr w:rsidR="00676D34" w14:paraId="14803AE4" w14:textId="77777777" w:rsidTr="00676D34">
        <w:trPr>
          <w:divId w:val="591620094"/>
          <w:trHeight w:val="284"/>
        </w:trPr>
        <w:tc>
          <w:tcPr>
            <w:tcW w:w="1129" w:type="dxa"/>
            <w:vMerge w:val="restart"/>
            <w:shd w:val="clear" w:color="auto" w:fill="auto"/>
          </w:tcPr>
          <w:p w14:paraId="29CF14CE" w14:textId="77777777" w:rsidR="00676D34" w:rsidRDefault="00676D34" w:rsidP="000343EE">
            <w:pPr>
              <w:spacing w:before="40" w:after="40"/>
            </w:pPr>
            <w:r>
              <w:t>High</w:t>
            </w:r>
          </w:p>
        </w:tc>
        <w:tc>
          <w:tcPr>
            <w:tcW w:w="7887" w:type="dxa"/>
            <w:shd w:val="clear" w:color="auto" w:fill="auto"/>
            <w:vAlign w:val="bottom"/>
          </w:tcPr>
          <w:p w14:paraId="085DE0A8" w14:textId="77777777" w:rsidR="00676D34" w:rsidRDefault="00676D34" w:rsidP="000343EE">
            <w:pPr>
              <w:spacing w:before="40" w:after="40"/>
            </w:pPr>
            <w:r w:rsidRPr="001A547E">
              <w:rPr>
                <w:rFonts w:eastAsia="Microsoft GothicNeo" w:cs="Calibri"/>
              </w:rPr>
              <w:t>Visitor sentiment (quality of experience)</w:t>
            </w:r>
          </w:p>
        </w:tc>
      </w:tr>
      <w:tr w:rsidR="00676D34" w14:paraId="3ADE8EEF" w14:textId="77777777" w:rsidTr="00676D34">
        <w:trPr>
          <w:divId w:val="591620094"/>
          <w:trHeight w:val="284"/>
        </w:trPr>
        <w:tc>
          <w:tcPr>
            <w:tcW w:w="1129" w:type="dxa"/>
            <w:vMerge/>
            <w:shd w:val="clear" w:color="auto" w:fill="auto"/>
          </w:tcPr>
          <w:p w14:paraId="165FF69A" w14:textId="77777777" w:rsidR="00676D34" w:rsidRDefault="00676D34" w:rsidP="000343EE">
            <w:pPr>
              <w:spacing w:before="40" w:after="40"/>
            </w:pPr>
          </w:p>
        </w:tc>
        <w:tc>
          <w:tcPr>
            <w:tcW w:w="7887" w:type="dxa"/>
            <w:shd w:val="clear" w:color="auto" w:fill="auto"/>
            <w:vAlign w:val="bottom"/>
          </w:tcPr>
          <w:p w14:paraId="7A842724" w14:textId="77777777" w:rsidR="00676D34" w:rsidRPr="001A547E" w:rsidRDefault="00676D34" w:rsidP="000343EE">
            <w:pPr>
              <w:spacing w:before="40" w:after="40"/>
              <w:rPr>
                <w:rFonts w:eastAsia="Microsoft GothicNeo" w:cs="Calibri"/>
              </w:rPr>
            </w:pPr>
            <w:r w:rsidRPr="001A547E">
              <w:rPr>
                <w:rFonts w:eastAsia="Microsoft GothicNeo" w:cs="Calibri"/>
              </w:rPr>
              <w:t>Community sentiment (social licence) (engagement)</w:t>
            </w:r>
          </w:p>
        </w:tc>
      </w:tr>
      <w:tr w:rsidR="00676D34" w14:paraId="5B7F133F" w14:textId="77777777" w:rsidTr="00676D34">
        <w:trPr>
          <w:divId w:val="591620094"/>
          <w:trHeight w:val="284"/>
        </w:trPr>
        <w:tc>
          <w:tcPr>
            <w:tcW w:w="1129" w:type="dxa"/>
            <w:vMerge/>
            <w:shd w:val="clear" w:color="auto" w:fill="auto"/>
          </w:tcPr>
          <w:p w14:paraId="071E2E3C" w14:textId="77777777" w:rsidR="00676D34" w:rsidRDefault="00676D34" w:rsidP="000343EE">
            <w:pPr>
              <w:spacing w:before="40" w:after="40"/>
            </w:pPr>
          </w:p>
        </w:tc>
        <w:tc>
          <w:tcPr>
            <w:tcW w:w="7887" w:type="dxa"/>
            <w:shd w:val="clear" w:color="auto" w:fill="auto"/>
            <w:vAlign w:val="bottom"/>
          </w:tcPr>
          <w:p w14:paraId="2BE06B3F" w14:textId="77777777" w:rsidR="00676D34" w:rsidRPr="001A547E" w:rsidRDefault="00676D34" w:rsidP="000343EE">
            <w:pPr>
              <w:spacing w:before="40" w:after="40"/>
              <w:rPr>
                <w:rFonts w:eastAsia="Microsoft GothicNeo" w:cs="Calibri"/>
              </w:rPr>
            </w:pPr>
            <w:r w:rsidRPr="001A547E">
              <w:rPr>
                <w:rFonts w:eastAsia="Microsoft GothicNeo" w:cs="Calibri"/>
              </w:rPr>
              <w:t>Quality of life (residence)</w:t>
            </w:r>
          </w:p>
        </w:tc>
      </w:tr>
      <w:tr w:rsidR="00676D34" w14:paraId="37225F67" w14:textId="77777777" w:rsidTr="00676D34">
        <w:trPr>
          <w:divId w:val="591620094"/>
          <w:trHeight w:val="284"/>
        </w:trPr>
        <w:tc>
          <w:tcPr>
            <w:tcW w:w="1129" w:type="dxa"/>
            <w:vMerge/>
            <w:shd w:val="clear" w:color="auto" w:fill="auto"/>
          </w:tcPr>
          <w:p w14:paraId="35123D0A" w14:textId="77777777" w:rsidR="00676D34" w:rsidRDefault="00676D34" w:rsidP="000343EE">
            <w:pPr>
              <w:spacing w:before="40" w:after="40"/>
            </w:pPr>
          </w:p>
        </w:tc>
        <w:tc>
          <w:tcPr>
            <w:tcW w:w="7887" w:type="dxa"/>
            <w:shd w:val="clear" w:color="auto" w:fill="auto"/>
            <w:vAlign w:val="bottom"/>
          </w:tcPr>
          <w:p w14:paraId="17BC8AB7" w14:textId="77777777" w:rsidR="00676D34" w:rsidRPr="001A547E" w:rsidRDefault="00676D34" w:rsidP="000343EE">
            <w:pPr>
              <w:spacing w:before="40" w:after="40"/>
              <w:rPr>
                <w:rFonts w:eastAsia="Microsoft GothicNeo" w:cs="Calibri"/>
              </w:rPr>
            </w:pPr>
            <w:r w:rsidRPr="001A547E">
              <w:rPr>
                <w:rFonts w:eastAsia="Microsoft GothicNeo" w:cs="Calibri"/>
              </w:rPr>
              <w:t>Community support for tourism (includes events and extends to infrastructure)</w:t>
            </w:r>
          </w:p>
        </w:tc>
      </w:tr>
      <w:tr w:rsidR="00676D34" w14:paraId="16760D13" w14:textId="77777777" w:rsidTr="00676D34">
        <w:trPr>
          <w:divId w:val="591620094"/>
          <w:trHeight w:val="284"/>
        </w:trPr>
        <w:tc>
          <w:tcPr>
            <w:tcW w:w="1129" w:type="dxa"/>
            <w:vMerge/>
            <w:shd w:val="clear" w:color="auto" w:fill="auto"/>
          </w:tcPr>
          <w:p w14:paraId="3CB2D2DA" w14:textId="77777777" w:rsidR="00676D34" w:rsidRDefault="00676D34" w:rsidP="000343EE">
            <w:pPr>
              <w:spacing w:before="40" w:after="40"/>
            </w:pPr>
          </w:p>
        </w:tc>
        <w:tc>
          <w:tcPr>
            <w:tcW w:w="7887" w:type="dxa"/>
            <w:shd w:val="clear" w:color="auto" w:fill="auto"/>
            <w:vAlign w:val="bottom"/>
          </w:tcPr>
          <w:p w14:paraId="334FC645" w14:textId="77777777" w:rsidR="00676D34" w:rsidRPr="001A547E" w:rsidRDefault="00676D34" w:rsidP="000343EE">
            <w:pPr>
              <w:spacing w:before="40" w:after="40"/>
              <w:rPr>
                <w:rFonts w:eastAsia="Microsoft GothicNeo" w:cs="Calibri"/>
              </w:rPr>
            </w:pPr>
            <w:r w:rsidRPr="001A547E">
              <w:rPr>
                <w:rFonts w:eastAsia="Microsoft GothicNeo" w:cs="Calibri"/>
              </w:rPr>
              <w:t>Indigenous owned businesses</w:t>
            </w:r>
          </w:p>
        </w:tc>
      </w:tr>
      <w:tr w:rsidR="00676D34" w14:paraId="56E685DF" w14:textId="77777777" w:rsidTr="00676D34">
        <w:trPr>
          <w:divId w:val="591620094"/>
          <w:trHeight w:val="284"/>
        </w:trPr>
        <w:tc>
          <w:tcPr>
            <w:tcW w:w="1129" w:type="dxa"/>
            <w:vMerge/>
            <w:shd w:val="clear" w:color="auto" w:fill="auto"/>
          </w:tcPr>
          <w:p w14:paraId="49E05ABB" w14:textId="77777777" w:rsidR="00676D34" w:rsidRDefault="00676D34" w:rsidP="000343EE">
            <w:pPr>
              <w:spacing w:before="40" w:after="40"/>
            </w:pPr>
          </w:p>
        </w:tc>
        <w:tc>
          <w:tcPr>
            <w:tcW w:w="7887" w:type="dxa"/>
            <w:shd w:val="clear" w:color="auto" w:fill="auto"/>
            <w:vAlign w:val="bottom"/>
          </w:tcPr>
          <w:p w14:paraId="3F05A70D" w14:textId="77777777" w:rsidR="00676D34" w:rsidRPr="001A547E" w:rsidRDefault="00676D34" w:rsidP="000343EE">
            <w:pPr>
              <w:spacing w:before="40" w:after="40"/>
              <w:rPr>
                <w:rFonts w:eastAsia="Microsoft GothicNeo" w:cs="Calibri"/>
              </w:rPr>
            </w:pPr>
            <w:r w:rsidRPr="001A547E">
              <w:rPr>
                <w:rFonts w:eastAsia="Microsoft GothicNeo" w:cs="Calibri"/>
              </w:rPr>
              <w:t>Cultural heritage protection (tangible and intangible)</w:t>
            </w:r>
          </w:p>
        </w:tc>
      </w:tr>
      <w:tr w:rsidR="00B978E8" w14:paraId="097EA875" w14:textId="77777777" w:rsidTr="00676D34">
        <w:trPr>
          <w:divId w:val="591620094"/>
          <w:trHeight w:val="284"/>
        </w:trPr>
        <w:tc>
          <w:tcPr>
            <w:tcW w:w="1129" w:type="dxa"/>
            <w:vMerge/>
            <w:shd w:val="clear" w:color="auto" w:fill="auto"/>
          </w:tcPr>
          <w:p w14:paraId="563DBDF0" w14:textId="77777777" w:rsidR="00B978E8" w:rsidRDefault="00B978E8" w:rsidP="000343EE">
            <w:pPr>
              <w:spacing w:before="40" w:after="40"/>
            </w:pPr>
          </w:p>
        </w:tc>
        <w:tc>
          <w:tcPr>
            <w:tcW w:w="7887" w:type="dxa"/>
            <w:shd w:val="clear" w:color="auto" w:fill="auto"/>
            <w:vAlign w:val="bottom"/>
          </w:tcPr>
          <w:p w14:paraId="19AC7E86" w14:textId="7B5FBFDE" w:rsidR="00B978E8" w:rsidRPr="001A547E" w:rsidRDefault="00B978E8" w:rsidP="000343EE">
            <w:pPr>
              <w:spacing w:before="40" w:after="40"/>
              <w:rPr>
                <w:rFonts w:eastAsia="Microsoft GothicNeo" w:cs="Calibri"/>
              </w:rPr>
            </w:pPr>
            <w:r w:rsidRPr="001A547E">
              <w:rPr>
                <w:rFonts w:eastAsia="Microsoft GothicNeo" w:cs="Calibri"/>
              </w:rPr>
              <w:t>Capacity limits / demand management / visitor contribution to life in Australia</w:t>
            </w:r>
          </w:p>
        </w:tc>
      </w:tr>
      <w:tr w:rsidR="00B978E8" w14:paraId="57B5E824" w14:textId="77777777" w:rsidTr="00676D34">
        <w:trPr>
          <w:divId w:val="591620094"/>
          <w:trHeight w:val="284"/>
        </w:trPr>
        <w:tc>
          <w:tcPr>
            <w:tcW w:w="1129" w:type="dxa"/>
            <w:vMerge/>
            <w:shd w:val="clear" w:color="auto" w:fill="auto"/>
          </w:tcPr>
          <w:p w14:paraId="64AAA848" w14:textId="77777777" w:rsidR="00B978E8" w:rsidRDefault="00B978E8" w:rsidP="00B978E8">
            <w:pPr>
              <w:spacing w:before="40" w:after="40"/>
            </w:pPr>
          </w:p>
        </w:tc>
        <w:tc>
          <w:tcPr>
            <w:tcW w:w="7887" w:type="dxa"/>
            <w:shd w:val="clear" w:color="auto" w:fill="auto"/>
            <w:vAlign w:val="bottom"/>
          </w:tcPr>
          <w:p w14:paraId="0206BE0F" w14:textId="41F9F590" w:rsidR="00B978E8" w:rsidRPr="00B978E8" w:rsidRDefault="00B978E8" w:rsidP="00B978E8">
            <w:pPr>
              <w:spacing w:before="40" w:after="40"/>
              <w:rPr>
                <w:rFonts w:eastAsia="Microsoft GothicNeo" w:cs="Calibri"/>
                <w:b/>
                <w:bCs/>
              </w:rPr>
            </w:pPr>
            <w:r w:rsidRPr="00B978E8">
              <w:rPr>
                <w:rFonts w:eastAsia="Microsoft GothicNeo" w:cs="Calibri"/>
                <w:b/>
                <w:bCs/>
              </w:rPr>
              <w:t xml:space="preserve">Accessibility for people with </w:t>
            </w:r>
            <w:r w:rsidRPr="00B978E8">
              <w:rPr>
                <w:rFonts w:eastAsia="Microsoft GothicNeo" w:cs="Calibri"/>
                <w:b/>
                <w:bCs/>
                <w:strike/>
              </w:rPr>
              <w:t>physical</w:t>
            </w:r>
            <w:r w:rsidRPr="00B978E8">
              <w:rPr>
                <w:rFonts w:eastAsia="Microsoft GothicNeo" w:cs="Calibri"/>
                <w:b/>
                <w:bCs/>
              </w:rPr>
              <w:t xml:space="preserve"> disabilities (number and type of offering)</w:t>
            </w:r>
          </w:p>
        </w:tc>
      </w:tr>
      <w:tr w:rsidR="00B978E8" w14:paraId="1F378B1C" w14:textId="77777777" w:rsidTr="00676D34">
        <w:trPr>
          <w:divId w:val="591620094"/>
          <w:trHeight w:val="284"/>
        </w:trPr>
        <w:tc>
          <w:tcPr>
            <w:tcW w:w="1129" w:type="dxa"/>
            <w:vMerge w:val="restart"/>
            <w:shd w:val="clear" w:color="auto" w:fill="auto"/>
          </w:tcPr>
          <w:p w14:paraId="78978ABD" w14:textId="77777777" w:rsidR="00B978E8" w:rsidRDefault="00B978E8" w:rsidP="00B978E8">
            <w:pPr>
              <w:spacing w:before="40" w:after="40"/>
            </w:pPr>
            <w:r>
              <w:t>Medium</w:t>
            </w:r>
          </w:p>
        </w:tc>
        <w:tc>
          <w:tcPr>
            <w:tcW w:w="7887" w:type="dxa"/>
            <w:shd w:val="clear" w:color="auto" w:fill="auto"/>
            <w:vAlign w:val="bottom"/>
          </w:tcPr>
          <w:p w14:paraId="68B26773" w14:textId="77777777" w:rsidR="00B978E8" w:rsidRPr="00B978E8" w:rsidRDefault="00B978E8" w:rsidP="00B978E8">
            <w:pPr>
              <w:spacing w:before="40" w:after="40"/>
              <w:rPr>
                <w:rFonts w:eastAsia="Microsoft GothicNeo" w:cs="Calibri"/>
                <w:strike/>
              </w:rPr>
            </w:pPr>
            <w:r w:rsidRPr="00B978E8">
              <w:rPr>
                <w:rFonts w:eastAsia="Microsoft GothicNeo" w:cs="Calibri"/>
                <w:strike/>
              </w:rPr>
              <w:t>Accessibility for people with physical disabilities (number and type of offering)</w:t>
            </w:r>
          </w:p>
        </w:tc>
      </w:tr>
      <w:tr w:rsidR="00B978E8" w14:paraId="06B40B14" w14:textId="77777777" w:rsidTr="00676D34">
        <w:trPr>
          <w:divId w:val="591620094"/>
          <w:trHeight w:val="284"/>
        </w:trPr>
        <w:tc>
          <w:tcPr>
            <w:tcW w:w="1129" w:type="dxa"/>
            <w:vMerge/>
            <w:shd w:val="clear" w:color="auto" w:fill="auto"/>
          </w:tcPr>
          <w:p w14:paraId="30E06CF7" w14:textId="77777777" w:rsidR="00B978E8" w:rsidRDefault="00B978E8" w:rsidP="00B978E8">
            <w:pPr>
              <w:spacing w:before="40" w:after="40"/>
            </w:pPr>
          </w:p>
        </w:tc>
        <w:tc>
          <w:tcPr>
            <w:tcW w:w="7887" w:type="dxa"/>
            <w:shd w:val="clear" w:color="auto" w:fill="auto"/>
            <w:vAlign w:val="bottom"/>
          </w:tcPr>
          <w:p w14:paraId="2CC1179F" w14:textId="77777777" w:rsidR="00B978E8" w:rsidRPr="001A547E" w:rsidRDefault="00B978E8" w:rsidP="00B978E8">
            <w:pPr>
              <w:spacing w:before="40" w:after="40"/>
              <w:rPr>
                <w:rFonts w:eastAsia="Microsoft GothicNeo" w:cs="Calibri"/>
              </w:rPr>
            </w:pPr>
            <w:r w:rsidRPr="001A547E">
              <w:rPr>
                <w:rFonts w:eastAsia="Microsoft GothicNeo" w:cs="Calibri"/>
              </w:rPr>
              <w:t xml:space="preserve">Diversity of tourism organisation boards (age, gender, ethnicity, etc.) </w:t>
            </w:r>
          </w:p>
        </w:tc>
      </w:tr>
      <w:tr w:rsidR="00B978E8" w14:paraId="5A2E0D4C" w14:textId="77777777" w:rsidTr="00676D34">
        <w:trPr>
          <w:divId w:val="591620094"/>
          <w:trHeight w:val="284"/>
        </w:trPr>
        <w:tc>
          <w:tcPr>
            <w:tcW w:w="1129" w:type="dxa"/>
            <w:vMerge w:val="restart"/>
            <w:shd w:val="clear" w:color="auto" w:fill="auto"/>
          </w:tcPr>
          <w:p w14:paraId="4419A959" w14:textId="77777777" w:rsidR="00B978E8" w:rsidRDefault="00B978E8" w:rsidP="00B978E8">
            <w:pPr>
              <w:spacing w:before="40" w:after="40"/>
            </w:pPr>
            <w:r>
              <w:t>Low</w:t>
            </w:r>
          </w:p>
        </w:tc>
        <w:tc>
          <w:tcPr>
            <w:tcW w:w="7887" w:type="dxa"/>
            <w:shd w:val="clear" w:color="auto" w:fill="auto"/>
            <w:vAlign w:val="bottom"/>
          </w:tcPr>
          <w:p w14:paraId="2782A62E" w14:textId="77777777" w:rsidR="00B978E8" w:rsidRPr="001A547E" w:rsidRDefault="00B978E8" w:rsidP="00B978E8">
            <w:pPr>
              <w:spacing w:before="40" w:after="40"/>
              <w:rPr>
                <w:rFonts w:eastAsia="Microsoft GothicNeo" w:cs="Calibri"/>
              </w:rPr>
            </w:pPr>
            <w:r w:rsidRPr="001A547E">
              <w:rPr>
                <w:rFonts w:eastAsia="Microsoft GothicNeo" w:cs="Calibri"/>
              </w:rPr>
              <w:t>Homelessness in the destination</w:t>
            </w:r>
          </w:p>
        </w:tc>
      </w:tr>
      <w:tr w:rsidR="00B978E8" w14:paraId="2813C462" w14:textId="77777777" w:rsidTr="00676D34">
        <w:trPr>
          <w:divId w:val="591620094"/>
          <w:trHeight w:val="284"/>
        </w:trPr>
        <w:tc>
          <w:tcPr>
            <w:tcW w:w="1129" w:type="dxa"/>
            <w:vMerge/>
            <w:shd w:val="clear" w:color="auto" w:fill="auto"/>
          </w:tcPr>
          <w:p w14:paraId="33C10D9A" w14:textId="77777777" w:rsidR="00B978E8" w:rsidRDefault="00B978E8" w:rsidP="00B978E8">
            <w:pPr>
              <w:spacing w:before="40" w:after="40"/>
            </w:pPr>
          </w:p>
        </w:tc>
        <w:tc>
          <w:tcPr>
            <w:tcW w:w="7887" w:type="dxa"/>
            <w:shd w:val="clear" w:color="auto" w:fill="auto"/>
            <w:vAlign w:val="bottom"/>
          </w:tcPr>
          <w:p w14:paraId="1033A37E" w14:textId="77777777" w:rsidR="00B978E8" w:rsidRPr="001A547E" w:rsidRDefault="00B978E8" w:rsidP="00B978E8">
            <w:pPr>
              <w:spacing w:before="40" w:after="40"/>
              <w:rPr>
                <w:rFonts w:eastAsia="Microsoft GothicNeo" w:cs="Calibri"/>
              </w:rPr>
            </w:pPr>
            <w:r w:rsidRPr="001A547E">
              <w:rPr>
                <w:rFonts w:eastAsia="Microsoft GothicNeo" w:cs="Calibri"/>
              </w:rPr>
              <w:t>Crime against visitors</w:t>
            </w:r>
          </w:p>
        </w:tc>
      </w:tr>
      <w:tr w:rsidR="00B978E8" w14:paraId="14955390" w14:textId="77777777" w:rsidTr="00676D34">
        <w:trPr>
          <w:divId w:val="591620094"/>
          <w:trHeight w:val="284"/>
        </w:trPr>
        <w:tc>
          <w:tcPr>
            <w:tcW w:w="1129" w:type="dxa"/>
            <w:vMerge/>
            <w:shd w:val="clear" w:color="auto" w:fill="auto"/>
          </w:tcPr>
          <w:p w14:paraId="1961B281" w14:textId="77777777" w:rsidR="00B978E8" w:rsidRDefault="00B978E8" w:rsidP="00B978E8">
            <w:pPr>
              <w:spacing w:before="40" w:after="40"/>
            </w:pPr>
          </w:p>
        </w:tc>
        <w:tc>
          <w:tcPr>
            <w:tcW w:w="7887" w:type="dxa"/>
            <w:shd w:val="clear" w:color="auto" w:fill="auto"/>
            <w:vAlign w:val="bottom"/>
          </w:tcPr>
          <w:p w14:paraId="5409BC9A" w14:textId="77777777" w:rsidR="00B978E8" w:rsidRPr="001A547E" w:rsidRDefault="00B978E8" w:rsidP="00B978E8">
            <w:pPr>
              <w:spacing w:before="40" w:after="40"/>
              <w:rPr>
                <w:rFonts w:eastAsia="Microsoft GothicNeo" w:cs="Calibri"/>
              </w:rPr>
            </w:pPr>
            <w:r w:rsidRPr="001A547E">
              <w:rPr>
                <w:rFonts w:eastAsia="Microsoft GothicNeo" w:cs="Calibri"/>
              </w:rPr>
              <w:t>Crime by visitors</w:t>
            </w:r>
          </w:p>
        </w:tc>
      </w:tr>
      <w:tr w:rsidR="00B978E8" w14:paraId="4D732A47" w14:textId="77777777" w:rsidTr="00676D34">
        <w:trPr>
          <w:divId w:val="591620094"/>
          <w:trHeight w:val="284"/>
        </w:trPr>
        <w:tc>
          <w:tcPr>
            <w:tcW w:w="1129" w:type="dxa"/>
            <w:vMerge/>
            <w:shd w:val="clear" w:color="auto" w:fill="auto"/>
          </w:tcPr>
          <w:p w14:paraId="3FB37934" w14:textId="77777777" w:rsidR="00B978E8" w:rsidRDefault="00B978E8" w:rsidP="00B978E8">
            <w:pPr>
              <w:spacing w:before="40" w:after="40"/>
            </w:pPr>
          </w:p>
        </w:tc>
        <w:tc>
          <w:tcPr>
            <w:tcW w:w="7887" w:type="dxa"/>
            <w:shd w:val="clear" w:color="auto" w:fill="auto"/>
            <w:vAlign w:val="bottom"/>
          </w:tcPr>
          <w:p w14:paraId="633D9B14" w14:textId="77777777" w:rsidR="00B978E8" w:rsidRPr="001A547E" w:rsidRDefault="00B978E8" w:rsidP="00B978E8">
            <w:pPr>
              <w:spacing w:before="40" w:after="40"/>
              <w:rPr>
                <w:rFonts w:eastAsia="Microsoft GothicNeo" w:cs="Calibri"/>
              </w:rPr>
            </w:pPr>
            <w:r w:rsidRPr="001A547E">
              <w:rPr>
                <w:rFonts w:eastAsia="Microsoft GothicNeo" w:cs="Calibri"/>
              </w:rPr>
              <w:t>Percentage of women as CEO of tourism organisations</w:t>
            </w:r>
          </w:p>
        </w:tc>
      </w:tr>
      <w:tr w:rsidR="00B978E8" w14:paraId="02A83203" w14:textId="77777777" w:rsidTr="00676D34">
        <w:trPr>
          <w:divId w:val="591620094"/>
          <w:trHeight w:val="284"/>
        </w:trPr>
        <w:tc>
          <w:tcPr>
            <w:tcW w:w="1129" w:type="dxa"/>
            <w:vMerge/>
            <w:shd w:val="clear" w:color="auto" w:fill="auto"/>
          </w:tcPr>
          <w:p w14:paraId="5629C1BB" w14:textId="77777777" w:rsidR="00B978E8" w:rsidRDefault="00B978E8" w:rsidP="00B978E8">
            <w:pPr>
              <w:spacing w:before="40" w:after="40"/>
            </w:pPr>
          </w:p>
        </w:tc>
        <w:tc>
          <w:tcPr>
            <w:tcW w:w="7887" w:type="dxa"/>
            <w:shd w:val="clear" w:color="auto" w:fill="auto"/>
            <w:vAlign w:val="bottom"/>
          </w:tcPr>
          <w:p w14:paraId="1AF9F7E8" w14:textId="77777777" w:rsidR="00B978E8" w:rsidRPr="001A547E" w:rsidRDefault="00B978E8" w:rsidP="00B978E8">
            <w:pPr>
              <w:spacing w:before="40" w:after="40"/>
              <w:rPr>
                <w:rFonts w:eastAsia="Microsoft GothicNeo" w:cs="Calibri"/>
              </w:rPr>
            </w:pPr>
            <w:r w:rsidRPr="001A547E">
              <w:rPr>
                <w:rFonts w:eastAsia="Microsoft GothicNeo" w:cs="Calibri"/>
              </w:rPr>
              <w:t>Staff wellbeing (relates to retention)</w:t>
            </w:r>
          </w:p>
        </w:tc>
      </w:tr>
    </w:tbl>
    <w:p w14:paraId="09934F72" w14:textId="77777777" w:rsidR="00676D34" w:rsidRDefault="00676D34" w:rsidP="00676D34">
      <w:pPr>
        <w:divId w:val="591620094"/>
        <w:rPr>
          <w:rFonts w:cstheme="minorHAnsi"/>
          <w:b/>
          <w:bCs/>
          <w:sz w:val="24"/>
          <w:szCs w:val="24"/>
        </w:rPr>
      </w:pPr>
    </w:p>
    <w:p w14:paraId="735B7E49" w14:textId="77777777" w:rsidR="00676D34" w:rsidRDefault="00676D34" w:rsidP="00676D34">
      <w:pPr>
        <w:divId w:val="591620094"/>
        <w:rPr>
          <w:sz w:val="24"/>
          <w:szCs w:val="24"/>
        </w:rPr>
      </w:pPr>
      <w:r w:rsidRPr="00C47D0F">
        <w:rPr>
          <w:rFonts w:cstheme="minorHAnsi"/>
          <w:b/>
          <w:bCs/>
          <w:sz w:val="24"/>
          <w:szCs w:val="24"/>
        </w:rPr>
        <w:t>Environmental indicators</w:t>
      </w:r>
    </w:p>
    <w:tbl>
      <w:tblPr>
        <w:tblStyle w:val="TableGrid"/>
        <w:tblW w:w="0" w:type="auto"/>
        <w:tblLook w:val="04A0" w:firstRow="1" w:lastRow="0" w:firstColumn="1" w:lastColumn="0" w:noHBand="0" w:noVBand="1"/>
      </w:tblPr>
      <w:tblGrid>
        <w:gridCol w:w="1129"/>
        <w:gridCol w:w="7887"/>
      </w:tblGrid>
      <w:tr w:rsidR="00676D34" w14:paraId="76E0C8A8" w14:textId="77777777" w:rsidTr="00676D34">
        <w:trPr>
          <w:divId w:val="591620094"/>
          <w:trHeight w:val="284"/>
        </w:trPr>
        <w:tc>
          <w:tcPr>
            <w:tcW w:w="1129" w:type="dxa"/>
            <w:shd w:val="clear" w:color="auto" w:fill="9CC2E5" w:themeFill="accent5" w:themeFillTint="99"/>
          </w:tcPr>
          <w:p w14:paraId="1808BE5C" w14:textId="77777777" w:rsidR="00676D34" w:rsidRDefault="00676D34" w:rsidP="000343EE">
            <w:pPr>
              <w:spacing w:before="40" w:after="40"/>
            </w:pPr>
            <w:r>
              <w:t>Priority</w:t>
            </w:r>
          </w:p>
        </w:tc>
        <w:tc>
          <w:tcPr>
            <w:tcW w:w="7887" w:type="dxa"/>
            <w:shd w:val="clear" w:color="auto" w:fill="9CC2E5" w:themeFill="accent5" w:themeFillTint="99"/>
          </w:tcPr>
          <w:p w14:paraId="227B7FC1" w14:textId="77777777" w:rsidR="00676D34" w:rsidRDefault="00676D34" w:rsidP="000343EE">
            <w:pPr>
              <w:spacing w:before="40" w:after="40"/>
            </w:pPr>
            <w:r>
              <w:t>Indicator</w:t>
            </w:r>
          </w:p>
        </w:tc>
      </w:tr>
      <w:tr w:rsidR="00676D34" w14:paraId="423440D8" w14:textId="77777777" w:rsidTr="00676D34">
        <w:trPr>
          <w:divId w:val="591620094"/>
          <w:trHeight w:val="284"/>
        </w:trPr>
        <w:tc>
          <w:tcPr>
            <w:tcW w:w="1129" w:type="dxa"/>
            <w:vMerge w:val="restart"/>
            <w:shd w:val="clear" w:color="auto" w:fill="auto"/>
          </w:tcPr>
          <w:p w14:paraId="287EC20E" w14:textId="77777777" w:rsidR="00676D34" w:rsidRDefault="00676D34" w:rsidP="000343EE">
            <w:pPr>
              <w:spacing w:before="40" w:after="40"/>
            </w:pPr>
            <w:r>
              <w:t>High</w:t>
            </w:r>
          </w:p>
        </w:tc>
        <w:tc>
          <w:tcPr>
            <w:tcW w:w="7887" w:type="dxa"/>
            <w:shd w:val="clear" w:color="auto" w:fill="auto"/>
            <w:vAlign w:val="bottom"/>
          </w:tcPr>
          <w:p w14:paraId="21E751A7" w14:textId="77777777" w:rsidR="00676D34" w:rsidRDefault="00676D34" w:rsidP="000343EE">
            <w:pPr>
              <w:spacing w:before="40" w:after="40"/>
            </w:pPr>
            <w:r w:rsidRPr="001A547E">
              <w:rPr>
                <w:rFonts w:eastAsia="Microsoft GothicNeo" w:cs="Calibri"/>
              </w:rPr>
              <w:t>Competitiveness of sustainable destination status (potentially use the World Economic Forum as a benchmark)</w:t>
            </w:r>
          </w:p>
        </w:tc>
      </w:tr>
      <w:tr w:rsidR="00676D34" w14:paraId="4A855CDF" w14:textId="77777777" w:rsidTr="00676D34">
        <w:trPr>
          <w:divId w:val="591620094"/>
          <w:trHeight w:val="284"/>
        </w:trPr>
        <w:tc>
          <w:tcPr>
            <w:tcW w:w="1129" w:type="dxa"/>
            <w:vMerge/>
            <w:shd w:val="clear" w:color="auto" w:fill="auto"/>
          </w:tcPr>
          <w:p w14:paraId="69A87BC1" w14:textId="77777777" w:rsidR="00676D34" w:rsidRDefault="00676D34" w:rsidP="000343EE">
            <w:pPr>
              <w:spacing w:before="40" w:after="40"/>
            </w:pPr>
          </w:p>
        </w:tc>
        <w:tc>
          <w:tcPr>
            <w:tcW w:w="7887" w:type="dxa"/>
            <w:shd w:val="clear" w:color="auto" w:fill="auto"/>
            <w:vAlign w:val="bottom"/>
          </w:tcPr>
          <w:p w14:paraId="7FA07A6B" w14:textId="77777777" w:rsidR="00676D34" w:rsidRPr="001A547E" w:rsidRDefault="00676D34" w:rsidP="000343EE">
            <w:pPr>
              <w:spacing w:before="40" w:after="40"/>
              <w:rPr>
                <w:rFonts w:eastAsia="Microsoft GothicNeo" w:cs="Calibri"/>
              </w:rPr>
            </w:pPr>
            <w:r w:rsidRPr="001A547E">
              <w:rPr>
                <w:rFonts w:eastAsia="Microsoft GothicNeo" w:cs="Calibri"/>
              </w:rPr>
              <w:t>Visitor perception around environmental status of destination</w:t>
            </w:r>
          </w:p>
        </w:tc>
      </w:tr>
      <w:tr w:rsidR="00676D34" w14:paraId="2C05C9E1" w14:textId="77777777" w:rsidTr="00676D34">
        <w:trPr>
          <w:divId w:val="591620094"/>
          <w:trHeight w:val="284"/>
        </w:trPr>
        <w:tc>
          <w:tcPr>
            <w:tcW w:w="1129" w:type="dxa"/>
            <w:vMerge/>
            <w:shd w:val="clear" w:color="auto" w:fill="auto"/>
          </w:tcPr>
          <w:p w14:paraId="7948B68B" w14:textId="77777777" w:rsidR="00676D34" w:rsidRDefault="00676D34" w:rsidP="000343EE">
            <w:pPr>
              <w:spacing w:before="40" w:after="40"/>
            </w:pPr>
          </w:p>
        </w:tc>
        <w:tc>
          <w:tcPr>
            <w:tcW w:w="7887" w:type="dxa"/>
            <w:shd w:val="clear" w:color="auto" w:fill="auto"/>
            <w:vAlign w:val="bottom"/>
          </w:tcPr>
          <w:p w14:paraId="758FE309" w14:textId="77777777" w:rsidR="00676D34" w:rsidRPr="001A547E" w:rsidRDefault="00676D34" w:rsidP="000343EE">
            <w:pPr>
              <w:spacing w:before="40" w:after="40"/>
              <w:rPr>
                <w:rFonts w:eastAsia="Microsoft GothicNeo" w:cs="Calibri"/>
              </w:rPr>
            </w:pPr>
            <w:r w:rsidRPr="001A547E">
              <w:rPr>
                <w:rFonts w:eastAsia="Microsoft GothicNeo" w:cs="Calibri"/>
              </w:rPr>
              <w:t>Tourism $ contribution to nature conservation</w:t>
            </w:r>
          </w:p>
        </w:tc>
      </w:tr>
      <w:tr w:rsidR="00676D34" w14:paraId="08EEAE2A" w14:textId="77777777" w:rsidTr="00676D34">
        <w:trPr>
          <w:divId w:val="591620094"/>
          <w:trHeight w:val="284"/>
        </w:trPr>
        <w:tc>
          <w:tcPr>
            <w:tcW w:w="1129" w:type="dxa"/>
            <w:vMerge/>
            <w:shd w:val="clear" w:color="auto" w:fill="auto"/>
          </w:tcPr>
          <w:p w14:paraId="751E8F15" w14:textId="77777777" w:rsidR="00676D34" w:rsidRDefault="00676D34" w:rsidP="000343EE">
            <w:pPr>
              <w:spacing w:before="40" w:after="40"/>
            </w:pPr>
          </w:p>
        </w:tc>
        <w:tc>
          <w:tcPr>
            <w:tcW w:w="7887" w:type="dxa"/>
            <w:shd w:val="clear" w:color="auto" w:fill="auto"/>
            <w:vAlign w:val="bottom"/>
          </w:tcPr>
          <w:p w14:paraId="30640A5F" w14:textId="77777777" w:rsidR="00676D34" w:rsidRPr="001A547E" w:rsidRDefault="00676D34" w:rsidP="000343EE">
            <w:pPr>
              <w:spacing w:before="40" w:after="40"/>
              <w:rPr>
                <w:rFonts w:eastAsia="Microsoft GothicNeo" w:cs="Calibri"/>
              </w:rPr>
            </w:pPr>
            <w:r w:rsidRPr="001A547E">
              <w:rPr>
                <w:rFonts w:eastAsia="Microsoft GothicNeo" w:cs="Calibri"/>
              </w:rPr>
              <w:t>Investment into protected areas and increases in infrastructure and park maintenance budgets</w:t>
            </w:r>
          </w:p>
        </w:tc>
      </w:tr>
      <w:tr w:rsidR="00676D34" w14:paraId="6C8089C8" w14:textId="77777777" w:rsidTr="00676D34">
        <w:trPr>
          <w:divId w:val="591620094"/>
          <w:trHeight w:val="284"/>
        </w:trPr>
        <w:tc>
          <w:tcPr>
            <w:tcW w:w="1129" w:type="dxa"/>
            <w:vMerge/>
            <w:shd w:val="clear" w:color="auto" w:fill="auto"/>
          </w:tcPr>
          <w:p w14:paraId="479C37F5" w14:textId="77777777" w:rsidR="00676D34" w:rsidRDefault="00676D34" w:rsidP="000343EE">
            <w:pPr>
              <w:spacing w:before="40" w:after="40"/>
            </w:pPr>
          </w:p>
        </w:tc>
        <w:tc>
          <w:tcPr>
            <w:tcW w:w="7887" w:type="dxa"/>
            <w:shd w:val="clear" w:color="auto" w:fill="auto"/>
            <w:vAlign w:val="bottom"/>
          </w:tcPr>
          <w:p w14:paraId="4F1B7C68" w14:textId="77777777" w:rsidR="00676D34" w:rsidRPr="001A547E" w:rsidRDefault="00676D34" w:rsidP="000343EE">
            <w:pPr>
              <w:spacing w:before="40" w:after="40"/>
              <w:rPr>
                <w:rFonts w:eastAsia="Microsoft GothicNeo" w:cs="Calibri"/>
              </w:rPr>
            </w:pPr>
            <w:r w:rsidRPr="001A547E">
              <w:rPr>
                <w:rFonts w:eastAsia="Microsoft GothicNeo" w:cs="Calibri"/>
              </w:rPr>
              <w:t>Greenhouse gas emissions (total / per visitor / per dollar)</w:t>
            </w:r>
          </w:p>
        </w:tc>
      </w:tr>
      <w:tr w:rsidR="00676D34" w14:paraId="1CAAF3E7" w14:textId="77777777" w:rsidTr="00676D34">
        <w:trPr>
          <w:divId w:val="591620094"/>
          <w:trHeight w:val="284"/>
        </w:trPr>
        <w:tc>
          <w:tcPr>
            <w:tcW w:w="1129" w:type="dxa"/>
            <w:vMerge/>
            <w:shd w:val="clear" w:color="auto" w:fill="auto"/>
          </w:tcPr>
          <w:p w14:paraId="1A329BFE" w14:textId="77777777" w:rsidR="00676D34" w:rsidRDefault="00676D34" w:rsidP="000343EE">
            <w:pPr>
              <w:spacing w:before="40" w:after="40"/>
            </w:pPr>
          </w:p>
        </w:tc>
        <w:tc>
          <w:tcPr>
            <w:tcW w:w="7887" w:type="dxa"/>
            <w:shd w:val="clear" w:color="auto" w:fill="auto"/>
            <w:vAlign w:val="bottom"/>
          </w:tcPr>
          <w:p w14:paraId="22972D20" w14:textId="77777777" w:rsidR="00676D34" w:rsidRPr="001A547E" w:rsidRDefault="00676D34" w:rsidP="000343EE">
            <w:pPr>
              <w:spacing w:before="40" w:after="40"/>
              <w:rPr>
                <w:rFonts w:eastAsia="Microsoft GothicNeo" w:cs="Calibri"/>
              </w:rPr>
            </w:pPr>
            <w:r w:rsidRPr="001A547E">
              <w:rPr>
                <w:rFonts w:eastAsia="Microsoft GothicNeo" w:cs="Calibri"/>
              </w:rPr>
              <w:t>Energy consumption per visitor</w:t>
            </w:r>
          </w:p>
        </w:tc>
      </w:tr>
      <w:tr w:rsidR="00676D34" w14:paraId="7B5DFF55" w14:textId="77777777" w:rsidTr="00676D34">
        <w:trPr>
          <w:divId w:val="591620094"/>
          <w:trHeight w:val="284"/>
        </w:trPr>
        <w:tc>
          <w:tcPr>
            <w:tcW w:w="1129" w:type="dxa"/>
            <w:vMerge/>
            <w:shd w:val="clear" w:color="auto" w:fill="auto"/>
          </w:tcPr>
          <w:p w14:paraId="655B9F23" w14:textId="77777777" w:rsidR="00676D34" w:rsidRDefault="00676D34" w:rsidP="000343EE">
            <w:pPr>
              <w:spacing w:before="40" w:after="40"/>
            </w:pPr>
          </w:p>
        </w:tc>
        <w:tc>
          <w:tcPr>
            <w:tcW w:w="7887" w:type="dxa"/>
            <w:shd w:val="clear" w:color="auto" w:fill="auto"/>
            <w:vAlign w:val="bottom"/>
          </w:tcPr>
          <w:p w14:paraId="06F4E0BA" w14:textId="77777777" w:rsidR="00676D34" w:rsidRPr="001A547E" w:rsidRDefault="00676D34" w:rsidP="000343EE">
            <w:pPr>
              <w:spacing w:before="40" w:after="40"/>
              <w:rPr>
                <w:rFonts w:eastAsia="Microsoft GothicNeo" w:cs="Calibri"/>
              </w:rPr>
            </w:pPr>
            <w:r w:rsidRPr="001A547E">
              <w:rPr>
                <w:rFonts w:eastAsia="Microsoft GothicNeo" w:cs="Calibri"/>
              </w:rPr>
              <w:t>Water consumption per visitor</w:t>
            </w:r>
          </w:p>
        </w:tc>
      </w:tr>
      <w:tr w:rsidR="00676D34" w14:paraId="24B17BD5" w14:textId="77777777" w:rsidTr="00676D34">
        <w:trPr>
          <w:divId w:val="591620094"/>
          <w:trHeight w:val="284"/>
        </w:trPr>
        <w:tc>
          <w:tcPr>
            <w:tcW w:w="1129" w:type="dxa"/>
            <w:vMerge/>
            <w:shd w:val="clear" w:color="auto" w:fill="auto"/>
          </w:tcPr>
          <w:p w14:paraId="60194FD2" w14:textId="77777777" w:rsidR="00676D34" w:rsidRDefault="00676D34" w:rsidP="000343EE">
            <w:pPr>
              <w:spacing w:before="40" w:after="40"/>
            </w:pPr>
          </w:p>
        </w:tc>
        <w:tc>
          <w:tcPr>
            <w:tcW w:w="7887" w:type="dxa"/>
            <w:shd w:val="clear" w:color="auto" w:fill="auto"/>
            <w:vAlign w:val="bottom"/>
          </w:tcPr>
          <w:p w14:paraId="46181384" w14:textId="77777777" w:rsidR="00676D34" w:rsidRPr="001A547E" w:rsidRDefault="00676D34" w:rsidP="000343EE">
            <w:pPr>
              <w:spacing w:before="40" w:after="40"/>
              <w:rPr>
                <w:rFonts w:eastAsia="Microsoft GothicNeo" w:cs="Calibri"/>
              </w:rPr>
            </w:pPr>
            <w:r w:rsidRPr="001A547E">
              <w:rPr>
                <w:rFonts w:eastAsia="Microsoft GothicNeo" w:cs="Calibri"/>
              </w:rPr>
              <w:t>Digital environmental considerations</w:t>
            </w:r>
          </w:p>
        </w:tc>
      </w:tr>
      <w:tr w:rsidR="00676D34" w14:paraId="49424C7C" w14:textId="77777777" w:rsidTr="00676D34">
        <w:trPr>
          <w:divId w:val="591620094"/>
          <w:trHeight w:val="284"/>
        </w:trPr>
        <w:tc>
          <w:tcPr>
            <w:tcW w:w="1129" w:type="dxa"/>
            <w:vMerge/>
            <w:shd w:val="clear" w:color="auto" w:fill="auto"/>
          </w:tcPr>
          <w:p w14:paraId="47E85BCB" w14:textId="77777777" w:rsidR="00676D34" w:rsidRDefault="00676D34" w:rsidP="000343EE">
            <w:pPr>
              <w:spacing w:before="40" w:after="40"/>
            </w:pPr>
          </w:p>
        </w:tc>
        <w:tc>
          <w:tcPr>
            <w:tcW w:w="7887" w:type="dxa"/>
            <w:shd w:val="clear" w:color="auto" w:fill="auto"/>
            <w:vAlign w:val="bottom"/>
          </w:tcPr>
          <w:p w14:paraId="3816442D" w14:textId="77777777" w:rsidR="00676D34" w:rsidRPr="001A547E" w:rsidRDefault="00676D34" w:rsidP="000343EE">
            <w:pPr>
              <w:spacing w:before="40" w:after="40"/>
              <w:rPr>
                <w:rFonts w:eastAsia="Microsoft GothicNeo" w:cs="Calibri"/>
              </w:rPr>
            </w:pPr>
            <w:r w:rsidRPr="001A547E">
              <w:rPr>
                <w:rFonts w:eastAsia="Microsoft GothicNeo" w:cs="Calibri"/>
              </w:rPr>
              <w:t>Commitments by businesses or states regarding carbon reduction targets</w:t>
            </w:r>
          </w:p>
        </w:tc>
      </w:tr>
      <w:tr w:rsidR="00676D34" w14:paraId="28BF795A" w14:textId="77777777" w:rsidTr="00676D34">
        <w:trPr>
          <w:divId w:val="591620094"/>
          <w:trHeight w:val="284"/>
        </w:trPr>
        <w:tc>
          <w:tcPr>
            <w:tcW w:w="1129" w:type="dxa"/>
            <w:vMerge/>
            <w:shd w:val="clear" w:color="auto" w:fill="auto"/>
          </w:tcPr>
          <w:p w14:paraId="0F7D1E98" w14:textId="77777777" w:rsidR="00676D34" w:rsidRDefault="00676D34" w:rsidP="000343EE">
            <w:pPr>
              <w:spacing w:before="40" w:after="40"/>
            </w:pPr>
          </w:p>
        </w:tc>
        <w:tc>
          <w:tcPr>
            <w:tcW w:w="7887" w:type="dxa"/>
            <w:shd w:val="clear" w:color="auto" w:fill="auto"/>
            <w:vAlign w:val="bottom"/>
          </w:tcPr>
          <w:p w14:paraId="4E0B7620" w14:textId="77777777" w:rsidR="00676D34" w:rsidRPr="001A547E" w:rsidRDefault="00676D34" w:rsidP="000343EE">
            <w:pPr>
              <w:spacing w:before="40" w:after="40"/>
              <w:rPr>
                <w:rFonts w:eastAsia="Microsoft GothicNeo" w:cs="Calibri"/>
              </w:rPr>
            </w:pPr>
            <w:r w:rsidRPr="001A547E">
              <w:rPr>
                <w:rFonts w:eastAsia="Microsoft GothicNeo" w:cs="Calibri"/>
              </w:rPr>
              <w:t>Certified businesses/destinations (e.g. carbon action)</w:t>
            </w:r>
          </w:p>
        </w:tc>
      </w:tr>
      <w:tr w:rsidR="00676D34" w14:paraId="7276798C" w14:textId="77777777" w:rsidTr="00676D34">
        <w:trPr>
          <w:divId w:val="591620094"/>
          <w:trHeight w:val="284"/>
        </w:trPr>
        <w:tc>
          <w:tcPr>
            <w:tcW w:w="1129" w:type="dxa"/>
            <w:vMerge/>
            <w:shd w:val="clear" w:color="auto" w:fill="auto"/>
          </w:tcPr>
          <w:p w14:paraId="549F2F5C" w14:textId="77777777" w:rsidR="00676D34" w:rsidRDefault="00676D34" w:rsidP="000343EE">
            <w:pPr>
              <w:spacing w:before="40" w:after="40"/>
            </w:pPr>
          </w:p>
        </w:tc>
        <w:tc>
          <w:tcPr>
            <w:tcW w:w="7887" w:type="dxa"/>
            <w:shd w:val="clear" w:color="auto" w:fill="auto"/>
            <w:vAlign w:val="bottom"/>
          </w:tcPr>
          <w:p w14:paraId="79E8C911" w14:textId="77777777" w:rsidR="00676D34" w:rsidRPr="001A547E" w:rsidRDefault="00676D34" w:rsidP="000343EE">
            <w:pPr>
              <w:spacing w:before="40" w:after="40"/>
              <w:rPr>
                <w:rFonts w:eastAsia="Microsoft GothicNeo" w:cs="Calibri"/>
              </w:rPr>
            </w:pPr>
            <w:r w:rsidRPr="001A547E">
              <w:rPr>
                <w:rFonts w:eastAsia="Microsoft GothicNeo" w:cs="Calibri"/>
              </w:rPr>
              <w:t>Business adoption of sustainable quality control tools and accreditation</w:t>
            </w:r>
          </w:p>
        </w:tc>
      </w:tr>
      <w:tr w:rsidR="00676D34" w14:paraId="688283C6" w14:textId="77777777" w:rsidTr="00676D34">
        <w:trPr>
          <w:divId w:val="591620094"/>
          <w:trHeight w:val="284"/>
        </w:trPr>
        <w:tc>
          <w:tcPr>
            <w:tcW w:w="1129" w:type="dxa"/>
            <w:vMerge/>
            <w:shd w:val="clear" w:color="auto" w:fill="auto"/>
          </w:tcPr>
          <w:p w14:paraId="4621F11C" w14:textId="77777777" w:rsidR="00676D34" w:rsidRDefault="00676D34" w:rsidP="000343EE">
            <w:pPr>
              <w:spacing w:before="40" w:after="40"/>
            </w:pPr>
          </w:p>
        </w:tc>
        <w:tc>
          <w:tcPr>
            <w:tcW w:w="7887" w:type="dxa"/>
            <w:shd w:val="clear" w:color="auto" w:fill="auto"/>
            <w:vAlign w:val="bottom"/>
          </w:tcPr>
          <w:p w14:paraId="1F2BA5C0" w14:textId="77777777" w:rsidR="00676D34" w:rsidRPr="001A547E" w:rsidRDefault="00676D34" w:rsidP="000343EE">
            <w:pPr>
              <w:spacing w:before="40" w:after="40"/>
              <w:rPr>
                <w:rFonts w:eastAsia="Microsoft GothicNeo" w:cs="Calibri"/>
              </w:rPr>
            </w:pPr>
            <w:r w:rsidRPr="001A547E">
              <w:rPr>
                <w:rFonts w:eastAsia="Microsoft GothicNeo" w:cs="Calibri"/>
              </w:rPr>
              <w:t>V</w:t>
            </w:r>
            <w:r>
              <w:rPr>
                <w:rFonts w:eastAsia="Microsoft GothicNeo" w:cs="Calibri"/>
              </w:rPr>
              <w:t>isitor economy</w:t>
            </w:r>
            <w:r w:rsidRPr="001A547E">
              <w:rPr>
                <w:rFonts w:eastAsia="Microsoft GothicNeo" w:cs="Calibri"/>
              </w:rPr>
              <w:t xml:space="preserve"> workforce trained in sustainability</w:t>
            </w:r>
          </w:p>
        </w:tc>
      </w:tr>
      <w:tr w:rsidR="00676D34" w14:paraId="6E2B7406" w14:textId="77777777" w:rsidTr="00676D34">
        <w:trPr>
          <w:divId w:val="591620094"/>
          <w:trHeight w:val="284"/>
        </w:trPr>
        <w:tc>
          <w:tcPr>
            <w:tcW w:w="1129" w:type="dxa"/>
            <w:vMerge w:val="restart"/>
            <w:shd w:val="clear" w:color="auto" w:fill="auto"/>
          </w:tcPr>
          <w:p w14:paraId="720638A4" w14:textId="77777777" w:rsidR="00676D34" w:rsidRDefault="00676D34" w:rsidP="000343EE">
            <w:pPr>
              <w:spacing w:before="40" w:after="40"/>
            </w:pPr>
            <w:r>
              <w:t>Medium</w:t>
            </w:r>
          </w:p>
        </w:tc>
        <w:tc>
          <w:tcPr>
            <w:tcW w:w="7887" w:type="dxa"/>
            <w:shd w:val="clear" w:color="auto" w:fill="auto"/>
            <w:vAlign w:val="bottom"/>
          </w:tcPr>
          <w:p w14:paraId="73B7D320" w14:textId="77777777" w:rsidR="00676D34" w:rsidRPr="001A547E" w:rsidRDefault="00676D34" w:rsidP="000343EE">
            <w:pPr>
              <w:spacing w:before="40" w:after="40"/>
              <w:rPr>
                <w:rFonts w:eastAsia="Microsoft GothicNeo" w:cs="Calibri"/>
              </w:rPr>
            </w:pPr>
            <w:r w:rsidRPr="001A547E">
              <w:rPr>
                <w:rFonts w:eastAsia="Microsoft GothicNeo" w:cs="Calibri"/>
              </w:rPr>
              <w:t>Consumer sentiment towards nature conservation</w:t>
            </w:r>
          </w:p>
        </w:tc>
      </w:tr>
      <w:tr w:rsidR="00676D34" w14:paraId="268666C0" w14:textId="77777777" w:rsidTr="00676D34">
        <w:trPr>
          <w:divId w:val="591620094"/>
          <w:trHeight w:val="284"/>
        </w:trPr>
        <w:tc>
          <w:tcPr>
            <w:tcW w:w="1129" w:type="dxa"/>
            <w:vMerge/>
            <w:shd w:val="clear" w:color="auto" w:fill="auto"/>
          </w:tcPr>
          <w:p w14:paraId="140EFEB2" w14:textId="77777777" w:rsidR="00676D34" w:rsidRDefault="00676D34" w:rsidP="000343EE">
            <w:pPr>
              <w:spacing w:before="40" w:after="40"/>
            </w:pPr>
          </w:p>
        </w:tc>
        <w:tc>
          <w:tcPr>
            <w:tcW w:w="7887" w:type="dxa"/>
            <w:shd w:val="clear" w:color="auto" w:fill="auto"/>
            <w:vAlign w:val="bottom"/>
          </w:tcPr>
          <w:p w14:paraId="1E4DB787" w14:textId="77777777" w:rsidR="00676D34" w:rsidRPr="001A547E" w:rsidRDefault="00676D34" w:rsidP="000343EE">
            <w:pPr>
              <w:spacing w:before="40" w:after="40"/>
              <w:rPr>
                <w:rFonts w:eastAsia="Microsoft GothicNeo" w:cs="Calibri"/>
              </w:rPr>
            </w:pPr>
            <w:r w:rsidRPr="001A547E">
              <w:rPr>
                <w:rFonts w:eastAsia="Microsoft GothicNeo" w:cs="Calibri"/>
              </w:rPr>
              <w:t>Electric vehicle infrastructure</w:t>
            </w:r>
          </w:p>
        </w:tc>
      </w:tr>
      <w:tr w:rsidR="00676D34" w14:paraId="53D49BB2" w14:textId="77777777" w:rsidTr="00676D34">
        <w:trPr>
          <w:divId w:val="591620094"/>
          <w:trHeight w:val="284"/>
        </w:trPr>
        <w:tc>
          <w:tcPr>
            <w:tcW w:w="1129" w:type="dxa"/>
            <w:vMerge/>
            <w:shd w:val="clear" w:color="auto" w:fill="auto"/>
          </w:tcPr>
          <w:p w14:paraId="0D2089C7" w14:textId="77777777" w:rsidR="00676D34" w:rsidRDefault="00676D34" w:rsidP="000343EE">
            <w:pPr>
              <w:spacing w:before="40" w:after="40"/>
            </w:pPr>
          </w:p>
        </w:tc>
        <w:tc>
          <w:tcPr>
            <w:tcW w:w="7887" w:type="dxa"/>
            <w:shd w:val="clear" w:color="auto" w:fill="auto"/>
            <w:vAlign w:val="bottom"/>
          </w:tcPr>
          <w:p w14:paraId="34524959" w14:textId="77777777" w:rsidR="00676D34" w:rsidRPr="001A547E" w:rsidRDefault="00676D34" w:rsidP="000343EE">
            <w:pPr>
              <w:spacing w:before="40" w:after="40"/>
              <w:rPr>
                <w:rFonts w:eastAsia="Microsoft GothicNeo" w:cs="Calibri"/>
              </w:rPr>
            </w:pPr>
            <w:r w:rsidRPr="001A547E">
              <w:rPr>
                <w:rFonts w:eastAsia="Microsoft GothicNeo" w:cs="Calibri"/>
              </w:rPr>
              <w:t>Pipeline of green technology and infrastructure</w:t>
            </w:r>
          </w:p>
        </w:tc>
      </w:tr>
      <w:tr w:rsidR="00676D34" w14:paraId="28C8A085" w14:textId="77777777" w:rsidTr="00676D34">
        <w:trPr>
          <w:divId w:val="591620094"/>
          <w:trHeight w:val="284"/>
        </w:trPr>
        <w:tc>
          <w:tcPr>
            <w:tcW w:w="1129" w:type="dxa"/>
            <w:vMerge/>
            <w:shd w:val="clear" w:color="auto" w:fill="auto"/>
          </w:tcPr>
          <w:p w14:paraId="1E65D6A1" w14:textId="77777777" w:rsidR="00676D34" w:rsidRDefault="00676D34" w:rsidP="000343EE">
            <w:pPr>
              <w:spacing w:before="40" w:after="40"/>
            </w:pPr>
          </w:p>
        </w:tc>
        <w:tc>
          <w:tcPr>
            <w:tcW w:w="7887" w:type="dxa"/>
            <w:shd w:val="clear" w:color="auto" w:fill="auto"/>
            <w:vAlign w:val="bottom"/>
          </w:tcPr>
          <w:p w14:paraId="43E7A598" w14:textId="77777777" w:rsidR="00676D34" w:rsidRPr="001A547E" w:rsidRDefault="00676D34" w:rsidP="000343EE">
            <w:pPr>
              <w:spacing w:before="40" w:after="40"/>
              <w:rPr>
                <w:rFonts w:eastAsia="Microsoft GothicNeo" w:cs="Calibri"/>
              </w:rPr>
            </w:pPr>
            <w:r w:rsidRPr="001A547E">
              <w:rPr>
                <w:rFonts w:eastAsia="Microsoft GothicNeo" w:cs="Calibri"/>
              </w:rPr>
              <w:t>Volume of sustainable aviation fuel in the pipeline (production) / (% new aircraft)</w:t>
            </w:r>
          </w:p>
        </w:tc>
      </w:tr>
      <w:tr w:rsidR="00676D34" w14:paraId="67194506" w14:textId="77777777" w:rsidTr="00676D34">
        <w:trPr>
          <w:divId w:val="591620094"/>
          <w:trHeight w:val="284"/>
        </w:trPr>
        <w:tc>
          <w:tcPr>
            <w:tcW w:w="1129" w:type="dxa"/>
            <w:vMerge/>
            <w:shd w:val="clear" w:color="auto" w:fill="auto"/>
          </w:tcPr>
          <w:p w14:paraId="33C2E22A" w14:textId="77777777" w:rsidR="00676D34" w:rsidRDefault="00676D34" w:rsidP="000343EE">
            <w:pPr>
              <w:spacing w:before="40" w:after="40"/>
            </w:pPr>
          </w:p>
        </w:tc>
        <w:tc>
          <w:tcPr>
            <w:tcW w:w="7887" w:type="dxa"/>
            <w:shd w:val="clear" w:color="auto" w:fill="auto"/>
            <w:vAlign w:val="bottom"/>
          </w:tcPr>
          <w:p w14:paraId="566B228C" w14:textId="77777777" w:rsidR="00676D34" w:rsidRPr="001A547E" w:rsidRDefault="00676D34" w:rsidP="000343EE">
            <w:pPr>
              <w:spacing w:before="40" w:after="40"/>
              <w:rPr>
                <w:rFonts w:eastAsia="Microsoft GothicNeo" w:cs="Calibri"/>
              </w:rPr>
            </w:pPr>
            <w:r w:rsidRPr="001A547E">
              <w:rPr>
                <w:rFonts w:eastAsia="Microsoft GothicNeo" w:cs="Calibri"/>
              </w:rPr>
              <w:t>Dispersal / spread of visitors</w:t>
            </w:r>
          </w:p>
        </w:tc>
      </w:tr>
      <w:tr w:rsidR="00676D34" w14:paraId="3E855985" w14:textId="77777777" w:rsidTr="00676D34">
        <w:trPr>
          <w:divId w:val="591620094"/>
          <w:trHeight w:val="284"/>
        </w:trPr>
        <w:tc>
          <w:tcPr>
            <w:tcW w:w="1129" w:type="dxa"/>
            <w:vMerge/>
            <w:shd w:val="clear" w:color="auto" w:fill="auto"/>
          </w:tcPr>
          <w:p w14:paraId="4F79F429" w14:textId="77777777" w:rsidR="00676D34" w:rsidRDefault="00676D34" w:rsidP="000343EE">
            <w:pPr>
              <w:spacing w:before="40" w:after="40"/>
            </w:pPr>
          </w:p>
        </w:tc>
        <w:tc>
          <w:tcPr>
            <w:tcW w:w="7887" w:type="dxa"/>
            <w:shd w:val="clear" w:color="auto" w:fill="auto"/>
            <w:vAlign w:val="bottom"/>
          </w:tcPr>
          <w:p w14:paraId="1498A1D6" w14:textId="77777777" w:rsidR="00676D34" w:rsidRPr="001A547E" w:rsidRDefault="00676D34" w:rsidP="000343EE">
            <w:pPr>
              <w:spacing w:before="40" w:after="40"/>
              <w:rPr>
                <w:rFonts w:eastAsia="Microsoft GothicNeo" w:cs="Calibri"/>
              </w:rPr>
            </w:pPr>
            <w:r w:rsidRPr="001A547E">
              <w:rPr>
                <w:rFonts w:eastAsia="Microsoft GothicNeo" w:cs="Calibri"/>
              </w:rPr>
              <w:t>Visitor participation in nature-based experiences</w:t>
            </w:r>
          </w:p>
        </w:tc>
      </w:tr>
      <w:tr w:rsidR="00676D34" w14:paraId="6060B5C1" w14:textId="77777777" w:rsidTr="00676D34">
        <w:trPr>
          <w:divId w:val="591620094"/>
          <w:trHeight w:val="284"/>
        </w:trPr>
        <w:tc>
          <w:tcPr>
            <w:tcW w:w="1129" w:type="dxa"/>
            <w:vMerge/>
            <w:shd w:val="clear" w:color="auto" w:fill="auto"/>
          </w:tcPr>
          <w:p w14:paraId="1CC827CC" w14:textId="77777777" w:rsidR="00676D34" w:rsidRDefault="00676D34" w:rsidP="000343EE">
            <w:pPr>
              <w:spacing w:before="40" w:after="40"/>
            </w:pPr>
          </w:p>
        </w:tc>
        <w:tc>
          <w:tcPr>
            <w:tcW w:w="7887" w:type="dxa"/>
            <w:shd w:val="clear" w:color="auto" w:fill="auto"/>
            <w:vAlign w:val="bottom"/>
          </w:tcPr>
          <w:p w14:paraId="45AB86D7" w14:textId="77777777" w:rsidR="00676D34" w:rsidRPr="001A547E" w:rsidRDefault="00676D34" w:rsidP="000343EE">
            <w:pPr>
              <w:spacing w:before="40" w:after="40"/>
              <w:rPr>
                <w:rFonts w:eastAsia="Microsoft GothicNeo" w:cs="Calibri"/>
              </w:rPr>
            </w:pPr>
            <w:r w:rsidRPr="001A547E">
              <w:rPr>
                <w:rFonts w:eastAsia="Microsoft GothicNeo" w:cs="Calibri"/>
              </w:rPr>
              <w:t>Visitor contribution to regenerative activities</w:t>
            </w:r>
          </w:p>
        </w:tc>
      </w:tr>
      <w:tr w:rsidR="00676D34" w14:paraId="19F16FD4" w14:textId="77777777" w:rsidTr="00676D34">
        <w:trPr>
          <w:divId w:val="591620094"/>
          <w:trHeight w:val="284"/>
        </w:trPr>
        <w:tc>
          <w:tcPr>
            <w:tcW w:w="1129" w:type="dxa"/>
            <w:vMerge/>
            <w:shd w:val="clear" w:color="auto" w:fill="auto"/>
          </w:tcPr>
          <w:p w14:paraId="79298A2C" w14:textId="77777777" w:rsidR="00676D34" w:rsidRDefault="00676D34" w:rsidP="000343EE">
            <w:pPr>
              <w:spacing w:before="40" w:after="40"/>
            </w:pPr>
          </w:p>
        </w:tc>
        <w:tc>
          <w:tcPr>
            <w:tcW w:w="7887" w:type="dxa"/>
            <w:shd w:val="clear" w:color="auto" w:fill="auto"/>
            <w:vAlign w:val="bottom"/>
          </w:tcPr>
          <w:p w14:paraId="49A6AAC0" w14:textId="37D26BA3" w:rsidR="00676D34" w:rsidRPr="00B978E8" w:rsidRDefault="00676D34" w:rsidP="000343EE">
            <w:pPr>
              <w:spacing w:before="40" w:after="40"/>
              <w:rPr>
                <w:rFonts w:eastAsia="Microsoft GothicNeo" w:cs="Calibri"/>
                <w:b/>
                <w:bCs/>
              </w:rPr>
            </w:pPr>
            <w:r w:rsidRPr="001A547E">
              <w:rPr>
                <w:rFonts w:eastAsia="Microsoft GothicNeo" w:cs="Calibri"/>
              </w:rPr>
              <w:t xml:space="preserve">Indigenous perspective – </w:t>
            </w:r>
            <w:r w:rsidRPr="00B978E8">
              <w:rPr>
                <w:rFonts w:eastAsia="Microsoft GothicNeo" w:cs="Calibri"/>
                <w:strike/>
              </w:rPr>
              <w:t>connection to country</w:t>
            </w:r>
            <w:r w:rsidR="00B978E8" w:rsidRPr="00B978E8">
              <w:rPr>
                <w:rFonts w:eastAsia="Microsoft GothicNeo" w:cs="Calibri"/>
              </w:rPr>
              <w:t xml:space="preserve"> </w:t>
            </w:r>
            <w:r w:rsidR="00B978E8" w:rsidRPr="00B978E8">
              <w:rPr>
                <w:rFonts w:eastAsia="Microsoft GothicNeo" w:cs="Calibri"/>
                <w:b/>
                <w:bCs/>
              </w:rPr>
              <w:t>caring for country</w:t>
            </w:r>
          </w:p>
        </w:tc>
      </w:tr>
      <w:tr w:rsidR="00676D34" w14:paraId="623AA213" w14:textId="77777777" w:rsidTr="00676D34">
        <w:trPr>
          <w:divId w:val="591620094"/>
          <w:trHeight w:val="284"/>
        </w:trPr>
        <w:tc>
          <w:tcPr>
            <w:tcW w:w="1129" w:type="dxa"/>
            <w:vMerge/>
            <w:shd w:val="clear" w:color="auto" w:fill="auto"/>
          </w:tcPr>
          <w:p w14:paraId="5E5BD6F4" w14:textId="77777777" w:rsidR="00676D34" w:rsidRDefault="00676D34" w:rsidP="000343EE">
            <w:pPr>
              <w:spacing w:before="40" w:after="40"/>
            </w:pPr>
          </w:p>
        </w:tc>
        <w:tc>
          <w:tcPr>
            <w:tcW w:w="7887" w:type="dxa"/>
            <w:shd w:val="clear" w:color="auto" w:fill="auto"/>
            <w:vAlign w:val="bottom"/>
          </w:tcPr>
          <w:p w14:paraId="04523EAA" w14:textId="77777777" w:rsidR="00676D34" w:rsidRPr="001A547E" w:rsidRDefault="00676D34" w:rsidP="000343EE">
            <w:pPr>
              <w:spacing w:before="40" w:after="40"/>
              <w:rPr>
                <w:rFonts w:eastAsia="Microsoft GothicNeo" w:cs="Calibri"/>
              </w:rPr>
            </w:pPr>
            <w:r w:rsidRPr="001A547E">
              <w:rPr>
                <w:rFonts w:eastAsia="Microsoft GothicNeo" w:cs="Calibri"/>
              </w:rPr>
              <w:t>Consumer willingness to pay (for nature-based experiences and sustainability initiatives)</w:t>
            </w:r>
          </w:p>
        </w:tc>
      </w:tr>
      <w:tr w:rsidR="00676D34" w14:paraId="3489DD57" w14:textId="77777777" w:rsidTr="00676D34">
        <w:trPr>
          <w:divId w:val="591620094"/>
          <w:trHeight w:val="284"/>
        </w:trPr>
        <w:tc>
          <w:tcPr>
            <w:tcW w:w="1129" w:type="dxa"/>
            <w:vMerge w:val="restart"/>
            <w:shd w:val="clear" w:color="auto" w:fill="auto"/>
          </w:tcPr>
          <w:p w14:paraId="7E689415" w14:textId="77777777" w:rsidR="00676D34" w:rsidRDefault="00676D34" w:rsidP="000343EE">
            <w:pPr>
              <w:spacing w:before="40" w:after="40"/>
            </w:pPr>
            <w:r>
              <w:t>Low</w:t>
            </w:r>
          </w:p>
        </w:tc>
        <w:tc>
          <w:tcPr>
            <w:tcW w:w="7887" w:type="dxa"/>
            <w:shd w:val="clear" w:color="auto" w:fill="auto"/>
            <w:vAlign w:val="bottom"/>
          </w:tcPr>
          <w:p w14:paraId="0D05DA06" w14:textId="77777777" w:rsidR="00676D34" w:rsidRPr="001A547E" w:rsidRDefault="00676D34" w:rsidP="000343EE">
            <w:pPr>
              <w:spacing w:before="40" w:after="40"/>
              <w:rPr>
                <w:rFonts w:eastAsia="Microsoft GothicNeo" w:cs="Calibri"/>
              </w:rPr>
            </w:pPr>
            <w:r w:rsidRPr="001A547E">
              <w:rPr>
                <w:rFonts w:eastAsia="Microsoft GothicNeo" w:cs="Calibri"/>
              </w:rPr>
              <w:t>Industry resilience (risk management, insurance and contingency plan readiness)</w:t>
            </w:r>
          </w:p>
        </w:tc>
      </w:tr>
      <w:tr w:rsidR="00676D34" w14:paraId="49CB65BC" w14:textId="77777777" w:rsidTr="00676D34">
        <w:trPr>
          <w:divId w:val="591620094"/>
          <w:trHeight w:val="284"/>
        </w:trPr>
        <w:tc>
          <w:tcPr>
            <w:tcW w:w="1129" w:type="dxa"/>
            <w:vMerge/>
            <w:shd w:val="clear" w:color="auto" w:fill="auto"/>
          </w:tcPr>
          <w:p w14:paraId="27FD1F2F" w14:textId="77777777" w:rsidR="00676D34" w:rsidRDefault="00676D34" w:rsidP="000343EE">
            <w:pPr>
              <w:spacing w:before="40" w:after="40"/>
            </w:pPr>
          </w:p>
        </w:tc>
        <w:tc>
          <w:tcPr>
            <w:tcW w:w="7887" w:type="dxa"/>
            <w:shd w:val="clear" w:color="auto" w:fill="auto"/>
            <w:vAlign w:val="bottom"/>
          </w:tcPr>
          <w:p w14:paraId="34A219FA" w14:textId="77777777" w:rsidR="00676D34" w:rsidRPr="001A547E" w:rsidRDefault="00676D34" w:rsidP="000343EE">
            <w:pPr>
              <w:spacing w:before="40" w:after="40"/>
              <w:rPr>
                <w:rFonts w:eastAsia="Microsoft GothicNeo" w:cs="Calibri"/>
              </w:rPr>
            </w:pPr>
            <w:r w:rsidRPr="001A547E">
              <w:rPr>
                <w:rFonts w:eastAsia="Microsoft GothicNeo" w:cs="Calibri"/>
              </w:rPr>
              <w:t>Insurance – share underinsured</w:t>
            </w:r>
          </w:p>
        </w:tc>
      </w:tr>
      <w:tr w:rsidR="00676D34" w14:paraId="6829901A" w14:textId="77777777" w:rsidTr="00676D34">
        <w:trPr>
          <w:divId w:val="591620094"/>
          <w:trHeight w:val="284"/>
        </w:trPr>
        <w:tc>
          <w:tcPr>
            <w:tcW w:w="1129" w:type="dxa"/>
            <w:vMerge/>
            <w:shd w:val="clear" w:color="auto" w:fill="auto"/>
          </w:tcPr>
          <w:p w14:paraId="1B0AB5F1" w14:textId="77777777" w:rsidR="00676D34" w:rsidRDefault="00676D34" w:rsidP="000343EE">
            <w:pPr>
              <w:spacing w:before="40" w:after="40"/>
            </w:pPr>
          </w:p>
        </w:tc>
        <w:tc>
          <w:tcPr>
            <w:tcW w:w="7887" w:type="dxa"/>
            <w:shd w:val="clear" w:color="auto" w:fill="auto"/>
            <w:vAlign w:val="bottom"/>
          </w:tcPr>
          <w:p w14:paraId="04F28D76" w14:textId="77777777" w:rsidR="00676D34" w:rsidRPr="001A547E" w:rsidRDefault="00676D34" w:rsidP="000343EE">
            <w:pPr>
              <w:spacing w:before="40" w:after="40"/>
              <w:rPr>
                <w:rFonts w:eastAsia="Microsoft GothicNeo" w:cs="Calibri"/>
              </w:rPr>
            </w:pPr>
            <w:r w:rsidRPr="001A547E">
              <w:rPr>
                <w:rFonts w:eastAsia="Microsoft GothicNeo" w:cs="Calibri"/>
              </w:rPr>
              <w:t>Recovery time from a disaster event</w:t>
            </w:r>
          </w:p>
        </w:tc>
      </w:tr>
      <w:tr w:rsidR="00676D34" w14:paraId="1B2B05E8" w14:textId="77777777" w:rsidTr="00676D34">
        <w:trPr>
          <w:divId w:val="591620094"/>
          <w:trHeight w:val="284"/>
        </w:trPr>
        <w:tc>
          <w:tcPr>
            <w:tcW w:w="1129" w:type="dxa"/>
            <w:vMerge/>
            <w:shd w:val="clear" w:color="auto" w:fill="auto"/>
          </w:tcPr>
          <w:p w14:paraId="1D8A240B" w14:textId="77777777" w:rsidR="00676D34" w:rsidRDefault="00676D34" w:rsidP="000343EE">
            <w:pPr>
              <w:spacing w:before="40" w:after="40"/>
            </w:pPr>
          </w:p>
        </w:tc>
        <w:tc>
          <w:tcPr>
            <w:tcW w:w="7887" w:type="dxa"/>
            <w:shd w:val="clear" w:color="auto" w:fill="auto"/>
            <w:vAlign w:val="bottom"/>
          </w:tcPr>
          <w:p w14:paraId="5795715E" w14:textId="77777777" w:rsidR="00676D34" w:rsidRPr="001A547E" w:rsidRDefault="00676D34" w:rsidP="000343EE">
            <w:pPr>
              <w:spacing w:before="40" w:after="40"/>
              <w:rPr>
                <w:rFonts w:eastAsia="Microsoft GothicNeo" w:cs="Calibri"/>
              </w:rPr>
            </w:pPr>
            <w:r w:rsidRPr="001A547E">
              <w:rPr>
                <w:rFonts w:eastAsia="Microsoft GothicNeo" w:cs="Calibri"/>
              </w:rPr>
              <w:t>Percentage of food sourced locally (within Australia and the local area)</w:t>
            </w:r>
          </w:p>
        </w:tc>
      </w:tr>
    </w:tbl>
    <w:p w14:paraId="239D3993" w14:textId="77777777" w:rsidR="00B978E8" w:rsidRDefault="00B978E8" w:rsidP="00B978E8">
      <w:pPr>
        <w:divId w:val="591620094"/>
        <w:rPr>
          <w:rFonts w:cstheme="minorHAnsi"/>
          <w:b/>
          <w:bCs/>
          <w:sz w:val="24"/>
          <w:szCs w:val="24"/>
        </w:rPr>
      </w:pPr>
    </w:p>
    <w:p w14:paraId="1CBFE26B" w14:textId="2B20E5B9" w:rsidR="00B978E8" w:rsidRDefault="00B978E8" w:rsidP="00B978E8">
      <w:pPr>
        <w:divId w:val="591620094"/>
        <w:rPr>
          <w:sz w:val="24"/>
          <w:szCs w:val="24"/>
        </w:rPr>
      </w:pPr>
      <w:r>
        <w:rPr>
          <w:rFonts w:cstheme="minorHAnsi"/>
          <w:b/>
          <w:bCs/>
          <w:sz w:val="24"/>
          <w:szCs w:val="24"/>
        </w:rPr>
        <w:t>Foundation</w:t>
      </w:r>
      <w:r w:rsidRPr="00C47D0F">
        <w:rPr>
          <w:rFonts w:cstheme="minorHAnsi"/>
          <w:b/>
          <w:bCs/>
          <w:sz w:val="24"/>
          <w:szCs w:val="24"/>
        </w:rPr>
        <w:t xml:space="preserve"> indicators</w:t>
      </w:r>
    </w:p>
    <w:tbl>
      <w:tblPr>
        <w:tblStyle w:val="TableGrid"/>
        <w:tblW w:w="0" w:type="auto"/>
        <w:tblLook w:val="04A0" w:firstRow="1" w:lastRow="0" w:firstColumn="1" w:lastColumn="0" w:noHBand="0" w:noVBand="1"/>
      </w:tblPr>
      <w:tblGrid>
        <w:gridCol w:w="7887"/>
      </w:tblGrid>
      <w:tr w:rsidR="001F7CCC" w14:paraId="20F5CA42" w14:textId="77777777" w:rsidTr="00B978E8">
        <w:trPr>
          <w:divId w:val="591620094"/>
          <w:trHeight w:val="284"/>
        </w:trPr>
        <w:tc>
          <w:tcPr>
            <w:tcW w:w="7887" w:type="dxa"/>
            <w:shd w:val="clear" w:color="auto" w:fill="9CC2E5" w:themeFill="accent5" w:themeFillTint="99"/>
          </w:tcPr>
          <w:p w14:paraId="1350E1DE" w14:textId="77777777" w:rsidR="001F7CCC" w:rsidRDefault="001F7CCC" w:rsidP="000343EE">
            <w:pPr>
              <w:spacing w:before="40" w:after="40"/>
            </w:pPr>
            <w:r>
              <w:t>Indicator</w:t>
            </w:r>
          </w:p>
        </w:tc>
      </w:tr>
      <w:tr w:rsidR="001F7CCC" w14:paraId="5BEB1E67" w14:textId="77777777" w:rsidTr="00B978E8">
        <w:trPr>
          <w:divId w:val="591620094"/>
          <w:trHeight w:val="284"/>
        </w:trPr>
        <w:tc>
          <w:tcPr>
            <w:tcW w:w="7887" w:type="dxa"/>
            <w:shd w:val="clear" w:color="auto" w:fill="auto"/>
            <w:vAlign w:val="bottom"/>
          </w:tcPr>
          <w:p w14:paraId="59E9082A" w14:textId="13F60F62" w:rsidR="001F7CCC" w:rsidRPr="00B978E8" w:rsidRDefault="001F7CCC" w:rsidP="000343EE">
            <w:pPr>
              <w:spacing w:before="40" w:after="40"/>
              <w:rPr>
                <w:b/>
                <w:bCs/>
              </w:rPr>
            </w:pPr>
            <w:r w:rsidRPr="00B978E8">
              <w:rPr>
                <w:rFonts w:eastAsia="Microsoft GothicNeo" w:cs="Calibri"/>
                <w:b/>
                <w:bCs/>
              </w:rPr>
              <w:t>Competitive digital capability (test integration, 5G network, data, interparty)</w:t>
            </w:r>
          </w:p>
        </w:tc>
      </w:tr>
      <w:tr w:rsidR="001F7CCC" w14:paraId="53792F80" w14:textId="77777777" w:rsidTr="00B978E8">
        <w:trPr>
          <w:divId w:val="591620094"/>
          <w:trHeight w:val="284"/>
        </w:trPr>
        <w:tc>
          <w:tcPr>
            <w:tcW w:w="7887" w:type="dxa"/>
            <w:shd w:val="clear" w:color="auto" w:fill="auto"/>
            <w:vAlign w:val="bottom"/>
          </w:tcPr>
          <w:p w14:paraId="0D24AFCE" w14:textId="274CE5B3" w:rsidR="001F7CCC" w:rsidRPr="00B978E8" w:rsidRDefault="001F7CCC" w:rsidP="000343EE">
            <w:pPr>
              <w:spacing w:before="40" w:after="40"/>
              <w:rPr>
                <w:rFonts w:eastAsia="Microsoft GothicNeo" w:cs="Calibri"/>
                <w:b/>
                <w:bCs/>
              </w:rPr>
            </w:pPr>
            <w:r>
              <w:rPr>
                <w:rFonts w:eastAsia="Microsoft GothicNeo" w:cs="Calibri"/>
                <w:b/>
                <w:bCs/>
              </w:rPr>
              <w:t>Innovation</w:t>
            </w:r>
          </w:p>
        </w:tc>
      </w:tr>
      <w:tr w:rsidR="001F7CCC" w14:paraId="61C66E50" w14:textId="77777777" w:rsidTr="00B978E8">
        <w:trPr>
          <w:divId w:val="591620094"/>
          <w:trHeight w:val="284"/>
        </w:trPr>
        <w:tc>
          <w:tcPr>
            <w:tcW w:w="7887" w:type="dxa"/>
            <w:shd w:val="clear" w:color="auto" w:fill="auto"/>
            <w:vAlign w:val="bottom"/>
          </w:tcPr>
          <w:p w14:paraId="769F8BE3" w14:textId="4C14B9D3" w:rsidR="001F7CCC" w:rsidRPr="00B978E8" w:rsidRDefault="001F7CCC" w:rsidP="00FA60B9">
            <w:pPr>
              <w:spacing w:before="40" w:after="40"/>
              <w:rPr>
                <w:rFonts w:eastAsia="Microsoft GothicNeo" w:cs="Calibri"/>
                <w:b/>
                <w:bCs/>
              </w:rPr>
            </w:pPr>
            <w:r>
              <w:rPr>
                <w:rFonts w:eastAsia="Microsoft GothicNeo" w:cs="Calibri"/>
                <w:b/>
                <w:bCs/>
              </w:rPr>
              <w:t>Resilience</w:t>
            </w:r>
            <w:r w:rsidRPr="001A547E">
              <w:rPr>
                <w:rFonts w:eastAsia="Microsoft GothicNeo" w:cs="Calibri"/>
              </w:rPr>
              <w:t xml:space="preserve"> </w:t>
            </w:r>
          </w:p>
        </w:tc>
      </w:tr>
      <w:tr w:rsidR="001F7CCC" w14:paraId="3EEAA6C8" w14:textId="77777777" w:rsidTr="00B978E8">
        <w:trPr>
          <w:divId w:val="591620094"/>
          <w:trHeight w:val="284"/>
        </w:trPr>
        <w:tc>
          <w:tcPr>
            <w:tcW w:w="7887" w:type="dxa"/>
            <w:shd w:val="clear" w:color="auto" w:fill="auto"/>
            <w:vAlign w:val="bottom"/>
          </w:tcPr>
          <w:p w14:paraId="5E780F2A" w14:textId="2658B0C5" w:rsidR="001F7CCC" w:rsidRPr="00FA60B9" w:rsidRDefault="001F7CCC" w:rsidP="00FA60B9">
            <w:pPr>
              <w:spacing w:before="40" w:after="40"/>
              <w:rPr>
                <w:rFonts w:eastAsia="Microsoft GothicNeo" w:cs="Calibri"/>
                <w:b/>
                <w:bCs/>
              </w:rPr>
            </w:pPr>
            <w:r w:rsidRPr="001B39AC">
              <w:rPr>
                <w:rFonts w:eastAsia="Microsoft GothicNeo" w:cs="Calibri"/>
                <w:b/>
                <w:bCs/>
                <w:i/>
                <w:iCs/>
              </w:rPr>
              <w:t>THRIVE 2030</w:t>
            </w:r>
            <w:r w:rsidRPr="00756DB8">
              <w:rPr>
                <w:rFonts w:eastAsia="Microsoft GothicNeo" w:cs="Calibri"/>
                <w:b/>
                <w:bCs/>
              </w:rPr>
              <w:t xml:space="preserve"> governance framework</w:t>
            </w:r>
          </w:p>
        </w:tc>
      </w:tr>
    </w:tbl>
    <w:p w14:paraId="5FAA5545" w14:textId="77777777" w:rsidR="00676D34" w:rsidRPr="00BF1880" w:rsidRDefault="00676D34" w:rsidP="00BF1880">
      <w:pPr>
        <w:tabs>
          <w:tab w:val="left" w:pos="1876"/>
        </w:tabs>
        <w:spacing w:before="120" w:after="120"/>
        <w:divId w:val="591620094"/>
        <w:rPr>
          <w:rFonts w:ascii="Times New Roman" w:eastAsia="Times New Roman" w:hAnsi="Times New Roman" w:cs="Times New Roman"/>
          <w:color w:val="000000"/>
          <w:sz w:val="24"/>
          <w:szCs w:val="24"/>
          <w:lang w:eastAsia="en-GB"/>
        </w:rPr>
      </w:pPr>
    </w:p>
    <w:sectPr w:rsidR="00676D34" w:rsidRPr="00BF1880" w:rsidSect="007A3F8E">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10E0" w14:textId="77777777" w:rsidR="00811A75" w:rsidRDefault="00811A75" w:rsidP="00CD6321">
      <w:pPr>
        <w:spacing w:after="0" w:line="240" w:lineRule="auto"/>
      </w:pPr>
      <w:r>
        <w:separator/>
      </w:r>
    </w:p>
  </w:endnote>
  <w:endnote w:type="continuationSeparator" w:id="0">
    <w:p w14:paraId="006FFC47" w14:textId="77777777" w:rsidR="00811A75" w:rsidRDefault="00811A75" w:rsidP="00CD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GothicNeo">
    <w:charset w:val="81"/>
    <w:family w:val="swiss"/>
    <w:pitch w:val="variable"/>
    <w:sig w:usb0="800002BF" w:usb1="29D7A47B" w:usb2="00000010" w:usb3="00000000" w:csb0="0029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7656" w14:textId="33824F68" w:rsidR="007A3F8E" w:rsidRDefault="007A3F8E" w:rsidP="007A3F8E">
    <w:pPr>
      <w:pStyle w:val="Footer"/>
      <w:pBdr>
        <w:top w:val="single" w:sz="4" w:space="1" w:color="auto"/>
      </w:pBdr>
      <w:jc w:val="right"/>
    </w:pPr>
    <w:r>
      <w:t>p</w:t>
    </w:r>
    <w:r>
      <w:fldChar w:fldCharType="begin"/>
    </w:r>
    <w:r>
      <w:instrText xml:space="preserve"> PAGE   \* MERGEFORMAT </w:instrText>
    </w:r>
    <w:r>
      <w:fldChar w:fldCharType="separate"/>
    </w:r>
    <w:r>
      <w:rPr>
        <w:noProof/>
      </w:rPr>
      <w:t>1</w:t>
    </w:r>
    <w:r>
      <w:rPr>
        <w:noProof/>
      </w:rPr>
      <w:fldChar w:fldCharType="end"/>
    </w:r>
    <w:r>
      <w:t xml:space="preserve"> of </w:t>
    </w:r>
    <w:r w:rsidR="001B39AC">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A3CA" w14:textId="390A3690" w:rsidR="005F59D5" w:rsidRDefault="005F59D5" w:rsidP="005F59D5">
    <w:pPr>
      <w:pStyle w:val="Footer"/>
      <w:pBdr>
        <w:top w:val="single" w:sz="4" w:space="1" w:color="auto"/>
      </w:pBdr>
      <w:jc w:val="right"/>
    </w:pPr>
    <w:r>
      <w:t>p</w:t>
    </w:r>
    <w:r>
      <w:fldChar w:fldCharType="begin"/>
    </w:r>
    <w:r>
      <w:instrText xml:space="preserve"> PAGE   \* MERGEFORMAT </w:instrText>
    </w:r>
    <w:r>
      <w:fldChar w:fldCharType="separate"/>
    </w:r>
    <w:r>
      <w:rPr>
        <w:noProof/>
      </w:rPr>
      <w:t>1</w:t>
    </w:r>
    <w:r>
      <w:rPr>
        <w:noProof/>
      </w:rPr>
      <w:fldChar w:fldCharType="end"/>
    </w:r>
    <w:r>
      <w:rPr>
        <w:noProof/>
      </w:rPr>
      <w:t xml:space="preserve"> </w:t>
    </w:r>
    <w:r>
      <w:t xml:space="preserve">of </w:t>
    </w:r>
    <w:r w:rsidR="007105B5">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3468" w14:textId="77777777" w:rsidR="00811A75" w:rsidRDefault="00811A75" w:rsidP="00CD6321">
      <w:pPr>
        <w:spacing w:after="0" w:line="240" w:lineRule="auto"/>
      </w:pPr>
      <w:r>
        <w:separator/>
      </w:r>
    </w:p>
  </w:footnote>
  <w:footnote w:type="continuationSeparator" w:id="0">
    <w:p w14:paraId="6BF2A3F8" w14:textId="77777777" w:rsidR="00811A75" w:rsidRDefault="00811A75" w:rsidP="00CD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342C" w14:textId="77777777" w:rsidR="0026138F" w:rsidRDefault="0026138F" w:rsidP="0026138F">
    <w:pPr>
      <w:pStyle w:val="Header"/>
      <w:tabs>
        <w:tab w:val="clear" w:pos="4513"/>
        <w:tab w:val="clear" w:pos="9026"/>
        <w:tab w:val="left" w:pos="0"/>
      </w:tabs>
    </w:pPr>
    <w:r>
      <w:rPr>
        <w:noProof/>
        <w:lang w:eastAsia="en-AU"/>
      </w:rPr>
      <w:drawing>
        <wp:inline distT="0" distB="0" distL="0" distR="0" wp14:anchorId="2529C115" wp14:editId="4DE0FBCC">
          <wp:extent cx="3420110" cy="640080"/>
          <wp:effectExtent l="0" t="0" r="889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E90"/>
    <w:multiLevelType w:val="hybridMultilevel"/>
    <w:tmpl w:val="D8E0A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049C1"/>
    <w:multiLevelType w:val="hybridMultilevel"/>
    <w:tmpl w:val="21D2EA5C"/>
    <w:lvl w:ilvl="0" w:tplc="925E9138">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855536"/>
    <w:multiLevelType w:val="hybridMultilevel"/>
    <w:tmpl w:val="79C63386"/>
    <w:lvl w:ilvl="0" w:tplc="79F05FB8">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F48B3"/>
    <w:multiLevelType w:val="hybridMultilevel"/>
    <w:tmpl w:val="D8AAA552"/>
    <w:lvl w:ilvl="0" w:tplc="9C2491D4">
      <w:start w:val="2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C2719"/>
    <w:multiLevelType w:val="hybridMultilevel"/>
    <w:tmpl w:val="E88E44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F45B77"/>
    <w:multiLevelType w:val="hybridMultilevel"/>
    <w:tmpl w:val="D7CC5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465A89"/>
    <w:multiLevelType w:val="hybridMultilevel"/>
    <w:tmpl w:val="E7B4A764"/>
    <w:lvl w:ilvl="0" w:tplc="86CE034E">
      <w:numFmt w:val="bullet"/>
      <w:lvlText w:val="-"/>
      <w:lvlJc w:val="left"/>
      <w:pPr>
        <w:ind w:left="1146"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C6F0F43"/>
    <w:multiLevelType w:val="hybridMultilevel"/>
    <w:tmpl w:val="77A67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F23D12"/>
    <w:multiLevelType w:val="hybridMultilevel"/>
    <w:tmpl w:val="5CF0DFA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25543607"/>
    <w:multiLevelType w:val="hybridMultilevel"/>
    <w:tmpl w:val="DFD0B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F5322"/>
    <w:multiLevelType w:val="hybridMultilevel"/>
    <w:tmpl w:val="9578B1E8"/>
    <w:lvl w:ilvl="0" w:tplc="3D7E8AE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0372D"/>
    <w:multiLevelType w:val="hybridMultilevel"/>
    <w:tmpl w:val="13BEBD4C"/>
    <w:lvl w:ilvl="0" w:tplc="86CE03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932EB"/>
    <w:multiLevelType w:val="hybridMultilevel"/>
    <w:tmpl w:val="B2A03CC8"/>
    <w:lvl w:ilvl="0" w:tplc="D5408174">
      <w:start w:val="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4A436E"/>
    <w:multiLevelType w:val="hybridMultilevel"/>
    <w:tmpl w:val="CA12A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5D2BBA"/>
    <w:multiLevelType w:val="hybridMultilevel"/>
    <w:tmpl w:val="577E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65A6E"/>
    <w:multiLevelType w:val="hybridMultilevel"/>
    <w:tmpl w:val="C054CD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6266B"/>
    <w:multiLevelType w:val="hybridMultilevel"/>
    <w:tmpl w:val="3BB61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245E43"/>
    <w:multiLevelType w:val="hybridMultilevel"/>
    <w:tmpl w:val="02DAA3A4"/>
    <w:lvl w:ilvl="0" w:tplc="046853AC">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8" w15:restartNumberingAfterBreak="0">
    <w:nsid w:val="5A5D6AF1"/>
    <w:multiLevelType w:val="hybridMultilevel"/>
    <w:tmpl w:val="A28A3576"/>
    <w:lvl w:ilvl="0" w:tplc="D9A0869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52067F"/>
    <w:multiLevelType w:val="hybridMultilevel"/>
    <w:tmpl w:val="3A16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C4408E"/>
    <w:multiLevelType w:val="hybridMultilevel"/>
    <w:tmpl w:val="6F603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FE35EC"/>
    <w:multiLevelType w:val="hybridMultilevel"/>
    <w:tmpl w:val="B792F29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68EA1D38"/>
    <w:multiLevelType w:val="hybridMultilevel"/>
    <w:tmpl w:val="C26C47D2"/>
    <w:lvl w:ilvl="0" w:tplc="E16C870E">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8500B2"/>
    <w:multiLevelType w:val="hybridMultilevel"/>
    <w:tmpl w:val="88F6CAD4"/>
    <w:lvl w:ilvl="0" w:tplc="0492A6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FC7C95"/>
    <w:multiLevelType w:val="hybridMultilevel"/>
    <w:tmpl w:val="DAAE0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6D5ED1"/>
    <w:multiLevelType w:val="hybridMultilevel"/>
    <w:tmpl w:val="9EFE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2094313">
    <w:abstractNumId w:val="18"/>
  </w:num>
  <w:num w:numId="2" w16cid:durableId="631137061">
    <w:abstractNumId w:val="11"/>
  </w:num>
  <w:num w:numId="3" w16cid:durableId="78529945">
    <w:abstractNumId w:val="6"/>
  </w:num>
  <w:num w:numId="4" w16cid:durableId="1130634430">
    <w:abstractNumId w:val="1"/>
  </w:num>
  <w:num w:numId="5" w16cid:durableId="1871070560">
    <w:abstractNumId w:val="1"/>
  </w:num>
  <w:num w:numId="6" w16cid:durableId="1009483544">
    <w:abstractNumId w:val="21"/>
  </w:num>
  <w:num w:numId="7" w16cid:durableId="2000159550">
    <w:abstractNumId w:val="5"/>
  </w:num>
  <w:num w:numId="8" w16cid:durableId="397485808">
    <w:abstractNumId w:val="23"/>
  </w:num>
  <w:num w:numId="9" w16cid:durableId="2016809340">
    <w:abstractNumId w:val="20"/>
  </w:num>
  <w:num w:numId="10" w16cid:durableId="1209997970">
    <w:abstractNumId w:val="24"/>
  </w:num>
  <w:num w:numId="11" w16cid:durableId="1527715159">
    <w:abstractNumId w:val="16"/>
  </w:num>
  <w:num w:numId="12" w16cid:durableId="1194608634">
    <w:abstractNumId w:val="19"/>
  </w:num>
  <w:num w:numId="13" w16cid:durableId="31811188">
    <w:abstractNumId w:val="22"/>
  </w:num>
  <w:num w:numId="14" w16cid:durableId="1103964486">
    <w:abstractNumId w:val="12"/>
  </w:num>
  <w:num w:numId="15" w16cid:durableId="436217043">
    <w:abstractNumId w:val="3"/>
  </w:num>
  <w:num w:numId="16" w16cid:durableId="1011226583">
    <w:abstractNumId w:val="17"/>
  </w:num>
  <w:num w:numId="17" w16cid:durableId="2058162492">
    <w:abstractNumId w:val="2"/>
  </w:num>
  <w:num w:numId="18" w16cid:durableId="1434209767">
    <w:abstractNumId w:val="10"/>
  </w:num>
  <w:num w:numId="19" w16cid:durableId="1190492205">
    <w:abstractNumId w:val="9"/>
  </w:num>
  <w:num w:numId="20" w16cid:durableId="1190215986">
    <w:abstractNumId w:val="13"/>
  </w:num>
  <w:num w:numId="21" w16cid:durableId="912154937">
    <w:abstractNumId w:val="0"/>
  </w:num>
  <w:num w:numId="22" w16cid:durableId="2050959200">
    <w:abstractNumId w:val="14"/>
  </w:num>
  <w:num w:numId="23" w16cid:durableId="1736050954">
    <w:abstractNumId w:val="4"/>
  </w:num>
  <w:num w:numId="24" w16cid:durableId="1621720731">
    <w:abstractNumId w:val="15"/>
  </w:num>
  <w:num w:numId="25" w16cid:durableId="1764643031">
    <w:abstractNumId w:val="25"/>
  </w:num>
  <w:num w:numId="26" w16cid:durableId="1442845410">
    <w:abstractNumId w:val="8"/>
  </w:num>
  <w:num w:numId="27" w16cid:durableId="238253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21"/>
    <w:rsid w:val="00002AB4"/>
    <w:rsid w:val="00005C20"/>
    <w:rsid w:val="0001762B"/>
    <w:rsid w:val="000204A6"/>
    <w:rsid w:val="00023304"/>
    <w:rsid w:val="00027F50"/>
    <w:rsid w:val="000356CF"/>
    <w:rsid w:val="00047B50"/>
    <w:rsid w:val="000636AD"/>
    <w:rsid w:val="000702B4"/>
    <w:rsid w:val="000703D5"/>
    <w:rsid w:val="00071703"/>
    <w:rsid w:val="000827AF"/>
    <w:rsid w:val="0008501B"/>
    <w:rsid w:val="000862B2"/>
    <w:rsid w:val="00086FB0"/>
    <w:rsid w:val="00093DEE"/>
    <w:rsid w:val="00093FDE"/>
    <w:rsid w:val="000A2F9F"/>
    <w:rsid w:val="000A4EA9"/>
    <w:rsid w:val="000B134C"/>
    <w:rsid w:val="000B4727"/>
    <w:rsid w:val="000B535E"/>
    <w:rsid w:val="000C1E90"/>
    <w:rsid w:val="000D51E7"/>
    <w:rsid w:val="000D631D"/>
    <w:rsid w:val="000D7E91"/>
    <w:rsid w:val="000E1E11"/>
    <w:rsid w:val="000E1F75"/>
    <w:rsid w:val="000E365D"/>
    <w:rsid w:val="0010108B"/>
    <w:rsid w:val="00101CF4"/>
    <w:rsid w:val="00125404"/>
    <w:rsid w:val="00135FC2"/>
    <w:rsid w:val="00146887"/>
    <w:rsid w:val="001752A7"/>
    <w:rsid w:val="001977BD"/>
    <w:rsid w:val="001B39AC"/>
    <w:rsid w:val="001C5D9D"/>
    <w:rsid w:val="001D0B47"/>
    <w:rsid w:val="001D6936"/>
    <w:rsid w:val="001E3310"/>
    <w:rsid w:val="001E7FE5"/>
    <w:rsid w:val="001F3E6E"/>
    <w:rsid w:val="001F619C"/>
    <w:rsid w:val="001F631C"/>
    <w:rsid w:val="001F7CCC"/>
    <w:rsid w:val="002058DC"/>
    <w:rsid w:val="00207045"/>
    <w:rsid w:val="00214A0A"/>
    <w:rsid w:val="002177AA"/>
    <w:rsid w:val="002261C2"/>
    <w:rsid w:val="00230A3A"/>
    <w:rsid w:val="00235E3C"/>
    <w:rsid w:val="0023725E"/>
    <w:rsid w:val="00251844"/>
    <w:rsid w:val="00255122"/>
    <w:rsid w:val="002566F5"/>
    <w:rsid w:val="0026138F"/>
    <w:rsid w:val="002660F4"/>
    <w:rsid w:val="0029200C"/>
    <w:rsid w:val="002F759D"/>
    <w:rsid w:val="00304136"/>
    <w:rsid w:val="00304D12"/>
    <w:rsid w:val="00307771"/>
    <w:rsid w:val="00317788"/>
    <w:rsid w:val="00321726"/>
    <w:rsid w:val="003354E0"/>
    <w:rsid w:val="0034120F"/>
    <w:rsid w:val="00362750"/>
    <w:rsid w:val="00363419"/>
    <w:rsid w:val="0036626B"/>
    <w:rsid w:val="00371FE6"/>
    <w:rsid w:val="00375B55"/>
    <w:rsid w:val="00380286"/>
    <w:rsid w:val="00393000"/>
    <w:rsid w:val="003A2B5E"/>
    <w:rsid w:val="003A50EB"/>
    <w:rsid w:val="003D40B5"/>
    <w:rsid w:val="003D4C08"/>
    <w:rsid w:val="003D56A0"/>
    <w:rsid w:val="003E3C25"/>
    <w:rsid w:val="003E4468"/>
    <w:rsid w:val="003F06E6"/>
    <w:rsid w:val="00423455"/>
    <w:rsid w:val="0043336A"/>
    <w:rsid w:val="00440A64"/>
    <w:rsid w:val="00440B8C"/>
    <w:rsid w:val="00443116"/>
    <w:rsid w:val="0044502D"/>
    <w:rsid w:val="00452E36"/>
    <w:rsid w:val="0046732D"/>
    <w:rsid w:val="004718A9"/>
    <w:rsid w:val="00473C92"/>
    <w:rsid w:val="00482AF1"/>
    <w:rsid w:val="00486AE3"/>
    <w:rsid w:val="004A1C7E"/>
    <w:rsid w:val="004A32DE"/>
    <w:rsid w:val="004A5134"/>
    <w:rsid w:val="004B30EF"/>
    <w:rsid w:val="004D796F"/>
    <w:rsid w:val="004F0616"/>
    <w:rsid w:val="004F1BE7"/>
    <w:rsid w:val="004F22B0"/>
    <w:rsid w:val="00506A90"/>
    <w:rsid w:val="005070E5"/>
    <w:rsid w:val="0052506B"/>
    <w:rsid w:val="00530754"/>
    <w:rsid w:val="005323C4"/>
    <w:rsid w:val="0054574B"/>
    <w:rsid w:val="00570C6B"/>
    <w:rsid w:val="00572539"/>
    <w:rsid w:val="00576AA4"/>
    <w:rsid w:val="005774FC"/>
    <w:rsid w:val="005A2701"/>
    <w:rsid w:val="005A7A55"/>
    <w:rsid w:val="005B13E2"/>
    <w:rsid w:val="005C3EE7"/>
    <w:rsid w:val="005C45D3"/>
    <w:rsid w:val="005E7746"/>
    <w:rsid w:val="005F4AFA"/>
    <w:rsid w:val="005F59D5"/>
    <w:rsid w:val="006017F7"/>
    <w:rsid w:val="006028B6"/>
    <w:rsid w:val="00607BF2"/>
    <w:rsid w:val="00610568"/>
    <w:rsid w:val="006230C5"/>
    <w:rsid w:val="0063541E"/>
    <w:rsid w:val="00636C71"/>
    <w:rsid w:val="006606B5"/>
    <w:rsid w:val="00664289"/>
    <w:rsid w:val="00675E26"/>
    <w:rsid w:val="00676D34"/>
    <w:rsid w:val="006771F2"/>
    <w:rsid w:val="006876CE"/>
    <w:rsid w:val="006A1299"/>
    <w:rsid w:val="006A1901"/>
    <w:rsid w:val="006B21C5"/>
    <w:rsid w:val="006D3046"/>
    <w:rsid w:val="006D3113"/>
    <w:rsid w:val="006D69A3"/>
    <w:rsid w:val="006D7DAF"/>
    <w:rsid w:val="006F14CB"/>
    <w:rsid w:val="006F4774"/>
    <w:rsid w:val="006F7FA2"/>
    <w:rsid w:val="00704A87"/>
    <w:rsid w:val="007105B5"/>
    <w:rsid w:val="00745852"/>
    <w:rsid w:val="00751525"/>
    <w:rsid w:val="00756DB8"/>
    <w:rsid w:val="0076280A"/>
    <w:rsid w:val="00774C5F"/>
    <w:rsid w:val="007A3F8E"/>
    <w:rsid w:val="007C2740"/>
    <w:rsid w:val="007D2DEC"/>
    <w:rsid w:val="007E1407"/>
    <w:rsid w:val="007F272D"/>
    <w:rsid w:val="00811A75"/>
    <w:rsid w:val="00815501"/>
    <w:rsid w:val="00817B5E"/>
    <w:rsid w:val="008274A4"/>
    <w:rsid w:val="00840DA1"/>
    <w:rsid w:val="00853D1F"/>
    <w:rsid w:val="00860341"/>
    <w:rsid w:val="008725CD"/>
    <w:rsid w:val="00875635"/>
    <w:rsid w:val="008940AD"/>
    <w:rsid w:val="008A1C3A"/>
    <w:rsid w:val="008B0E0A"/>
    <w:rsid w:val="008B6B35"/>
    <w:rsid w:val="008C234C"/>
    <w:rsid w:val="008C768D"/>
    <w:rsid w:val="008D0F0F"/>
    <w:rsid w:val="008D15A2"/>
    <w:rsid w:val="008D3953"/>
    <w:rsid w:val="008E23F1"/>
    <w:rsid w:val="0090040F"/>
    <w:rsid w:val="0090377E"/>
    <w:rsid w:val="009202B7"/>
    <w:rsid w:val="009233B6"/>
    <w:rsid w:val="00931A5C"/>
    <w:rsid w:val="0094196A"/>
    <w:rsid w:val="009529E6"/>
    <w:rsid w:val="009775BA"/>
    <w:rsid w:val="00993612"/>
    <w:rsid w:val="009A3AE4"/>
    <w:rsid w:val="009B00E6"/>
    <w:rsid w:val="009B4CB6"/>
    <w:rsid w:val="009C1391"/>
    <w:rsid w:val="009D56A3"/>
    <w:rsid w:val="009F43A8"/>
    <w:rsid w:val="009F487E"/>
    <w:rsid w:val="00A02A42"/>
    <w:rsid w:val="00A05961"/>
    <w:rsid w:val="00A14840"/>
    <w:rsid w:val="00A3178B"/>
    <w:rsid w:val="00A358CC"/>
    <w:rsid w:val="00A5136A"/>
    <w:rsid w:val="00A55F70"/>
    <w:rsid w:val="00A60D56"/>
    <w:rsid w:val="00A6121E"/>
    <w:rsid w:val="00A63462"/>
    <w:rsid w:val="00A66AE4"/>
    <w:rsid w:val="00A8195B"/>
    <w:rsid w:val="00AB5174"/>
    <w:rsid w:val="00AB6680"/>
    <w:rsid w:val="00AB6B8C"/>
    <w:rsid w:val="00AC0EE8"/>
    <w:rsid w:val="00AC715C"/>
    <w:rsid w:val="00AC7162"/>
    <w:rsid w:val="00AE1867"/>
    <w:rsid w:val="00AF3D67"/>
    <w:rsid w:val="00B116A9"/>
    <w:rsid w:val="00B11AFB"/>
    <w:rsid w:val="00B1377D"/>
    <w:rsid w:val="00B162B3"/>
    <w:rsid w:val="00B167DE"/>
    <w:rsid w:val="00B32780"/>
    <w:rsid w:val="00B44ACC"/>
    <w:rsid w:val="00B47EFD"/>
    <w:rsid w:val="00B51C5A"/>
    <w:rsid w:val="00B64331"/>
    <w:rsid w:val="00B74D42"/>
    <w:rsid w:val="00B83B07"/>
    <w:rsid w:val="00B946CE"/>
    <w:rsid w:val="00B978E8"/>
    <w:rsid w:val="00BA3ED0"/>
    <w:rsid w:val="00BC2AE8"/>
    <w:rsid w:val="00BD2F32"/>
    <w:rsid w:val="00BE6C9E"/>
    <w:rsid w:val="00BF176F"/>
    <w:rsid w:val="00BF1880"/>
    <w:rsid w:val="00BF37A0"/>
    <w:rsid w:val="00BF7A11"/>
    <w:rsid w:val="00C076CE"/>
    <w:rsid w:val="00C20EC5"/>
    <w:rsid w:val="00C22869"/>
    <w:rsid w:val="00C3396F"/>
    <w:rsid w:val="00C36E64"/>
    <w:rsid w:val="00C53DAC"/>
    <w:rsid w:val="00C87D5C"/>
    <w:rsid w:val="00C96D7B"/>
    <w:rsid w:val="00CA41B5"/>
    <w:rsid w:val="00CD0678"/>
    <w:rsid w:val="00CD06A8"/>
    <w:rsid w:val="00CD6321"/>
    <w:rsid w:val="00CD797B"/>
    <w:rsid w:val="00CE7A42"/>
    <w:rsid w:val="00CF5B30"/>
    <w:rsid w:val="00CF603D"/>
    <w:rsid w:val="00CF6DDD"/>
    <w:rsid w:val="00D001F7"/>
    <w:rsid w:val="00D13017"/>
    <w:rsid w:val="00D16DDF"/>
    <w:rsid w:val="00D2261A"/>
    <w:rsid w:val="00D338E9"/>
    <w:rsid w:val="00D43872"/>
    <w:rsid w:val="00D57CB2"/>
    <w:rsid w:val="00D64D0D"/>
    <w:rsid w:val="00D66FF0"/>
    <w:rsid w:val="00D8269E"/>
    <w:rsid w:val="00D85D65"/>
    <w:rsid w:val="00D9781F"/>
    <w:rsid w:val="00DA32F1"/>
    <w:rsid w:val="00DA5E68"/>
    <w:rsid w:val="00DB4EF5"/>
    <w:rsid w:val="00DC01BD"/>
    <w:rsid w:val="00DC43AA"/>
    <w:rsid w:val="00DC6D76"/>
    <w:rsid w:val="00DD1987"/>
    <w:rsid w:val="00DF211C"/>
    <w:rsid w:val="00DF33C2"/>
    <w:rsid w:val="00E01F66"/>
    <w:rsid w:val="00E25C89"/>
    <w:rsid w:val="00E27998"/>
    <w:rsid w:val="00E3420E"/>
    <w:rsid w:val="00E365A0"/>
    <w:rsid w:val="00E53066"/>
    <w:rsid w:val="00E53D6C"/>
    <w:rsid w:val="00E86C4A"/>
    <w:rsid w:val="00EA08EA"/>
    <w:rsid w:val="00EA3622"/>
    <w:rsid w:val="00EA681A"/>
    <w:rsid w:val="00ED0FCE"/>
    <w:rsid w:val="00ED4B35"/>
    <w:rsid w:val="00EF5EF1"/>
    <w:rsid w:val="00F13DC7"/>
    <w:rsid w:val="00F150DC"/>
    <w:rsid w:val="00F239A1"/>
    <w:rsid w:val="00F23DD5"/>
    <w:rsid w:val="00F371F4"/>
    <w:rsid w:val="00F43CDC"/>
    <w:rsid w:val="00F44DA1"/>
    <w:rsid w:val="00F46A66"/>
    <w:rsid w:val="00F52136"/>
    <w:rsid w:val="00F56AE4"/>
    <w:rsid w:val="00F60EC3"/>
    <w:rsid w:val="00F6597A"/>
    <w:rsid w:val="00F73999"/>
    <w:rsid w:val="00F8540F"/>
    <w:rsid w:val="00F90F02"/>
    <w:rsid w:val="00F918FC"/>
    <w:rsid w:val="00F97F96"/>
    <w:rsid w:val="00FA60B9"/>
    <w:rsid w:val="00FB5435"/>
    <w:rsid w:val="00FC5370"/>
    <w:rsid w:val="00FD5857"/>
    <w:rsid w:val="00FF05AD"/>
    <w:rsid w:val="00FF1598"/>
    <w:rsid w:val="00FF3B2D"/>
    <w:rsid w:val="00FF5316"/>
    <w:rsid w:val="00FF7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42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E8"/>
  </w:style>
  <w:style w:type="paragraph" w:styleId="Heading1">
    <w:name w:val="heading 1"/>
    <w:basedOn w:val="Normal"/>
    <w:next w:val="Normal"/>
    <w:link w:val="Heading1Char"/>
    <w:uiPriority w:val="9"/>
    <w:qFormat/>
    <w:rsid w:val="00F521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2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21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21"/>
  </w:style>
  <w:style w:type="paragraph" w:styleId="Footer">
    <w:name w:val="footer"/>
    <w:basedOn w:val="Normal"/>
    <w:link w:val="FooterChar"/>
    <w:uiPriority w:val="99"/>
    <w:unhideWhenUsed/>
    <w:rsid w:val="00CD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21"/>
  </w:style>
  <w:style w:type="table" w:styleId="TableGrid">
    <w:name w:val="Table Grid"/>
    <w:basedOn w:val="TableNormal"/>
    <w:uiPriority w:val="39"/>
    <w:rsid w:val="00CD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0EF"/>
    <w:pPr>
      <w:ind w:left="720"/>
      <w:contextualSpacing/>
    </w:pPr>
  </w:style>
  <w:style w:type="paragraph" w:styleId="FootnoteText">
    <w:name w:val="footnote text"/>
    <w:basedOn w:val="Normal"/>
    <w:link w:val="FootnoteTextChar"/>
    <w:uiPriority w:val="99"/>
    <w:semiHidden/>
    <w:unhideWhenUsed/>
    <w:rsid w:val="00197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7BD"/>
    <w:rPr>
      <w:sz w:val="20"/>
      <w:szCs w:val="20"/>
    </w:rPr>
  </w:style>
  <w:style w:type="character" w:styleId="FootnoteReference">
    <w:name w:val="footnote reference"/>
    <w:basedOn w:val="DefaultParagraphFont"/>
    <w:uiPriority w:val="99"/>
    <w:semiHidden/>
    <w:unhideWhenUsed/>
    <w:rsid w:val="001977BD"/>
    <w:rPr>
      <w:vertAlign w:val="superscript"/>
    </w:rPr>
  </w:style>
  <w:style w:type="character" w:styleId="Strong">
    <w:name w:val="Strong"/>
    <w:basedOn w:val="DefaultParagraphFont"/>
    <w:uiPriority w:val="22"/>
    <w:qFormat/>
    <w:rsid w:val="00AE1867"/>
    <w:rPr>
      <w:b/>
      <w:bCs/>
    </w:rPr>
  </w:style>
  <w:style w:type="character" w:customStyle="1" w:styleId="apple-converted-space">
    <w:name w:val="apple-converted-space"/>
    <w:basedOn w:val="DefaultParagraphFont"/>
    <w:rsid w:val="001F3E6E"/>
  </w:style>
  <w:style w:type="character" w:styleId="CommentReference">
    <w:name w:val="annotation reference"/>
    <w:basedOn w:val="DefaultParagraphFont"/>
    <w:uiPriority w:val="99"/>
    <w:semiHidden/>
    <w:unhideWhenUsed/>
    <w:rsid w:val="00C22869"/>
    <w:rPr>
      <w:sz w:val="16"/>
      <w:szCs w:val="16"/>
    </w:rPr>
  </w:style>
  <w:style w:type="paragraph" w:styleId="CommentText">
    <w:name w:val="annotation text"/>
    <w:basedOn w:val="Normal"/>
    <w:link w:val="CommentTextChar"/>
    <w:uiPriority w:val="99"/>
    <w:unhideWhenUsed/>
    <w:rsid w:val="00C22869"/>
    <w:pPr>
      <w:spacing w:line="240" w:lineRule="auto"/>
    </w:pPr>
    <w:rPr>
      <w:sz w:val="20"/>
      <w:szCs w:val="20"/>
    </w:rPr>
  </w:style>
  <w:style w:type="character" w:customStyle="1" w:styleId="CommentTextChar">
    <w:name w:val="Comment Text Char"/>
    <w:basedOn w:val="DefaultParagraphFont"/>
    <w:link w:val="CommentText"/>
    <w:uiPriority w:val="99"/>
    <w:rsid w:val="00C22869"/>
    <w:rPr>
      <w:sz w:val="20"/>
      <w:szCs w:val="20"/>
    </w:rPr>
  </w:style>
  <w:style w:type="paragraph" w:styleId="CommentSubject">
    <w:name w:val="annotation subject"/>
    <w:basedOn w:val="CommentText"/>
    <w:next w:val="CommentText"/>
    <w:link w:val="CommentSubjectChar"/>
    <w:uiPriority w:val="99"/>
    <w:semiHidden/>
    <w:unhideWhenUsed/>
    <w:rsid w:val="00C22869"/>
    <w:rPr>
      <w:b/>
      <w:bCs/>
    </w:rPr>
  </w:style>
  <w:style w:type="character" w:customStyle="1" w:styleId="CommentSubjectChar">
    <w:name w:val="Comment Subject Char"/>
    <w:basedOn w:val="CommentTextChar"/>
    <w:link w:val="CommentSubject"/>
    <w:uiPriority w:val="99"/>
    <w:semiHidden/>
    <w:rsid w:val="00C22869"/>
    <w:rPr>
      <w:b/>
      <w:bCs/>
      <w:sz w:val="20"/>
      <w:szCs w:val="20"/>
    </w:rPr>
  </w:style>
  <w:style w:type="character" w:styleId="Hyperlink">
    <w:name w:val="Hyperlink"/>
    <w:basedOn w:val="DefaultParagraphFont"/>
    <w:uiPriority w:val="99"/>
    <w:unhideWhenUsed/>
    <w:rsid w:val="00F60EC3"/>
    <w:rPr>
      <w:color w:val="0563C1"/>
      <w:u w:val="single"/>
    </w:rPr>
  </w:style>
  <w:style w:type="character" w:styleId="UnresolvedMention">
    <w:name w:val="Unresolved Mention"/>
    <w:basedOn w:val="DefaultParagraphFont"/>
    <w:uiPriority w:val="99"/>
    <w:semiHidden/>
    <w:unhideWhenUsed/>
    <w:rsid w:val="006D7DAF"/>
    <w:rPr>
      <w:color w:val="605E5C"/>
      <w:shd w:val="clear" w:color="auto" w:fill="E1DFDD"/>
    </w:rPr>
  </w:style>
  <w:style w:type="character" w:customStyle="1" w:styleId="Heading1Char">
    <w:name w:val="Heading 1 Char"/>
    <w:basedOn w:val="DefaultParagraphFont"/>
    <w:link w:val="Heading1"/>
    <w:uiPriority w:val="9"/>
    <w:rsid w:val="00F521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21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213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1377D"/>
    <w:rPr>
      <w:color w:val="954F72" w:themeColor="followedHyperlink"/>
      <w:u w:val="single"/>
    </w:rPr>
  </w:style>
  <w:style w:type="paragraph" w:styleId="Revision">
    <w:name w:val="Revision"/>
    <w:hidden/>
    <w:uiPriority w:val="99"/>
    <w:semiHidden/>
    <w:rsid w:val="00B16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6906">
      <w:bodyDiv w:val="1"/>
      <w:marLeft w:val="0"/>
      <w:marRight w:val="0"/>
      <w:marTop w:val="0"/>
      <w:marBottom w:val="0"/>
      <w:divBdr>
        <w:top w:val="none" w:sz="0" w:space="0" w:color="auto"/>
        <w:left w:val="none" w:sz="0" w:space="0" w:color="auto"/>
        <w:bottom w:val="none" w:sz="0" w:space="0" w:color="auto"/>
        <w:right w:val="none" w:sz="0" w:space="0" w:color="auto"/>
      </w:divBdr>
    </w:div>
    <w:div w:id="591620094">
      <w:bodyDiv w:val="1"/>
      <w:marLeft w:val="0"/>
      <w:marRight w:val="0"/>
      <w:marTop w:val="0"/>
      <w:marBottom w:val="0"/>
      <w:divBdr>
        <w:top w:val="none" w:sz="0" w:space="0" w:color="auto"/>
        <w:left w:val="none" w:sz="0" w:space="0" w:color="auto"/>
        <w:bottom w:val="none" w:sz="0" w:space="0" w:color="auto"/>
        <w:right w:val="none" w:sz="0" w:space="0" w:color="auto"/>
      </w:divBdr>
    </w:div>
    <w:div w:id="830868758">
      <w:bodyDiv w:val="1"/>
      <w:marLeft w:val="0"/>
      <w:marRight w:val="0"/>
      <w:marTop w:val="0"/>
      <w:marBottom w:val="0"/>
      <w:divBdr>
        <w:top w:val="none" w:sz="0" w:space="0" w:color="auto"/>
        <w:left w:val="none" w:sz="0" w:space="0" w:color="auto"/>
        <w:bottom w:val="none" w:sz="0" w:space="0" w:color="auto"/>
        <w:right w:val="none" w:sz="0" w:space="0" w:color="auto"/>
      </w:divBdr>
    </w:div>
    <w:div w:id="929316927">
      <w:bodyDiv w:val="1"/>
      <w:marLeft w:val="0"/>
      <w:marRight w:val="0"/>
      <w:marTop w:val="0"/>
      <w:marBottom w:val="0"/>
      <w:divBdr>
        <w:top w:val="none" w:sz="0" w:space="0" w:color="auto"/>
        <w:left w:val="none" w:sz="0" w:space="0" w:color="auto"/>
        <w:bottom w:val="none" w:sz="0" w:space="0" w:color="auto"/>
        <w:right w:val="none" w:sz="0" w:space="0" w:color="auto"/>
      </w:divBdr>
    </w:div>
    <w:div w:id="1041441730">
      <w:bodyDiv w:val="1"/>
      <w:marLeft w:val="0"/>
      <w:marRight w:val="0"/>
      <w:marTop w:val="0"/>
      <w:marBottom w:val="0"/>
      <w:divBdr>
        <w:top w:val="none" w:sz="0" w:space="0" w:color="auto"/>
        <w:left w:val="none" w:sz="0" w:space="0" w:color="auto"/>
        <w:bottom w:val="none" w:sz="0" w:space="0" w:color="auto"/>
        <w:right w:val="none" w:sz="0" w:space="0" w:color="auto"/>
      </w:divBdr>
    </w:div>
    <w:div w:id="1529223614">
      <w:bodyDiv w:val="1"/>
      <w:marLeft w:val="0"/>
      <w:marRight w:val="0"/>
      <w:marTop w:val="0"/>
      <w:marBottom w:val="0"/>
      <w:divBdr>
        <w:top w:val="none" w:sz="0" w:space="0" w:color="auto"/>
        <w:left w:val="none" w:sz="0" w:space="0" w:color="auto"/>
        <w:bottom w:val="none" w:sz="0" w:space="0" w:color="auto"/>
        <w:right w:val="none" w:sz="0" w:space="0" w:color="auto"/>
      </w:divBdr>
    </w:div>
    <w:div w:id="20449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rade.gov.au/about/visitor-economy/thrive-industry-data-and-expert-analysis-working-group/thrive-industry-data-and-expert-analysis-working-grou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ustrade.gov.au/about/consultation/thrive-industry-data-and-expert-analysis-working-group/thrive-industry-data-and-expert-analysis-working-group" TargetMode="External"/><Relationship Id="rId17" Type="http://schemas.openxmlformats.org/officeDocument/2006/relationships/hyperlink" Target="https://www.oecd-ilibrary.org/docserver/a8dd3019-en.pdf?expires=1680742779&amp;id=id&amp;accname=guest&amp;checksum=AE650BAE8868D045D6F5A0126C40D395" TargetMode="External"/><Relationship Id="rId2" Type="http://schemas.openxmlformats.org/officeDocument/2006/relationships/customXml" Target="../customXml/item2.xml"/><Relationship Id="rId16" Type="http://schemas.openxmlformats.org/officeDocument/2006/relationships/hyperlink" Target="https://www.visscop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rade.gov.au/ArticleDocuments/10838/industry-data-and-expert-analysis-working-group-terms-of-reference-2022.docx.aspx" TargetMode="External"/><Relationship Id="rId5" Type="http://schemas.openxmlformats.org/officeDocument/2006/relationships/numbering" Target="numbering.xml"/><Relationship Id="rId15" Type="http://schemas.openxmlformats.org/officeDocument/2006/relationships/hyperlink" Target="https://people.csiro.au/B/A/Alexandra-Bratanov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ople.csiro.au/h/s/stefan-hajkowi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AD998-1F4C-41B9-9B0B-C5BE440C1860}">
  <ds:schemaRefs>
    <ds:schemaRef ds:uri="http://schemas.openxmlformats.org/officeDocument/2006/bibliography"/>
  </ds:schemaRefs>
</ds:datastoreItem>
</file>

<file path=customXml/itemProps2.xml><?xml version="1.0" encoding="utf-8"?>
<ds:datastoreItem xmlns:ds="http://schemas.openxmlformats.org/officeDocument/2006/customXml" ds:itemID="{F8A9B6C5-4770-4F8B-9BBD-DE003BD16F68}">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AEEC6B88-473C-43D2-821D-276475AB4AC1}">
  <ds:schemaRefs>
    <ds:schemaRef ds:uri="http://schemas.microsoft.com/sharepoint/v3/contenttype/forms"/>
  </ds:schemaRefs>
</ds:datastoreItem>
</file>

<file path=customXml/itemProps4.xml><?xml version="1.0" encoding="utf-8"?>
<ds:datastoreItem xmlns:ds="http://schemas.openxmlformats.org/officeDocument/2006/customXml" ds:itemID="{6DB19262-24D3-4D4C-94BA-7200AC2E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THRIVE IDEA Working Group Summary of Meetings 21 July and 6 Oct 2022</vt:lpstr>
    </vt:vector>
  </TitlesOfParts>
  <Manager/>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THRIVE IDEA Working Group Summary of Meetings 21 July and 6 Oct 2022</dc:title>
  <dc:subject/>
  <dc:creator/>
  <cp:keywords/>
  <dc:description/>
  <cp:lastModifiedBy/>
  <cp:revision>1</cp:revision>
  <dcterms:created xsi:type="dcterms:W3CDTF">2023-05-04T05:25:00Z</dcterms:created>
  <dcterms:modified xsi:type="dcterms:W3CDTF">2023-05-04T05:25:00Z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2023-04-12T01:45:57Z</vt:lpwstr>
  </property>
  <property fmtid="{D5CDD505-2E9C-101B-9397-08002B2CF9AE}" pid="4" name="MSIP_Label_ea60d57e-af5b-4752-ac57-3e4f28ca11dc_Method">
    <vt:lpwstr>Privileged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d86b7ba5-bcb0-4f18-98b1-7cfc45324cd3</vt:lpwstr>
  </property>
  <property fmtid="{D5CDD505-2E9C-101B-9397-08002B2CF9AE}" pid="8" name="MSIP_Label_ea60d57e-af5b-4752-ac57-3e4f28ca11dc_ContentBits">
    <vt:lpwstr>0</vt:lpwstr>
  </property>
</Properties>
</file>