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EB407" w14:textId="77777777" w:rsidR="0082622B" w:rsidRDefault="00022009" w:rsidP="00AE4823">
      <w:pPr>
        <w:pStyle w:val="Title"/>
        <w:jc w:val="center"/>
      </w:pPr>
      <w:r>
        <w:t xml:space="preserve"> </w:t>
      </w:r>
    </w:p>
    <w:p w14:paraId="34CC7D24" w14:textId="77777777" w:rsidR="0082622B" w:rsidRDefault="0082622B" w:rsidP="00AE4823">
      <w:pPr>
        <w:pStyle w:val="Title"/>
        <w:jc w:val="center"/>
      </w:pPr>
    </w:p>
    <w:p w14:paraId="30F08959" w14:textId="74AD3B65" w:rsidR="0033571D" w:rsidRPr="00E91368" w:rsidRDefault="00F1067C" w:rsidP="00AE4823">
      <w:pPr>
        <w:pStyle w:val="Title"/>
        <w:jc w:val="center"/>
      </w:pPr>
      <w:r w:rsidRPr="00E91368">
        <w:t>Australian METS Opportunities in the Middle East, North Africa and Türkiye</w:t>
      </w:r>
    </w:p>
    <w:p w14:paraId="0FDCC8FA" w14:textId="77777777" w:rsidR="004246FE" w:rsidRPr="0082622B" w:rsidRDefault="004246FE" w:rsidP="004246FE">
      <w:pPr>
        <w:pStyle w:val="Subtitle"/>
        <w:jc w:val="center"/>
        <w:rPr>
          <w:rFonts w:ascii="Verdana" w:hAnsi="Verdana"/>
          <w:color w:val="00694B" w:themeColor="accent3"/>
        </w:rPr>
      </w:pPr>
      <w:r w:rsidRPr="0082622B">
        <w:rPr>
          <w:rFonts w:ascii="Verdana" w:hAnsi="Verdana"/>
          <w:color w:val="00694B" w:themeColor="accent3"/>
        </w:rPr>
        <w:t>Saudi Arabia | United Arab Emirates | Morocco | Egypt | Türkiye</w:t>
      </w:r>
    </w:p>
    <w:p w14:paraId="2416E900" w14:textId="77777777" w:rsidR="00111B4E" w:rsidRPr="00E91368" w:rsidRDefault="00111B4E" w:rsidP="00111B4E"/>
    <w:p w14:paraId="1DF57819" w14:textId="77777777" w:rsidR="00111B4E" w:rsidRPr="00E91368" w:rsidRDefault="00111B4E" w:rsidP="00111B4E"/>
    <w:p w14:paraId="6D0D1B6A" w14:textId="77777777" w:rsidR="00111B4E" w:rsidRPr="00E91368" w:rsidRDefault="00111B4E" w:rsidP="00111B4E"/>
    <w:p w14:paraId="74D325A8" w14:textId="77777777" w:rsidR="00407455" w:rsidRDefault="00407455" w:rsidP="0082622B">
      <w:pPr>
        <w:jc w:val="center"/>
      </w:pPr>
      <w:r>
        <w:rPr>
          <w:noProof/>
        </w:rPr>
        <w:drawing>
          <wp:inline distT="0" distB="0" distL="0" distR="0" wp14:anchorId="0443609B" wp14:editId="5AE789CC">
            <wp:extent cx="2222695" cy="554283"/>
            <wp:effectExtent l="0" t="0" r="0" b="0"/>
            <wp:docPr id="342570750" name="Picture 2" descr="Austmi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570750" name="Picture 2" descr="Austmine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1828" cy="566535"/>
                    </a:xfrm>
                    <a:prstGeom prst="rect">
                      <a:avLst/>
                    </a:prstGeom>
                    <a:noFill/>
                    <a:ln>
                      <a:noFill/>
                    </a:ln>
                  </pic:spPr>
                </pic:pic>
              </a:graphicData>
            </a:graphic>
          </wp:inline>
        </w:drawing>
      </w:r>
    </w:p>
    <w:p w14:paraId="6BA8C6A5" w14:textId="77777777" w:rsidR="00407455" w:rsidRDefault="00407455" w:rsidP="0082622B">
      <w:pPr>
        <w:jc w:val="center"/>
      </w:pPr>
    </w:p>
    <w:p w14:paraId="16CE6508" w14:textId="4E60DB8A" w:rsidR="006A001E" w:rsidRDefault="002C1648" w:rsidP="0082622B">
      <w:pPr>
        <w:jc w:val="center"/>
      </w:pPr>
      <w:r>
        <w:rPr>
          <w:noProof/>
        </w:rPr>
        <w:drawing>
          <wp:inline distT="0" distB="0" distL="0" distR="0" wp14:anchorId="311EFE97" wp14:editId="6BCD89AD">
            <wp:extent cx="3438819" cy="700112"/>
            <wp:effectExtent l="0" t="0" r="0" b="5080"/>
            <wp:docPr id="1957757588" name="Picture 6" descr="Austra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57588" name="Picture 6" descr="Austrade logo"/>
                    <pic:cNvPicPr>
                      <a:picLocks noChangeAspect="1" noChangeArrowheads="1"/>
                    </pic:cNvPicPr>
                  </pic:nvPicPr>
                  <pic:blipFill rotWithShape="1">
                    <a:blip r:embed="rId12">
                      <a:extLst>
                        <a:ext uri="{28A0092B-C50C-407E-A947-70E740481C1C}">
                          <a14:useLocalDpi xmlns:a14="http://schemas.microsoft.com/office/drawing/2010/main" val="0"/>
                        </a:ext>
                      </a:extLst>
                    </a:blip>
                    <a:srcRect t="31134"/>
                    <a:stretch>
                      <a:fillRect/>
                    </a:stretch>
                  </pic:blipFill>
                  <pic:spPr bwMode="auto">
                    <a:xfrm>
                      <a:off x="0" y="0"/>
                      <a:ext cx="3466360" cy="705719"/>
                    </a:xfrm>
                    <a:prstGeom prst="rect">
                      <a:avLst/>
                    </a:prstGeom>
                    <a:noFill/>
                    <a:ln>
                      <a:noFill/>
                    </a:ln>
                    <a:extLst>
                      <a:ext uri="{53640926-AAD7-44D8-BBD7-CCE9431645EC}">
                        <a14:shadowObscured xmlns:a14="http://schemas.microsoft.com/office/drawing/2010/main"/>
                      </a:ext>
                    </a:extLst>
                  </pic:spPr>
                </pic:pic>
              </a:graphicData>
            </a:graphic>
          </wp:inline>
        </w:drawing>
      </w:r>
    </w:p>
    <w:p w14:paraId="53D8517C" w14:textId="77777777" w:rsidR="00407455" w:rsidRDefault="00407455" w:rsidP="0082622B">
      <w:pPr>
        <w:jc w:val="center"/>
      </w:pPr>
    </w:p>
    <w:p w14:paraId="75A085E2" w14:textId="680A3E2A" w:rsidR="00111B4E" w:rsidRPr="00E91368" w:rsidRDefault="00793600" w:rsidP="00793600">
      <w:pPr>
        <w:jc w:val="center"/>
      </w:pPr>
      <w:r>
        <w:rPr>
          <w:noProof/>
        </w:rPr>
        <w:drawing>
          <wp:inline distT="0" distB="0" distL="0" distR="0" wp14:anchorId="0181DD0F" wp14:editId="2D783587">
            <wp:extent cx="2558012" cy="1188720"/>
            <wp:effectExtent l="0" t="0" r="0" b="0"/>
            <wp:docPr id="249305556" name="Picture 3" descr="Trade Diversification Net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305556" name="Picture 3" descr="Trade Diversification Network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0594" cy="1194567"/>
                    </a:xfrm>
                    <a:prstGeom prst="rect">
                      <a:avLst/>
                    </a:prstGeom>
                    <a:noFill/>
                    <a:ln>
                      <a:noFill/>
                    </a:ln>
                  </pic:spPr>
                </pic:pic>
              </a:graphicData>
            </a:graphic>
          </wp:inline>
        </w:drawing>
      </w:r>
    </w:p>
    <w:p w14:paraId="2A3D2A5C" w14:textId="77777777" w:rsidR="0033571D" w:rsidRPr="00E91368" w:rsidRDefault="0033571D" w:rsidP="0033571D">
      <w:pPr>
        <w:rPr>
          <w:rFonts w:asciiTheme="majorHAnsi" w:hAnsiTheme="majorHAnsi" w:cstheme="majorHAnsi"/>
          <w:szCs w:val="20"/>
        </w:rPr>
      </w:pPr>
    </w:p>
    <w:p w14:paraId="078EDD9F" w14:textId="77777777" w:rsidR="0033571D" w:rsidRPr="00E91368" w:rsidRDefault="0033571D" w:rsidP="0033571D">
      <w:pPr>
        <w:rPr>
          <w:rFonts w:asciiTheme="majorHAnsi" w:hAnsiTheme="majorHAnsi" w:cstheme="majorHAnsi"/>
          <w:szCs w:val="20"/>
        </w:rPr>
      </w:pPr>
    </w:p>
    <w:p w14:paraId="0ED8DA35" w14:textId="77777777" w:rsidR="0033571D" w:rsidRPr="00E91368" w:rsidRDefault="0033571D" w:rsidP="0033571D">
      <w:pPr>
        <w:rPr>
          <w:rFonts w:asciiTheme="majorHAnsi" w:hAnsiTheme="majorHAnsi" w:cstheme="majorHAnsi"/>
          <w:szCs w:val="20"/>
        </w:rPr>
      </w:pPr>
    </w:p>
    <w:p w14:paraId="64B87914" w14:textId="77777777" w:rsidR="00AE4823" w:rsidRPr="00E91368" w:rsidRDefault="00AE4823" w:rsidP="00AE4823"/>
    <w:p w14:paraId="1409D11B" w14:textId="77777777" w:rsidR="00AE4823" w:rsidRPr="00E91368" w:rsidRDefault="00AE4823" w:rsidP="00AE4823"/>
    <w:p w14:paraId="57A7AE4E" w14:textId="77777777" w:rsidR="00AE4823" w:rsidRPr="00E91368" w:rsidRDefault="00AE4823" w:rsidP="00AE4823"/>
    <w:p w14:paraId="5AD7AF93" w14:textId="77777777" w:rsidR="0082622B" w:rsidRDefault="0082622B">
      <w:pPr>
        <w:spacing w:after="200" w:line="276" w:lineRule="auto"/>
        <w:rPr>
          <w:rFonts w:eastAsiaTheme="majorEastAsia" w:cstheme="majorBidi"/>
          <w:b/>
          <w:bCs/>
          <w:color w:val="173F34" w:themeColor="accent1"/>
          <w:sz w:val="40"/>
          <w:szCs w:val="28"/>
        </w:rPr>
      </w:pPr>
      <w:r>
        <w:br w:type="page"/>
      </w:r>
    </w:p>
    <w:p w14:paraId="4DDBE878" w14:textId="16D09458" w:rsidR="002B7669" w:rsidRPr="00E91368" w:rsidRDefault="002B7669" w:rsidP="00F472CE">
      <w:pPr>
        <w:pStyle w:val="Heading1"/>
      </w:pPr>
      <w:r w:rsidRPr="00E91368">
        <w:lastRenderedPageBreak/>
        <w:t xml:space="preserve">About this </w:t>
      </w:r>
      <w:r w:rsidRPr="00F472CE">
        <w:t>report</w:t>
      </w:r>
    </w:p>
    <w:p w14:paraId="6078B5D6" w14:textId="08A2495C" w:rsidR="00FB73F6" w:rsidRPr="007F33FC" w:rsidRDefault="002B7669" w:rsidP="002B7669">
      <w:pPr>
        <w:rPr>
          <w:rFonts w:cstheme="majorHAnsi"/>
          <w:szCs w:val="20"/>
        </w:rPr>
      </w:pPr>
      <w:r w:rsidRPr="007F33FC">
        <w:rPr>
          <w:rFonts w:cstheme="majorHAnsi"/>
          <w:szCs w:val="20"/>
        </w:rPr>
        <w:t xml:space="preserve">This report has been prepared by Austmine, with support from the Australian Trade and Investment Commission, to assist Australian Mining Equipment, Technology and Services (METS) companies to assess emerging opportunities in </w:t>
      </w:r>
      <w:r w:rsidR="004A59B7" w:rsidRPr="007F33FC">
        <w:rPr>
          <w:rFonts w:cstheme="majorHAnsi"/>
          <w:szCs w:val="20"/>
        </w:rPr>
        <w:t xml:space="preserve">the Kingdom of </w:t>
      </w:r>
      <w:r w:rsidRPr="007F33FC">
        <w:rPr>
          <w:rFonts w:cstheme="majorHAnsi"/>
          <w:szCs w:val="20"/>
        </w:rPr>
        <w:t>Saudi Arabia, the United Arab Emirates</w:t>
      </w:r>
      <w:r w:rsidR="002E6D6E" w:rsidRPr="007F33FC">
        <w:rPr>
          <w:rFonts w:cstheme="majorHAnsi"/>
          <w:szCs w:val="20"/>
        </w:rPr>
        <w:t xml:space="preserve"> (UAE)</w:t>
      </w:r>
      <w:r w:rsidRPr="007F33FC">
        <w:rPr>
          <w:rFonts w:cstheme="majorHAnsi"/>
          <w:szCs w:val="20"/>
        </w:rPr>
        <w:t>, Morocco, Egypt and Türkiye.</w:t>
      </w:r>
      <w:r w:rsidR="00F92001" w:rsidRPr="007F33FC">
        <w:rPr>
          <w:rFonts w:cstheme="majorHAnsi"/>
          <w:szCs w:val="20"/>
        </w:rPr>
        <w:t xml:space="preserve"> </w:t>
      </w:r>
    </w:p>
    <w:p w14:paraId="1B562EB7" w14:textId="6BA23A0C" w:rsidR="002B7669" w:rsidRPr="007F33FC" w:rsidRDefault="00F27449" w:rsidP="002B7669">
      <w:pPr>
        <w:rPr>
          <w:rFonts w:cstheme="majorHAnsi"/>
          <w:szCs w:val="20"/>
        </w:rPr>
      </w:pPr>
      <w:r w:rsidRPr="007F33FC">
        <w:rPr>
          <w:rFonts w:cstheme="majorHAnsi"/>
          <w:szCs w:val="20"/>
        </w:rPr>
        <w:t>The report</w:t>
      </w:r>
      <w:r w:rsidR="002B7669" w:rsidRPr="007F33FC">
        <w:rPr>
          <w:rFonts w:cstheme="majorHAnsi"/>
          <w:szCs w:val="20"/>
        </w:rPr>
        <w:t xml:space="preserve"> examines the development of the mining and minerals sectors in each </w:t>
      </w:r>
      <w:r w:rsidR="00056ADF" w:rsidRPr="007F33FC">
        <w:rPr>
          <w:rFonts w:cstheme="majorHAnsi"/>
          <w:szCs w:val="20"/>
        </w:rPr>
        <w:t>country</w:t>
      </w:r>
      <w:r w:rsidR="002B7669" w:rsidRPr="007F33FC">
        <w:rPr>
          <w:rFonts w:cstheme="majorHAnsi"/>
          <w:szCs w:val="20"/>
        </w:rPr>
        <w:t xml:space="preserve">, the operational needs of priority customers, areas of alignment with Australian METS capabilities, and commercial considerations that may influence </w:t>
      </w:r>
      <w:r w:rsidR="001920FF" w:rsidRPr="007F33FC">
        <w:rPr>
          <w:rFonts w:cstheme="majorHAnsi"/>
          <w:szCs w:val="20"/>
        </w:rPr>
        <w:t xml:space="preserve">market </w:t>
      </w:r>
      <w:r w:rsidR="002B7669" w:rsidRPr="007F33FC">
        <w:rPr>
          <w:rFonts w:cstheme="majorHAnsi"/>
          <w:szCs w:val="20"/>
        </w:rPr>
        <w:t xml:space="preserve">access and </w:t>
      </w:r>
      <w:r w:rsidR="001C6E38" w:rsidRPr="007F33FC">
        <w:rPr>
          <w:rFonts w:cstheme="majorHAnsi"/>
          <w:szCs w:val="20"/>
        </w:rPr>
        <w:t xml:space="preserve">solution </w:t>
      </w:r>
      <w:r w:rsidR="002B7669" w:rsidRPr="007F33FC">
        <w:rPr>
          <w:rFonts w:cstheme="majorHAnsi"/>
          <w:szCs w:val="20"/>
        </w:rPr>
        <w:t>delivery.</w:t>
      </w:r>
    </w:p>
    <w:p w14:paraId="544AF101" w14:textId="6C11B8DE" w:rsidR="002B7669" w:rsidRPr="007F33FC" w:rsidRDefault="00136BCA" w:rsidP="002B7669">
      <w:pPr>
        <w:rPr>
          <w:rFonts w:cstheme="majorHAnsi"/>
          <w:szCs w:val="20"/>
        </w:rPr>
      </w:pPr>
      <w:r w:rsidRPr="007F33FC">
        <w:rPr>
          <w:rFonts w:cstheme="majorHAnsi"/>
          <w:szCs w:val="20"/>
        </w:rPr>
        <w:t xml:space="preserve">It </w:t>
      </w:r>
      <w:r w:rsidR="002B7669" w:rsidRPr="007F33FC">
        <w:rPr>
          <w:rFonts w:cstheme="majorHAnsi"/>
          <w:szCs w:val="20"/>
        </w:rPr>
        <w:t>forms part of a broader</w:t>
      </w:r>
      <w:r w:rsidR="00006489" w:rsidRPr="007F33FC">
        <w:rPr>
          <w:rFonts w:cstheme="majorHAnsi"/>
          <w:szCs w:val="20"/>
        </w:rPr>
        <w:t xml:space="preserve"> trade diversification</w:t>
      </w:r>
      <w:r w:rsidR="002B7669" w:rsidRPr="007F33FC">
        <w:rPr>
          <w:rFonts w:cstheme="majorHAnsi"/>
          <w:szCs w:val="20"/>
        </w:rPr>
        <w:t xml:space="preserve"> program designed to help Australian METS companies identify, prepare for, connect with and advance opportunities in international markets.</w:t>
      </w:r>
    </w:p>
    <w:p w14:paraId="7EAF2777" w14:textId="2089EE9A" w:rsidR="0063491B" w:rsidRDefault="0063491B" w:rsidP="002B7669">
      <w:pPr>
        <w:rPr>
          <w:rFonts w:cstheme="majorHAnsi"/>
          <w:szCs w:val="20"/>
        </w:rPr>
      </w:pPr>
      <w:r w:rsidRPr="007F33FC">
        <w:rPr>
          <w:rFonts w:cstheme="majorHAnsi"/>
          <w:szCs w:val="20"/>
        </w:rPr>
        <w:t>This report does not assess the current regional security situation. It notes company-reported disruptions where they affect an operating account or its procurement outlook. Companies should use current Australian Government advice and their own risk assessment when deciding when and how to engage.</w:t>
      </w:r>
    </w:p>
    <w:p w14:paraId="55589FC0" w14:textId="77777777" w:rsidR="0082622B" w:rsidRPr="007F33FC" w:rsidRDefault="0082622B" w:rsidP="002B7669">
      <w:pPr>
        <w:rPr>
          <w:rFonts w:cstheme="majorHAnsi"/>
          <w:szCs w:val="20"/>
        </w:rPr>
      </w:pPr>
    </w:p>
    <w:p w14:paraId="422C5205" w14:textId="70F6A5C9" w:rsidR="00D97D9A" w:rsidRPr="007F33FC" w:rsidRDefault="00B6265B" w:rsidP="002B7669">
      <w:pPr>
        <w:rPr>
          <w:rFonts w:cstheme="majorHAnsi"/>
          <w:szCs w:val="20"/>
        </w:rPr>
      </w:pPr>
      <w:r w:rsidRPr="007F33FC">
        <w:rPr>
          <w:rFonts w:cstheme="majorHAnsi"/>
          <w:i/>
          <w:iCs/>
          <w:szCs w:val="20"/>
        </w:rPr>
        <w:t xml:space="preserve">The </w:t>
      </w:r>
      <w:r w:rsidR="00DA0341" w:rsidRPr="007F33FC">
        <w:rPr>
          <w:rFonts w:cstheme="majorHAnsi"/>
          <w:i/>
          <w:iCs/>
          <w:szCs w:val="20"/>
        </w:rPr>
        <w:t>report</w:t>
      </w:r>
      <w:r w:rsidR="00DA0341" w:rsidRPr="007F33FC">
        <w:rPr>
          <w:rFonts w:cstheme="majorHAnsi"/>
          <w:szCs w:val="20"/>
        </w:rPr>
        <w:t xml:space="preserve"> </w:t>
      </w:r>
      <w:r w:rsidR="00DA0341" w:rsidRPr="007F33FC">
        <w:rPr>
          <w:rFonts w:cstheme="majorHAnsi"/>
          <w:i/>
          <w:iCs/>
          <w:szCs w:val="20"/>
        </w:rPr>
        <w:t>is supported by the </w:t>
      </w:r>
      <w:hyperlink r:id="rId14" w:tgtFrame="_blank" w:history="1">
        <w:r w:rsidR="00DA0341" w:rsidRPr="007F33FC">
          <w:rPr>
            <w:rStyle w:val="Hyperlink"/>
            <w:rFonts w:cstheme="majorHAnsi"/>
            <w:i/>
            <w:iCs/>
            <w:szCs w:val="20"/>
          </w:rPr>
          <w:t>Accessing New Markets Initiative (ANMI)</w:t>
        </w:r>
      </w:hyperlink>
      <w:r w:rsidR="00DA0341" w:rsidRPr="007F33FC">
        <w:rPr>
          <w:rFonts w:cstheme="majorHAnsi"/>
          <w:i/>
          <w:iCs/>
          <w:szCs w:val="20"/>
        </w:rPr>
        <w:t>. ANMI is a $55 million program helping Australian businesses diversify and grow their exports, designed and jointly delivered by Austrade and industry. As a Trade Diversification Network (TDN) member, Austmine is working collectively with Austrade to develop new global markets and accelerate international growth for Australian METS companies.</w:t>
      </w:r>
    </w:p>
    <w:p w14:paraId="6E56EA95" w14:textId="77777777" w:rsidR="002B7669" w:rsidRDefault="002B7669" w:rsidP="002B7669">
      <w:pPr>
        <w:rPr>
          <w:rFonts w:asciiTheme="majorHAnsi" w:hAnsiTheme="majorHAnsi" w:cstheme="majorHAnsi"/>
          <w:szCs w:val="20"/>
        </w:rPr>
      </w:pPr>
    </w:p>
    <w:p w14:paraId="177242ED" w14:textId="77777777" w:rsidR="00EC65CE" w:rsidRPr="00E91368" w:rsidRDefault="002B7669" w:rsidP="007F33FC">
      <w:pPr>
        <w:pStyle w:val="Heading2"/>
      </w:pPr>
      <w:r>
        <w:t>A</w:t>
      </w:r>
      <w:r w:rsidR="00EC65CE" w:rsidRPr="00E91368">
        <w:t>bout Austmine</w:t>
      </w:r>
    </w:p>
    <w:p w14:paraId="157E4E0D" w14:textId="5CA7170B" w:rsidR="00EC65CE" w:rsidRPr="00E91368" w:rsidRDefault="00EC65CE" w:rsidP="00EC65CE">
      <w:r w:rsidRPr="00E91368">
        <w:t xml:space="preserve">Austmine is the leading industry association for Australia’s </w:t>
      </w:r>
      <w:r w:rsidR="00EC197E">
        <w:t>METS</w:t>
      </w:r>
      <w:r w:rsidRPr="00E91368">
        <w:t xml:space="preserve"> sector. It connects Australian </w:t>
      </w:r>
      <w:r w:rsidR="00703C14">
        <w:t>solution providers</w:t>
      </w:r>
      <w:r w:rsidR="00703C14" w:rsidRPr="00E91368">
        <w:t xml:space="preserve"> </w:t>
      </w:r>
      <w:r w:rsidRPr="00E91368">
        <w:t>with mining companies, government and international markets through industry intelligence, export</w:t>
      </w:r>
      <w:r w:rsidR="00416F47">
        <w:t xml:space="preserve"> </w:t>
      </w:r>
      <w:r w:rsidRPr="00E91368">
        <w:t>development programs, events and commercial networks.</w:t>
      </w:r>
    </w:p>
    <w:p w14:paraId="2984F4EF" w14:textId="77777777" w:rsidR="00EC65CE" w:rsidRPr="00E91368" w:rsidRDefault="00EC65CE" w:rsidP="00EC65CE">
      <w:pPr>
        <w:spacing w:after="200" w:line="276" w:lineRule="auto"/>
        <w:rPr>
          <w:rFonts w:asciiTheme="majorHAnsi" w:eastAsiaTheme="majorEastAsia" w:hAnsiTheme="majorHAnsi" w:cstheme="majorHAnsi"/>
          <w:b/>
          <w:bCs/>
          <w:color w:val="1F4E79"/>
          <w:szCs w:val="20"/>
        </w:rPr>
      </w:pPr>
    </w:p>
    <w:p w14:paraId="6CB52EBE" w14:textId="77777777" w:rsidR="00EC65CE" w:rsidRPr="00E91368" w:rsidRDefault="00EC65CE" w:rsidP="007F33FC">
      <w:pPr>
        <w:pStyle w:val="Heading2"/>
      </w:pPr>
      <w:r w:rsidRPr="00E91368">
        <w:t>About Austrade</w:t>
      </w:r>
    </w:p>
    <w:p w14:paraId="7DCF1885" w14:textId="77777777" w:rsidR="00EC65CE" w:rsidRDefault="00EC65CE" w:rsidP="00EC65CE">
      <w:r w:rsidRPr="00E91368">
        <w:t>The Australian Trade and Investment Commission (Austrade) is the Australian Government agency responsible for promoting Australian trade, investment and education interests. It helps Australian businesses develop international markets through market insights, connections and practical export support.</w:t>
      </w:r>
    </w:p>
    <w:p w14:paraId="0CEC9CEE" w14:textId="77777777" w:rsidR="00EC65CE" w:rsidRDefault="00EC65CE" w:rsidP="00EC65CE"/>
    <w:p w14:paraId="6C4D1E9D" w14:textId="77777777" w:rsidR="00EC65CE" w:rsidRDefault="00EC65CE" w:rsidP="00EC65CE"/>
    <w:p w14:paraId="659C6A2A" w14:textId="77777777" w:rsidR="00EC65CE" w:rsidRPr="00EC65CE" w:rsidRDefault="00EC65CE" w:rsidP="00EC65CE">
      <w:pPr>
        <w:rPr>
          <w:rFonts w:asciiTheme="majorHAnsi" w:hAnsiTheme="majorHAnsi" w:cstheme="majorHAnsi"/>
          <w:i/>
          <w:iCs/>
          <w:sz w:val="16"/>
          <w:szCs w:val="16"/>
        </w:rPr>
      </w:pPr>
      <w:r w:rsidRPr="00EC65CE">
        <w:rPr>
          <w:rFonts w:asciiTheme="majorHAnsi" w:hAnsiTheme="majorHAnsi" w:cstheme="majorHAnsi"/>
          <w:i/>
          <w:iCs/>
          <w:sz w:val="16"/>
          <w:szCs w:val="16"/>
        </w:rPr>
        <w:br w:type="page"/>
      </w:r>
    </w:p>
    <w:p w14:paraId="0F8A1979" w14:textId="77777777" w:rsidR="0036170B" w:rsidRPr="007F33FC" w:rsidRDefault="0036170B" w:rsidP="0036170B">
      <w:pPr>
        <w:rPr>
          <w:rFonts w:cstheme="majorHAnsi"/>
          <w:i/>
          <w:iCs/>
          <w:szCs w:val="20"/>
        </w:rPr>
      </w:pPr>
      <w:r w:rsidRPr="007F33FC">
        <w:rPr>
          <w:rFonts w:cstheme="majorHAnsi"/>
          <w:b/>
          <w:bCs/>
          <w:szCs w:val="20"/>
        </w:rPr>
        <w:lastRenderedPageBreak/>
        <w:t>Disclaimer</w:t>
      </w:r>
      <w:r w:rsidRPr="007F33FC">
        <w:rPr>
          <w:rFonts w:cstheme="majorHAnsi"/>
          <w:szCs w:val="20"/>
        </w:rPr>
        <w:t xml:space="preserve">: </w:t>
      </w:r>
      <w:r w:rsidRPr="007F33FC">
        <w:rPr>
          <w:rFonts w:cstheme="majorHAnsi"/>
          <w:i/>
          <w:iCs/>
          <w:szCs w:val="20"/>
        </w:rPr>
        <w:t>This publication provides general market intelligence for Australian METS companies. It does not constitute legal, tax, customs, procurement, financial, investment, sanctions or other professional advice.</w:t>
      </w:r>
    </w:p>
    <w:p w14:paraId="3FFFFC57" w14:textId="77777777" w:rsidR="0036170B" w:rsidRPr="007F33FC" w:rsidRDefault="0036170B" w:rsidP="0036170B">
      <w:pPr>
        <w:rPr>
          <w:rFonts w:cstheme="majorHAnsi"/>
          <w:i/>
          <w:iCs/>
          <w:szCs w:val="20"/>
        </w:rPr>
      </w:pPr>
      <w:r w:rsidRPr="007F33FC">
        <w:rPr>
          <w:rFonts w:cstheme="majorHAnsi"/>
          <w:i/>
          <w:iCs/>
          <w:szCs w:val="20"/>
        </w:rPr>
        <w:t>Market conditions, legislation, procurement requirements and business practices may change and may differ according to the buyer, tender, product, service and proposed commercial structure.</w:t>
      </w:r>
    </w:p>
    <w:p w14:paraId="5A807716" w14:textId="77777777" w:rsidR="0036170B" w:rsidRPr="007F33FC" w:rsidRDefault="0036170B" w:rsidP="0036170B">
      <w:pPr>
        <w:rPr>
          <w:rFonts w:cstheme="majorHAnsi"/>
          <w:i/>
          <w:iCs/>
          <w:szCs w:val="20"/>
        </w:rPr>
      </w:pPr>
      <w:r w:rsidRPr="007F33FC">
        <w:rPr>
          <w:rFonts w:cstheme="majorHAnsi"/>
          <w:i/>
          <w:iCs/>
          <w:szCs w:val="20"/>
        </w:rPr>
        <w:t>Companies should undertake their own due diligence and obtain appropriately qualified legal, customs, tax, financial and commercial advice before entering a tender, appointing an agent or distributor, shipping equipment, establishing a local entity or entering into any contractual arrangement.</w:t>
      </w:r>
    </w:p>
    <w:p w14:paraId="0D656CE6" w14:textId="77777777" w:rsidR="0036170B" w:rsidRPr="007F33FC" w:rsidRDefault="0036170B" w:rsidP="0036170B">
      <w:pPr>
        <w:rPr>
          <w:rFonts w:cstheme="majorHAnsi"/>
          <w:i/>
          <w:iCs/>
          <w:szCs w:val="20"/>
        </w:rPr>
      </w:pPr>
      <w:r w:rsidRPr="007F33FC">
        <w:rPr>
          <w:rFonts w:cstheme="majorHAnsi"/>
          <w:i/>
          <w:iCs/>
          <w:szCs w:val="20"/>
        </w:rPr>
        <w:t>While reasonable care has been taken in the preparation of this report, Austmine and the Australian Government do not guarantee that the information is complete, current or suitable for a particular business or transaction.</w:t>
      </w:r>
    </w:p>
    <w:p w14:paraId="1829D2DA" w14:textId="5D4D21A0" w:rsidR="002E42B4" w:rsidRPr="007F33FC" w:rsidRDefault="002E42B4" w:rsidP="0036170B">
      <w:pPr>
        <w:rPr>
          <w:rFonts w:cstheme="majorHAnsi"/>
          <w:i/>
          <w:iCs/>
          <w:szCs w:val="20"/>
        </w:rPr>
      </w:pPr>
      <w:r w:rsidRPr="007F33FC">
        <w:rPr>
          <w:rFonts w:cstheme="majorHAnsi"/>
          <w:i/>
          <w:iCs/>
          <w:szCs w:val="20"/>
        </w:rPr>
        <w:t>Participation in the research, or inclusion of a company or project in this report, does not constitute endorsement by Austmine, Austrade or the Australian Government.</w:t>
      </w:r>
    </w:p>
    <w:p w14:paraId="070F683C" w14:textId="77777777" w:rsidR="0036170B" w:rsidRPr="007F33FC" w:rsidRDefault="0036170B" w:rsidP="0036170B">
      <w:pPr>
        <w:rPr>
          <w:rFonts w:cstheme="majorHAnsi"/>
          <w:i/>
          <w:iCs/>
          <w:szCs w:val="20"/>
        </w:rPr>
      </w:pPr>
    </w:p>
    <w:p w14:paraId="751E6D82" w14:textId="77777777" w:rsidR="0036170B" w:rsidRPr="007F33FC" w:rsidRDefault="0036170B" w:rsidP="0036170B">
      <w:pPr>
        <w:rPr>
          <w:rFonts w:cstheme="majorHAnsi"/>
          <w:b/>
          <w:bCs/>
          <w:i/>
          <w:iCs/>
          <w:szCs w:val="20"/>
        </w:rPr>
      </w:pPr>
      <w:r w:rsidRPr="007F33FC">
        <w:rPr>
          <w:rFonts w:cstheme="majorHAnsi"/>
          <w:b/>
          <w:bCs/>
          <w:i/>
          <w:iCs/>
          <w:szCs w:val="20"/>
        </w:rPr>
        <w:t>Acknowledgement of country</w:t>
      </w:r>
    </w:p>
    <w:p w14:paraId="256BFA01" w14:textId="06A638C1" w:rsidR="0036170B" w:rsidRPr="007F33FC" w:rsidRDefault="0036170B" w:rsidP="0036170B">
      <w:pPr>
        <w:rPr>
          <w:rFonts w:cstheme="majorHAnsi"/>
          <w:i/>
          <w:iCs/>
          <w:szCs w:val="20"/>
        </w:rPr>
      </w:pPr>
      <w:r w:rsidRPr="007F33FC">
        <w:rPr>
          <w:rFonts w:cstheme="majorHAnsi"/>
          <w:i/>
          <w:iCs/>
          <w:szCs w:val="20"/>
        </w:rPr>
        <w:t>In the spirit of reconciliation, we acknowledge the Traditional Custodians of country throughout Australia and their connections to land,</w:t>
      </w:r>
      <w:r w:rsidR="00FC4F66">
        <w:rPr>
          <w:rFonts w:cstheme="majorHAnsi"/>
          <w:i/>
          <w:iCs/>
          <w:szCs w:val="20"/>
        </w:rPr>
        <w:t xml:space="preserve"> </w:t>
      </w:r>
      <w:r w:rsidRPr="007F33FC">
        <w:rPr>
          <w:rFonts w:cstheme="majorHAnsi"/>
          <w:i/>
          <w:iCs/>
          <w:szCs w:val="20"/>
        </w:rPr>
        <w:t>sea and community. We pay our respect to their elders past and present and extend that respect to all Aboriginal and Torres Strait Islander</w:t>
      </w:r>
      <w:r w:rsidR="00FC4F66">
        <w:rPr>
          <w:rFonts w:cstheme="majorHAnsi"/>
          <w:i/>
          <w:iCs/>
          <w:szCs w:val="20"/>
        </w:rPr>
        <w:t xml:space="preserve"> </w:t>
      </w:r>
      <w:r w:rsidRPr="007F33FC">
        <w:rPr>
          <w:rFonts w:cstheme="majorHAnsi"/>
          <w:i/>
          <w:iCs/>
          <w:szCs w:val="20"/>
        </w:rPr>
        <w:t>peoples today.</w:t>
      </w:r>
    </w:p>
    <w:p w14:paraId="3A62CFCF" w14:textId="77777777" w:rsidR="0036170B" w:rsidRPr="007F33FC" w:rsidRDefault="0036170B" w:rsidP="0036170B">
      <w:pPr>
        <w:rPr>
          <w:rFonts w:cstheme="majorHAnsi"/>
          <w:i/>
          <w:iCs/>
          <w:szCs w:val="20"/>
        </w:rPr>
      </w:pPr>
      <w:r w:rsidRPr="007F33FC">
        <w:rPr>
          <w:rFonts w:cstheme="majorHAnsi"/>
          <w:i/>
          <w:iCs/>
          <w:szCs w:val="20"/>
        </w:rPr>
        <w:t>Copyright © Commonwealth of Australia 2026</w:t>
      </w:r>
    </w:p>
    <w:p w14:paraId="7BCB01B3" w14:textId="77777777" w:rsidR="0036170B" w:rsidRPr="007F33FC" w:rsidRDefault="0036170B" w:rsidP="0036170B">
      <w:pPr>
        <w:rPr>
          <w:rFonts w:cstheme="majorHAnsi"/>
          <w:i/>
          <w:iCs/>
          <w:szCs w:val="20"/>
        </w:rPr>
      </w:pPr>
      <w:r w:rsidRPr="007F33FC">
        <w:rPr>
          <w:rFonts w:cstheme="majorHAnsi"/>
          <w:i/>
          <w:iCs/>
          <w:szCs w:val="20"/>
        </w:rPr>
        <w:t>The material in this document is licensed under a Creative Commons Attribution – 4.0 International licence, with the exception of:</w:t>
      </w:r>
    </w:p>
    <w:p w14:paraId="360D3780" w14:textId="34E8773F" w:rsidR="0036170B" w:rsidRPr="00673151" w:rsidRDefault="0036170B" w:rsidP="00673151">
      <w:pPr>
        <w:pStyle w:val="ListParagraph"/>
        <w:numPr>
          <w:ilvl w:val="0"/>
          <w:numId w:val="33"/>
        </w:numPr>
        <w:rPr>
          <w:rFonts w:cstheme="majorHAnsi"/>
          <w:i/>
          <w:iCs/>
          <w:szCs w:val="20"/>
        </w:rPr>
      </w:pPr>
      <w:r w:rsidRPr="00673151">
        <w:rPr>
          <w:rFonts w:cstheme="majorHAnsi"/>
          <w:i/>
          <w:iCs/>
          <w:szCs w:val="20"/>
        </w:rPr>
        <w:t>the Commonwealth Coat of Arms</w:t>
      </w:r>
    </w:p>
    <w:p w14:paraId="3416EC90" w14:textId="1018518E" w:rsidR="0036170B" w:rsidRPr="00673151" w:rsidRDefault="0036170B" w:rsidP="00673151">
      <w:pPr>
        <w:pStyle w:val="ListParagraph"/>
        <w:numPr>
          <w:ilvl w:val="0"/>
          <w:numId w:val="33"/>
        </w:numPr>
        <w:rPr>
          <w:rFonts w:cstheme="majorHAnsi"/>
          <w:i/>
          <w:iCs/>
          <w:szCs w:val="20"/>
        </w:rPr>
      </w:pPr>
      <w:r w:rsidRPr="00673151">
        <w:rPr>
          <w:rFonts w:cstheme="majorHAnsi"/>
          <w:i/>
          <w:iCs/>
          <w:szCs w:val="20"/>
        </w:rPr>
        <w:t>the Australian Trade and Investment Commission’s logo</w:t>
      </w:r>
    </w:p>
    <w:p w14:paraId="6E7E1997" w14:textId="26399982" w:rsidR="0036170B" w:rsidRPr="00673151" w:rsidRDefault="0036170B" w:rsidP="00673151">
      <w:pPr>
        <w:pStyle w:val="ListParagraph"/>
        <w:numPr>
          <w:ilvl w:val="0"/>
          <w:numId w:val="33"/>
        </w:numPr>
        <w:rPr>
          <w:rFonts w:cstheme="majorHAnsi"/>
          <w:i/>
          <w:iCs/>
          <w:szCs w:val="20"/>
        </w:rPr>
      </w:pPr>
      <w:r w:rsidRPr="00673151">
        <w:rPr>
          <w:rFonts w:cstheme="majorHAnsi"/>
          <w:i/>
          <w:iCs/>
          <w:szCs w:val="20"/>
        </w:rPr>
        <w:t>any third party material any material protected by a trade mark</w:t>
      </w:r>
    </w:p>
    <w:p w14:paraId="76A8A86B" w14:textId="7F00FCA0" w:rsidR="0036170B" w:rsidRPr="00673151" w:rsidRDefault="0036170B" w:rsidP="00673151">
      <w:pPr>
        <w:pStyle w:val="ListParagraph"/>
        <w:numPr>
          <w:ilvl w:val="0"/>
          <w:numId w:val="33"/>
        </w:numPr>
        <w:rPr>
          <w:rFonts w:cstheme="majorHAnsi"/>
          <w:i/>
          <w:iCs/>
          <w:szCs w:val="20"/>
        </w:rPr>
      </w:pPr>
      <w:r w:rsidRPr="00673151">
        <w:rPr>
          <w:rFonts w:cstheme="majorHAnsi"/>
          <w:i/>
          <w:iCs/>
          <w:szCs w:val="20"/>
        </w:rPr>
        <w:t>any images and photographs.</w:t>
      </w:r>
    </w:p>
    <w:p w14:paraId="48D9297F" w14:textId="4AC66AB2" w:rsidR="0036170B" w:rsidRDefault="0036170B" w:rsidP="0036170B">
      <w:pPr>
        <w:rPr>
          <w:rFonts w:cstheme="majorHAnsi"/>
          <w:i/>
          <w:iCs/>
          <w:szCs w:val="20"/>
        </w:rPr>
      </w:pPr>
      <w:r w:rsidRPr="007F33FC">
        <w:rPr>
          <w:rFonts w:cstheme="majorHAnsi"/>
          <w:i/>
          <w:iCs/>
          <w:szCs w:val="20"/>
        </w:rPr>
        <w:t>More information on this CC BY licence is set out at the creative commons website:</w:t>
      </w:r>
      <w:r w:rsidR="00B26809">
        <w:rPr>
          <w:rFonts w:cstheme="majorHAnsi"/>
          <w:i/>
          <w:iCs/>
          <w:szCs w:val="20"/>
        </w:rPr>
        <w:t xml:space="preserve"> </w:t>
      </w:r>
      <w:hyperlink r:id="rId15" w:history="1">
        <w:r w:rsidRPr="00673151">
          <w:rPr>
            <w:rStyle w:val="Hyperlink"/>
            <w:rFonts w:cstheme="majorHAnsi"/>
            <w:i/>
            <w:iCs/>
            <w:szCs w:val="20"/>
          </w:rPr>
          <w:t>https://creativecommons.org/licenses/by/4.0/legalcode</w:t>
        </w:r>
      </w:hyperlink>
      <w:r w:rsidR="00673151">
        <w:rPr>
          <w:rFonts w:cstheme="majorHAnsi"/>
          <w:i/>
          <w:iCs/>
          <w:szCs w:val="20"/>
        </w:rPr>
        <w:t>.</w:t>
      </w:r>
    </w:p>
    <w:p w14:paraId="195CCEE6" w14:textId="77777777" w:rsidR="007F33FC" w:rsidRPr="007F33FC" w:rsidRDefault="007F33FC" w:rsidP="0036170B">
      <w:pPr>
        <w:rPr>
          <w:rFonts w:cstheme="majorHAnsi"/>
          <w:i/>
          <w:iCs/>
          <w:szCs w:val="20"/>
        </w:rPr>
      </w:pPr>
    </w:p>
    <w:p w14:paraId="4E19C6C0" w14:textId="77777777" w:rsidR="0036170B" w:rsidRPr="007F33FC" w:rsidRDefault="0036170B" w:rsidP="0036170B">
      <w:pPr>
        <w:rPr>
          <w:rFonts w:cstheme="majorHAnsi"/>
          <w:b/>
          <w:bCs/>
          <w:i/>
          <w:iCs/>
          <w:szCs w:val="20"/>
        </w:rPr>
      </w:pPr>
      <w:r w:rsidRPr="007F33FC">
        <w:rPr>
          <w:rFonts w:cstheme="majorHAnsi"/>
          <w:b/>
          <w:bCs/>
          <w:i/>
          <w:iCs/>
          <w:szCs w:val="20"/>
        </w:rPr>
        <w:t>Attribution</w:t>
      </w:r>
    </w:p>
    <w:p w14:paraId="2E4A7DE0" w14:textId="7F85644C" w:rsidR="0036170B" w:rsidRDefault="0036170B" w:rsidP="0036170B">
      <w:pPr>
        <w:rPr>
          <w:rFonts w:cstheme="majorHAnsi"/>
          <w:i/>
          <w:iCs/>
          <w:szCs w:val="20"/>
        </w:rPr>
      </w:pPr>
      <w:r w:rsidRPr="007F33FC">
        <w:rPr>
          <w:rFonts w:cstheme="majorHAnsi"/>
          <w:i/>
          <w:iCs/>
          <w:szCs w:val="20"/>
        </w:rPr>
        <w:t>Before reusing any part of this document, including reproduction, public display, public performance, distribution, dissemination,</w:t>
      </w:r>
      <w:r w:rsidR="00FC4F66">
        <w:rPr>
          <w:rFonts w:cstheme="majorHAnsi"/>
          <w:i/>
          <w:iCs/>
          <w:szCs w:val="20"/>
        </w:rPr>
        <w:t xml:space="preserve"> </w:t>
      </w:r>
      <w:r w:rsidRPr="007F33FC">
        <w:rPr>
          <w:rFonts w:cstheme="majorHAnsi"/>
          <w:i/>
          <w:iCs/>
          <w:szCs w:val="20"/>
        </w:rPr>
        <w:t>communication, or importation, you must comply with the Attribution requirements under the CC BY licence. Enquiries about this licence and</w:t>
      </w:r>
      <w:r w:rsidR="00FC4F66">
        <w:rPr>
          <w:rFonts w:cstheme="majorHAnsi"/>
          <w:i/>
          <w:iCs/>
          <w:szCs w:val="20"/>
        </w:rPr>
        <w:t xml:space="preserve"> </w:t>
      </w:r>
      <w:r w:rsidRPr="007F33FC">
        <w:rPr>
          <w:rFonts w:cstheme="majorHAnsi"/>
          <w:i/>
          <w:iCs/>
          <w:szCs w:val="20"/>
        </w:rPr>
        <w:t xml:space="preserve">any use of this document can be sent to: </w:t>
      </w:r>
      <w:hyperlink r:id="rId16" w:history="1">
        <w:r w:rsidR="007F33FC" w:rsidRPr="003216D0">
          <w:rPr>
            <w:rStyle w:val="Hyperlink"/>
            <w:rFonts w:cstheme="majorHAnsi"/>
            <w:i/>
            <w:iCs/>
            <w:szCs w:val="20"/>
          </w:rPr>
          <w:t>advisory@austrade.gov.au</w:t>
        </w:r>
      </w:hyperlink>
      <w:r w:rsidRPr="007F33FC">
        <w:rPr>
          <w:rFonts w:cstheme="majorHAnsi"/>
          <w:i/>
          <w:iCs/>
          <w:szCs w:val="20"/>
        </w:rPr>
        <w:t>.</w:t>
      </w:r>
    </w:p>
    <w:p w14:paraId="1A920C93" w14:textId="77777777" w:rsidR="007F33FC" w:rsidRPr="007F33FC" w:rsidRDefault="007F33FC" w:rsidP="0036170B">
      <w:pPr>
        <w:rPr>
          <w:rFonts w:cstheme="majorHAnsi"/>
          <w:i/>
          <w:iCs/>
          <w:szCs w:val="20"/>
        </w:rPr>
      </w:pPr>
    </w:p>
    <w:p w14:paraId="7ACBD0B0" w14:textId="77777777" w:rsidR="0036170B" w:rsidRPr="007F33FC" w:rsidRDefault="0036170B" w:rsidP="0036170B">
      <w:pPr>
        <w:rPr>
          <w:rFonts w:cstheme="majorHAnsi"/>
          <w:b/>
          <w:bCs/>
          <w:i/>
          <w:iCs/>
          <w:szCs w:val="20"/>
        </w:rPr>
      </w:pPr>
      <w:r w:rsidRPr="007F33FC">
        <w:rPr>
          <w:rFonts w:cstheme="majorHAnsi"/>
          <w:b/>
          <w:bCs/>
          <w:i/>
          <w:iCs/>
          <w:szCs w:val="20"/>
        </w:rPr>
        <w:t>Using the Commonwealth Coat of Arms</w:t>
      </w:r>
    </w:p>
    <w:p w14:paraId="64A65645" w14:textId="6F1BF66F" w:rsidR="0036170B" w:rsidRPr="007F33FC" w:rsidRDefault="0036170B" w:rsidP="0036170B">
      <w:pPr>
        <w:rPr>
          <w:rFonts w:cstheme="majorHAnsi"/>
          <w:i/>
          <w:iCs/>
          <w:szCs w:val="20"/>
        </w:rPr>
      </w:pPr>
      <w:r w:rsidRPr="007F33FC">
        <w:rPr>
          <w:rFonts w:cstheme="majorHAnsi"/>
          <w:i/>
          <w:iCs/>
          <w:szCs w:val="20"/>
        </w:rPr>
        <w:t>The terms under which the Coat of Arms can be used are detailed on the Department of the Prime Minister and Cabinet website at</w:t>
      </w:r>
      <w:r w:rsidR="006E63AB">
        <w:rPr>
          <w:rFonts w:cstheme="majorHAnsi"/>
          <w:i/>
          <w:iCs/>
          <w:szCs w:val="20"/>
        </w:rPr>
        <w:t xml:space="preserve"> </w:t>
      </w:r>
      <w:hyperlink r:id="rId17" w:history="1">
        <w:r w:rsidRPr="00673151">
          <w:rPr>
            <w:rStyle w:val="Hyperlink"/>
            <w:rFonts w:cstheme="majorHAnsi"/>
            <w:i/>
            <w:iCs/>
            <w:szCs w:val="20"/>
          </w:rPr>
          <w:t>pmc.gov.au/government/commonwealth-coat-arms</w:t>
        </w:r>
      </w:hyperlink>
      <w:r w:rsidRPr="007F33FC">
        <w:rPr>
          <w:rFonts w:cstheme="majorHAnsi"/>
          <w:i/>
          <w:iCs/>
          <w:szCs w:val="20"/>
        </w:rPr>
        <w:t>.</w:t>
      </w:r>
    </w:p>
    <w:p w14:paraId="5C487F17" w14:textId="77777777" w:rsidR="00E46354" w:rsidRPr="00E91368" w:rsidRDefault="00E46354" w:rsidP="00E46354">
      <w:pPr>
        <w:rPr>
          <w:rFonts w:asciiTheme="majorHAnsi" w:hAnsiTheme="majorHAnsi" w:cstheme="majorHAnsi"/>
          <w:szCs w:val="20"/>
        </w:rPr>
      </w:pPr>
    </w:p>
    <w:p w14:paraId="4AF4F79A" w14:textId="413B696C" w:rsidR="00E96593" w:rsidRPr="007F33FC" w:rsidRDefault="00E96593" w:rsidP="00B26809">
      <w:pPr>
        <w:pStyle w:val="Quote1"/>
      </w:pPr>
      <w:r w:rsidRPr="007F33FC">
        <w:t>“Trade diversification is becoming a strategic imperative for Australian METS exporters. The Middle East, North Africa and Türkiye are investing heavily in mining development and economic transformation, creating new opportunities for Australian companies to supply world-leading mining technologies, services and operational expertise.”</w:t>
      </w:r>
    </w:p>
    <w:p w14:paraId="10240133" w14:textId="7F8C1A75" w:rsidR="00EE7975" w:rsidRPr="00EE0174" w:rsidRDefault="00EE0174" w:rsidP="00EE0174">
      <w:pPr>
        <w:pStyle w:val="quotename"/>
      </w:pPr>
      <w:r>
        <w:lastRenderedPageBreak/>
        <w:t xml:space="preserve">- </w:t>
      </w:r>
      <w:r w:rsidR="00EE7975" w:rsidRPr="00EE0174">
        <w:t>Susan Kahwati, Head of Resources, Energy, Infrastructure and the Green Economy, Austrade</w:t>
      </w:r>
    </w:p>
    <w:p w14:paraId="610C7E43" w14:textId="1F482ED3" w:rsidR="00341857" w:rsidRPr="00B26809" w:rsidRDefault="00F1067C" w:rsidP="00B26809">
      <w:pPr>
        <w:pStyle w:val="Heading1"/>
        <w:rPr>
          <w:rFonts w:asciiTheme="majorHAnsi" w:hAnsiTheme="majorHAnsi"/>
          <w:color w:val="1F4E79"/>
          <w:sz w:val="32"/>
        </w:rPr>
      </w:pPr>
      <w:r w:rsidRPr="00246A49">
        <w:t>Executive summary</w:t>
      </w:r>
    </w:p>
    <w:p w14:paraId="233E7D9C" w14:textId="39ACAFEC" w:rsidR="00024558" w:rsidRPr="00EE0174" w:rsidRDefault="00024558" w:rsidP="00024558">
      <w:pPr>
        <w:rPr>
          <w:rFonts w:cstheme="majorHAnsi"/>
          <w:b/>
          <w:bCs/>
          <w:i/>
          <w:iCs/>
          <w:szCs w:val="20"/>
        </w:rPr>
      </w:pPr>
      <w:r w:rsidRPr="00EE0174">
        <w:rPr>
          <w:rFonts w:cstheme="majorHAnsi"/>
          <w:b/>
          <w:bCs/>
          <w:i/>
          <w:iCs/>
          <w:szCs w:val="20"/>
        </w:rPr>
        <w:t xml:space="preserve">Five distinct markets offering growth opportunities for Australian METS </w:t>
      </w:r>
    </w:p>
    <w:p w14:paraId="1FADD98B" w14:textId="18B409FE" w:rsidR="00A348FE" w:rsidRPr="00EE0174" w:rsidRDefault="00A348FE" w:rsidP="00024558">
      <w:pPr>
        <w:rPr>
          <w:rFonts w:cstheme="majorHAnsi"/>
          <w:szCs w:val="20"/>
        </w:rPr>
      </w:pPr>
      <w:r w:rsidRPr="00EE0174">
        <w:rPr>
          <w:rFonts w:cstheme="majorHAnsi"/>
          <w:szCs w:val="20"/>
        </w:rPr>
        <w:t xml:space="preserve">Saudi Arabia, the United Arab Emirates (UAE), Morocco, Türkiye and Egypt are evolving markets for Australian METS businesses. Mineral resources, economic diversification and changes to supply chains are supporting investment in exploration, mining projects and downstream processing. </w:t>
      </w:r>
    </w:p>
    <w:p w14:paraId="63B2AA26" w14:textId="0731E1BE" w:rsidR="00024558" w:rsidRPr="00EE0174" w:rsidRDefault="00024558" w:rsidP="00024558">
      <w:pPr>
        <w:rPr>
          <w:rFonts w:cstheme="majorHAnsi"/>
          <w:szCs w:val="20"/>
        </w:rPr>
      </w:pPr>
      <w:r w:rsidRPr="00EE0174">
        <w:rPr>
          <w:rFonts w:cstheme="majorHAnsi"/>
          <w:szCs w:val="20"/>
        </w:rPr>
        <w:t>However, the five markets differ substantially in mining characteristics, technological maturity, investment activity and commercial accessibility, and should be approached as a portfolio of five distinct opportunities rather than with a single regional strategy.</w:t>
      </w:r>
      <w:r w:rsidR="00FF1A20" w:rsidRPr="00EE0174">
        <w:rPr>
          <w:rFonts w:cstheme="majorHAnsi"/>
          <w:szCs w:val="20"/>
        </w:rPr>
        <w:t xml:space="preserve"> </w:t>
      </w:r>
    </w:p>
    <w:p w14:paraId="66157DCC" w14:textId="77777777" w:rsidR="00BF5BBF" w:rsidRPr="00EE0174" w:rsidRDefault="00BF5BBF" w:rsidP="009B1E31">
      <w:pPr>
        <w:rPr>
          <w:rFonts w:cstheme="majorHAnsi"/>
          <w:szCs w:val="20"/>
        </w:rPr>
      </w:pPr>
      <w:r w:rsidRPr="00EE0174">
        <w:rPr>
          <w:rFonts w:cstheme="majorHAnsi"/>
          <w:szCs w:val="20"/>
        </w:rPr>
        <w:t>This report considers current mining activity and the development outlook over the next five to ten years. Mineral endowment and announced investments analysed in this report signal market potential, but METS companies need to distinguish between funded and operating projects, which represent immediate commercial prospects, and projects still awaiting studies, approvals or financing.</w:t>
      </w:r>
    </w:p>
    <w:p w14:paraId="112FDFEB" w14:textId="064813F2" w:rsidR="009145AD" w:rsidRPr="00EE0174" w:rsidRDefault="009145AD" w:rsidP="007C0C5F">
      <w:pPr>
        <w:rPr>
          <w:rFonts w:cstheme="majorHAnsi"/>
          <w:b/>
          <w:bCs/>
          <w:szCs w:val="20"/>
        </w:rPr>
      </w:pPr>
      <w:r w:rsidRPr="00EE0174">
        <w:rPr>
          <w:rFonts w:cstheme="majorHAnsi"/>
          <w:b/>
          <w:bCs/>
          <w:szCs w:val="20"/>
        </w:rPr>
        <w:t xml:space="preserve">Saudi Arabia </w:t>
      </w:r>
      <w:r w:rsidRPr="00EE0174">
        <w:rPr>
          <w:rFonts w:cstheme="majorHAnsi"/>
          <w:szCs w:val="20"/>
        </w:rPr>
        <w:t>offers the broadest combination of operating demand, exploration and proposed development in the region. Maaden has outlined a US$110 billion investment ambition across gold, phosphate, aluminium and other activities, and the government's Vision 2030 strategy has created frameworks to unlock an estimated US$2.5 trillion in mineral resources.</w:t>
      </w:r>
      <w:r w:rsidR="0017517B" w:rsidRPr="00EE0174">
        <w:rPr>
          <w:rFonts w:cstheme="majorHAnsi"/>
          <w:szCs w:val="20"/>
          <w:vertAlign w:val="superscript"/>
        </w:rPr>
        <w:t>[1]</w:t>
      </w:r>
      <w:r w:rsidR="00923FED" w:rsidRPr="00EE0174">
        <w:rPr>
          <w:rFonts w:cstheme="majorHAnsi"/>
          <w:szCs w:val="20"/>
          <w:vertAlign w:val="superscript"/>
        </w:rPr>
        <w:t>[2]</w:t>
      </w:r>
      <w:r w:rsidR="00923FED" w:rsidRPr="00EE0174">
        <w:rPr>
          <w:rFonts w:cstheme="majorHAnsi"/>
          <w:szCs w:val="20"/>
        </w:rPr>
        <w:t xml:space="preserve"> </w:t>
      </w:r>
      <w:r w:rsidRPr="00EE0174">
        <w:rPr>
          <w:rFonts w:cstheme="majorHAnsi"/>
          <w:szCs w:val="20"/>
        </w:rPr>
        <w:t>Capturing this opportunity increasingly requires an in-Kingdom presence rather than a regional footprint alone, to align with procurement qualification, local content requirements and service expectations.</w:t>
      </w:r>
    </w:p>
    <w:p w14:paraId="33010788" w14:textId="69452964" w:rsidR="007C0C5F" w:rsidRPr="00EE0174" w:rsidRDefault="007C0C5F" w:rsidP="007C0C5F">
      <w:pPr>
        <w:rPr>
          <w:rFonts w:cstheme="majorHAnsi"/>
          <w:szCs w:val="20"/>
        </w:rPr>
      </w:pPr>
      <w:r w:rsidRPr="00EE0174">
        <w:rPr>
          <w:rFonts w:cstheme="majorHAnsi"/>
          <w:b/>
          <w:bCs/>
          <w:szCs w:val="20"/>
        </w:rPr>
        <w:t xml:space="preserve">The </w:t>
      </w:r>
      <w:r w:rsidR="009B1E31" w:rsidRPr="00EE0174">
        <w:rPr>
          <w:rFonts w:cstheme="majorHAnsi"/>
          <w:b/>
          <w:bCs/>
          <w:szCs w:val="20"/>
        </w:rPr>
        <w:t>United Arab Emirates</w:t>
      </w:r>
      <w:r w:rsidRPr="00EE0174">
        <w:rPr>
          <w:rFonts w:cstheme="majorHAnsi"/>
          <w:szCs w:val="20"/>
        </w:rPr>
        <w:t xml:space="preserve"> features industrial customers in aluminium, steel and quarrying, but primarily serves as a regional hub for logistics, trade and investment</w:t>
      </w:r>
      <w:r w:rsidR="00C976CA" w:rsidRPr="00EE0174">
        <w:rPr>
          <w:rFonts w:cstheme="majorHAnsi"/>
          <w:szCs w:val="20"/>
        </w:rPr>
        <w:t>.</w:t>
      </w:r>
      <w:r w:rsidR="00B36CB4" w:rsidRPr="00EE0174">
        <w:t xml:space="preserve"> </w:t>
      </w:r>
      <w:r w:rsidR="00B36CB4" w:rsidRPr="00EE0174">
        <w:rPr>
          <w:rFonts w:cstheme="majorHAnsi"/>
          <w:szCs w:val="20"/>
        </w:rPr>
        <w:t>Major ports support bulk materials handling, warehousing and re-export to customers across the Middle East, Africa and South Asia. The case for a UAE base depends on where procurement authority sits and whether repeat work supports local stock, staff and service</w:t>
      </w:r>
      <w:r w:rsidRPr="00EE0174">
        <w:rPr>
          <w:rFonts w:cstheme="majorHAnsi"/>
          <w:szCs w:val="20"/>
        </w:rPr>
        <w:t>. Establishing a presence in the UAE improves connectivity and oversight but carries significant setup and operating costs, and may not remove the need for local partners, content and delivery arrangements in operating countries.</w:t>
      </w:r>
      <w:r w:rsidR="00047702" w:rsidRPr="00EE0174">
        <w:rPr>
          <w:rFonts w:cstheme="majorHAnsi"/>
          <w:szCs w:val="20"/>
        </w:rPr>
        <w:t xml:space="preserve"> </w:t>
      </w:r>
      <w:r w:rsidR="00047702" w:rsidRPr="00EE0174">
        <w:rPr>
          <w:rFonts w:cstheme="majorHAnsi"/>
          <w:szCs w:val="20"/>
          <w:vertAlign w:val="superscript"/>
        </w:rPr>
        <w:t>[3][4][5]</w:t>
      </w:r>
      <w:r w:rsidRPr="00EE0174">
        <w:rPr>
          <w:rFonts w:cstheme="majorHAnsi"/>
          <w:szCs w:val="20"/>
        </w:rPr>
        <w:t xml:space="preserve"> </w:t>
      </w:r>
    </w:p>
    <w:p w14:paraId="498ACCFD" w14:textId="43BC085E" w:rsidR="007C0C5F" w:rsidRPr="00EE0174" w:rsidRDefault="007C0C5F" w:rsidP="007C0C5F">
      <w:pPr>
        <w:rPr>
          <w:rFonts w:cstheme="majorHAnsi"/>
          <w:szCs w:val="20"/>
        </w:rPr>
      </w:pPr>
      <w:r w:rsidRPr="00EE0174">
        <w:rPr>
          <w:rFonts w:cstheme="majorHAnsi"/>
          <w:b/>
          <w:bCs/>
          <w:szCs w:val="20"/>
        </w:rPr>
        <w:t>Morocco</w:t>
      </w:r>
      <w:r w:rsidRPr="00EE0174">
        <w:rPr>
          <w:rFonts w:cstheme="majorHAnsi"/>
          <w:szCs w:val="20"/>
        </w:rPr>
        <w:t xml:space="preserve"> presents a</w:t>
      </w:r>
      <w:r w:rsidR="009B08C4" w:rsidRPr="00EE0174">
        <w:rPr>
          <w:rFonts w:cstheme="majorHAnsi"/>
          <w:szCs w:val="20"/>
        </w:rPr>
        <w:t xml:space="preserve">n emerging </w:t>
      </w:r>
      <w:r w:rsidRPr="00EE0174">
        <w:rPr>
          <w:rFonts w:cstheme="majorHAnsi"/>
          <w:szCs w:val="20"/>
        </w:rPr>
        <w:t>opportunity anchored by OCP Group's US$13 billion 2023–2027 investment program, which is reshaping the country's phosphate and fertiliser industry.</w:t>
      </w:r>
      <w:r w:rsidR="005C533B" w:rsidRPr="00EE0174">
        <w:rPr>
          <w:rFonts w:cstheme="majorHAnsi"/>
          <w:szCs w:val="20"/>
          <w:vertAlign w:val="superscript"/>
        </w:rPr>
        <w:t>[6][7]</w:t>
      </w:r>
      <w:r w:rsidRPr="00EE0174">
        <w:rPr>
          <w:rFonts w:cstheme="majorHAnsi"/>
          <w:szCs w:val="20"/>
        </w:rPr>
        <w:t xml:space="preserve"> Government-led diversification strategies are making a tangible impact on base and precious metals investment with increased activity from Managem, Aya Gold &amp; Silver, and several Canadian-listed juniors. Routes to market are often linked to OCP's business units or its established contractor network, and suppliers should expect a highly competitive, European-facing business culture that values established relationships. </w:t>
      </w:r>
    </w:p>
    <w:p w14:paraId="5143B4DC" w14:textId="1D96C6A8" w:rsidR="003300E8" w:rsidRPr="00EE0174" w:rsidRDefault="007C0C5F" w:rsidP="003300E8">
      <w:pPr>
        <w:rPr>
          <w:rFonts w:cstheme="majorHAnsi"/>
          <w:szCs w:val="20"/>
        </w:rPr>
      </w:pPr>
      <w:r w:rsidRPr="00EE0174">
        <w:rPr>
          <w:rFonts w:cstheme="majorHAnsi"/>
          <w:b/>
          <w:bCs/>
          <w:szCs w:val="20"/>
        </w:rPr>
        <w:t xml:space="preserve">Egypt </w:t>
      </w:r>
      <w:r w:rsidR="003300E8" w:rsidRPr="00EE0174">
        <w:rPr>
          <w:rFonts w:cstheme="majorHAnsi"/>
          <w:szCs w:val="20"/>
        </w:rPr>
        <w:t>is developing its mining sector through regulatory changes, incentives and a national airborne mineral survey.</w:t>
      </w:r>
      <w:r w:rsidR="005D51F5" w:rsidRPr="00EE0174">
        <w:rPr>
          <w:rFonts w:cstheme="majorHAnsi"/>
          <w:szCs w:val="20"/>
          <w:vertAlign w:val="superscript"/>
        </w:rPr>
        <w:t>[13]</w:t>
      </w:r>
      <w:r w:rsidR="003300E8" w:rsidRPr="00EE0174">
        <w:rPr>
          <w:rFonts w:cstheme="majorHAnsi"/>
          <w:szCs w:val="20"/>
        </w:rPr>
        <w:t xml:space="preserve"> </w:t>
      </w:r>
      <w:r w:rsidR="00C028B5" w:rsidRPr="00EE0174">
        <w:rPr>
          <w:rFonts w:cstheme="majorHAnsi"/>
          <w:szCs w:val="20"/>
        </w:rPr>
        <w:t xml:space="preserve">The </w:t>
      </w:r>
      <w:r w:rsidR="003300E8" w:rsidRPr="00EE0174">
        <w:rPr>
          <w:rFonts w:cstheme="majorHAnsi"/>
          <w:szCs w:val="20"/>
        </w:rPr>
        <w:t>Sukari</w:t>
      </w:r>
      <w:r w:rsidR="00C028B5" w:rsidRPr="00EE0174">
        <w:rPr>
          <w:rFonts w:cstheme="majorHAnsi"/>
          <w:szCs w:val="20"/>
        </w:rPr>
        <w:t xml:space="preserve"> gold mine</w:t>
      </w:r>
      <w:r w:rsidR="003300E8" w:rsidRPr="00EE0174">
        <w:rPr>
          <w:rFonts w:cstheme="majorHAnsi"/>
          <w:szCs w:val="20"/>
        </w:rPr>
        <w:t xml:space="preserve"> and funded exploration</w:t>
      </w:r>
      <w:r w:rsidR="00535220" w:rsidRPr="00EE0174">
        <w:rPr>
          <w:rFonts w:cstheme="majorHAnsi"/>
          <w:szCs w:val="20"/>
        </w:rPr>
        <w:t xml:space="preserve"> programs</w:t>
      </w:r>
      <w:r w:rsidR="003300E8" w:rsidRPr="00EE0174">
        <w:rPr>
          <w:rFonts w:cstheme="majorHAnsi"/>
          <w:szCs w:val="20"/>
        </w:rPr>
        <w:t xml:space="preserve"> provide </w:t>
      </w:r>
      <w:r w:rsidR="002523A7" w:rsidRPr="00EE0174">
        <w:rPr>
          <w:rFonts w:cstheme="majorHAnsi"/>
          <w:szCs w:val="20"/>
        </w:rPr>
        <w:t>current opportunities for Australian METS</w:t>
      </w:r>
      <w:r w:rsidR="003300E8" w:rsidRPr="00EE0174">
        <w:rPr>
          <w:rFonts w:cstheme="majorHAnsi"/>
          <w:szCs w:val="20"/>
        </w:rPr>
        <w:t xml:space="preserve">. The test for </w:t>
      </w:r>
      <w:r w:rsidR="00D06CFE" w:rsidRPr="00EE0174">
        <w:rPr>
          <w:rFonts w:cstheme="majorHAnsi"/>
          <w:szCs w:val="20"/>
        </w:rPr>
        <w:t>prospects</w:t>
      </w:r>
      <w:r w:rsidR="003300E8" w:rsidRPr="00EE0174">
        <w:rPr>
          <w:rFonts w:cstheme="majorHAnsi"/>
          <w:szCs w:val="20"/>
        </w:rPr>
        <w:t xml:space="preserve"> is whether licences and announced projects convert into financed work programs and development decisions.</w:t>
      </w:r>
      <w:r w:rsidR="00556493" w:rsidRPr="00EE0174">
        <w:rPr>
          <w:rFonts w:cstheme="majorHAnsi"/>
          <w:szCs w:val="20"/>
          <w:vertAlign w:val="superscript"/>
        </w:rPr>
        <w:t>[8][9]</w:t>
      </w:r>
    </w:p>
    <w:p w14:paraId="70E8F17F" w14:textId="557DEBDD" w:rsidR="007C0C5F" w:rsidRPr="00EE0174" w:rsidRDefault="007C0C5F" w:rsidP="007C0C5F">
      <w:pPr>
        <w:rPr>
          <w:rFonts w:cstheme="majorHAnsi"/>
          <w:szCs w:val="20"/>
        </w:rPr>
      </w:pPr>
      <w:r w:rsidRPr="00EE0174">
        <w:rPr>
          <w:rFonts w:cstheme="majorHAnsi"/>
          <w:b/>
          <w:bCs/>
          <w:szCs w:val="20"/>
        </w:rPr>
        <w:t xml:space="preserve">Türkiye </w:t>
      </w:r>
      <w:r w:rsidRPr="00EE0174">
        <w:rPr>
          <w:rFonts w:cstheme="majorHAnsi"/>
          <w:szCs w:val="20"/>
        </w:rPr>
        <w:t xml:space="preserve">is an established and competitive mining and industrial market, supported by a mature domestic supplier base spanning </w:t>
      </w:r>
      <w:r w:rsidR="00E03C93" w:rsidRPr="00EE0174">
        <w:rPr>
          <w:rFonts w:cstheme="majorHAnsi"/>
          <w:szCs w:val="20"/>
        </w:rPr>
        <w:t>its boron industry</w:t>
      </w:r>
      <w:r w:rsidRPr="00EE0174">
        <w:rPr>
          <w:rFonts w:cstheme="majorHAnsi"/>
          <w:szCs w:val="20"/>
        </w:rPr>
        <w:t>, gold and other metals.</w:t>
      </w:r>
      <w:r w:rsidR="00562EB0" w:rsidRPr="00EE0174">
        <w:rPr>
          <w:rFonts w:cstheme="majorHAnsi"/>
          <w:szCs w:val="20"/>
          <w:vertAlign w:val="superscript"/>
        </w:rPr>
        <w:t>[9][10][11]</w:t>
      </w:r>
      <w:r w:rsidRPr="00EE0174">
        <w:rPr>
          <w:rFonts w:cstheme="majorHAnsi"/>
          <w:szCs w:val="20"/>
        </w:rPr>
        <w:t xml:space="preserve"> Opportunities are increasingly focused on upgrading and sustaining ageing infrastructure and maximising value from existing assets. METS companies must demonstrate a clear technical or commercial advantage to compete effectively against Turkish, Chinese and European providers. </w:t>
      </w:r>
    </w:p>
    <w:p w14:paraId="33858528" w14:textId="77777777" w:rsidR="007C0C5F" w:rsidRPr="00EE0174" w:rsidRDefault="007C0C5F" w:rsidP="007C0C5F">
      <w:pPr>
        <w:rPr>
          <w:rFonts w:cstheme="majorHAnsi"/>
          <w:szCs w:val="20"/>
        </w:rPr>
      </w:pPr>
      <w:r w:rsidRPr="00EE0174">
        <w:rPr>
          <w:rFonts w:cstheme="majorHAnsi"/>
          <w:szCs w:val="20"/>
        </w:rPr>
        <w:lastRenderedPageBreak/>
        <w:t>These country-level findings are reinforced by Austmine's member survey of 29 companies pursuing opportunities in the region. Saudi Arabia was the most frequently cited priority market for the next one to three years (37.9%), followed by Türkiye (24.1%) and the UAE (20.7%).</w:t>
      </w:r>
    </w:p>
    <w:p w14:paraId="2452184A" w14:textId="77777777" w:rsidR="007C0C5F" w:rsidRPr="00EE0174" w:rsidRDefault="007C0C5F" w:rsidP="007C0C5F">
      <w:pPr>
        <w:rPr>
          <w:rFonts w:cstheme="majorHAnsi"/>
          <w:szCs w:val="20"/>
        </w:rPr>
      </w:pPr>
      <w:r w:rsidRPr="00EE0174">
        <w:rPr>
          <w:rFonts w:cstheme="majorHAnsi"/>
          <w:szCs w:val="20"/>
        </w:rPr>
        <w:t>However, offering a relevant, technically superior solution is not enough to capture success across the region. The barriers to entry and complexities are significant, and the survey identifies that while 79% of respondents are already exporting internationally, finding the right customer or decision-maker (66%) and local partner requirements (59%) are limitations for Australian METS.</w:t>
      </w:r>
    </w:p>
    <w:p w14:paraId="7C7A90AB" w14:textId="77777777" w:rsidR="007C0C5F" w:rsidRPr="00EE0174" w:rsidRDefault="007C0C5F" w:rsidP="007C0C5F">
      <w:pPr>
        <w:rPr>
          <w:rFonts w:cstheme="majorHAnsi"/>
          <w:szCs w:val="20"/>
        </w:rPr>
      </w:pPr>
      <w:r w:rsidRPr="00EE0174">
        <w:rPr>
          <w:rFonts w:cstheme="majorHAnsi"/>
          <w:szCs w:val="20"/>
        </w:rPr>
        <w:t>For companies considering these markets, the first step is to identify requirements that match their capability, establish who specifies and purchases these solutions, and assess what local supply and service capability the opportunity demands. Site discussions, relevant operating references and trials can then help test demand before committing to staff, inventory or a local entity.</w:t>
      </w:r>
    </w:p>
    <w:p w14:paraId="185D0BD8" w14:textId="0FD267B9" w:rsidR="00EE0174" w:rsidRPr="00EE0174" w:rsidRDefault="007C0C5F" w:rsidP="007C0C5F">
      <w:pPr>
        <w:rPr>
          <w:rFonts w:cstheme="majorHAnsi"/>
          <w:szCs w:val="20"/>
        </w:rPr>
      </w:pPr>
      <w:r w:rsidRPr="00EE0174">
        <w:rPr>
          <w:rFonts w:cstheme="majorHAnsi"/>
          <w:szCs w:val="20"/>
        </w:rPr>
        <w:t>Austmine and Austrade can support Australian METS companies in establishing demand for their solution through market intelligence, trade programs and coordinated engagement before a significant investment decision is made on pursuing new markets.</w:t>
      </w:r>
    </w:p>
    <w:p w14:paraId="03F8A9D3" w14:textId="0B4059EE" w:rsidR="00AC384E" w:rsidRPr="00D710F4" w:rsidRDefault="009D7ED1" w:rsidP="00EE0174">
      <w:pPr>
        <w:pStyle w:val="Heading2"/>
      </w:pPr>
      <w:r>
        <w:t>Market</w:t>
      </w:r>
      <w:r w:rsidR="00793B31">
        <w:t xml:space="preserve"> Snapshot</w:t>
      </w:r>
      <w:r>
        <w:t xml:space="preserve"> for </w:t>
      </w:r>
      <w:r w:rsidRPr="00EE0174">
        <w:t>METS</w:t>
      </w:r>
    </w:p>
    <w:tbl>
      <w:tblPr>
        <w:tblStyle w:val="TableGrid"/>
        <w:tblW w:w="10206" w:type="dxa"/>
        <w:tblLayout w:type="fixed"/>
        <w:tblCellMar>
          <w:top w:w="57" w:type="dxa"/>
          <w:bottom w:w="57" w:type="dxa"/>
        </w:tblCellMar>
        <w:tblLook w:val="04A0" w:firstRow="1" w:lastRow="0" w:firstColumn="1" w:lastColumn="0" w:noHBand="0" w:noVBand="1"/>
      </w:tblPr>
      <w:tblGrid>
        <w:gridCol w:w="1418"/>
        <w:gridCol w:w="1843"/>
        <w:gridCol w:w="2268"/>
        <w:gridCol w:w="2268"/>
        <w:gridCol w:w="2409"/>
      </w:tblGrid>
      <w:tr w:rsidR="004A590E" w:rsidRPr="00B408BD" w14:paraId="1E6C8591" w14:textId="77777777" w:rsidTr="00673151">
        <w:trPr>
          <w:trHeight w:val="437"/>
        </w:trPr>
        <w:tc>
          <w:tcPr>
            <w:tcW w:w="1418" w:type="dxa"/>
            <w:shd w:val="clear" w:color="auto" w:fill="173F34" w:themeFill="accent1"/>
            <w:vAlign w:val="center"/>
          </w:tcPr>
          <w:p w14:paraId="7597BB2C" w14:textId="77777777" w:rsidR="004A590E" w:rsidRPr="00EE0174" w:rsidRDefault="004A590E" w:rsidP="00673151">
            <w:pPr>
              <w:spacing w:after="0"/>
              <w:rPr>
                <w:rFonts w:cstheme="majorHAnsi"/>
                <w:sz w:val="16"/>
                <w:szCs w:val="16"/>
              </w:rPr>
            </w:pPr>
            <w:r w:rsidRPr="00EE0174">
              <w:rPr>
                <w:rFonts w:cstheme="majorHAnsi"/>
                <w:b/>
                <w:sz w:val="16"/>
                <w:szCs w:val="16"/>
              </w:rPr>
              <w:t>Market</w:t>
            </w:r>
          </w:p>
        </w:tc>
        <w:tc>
          <w:tcPr>
            <w:tcW w:w="1843" w:type="dxa"/>
            <w:shd w:val="clear" w:color="auto" w:fill="173F34" w:themeFill="accent1"/>
            <w:vAlign w:val="center"/>
          </w:tcPr>
          <w:p w14:paraId="58F477AD" w14:textId="77777777" w:rsidR="004A590E" w:rsidRPr="00EE0174" w:rsidRDefault="004A590E" w:rsidP="00673151">
            <w:pPr>
              <w:spacing w:after="0"/>
              <w:rPr>
                <w:rFonts w:cstheme="majorHAnsi"/>
                <w:sz w:val="16"/>
                <w:szCs w:val="16"/>
              </w:rPr>
            </w:pPr>
            <w:r w:rsidRPr="00EE0174">
              <w:rPr>
                <w:rFonts w:cstheme="majorHAnsi"/>
                <w:b/>
                <w:sz w:val="16"/>
                <w:szCs w:val="16"/>
              </w:rPr>
              <w:t>Opportunity profile</w:t>
            </w:r>
          </w:p>
        </w:tc>
        <w:tc>
          <w:tcPr>
            <w:tcW w:w="2268" w:type="dxa"/>
            <w:shd w:val="clear" w:color="auto" w:fill="173F34" w:themeFill="accent1"/>
            <w:vAlign w:val="center"/>
          </w:tcPr>
          <w:p w14:paraId="35A008E1" w14:textId="77777777" w:rsidR="004A590E" w:rsidRPr="00EE0174" w:rsidRDefault="004A590E" w:rsidP="00673151">
            <w:pPr>
              <w:spacing w:after="0"/>
              <w:rPr>
                <w:rFonts w:cstheme="majorHAnsi"/>
                <w:sz w:val="16"/>
                <w:szCs w:val="16"/>
              </w:rPr>
            </w:pPr>
            <w:r w:rsidRPr="00EE0174">
              <w:rPr>
                <w:rFonts w:cstheme="majorHAnsi"/>
                <w:b/>
                <w:sz w:val="16"/>
                <w:szCs w:val="16"/>
              </w:rPr>
              <w:t>Commercial opportunity</w:t>
            </w:r>
          </w:p>
        </w:tc>
        <w:tc>
          <w:tcPr>
            <w:tcW w:w="2268" w:type="dxa"/>
            <w:shd w:val="clear" w:color="auto" w:fill="173F34" w:themeFill="accent1"/>
            <w:vAlign w:val="center"/>
          </w:tcPr>
          <w:p w14:paraId="7152A302" w14:textId="2E48004B" w:rsidR="004A590E" w:rsidRPr="00EE0174" w:rsidRDefault="004A590E" w:rsidP="00673151">
            <w:pPr>
              <w:spacing w:after="0"/>
              <w:rPr>
                <w:rFonts w:cstheme="majorHAnsi"/>
                <w:b/>
                <w:sz w:val="16"/>
                <w:szCs w:val="16"/>
              </w:rPr>
            </w:pPr>
            <w:r w:rsidRPr="00EE0174">
              <w:rPr>
                <w:rFonts w:cstheme="majorHAnsi"/>
                <w:b/>
                <w:sz w:val="16"/>
                <w:szCs w:val="16"/>
              </w:rPr>
              <w:t>Capability Alignment</w:t>
            </w:r>
          </w:p>
        </w:tc>
        <w:tc>
          <w:tcPr>
            <w:tcW w:w="2409" w:type="dxa"/>
            <w:shd w:val="clear" w:color="auto" w:fill="173F34" w:themeFill="accent1"/>
            <w:vAlign w:val="center"/>
          </w:tcPr>
          <w:p w14:paraId="57818231" w14:textId="398C4AE2" w:rsidR="004A590E" w:rsidRPr="00EE0174" w:rsidRDefault="00BB3399" w:rsidP="00673151">
            <w:pPr>
              <w:spacing w:after="0"/>
              <w:rPr>
                <w:rFonts w:cstheme="majorHAnsi"/>
                <w:sz w:val="16"/>
                <w:szCs w:val="16"/>
              </w:rPr>
            </w:pPr>
            <w:r w:rsidRPr="00EE0174">
              <w:rPr>
                <w:rFonts w:cstheme="majorHAnsi"/>
                <w:b/>
                <w:sz w:val="16"/>
                <w:szCs w:val="16"/>
              </w:rPr>
              <w:t>C</w:t>
            </w:r>
            <w:r w:rsidR="004A590E" w:rsidRPr="00EE0174">
              <w:rPr>
                <w:rFonts w:cstheme="majorHAnsi"/>
                <w:b/>
                <w:sz w:val="16"/>
                <w:szCs w:val="16"/>
              </w:rPr>
              <w:t>ommercial considerations</w:t>
            </w:r>
          </w:p>
        </w:tc>
      </w:tr>
      <w:tr w:rsidR="0032453F" w:rsidRPr="00B408BD" w14:paraId="4E767989" w14:textId="77777777" w:rsidTr="00673151">
        <w:tc>
          <w:tcPr>
            <w:tcW w:w="1418" w:type="dxa"/>
          </w:tcPr>
          <w:p w14:paraId="444CD781" w14:textId="1EAC543D" w:rsidR="0032453F" w:rsidRPr="00EE0174" w:rsidRDefault="0032453F" w:rsidP="00EE0174">
            <w:pPr>
              <w:spacing w:after="0"/>
              <w:rPr>
                <w:rFonts w:cstheme="majorHAnsi"/>
                <w:sz w:val="16"/>
                <w:szCs w:val="16"/>
              </w:rPr>
            </w:pPr>
            <w:r w:rsidRPr="00EE0174">
              <w:rPr>
                <w:rFonts w:cstheme="majorHAnsi"/>
                <w:sz w:val="16"/>
                <w:szCs w:val="16"/>
              </w:rPr>
              <w:t>Saudi Arabia</w:t>
            </w:r>
          </w:p>
        </w:tc>
        <w:tc>
          <w:tcPr>
            <w:tcW w:w="1843" w:type="dxa"/>
          </w:tcPr>
          <w:p w14:paraId="52F442CF" w14:textId="1FF1AC76" w:rsidR="0032453F" w:rsidRPr="00EE0174" w:rsidRDefault="0032453F" w:rsidP="00EE0174">
            <w:pPr>
              <w:spacing w:after="0"/>
              <w:rPr>
                <w:rFonts w:cstheme="majorHAnsi"/>
                <w:sz w:val="16"/>
                <w:szCs w:val="16"/>
              </w:rPr>
            </w:pPr>
            <w:r w:rsidRPr="00EE0174">
              <w:rPr>
                <w:rFonts w:cstheme="majorHAnsi"/>
                <w:sz w:val="16"/>
                <w:szCs w:val="16"/>
              </w:rPr>
              <w:t xml:space="preserve">Primary mining and exploration growth market over immediate and long-term. </w:t>
            </w:r>
          </w:p>
        </w:tc>
        <w:tc>
          <w:tcPr>
            <w:tcW w:w="2268" w:type="dxa"/>
          </w:tcPr>
          <w:p w14:paraId="7FB3DBF5" w14:textId="6D9C9DD9" w:rsidR="0032453F" w:rsidRPr="00EE0174" w:rsidRDefault="0032453F" w:rsidP="00EE0174">
            <w:pPr>
              <w:spacing w:after="0"/>
              <w:rPr>
                <w:rFonts w:cstheme="majorHAnsi"/>
                <w:sz w:val="16"/>
                <w:szCs w:val="16"/>
              </w:rPr>
            </w:pPr>
            <w:r w:rsidRPr="00EE0174">
              <w:rPr>
                <w:rFonts w:cstheme="majorHAnsi"/>
                <w:sz w:val="16"/>
                <w:szCs w:val="16"/>
              </w:rPr>
              <w:t xml:space="preserve">Maaden operations and expansion portfolio across mining, processing and </w:t>
            </w:r>
            <w:r w:rsidR="00316B28" w:rsidRPr="00EE0174">
              <w:rPr>
                <w:rFonts w:cstheme="majorHAnsi"/>
                <w:sz w:val="16"/>
                <w:szCs w:val="16"/>
              </w:rPr>
              <w:t xml:space="preserve">downstream industries. </w:t>
            </w:r>
            <w:r w:rsidRPr="00EE0174">
              <w:rPr>
                <w:rFonts w:cstheme="majorHAnsi"/>
                <w:sz w:val="16"/>
                <w:szCs w:val="16"/>
              </w:rPr>
              <w:br/>
            </w:r>
            <w:r w:rsidR="00672BB5" w:rsidRPr="00EE0174">
              <w:rPr>
                <w:rFonts w:cstheme="majorHAnsi"/>
                <w:sz w:val="16"/>
                <w:szCs w:val="16"/>
              </w:rPr>
              <w:t>Exploration</w:t>
            </w:r>
            <w:r w:rsidRPr="00EE0174">
              <w:rPr>
                <w:rFonts w:cstheme="majorHAnsi"/>
                <w:sz w:val="16"/>
                <w:szCs w:val="16"/>
              </w:rPr>
              <w:t xml:space="preserve"> </w:t>
            </w:r>
            <w:r w:rsidR="00672BB5" w:rsidRPr="00EE0174">
              <w:rPr>
                <w:rFonts w:cstheme="majorHAnsi"/>
                <w:sz w:val="16"/>
                <w:szCs w:val="16"/>
              </w:rPr>
              <w:t xml:space="preserve">activity driven by Maaden and increasing foreign investment. </w:t>
            </w:r>
            <w:r w:rsidRPr="00EE0174">
              <w:rPr>
                <w:rFonts w:cstheme="majorHAnsi"/>
                <w:sz w:val="16"/>
                <w:szCs w:val="16"/>
              </w:rPr>
              <w:t xml:space="preserve"> </w:t>
            </w:r>
          </w:p>
        </w:tc>
        <w:tc>
          <w:tcPr>
            <w:tcW w:w="2268" w:type="dxa"/>
          </w:tcPr>
          <w:p w14:paraId="2F319B5B" w14:textId="6A547C08" w:rsidR="0032453F" w:rsidRPr="00EE0174" w:rsidRDefault="0032453F" w:rsidP="00EE0174">
            <w:pPr>
              <w:spacing w:after="0"/>
              <w:rPr>
                <w:rFonts w:cstheme="majorHAnsi"/>
                <w:sz w:val="16"/>
                <w:szCs w:val="16"/>
              </w:rPr>
            </w:pPr>
            <w:r w:rsidRPr="00EE0174">
              <w:rPr>
                <w:rFonts w:cstheme="majorHAnsi"/>
                <w:sz w:val="16"/>
                <w:szCs w:val="16"/>
              </w:rPr>
              <w:t xml:space="preserve">Exploration technology, drilling services, </w:t>
            </w:r>
            <w:r w:rsidR="00B77CD3" w:rsidRPr="00EE0174">
              <w:rPr>
                <w:rFonts w:cstheme="majorHAnsi"/>
                <w:sz w:val="16"/>
                <w:szCs w:val="16"/>
              </w:rPr>
              <w:t xml:space="preserve">data acquisition and analysis. </w:t>
            </w:r>
            <w:r w:rsidRPr="00EE0174">
              <w:rPr>
                <w:rFonts w:cstheme="majorHAnsi"/>
                <w:sz w:val="16"/>
                <w:szCs w:val="16"/>
              </w:rPr>
              <w:br/>
              <w:t>Engineering &amp; construction, mine design, process modelling</w:t>
            </w:r>
            <w:r w:rsidR="00A35392" w:rsidRPr="00EE0174">
              <w:rPr>
                <w:rFonts w:cstheme="majorHAnsi"/>
                <w:sz w:val="16"/>
                <w:szCs w:val="16"/>
              </w:rPr>
              <w:t>, water and waste</w:t>
            </w:r>
            <w:r w:rsidRPr="00EE0174">
              <w:rPr>
                <w:rFonts w:cstheme="majorHAnsi"/>
                <w:sz w:val="16"/>
                <w:szCs w:val="16"/>
              </w:rPr>
              <w:t xml:space="preserve">. </w:t>
            </w:r>
          </w:p>
          <w:p w14:paraId="30ACCE60" w14:textId="1D21BECA" w:rsidR="0032453F" w:rsidRPr="00EE0174" w:rsidRDefault="0032453F" w:rsidP="00EE0174">
            <w:pPr>
              <w:spacing w:after="0"/>
              <w:rPr>
                <w:rFonts w:cstheme="majorHAnsi"/>
                <w:sz w:val="16"/>
                <w:szCs w:val="16"/>
              </w:rPr>
            </w:pPr>
            <w:r w:rsidRPr="00EE0174">
              <w:rPr>
                <w:rFonts w:cstheme="majorHAnsi"/>
                <w:sz w:val="16"/>
                <w:szCs w:val="16"/>
              </w:rPr>
              <w:t xml:space="preserve">Skills transfer, training and automation. </w:t>
            </w:r>
          </w:p>
        </w:tc>
        <w:tc>
          <w:tcPr>
            <w:tcW w:w="2409" w:type="dxa"/>
          </w:tcPr>
          <w:p w14:paraId="655E0F97" w14:textId="214B6B54" w:rsidR="0032453F" w:rsidRPr="00EE0174" w:rsidRDefault="004B4F88" w:rsidP="00EE0174">
            <w:pPr>
              <w:spacing w:after="0"/>
              <w:rPr>
                <w:rFonts w:cstheme="majorHAnsi"/>
                <w:sz w:val="16"/>
                <w:szCs w:val="16"/>
              </w:rPr>
            </w:pPr>
            <w:r w:rsidRPr="00EE0174">
              <w:rPr>
                <w:rFonts w:cstheme="majorHAnsi"/>
                <w:sz w:val="16"/>
                <w:szCs w:val="16"/>
              </w:rPr>
              <w:t xml:space="preserve">Increasing local content, </w:t>
            </w:r>
            <w:r w:rsidR="008A41D4" w:rsidRPr="00EE0174">
              <w:rPr>
                <w:rFonts w:cstheme="majorHAnsi"/>
                <w:sz w:val="16"/>
                <w:szCs w:val="16"/>
              </w:rPr>
              <w:t xml:space="preserve">capability and service </w:t>
            </w:r>
            <w:r w:rsidR="005D7057" w:rsidRPr="00EE0174">
              <w:rPr>
                <w:rFonts w:cstheme="majorHAnsi"/>
                <w:sz w:val="16"/>
                <w:szCs w:val="16"/>
              </w:rPr>
              <w:t>requirements</w:t>
            </w:r>
            <w:r w:rsidR="0032453F" w:rsidRPr="00EE0174">
              <w:rPr>
                <w:rFonts w:cstheme="majorHAnsi"/>
                <w:sz w:val="16"/>
                <w:szCs w:val="16"/>
              </w:rPr>
              <w:t xml:space="preserve">. </w:t>
            </w:r>
          </w:p>
          <w:p w14:paraId="320A4143" w14:textId="6489139B" w:rsidR="0032453F" w:rsidRPr="00EE0174" w:rsidRDefault="0032453F" w:rsidP="00EE0174">
            <w:pPr>
              <w:spacing w:after="0"/>
              <w:rPr>
                <w:rFonts w:cstheme="majorHAnsi"/>
                <w:sz w:val="16"/>
                <w:szCs w:val="16"/>
              </w:rPr>
            </w:pPr>
            <w:r w:rsidRPr="00EE0174">
              <w:rPr>
                <w:rFonts w:cstheme="majorHAnsi"/>
                <w:sz w:val="16"/>
                <w:szCs w:val="16"/>
              </w:rPr>
              <w:t xml:space="preserve">Access to Maaden procurement pathways, contractors and business units.  </w:t>
            </w:r>
          </w:p>
        </w:tc>
      </w:tr>
      <w:tr w:rsidR="006A55EE" w:rsidRPr="00B408BD" w14:paraId="59C8DD74" w14:textId="77777777" w:rsidTr="00673151">
        <w:tc>
          <w:tcPr>
            <w:tcW w:w="1418" w:type="dxa"/>
          </w:tcPr>
          <w:p w14:paraId="63002247" w14:textId="49F85FCB" w:rsidR="006A55EE" w:rsidRPr="00EE0174" w:rsidRDefault="006A55EE" w:rsidP="00EE0174">
            <w:pPr>
              <w:spacing w:after="0"/>
              <w:rPr>
                <w:rFonts w:cstheme="majorHAnsi"/>
                <w:sz w:val="16"/>
                <w:szCs w:val="16"/>
              </w:rPr>
            </w:pPr>
            <w:r w:rsidRPr="00EE0174">
              <w:rPr>
                <w:rFonts w:cstheme="majorHAnsi"/>
                <w:sz w:val="16"/>
                <w:szCs w:val="16"/>
              </w:rPr>
              <w:t>United Arab Emirates</w:t>
            </w:r>
          </w:p>
        </w:tc>
        <w:tc>
          <w:tcPr>
            <w:tcW w:w="1843" w:type="dxa"/>
          </w:tcPr>
          <w:p w14:paraId="172FDAC8" w14:textId="2AD15EF0" w:rsidR="006A55EE" w:rsidRPr="00EE0174" w:rsidRDefault="006A55EE" w:rsidP="00EE0174">
            <w:pPr>
              <w:spacing w:after="0"/>
              <w:rPr>
                <w:rFonts w:cstheme="majorHAnsi"/>
                <w:sz w:val="16"/>
                <w:szCs w:val="16"/>
              </w:rPr>
            </w:pPr>
            <w:r w:rsidRPr="00EE0174">
              <w:rPr>
                <w:rFonts w:cstheme="majorHAnsi"/>
                <w:sz w:val="16"/>
                <w:szCs w:val="16"/>
              </w:rPr>
              <w:t xml:space="preserve">Domestic industrial </w:t>
            </w:r>
            <w:r w:rsidR="00FB248F" w:rsidRPr="00EE0174">
              <w:rPr>
                <w:rFonts w:cstheme="majorHAnsi"/>
                <w:sz w:val="16"/>
                <w:szCs w:val="16"/>
              </w:rPr>
              <w:t>minerals</w:t>
            </w:r>
            <w:r w:rsidR="00B916FB" w:rsidRPr="00EE0174">
              <w:rPr>
                <w:rFonts w:cstheme="majorHAnsi"/>
                <w:sz w:val="16"/>
                <w:szCs w:val="16"/>
              </w:rPr>
              <w:t>, metals processing</w:t>
            </w:r>
            <w:r w:rsidR="00FB248F" w:rsidRPr="00EE0174">
              <w:rPr>
                <w:rFonts w:cstheme="majorHAnsi"/>
                <w:sz w:val="16"/>
                <w:szCs w:val="16"/>
              </w:rPr>
              <w:t xml:space="preserve"> </w:t>
            </w:r>
            <w:r w:rsidRPr="00EE0174">
              <w:rPr>
                <w:rFonts w:cstheme="majorHAnsi"/>
                <w:sz w:val="16"/>
                <w:szCs w:val="16"/>
              </w:rPr>
              <w:t>and potential regional service base.</w:t>
            </w:r>
          </w:p>
        </w:tc>
        <w:tc>
          <w:tcPr>
            <w:tcW w:w="2268" w:type="dxa"/>
          </w:tcPr>
          <w:p w14:paraId="21E8EE18" w14:textId="4206023E" w:rsidR="006A55EE" w:rsidRPr="00EE0174" w:rsidRDefault="00AE7EC9" w:rsidP="00EE0174">
            <w:pPr>
              <w:spacing w:after="0"/>
              <w:rPr>
                <w:rFonts w:cstheme="majorHAnsi"/>
                <w:sz w:val="16"/>
                <w:szCs w:val="16"/>
              </w:rPr>
            </w:pPr>
            <w:r w:rsidRPr="00EE0174">
              <w:rPr>
                <w:rFonts w:cstheme="majorHAnsi"/>
                <w:sz w:val="16"/>
                <w:szCs w:val="16"/>
              </w:rPr>
              <w:t>A</w:t>
            </w:r>
            <w:r w:rsidR="006A55EE" w:rsidRPr="00EE0174">
              <w:rPr>
                <w:rFonts w:cstheme="majorHAnsi"/>
                <w:sz w:val="16"/>
                <w:szCs w:val="16"/>
              </w:rPr>
              <w:t>luminium, steel</w:t>
            </w:r>
            <w:r w:rsidRPr="00EE0174">
              <w:rPr>
                <w:rFonts w:cstheme="majorHAnsi"/>
                <w:sz w:val="16"/>
                <w:szCs w:val="16"/>
              </w:rPr>
              <w:t xml:space="preserve">, </w:t>
            </w:r>
            <w:r w:rsidR="006A55EE" w:rsidRPr="00EE0174">
              <w:rPr>
                <w:rFonts w:cstheme="majorHAnsi"/>
                <w:sz w:val="16"/>
                <w:szCs w:val="16"/>
              </w:rPr>
              <w:t>quarrying</w:t>
            </w:r>
            <w:r w:rsidRPr="00EE0174">
              <w:rPr>
                <w:rFonts w:cstheme="majorHAnsi"/>
                <w:sz w:val="16"/>
                <w:szCs w:val="16"/>
              </w:rPr>
              <w:t xml:space="preserve"> and </w:t>
            </w:r>
            <w:r w:rsidR="009860A2" w:rsidRPr="00EE0174">
              <w:rPr>
                <w:rFonts w:cstheme="majorHAnsi"/>
                <w:sz w:val="16"/>
                <w:szCs w:val="16"/>
              </w:rPr>
              <w:t>select downstream refining and smelting</w:t>
            </w:r>
            <w:r w:rsidR="00BB1A98" w:rsidRPr="00EE0174">
              <w:rPr>
                <w:rFonts w:cstheme="majorHAnsi"/>
                <w:sz w:val="16"/>
                <w:szCs w:val="16"/>
              </w:rPr>
              <w:t>.</w:t>
            </w:r>
            <w:r w:rsidR="006A55EE" w:rsidRPr="00EE0174">
              <w:rPr>
                <w:rFonts w:cstheme="majorHAnsi"/>
                <w:sz w:val="16"/>
                <w:szCs w:val="16"/>
              </w:rPr>
              <w:t xml:space="preserve"> </w:t>
            </w:r>
            <w:r w:rsidR="00825DA3" w:rsidRPr="00EE0174">
              <w:rPr>
                <w:rFonts w:cstheme="majorHAnsi"/>
                <w:sz w:val="16"/>
                <w:szCs w:val="16"/>
              </w:rPr>
              <w:br/>
              <w:t>Strategic access to logistics and servicing capability</w:t>
            </w:r>
            <w:r w:rsidR="007E0E66" w:rsidRPr="00EE0174">
              <w:rPr>
                <w:rFonts w:cstheme="majorHAnsi"/>
                <w:sz w:val="16"/>
                <w:szCs w:val="16"/>
              </w:rPr>
              <w:t>.</w:t>
            </w:r>
          </w:p>
        </w:tc>
        <w:tc>
          <w:tcPr>
            <w:tcW w:w="2268" w:type="dxa"/>
          </w:tcPr>
          <w:p w14:paraId="0002D47B" w14:textId="123274E2" w:rsidR="006A55EE" w:rsidRPr="00EE0174" w:rsidRDefault="006A55EE" w:rsidP="00EE0174">
            <w:pPr>
              <w:spacing w:after="0"/>
              <w:rPr>
                <w:rFonts w:cstheme="majorHAnsi"/>
                <w:sz w:val="16"/>
                <w:szCs w:val="16"/>
              </w:rPr>
            </w:pPr>
            <w:r w:rsidRPr="00EE0174">
              <w:rPr>
                <w:rFonts w:cstheme="majorHAnsi"/>
                <w:sz w:val="16"/>
                <w:szCs w:val="16"/>
              </w:rPr>
              <w:t>Process optimisation, maintenance</w:t>
            </w:r>
            <w:r w:rsidR="007809C5" w:rsidRPr="00EE0174">
              <w:rPr>
                <w:rFonts w:cstheme="majorHAnsi"/>
                <w:sz w:val="16"/>
                <w:szCs w:val="16"/>
              </w:rPr>
              <w:t>,</w:t>
            </w:r>
            <w:r w:rsidRPr="00EE0174">
              <w:rPr>
                <w:rFonts w:cstheme="majorHAnsi"/>
                <w:sz w:val="16"/>
                <w:szCs w:val="16"/>
              </w:rPr>
              <w:t xml:space="preserve"> materials handling</w:t>
            </w:r>
            <w:r w:rsidR="007809C5" w:rsidRPr="00EE0174">
              <w:rPr>
                <w:rFonts w:cstheme="majorHAnsi"/>
                <w:sz w:val="16"/>
                <w:szCs w:val="16"/>
              </w:rPr>
              <w:t xml:space="preserve"> and technical support</w:t>
            </w:r>
            <w:r w:rsidR="00771CDF" w:rsidRPr="00EE0174">
              <w:rPr>
                <w:rFonts w:cstheme="majorHAnsi"/>
                <w:sz w:val="16"/>
                <w:szCs w:val="16"/>
              </w:rPr>
              <w:t>.</w:t>
            </w:r>
            <w:r w:rsidR="00D033B0" w:rsidRPr="00EE0174">
              <w:rPr>
                <w:rFonts w:cstheme="majorHAnsi"/>
                <w:sz w:val="16"/>
                <w:szCs w:val="16"/>
              </w:rPr>
              <w:t xml:space="preserve"> </w:t>
            </w:r>
            <w:r w:rsidR="007809C5" w:rsidRPr="00EE0174">
              <w:rPr>
                <w:rFonts w:cstheme="majorHAnsi"/>
                <w:sz w:val="16"/>
                <w:szCs w:val="16"/>
              </w:rPr>
              <w:t>E</w:t>
            </w:r>
            <w:r w:rsidRPr="00EE0174">
              <w:rPr>
                <w:rFonts w:cstheme="majorHAnsi"/>
                <w:sz w:val="16"/>
                <w:szCs w:val="16"/>
              </w:rPr>
              <w:t>nergy</w:t>
            </w:r>
            <w:r w:rsidR="007809C5" w:rsidRPr="00EE0174">
              <w:rPr>
                <w:rFonts w:cstheme="majorHAnsi"/>
                <w:sz w:val="16"/>
                <w:szCs w:val="16"/>
              </w:rPr>
              <w:t xml:space="preserve"> efficiency and</w:t>
            </w:r>
            <w:r w:rsidRPr="00EE0174">
              <w:rPr>
                <w:rFonts w:cstheme="majorHAnsi"/>
                <w:sz w:val="16"/>
                <w:szCs w:val="16"/>
              </w:rPr>
              <w:t xml:space="preserve"> emissions</w:t>
            </w:r>
            <w:r w:rsidR="007809C5" w:rsidRPr="00EE0174">
              <w:rPr>
                <w:rFonts w:cstheme="majorHAnsi"/>
                <w:sz w:val="16"/>
                <w:szCs w:val="16"/>
              </w:rPr>
              <w:t xml:space="preserve"> reduction. </w:t>
            </w:r>
          </w:p>
        </w:tc>
        <w:tc>
          <w:tcPr>
            <w:tcW w:w="2409" w:type="dxa"/>
          </w:tcPr>
          <w:p w14:paraId="5D9466CA" w14:textId="3DF3F49F" w:rsidR="00304353" w:rsidRPr="00EE0174" w:rsidRDefault="006A55EE" w:rsidP="00EE0174">
            <w:pPr>
              <w:spacing w:after="0"/>
              <w:rPr>
                <w:rFonts w:cstheme="majorHAnsi"/>
                <w:sz w:val="16"/>
                <w:szCs w:val="16"/>
              </w:rPr>
            </w:pPr>
            <w:r w:rsidRPr="00EE0174">
              <w:rPr>
                <w:rFonts w:cstheme="majorHAnsi"/>
                <w:sz w:val="16"/>
                <w:szCs w:val="16"/>
              </w:rPr>
              <w:t xml:space="preserve">Buyer-specific qualification </w:t>
            </w:r>
            <w:r w:rsidR="00304353" w:rsidRPr="00EE0174">
              <w:rPr>
                <w:rFonts w:cstheme="majorHAnsi"/>
                <w:sz w:val="16"/>
                <w:szCs w:val="16"/>
              </w:rPr>
              <w:t>for in-country value</w:t>
            </w:r>
            <w:r w:rsidR="00356A29" w:rsidRPr="00EE0174">
              <w:rPr>
                <w:rFonts w:cstheme="majorHAnsi"/>
                <w:sz w:val="16"/>
                <w:szCs w:val="16"/>
              </w:rPr>
              <w:t>-</w:t>
            </w:r>
            <w:r w:rsidR="00304353" w:rsidRPr="00EE0174">
              <w:rPr>
                <w:rFonts w:cstheme="majorHAnsi"/>
                <w:sz w:val="16"/>
                <w:szCs w:val="16"/>
              </w:rPr>
              <w:t>add.</w:t>
            </w:r>
          </w:p>
          <w:p w14:paraId="079E2A49" w14:textId="506EC6B7" w:rsidR="006A55EE" w:rsidRPr="00EE0174" w:rsidRDefault="004478B9" w:rsidP="00EE0174">
            <w:pPr>
              <w:spacing w:after="0"/>
              <w:rPr>
                <w:rFonts w:cstheme="majorHAnsi"/>
                <w:sz w:val="16"/>
                <w:szCs w:val="16"/>
              </w:rPr>
            </w:pPr>
            <w:r w:rsidRPr="00EE0174">
              <w:rPr>
                <w:rFonts w:cstheme="majorHAnsi"/>
                <w:sz w:val="16"/>
                <w:szCs w:val="16"/>
              </w:rPr>
              <w:t>Cost, operating model</w:t>
            </w:r>
            <w:r w:rsidR="006A55EE" w:rsidRPr="00EE0174">
              <w:rPr>
                <w:rFonts w:cstheme="majorHAnsi"/>
                <w:sz w:val="16"/>
                <w:szCs w:val="16"/>
              </w:rPr>
              <w:t xml:space="preserve"> and practical</w:t>
            </w:r>
            <w:r w:rsidRPr="00EE0174">
              <w:rPr>
                <w:rFonts w:cstheme="majorHAnsi"/>
                <w:sz w:val="16"/>
                <w:szCs w:val="16"/>
              </w:rPr>
              <w:t>ities o</w:t>
            </w:r>
            <w:r w:rsidR="006A55EE" w:rsidRPr="00EE0174">
              <w:rPr>
                <w:rFonts w:cstheme="majorHAnsi"/>
                <w:sz w:val="16"/>
                <w:szCs w:val="16"/>
              </w:rPr>
              <w:t>f a regional presence.</w:t>
            </w:r>
          </w:p>
        </w:tc>
      </w:tr>
      <w:tr w:rsidR="006A55EE" w:rsidRPr="00B408BD" w14:paraId="06B120FC" w14:textId="77777777" w:rsidTr="00673151">
        <w:tc>
          <w:tcPr>
            <w:tcW w:w="1418" w:type="dxa"/>
          </w:tcPr>
          <w:p w14:paraId="70253C9D" w14:textId="75B41DE3" w:rsidR="006A55EE" w:rsidRPr="00EE0174" w:rsidRDefault="006A55EE" w:rsidP="00EE0174">
            <w:pPr>
              <w:spacing w:after="0"/>
              <w:rPr>
                <w:rFonts w:cstheme="majorHAnsi"/>
                <w:sz w:val="16"/>
                <w:szCs w:val="16"/>
              </w:rPr>
            </w:pPr>
            <w:r w:rsidRPr="00EE0174">
              <w:rPr>
                <w:rFonts w:cstheme="majorHAnsi"/>
                <w:sz w:val="16"/>
                <w:szCs w:val="16"/>
              </w:rPr>
              <w:t>Morocco</w:t>
            </w:r>
          </w:p>
        </w:tc>
        <w:tc>
          <w:tcPr>
            <w:tcW w:w="1843" w:type="dxa"/>
          </w:tcPr>
          <w:p w14:paraId="5F934DBB" w14:textId="11BD4695" w:rsidR="006A55EE" w:rsidRPr="00EE0174" w:rsidRDefault="008E5FF8" w:rsidP="00EE0174">
            <w:pPr>
              <w:spacing w:after="0"/>
              <w:rPr>
                <w:rFonts w:cstheme="majorHAnsi"/>
                <w:sz w:val="16"/>
                <w:szCs w:val="16"/>
              </w:rPr>
            </w:pPr>
            <w:r w:rsidRPr="00EE0174">
              <w:rPr>
                <w:rFonts w:cstheme="majorHAnsi"/>
                <w:sz w:val="16"/>
                <w:szCs w:val="16"/>
              </w:rPr>
              <w:t xml:space="preserve">Significant </w:t>
            </w:r>
            <w:r w:rsidR="006A55EE" w:rsidRPr="00EE0174">
              <w:rPr>
                <w:rFonts w:cstheme="majorHAnsi"/>
                <w:sz w:val="16"/>
                <w:szCs w:val="16"/>
              </w:rPr>
              <w:t xml:space="preserve">phosphate and </w:t>
            </w:r>
            <w:r w:rsidRPr="00EE0174">
              <w:rPr>
                <w:rFonts w:cstheme="majorHAnsi"/>
                <w:sz w:val="16"/>
                <w:szCs w:val="16"/>
              </w:rPr>
              <w:t xml:space="preserve">select </w:t>
            </w:r>
            <w:r w:rsidR="006A55EE" w:rsidRPr="00EE0174">
              <w:rPr>
                <w:rFonts w:cstheme="majorHAnsi"/>
                <w:sz w:val="16"/>
                <w:szCs w:val="16"/>
              </w:rPr>
              <w:t xml:space="preserve">metals </w:t>
            </w:r>
            <w:r w:rsidR="00A70175" w:rsidRPr="00EE0174">
              <w:rPr>
                <w:rFonts w:cstheme="majorHAnsi"/>
                <w:sz w:val="16"/>
                <w:szCs w:val="16"/>
              </w:rPr>
              <w:t xml:space="preserve">projects </w:t>
            </w:r>
            <w:r w:rsidR="006A55EE" w:rsidRPr="00EE0174">
              <w:rPr>
                <w:rFonts w:cstheme="majorHAnsi"/>
                <w:sz w:val="16"/>
                <w:szCs w:val="16"/>
              </w:rPr>
              <w:t xml:space="preserve">alongside </w:t>
            </w:r>
            <w:r w:rsidR="00436BEF" w:rsidRPr="00EE0174">
              <w:rPr>
                <w:rFonts w:cstheme="majorHAnsi"/>
                <w:sz w:val="16"/>
                <w:szCs w:val="16"/>
              </w:rPr>
              <w:t xml:space="preserve">exploration activity. </w:t>
            </w:r>
          </w:p>
        </w:tc>
        <w:tc>
          <w:tcPr>
            <w:tcW w:w="2268" w:type="dxa"/>
          </w:tcPr>
          <w:p w14:paraId="2543E25A" w14:textId="417A2927" w:rsidR="008C4E3B" w:rsidRPr="00EE0174" w:rsidRDefault="008C4E3B" w:rsidP="00EE0174">
            <w:pPr>
              <w:spacing w:after="0"/>
              <w:rPr>
                <w:rFonts w:cstheme="majorHAnsi"/>
                <w:sz w:val="16"/>
                <w:szCs w:val="16"/>
              </w:rPr>
            </w:pPr>
            <w:r w:rsidRPr="00EE0174">
              <w:rPr>
                <w:rFonts w:cstheme="majorHAnsi"/>
                <w:sz w:val="16"/>
                <w:szCs w:val="16"/>
              </w:rPr>
              <w:t xml:space="preserve">OCP-led phosphate operations and expansion. </w:t>
            </w:r>
          </w:p>
          <w:p w14:paraId="3119D660" w14:textId="11B6C975" w:rsidR="006A55EE" w:rsidRPr="00EE0174" w:rsidRDefault="006A55EE" w:rsidP="00EE0174">
            <w:pPr>
              <w:spacing w:after="0"/>
              <w:rPr>
                <w:rFonts w:cstheme="majorHAnsi"/>
                <w:sz w:val="16"/>
                <w:szCs w:val="16"/>
              </w:rPr>
            </w:pPr>
            <w:r w:rsidRPr="00EE0174">
              <w:rPr>
                <w:rFonts w:cstheme="majorHAnsi"/>
                <w:sz w:val="16"/>
                <w:szCs w:val="16"/>
              </w:rPr>
              <w:t xml:space="preserve">Managem, Aya Gold </w:t>
            </w:r>
            <w:r w:rsidR="008E511C" w:rsidRPr="00EE0174">
              <w:rPr>
                <w:rFonts w:cstheme="majorHAnsi"/>
                <w:sz w:val="16"/>
                <w:szCs w:val="16"/>
              </w:rPr>
              <w:t xml:space="preserve">&amp; </w:t>
            </w:r>
            <w:r w:rsidRPr="00EE0174">
              <w:rPr>
                <w:rFonts w:cstheme="majorHAnsi"/>
                <w:sz w:val="16"/>
                <w:szCs w:val="16"/>
              </w:rPr>
              <w:t xml:space="preserve">Silver and funded </w:t>
            </w:r>
            <w:r w:rsidR="006F5CEA" w:rsidRPr="00EE0174">
              <w:rPr>
                <w:rFonts w:cstheme="majorHAnsi"/>
                <w:sz w:val="16"/>
                <w:szCs w:val="16"/>
              </w:rPr>
              <w:t xml:space="preserve">metals </w:t>
            </w:r>
            <w:r w:rsidRPr="00EE0174">
              <w:rPr>
                <w:rFonts w:cstheme="majorHAnsi"/>
                <w:sz w:val="16"/>
                <w:szCs w:val="16"/>
              </w:rPr>
              <w:t>exploration or development programs.</w:t>
            </w:r>
          </w:p>
        </w:tc>
        <w:tc>
          <w:tcPr>
            <w:tcW w:w="2268" w:type="dxa"/>
          </w:tcPr>
          <w:p w14:paraId="6ACAA824" w14:textId="74CF477F" w:rsidR="00407DC7" w:rsidRPr="00EE0174" w:rsidRDefault="00407DC7" w:rsidP="00EE0174">
            <w:pPr>
              <w:spacing w:after="0"/>
              <w:rPr>
                <w:rFonts w:cstheme="majorHAnsi"/>
                <w:sz w:val="16"/>
                <w:szCs w:val="16"/>
              </w:rPr>
            </w:pPr>
            <w:r w:rsidRPr="00EE0174">
              <w:rPr>
                <w:rFonts w:cstheme="majorHAnsi"/>
                <w:sz w:val="16"/>
                <w:szCs w:val="16"/>
              </w:rPr>
              <w:t xml:space="preserve">Water </w:t>
            </w:r>
            <w:r w:rsidR="00394D56" w:rsidRPr="00EE0174">
              <w:rPr>
                <w:rFonts w:cstheme="majorHAnsi"/>
                <w:sz w:val="16"/>
                <w:szCs w:val="16"/>
              </w:rPr>
              <w:t>treatment and recycling, m</w:t>
            </w:r>
            <w:r w:rsidRPr="00EE0174">
              <w:rPr>
                <w:rFonts w:cstheme="majorHAnsi"/>
                <w:sz w:val="16"/>
                <w:szCs w:val="16"/>
              </w:rPr>
              <w:t>inerals processing, materials handling</w:t>
            </w:r>
            <w:r w:rsidR="00394D56" w:rsidRPr="00EE0174">
              <w:rPr>
                <w:rFonts w:cstheme="majorHAnsi"/>
                <w:sz w:val="16"/>
                <w:szCs w:val="16"/>
              </w:rPr>
              <w:t xml:space="preserve"> and reliability.</w:t>
            </w:r>
          </w:p>
          <w:p w14:paraId="7BA14ACF" w14:textId="4957A168" w:rsidR="00407DC7" w:rsidRPr="00EE0174" w:rsidRDefault="00407DC7" w:rsidP="00EE0174">
            <w:pPr>
              <w:spacing w:after="0"/>
              <w:rPr>
                <w:rFonts w:cstheme="majorHAnsi"/>
                <w:sz w:val="16"/>
                <w:szCs w:val="16"/>
              </w:rPr>
            </w:pPr>
            <w:r w:rsidRPr="00EE0174">
              <w:rPr>
                <w:rFonts w:cstheme="majorHAnsi"/>
                <w:sz w:val="16"/>
                <w:szCs w:val="16"/>
              </w:rPr>
              <w:t>Energy management and renewable</w:t>
            </w:r>
            <w:r w:rsidR="00394D56" w:rsidRPr="00EE0174">
              <w:rPr>
                <w:rFonts w:cstheme="majorHAnsi"/>
                <w:sz w:val="16"/>
                <w:szCs w:val="16"/>
              </w:rPr>
              <w:t xml:space="preserve">s </w:t>
            </w:r>
            <w:r w:rsidRPr="00EE0174">
              <w:rPr>
                <w:rFonts w:cstheme="majorHAnsi"/>
                <w:sz w:val="16"/>
                <w:szCs w:val="16"/>
              </w:rPr>
              <w:t xml:space="preserve">integration. </w:t>
            </w:r>
          </w:p>
          <w:p w14:paraId="4741F9BD" w14:textId="5F761CA5" w:rsidR="00407DC7" w:rsidRPr="00EE0174" w:rsidRDefault="00407DC7" w:rsidP="00EE0174">
            <w:pPr>
              <w:spacing w:after="0"/>
              <w:rPr>
                <w:rFonts w:cstheme="majorHAnsi"/>
                <w:sz w:val="16"/>
                <w:szCs w:val="16"/>
              </w:rPr>
            </w:pPr>
            <w:r w:rsidRPr="00EE0174">
              <w:rPr>
                <w:rFonts w:cstheme="majorHAnsi"/>
                <w:sz w:val="16"/>
                <w:szCs w:val="16"/>
              </w:rPr>
              <w:t>Exploration &amp; geological services.</w:t>
            </w:r>
            <w:r w:rsidRPr="00EE0174">
              <w:rPr>
                <w:sz w:val="16"/>
                <w:szCs w:val="16"/>
              </w:rPr>
              <w:t xml:space="preserve">  </w:t>
            </w:r>
          </w:p>
        </w:tc>
        <w:tc>
          <w:tcPr>
            <w:tcW w:w="2409" w:type="dxa"/>
          </w:tcPr>
          <w:p w14:paraId="07DCDD65" w14:textId="6AD6818B" w:rsidR="00673528" w:rsidRPr="00EE0174" w:rsidRDefault="006A55EE" w:rsidP="00EE0174">
            <w:pPr>
              <w:spacing w:after="0"/>
              <w:rPr>
                <w:rFonts w:cstheme="majorHAnsi"/>
                <w:sz w:val="16"/>
                <w:szCs w:val="16"/>
              </w:rPr>
            </w:pPr>
            <w:r w:rsidRPr="00EE0174">
              <w:rPr>
                <w:rFonts w:cstheme="majorHAnsi"/>
                <w:sz w:val="16"/>
                <w:szCs w:val="16"/>
              </w:rPr>
              <w:t>Concentrated buyers</w:t>
            </w:r>
            <w:r w:rsidR="00673528" w:rsidRPr="00EE0174">
              <w:rPr>
                <w:rFonts w:cstheme="majorHAnsi"/>
                <w:sz w:val="16"/>
                <w:szCs w:val="16"/>
              </w:rPr>
              <w:t xml:space="preserve"> and </w:t>
            </w:r>
            <w:r w:rsidRPr="00EE0174">
              <w:rPr>
                <w:rFonts w:cstheme="majorHAnsi"/>
                <w:sz w:val="16"/>
                <w:szCs w:val="16"/>
              </w:rPr>
              <w:t>incumbent relationships</w:t>
            </w:r>
            <w:r w:rsidR="00995F56" w:rsidRPr="00EE0174">
              <w:rPr>
                <w:rFonts w:cstheme="majorHAnsi"/>
                <w:sz w:val="16"/>
                <w:szCs w:val="16"/>
              </w:rPr>
              <w:t>.</w:t>
            </w:r>
          </w:p>
          <w:p w14:paraId="4916B1D5" w14:textId="653A8B86" w:rsidR="006A55EE" w:rsidRPr="00EE0174" w:rsidRDefault="00673528" w:rsidP="00EE0174">
            <w:pPr>
              <w:spacing w:after="0"/>
              <w:rPr>
                <w:rFonts w:cstheme="majorHAnsi"/>
                <w:sz w:val="16"/>
                <w:szCs w:val="16"/>
              </w:rPr>
            </w:pPr>
            <w:r w:rsidRPr="00EE0174">
              <w:rPr>
                <w:rFonts w:cstheme="majorHAnsi"/>
                <w:sz w:val="16"/>
                <w:szCs w:val="16"/>
              </w:rPr>
              <w:t>European-facing commercial market and</w:t>
            </w:r>
            <w:r w:rsidR="006A55EE" w:rsidRPr="00EE0174">
              <w:rPr>
                <w:rFonts w:cstheme="majorHAnsi"/>
                <w:sz w:val="16"/>
                <w:szCs w:val="16"/>
              </w:rPr>
              <w:t xml:space="preserve"> French-language capability</w:t>
            </w:r>
            <w:r w:rsidRPr="00EE0174">
              <w:rPr>
                <w:rFonts w:cstheme="majorHAnsi"/>
                <w:sz w:val="16"/>
                <w:szCs w:val="16"/>
              </w:rPr>
              <w:t xml:space="preserve">. </w:t>
            </w:r>
            <w:r w:rsidR="006A55EE" w:rsidRPr="00EE0174">
              <w:rPr>
                <w:rFonts w:cstheme="majorHAnsi"/>
                <w:sz w:val="16"/>
                <w:szCs w:val="16"/>
              </w:rPr>
              <w:t xml:space="preserve"> </w:t>
            </w:r>
            <w:r w:rsidR="00670C8B" w:rsidRPr="00EE0174">
              <w:rPr>
                <w:rFonts w:cstheme="majorHAnsi"/>
                <w:sz w:val="16"/>
                <w:szCs w:val="16"/>
              </w:rPr>
              <w:br/>
              <w:t xml:space="preserve">Local delivery and servicing model. </w:t>
            </w:r>
          </w:p>
        </w:tc>
      </w:tr>
      <w:tr w:rsidR="006A55EE" w:rsidRPr="00B408BD" w14:paraId="2A74AC23" w14:textId="77777777" w:rsidTr="00673151">
        <w:tc>
          <w:tcPr>
            <w:tcW w:w="1418" w:type="dxa"/>
          </w:tcPr>
          <w:p w14:paraId="32216093" w14:textId="36B8A10E" w:rsidR="006A55EE" w:rsidRPr="00EE0174" w:rsidRDefault="006A55EE" w:rsidP="00EE0174">
            <w:pPr>
              <w:spacing w:after="0"/>
              <w:rPr>
                <w:rFonts w:cstheme="majorHAnsi"/>
                <w:sz w:val="16"/>
                <w:szCs w:val="16"/>
              </w:rPr>
            </w:pPr>
            <w:r w:rsidRPr="00EE0174">
              <w:rPr>
                <w:rFonts w:cstheme="majorHAnsi"/>
                <w:sz w:val="16"/>
                <w:szCs w:val="16"/>
              </w:rPr>
              <w:t>Egypt</w:t>
            </w:r>
          </w:p>
        </w:tc>
        <w:tc>
          <w:tcPr>
            <w:tcW w:w="1843" w:type="dxa"/>
          </w:tcPr>
          <w:p w14:paraId="4582BF25" w14:textId="700F8501" w:rsidR="006A55EE" w:rsidRPr="00EE0174" w:rsidRDefault="009108F4" w:rsidP="00EE0174">
            <w:pPr>
              <w:spacing w:after="0"/>
              <w:rPr>
                <w:rFonts w:cstheme="majorHAnsi"/>
                <w:sz w:val="16"/>
                <w:szCs w:val="16"/>
              </w:rPr>
            </w:pPr>
            <w:r w:rsidRPr="00EE0174">
              <w:rPr>
                <w:rFonts w:cstheme="majorHAnsi"/>
                <w:sz w:val="16"/>
                <w:szCs w:val="16"/>
              </w:rPr>
              <w:t>Market amidst significant min</w:t>
            </w:r>
            <w:r w:rsidR="00A367E3" w:rsidRPr="00EE0174">
              <w:rPr>
                <w:rFonts w:cstheme="majorHAnsi"/>
                <w:sz w:val="16"/>
                <w:szCs w:val="16"/>
              </w:rPr>
              <w:t>ing and investment reforms with s</w:t>
            </w:r>
            <w:r w:rsidR="006A55EE" w:rsidRPr="00EE0174">
              <w:rPr>
                <w:rFonts w:cstheme="majorHAnsi"/>
                <w:sz w:val="16"/>
                <w:szCs w:val="16"/>
              </w:rPr>
              <w:t>elective current demand</w:t>
            </w:r>
            <w:r w:rsidR="00A367E3" w:rsidRPr="00EE0174">
              <w:rPr>
                <w:rFonts w:cstheme="majorHAnsi"/>
                <w:sz w:val="16"/>
                <w:szCs w:val="16"/>
              </w:rPr>
              <w:t>.</w:t>
            </w:r>
          </w:p>
        </w:tc>
        <w:tc>
          <w:tcPr>
            <w:tcW w:w="2268" w:type="dxa"/>
          </w:tcPr>
          <w:p w14:paraId="772E963A" w14:textId="74018EBE" w:rsidR="009A1896" w:rsidRPr="00EE0174" w:rsidRDefault="00811567" w:rsidP="00EE0174">
            <w:pPr>
              <w:spacing w:after="0"/>
              <w:rPr>
                <w:rFonts w:cstheme="majorHAnsi"/>
                <w:sz w:val="16"/>
                <w:szCs w:val="16"/>
              </w:rPr>
            </w:pPr>
            <w:r w:rsidRPr="00EE0174">
              <w:rPr>
                <w:rFonts w:cstheme="majorHAnsi"/>
                <w:sz w:val="16"/>
                <w:szCs w:val="16"/>
              </w:rPr>
              <w:t xml:space="preserve">Technologies and services linked to funded exploration and airborne survey. </w:t>
            </w:r>
          </w:p>
          <w:p w14:paraId="43EBBCD1" w14:textId="4E925E2D" w:rsidR="006A55EE" w:rsidRPr="00EE0174" w:rsidRDefault="00560E5F" w:rsidP="00EE0174">
            <w:pPr>
              <w:spacing w:after="0"/>
              <w:rPr>
                <w:rFonts w:cstheme="majorHAnsi"/>
                <w:sz w:val="16"/>
                <w:szCs w:val="16"/>
              </w:rPr>
            </w:pPr>
            <w:r w:rsidRPr="00EE0174">
              <w:rPr>
                <w:rFonts w:cstheme="majorHAnsi"/>
                <w:sz w:val="16"/>
                <w:szCs w:val="16"/>
              </w:rPr>
              <w:t>S</w:t>
            </w:r>
            <w:r w:rsidR="00660935" w:rsidRPr="00EE0174">
              <w:rPr>
                <w:rFonts w:cstheme="majorHAnsi"/>
                <w:sz w:val="16"/>
                <w:szCs w:val="16"/>
              </w:rPr>
              <w:t xml:space="preserve">hort-term prospects with Sukari </w:t>
            </w:r>
            <w:r w:rsidR="00E75ACA" w:rsidRPr="00EE0174">
              <w:rPr>
                <w:rFonts w:cstheme="majorHAnsi"/>
                <w:sz w:val="16"/>
                <w:szCs w:val="16"/>
              </w:rPr>
              <w:t xml:space="preserve">gold mine </w:t>
            </w:r>
            <w:r w:rsidR="00660935" w:rsidRPr="00EE0174">
              <w:rPr>
                <w:rFonts w:cstheme="majorHAnsi"/>
                <w:sz w:val="16"/>
                <w:szCs w:val="16"/>
              </w:rPr>
              <w:t xml:space="preserve">and industrial minerals. </w:t>
            </w:r>
          </w:p>
        </w:tc>
        <w:tc>
          <w:tcPr>
            <w:tcW w:w="2268" w:type="dxa"/>
          </w:tcPr>
          <w:p w14:paraId="50CC2B2D" w14:textId="1F2C0671" w:rsidR="00C975E7" w:rsidRPr="00EE0174" w:rsidRDefault="00414C38" w:rsidP="00EE0174">
            <w:pPr>
              <w:spacing w:after="0"/>
              <w:rPr>
                <w:rFonts w:cstheme="majorHAnsi"/>
                <w:sz w:val="16"/>
                <w:szCs w:val="16"/>
              </w:rPr>
            </w:pPr>
            <w:r w:rsidRPr="00EE0174">
              <w:rPr>
                <w:rFonts w:cstheme="majorHAnsi"/>
                <w:sz w:val="16"/>
                <w:szCs w:val="16"/>
              </w:rPr>
              <w:t>Mineral surveying, drilling, geological modelling</w:t>
            </w:r>
            <w:r w:rsidR="00817B4D" w:rsidRPr="00EE0174">
              <w:rPr>
                <w:rFonts w:cstheme="majorHAnsi"/>
                <w:sz w:val="16"/>
                <w:szCs w:val="16"/>
              </w:rPr>
              <w:t xml:space="preserve"> and studies. </w:t>
            </w:r>
          </w:p>
          <w:p w14:paraId="0A88ED16" w14:textId="5D875976" w:rsidR="006A55EE" w:rsidRPr="00EE0174" w:rsidRDefault="00C975E7" w:rsidP="00EE0174">
            <w:pPr>
              <w:spacing w:after="0"/>
              <w:rPr>
                <w:rFonts w:cstheme="majorHAnsi"/>
                <w:sz w:val="16"/>
                <w:szCs w:val="16"/>
              </w:rPr>
            </w:pPr>
            <w:r w:rsidRPr="00EE0174">
              <w:rPr>
                <w:rFonts w:cstheme="majorHAnsi"/>
                <w:sz w:val="16"/>
                <w:szCs w:val="16"/>
              </w:rPr>
              <w:t>W</w:t>
            </w:r>
            <w:r w:rsidR="006A55EE" w:rsidRPr="00EE0174">
              <w:rPr>
                <w:rFonts w:cstheme="majorHAnsi"/>
                <w:sz w:val="16"/>
                <w:szCs w:val="16"/>
              </w:rPr>
              <w:t>ater</w:t>
            </w:r>
            <w:r w:rsidRPr="00EE0174">
              <w:rPr>
                <w:rFonts w:cstheme="majorHAnsi"/>
                <w:sz w:val="16"/>
                <w:szCs w:val="16"/>
              </w:rPr>
              <w:t xml:space="preserve">, </w:t>
            </w:r>
            <w:r w:rsidR="003307E4" w:rsidRPr="00EE0174">
              <w:rPr>
                <w:rFonts w:cstheme="majorHAnsi"/>
                <w:sz w:val="16"/>
                <w:szCs w:val="16"/>
              </w:rPr>
              <w:t xml:space="preserve">minerals </w:t>
            </w:r>
            <w:r w:rsidRPr="00EE0174">
              <w:rPr>
                <w:rFonts w:cstheme="majorHAnsi"/>
                <w:sz w:val="16"/>
                <w:szCs w:val="16"/>
              </w:rPr>
              <w:t>recovery, maintenance</w:t>
            </w:r>
            <w:r w:rsidR="006A55EE" w:rsidRPr="00EE0174">
              <w:rPr>
                <w:rFonts w:cstheme="majorHAnsi"/>
                <w:sz w:val="16"/>
                <w:szCs w:val="16"/>
              </w:rPr>
              <w:t xml:space="preserve"> and specialist site services.</w:t>
            </w:r>
          </w:p>
        </w:tc>
        <w:tc>
          <w:tcPr>
            <w:tcW w:w="2409" w:type="dxa"/>
          </w:tcPr>
          <w:p w14:paraId="45B7779D" w14:textId="5A406EC0" w:rsidR="006A55EE" w:rsidRPr="00EE0174" w:rsidRDefault="00D96997" w:rsidP="00EE0174">
            <w:pPr>
              <w:spacing w:after="0"/>
              <w:rPr>
                <w:rFonts w:cstheme="majorHAnsi"/>
                <w:sz w:val="16"/>
                <w:szCs w:val="16"/>
              </w:rPr>
            </w:pPr>
            <w:r w:rsidRPr="00EE0174">
              <w:rPr>
                <w:rFonts w:cstheme="majorHAnsi"/>
                <w:sz w:val="16"/>
                <w:szCs w:val="16"/>
              </w:rPr>
              <w:t>Monitoring of project f</w:t>
            </w:r>
            <w:r w:rsidR="006A55EE" w:rsidRPr="00EE0174">
              <w:rPr>
                <w:rFonts w:cstheme="majorHAnsi"/>
                <w:sz w:val="16"/>
                <w:szCs w:val="16"/>
              </w:rPr>
              <w:t xml:space="preserve">unding and </w:t>
            </w:r>
            <w:r w:rsidR="006E3850" w:rsidRPr="00EE0174">
              <w:rPr>
                <w:rFonts w:cstheme="majorHAnsi"/>
                <w:sz w:val="16"/>
                <w:szCs w:val="16"/>
              </w:rPr>
              <w:t xml:space="preserve">contracting. </w:t>
            </w:r>
            <w:r w:rsidR="006A55EE" w:rsidRPr="00EE0174">
              <w:rPr>
                <w:rFonts w:cstheme="majorHAnsi"/>
                <w:sz w:val="16"/>
                <w:szCs w:val="16"/>
              </w:rPr>
              <w:t xml:space="preserve"> </w:t>
            </w:r>
            <w:r w:rsidR="006E3850" w:rsidRPr="00EE0174">
              <w:rPr>
                <w:rFonts w:cstheme="majorHAnsi"/>
                <w:sz w:val="16"/>
                <w:szCs w:val="16"/>
              </w:rPr>
              <w:t>C</w:t>
            </w:r>
            <w:r w:rsidR="006A55EE" w:rsidRPr="00EE0174">
              <w:rPr>
                <w:rFonts w:cstheme="majorHAnsi"/>
                <w:sz w:val="16"/>
                <w:szCs w:val="16"/>
              </w:rPr>
              <w:t xml:space="preserve">ustomer-specific procurement, import arrangements, payment </w:t>
            </w:r>
            <w:r w:rsidR="00F0747F" w:rsidRPr="00EE0174">
              <w:rPr>
                <w:rFonts w:cstheme="majorHAnsi"/>
                <w:sz w:val="16"/>
                <w:szCs w:val="16"/>
              </w:rPr>
              <w:t>considerations</w:t>
            </w:r>
            <w:r w:rsidR="006A55EE" w:rsidRPr="00EE0174">
              <w:rPr>
                <w:rFonts w:cstheme="majorHAnsi"/>
                <w:sz w:val="16"/>
                <w:szCs w:val="16"/>
              </w:rPr>
              <w:t xml:space="preserve"> and technical support.</w:t>
            </w:r>
          </w:p>
        </w:tc>
      </w:tr>
      <w:tr w:rsidR="006A55EE" w:rsidRPr="00B408BD" w14:paraId="7EB77A13" w14:textId="77777777" w:rsidTr="00673151">
        <w:tc>
          <w:tcPr>
            <w:tcW w:w="1418" w:type="dxa"/>
          </w:tcPr>
          <w:p w14:paraId="58FC75FB" w14:textId="2867B345" w:rsidR="006A55EE" w:rsidRPr="00EE0174" w:rsidRDefault="006A55EE" w:rsidP="00EE0174">
            <w:pPr>
              <w:spacing w:after="0"/>
              <w:rPr>
                <w:rFonts w:cstheme="majorHAnsi"/>
                <w:sz w:val="16"/>
                <w:szCs w:val="16"/>
              </w:rPr>
            </w:pPr>
            <w:r w:rsidRPr="00EE0174">
              <w:rPr>
                <w:rFonts w:cstheme="majorHAnsi"/>
                <w:sz w:val="16"/>
                <w:szCs w:val="16"/>
              </w:rPr>
              <w:t>Türkiye</w:t>
            </w:r>
          </w:p>
        </w:tc>
        <w:tc>
          <w:tcPr>
            <w:tcW w:w="1843" w:type="dxa"/>
          </w:tcPr>
          <w:p w14:paraId="68471205" w14:textId="70706463" w:rsidR="006A55EE" w:rsidRPr="00EE0174" w:rsidRDefault="002D257D" w:rsidP="00EE0174">
            <w:pPr>
              <w:spacing w:after="0"/>
              <w:rPr>
                <w:rFonts w:cstheme="majorHAnsi"/>
                <w:sz w:val="16"/>
                <w:szCs w:val="16"/>
              </w:rPr>
            </w:pPr>
            <w:r w:rsidRPr="00EE0174">
              <w:rPr>
                <w:rFonts w:cstheme="majorHAnsi"/>
                <w:sz w:val="16"/>
                <w:szCs w:val="16"/>
              </w:rPr>
              <w:t>Mature, competitive mining market with demand for specialised technical solutions.</w:t>
            </w:r>
          </w:p>
        </w:tc>
        <w:tc>
          <w:tcPr>
            <w:tcW w:w="2268" w:type="dxa"/>
          </w:tcPr>
          <w:p w14:paraId="098B42FB" w14:textId="2EE976FE" w:rsidR="006A55EE" w:rsidRPr="00EE0174" w:rsidRDefault="00DE681F" w:rsidP="00EE0174">
            <w:pPr>
              <w:spacing w:after="0"/>
              <w:rPr>
                <w:rFonts w:cstheme="majorHAnsi"/>
                <w:sz w:val="16"/>
                <w:szCs w:val="16"/>
              </w:rPr>
            </w:pPr>
            <w:r w:rsidRPr="00EE0174">
              <w:rPr>
                <w:rFonts w:cstheme="majorHAnsi"/>
                <w:sz w:val="16"/>
                <w:szCs w:val="16"/>
              </w:rPr>
              <w:t xml:space="preserve">Optimisation and upgrades of </w:t>
            </w:r>
            <w:r w:rsidR="0082266B" w:rsidRPr="00EE0174">
              <w:rPr>
                <w:rFonts w:cstheme="majorHAnsi"/>
                <w:sz w:val="16"/>
                <w:szCs w:val="16"/>
              </w:rPr>
              <w:t xml:space="preserve">operational </w:t>
            </w:r>
            <w:r w:rsidR="006A55EE" w:rsidRPr="00EE0174">
              <w:rPr>
                <w:rFonts w:cstheme="majorHAnsi"/>
                <w:sz w:val="16"/>
                <w:szCs w:val="16"/>
              </w:rPr>
              <w:t>mines and process plants</w:t>
            </w:r>
            <w:r w:rsidR="0082266B" w:rsidRPr="00EE0174">
              <w:rPr>
                <w:rFonts w:cstheme="majorHAnsi"/>
                <w:sz w:val="16"/>
                <w:szCs w:val="16"/>
              </w:rPr>
              <w:t xml:space="preserve"> across boron, gold and other metals. </w:t>
            </w:r>
          </w:p>
        </w:tc>
        <w:tc>
          <w:tcPr>
            <w:tcW w:w="2268" w:type="dxa"/>
          </w:tcPr>
          <w:p w14:paraId="498A2428" w14:textId="700D210C" w:rsidR="006A55EE" w:rsidRPr="00EE0174" w:rsidRDefault="004C22B8" w:rsidP="00EE0174">
            <w:pPr>
              <w:spacing w:after="0"/>
              <w:rPr>
                <w:rFonts w:cstheme="majorHAnsi"/>
                <w:sz w:val="16"/>
                <w:szCs w:val="16"/>
              </w:rPr>
            </w:pPr>
            <w:r w:rsidRPr="00EE0174">
              <w:rPr>
                <w:rFonts w:cstheme="majorHAnsi"/>
                <w:sz w:val="16"/>
                <w:szCs w:val="16"/>
              </w:rPr>
              <w:t xml:space="preserve">Mineral processing, optimisation and water management. </w:t>
            </w:r>
            <w:r w:rsidR="00E5132A" w:rsidRPr="00EE0174">
              <w:rPr>
                <w:rFonts w:cstheme="majorHAnsi"/>
                <w:sz w:val="16"/>
                <w:szCs w:val="16"/>
              </w:rPr>
              <w:br/>
            </w:r>
            <w:r w:rsidRPr="00EE0174">
              <w:rPr>
                <w:rFonts w:cstheme="majorHAnsi"/>
                <w:sz w:val="16"/>
                <w:szCs w:val="16"/>
              </w:rPr>
              <w:t xml:space="preserve">Fleet maintenance and reliability. </w:t>
            </w:r>
            <w:r w:rsidR="00E5132A" w:rsidRPr="00EE0174">
              <w:rPr>
                <w:rFonts w:cstheme="majorHAnsi"/>
                <w:sz w:val="16"/>
                <w:szCs w:val="16"/>
              </w:rPr>
              <w:br/>
            </w:r>
            <w:r w:rsidRPr="00EE0174">
              <w:rPr>
                <w:rFonts w:cstheme="majorHAnsi"/>
                <w:sz w:val="16"/>
                <w:szCs w:val="16"/>
              </w:rPr>
              <w:lastRenderedPageBreak/>
              <w:t>Underground systems, safety and training.</w:t>
            </w:r>
          </w:p>
        </w:tc>
        <w:tc>
          <w:tcPr>
            <w:tcW w:w="2409" w:type="dxa"/>
          </w:tcPr>
          <w:p w14:paraId="233E1FB7" w14:textId="71591CF3" w:rsidR="00AB46BC" w:rsidRPr="00EE0174" w:rsidRDefault="00AB46BC" w:rsidP="00EE0174">
            <w:pPr>
              <w:spacing w:after="0"/>
              <w:rPr>
                <w:rFonts w:cstheme="majorHAnsi"/>
                <w:sz w:val="16"/>
                <w:szCs w:val="16"/>
              </w:rPr>
            </w:pPr>
            <w:r w:rsidRPr="00EE0174">
              <w:rPr>
                <w:rFonts w:cstheme="majorHAnsi"/>
                <w:sz w:val="16"/>
                <w:szCs w:val="16"/>
              </w:rPr>
              <w:lastRenderedPageBreak/>
              <w:t xml:space="preserve">High domestic and global competition with local support and servicing requirement. </w:t>
            </w:r>
          </w:p>
          <w:p w14:paraId="3E953FA5" w14:textId="49D1867E" w:rsidR="006A55EE" w:rsidRPr="00EE0174" w:rsidRDefault="00AB46BC" w:rsidP="00EE0174">
            <w:pPr>
              <w:spacing w:after="0"/>
              <w:rPr>
                <w:rFonts w:cstheme="majorHAnsi"/>
                <w:sz w:val="16"/>
                <w:szCs w:val="16"/>
              </w:rPr>
            </w:pPr>
            <w:r w:rsidRPr="00EE0174">
              <w:rPr>
                <w:rFonts w:cstheme="majorHAnsi"/>
                <w:sz w:val="16"/>
                <w:szCs w:val="16"/>
              </w:rPr>
              <w:t>Currency fluctuations and commercial risk</w:t>
            </w:r>
            <w:r w:rsidR="000152C0" w:rsidRPr="00EE0174">
              <w:rPr>
                <w:rFonts w:cstheme="majorHAnsi"/>
                <w:sz w:val="16"/>
                <w:szCs w:val="16"/>
              </w:rPr>
              <w:t>.</w:t>
            </w:r>
          </w:p>
        </w:tc>
      </w:tr>
    </w:tbl>
    <w:p w14:paraId="60D2AD60" w14:textId="0C892261" w:rsidR="00C45890" w:rsidRPr="00E91368" w:rsidRDefault="00C45890" w:rsidP="0033571D">
      <w:pPr>
        <w:rPr>
          <w:rFonts w:asciiTheme="majorHAnsi" w:hAnsiTheme="majorHAnsi" w:cstheme="majorHAnsi"/>
          <w:szCs w:val="20"/>
        </w:rPr>
      </w:pPr>
      <w:r w:rsidRPr="00E91368">
        <w:rPr>
          <w:rFonts w:asciiTheme="majorHAnsi" w:hAnsiTheme="majorHAnsi" w:cstheme="majorHAnsi"/>
          <w:szCs w:val="20"/>
        </w:rPr>
        <w:br w:type="page"/>
      </w:r>
    </w:p>
    <w:p w14:paraId="21DB565C" w14:textId="77777777" w:rsidR="003F79DD" w:rsidRPr="00E91368" w:rsidRDefault="003F79DD" w:rsidP="00F472CE">
      <w:pPr>
        <w:pStyle w:val="Heading1"/>
      </w:pPr>
      <w:r w:rsidRPr="00F472CE">
        <w:lastRenderedPageBreak/>
        <w:t>Introduction</w:t>
      </w:r>
    </w:p>
    <w:p w14:paraId="13D8EDF7" w14:textId="77777777" w:rsidR="00F46206" w:rsidRPr="00E91368" w:rsidRDefault="00F46206" w:rsidP="00EE0174">
      <w:pPr>
        <w:pStyle w:val="Heading2"/>
      </w:pPr>
      <w:r w:rsidRPr="00E91368">
        <w:t>Report objective and market focus</w:t>
      </w:r>
    </w:p>
    <w:p w14:paraId="042DDF32" w14:textId="52BADB1E" w:rsidR="00F46206" w:rsidRPr="00E91368" w:rsidRDefault="00F46206" w:rsidP="00B16B59">
      <w:r w:rsidRPr="00E91368">
        <w:t>Th</w:t>
      </w:r>
      <w:r w:rsidR="0083656B">
        <w:t>is</w:t>
      </w:r>
      <w:r w:rsidRPr="00E91368">
        <w:t xml:space="preserve"> report is designed to assist Australian METS companies</w:t>
      </w:r>
      <w:r w:rsidR="00B16B59" w:rsidRPr="00E91368">
        <w:t xml:space="preserve"> </w:t>
      </w:r>
      <w:r w:rsidR="007F159F" w:rsidRPr="00E91368">
        <w:t>to assess</w:t>
      </w:r>
      <w:r w:rsidR="00B16B59" w:rsidRPr="00E91368">
        <w:t xml:space="preserve"> and prioritise opportunities </w:t>
      </w:r>
      <w:r w:rsidRPr="00E91368">
        <w:t>across Saudi Arabia, Morocco, Egypt, Türkiye and the United Arab Emirates.</w:t>
      </w:r>
    </w:p>
    <w:p w14:paraId="7811E19E" w14:textId="692B43DD" w:rsidR="004B6228" w:rsidRDefault="00F46206" w:rsidP="00E138B8">
      <w:r w:rsidRPr="00E91368">
        <w:t xml:space="preserve">It provides practical, evidence-based market intelligence to identify where Australian </w:t>
      </w:r>
      <w:r w:rsidR="006A5E0C">
        <w:t xml:space="preserve">mining </w:t>
      </w:r>
      <w:r w:rsidRPr="00E91368">
        <w:t xml:space="preserve">capability may be most relevant, which opportunities present the strongest medium- to long-term prospects, </w:t>
      </w:r>
      <w:r w:rsidR="00D57D94">
        <w:t xml:space="preserve">and </w:t>
      </w:r>
      <w:r w:rsidR="00E138B8" w:rsidRPr="00E91368">
        <w:t xml:space="preserve">where further </w:t>
      </w:r>
      <w:r w:rsidR="00D81A0D">
        <w:t>market research</w:t>
      </w:r>
      <w:r w:rsidR="00E138B8" w:rsidRPr="00E91368">
        <w:t xml:space="preserve">, customer engagement or </w:t>
      </w:r>
      <w:r w:rsidR="00D81A0D">
        <w:t xml:space="preserve">business </w:t>
      </w:r>
      <w:r w:rsidR="00E138B8" w:rsidRPr="00E91368">
        <w:t>development activity may be warranted.</w:t>
      </w:r>
    </w:p>
    <w:p w14:paraId="61095D43" w14:textId="1D87D3DE" w:rsidR="00724A6E" w:rsidRPr="00E91368" w:rsidRDefault="00724A6E" w:rsidP="004B6228">
      <w:pPr>
        <w:pStyle w:val="Heading2"/>
      </w:pPr>
      <w:r w:rsidRPr="00E91368">
        <w:t>Why these markets, why now</w:t>
      </w:r>
    </w:p>
    <w:p w14:paraId="08134B99" w14:textId="04340ABD" w:rsidR="00770F5B" w:rsidRDefault="005A0BD9" w:rsidP="00654CA8">
      <w:r w:rsidRPr="005A0BD9">
        <w:t>The markets examined in this report form a growing mining and minerals processing corridor, characterised by significant capital investment, development ambitions and increasing demand for international expertise. Together, they present a significant diversification opportunity for Australian METS, provided market engagement is tailored to the distinct operating conditions, procurement practices and local requirements of each market.</w:t>
      </w:r>
      <w:r w:rsidR="00DD7200">
        <w:t xml:space="preserve"> </w:t>
      </w:r>
    </w:p>
    <w:p w14:paraId="0F620F5A" w14:textId="77777777" w:rsidR="00B26809" w:rsidRDefault="00B26809" w:rsidP="00654CA8"/>
    <w:p w14:paraId="7D508F3D" w14:textId="77777777" w:rsidR="004A404C" w:rsidRDefault="004A404C" w:rsidP="004A404C">
      <w:pPr>
        <w:pStyle w:val="Heading3"/>
      </w:pPr>
      <w:r w:rsidRPr="004A404C">
        <w:t>Saudi Arabia</w:t>
      </w:r>
    </w:p>
    <w:p w14:paraId="4D496DEE" w14:textId="2772E1E3" w:rsidR="004A404C" w:rsidRPr="004A404C" w:rsidRDefault="004A404C" w:rsidP="004A404C">
      <w:pPr>
        <w:rPr>
          <w:b/>
          <w:bCs/>
          <w:szCs w:val="20"/>
        </w:rPr>
      </w:pPr>
      <w:r w:rsidRPr="004A404C">
        <w:rPr>
          <w:b/>
          <w:bCs/>
          <w:szCs w:val="20"/>
        </w:rPr>
        <w:t xml:space="preserve">Economic Profile: </w:t>
      </w:r>
      <w:r w:rsidRPr="004A404C">
        <w:rPr>
          <w:szCs w:val="20"/>
        </w:rPr>
        <w:t>Large, high-income economy; GDP US$1.28tn in 2025.</w:t>
      </w:r>
    </w:p>
    <w:p w14:paraId="150B2E89" w14:textId="77777777" w:rsidR="004A404C" w:rsidRPr="004A404C" w:rsidRDefault="004A404C" w:rsidP="004A404C">
      <w:pPr>
        <w:rPr>
          <w:szCs w:val="20"/>
        </w:rPr>
      </w:pPr>
      <w:r w:rsidRPr="004A404C">
        <w:rPr>
          <w:b/>
          <w:bCs/>
          <w:szCs w:val="20"/>
        </w:rPr>
        <w:t xml:space="preserve">Economic Structure: </w:t>
      </w:r>
      <w:r w:rsidRPr="004A404C">
        <w:rPr>
          <w:szCs w:val="20"/>
        </w:rPr>
        <w:t xml:space="preserve">Oil-dominated, but diversifying into manufacturing, infrastructure and mining. </w:t>
      </w:r>
    </w:p>
    <w:p w14:paraId="690506E6" w14:textId="77777777" w:rsidR="004A404C" w:rsidRPr="004A404C" w:rsidRDefault="004A404C" w:rsidP="004A404C">
      <w:pPr>
        <w:rPr>
          <w:b/>
          <w:bCs/>
          <w:szCs w:val="20"/>
        </w:rPr>
      </w:pPr>
      <w:r w:rsidRPr="004A404C">
        <w:rPr>
          <w:b/>
          <w:bCs/>
          <w:szCs w:val="20"/>
        </w:rPr>
        <w:t xml:space="preserve">Mining Profile: </w:t>
      </w:r>
      <w:r w:rsidRPr="004A404C">
        <w:rPr>
          <w:szCs w:val="20"/>
        </w:rPr>
        <w:t xml:space="preserve">Large mineral endowment: gold, copper, phosphate, bauxite and critical minerals. </w:t>
      </w:r>
    </w:p>
    <w:p w14:paraId="00E68A30" w14:textId="002D5907" w:rsidR="004A404C" w:rsidRDefault="004A404C" w:rsidP="004A404C">
      <w:pPr>
        <w:rPr>
          <w:b/>
          <w:bCs/>
          <w:szCs w:val="20"/>
        </w:rPr>
      </w:pPr>
      <w:r w:rsidRPr="004A404C">
        <w:rPr>
          <w:b/>
          <w:bCs/>
          <w:szCs w:val="20"/>
        </w:rPr>
        <w:t xml:space="preserve">Mining investment: </w:t>
      </w:r>
      <w:r w:rsidRPr="004A404C">
        <w:rPr>
          <w:szCs w:val="20"/>
        </w:rPr>
        <w:t>Strong exploration growth.</w:t>
      </w:r>
      <w:r w:rsidRPr="004A404C">
        <w:rPr>
          <w:szCs w:val="20"/>
          <w:vertAlign w:val="superscript"/>
        </w:rPr>
        <w:t>[1]</w:t>
      </w:r>
    </w:p>
    <w:p w14:paraId="7BA3379A" w14:textId="77777777" w:rsidR="00B26809" w:rsidRPr="004A404C" w:rsidRDefault="00B26809" w:rsidP="004A404C">
      <w:pPr>
        <w:rPr>
          <w:b/>
          <w:bCs/>
          <w:szCs w:val="20"/>
        </w:rPr>
      </w:pPr>
    </w:p>
    <w:p w14:paraId="7EE957A2" w14:textId="77777777" w:rsidR="004A404C" w:rsidRDefault="004A404C" w:rsidP="004A404C">
      <w:pPr>
        <w:pStyle w:val="Heading3"/>
      </w:pPr>
      <w:r w:rsidRPr="004A404C">
        <w:t>The UAE</w:t>
      </w:r>
    </w:p>
    <w:p w14:paraId="13368D0D" w14:textId="23409037" w:rsidR="004A404C" w:rsidRPr="004A404C" w:rsidRDefault="004A404C" w:rsidP="004A404C">
      <w:pPr>
        <w:rPr>
          <w:b/>
          <w:bCs/>
          <w:szCs w:val="20"/>
        </w:rPr>
      </w:pPr>
      <w:r w:rsidRPr="004A404C">
        <w:rPr>
          <w:b/>
          <w:bCs/>
          <w:szCs w:val="20"/>
        </w:rPr>
        <w:t xml:space="preserve">Economic Profile: </w:t>
      </w:r>
      <w:r w:rsidRPr="004A404C">
        <w:rPr>
          <w:szCs w:val="20"/>
        </w:rPr>
        <w:t xml:space="preserve">Large, high-income economy; GDP US$552bn in 2025. </w:t>
      </w:r>
    </w:p>
    <w:p w14:paraId="2ECDE7AB" w14:textId="77777777" w:rsidR="004A404C" w:rsidRPr="004A404C" w:rsidRDefault="004A404C" w:rsidP="004A404C">
      <w:pPr>
        <w:rPr>
          <w:b/>
          <w:bCs/>
          <w:szCs w:val="20"/>
        </w:rPr>
      </w:pPr>
      <w:r w:rsidRPr="004A404C">
        <w:rPr>
          <w:b/>
          <w:bCs/>
          <w:szCs w:val="20"/>
        </w:rPr>
        <w:t xml:space="preserve">Economic Structure: </w:t>
      </w:r>
      <w:r w:rsidRPr="004A404C">
        <w:rPr>
          <w:szCs w:val="20"/>
        </w:rPr>
        <w:t>Oil plus trade, finance, construction, manufacturing, logistics and real estate.</w:t>
      </w:r>
      <w:r w:rsidRPr="004A404C">
        <w:rPr>
          <w:szCs w:val="20"/>
          <w:vertAlign w:val="superscript"/>
        </w:rPr>
        <w:t>[2]</w:t>
      </w:r>
    </w:p>
    <w:p w14:paraId="2C3D4A96" w14:textId="77777777" w:rsidR="004A404C" w:rsidRPr="004A404C" w:rsidRDefault="004A404C" w:rsidP="004A404C">
      <w:pPr>
        <w:rPr>
          <w:b/>
          <w:bCs/>
          <w:szCs w:val="20"/>
        </w:rPr>
      </w:pPr>
      <w:r w:rsidRPr="004A404C">
        <w:rPr>
          <w:b/>
          <w:bCs/>
          <w:szCs w:val="20"/>
        </w:rPr>
        <w:t xml:space="preserve">Mining Profile: </w:t>
      </w:r>
      <w:r w:rsidRPr="004A404C">
        <w:rPr>
          <w:szCs w:val="20"/>
        </w:rPr>
        <w:t>Limited domestic mining; significant metals processing and industrial activity.</w:t>
      </w:r>
    </w:p>
    <w:p w14:paraId="46633090" w14:textId="77777777" w:rsidR="004A404C" w:rsidRPr="004A404C" w:rsidRDefault="004A404C" w:rsidP="004A404C">
      <w:pPr>
        <w:rPr>
          <w:b/>
          <w:bCs/>
          <w:szCs w:val="20"/>
        </w:rPr>
      </w:pPr>
      <w:r w:rsidRPr="004A404C">
        <w:rPr>
          <w:b/>
          <w:bCs/>
          <w:szCs w:val="20"/>
        </w:rPr>
        <w:t xml:space="preserve">Mining investment: </w:t>
      </w:r>
      <w:r w:rsidRPr="004A404C">
        <w:rPr>
          <w:szCs w:val="20"/>
        </w:rPr>
        <w:t>Growing critical minerals and international mining investment.</w:t>
      </w:r>
    </w:p>
    <w:p w14:paraId="2E9131F7" w14:textId="77777777" w:rsidR="004A404C" w:rsidRPr="004A404C" w:rsidRDefault="004A404C" w:rsidP="004A404C">
      <w:pPr>
        <w:rPr>
          <w:b/>
          <w:bCs/>
          <w:szCs w:val="20"/>
        </w:rPr>
      </w:pPr>
    </w:p>
    <w:p w14:paraId="287376AF" w14:textId="77777777" w:rsidR="004A404C" w:rsidRDefault="004A404C" w:rsidP="004A404C">
      <w:pPr>
        <w:pStyle w:val="Heading3"/>
      </w:pPr>
      <w:r w:rsidRPr="004A404C">
        <w:t>Morocco</w:t>
      </w:r>
    </w:p>
    <w:p w14:paraId="77F1DB3C" w14:textId="709CEC8A" w:rsidR="004A404C" w:rsidRPr="004A404C" w:rsidRDefault="004A404C" w:rsidP="004A404C">
      <w:pPr>
        <w:rPr>
          <w:b/>
          <w:bCs/>
          <w:szCs w:val="20"/>
        </w:rPr>
      </w:pPr>
      <w:r w:rsidRPr="004A404C">
        <w:rPr>
          <w:b/>
          <w:bCs/>
          <w:szCs w:val="20"/>
        </w:rPr>
        <w:t xml:space="preserve">Economic Profile: </w:t>
      </w:r>
      <w:r w:rsidRPr="004A404C">
        <w:rPr>
          <w:szCs w:val="20"/>
        </w:rPr>
        <w:t>Diversified, middle-income economy; GDP US$182bn in 2025.</w:t>
      </w:r>
    </w:p>
    <w:p w14:paraId="147473E7" w14:textId="77777777" w:rsidR="004A404C" w:rsidRPr="004A404C" w:rsidRDefault="004A404C" w:rsidP="004A404C">
      <w:pPr>
        <w:rPr>
          <w:b/>
          <w:bCs/>
          <w:szCs w:val="20"/>
        </w:rPr>
      </w:pPr>
      <w:r w:rsidRPr="004A404C">
        <w:rPr>
          <w:b/>
          <w:bCs/>
          <w:szCs w:val="20"/>
        </w:rPr>
        <w:t xml:space="preserve">Economic Structure: </w:t>
      </w:r>
      <w:r w:rsidRPr="004A404C">
        <w:rPr>
          <w:szCs w:val="20"/>
        </w:rPr>
        <w:t>Manufacturing, agriculture, tourism, phosphates, automotive, aerospace and renewables.</w:t>
      </w:r>
    </w:p>
    <w:p w14:paraId="528F15FF" w14:textId="77777777" w:rsidR="004A404C" w:rsidRPr="004A404C" w:rsidRDefault="004A404C" w:rsidP="004A404C">
      <w:pPr>
        <w:rPr>
          <w:b/>
          <w:bCs/>
          <w:szCs w:val="20"/>
        </w:rPr>
      </w:pPr>
      <w:r w:rsidRPr="004A404C">
        <w:rPr>
          <w:b/>
          <w:bCs/>
          <w:szCs w:val="20"/>
        </w:rPr>
        <w:t xml:space="preserve">Mining Profile: </w:t>
      </w:r>
      <w:r w:rsidRPr="004A404C">
        <w:rPr>
          <w:szCs w:val="20"/>
        </w:rPr>
        <w:t>Leading phosphate producer with growing metals activity.</w:t>
      </w:r>
      <w:r w:rsidRPr="004A404C">
        <w:rPr>
          <w:szCs w:val="20"/>
          <w:vertAlign w:val="superscript"/>
        </w:rPr>
        <w:t>[3]</w:t>
      </w:r>
    </w:p>
    <w:p w14:paraId="564BB080" w14:textId="77777777" w:rsidR="004A404C" w:rsidRPr="004A404C" w:rsidRDefault="004A404C" w:rsidP="004A404C">
      <w:pPr>
        <w:rPr>
          <w:b/>
          <w:bCs/>
          <w:szCs w:val="20"/>
        </w:rPr>
      </w:pPr>
      <w:r w:rsidRPr="004A404C">
        <w:rPr>
          <w:b/>
          <w:bCs/>
          <w:szCs w:val="20"/>
        </w:rPr>
        <w:t xml:space="preserve">Mining investment: </w:t>
      </w:r>
      <w:r w:rsidRPr="004A404C">
        <w:rPr>
          <w:szCs w:val="20"/>
        </w:rPr>
        <w:t>Diversification beyond phosphate, including copper and cobalt.</w:t>
      </w:r>
    </w:p>
    <w:p w14:paraId="30BF08AD" w14:textId="77777777" w:rsidR="004A404C" w:rsidRPr="004A404C" w:rsidRDefault="004A404C" w:rsidP="004A404C">
      <w:pPr>
        <w:rPr>
          <w:szCs w:val="20"/>
        </w:rPr>
      </w:pPr>
    </w:p>
    <w:p w14:paraId="7E5DDA19" w14:textId="77777777" w:rsidR="004A404C" w:rsidRDefault="004A404C" w:rsidP="004A404C">
      <w:pPr>
        <w:pStyle w:val="Heading3"/>
      </w:pPr>
      <w:r w:rsidRPr="004A404C">
        <w:lastRenderedPageBreak/>
        <w:t xml:space="preserve">Egypt </w:t>
      </w:r>
    </w:p>
    <w:p w14:paraId="0A441F73" w14:textId="36DAAE4F" w:rsidR="004A404C" w:rsidRPr="004A404C" w:rsidRDefault="004A404C" w:rsidP="004A404C">
      <w:pPr>
        <w:rPr>
          <w:b/>
          <w:bCs/>
          <w:szCs w:val="20"/>
        </w:rPr>
      </w:pPr>
      <w:r w:rsidRPr="004A404C">
        <w:rPr>
          <w:b/>
          <w:bCs/>
          <w:szCs w:val="20"/>
        </w:rPr>
        <w:t xml:space="preserve">Economic Profile: </w:t>
      </w:r>
      <w:r w:rsidRPr="004A404C">
        <w:rPr>
          <w:szCs w:val="20"/>
        </w:rPr>
        <w:t>Large, diversified economy; GDP US$365bn in 2025.</w:t>
      </w:r>
    </w:p>
    <w:p w14:paraId="72772849" w14:textId="77777777" w:rsidR="004A404C" w:rsidRPr="004A404C" w:rsidRDefault="004A404C" w:rsidP="004A404C">
      <w:pPr>
        <w:rPr>
          <w:b/>
          <w:bCs/>
          <w:szCs w:val="20"/>
        </w:rPr>
      </w:pPr>
      <w:r w:rsidRPr="004A404C">
        <w:rPr>
          <w:b/>
          <w:bCs/>
          <w:szCs w:val="20"/>
        </w:rPr>
        <w:t xml:space="preserve">Economic Structure: </w:t>
      </w:r>
      <w:r w:rsidRPr="004A404C">
        <w:rPr>
          <w:szCs w:val="20"/>
        </w:rPr>
        <w:t>Diversified across services, manufacturing, construction, energy, tourism and agriculture.</w:t>
      </w:r>
      <w:r w:rsidRPr="004A404C">
        <w:rPr>
          <w:b/>
          <w:bCs/>
          <w:szCs w:val="20"/>
        </w:rPr>
        <w:t xml:space="preserve"> </w:t>
      </w:r>
    </w:p>
    <w:p w14:paraId="60516A7C" w14:textId="77777777" w:rsidR="004A404C" w:rsidRPr="004A404C" w:rsidRDefault="004A404C" w:rsidP="004A404C">
      <w:pPr>
        <w:rPr>
          <w:b/>
          <w:bCs/>
          <w:szCs w:val="20"/>
        </w:rPr>
      </w:pPr>
      <w:r w:rsidRPr="004A404C">
        <w:rPr>
          <w:b/>
          <w:bCs/>
          <w:szCs w:val="20"/>
        </w:rPr>
        <w:t xml:space="preserve">Mining Profile: </w:t>
      </w:r>
      <w:r w:rsidRPr="004A404C">
        <w:rPr>
          <w:szCs w:val="20"/>
        </w:rPr>
        <w:t>Developing relative to geological potential; gold is the main current opportunity.</w:t>
      </w:r>
      <w:r w:rsidRPr="004A404C">
        <w:rPr>
          <w:szCs w:val="20"/>
          <w:vertAlign w:val="superscript"/>
        </w:rPr>
        <w:t>[4]</w:t>
      </w:r>
    </w:p>
    <w:p w14:paraId="2E6EFB87" w14:textId="770BDD47" w:rsidR="004A404C" w:rsidRDefault="004A404C" w:rsidP="004A404C">
      <w:pPr>
        <w:rPr>
          <w:szCs w:val="20"/>
          <w:vertAlign w:val="superscript"/>
        </w:rPr>
      </w:pPr>
      <w:r w:rsidRPr="004A404C">
        <w:rPr>
          <w:b/>
          <w:bCs/>
          <w:szCs w:val="20"/>
        </w:rPr>
        <w:t xml:space="preserve">Mining investment: </w:t>
      </w:r>
      <w:r w:rsidRPr="004A404C">
        <w:rPr>
          <w:szCs w:val="20"/>
        </w:rPr>
        <w:t>Egypt’s target of increasing mining’s contribution to GDP to 5–6% is a policy ambition, rather than its current contribution.</w:t>
      </w:r>
      <w:r w:rsidRPr="004A404C">
        <w:rPr>
          <w:szCs w:val="20"/>
          <w:vertAlign w:val="superscript"/>
        </w:rPr>
        <w:t>[4]</w:t>
      </w:r>
    </w:p>
    <w:p w14:paraId="6F0389D2" w14:textId="77777777" w:rsidR="00B26809" w:rsidRPr="00B26809" w:rsidRDefault="00B26809" w:rsidP="004A404C">
      <w:pPr>
        <w:rPr>
          <w:szCs w:val="20"/>
        </w:rPr>
      </w:pPr>
    </w:p>
    <w:p w14:paraId="129D969A" w14:textId="77777777" w:rsidR="004A404C" w:rsidRDefault="004A404C" w:rsidP="004A404C">
      <w:pPr>
        <w:pStyle w:val="Heading3"/>
      </w:pPr>
      <w:r w:rsidRPr="004A404C">
        <w:t>Türkiye</w:t>
      </w:r>
    </w:p>
    <w:p w14:paraId="39B3EF3D" w14:textId="7CB3A3BD" w:rsidR="004A404C" w:rsidRPr="004A404C" w:rsidRDefault="004A404C" w:rsidP="004A404C">
      <w:pPr>
        <w:rPr>
          <w:b/>
          <w:bCs/>
          <w:szCs w:val="20"/>
        </w:rPr>
      </w:pPr>
      <w:r w:rsidRPr="004A404C">
        <w:rPr>
          <w:b/>
          <w:bCs/>
          <w:szCs w:val="20"/>
        </w:rPr>
        <w:t>Economic Profile:</w:t>
      </w:r>
      <w:r w:rsidRPr="004A404C">
        <w:rPr>
          <w:szCs w:val="20"/>
        </w:rPr>
        <w:t xml:space="preserve"> Large, industrialised economy; GDP US$1.60tn in 2025.</w:t>
      </w:r>
    </w:p>
    <w:p w14:paraId="46EDC8E8" w14:textId="77777777" w:rsidR="004A404C" w:rsidRPr="004A404C" w:rsidRDefault="004A404C" w:rsidP="004A404C">
      <w:pPr>
        <w:rPr>
          <w:b/>
          <w:bCs/>
          <w:szCs w:val="20"/>
        </w:rPr>
      </w:pPr>
      <w:r w:rsidRPr="004A404C">
        <w:rPr>
          <w:b/>
          <w:bCs/>
          <w:szCs w:val="20"/>
        </w:rPr>
        <w:t xml:space="preserve">Economic Structure: </w:t>
      </w:r>
      <w:r w:rsidRPr="004A404C">
        <w:rPr>
          <w:szCs w:val="20"/>
        </w:rPr>
        <w:t>Diversified across manufacturing, construction, trade, services and energy.</w:t>
      </w:r>
    </w:p>
    <w:p w14:paraId="2B414CA4" w14:textId="77777777" w:rsidR="004A404C" w:rsidRPr="004A404C" w:rsidRDefault="004A404C" w:rsidP="004A404C">
      <w:pPr>
        <w:rPr>
          <w:b/>
          <w:bCs/>
          <w:szCs w:val="20"/>
        </w:rPr>
      </w:pPr>
      <w:r w:rsidRPr="004A404C">
        <w:rPr>
          <w:b/>
          <w:bCs/>
          <w:szCs w:val="20"/>
        </w:rPr>
        <w:t xml:space="preserve">Mining Profile: </w:t>
      </w:r>
      <w:r w:rsidRPr="004A404C">
        <w:rPr>
          <w:szCs w:val="20"/>
        </w:rPr>
        <w:t>Mature mining sector; major boron and natural-stone industries, plus gold, chromite and copper.</w:t>
      </w:r>
      <w:r w:rsidRPr="004A404C">
        <w:rPr>
          <w:szCs w:val="20"/>
          <w:vertAlign w:val="superscript"/>
        </w:rPr>
        <w:t>[5]</w:t>
      </w:r>
    </w:p>
    <w:p w14:paraId="0325F9B0" w14:textId="77777777" w:rsidR="004A404C" w:rsidRPr="004A404C" w:rsidRDefault="004A404C" w:rsidP="004A404C">
      <w:pPr>
        <w:rPr>
          <w:b/>
          <w:bCs/>
          <w:szCs w:val="20"/>
        </w:rPr>
      </w:pPr>
      <w:r w:rsidRPr="004A404C">
        <w:rPr>
          <w:b/>
          <w:bCs/>
          <w:szCs w:val="20"/>
        </w:rPr>
        <w:t xml:space="preserve">Mining investment: </w:t>
      </w:r>
      <w:r w:rsidRPr="004A404C">
        <w:rPr>
          <w:szCs w:val="20"/>
        </w:rPr>
        <w:t>Ongoing exploration.</w:t>
      </w:r>
    </w:p>
    <w:p w14:paraId="216EA30C" w14:textId="2D12A38E" w:rsidR="00B302CC" w:rsidRPr="00494E07" w:rsidRDefault="00B302CC" w:rsidP="00724A6E">
      <w:pPr>
        <w:rPr>
          <w:i/>
          <w:iCs/>
          <w:sz w:val="16"/>
          <w:szCs w:val="18"/>
        </w:rPr>
      </w:pPr>
    </w:p>
    <w:p w14:paraId="2718E4B2" w14:textId="77777777" w:rsidR="00620CA8" w:rsidRPr="00654CA8" w:rsidRDefault="00515FE4" w:rsidP="00BA3CAD">
      <w:pPr>
        <w:rPr>
          <w:rFonts w:cstheme="majorHAnsi"/>
          <w:sz w:val="24"/>
          <w:szCs w:val="24"/>
        </w:rPr>
        <w:sectPr w:rsidR="00620CA8" w:rsidRPr="00654CA8" w:rsidSect="00A927EF">
          <w:headerReference w:type="even" r:id="rId18"/>
          <w:headerReference w:type="default" r:id="rId19"/>
          <w:footerReference w:type="even" r:id="rId20"/>
          <w:footerReference w:type="default" r:id="rId21"/>
          <w:headerReference w:type="first" r:id="rId22"/>
          <w:footerReference w:type="first" r:id="rId23"/>
          <w:pgSz w:w="12240" w:h="15840"/>
          <w:pgMar w:top="936" w:right="1080" w:bottom="936" w:left="1080" w:header="720" w:footer="720" w:gutter="0"/>
          <w:cols w:space="720"/>
          <w:docGrid w:linePitch="360"/>
        </w:sectPr>
      </w:pPr>
      <w:r w:rsidRPr="00654CA8">
        <w:rPr>
          <w:rFonts w:cstheme="majorHAnsi"/>
          <w:i/>
          <w:iCs/>
          <w:szCs w:val="20"/>
        </w:rPr>
        <w:t xml:space="preserve">Economic profile gross domestic product (GDP) figures use the latest World Bank current price GDP data available in September 2026: Saudi Arabia </w:t>
      </w:r>
      <w:r w:rsidRPr="00654CA8">
        <w:rPr>
          <w:rFonts w:cstheme="majorHAnsi"/>
          <w:i/>
          <w:iCs/>
          <w:szCs w:val="20"/>
          <w:vertAlign w:val="superscript"/>
        </w:rPr>
        <w:t>[2]</w:t>
      </w:r>
      <w:r w:rsidRPr="00654CA8">
        <w:rPr>
          <w:rFonts w:cstheme="majorHAnsi"/>
          <w:i/>
          <w:iCs/>
          <w:szCs w:val="20"/>
        </w:rPr>
        <w:t xml:space="preserve">, Türkiye </w:t>
      </w:r>
      <w:r w:rsidRPr="00654CA8">
        <w:rPr>
          <w:rFonts w:cstheme="majorHAnsi"/>
          <w:i/>
          <w:iCs/>
          <w:szCs w:val="20"/>
          <w:vertAlign w:val="superscript"/>
        </w:rPr>
        <w:t>[3]</w:t>
      </w:r>
      <w:r w:rsidRPr="00654CA8">
        <w:rPr>
          <w:rFonts w:cstheme="majorHAnsi"/>
          <w:i/>
          <w:iCs/>
          <w:szCs w:val="20"/>
        </w:rPr>
        <w:t xml:space="preserve">, Morocco </w:t>
      </w:r>
      <w:r w:rsidRPr="00654CA8">
        <w:rPr>
          <w:rFonts w:cstheme="majorHAnsi"/>
          <w:i/>
          <w:iCs/>
          <w:szCs w:val="20"/>
          <w:vertAlign w:val="superscript"/>
        </w:rPr>
        <w:t>[4]</w:t>
      </w:r>
      <w:r w:rsidRPr="00654CA8">
        <w:rPr>
          <w:rFonts w:cstheme="majorHAnsi"/>
          <w:i/>
          <w:iCs/>
          <w:szCs w:val="20"/>
        </w:rPr>
        <w:t xml:space="preserve">, Egypt </w:t>
      </w:r>
      <w:r w:rsidRPr="00654CA8">
        <w:rPr>
          <w:rFonts w:cstheme="majorHAnsi"/>
          <w:i/>
          <w:iCs/>
          <w:szCs w:val="20"/>
          <w:vertAlign w:val="superscript"/>
        </w:rPr>
        <w:t>[5]</w:t>
      </w:r>
      <w:r w:rsidRPr="00654CA8">
        <w:rPr>
          <w:rFonts w:cstheme="majorHAnsi"/>
          <w:i/>
          <w:iCs/>
          <w:szCs w:val="20"/>
        </w:rPr>
        <w:t xml:space="preserve"> and the UAE </w:t>
      </w:r>
      <w:r w:rsidRPr="00654CA8">
        <w:rPr>
          <w:rFonts w:cstheme="majorHAnsi"/>
          <w:i/>
          <w:iCs/>
          <w:szCs w:val="20"/>
          <w:vertAlign w:val="superscript"/>
        </w:rPr>
        <w:t>[6]</w:t>
      </w:r>
      <w:r w:rsidRPr="00654CA8">
        <w:rPr>
          <w:rFonts w:cstheme="majorHAnsi"/>
          <w:i/>
          <w:iCs/>
          <w:szCs w:val="20"/>
        </w:rPr>
        <w:t>. Egypt's 5–6% mining contribution is a policy target, not current output.</w:t>
      </w:r>
      <w:r w:rsidRPr="00654CA8">
        <w:rPr>
          <w:rFonts w:cstheme="majorHAnsi"/>
          <w:i/>
          <w:iCs/>
          <w:szCs w:val="20"/>
          <w:vertAlign w:val="superscript"/>
        </w:rPr>
        <w:t>[1]</w:t>
      </w:r>
    </w:p>
    <w:p w14:paraId="61813655" w14:textId="7860E576" w:rsidR="00CC6DD6" w:rsidRPr="00E91368" w:rsidRDefault="00CC6DD6" w:rsidP="00654CA8">
      <w:pPr>
        <w:pStyle w:val="Heading1"/>
      </w:pPr>
      <w:r w:rsidRPr="00E91368">
        <w:lastRenderedPageBreak/>
        <w:t>Research methodology and acknowledgements</w:t>
      </w:r>
    </w:p>
    <w:p w14:paraId="36F16931" w14:textId="4F4E6484" w:rsidR="003071AB" w:rsidRDefault="00CC6DD6" w:rsidP="003071AB">
      <w:r w:rsidRPr="00E91368">
        <w:t xml:space="preserve">This </w:t>
      </w:r>
      <w:r w:rsidR="00F27816" w:rsidRPr="00E91368">
        <w:t>report</w:t>
      </w:r>
      <w:r w:rsidRPr="00E91368">
        <w:t xml:space="preserve"> draws on desktop research that prioritises published information from government agencies, mining and industrial operators, and official procurement or trade systems. Sources are listed at the end of the report and were accessed up to</w:t>
      </w:r>
      <w:r w:rsidR="009C5E6A">
        <w:t xml:space="preserve"> September</w:t>
      </w:r>
      <w:r w:rsidRPr="00E91368">
        <w:t xml:space="preserve"> 2026 unless otherwise noted.</w:t>
      </w:r>
      <w:r w:rsidR="003071AB">
        <w:t xml:space="preserve"> </w:t>
      </w:r>
    </w:p>
    <w:p w14:paraId="0E946A85" w14:textId="38312A23" w:rsidR="003071AB" w:rsidRPr="003071AB" w:rsidRDefault="003071AB" w:rsidP="003071AB">
      <w:pPr>
        <w:rPr>
          <w:lang w:val="en-GB"/>
        </w:rPr>
      </w:pPr>
      <w:r w:rsidRPr="003071AB">
        <w:rPr>
          <w:lang w:val="en-GB"/>
        </w:rPr>
        <w:t>Austmine supplemented this research with interviews involving mining companies, METS businesses and other industry stakeholders across the region. These interviews provided practical insights into customer requirements, procurement processes, operating conditions and common market</w:t>
      </w:r>
      <w:r w:rsidR="00CF11F3">
        <w:rPr>
          <w:lang w:val="en-GB"/>
        </w:rPr>
        <w:t xml:space="preserve"> </w:t>
      </w:r>
      <w:r w:rsidRPr="003071AB">
        <w:rPr>
          <w:lang w:val="en-GB"/>
        </w:rPr>
        <w:t>entry challenges.</w:t>
      </w:r>
    </w:p>
    <w:p w14:paraId="6EC739AB" w14:textId="7F09F488" w:rsidR="003071AB" w:rsidRPr="003071AB" w:rsidRDefault="003071AB" w:rsidP="003071AB">
      <w:pPr>
        <w:rPr>
          <w:lang w:val="en-GB"/>
        </w:rPr>
      </w:pPr>
      <w:r w:rsidRPr="003071AB">
        <w:rPr>
          <w:lang w:val="en-GB"/>
        </w:rPr>
        <w:t xml:space="preserve">The research was also informed by a survey of 29 Australian METS companies, including businesses already active in the region and those considering future market entry. The survey helped identify current levels of engagement, markets of interest and the principal </w:t>
      </w:r>
      <w:r w:rsidR="00A47FDB">
        <w:rPr>
          <w:lang w:val="en-GB"/>
        </w:rPr>
        <w:t xml:space="preserve">entry </w:t>
      </w:r>
      <w:r w:rsidRPr="003071AB">
        <w:rPr>
          <w:lang w:val="en-GB"/>
        </w:rPr>
        <w:t>barriers experienced or anticipated by Australian suppliers.</w:t>
      </w:r>
    </w:p>
    <w:p w14:paraId="6BFC4EA7" w14:textId="54652790" w:rsidR="003071AB" w:rsidRPr="003071AB" w:rsidRDefault="00A32892" w:rsidP="003071AB">
      <w:pPr>
        <w:rPr>
          <w:lang w:val="en-GB"/>
        </w:rPr>
      </w:pPr>
      <w:r>
        <w:rPr>
          <w:lang w:val="en-GB"/>
        </w:rPr>
        <w:t>Findings were tested by Austrade regional offices</w:t>
      </w:r>
      <w:r w:rsidR="003071AB" w:rsidRPr="003071AB">
        <w:rPr>
          <w:lang w:val="en-GB"/>
        </w:rPr>
        <w:t>, whose in-market knowledge provided additional context and helped validate the practical relevance of the analysis. The Saudi Arabia and United Arab Emirates sections were also reviewed by Altios consultants, who provided feedback on market conditions and commercial considerations.</w:t>
      </w:r>
      <w:r w:rsidR="00503388">
        <w:rPr>
          <w:lang w:val="en-GB"/>
        </w:rPr>
        <w:t xml:space="preserve"> </w:t>
      </w:r>
      <w:r w:rsidR="00E87D9C">
        <w:rPr>
          <w:lang w:val="en-GB"/>
        </w:rPr>
        <w:t xml:space="preserve">Capability requirements and market </w:t>
      </w:r>
      <w:r w:rsidR="00752FA9">
        <w:rPr>
          <w:lang w:val="en-GB"/>
        </w:rPr>
        <w:t>entry pathways in</w:t>
      </w:r>
      <w:r w:rsidR="00503388">
        <w:rPr>
          <w:lang w:val="en-GB"/>
        </w:rPr>
        <w:t xml:space="preserve"> Türkiye w</w:t>
      </w:r>
      <w:r w:rsidR="0029424B">
        <w:rPr>
          <w:lang w:val="en-GB"/>
        </w:rPr>
        <w:t>ere</w:t>
      </w:r>
      <w:r w:rsidR="00503388">
        <w:rPr>
          <w:lang w:val="en-GB"/>
        </w:rPr>
        <w:t xml:space="preserve"> informed by</w:t>
      </w:r>
      <w:r w:rsidR="001930C5">
        <w:rPr>
          <w:lang w:val="en-GB"/>
        </w:rPr>
        <w:t xml:space="preserve"> research from</w:t>
      </w:r>
      <w:r w:rsidR="00503388">
        <w:rPr>
          <w:lang w:val="en-GB"/>
        </w:rPr>
        <w:t xml:space="preserve"> the Australia</w:t>
      </w:r>
      <w:r w:rsidR="00437F77">
        <w:rPr>
          <w:lang w:val="en-GB"/>
        </w:rPr>
        <w:t xml:space="preserve">n Turkish Chamber of Commerce. </w:t>
      </w:r>
    </w:p>
    <w:p w14:paraId="4F85BE6D" w14:textId="3062C9BA" w:rsidR="001009CD" w:rsidRPr="00654CA8" w:rsidRDefault="003071AB" w:rsidP="00CC6DD6">
      <w:pPr>
        <w:rPr>
          <w:lang w:val="en-GB"/>
        </w:rPr>
      </w:pPr>
      <w:r w:rsidRPr="003071AB">
        <w:rPr>
          <w:lang w:val="en-GB"/>
        </w:rPr>
        <w:t>Austmine gratefully acknowledges the organisations and individuals who contributed their time and experience to the research. Their input informed the report; however, the analysis, assessments and conclusions remain those of Austmine and should not be interpreted as formal endorsement by any contributing organisation.</w:t>
      </w:r>
    </w:p>
    <w:p w14:paraId="1ECA6851" w14:textId="77777777" w:rsidR="00CC6DD6" w:rsidRPr="00E91368" w:rsidRDefault="00CC6DD6" w:rsidP="00654CA8">
      <w:pPr>
        <w:pStyle w:val="Heading2"/>
      </w:pPr>
      <w:r w:rsidRPr="00E91368">
        <w:t xml:space="preserve">How to use this </w:t>
      </w:r>
      <w:r w:rsidRPr="00654CA8">
        <w:t>report</w:t>
      </w:r>
    </w:p>
    <w:p w14:paraId="5610A9EA" w14:textId="219D48F5" w:rsidR="00CC6DD6" w:rsidRPr="00E91368" w:rsidRDefault="00CC6DD6" w:rsidP="00654CA8">
      <w:r w:rsidRPr="00E91368">
        <w:t xml:space="preserve">The </w:t>
      </w:r>
      <w:r w:rsidR="00B753B4">
        <w:t>priority</w:t>
      </w:r>
      <w:r w:rsidR="00B753B4" w:rsidRPr="00E91368">
        <w:t xml:space="preserve"> </w:t>
      </w:r>
      <w:r w:rsidRPr="00E91368">
        <w:t xml:space="preserve">markets examined in this report differ significantly in their mining maturity, customer base, procurement systems and </w:t>
      </w:r>
      <w:r w:rsidR="00B753B4">
        <w:t>market entry</w:t>
      </w:r>
      <w:r w:rsidRPr="00E91368">
        <w:t xml:space="preserve"> requirements. They should not be treated as a single, uniform regional opportunity.</w:t>
      </w:r>
    </w:p>
    <w:p w14:paraId="58536294" w14:textId="52C72FF1" w:rsidR="00CC6DD6" w:rsidRPr="00E91368" w:rsidRDefault="00226228" w:rsidP="00654CA8">
      <w:pPr>
        <w:pStyle w:val="ListParagraph"/>
        <w:numPr>
          <w:ilvl w:val="0"/>
          <w:numId w:val="24"/>
        </w:numPr>
      </w:pPr>
      <w:r>
        <w:t>The analysis of each market therefore considers</w:t>
      </w:r>
      <w:r w:rsidR="00CC6DD6" w:rsidRPr="00E91368">
        <w:t>:</w:t>
      </w:r>
    </w:p>
    <w:p w14:paraId="11F9A92D" w14:textId="77777777" w:rsidR="00CC6DD6" w:rsidRPr="00E91368" w:rsidRDefault="00CC6DD6" w:rsidP="00654CA8">
      <w:pPr>
        <w:pStyle w:val="ListParagraph"/>
        <w:numPr>
          <w:ilvl w:val="0"/>
          <w:numId w:val="24"/>
        </w:numPr>
      </w:pPr>
      <w:r w:rsidRPr="00E91368">
        <w:t xml:space="preserve">the role of the market within the regional mining and minerals ecosystem </w:t>
      </w:r>
    </w:p>
    <w:p w14:paraId="31DBDBEB" w14:textId="2A04A6F0" w:rsidR="00CC6DD6" w:rsidRPr="00E91368" w:rsidRDefault="00CC6DD6" w:rsidP="00654CA8">
      <w:pPr>
        <w:pStyle w:val="ListParagraph"/>
        <w:numPr>
          <w:ilvl w:val="0"/>
          <w:numId w:val="24"/>
        </w:numPr>
      </w:pPr>
      <w:r w:rsidRPr="00E91368">
        <w:t>major operators, industrial customers and project</w:t>
      </w:r>
      <w:r w:rsidR="00767B35">
        <w:t xml:space="preserve"> </w:t>
      </w:r>
      <w:r w:rsidRPr="00E91368">
        <w:t xml:space="preserve">development activity </w:t>
      </w:r>
    </w:p>
    <w:p w14:paraId="5A90A587" w14:textId="73800F69" w:rsidR="00CC6DD6" w:rsidRPr="00E91368" w:rsidRDefault="00CC6DD6" w:rsidP="00654CA8">
      <w:pPr>
        <w:pStyle w:val="ListParagraph"/>
        <w:numPr>
          <w:ilvl w:val="0"/>
          <w:numId w:val="24"/>
        </w:numPr>
      </w:pPr>
      <w:r w:rsidRPr="00E91368">
        <w:t xml:space="preserve">operational needs </w:t>
      </w:r>
      <w:r w:rsidR="00BD4A2D">
        <w:t>and alignment</w:t>
      </w:r>
      <w:r w:rsidRPr="00E91368">
        <w:t xml:space="preserve"> with Australian METS capability </w:t>
      </w:r>
    </w:p>
    <w:p w14:paraId="637B9382" w14:textId="47E17CA0" w:rsidR="00D82EA0" w:rsidRDefault="00D82EA0" w:rsidP="00654CA8">
      <w:pPr>
        <w:pStyle w:val="ListParagraph"/>
        <w:numPr>
          <w:ilvl w:val="0"/>
          <w:numId w:val="24"/>
        </w:numPr>
      </w:pPr>
      <w:r w:rsidRPr="00E91368">
        <w:t>customer, procurement and commercial pathways</w:t>
      </w:r>
    </w:p>
    <w:p w14:paraId="5C16116B" w14:textId="4D12ACEC" w:rsidR="009E0AF3" w:rsidRPr="00DF5BD5" w:rsidRDefault="009E0AF3" w:rsidP="00654CA8">
      <w:pPr>
        <w:pStyle w:val="ListParagraph"/>
        <w:numPr>
          <w:ilvl w:val="0"/>
          <w:numId w:val="24"/>
        </w:numPr>
      </w:pPr>
      <w:r w:rsidRPr="00E91368">
        <w:t>localisation</w:t>
      </w:r>
      <w:r w:rsidR="00DF5BD5">
        <w:t>,</w:t>
      </w:r>
      <w:r w:rsidRPr="00E91368">
        <w:t xml:space="preserve"> delivery </w:t>
      </w:r>
      <w:r w:rsidR="00DF5BD5">
        <w:t xml:space="preserve">and servicing </w:t>
      </w:r>
      <w:r w:rsidRPr="00E91368">
        <w:t xml:space="preserve">expectations </w:t>
      </w:r>
    </w:p>
    <w:p w14:paraId="16D6CB0E" w14:textId="77777777" w:rsidR="00CC6DD6" w:rsidRPr="00E91368" w:rsidRDefault="00CC6DD6" w:rsidP="00654CA8">
      <w:pPr>
        <w:pStyle w:val="ListParagraph"/>
        <w:numPr>
          <w:ilvl w:val="0"/>
          <w:numId w:val="24"/>
        </w:numPr>
      </w:pPr>
      <w:r w:rsidRPr="00E91368">
        <w:t xml:space="preserve">issues that require buyer-specific or professional validation. </w:t>
      </w:r>
    </w:p>
    <w:p w14:paraId="49388FFB" w14:textId="77777777" w:rsidR="00CC6DD6" w:rsidRPr="00E91368" w:rsidRDefault="00CC6DD6" w:rsidP="00654CA8"/>
    <w:p w14:paraId="6CEDD87C" w14:textId="6ADC0ADA" w:rsidR="00E3760C" w:rsidRPr="00E91368" w:rsidRDefault="008C22B5" w:rsidP="00654CA8">
      <w:pPr>
        <w:sectPr w:rsidR="00E3760C" w:rsidRPr="00E91368" w:rsidSect="004D2F60">
          <w:footerReference w:type="default" r:id="rId24"/>
          <w:pgSz w:w="12240" w:h="15840"/>
          <w:pgMar w:top="936" w:right="1080" w:bottom="936" w:left="1080" w:header="720" w:footer="720" w:gutter="0"/>
          <w:cols w:space="720"/>
          <w:docGrid w:linePitch="360"/>
        </w:sectPr>
      </w:pPr>
      <w:r w:rsidRPr="008C22B5">
        <w:t xml:space="preserve">The market assessments are intended to help companies identify </w:t>
      </w:r>
      <w:r w:rsidR="00D27D32">
        <w:t>potential opportunity alignment</w:t>
      </w:r>
      <w:r w:rsidRPr="008C22B5">
        <w:t xml:space="preserve"> and to support initial market</w:t>
      </w:r>
      <w:r w:rsidR="00DC2712">
        <w:t xml:space="preserve"> </w:t>
      </w:r>
      <w:r w:rsidR="00E06C87">
        <w:t>investigation</w:t>
      </w:r>
      <w:r w:rsidRPr="008C22B5">
        <w:t>. They are not a substitute for detailed opportunity, partner, legal, tax or transaction-level due diligence.</w:t>
      </w:r>
      <w:r w:rsidR="00190D8D">
        <w:t xml:space="preserve"> </w:t>
      </w:r>
      <w:r w:rsidR="00E3760C" w:rsidRPr="00E3760C">
        <w:t>Opportunity assessments should be considered alongside current security conditions, transport reliability and counterparty requirements. These factors may affect the timing and cost of visits, mobilisation and delivery</w:t>
      </w:r>
    </w:p>
    <w:p w14:paraId="204B068A" w14:textId="6625A21F" w:rsidR="00047CD2" w:rsidRPr="007F33FC" w:rsidRDefault="00047CD2" w:rsidP="007F33FC">
      <w:pPr>
        <w:pStyle w:val="Heading1"/>
        <w:rPr>
          <w:sz w:val="32"/>
        </w:rPr>
      </w:pPr>
      <w:r w:rsidRPr="00121A44">
        <w:lastRenderedPageBreak/>
        <w:t xml:space="preserve">Market analysis </w:t>
      </w:r>
      <w:r w:rsidR="00712984">
        <w:t>and</w:t>
      </w:r>
      <w:r w:rsidRPr="00121A44">
        <w:t xml:space="preserve"> opportunity </w:t>
      </w:r>
      <w:r w:rsidRPr="007F33FC">
        <w:t>assessment</w:t>
      </w:r>
    </w:p>
    <w:p w14:paraId="519F3C2E" w14:textId="77777777" w:rsidR="00EA6308" w:rsidRPr="00047CD2" w:rsidRDefault="00EA6308" w:rsidP="007F33FC">
      <w:pPr>
        <w:pStyle w:val="Heading2"/>
      </w:pPr>
      <w:r w:rsidRPr="00047CD2">
        <w:t>Saudi Arabia</w:t>
      </w:r>
    </w:p>
    <w:p w14:paraId="64D4A4C6" w14:textId="7346225D" w:rsidR="00EA6308" w:rsidRPr="00BC7041" w:rsidRDefault="00EA6308" w:rsidP="00EA6308">
      <w:pPr>
        <w:rPr>
          <w:rFonts w:cstheme="majorHAnsi"/>
          <w:b/>
          <w:bCs/>
          <w:i/>
          <w:iCs/>
          <w:szCs w:val="20"/>
        </w:rPr>
      </w:pPr>
      <w:r w:rsidRPr="00BC7041">
        <w:rPr>
          <w:rFonts w:cstheme="majorHAnsi"/>
          <w:b/>
          <w:bCs/>
          <w:i/>
          <w:iCs/>
          <w:szCs w:val="20"/>
        </w:rPr>
        <w:t xml:space="preserve">Building a </w:t>
      </w:r>
      <w:r w:rsidR="00ED06D6" w:rsidRPr="00BC7041">
        <w:rPr>
          <w:rFonts w:cstheme="majorHAnsi"/>
          <w:b/>
          <w:bCs/>
          <w:i/>
          <w:iCs/>
          <w:szCs w:val="20"/>
        </w:rPr>
        <w:t xml:space="preserve">world-leading </w:t>
      </w:r>
      <w:r w:rsidRPr="00BC7041">
        <w:rPr>
          <w:rFonts w:cstheme="majorHAnsi"/>
          <w:b/>
          <w:bCs/>
          <w:i/>
          <w:iCs/>
          <w:szCs w:val="20"/>
        </w:rPr>
        <w:t>mining and minerals ecosystem</w:t>
      </w:r>
    </w:p>
    <w:p w14:paraId="2712EF07" w14:textId="5AE40AF0" w:rsidR="00195D5B" w:rsidRPr="00BC7041" w:rsidRDefault="00195D5B" w:rsidP="00195D5B">
      <w:pPr>
        <w:rPr>
          <w:rFonts w:cstheme="majorHAnsi"/>
          <w:color w:val="404040"/>
          <w:szCs w:val="20"/>
        </w:rPr>
      </w:pPr>
      <w:r w:rsidRPr="00BC7041">
        <w:rPr>
          <w:rFonts w:cstheme="majorHAnsi"/>
          <w:color w:val="404040"/>
          <w:szCs w:val="20"/>
        </w:rPr>
        <w:t xml:space="preserve">Among the markets assessed in this report, </w:t>
      </w:r>
      <w:r w:rsidR="00D30B70" w:rsidRPr="00BC7041">
        <w:rPr>
          <w:rFonts w:cstheme="majorHAnsi"/>
          <w:color w:val="404040"/>
          <w:szCs w:val="20"/>
        </w:rPr>
        <w:t xml:space="preserve">the Kingdom of </w:t>
      </w:r>
      <w:r w:rsidRPr="00BC7041">
        <w:rPr>
          <w:rFonts w:cstheme="majorHAnsi"/>
          <w:color w:val="404040"/>
          <w:szCs w:val="20"/>
        </w:rPr>
        <w:t xml:space="preserve">Saudi Arabia offers the broadest combination of operating demand, exploration activity and </w:t>
      </w:r>
      <w:r w:rsidR="00DD360B" w:rsidRPr="00BC7041">
        <w:rPr>
          <w:rFonts w:cstheme="majorHAnsi"/>
          <w:color w:val="404040"/>
          <w:szCs w:val="20"/>
        </w:rPr>
        <w:t>funded</w:t>
      </w:r>
      <w:r w:rsidRPr="00BC7041">
        <w:rPr>
          <w:rFonts w:cstheme="majorHAnsi"/>
          <w:color w:val="404040"/>
          <w:szCs w:val="20"/>
        </w:rPr>
        <w:t xml:space="preserve"> mining and processing </w:t>
      </w:r>
      <w:r w:rsidR="00450D38" w:rsidRPr="00BC7041">
        <w:rPr>
          <w:rFonts w:cstheme="majorHAnsi"/>
          <w:color w:val="404040"/>
          <w:szCs w:val="20"/>
        </w:rPr>
        <w:t>development</w:t>
      </w:r>
      <w:r w:rsidRPr="00BC7041">
        <w:rPr>
          <w:rFonts w:cstheme="majorHAnsi"/>
          <w:color w:val="404040"/>
          <w:szCs w:val="20"/>
        </w:rPr>
        <w:t>.</w:t>
      </w:r>
    </w:p>
    <w:p w14:paraId="4EF4987E" w14:textId="77777777" w:rsidR="00195D5B" w:rsidRPr="00BC7041" w:rsidRDefault="00195D5B" w:rsidP="00195D5B">
      <w:pPr>
        <w:rPr>
          <w:rFonts w:cstheme="majorHAnsi"/>
          <w:color w:val="404040"/>
          <w:szCs w:val="20"/>
        </w:rPr>
      </w:pPr>
      <w:r w:rsidRPr="00BC7041">
        <w:rPr>
          <w:rFonts w:cstheme="majorHAnsi"/>
          <w:color w:val="404040"/>
          <w:szCs w:val="20"/>
        </w:rPr>
        <w:t>Saudi Arabia’s Vision 2030 strategy has set the course for a substantial program of mining activity and investment. Central to this agenda is the ambition to establish mining as the third pillar of the economy to unlock an estimated US$2.5 trillion in untapped mineral wealth.</w:t>
      </w:r>
      <w:r w:rsidRPr="00BC7041">
        <w:rPr>
          <w:rFonts w:cstheme="majorHAnsi"/>
          <w:color w:val="404040"/>
          <w:szCs w:val="20"/>
          <w:vertAlign w:val="superscript"/>
        </w:rPr>
        <w:t>[1]</w:t>
      </w:r>
    </w:p>
    <w:p w14:paraId="661D2065" w14:textId="71599768" w:rsidR="002C377D" w:rsidRPr="00BC7041" w:rsidRDefault="002C377D" w:rsidP="00195D5B">
      <w:pPr>
        <w:rPr>
          <w:rFonts w:cstheme="majorHAnsi"/>
          <w:color w:val="404040"/>
          <w:szCs w:val="20"/>
        </w:rPr>
      </w:pPr>
      <w:r w:rsidRPr="00BC7041">
        <w:rPr>
          <w:rFonts w:cstheme="majorHAnsi"/>
          <w:color w:val="404040"/>
          <w:szCs w:val="20"/>
        </w:rPr>
        <w:t xml:space="preserve">The scale and pace of Saudi Arabia’s economic diversification </w:t>
      </w:r>
      <w:r w:rsidR="00D3256F" w:rsidRPr="00BC7041">
        <w:rPr>
          <w:rFonts w:cstheme="majorHAnsi"/>
          <w:color w:val="404040"/>
          <w:szCs w:val="20"/>
        </w:rPr>
        <w:t>is</w:t>
      </w:r>
      <w:r w:rsidRPr="00BC7041">
        <w:rPr>
          <w:rFonts w:cstheme="majorHAnsi"/>
          <w:color w:val="404040"/>
          <w:szCs w:val="20"/>
        </w:rPr>
        <w:t xml:space="preserve"> creating the foundations needed to realise this potential. Legal and regulatory reforms, </w:t>
      </w:r>
      <w:r w:rsidR="00A66C00" w:rsidRPr="00BC7041">
        <w:rPr>
          <w:rFonts w:cstheme="majorHAnsi"/>
          <w:color w:val="404040"/>
          <w:szCs w:val="20"/>
        </w:rPr>
        <w:t>investment incentives</w:t>
      </w:r>
      <w:r w:rsidRPr="00BC7041">
        <w:rPr>
          <w:rFonts w:cstheme="majorHAnsi"/>
          <w:color w:val="404040"/>
          <w:szCs w:val="20"/>
        </w:rPr>
        <w:t xml:space="preserve">, international partnerships, and the adoption of advanced technologies and processes for geological data collection are working in parallel to accelerate exploration, development and </w:t>
      </w:r>
      <w:r w:rsidR="00D95C3C" w:rsidRPr="00BC7041">
        <w:rPr>
          <w:rFonts w:cstheme="majorHAnsi"/>
          <w:color w:val="404040"/>
          <w:szCs w:val="20"/>
        </w:rPr>
        <w:t xml:space="preserve">capital </w:t>
      </w:r>
      <w:r w:rsidRPr="00BC7041">
        <w:rPr>
          <w:rFonts w:cstheme="majorHAnsi"/>
          <w:color w:val="404040"/>
          <w:szCs w:val="20"/>
        </w:rPr>
        <w:t xml:space="preserve">across the Kingdom’s mining </w:t>
      </w:r>
      <w:r w:rsidR="00967A8F" w:rsidRPr="00BC7041">
        <w:rPr>
          <w:rFonts w:cstheme="majorHAnsi"/>
          <w:color w:val="404040"/>
          <w:szCs w:val="20"/>
        </w:rPr>
        <w:t xml:space="preserve">industry. </w:t>
      </w:r>
    </w:p>
    <w:p w14:paraId="15BE66F7" w14:textId="7714705D" w:rsidR="00694F6E" w:rsidRPr="00BC7041" w:rsidRDefault="00F1717C" w:rsidP="00F2074A">
      <w:pPr>
        <w:rPr>
          <w:rFonts w:cstheme="majorHAnsi"/>
          <w:color w:val="404040"/>
          <w:szCs w:val="20"/>
        </w:rPr>
      </w:pPr>
      <w:r w:rsidRPr="00BC7041">
        <w:rPr>
          <w:rFonts w:cstheme="majorHAnsi"/>
          <w:color w:val="404040"/>
          <w:szCs w:val="20"/>
        </w:rPr>
        <w:t>Maaden, the Middle East’s largest multi-commodity mining and metals company, is at the centre of Saudi Arabia’s mining expansion</w:t>
      </w:r>
      <w:r w:rsidR="00733BF1" w:rsidRPr="00BC7041">
        <w:rPr>
          <w:rFonts w:cstheme="majorHAnsi"/>
          <w:color w:val="404040"/>
          <w:szCs w:val="20"/>
        </w:rPr>
        <w:t xml:space="preserve">, and has outlined a US$110 billion ten-year investment program to triple its phosphate and gold </w:t>
      </w:r>
      <w:r w:rsidR="00986F52" w:rsidRPr="00BC7041">
        <w:rPr>
          <w:rFonts w:cstheme="majorHAnsi"/>
          <w:color w:val="404040"/>
          <w:szCs w:val="20"/>
        </w:rPr>
        <w:t>production</w:t>
      </w:r>
      <w:r w:rsidR="00733BF1" w:rsidRPr="00BC7041">
        <w:rPr>
          <w:rFonts w:cstheme="majorHAnsi"/>
          <w:color w:val="404040"/>
          <w:szCs w:val="20"/>
        </w:rPr>
        <w:t xml:space="preserve"> and double aluminium output.</w:t>
      </w:r>
      <w:r w:rsidR="00694F6E" w:rsidRPr="00BC7041">
        <w:rPr>
          <w:rFonts w:cstheme="majorHAnsi"/>
          <w:color w:val="404040"/>
          <w:szCs w:val="20"/>
          <w:vertAlign w:val="superscript"/>
        </w:rPr>
        <w:t>[23][2]</w:t>
      </w:r>
      <w:r w:rsidR="00694F6E" w:rsidRPr="00BC7041">
        <w:rPr>
          <w:rFonts w:cstheme="majorHAnsi"/>
          <w:color w:val="404040"/>
          <w:szCs w:val="20"/>
        </w:rPr>
        <w:t xml:space="preserve"> </w:t>
      </w:r>
      <w:r w:rsidR="00F9206B" w:rsidRPr="00BC7041">
        <w:rPr>
          <w:rFonts w:cstheme="majorHAnsi"/>
          <w:color w:val="404040"/>
          <w:szCs w:val="20"/>
        </w:rPr>
        <w:t>Current development priorities include the Ar Rjum gold mine, the Phosphate 3 expansion and the planned rare-earth refining joint venture with MP Materials, backed by the US Department of War</w:t>
      </w:r>
      <w:r w:rsidR="00694F6E" w:rsidRPr="00BC7041">
        <w:rPr>
          <w:rFonts w:cstheme="majorHAnsi"/>
          <w:color w:val="404040"/>
          <w:szCs w:val="20"/>
        </w:rPr>
        <w:t>.</w:t>
      </w:r>
      <w:r w:rsidR="00694F6E" w:rsidRPr="00BC7041">
        <w:rPr>
          <w:rFonts w:cstheme="majorHAnsi"/>
          <w:color w:val="404040"/>
          <w:szCs w:val="20"/>
          <w:vertAlign w:val="superscript"/>
        </w:rPr>
        <w:t>[13][21][24]</w:t>
      </w:r>
    </w:p>
    <w:p w14:paraId="1B599115" w14:textId="77777777" w:rsidR="00694F6E" w:rsidRDefault="00694F6E" w:rsidP="00F2074A">
      <w:pPr>
        <w:rPr>
          <w:rFonts w:asciiTheme="majorHAnsi" w:hAnsiTheme="majorHAnsi" w:cstheme="majorHAnsi"/>
          <w:color w:val="404040"/>
          <w:szCs w:val="20"/>
        </w:rPr>
      </w:pPr>
    </w:p>
    <w:p w14:paraId="6665FD5E" w14:textId="77777777" w:rsidR="00BC7041" w:rsidRDefault="00E01252" w:rsidP="00245D3A">
      <w:pPr>
        <w:pStyle w:val="Quote1"/>
      </w:pPr>
      <w:r>
        <w:t>“</w:t>
      </w:r>
      <w:r w:rsidRPr="00E01252">
        <w:t>We see this as a once-in-a-generation opportunity in the region. There's support from the highest levels to develop the minerals sector</w:t>
      </w:r>
      <w:r w:rsidR="006455EB">
        <w:t xml:space="preserve"> and the investments are there</w:t>
      </w:r>
      <w:r w:rsidR="00F2074A" w:rsidRPr="00B23480">
        <w:t>.”</w:t>
      </w:r>
    </w:p>
    <w:p w14:paraId="4416695A" w14:textId="64253C34" w:rsidR="00F2074A" w:rsidRPr="00BC7041" w:rsidRDefault="00BC7041" w:rsidP="00BC7041">
      <w:pPr>
        <w:pStyle w:val="quotename"/>
      </w:pPr>
      <w:r>
        <w:t xml:space="preserve">- </w:t>
      </w:r>
      <w:r w:rsidR="006455EB" w:rsidRPr="00197755">
        <w:t xml:space="preserve">Steve Ledger, </w:t>
      </w:r>
      <w:r w:rsidR="006C2C85" w:rsidRPr="006C2C85">
        <w:t>Regional Vice President</w:t>
      </w:r>
      <w:r w:rsidR="006455EB" w:rsidRPr="00197755">
        <w:t>, Strategic Partnerships, Fleet Space Technologies</w:t>
      </w:r>
    </w:p>
    <w:p w14:paraId="0BE9D914" w14:textId="25A21DE1" w:rsidR="009B770F" w:rsidRPr="00BC7041" w:rsidRDefault="007D406B" w:rsidP="009B770F">
      <w:pPr>
        <w:rPr>
          <w:rFonts w:cstheme="majorHAnsi"/>
          <w:szCs w:val="20"/>
        </w:rPr>
      </w:pPr>
      <w:r w:rsidRPr="00BC7041">
        <w:rPr>
          <w:rFonts w:cstheme="majorHAnsi"/>
          <w:szCs w:val="20"/>
        </w:rPr>
        <w:t xml:space="preserve">The scale of the mining opportunity in Saudi Arabia is demonstrated by the </w:t>
      </w:r>
      <w:r w:rsidR="0033795E" w:rsidRPr="00BC7041">
        <w:rPr>
          <w:rFonts w:cstheme="majorHAnsi"/>
          <w:szCs w:val="20"/>
        </w:rPr>
        <w:t>extensive</w:t>
      </w:r>
      <w:r w:rsidR="00022009" w:rsidRPr="00BC7041">
        <w:rPr>
          <w:rFonts w:cstheme="majorHAnsi"/>
          <w:szCs w:val="20"/>
        </w:rPr>
        <w:t xml:space="preserve"> </w:t>
      </w:r>
      <w:r w:rsidRPr="00BC7041">
        <w:rPr>
          <w:rFonts w:cstheme="majorHAnsi"/>
          <w:szCs w:val="20"/>
        </w:rPr>
        <w:t xml:space="preserve">exploration campaign underway across the Kingdom, with spending reaching an estimated US$346 million in 2025 from approximately </w:t>
      </w:r>
      <w:r w:rsidR="00E24E6F" w:rsidRPr="00BC7041">
        <w:rPr>
          <w:rFonts w:cstheme="majorHAnsi"/>
          <w:szCs w:val="20"/>
        </w:rPr>
        <w:t>US</w:t>
      </w:r>
      <w:r w:rsidRPr="00BC7041">
        <w:rPr>
          <w:rFonts w:cstheme="majorHAnsi"/>
          <w:szCs w:val="20"/>
        </w:rPr>
        <w:t>$50 million in 2020.</w:t>
      </w:r>
      <w:r w:rsidRPr="00BC7041">
        <w:rPr>
          <w:rFonts w:cstheme="majorHAnsi"/>
          <w:szCs w:val="20"/>
          <w:vertAlign w:val="superscript"/>
        </w:rPr>
        <w:t>[3]</w:t>
      </w:r>
    </w:p>
    <w:p w14:paraId="25397C21" w14:textId="4676088C" w:rsidR="009B770F" w:rsidRPr="00BC7041" w:rsidRDefault="00B923DE" w:rsidP="009B770F">
      <w:pPr>
        <w:rPr>
          <w:rFonts w:cstheme="majorHAnsi"/>
          <w:szCs w:val="20"/>
        </w:rPr>
      </w:pPr>
      <w:r w:rsidRPr="00BC7041">
        <w:rPr>
          <w:rFonts w:cstheme="majorHAnsi"/>
          <w:szCs w:val="20"/>
        </w:rPr>
        <w:t>Maaden remains the exploration leader in Saudi Arabia, including work around existing operations. On 18 August 2026, Maaden and Aramco signed a shareholders’ agreement for a proposed exploration and hard-rock mining venture covering approximately 182,000 km² in Zone-4 of the Arabian Platform. The agreement taking effect and the venture being incorporated remain subject to approvals and other conditions; procurement arrangements should be confirmed before suppliers treat the announcement as an opportunity to bid.</w:t>
      </w:r>
      <w:r w:rsidRPr="00BC7041">
        <w:rPr>
          <w:rFonts w:cstheme="majorHAnsi"/>
          <w:szCs w:val="20"/>
          <w:vertAlign w:val="superscript"/>
        </w:rPr>
        <w:t>[4]</w:t>
      </w:r>
      <w:r w:rsidR="009B770F" w:rsidRPr="00BC7041">
        <w:rPr>
          <w:rFonts w:cstheme="majorHAnsi"/>
          <w:szCs w:val="20"/>
        </w:rPr>
        <w:t>.</w:t>
      </w:r>
      <w:r w:rsidR="009B770F" w:rsidRPr="00BC7041">
        <w:rPr>
          <w:rFonts w:cstheme="majorHAnsi"/>
          <w:szCs w:val="20"/>
          <w:vertAlign w:val="superscript"/>
        </w:rPr>
        <w:t>[4]</w:t>
      </w:r>
      <w:r w:rsidR="009B770F" w:rsidRPr="00BC7041">
        <w:rPr>
          <w:rFonts w:cstheme="majorHAnsi"/>
          <w:szCs w:val="20"/>
        </w:rPr>
        <w:t xml:space="preserve"> Saudi Arabia has also attracted investment or exploration commitments from Ivanhoe Electric, Barrick, Hancock Prospecting, Vedanta, McEwen Mining and Zijin Mining.</w:t>
      </w:r>
      <w:r w:rsidR="009B770F" w:rsidRPr="00BC7041">
        <w:rPr>
          <w:rFonts w:cstheme="majorHAnsi"/>
          <w:szCs w:val="20"/>
          <w:vertAlign w:val="superscript"/>
        </w:rPr>
        <w:t>[5][6][7]</w:t>
      </w:r>
    </w:p>
    <w:p w14:paraId="3F667EA2" w14:textId="50506A75" w:rsidR="009B770F" w:rsidRPr="00BC7041" w:rsidRDefault="004813B8" w:rsidP="00FE7FBB">
      <w:pPr>
        <w:rPr>
          <w:rFonts w:cstheme="majorHAnsi"/>
          <w:color w:val="404040"/>
          <w:szCs w:val="20"/>
        </w:rPr>
      </w:pPr>
      <w:r w:rsidRPr="00BC7041">
        <w:rPr>
          <w:rFonts w:cstheme="majorHAnsi"/>
          <w:szCs w:val="20"/>
        </w:rPr>
        <w:t xml:space="preserve">The Australian METS sector </w:t>
      </w:r>
      <w:r w:rsidR="00DE7CAE" w:rsidRPr="00BC7041">
        <w:rPr>
          <w:rFonts w:cstheme="majorHAnsi"/>
          <w:szCs w:val="20"/>
        </w:rPr>
        <w:t>holds</w:t>
      </w:r>
      <w:r w:rsidRPr="00BC7041">
        <w:rPr>
          <w:rFonts w:cstheme="majorHAnsi"/>
          <w:szCs w:val="20"/>
        </w:rPr>
        <w:t xml:space="preserve"> a strong position within the Saudi Arabian mining industry, with Australia’s expertise, innovation and reputation highly respected in the Kingdom. METS businesses active in Saudi Arabia are primarily supporting exploration campaigns, geological surveys, </w:t>
      </w:r>
      <w:r w:rsidR="00FE7FBB" w:rsidRPr="00BC7041">
        <w:rPr>
          <w:rFonts w:cstheme="majorHAnsi"/>
          <w:szCs w:val="20"/>
        </w:rPr>
        <w:t xml:space="preserve">resource and feasibility studies, </w:t>
      </w:r>
      <w:r w:rsidR="00FA53B7" w:rsidRPr="00BC7041">
        <w:rPr>
          <w:rFonts w:cstheme="majorHAnsi"/>
          <w:szCs w:val="20"/>
        </w:rPr>
        <w:t xml:space="preserve">and </w:t>
      </w:r>
      <w:r w:rsidR="00FE7FBB" w:rsidRPr="00BC7041">
        <w:rPr>
          <w:rFonts w:cstheme="majorHAnsi"/>
          <w:szCs w:val="20"/>
        </w:rPr>
        <w:t>mine and processing</w:t>
      </w:r>
      <w:r w:rsidR="00D456EB" w:rsidRPr="00BC7041">
        <w:rPr>
          <w:rFonts w:cstheme="majorHAnsi"/>
          <w:szCs w:val="20"/>
        </w:rPr>
        <w:t xml:space="preserve"> </w:t>
      </w:r>
      <w:r w:rsidR="00FE7FBB" w:rsidRPr="00BC7041">
        <w:rPr>
          <w:rFonts w:cstheme="majorHAnsi"/>
          <w:szCs w:val="20"/>
        </w:rPr>
        <w:t>plant design</w:t>
      </w:r>
      <w:r w:rsidRPr="00BC7041">
        <w:rPr>
          <w:rFonts w:cstheme="majorHAnsi"/>
          <w:szCs w:val="20"/>
        </w:rPr>
        <w:t>. However, with Saudi Arabia’s mineral endowment transitioning from potential to projects, Australian METS companies need to position their business to capture opportunities across the mining value chain.</w:t>
      </w:r>
    </w:p>
    <w:p w14:paraId="40853ECB" w14:textId="57B51566" w:rsidR="00EA6308" w:rsidRPr="002D06AE" w:rsidRDefault="00EA6308" w:rsidP="00BC7041">
      <w:pPr>
        <w:pStyle w:val="Heading3"/>
      </w:pPr>
      <w:r w:rsidRPr="00342BC3">
        <w:lastRenderedPageBreak/>
        <w:t>Market at a glance</w:t>
      </w:r>
    </w:p>
    <w:tbl>
      <w:tblPr>
        <w:tblStyle w:val="TableGrid"/>
        <w:tblW w:w="0" w:type="auto"/>
        <w:tblCellMar>
          <w:top w:w="57" w:type="dxa"/>
          <w:bottom w:w="57" w:type="dxa"/>
        </w:tblCellMar>
        <w:tblLook w:val="04A0" w:firstRow="1" w:lastRow="0" w:firstColumn="1" w:lastColumn="0" w:noHBand="0" w:noVBand="1"/>
      </w:tblPr>
      <w:tblGrid>
        <w:gridCol w:w="2184"/>
        <w:gridCol w:w="7886"/>
      </w:tblGrid>
      <w:tr w:rsidR="00865F4F" w:rsidRPr="00E91368" w14:paraId="1546774F" w14:textId="77777777" w:rsidTr="00865F4F">
        <w:tc>
          <w:tcPr>
            <w:tcW w:w="0" w:type="auto"/>
            <w:gridSpan w:val="2"/>
            <w:shd w:val="clear" w:color="auto" w:fill="173F34" w:themeFill="accent1"/>
            <w:vAlign w:val="center"/>
          </w:tcPr>
          <w:p w14:paraId="46CF2EE2" w14:textId="7C86B27B" w:rsidR="00865F4F" w:rsidRPr="00BC7041" w:rsidRDefault="00865F4F" w:rsidP="00865F4F">
            <w:pPr>
              <w:rPr>
                <w:rFonts w:cstheme="majorHAnsi"/>
                <w:sz w:val="16"/>
                <w:szCs w:val="16"/>
              </w:rPr>
            </w:pPr>
            <w:r>
              <w:rPr>
                <w:b/>
                <w:bCs/>
                <w:sz w:val="16"/>
                <w:szCs w:val="18"/>
              </w:rPr>
              <w:t>Saudi Arabia</w:t>
            </w:r>
            <w:r w:rsidRPr="002366DF">
              <w:rPr>
                <w:b/>
                <w:bCs/>
                <w:sz w:val="16"/>
                <w:szCs w:val="18"/>
              </w:rPr>
              <w:t xml:space="preserve"> snapshot</w:t>
            </w:r>
          </w:p>
        </w:tc>
      </w:tr>
      <w:tr w:rsidR="00BA003B" w:rsidRPr="00E91368" w14:paraId="0AC92DC7" w14:textId="77777777" w:rsidTr="00865F4F">
        <w:tc>
          <w:tcPr>
            <w:tcW w:w="0" w:type="auto"/>
            <w:hideMark/>
          </w:tcPr>
          <w:p w14:paraId="657A41EA" w14:textId="252FEEE1" w:rsidR="00BA003B" w:rsidRPr="00BC7041" w:rsidRDefault="00BA003B" w:rsidP="00BA003B">
            <w:pPr>
              <w:rPr>
                <w:rFonts w:cstheme="majorHAnsi"/>
                <w:sz w:val="16"/>
                <w:szCs w:val="16"/>
              </w:rPr>
            </w:pPr>
            <w:r w:rsidRPr="00BC7041">
              <w:rPr>
                <w:rFonts w:cstheme="majorHAnsi"/>
                <w:b/>
                <w:bCs/>
                <w:sz w:val="16"/>
                <w:szCs w:val="16"/>
              </w:rPr>
              <w:t xml:space="preserve">Market </w:t>
            </w:r>
            <w:r w:rsidR="00CE15FB" w:rsidRPr="00BC7041">
              <w:rPr>
                <w:rFonts w:cstheme="majorHAnsi"/>
                <w:b/>
                <w:bCs/>
                <w:sz w:val="16"/>
                <w:szCs w:val="16"/>
              </w:rPr>
              <w:t>outlook</w:t>
            </w:r>
          </w:p>
        </w:tc>
        <w:tc>
          <w:tcPr>
            <w:tcW w:w="0" w:type="auto"/>
            <w:hideMark/>
          </w:tcPr>
          <w:p w14:paraId="1E3FA5D2" w14:textId="746A2B0E" w:rsidR="00BA003B" w:rsidRPr="00BC7041" w:rsidRDefault="00BA003B" w:rsidP="00BA003B">
            <w:pPr>
              <w:rPr>
                <w:rFonts w:cstheme="majorHAnsi"/>
                <w:sz w:val="16"/>
                <w:szCs w:val="16"/>
              </w:rPr>
            </w:pPr>
            <w:r w:rsidRPr="00BC7041">
              <w:rPr>
                <w:rFonts w:cstheme="majorHAnsi"/>
                <w:sz w:val="16"/>
                <w:szCs w:val="16"/>
              </w:rPr>
              <w:t xml:space="preserve">Long-term mining and processing </w:t>
            </w:r>
            <w:r w:rsidR="002D06AE" w:rsidRPr="00BC7041">
              <w:rPr>
                <w:rFonts w:cstheme="majorHAnsi"/>
                <w:sz w:val="16"/>
                <w:szCs w:val="16"/>
              </w:rPr>
              <w:t xml:space="preserve">regional hub </w:t>
            </w:r>
            <w:r w:rsidR="00CE15FB" w:rsidRPr="00BC7041">
              <w:rPr>
                <w:rFonts w:cstheme="majorHAnsi"/>
                <w:sz w:val="16"/>
                <w:szCs w:val="16"/>
              </w:rPr>
              <w:t xml:space="preserve"> </w:t>
            </w:r>
          </w:p>
        </w:tc>
      </w:tr>
      <w:tr w:rsidR="00BA003B" w:rsidRPr="00E91368" w14:paraId="66163A30" w14:textId="77777777" w:rsidTr="00865F4F">
        <w:tc>
          <w:tcPr>
            <w:tcW w:w="0" w:type="auto"/>
          </w:tcPr>
          <w:p w14:paraId="14369F7A" w14:textId="24864250" w:rsidR="00BA003B" w:rsidRPr="00BC7041" w:rsidRDefault="00BA003B" w:rsidP="00BA003B">
            <w:pPr>
              <w:rPr>
                <w:rFonts w:cstheme="majorHAnsi"/>
                <w:b/>
                <w:bCs/>
                <w:sz w:val="16"/>
                <w:szCs w:val="16"/>
              </w:rPr>
            </w:pPr>
            <w:r w:rsidRPr="00BC7041">
              <w:rPr>
                <w:rFonts w:cstheme="majorHAnsi"/>
                <w:b/>
                <w:bCs/>
                <w:sz w:val="16"/>
                <w:szCs w:val="16"/>
              </w:rPr>
              <w:t xml:space="preserve">Principal </w:t>
            </w:r>
            <w:r w:rsidR="004C6BB7" w:rsidRPr="00BC7041">
              <w:rPr>
                <w:rFonts w:cstheme="majorHAnsi"/>
                <w:b/>
                <w:bCs/>
                <w:sz w:val="16"/>
                <w:szCs w:val="16"/>
              </w:rPr>
              <w:t xml:space="preserve">activity </w:t>
            </w:r>
          </w:p>
        </w:tc>
        <w:tc>
          <w:tcPr>
            <w:tcW w:w="0" w:type="auto"/>
          </w:tcPr>
          <w:p w14:paraId="0E90DA5F" w14:textId="3AEC03AF" w:rsidR="00BA003B" w:rsidRPr="00BC7041" w:rsidRDefault="00BA003B" w:rsidP="00BA003B">
            <w:pPr>
              <w:rPr>
                <w:rFonts w:cstheme="majorHAnsi"/>
                <w:sz w:val="16"/>
                <w:szCs w:val="16"/>
              </w:rPr>
            </w:pPr>
            <w:r w:rsidRPr="00BC7041">
              <w:rPr>
                <w:rFonts w:cstheme="majorHAnsi"/>
                <w:sz w:val="16"/>
                <w:szCs w:val="16"/>
              </w:rPr>
              <w:t>Gold, copper, zinc, phosphate, bauxite, aluminium</w:t>
            </w:r>
            <w:r w:rsidR="00CF5437" w:rsidRPr="00BC7041">
              <w:rPr>
                <w:rFonts w:cstheme="majorHAnsi"/>
                <w:sz w:val="16"/>
                <w:szCs w:val="16"/>
              </w:rPr>
              <w:t>, industrial minerals and select critical minerals</w:t>
            </w:r>
            <w:r w:rsidR="008312A1" w:rsidRPr="00BC7041">
              <w:rPr>
                <w:rFonts w:cstheme="majorHAnsi"/>
                <w:sz w:val="16"/>
                <w:szCs w:val="16"/>
              </w:rPr>
              <w:t xml:space="preserve"> and rare earths</w:t>
            </w:r>
          </w:p>
        </w:tc>
      </w:tr>
      <w:tr w:rsidR="00BA003B" w:rsidRPr="00E91368" w14:paraId="27F9BF09" w14:textId="77777777" w:rsidTr="00865F4F">
        <w:tc>
          <w:tcPr>
            <w:tcW w:w="0" w:type="auto"/>
            <w:hideMark/>
          </w:tcPr>
          <w:p w14:paraId="7DC32ECE" w14:textId="77777777" w:rsidR="00BA003B" w:rsidRPr="00BC7041" w:rsidRDefault="00BA003B" w:rsidP="00BA003B">
            <w:pPr>
              <w:rPr>
                <w:rFonts w:cstheme="majorHAnsi"/>
                <w:sz w:val="16"/>
                <w:szCs w:val="16"/>
              </w:rPr>
            </w:pPr>
            <w:r w:rsidRPr="00BC7041">
              <w:rPr>
                <w:rFonts w:cstheme="majorHAnsi"/>
                <w:b/>
                <w:bCs/>
                <w:sz w:val="16"/>
                <w:szCs w:val="16"/>
              </w:rPr>
              <w:t>Strongest METS alignment</w:t>
            </w:r>
          </w:p>
        </w:tc>
        <w:tc>
          <w:tcPr>
            <w:tcW w:w="0" w:type="auto"/>
            <w:hideMark/>
          </w:tcPr>
          <w:p w14:paraId="3E76F19D" w14:textId="50B5BA51" w:rsidR="008F0508" w:rsidRPr="00BC7041" w:rsidRDefault="00E373D4" w:rsidP="00BA003B">
            <w:pPr>
              <w:rPr>
                <w:rFonts w:cstheme="majorHAnsi"/>
                <w:sz w:val="16"/>
                <w:szCs w:val="16"/>
              </w:rPr>
            </w:pPr>
            <w:r w:rsidRPr="00BC7041">
              <w:rPr>
                <w:rFonts w:cstheme="majorHAnsi"/>
                <w:sz w:val="16"/>
                <w:szCs w:val="16"/>
              </w:rPr>
              <w:t>Current</w:t>
            </w:r>
            <w:r w:rsidR="008F0508" w:rsidRPr="00BC7041">
              <w:rPr>
                <w:rFonts w:cstheme="majorHAnsi"/>
                <w:sz w:val="16"/>
                <w:szCs w:val="16"/>
              </w:rPr>
              <w:t xml:space="preserve">: </w:t>
            </w:r>
            <w:r w:rsidR="00BA003B" w:rsidRPr="00BC7041">
              <w:rPr>
                <w:rFonts w:cstheme="majorHAnsi"/>
                <w:sz w:val="16"/>
                <w:szCs w:val="16"/>
              </w:rPr>
              <w:t xml:space="preserve">Exploration, geoscience, </w:t>
            </w:r>
            <w:r w:rsidR="008F0508" w:rsidRPr="00BC7041">
              <w:rPr>
                <w:rFonts w:cstheme="majorHAnsi"/>
                <w:sz w:val="16"/>
                <w:szCs w:val="16"/>
              </w:rPr>
              <w:t xml:space="preserve">engineering and design, infrastructure development, </w:t>
            </w:r>
            <w:r w:rsidR="00DF15E0" w:rsidRPr="00BC7041">
              <w:rPr>
                <w:rFonts w:cstheme="majorHAnsi"/>
                <w:sz w:val="16"/>
                <w:szCs w:val="16"/>
              </w:rPr>
              <w:t xml:space="preserve">water management, </w:t>
            </w:r>
            <w:r w:rsidR="008F0508" w:rsidRPr="00BC7041">
              <w:rPr>
                <w:rFonts w:cstheme="majorHAnsi"/>
                <w:sz w:val="16"/>
                <w:szCs w:val="16"/>
              </w:rPr>
              <w:t xml:space="preserve">safety and training. </w:t>
            </w:r>
          </w:p>
          <w:p w14:paraId="43E7A034" w14:textId="731F2761" w:rsidR="00BA003B" w:rsidRPr="00BC7041" w:rsidRDefault="00F0628B" w:rsidP="00BA003B">
            <w:pPr>
              <w:rPr>
                <w:rFonts w:cstheme="majorHAnsi"/>
                <w:sz w:val="16"/>
                <w:szCs w:val="16"/>
              </w:rPr>
            </w:pPr>
            <w:r w:rsidRPr="00BC7041">
              <w:rPr>
                <w:rFonts w:cstheme="majorHAnsi"/>
                <w:sz w:val="16"/>
                <w:szCs w:val="16"/>
              </w:rPr>
              <w:t>Emerging: Digitisation</w:t>
            </w:r>
            <w:r w:rsidR="00DF15E0" w:rsidRPr="00BC7041">
              <w:rPr>
                <w:rFonts w:cstheme="majorHAnsi"/>
                <w:sz w:val="16"/>
                <w:szCs w:val="16"/>
              </w:rPr>
              <w:t xml:space="preserve"> and automation, advanced minerals </w:t>
            </w:r>
            <w:r w:rsidR="00BA003B" w:rsidRPr="00BC7041">
              <w:rPr>
                <w:rFonts w:cstheme="majorHAnsi"/>
                <w:sz w:val="16"/>
                <w:szCs w:val="16"/>
              </w:rPr>
              <w:t xml:space="preserve">processing, </w:t>
            </w:r>
            <w:r w:rsidR="00DF15E0" w:rsidRPr="00BC7041">
              <w:rPr>
                <w:rFonts w:cstheme="majorHAnsi"/>
                <w:sz w:val="16"/>
                <w:szCs w:val="16"/>
              </w:rPr>
              <w:t>waste management</w:t>
            </w:r>
            <w:r w:rsidR="00BA003B" w:rsidRPr="00BC7041">
              <w:rPr>
                <w:rFonts w:cstheme="majorHAnsi"/>
                <w:sz w:val="16"/>
                <w:szCs w:val="16"/>
              </w:rPr>
              <w:t>,</w:t>
            </w:r>
            <w:r w:rsidR="00DF15E0" w:rsidRPr="00BC7041">
              <w:rPr>
                <w:rFonts w:cstheme="majorHAnsi"/>
                <w:sz w:val="16"/>
                <w:szCs w:val="16"/>
              </w:rPr>
              <w:t xml:space="preserve"> </w:t>
            </w:r>
            <w:r w:rsidR="00BA003B" w:rsidRPr="00BC7041">
              <w:rPr>
                <w:rFonts w:cstheme="majorHAnsi"/>
                <w:sz w:val="16"/>
                <w:szCs w:val="16"/>
              </w:rPr>
              <w:t>maintenance</w:t>
            </w:r>
            <w:r w:rsidR="009F72AB" w:rsidRPr="00BC7041">
              <w:rPr>
                <w:rFonts w:cstheme="majorHAnsi"/>
                <w:sz w:val="16"/>
                <w:szCs w:val="16"/>
              </w:rPr>
              <w:t xml:space="preserve"> and asset reliability</w:t>
            </w:r>
            <w:r w:rsidR="00BA003B" w:rsidRPr="00BC7041">
              <w:rPr>
                <w:rFonts w:cstheme="majorHAnsi"/>
                <w:sz w:val="16"/>
                <w:szCs w:val="16"/>
              </w:rPr>
              <w:t xml:space="preserve">, </w:t>
            </w:r>
            <w:r w:rsidR="00BB221F" w:rsidRPr="00BC7041">
              <w:rPr>
                <w:rFonts w:cstheme="majorHAnsi"/>
                <w:sz w:val="16"/>
                <w:szCs w:val="16"/>
              </w:rPr>
              <w:t>contract mining services</w:t>
            </w:r>
            <w:r w:rsidR="00D51754" w:rsidRPr="00BC7041">
              <w:rPr>
                <w:rFonts w:cstheme="majorHAnsi"/>
                <w:sz w:val="16"/>
                <w:szCs w:val="16"/>
              </w:rPr>
              <w:t xml:space="preserve">, </w:t>
            </w:r>
            <w:r w:rsidR="00AD42B7" w:rsidRPr="00BC7041">
              <w:rPr>
                <w:rFonts w:cstheme="majorHAnsi"/>
                <w:sz w:val="16"/>
                <w:szCs w:val="16"/>
              </w:rPr>
              <w:t>maximising recovery</w:t>
            </w:r>
            <w:r w:rsidR="00D51754" w:rsidRPr="00BC7041">
              <w:rPr>
                <w:rFonts w:cstheme="majorHAnsi"/>
                <w:sz w:val="16"/>
                <w:szCs w:val="16"/>
              </w:rPr>
              <w:t xml:space="preserve">. </w:t>
            </w:r>
          </w:p>
        </w:tc>
      </w:tr>
      <w:tr w:rsidR="00BA003B" w:rsidRPr="00E91368" w14:paraId="2F395BD8" w14:textId="77777777" w:rsidTr="00865F4F">
        <w:tc>
          <w:tcPr>
            <w:tcW w:w="0" w:type="auto"/>
            <w:hideMark/>
          </w:tcPr>
          <w:p w14:paraId="3322956F" w14:textId="77777777" w:rsidR="00BA003B" w:rsidRPr="00BC7041" w:rsidRDefault="00BA003B" w:rsidP="00BA003B">
            <w:pPr>
              <w:rPr>
                <w:rFonts w:cstheme="majorHAnsi"/>
                <w:sz w:val="16"/>
                <w:szCs w:val="16"/>
              </w:rPr>
            </w:pPr>
            <w:r w:rsidRPr="00BC7041">
              <w:rPr>
                <w:rFonts w:cstheme="majorHAnsi"/>
                <w:b/>
                <w:bCs/>
                <w:sz w:val="16"/>
                <w:szCs w:val="16"/>
              </w:rPr>
              <w:t>Priority customers</w:t>
            </w:r>
          </w:p>
        </w:tc>
        <w:tc>
          <w:tcPr>
            <w:tcW w:w="0" w:type="auto"/>
            <w:hideMark/>
          </w:tcPr>
          <w:p w14:paraId="15D4D77F" w14:textId="5DE37AC6" w:rsidR="00E93C5C" w:rsidRPr="00BC7041" w:rsidRDefault="00B54557" w:rsidP="00E93C5C">
            <w:pPr>
              <w:rPr>
                <w:rFonts w:cstheme="majorHAnsi"/>
                <w:sz w:val="16"/>
                <w:szCs w:val="16"/>
              </w:rPr>
            </w:pPr>
            <w:r w:rsidRPr="00BC7041">
              <w:rPr>
                <w:rFonts w:cstheme="majorHAnsi"/>
                <w:sz w:val="16"/>
                <w:szCs w:val="16"/>
              </w:rPr>
              <w:t>Maaden</w:t>
            </w:r>
            <w:r w:rsidR="00E93C5C" w:rsidRPr="00BC7041">
              <w:rPr>
                <w:rFonts w:cstheme="majorHAnsi"/>
                <w:sz w:val="16"/>
                <w:szCs w:val="16"/>
              </w:rPr>
              <w:t xml:space="preserve"> – immediate opportunities across project portfolio and expansions. </w:t>
            </w:r>
          </w:p>
          <w:p w14:paraId="215BDA36" w14:textId="77777777" w:rsidR="00E93C5C" w:rsidRPr="00BC7041" w:rsidRDefault="00E93C5C" w:rsidP="00E93C5C">
            <w:pPr>
              <w:rPr>
                <w:rFonts w:cstheme="majorHAnsi"/>
                <w:sz w:val="16"/>
                <w:szCs w:val="16"/>
              </w:rPr>
            </w:pPr>
            <w:r w:rsidRPr="00BC7041">
              <w:rPr>
                <w:rFonts w:cstheme="majorHAnsi"/>
                <w:sz w:val="16"/>
                <w:szCs w:val="16"/>
                <w:lang w:val="es-ES"/>
              </w:rPr>
              <w:t xml:space="preserve">Al Masane Al Kobra Mining Co. </w:t>
            </w:r>
            <w:r w:rsidRPr="00BC7041">
              <w:rPr>
                <w:rFonts w:cstheme="majorHAnsi"/>
                <w:sz w:val="16"/>
                <w:szCs w:val="16"/>
              </w:rPr>
              <w:t xml:space="preserve">(AMAK) – operating copper, zinc, gold and silver producer. </w:t>
            </w:r>
          </w:p>
          <w:p w14:paraId="1E365E97" w14:textId="2381B197" w:rsidR="003D5765" w:rsidRPr="00BC7041" w:rsidRDefault="00957B5E" w:rsidP="00E93C5C">
            <w:pPr>
              <w:rPr>
                <w:rFonts w:cstheme="majorHAnsi"/>
                <w:sz w:val="16"/>
                <w:szCs w:val="16"/>
              </w:rPr>
            </w:pPr>
            <w:r w:rsidRPr="00BC7041">
              <w:rPr>
                <w:rFonts w:cstheme="majorHAnsi"/>
                <w:sz w:val="16"/>
                <w:szCs w:val="16"/>
              </w:rPr>
              <w:t>EPCMs and delivery partners – Worley and JESA (Phosphate 3</w:t>
            </w:r>
            <w:r w:rsidR="00642661" w:rsidRPr="00BC7041">
              <w:rPr>
                <w:rFonts w:cstheme="majorHAnsi"/>
                <w:sz w:val="16"/>
                <w:szCs w:val="16"/>
              </w:rPr>
              <w:t>,</w:t>
            </w:r>
            <w:r w:rsidRPr="00BC7041">
              <w:rPr>
                <w:rFonts w:cstheme="majorHAnsi"/>
                <w:sz w:val="16"/>
                <w:szCs w:val="16"/>
              </w:rPr>
              <w:t xml:space="preserve"> Phase 1), Bechtel (Ar Rjum) and Hatch (Maaden strategic delivery partner).</w:t>
            </w:r>
          </w:p>
          <w:p w14:paraId="2773E0BE" w14:textId="77777777" w:rsidR="00642661" w:rsidRPr="00BC7041" w:rsidRDefault="00AA6603" w:rsidP="00E93C5C">
            <w:pPr>
              <w:rPr>
                <w:rFonts w:cstheme="majorHAnsi"/>
                <w:sz w:val="16"/>
                <w:szCs w:val="16"/>
              </w:rPr>
            </w:pPr>
            <w:r w:rsidRPr="00BC7041">
              <w:rPr>
                <w:rFonts w:cstheme="majorHAnsi"/>
                <w:sz w:val="16"/>
                <w:szCs w:val="16"/>
              </w:rPr>
              <w:t>Mining contractors –</w:t>
            </w:r>
            <w:r w:rsidR="00D7370E" w:rsidRPr="00BC7041">
              <w:rPr>
                <w:rFonts w:cstheme="majorHAnsi"/>
                <w:sz w:val="16"/>
                <w:szCs w:val="16"/>
              </w:rPr>
              <w:t xml:space="preserve"> </w:t>
            </w:r>
            <w:r w:rsidR="00642661" w:rsidRPr="00BC7041">
              <w:rPr>
                <w:rFonts w:cstheme="majorHAnsi"/>
                <w:sz w:val="16"/>
                <w:szCs w:val="16"/>
              </w:rPr>
              <w:t>Contractors undertake a significant proportion of mining services, such as Byrnecut</w:t>
            </w:r>
            <w:r w:rsidRPr="00BC7041">
              <w:rPr>
                <w:rFonts w:cstheme="majorHAnsi"/>
                <w:sz w:val="16"/>
                <w:szCs w:val="16"/>
              </w:rPr>
              <w:t xml:space="preserve"> support</w:t>
            </w:r>
            <w:r w:rsidR="00642661" w:rsidRPr="00BC7041">
              <w:rPr>
                <w:rFonts w:cstheme="majorHAnsi"/>
                <w:sz w:val="16"/>
                <w:szCs w:val="16"/>
              </w:rPr>
              <w:t>ing</w:t>
            </w:r>
            <w:r w:rsidRPr="00BC7041">
              <w:rPr>
                <w:rFonts w:cstheme="majorHAnsi"/>
                <w:sz w:val="16"/>
                <w:szCs w:val="16"/>
              </w:rPr>
              <w:t xml:space="preserve"> underground development and production at </w:t>
            </w:r>
            <w:r w:rsidR="00642661" w:rsidRPr="00BC7041">
              <w:rPr>
                <w:rFonts w:cstheme="majorHAnsi"/>
                <w:sz w:val="16"/>
                <w:szCs w:val="16"/>
              </w:rPr>
              <w:t xml:space="preserve">Maaden’s </w:t>
            </w:r>
            <w:r w:rsidRPr="00BC7041">
              <w:rPr>
                <w:rFonts w:cstheme="majorHAnsi"/>
                <w:sz w:val="16"/>
                <w:szCs w:val="16"/>
              </w:rPr>
              <w:t>Jabal Sayid</w:t>
            </w:r>
            <w:r w:rsidR="00642661" w:rsidRPr="00BC7041">
              <w:rPr>
                <w:rFonts w:cstheme="majorHAnsi"/>
                <w:sz w:val="16"/>
                <w:szCs w:val="16"/>
              </w:rPr>
              <w:t xml:space="preserve"> copper project</w:t>
            </w:r>
            <w:r w:rsidRPr="00BC7041">
              <w:rPr>
                <w:rFonts w:cstheme="majorHAnsi"/>
                <w:sz w:val="16"/>
                <w:szCs w:val="16"/>
              </w:rPr>
              <w:t>.</w:t>
            </w:r>
          </w:p>
          <w:p w14:paraId="50CBA302" w14:textId="68A89BF4" w:rsidR="00BA003B" w:rsidRPr="00BC7041" w:rsidRDefault="00E93C5C" w:rsidP="00E93C5C">
            <w:pPr>
              <w:rPr>
                <w:rFonts w:cstheme="majorHAnsi"/>
                <w:sz w:val="16"/>
                <w:szCs w:val="16"/>
              </w:rPr>
            </w:pPr>
            <w:r w:rsidRPr="00BC7041">
              <w:rPr>
                <w:rFonts w:cstheme="majorHAnsi"/>
                <w:sz w:val="16"/>
                <w:szCs w:val="16"/>
              </w:rPr>
              <w:t>Exploration ecosystem – Saudi Geological Survey, exploration licence holders.</w:t>
            </w:r>
          </w:p>
        </w:tc>
      </w:tr>
      <w:tr w:rsidR="00BA003B" w:rsidRPr="00E91368" w14:paraId="320D22C5" w14:textId="77777777" w:rsidTr="00865F4F">
        <w:tc>
          <w:tcPr>
            <w:tcW w:w="0" w:type="auto"/>
            <w:hideMark/>
          </w:tcPr>
          <w:p w14:paraId="46853852" w14:textId="77777777" w:rsidR="00BA003B" w:rsidRPr="00BC7041" w:rsidRDefault="00BA003B" w:rsidP="00BA003B">
            <w:pPr>
              <w:rPr>
                <w:rFonts w:cstheme="majorHAnsi"/>
                <w:sz w:val="16"/>
                <w:szCs w:val="16"/>
              </w:rPr>
            </w:pPr>
            <w:r w:rsidRPr="00BC7041">
              <w:rPr>
                <w:rFonts w:cstheme="majorHAnsi"/>
                <w:b/>
                <w:bCs/>
                <w:sz w:val="16"/>
                <w:szCs w:val="16"/>
              </w:rPr>
              <w:t>Typical access pathway</w:t>
            </w:r>
          </w:p>
        </w:tc>
        <w:tc>
          <w:tcPr>
            <w:tcW w:w="0" w:type="auto"/>
            <w:hideMark/>
          </w:tcPr>
          <w:p w14:paraId="7FCE8D3C" w14:textId="3C66CC69" w:rsidR="00BA003B" w:rsidRPr="00BC7041" w:rsidRDefault="00865D32" w:rsidP="00BA003B">
            <w:pPr>
              <w:rPr>
                <w:rFonts w:cstheme="majorHAnsi"/>
                <w:sz w:val="16"/>
                <w:szCs w:val="16"/>
              </w:rPr>
            </w:pPr>
            <w:r w:rsidRPr="00BC7041">
              <w:rPr>
                <w:rFonts w:cstheme="majorHAnsi"/>
                <w:sz w:val="16"/>
                <w:szCs w:val="16"/>
              </w:rPr>
              <w:t>Engage Maaden, the appointed EPCM or the mine contractor according to who specifies and purchases the solution.</w:t>
            </w:r>
          </w:p>
        </w:tc>
      </w:tr>
      <w:tr w:rsidR="00BA003B" w:rsidRPr="00E91368" w14:paraId="6C3121BE" w14:textId="77777777" w:rsidTr="00865F4F">
        <w:trPr>
          <w:trHeight w:val="90"/>
        </w:trPr>
        <w:tc>
          <w:tcPr>
            <w:tcW w:w="0" w:type="auto"/>
            <w:hideMark/>
          </w:tcPr>
          <w:p w14:paraId="3CFBAFAA" w14:textId="3288F744" w:rsidR="00BA003B" w:rsidRPr="00BC7041" w:rsidRDefault="00BC54E2" w:rsidP="00BA003B">
            <w:pPr>
              <w:rPr>
                <w:rFonts w:cstheme="majorHAnsi"/>
                <w:sz w:val="16"/>
                <w:szCs w:val="16"/>
              </w:rPr>
            </w:pPr>
            <w:r w:rsidRPr="00BC7041">
              <w:rPr>
                <w:rFonts w:cstheme="majorHAnsi"/>
                <w:b/>
                <w:bCs/>
                <w:sz w:val="16"/>
                <w:szCs w:val="16"/>
              </w:rPr>
              <w:t>Key commercial considerations</w:t>
            </w:r>
          </w:p>
        </w:tc>
        <w:tc>
          <w:tcPr>
            <w:tcW w:w="0" w:type="auto"/>
            <w:hideMark/>
          </w:tcPr>
          <w:p w14:paraId="1E8EED45" w14:textId="063D9404" w:rsidR="00BA003B" w:rsidRPr="00BC7041" w:rsidRDefault="00722671" w:rsidP="00722671">
            <w:pPr>
              <w:rPr>
                <w:rFonts w:cstheme="majorHAnsi"/>
                <w:sz w:val="16"/>
                <w:szCs w:val="16"/>
              </w:rPr>
            </w:pPr>
            <w:r w:rsidRPr="00BC7041">
              <w:rPr>
                <w:rFonts w:cstheme="majorHAnsi"/>
                <w:sz w:val="16"/>
                <w:szCs w:val="16"/>
              </w:rPr>
              <w:t xml:space="preserve">Increasing local content, </w:t>
            </w:r>
            <w:r w:rsidR="00C7655F" w:rsidRPr="00BC7041">
              <w:rPr>
                <w:rFonts w:cstheme="majorHAnsi"/>
                <w:sz w:val="16"/>
                <w:szCs w:val="16"/>
              </w:rPr>
              <w:t>employment</w:t>
            </w:r>
            <w:r w:rsidRPr="00BC7041">
              <w:rPr>
                <w:rFonts w:cstheme="majorHAnsi"/>
                <w:sz w:val="16"/>
                <w:szCs w:val="16"/>
              </w:rPr>
              <w:t xml:space="preserve"> and service requirements. Access to Maaden procurement pathways, contractors and business units. </w:t>
            </w:r>
            <w:r w:rsidR="00A33516" w:rsidRPr="00BC7041">
              <w:rPr>
                <w:rFonts w:cstheme="majorHAnsi"/>
                <w:sz w:val="16"/>
                <w:szCs w:val="16"/>
              </w:rPr>
              <w:br/>
            </w:r>
            <w:r w:rsidR="00D324F3" w:rsidRPr="00BC7041">
              <w:rPr>
                <w:rFonts w:cstheme="majorHAnsi"/>
                <w:sz w:val="16"/>
                <w:szCs w:val="16"/>
              </w:rPr>
              <w:t xml:space="preserve">Confirm Saudi delivery, partner or presence </w:t>
            </w:r>
            <w:r w:rsidR="00A33516" w:rsidRPr="00BC7041">
              <w:rPr>
                <w:rFonts w:cstheme="majorHAnsi"/>
                <w:sz w:val="16"/>
                <w:szCs w:val="16"/>
              </w:rPr>
              <w:t>requirements</w:t>
            </w:r>
            <w:r w:rsidR="00D324F3" w:rsidRPr="00BC7041">
              <w:rPr>
                <w:rFonts w:cstheme="majorHAnsi"/>
                <w:sz w:val="16"/>
                <w:szCs w:val="16"/>
              </w:rPr>
              <w:t xml:space="preserve"> for </w:t>
            </w:r>
            <w:r w:rsidR="00A33516" w:rsidRPr="00BC7041">
              <w:rPr>
                <w:rFonts w:cstheme="majorHAnsi"/>
                <w:sz w:val="16"/>
                <w:szCs w:val="16"/>
              </w:rPr>
              <w:t>work</w:t>
            </w:r>
            <w:r w:rsidR="00D324F3" w:rsidRPr="00BC7041">
              <w:rPr>
                <w:rFonts w:cstheme="majorHAnsi"/>
                <w:sz w:val="16"/>
                <w:szCs w:val="16"/>
              </w:rPr>
              <w:t>, together with payment terms and after-sales support.</w:t>
            </w:r>
          </w:p>
        </w:tc>
      </w:tr>
    </w:tbl>
    <w:p w14:paraId="5630E193" w14:textId="77777777" w:rsidR="006319E6" w:rsidRPr="00E91368" w:rsidRDefault="006319E6" w:rsidP="00EA6308">
      <w:pPr>
        <w:rPr>
          <w:rFonts w:asciiTheme="majorHAnsi" w:hAnsiTheme="majorHAnsi" w:cstheme="majorHAnsi"/>
          <w:szCs w:val="20"/>
        </w:rPr>
      </w:pPr>
    </w:p>
    <w:p w14:paraId="31A249A5" w14:textId="77777777" w:rsidR="00E21650" w:rsidRDefault="00B743CD" w:rsidP="00B743CD">
      <w:pPr>
        <w:rPr>
          <w:rFonts w:asciiTheme="majorHAnsi" w:hAnsiTheme="majorHAnsi" w:cstheme="majorHAnsi"/>
          <w:szCs w:val="20"/>
        </w:rPr>
      </w:pPr>
      <w:r>
        <w:rPr>
          <w:rFonts w:asciiTheme="majorHAnsi" w:hAnsiTheme="majorHAnsi" w:cstheme="majorHAnsi"/>
          <w:szCs w:val="20"/>
          <w:highlight w:val="cyan"/>
        </w:rPr>
        <w:br w:type="page"/>
      </w:r>
    </w:p>
    <w:p w14:paraId="78D21C28" w14:textId="783F00D2" w:rsidR="004B547D" w:rsidRDefault="004B547D" w:rsidP="007F33FC">
      <w:pPr>
        <w:pStyle w:val="Heading3"/>
      </w:pPr>
      <w:r>
        <w:lastRenderedPageBreak/>
        <w:t xml:space="preserve">Saudi Arabia </w:t>
      </w:r>
      <w:r w:rsidR="008848CC">
        <w:t xml:space="preserve">Mining </w:t>
      </w:r>
      <w:r w:rsidR="00712984">
        <w:t>and</w:t>
      </w:r>
      <w:r w:rsidR="00262CA6">
        <w:t xml:space="preserve"> Processing </w:t>
      </w:r>
      <w:r w:rsidR="00BD6DA7">
        <w:t>Operations</w:t>
      </w:r>
      <w:r w:rsidR="008848CC">
        <w:t xml:space="preserve"> </w:t>
      </w:r>
    </w:p>
    <w:p w14:paraId="7FF81715" w14:textId="2B1BB455" w:rsidR="00C72237" w:rsidRDefault="00B6343A" w:rsidP="00793600">
      <w:r>
        <w:rPr>
          <w:noProof/>
        </w:rPr>
        <w:drawing>
          <wp:inline distT="0" distB="0" distL="0" distR="0" wp14:anchorId="08E986F1" wp14:editId="0AF0C018">
            <wp:extent cx="6393815" cy="4522470"/>
            <wp:effectExtent l="0" t="0" r="6985" b="0"/>
            <wp:docPr id="1171352615" name="Picture 4" descr="Infographic for Saudi Arabia mining and processing operations. It displays an image of a mining dump truck and another image of a map of Saudi Arabia with mine locations marked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352615" name="Picture 4" descr="Infographic for Saudi Arabia mining and processing operations. It displays an image of a mining dump truck and another image of a map of Saudi Arabia with mine locations marked on i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93815" cy="4522470"/>
                    </a:xfrm>
                    <a:prstGeom prst="rect">
                      <a:avLst/>
                    </a:prstGeom>
                    <a:noFill/>
                    <a:ln>
                      <a:noFill/>
                    </a:ln>
                  </pic:spPr>
                </pic:pic>
              </a:graphicData>
            </a:graphic>
          </wp:inline>
        </w:drawing>
      </w:r>
    </w:p>
    <w:p w14:paraId="15AC1CC0" w14:textId="77777777" w:rsidR="00262F4B" w:rsidRDefault="00262F4B">
      <w:pPr>
        <w:spacing w:after="200" w:line="276" w:lineRule="auto"/>
        <w:rPr>
          <w:rFonts w:asciiTheme="majorHAnsi" w:eastAsiaTheme="majorEastAsia" w:hAnsiTheme="majorHAnsi" w:cstheme="majorBidi"/>
          <w:b/>
          <w:bCs/>
          <w:color w:val="1F4E79"/>
          <w:sz w:val="32"/>
          <w:szCs w:val="28"/>
        </w:rPr>
      </w:pPr>
    </w:p>
    <w:p w14:paraId="5DA428AF" w14:textId="7B18C2DA" w:rsidR="005C22BC" w:rsidRDefault="008C4129" w:rsidP="007F33FC">
      <w:pPr>
        <w:pStyle w:val="Heading3"/>
      </w:pPr>
      <w:r w:rsidRPr="008C4129">
        <w:t xml:space="preserve">Mining Activity and Implications for Australian </w:t>
      </w:r>
      <w:r w:rsidR="005C22BC">
        <w:t>METS</w:t>
      </w:r>
    </w:p>
    <w:p w14:paraId="3058B9E5" w14:textId="6ED58C9F" w:rsidR="00DE7451" w:rsidRDefault="00052AF8" w:rsidP="005C22BC">
      <w:r>
        <w:t xml:space="preserve">While </w:t>
      </w:r>
      <w:r w:rsidR="00DE7451">
        <w:t xml:space="preserve">Saudi Arabia’s mining industry is transforming rapidly, there is a diverse portfolio of operating assets providing immediate opportunities for Australian METS. </w:t>
      </w:r>
    </w:p>
    <w:p w14:paraId="7DB99F3B" w14:textId="2D75CA23" w:rsidR="005C22BC" w:rsidRDefault="005C22BC" w:rsidP="005C22BC">
      <w:r>
        <w:t>Gold, copper and most exploration activit</w:t>
      </w:r>
      <w:r w:rsidR="002E47DB">
        <w:t>ies</w:t>
      </w:r>
      <w:r>
        <w:t xml:space="preserve"> are concentrated principally within the Arabian Shield in the west and centre of the Kingdom. </w:t>
      </w:r>
      <w:r w:rsidR="007E29A1">
        <w:t>P</w:t>
      </w:r>
      <w:r>
        <w:t>hosphate assets are concentrated in the north and connect to</w:t>
      </w:r>
      <w:r w:rsidR="0036399F">
        <w:t xml:space="preserve"> the</w:t>
      </w:r>
      <w:r>
        <w:t xml:space="preserve"> Wa'ad Al Shamal</w:t>
      </w:r>
      <w:r w:rsidR="00B63CEE">
        <w:t xml:space="preserve"> complex</w:t>
      </w:r>
      <w:r>
        <w:t>, while bauxite and industrial</w:t>
      </w:r>
      <w:r w:rsidR="00B63CEE">
        <w:t xml:space="preserve"> </w:t>
      </w:r>
      <w:r>
        <w:t>mineral operations feed downstream processing and export infrastructure at Ras Al-Khair and other eastern industrial locations.</w:t>
      </w:r>
      <w:r w:rsidR="00A23F50" w:rsidRPr="00CE6EE6">
        <w:rPr>
          <w:vertAlign w:val="superscript"/>
        </w:rPr>
        <w:t>[8]</w:t>
      </w:r>
    </w:p>
    <w:p w14:paraId="2F8773EC" w14:textId="77777777" w:rsidR="00641456" w:rsidRDefault="00641456" w:rsidP="005C22BC"/>
    <w:tbl>
      <w:tblPr>
        <w:tblStyle w:val="TableGrid"/>
        <w:tblW w:w="9506" w:type="dxa"/>
        <w:tblLayout w:type="fixed"/>
        <w:tblCellMar>
          <w:top w:w="57" w:type="dxa"/>
          <w:bottom w:w="57" w:type="dxa"/>
        </w:tblCellMar>
        <w:tblLook w:val="04A0" w:firstRow="1" w:lastRow="0" w:firstColumn="1" w:lastColumn="0" w:noHBand="0" w:noVBand="1"/>
      </w:tblPr>
      <w:tblGrid>
        <w:gridCol w:w="2327"/>
        <w:gridCol w:w="3380"/>
        <w:gridCol w:w="3799"/>
      </w:tblGrid>
      <w:tr w:rsidR="00AB5A1A" w14:paraId="01379645" w14:textId="77777777" w:rsidTr="005A3274">
        <w:trPr>
          <w:trHeight w:val="190"/>
        </w:trPr>
        <w:tc>
          <w:tcPr>
            <w:tcW w:w="2327" w:type="dxa"/>
            <w:shd w:val="clear" w:color="auto" w:fill="173F34" w:themeFill="accent1"/>
            <w:vAlign w:val="center"/>
          </w:tcPr>
          <w:p w14:paraId="28E26644" w14:textId="77777777" w:rsidR="00AB5A1A" w:rsidRDefault="00AB5A1A" w:rsidP="005A3274">
            <w:pPr>
              <w:spacing w:after="0" w:line="240" w:lineRule="auto"/>
            </w:pPr>
            <w:r>
              <w:rPr>
                <w:b/>
                <w:sz w:val="16"/>
              </w:rPr>
              <w:t xml:space="preserve">Opportunity </w:t>
            </w:r>
          </w:p>
        </w:tc>
        <w:tc>
          <w:tcPr>
            <w:tcW w:w="3380" w:type="dxa"/>
            <w:shd w:val="clear" w:color="auto" w:fill="173F34" w:themeFill="accent1"/>
            <w:vAlign w:val="center"/>
          </w:tcPr>
          <w:p w14:paraId="107A001E" w14:textId="77777777" w:rsidR="00AB5A1A" w:rsidRDefault="00AB5A1A" w:rsidP="005A3274">
            <w:pPr>
              <w:spacing w:after="0" w:line="240" w:lineRule="auto"/>
            </w:pPr>
            <w:r>
              <w:rPr>
                <w:b/>
                <w:sz w:val="16"/>
              </w:rPr>
              <w:t xml:space="preserve">Status </w:t>
            </w:r>
          </w:p>
        </w:tc>
        <w:tc>
          <w:tcPr>
            <w:tcW w:w="3799" w:type="dxa"/>
            <w:shd w:val="clear" w:color="auto" w:fill="173F34" w:themeFill="accent1"/>
            <w:vAlign w:val="center"/>
          </w:tcPr>
          <w:p w14:paraId="33634854" w14:textId="77777777" w:rsidR="00AB5A1A" w:rsidRDefault="00AB5A1A" w:rsidP="005A3274">
            <w:pPr>
              <w:spacing w:after="0" w:line="240" w:lineRule="auto"/>
            </w:pPr>
            <w:r>
              <w:rPr>
                <w:b/>
                <w:sz w:val="16"/>
              </w:rPr>
              <w:t>Australian METS alignment</w:t>
            </w:r>
          </w:p>
        </w:tc>
      </w:tr>
      <w:tr w:rsidR="00AB5A1A" w14:paraId="426A3B9A" w14:textId="77777777" w:rsidTr="005A3274">
        <w:trPr>
          <w:trHeight w:val="864"/>
        </w:trPr>
        <w:tc>
          <w:tcPr>
            <w:tcW w:w="2327" w:type="dxa"/>
          </w:tcPr>
          <w:p w14:paraId="4E5779EF" w14:textId="77777777" w:rsidR="00AB5A1A" w:rsidRDefault="00AB5A1A">
            <w:pPr>
              <w:spacing w:after="0" w:line="240" w:lineRule="auto"/>
            </w:pPr>
            <w:r>
              <w:rPr>
                <w:sz w:val="15"/>
              </w:rPr>
              <w:t>Arabian Shield gold portfolio</w:t>
            </w:r>
          </w:p>
        </w:tc>
        <w:tc>
          <w:tcPr>
            <w:tcW w:w="3380" w:type="dxa"/>
          </w:tcPr>
          <w:p w14:paraId="0CEDA79C" w14:textId="3EE8A4F7" w:rsidR="00AB5A1A" w:rsidRDefault="00AB5A1A">
            <w:pPr>
              <w:spacing w:after="0" w:line="240" w:lineRule="auto"/>
            </w:pPr>
            <w:r>
              <w:rPr>
                <w:sz w:val="15"/>
              </w:rPr>
              <w:t xml:space="preserve">Strongest mining cluster of operating mines and significant exploration campaigns. </w:t>
            </w:r>
          </w:p>
        </w:tc>
        <w:tc>
          <w:tcPr>
            <w:tcW w:w="3799" w:type="dxa"/>
          </w:tcPr>
          <w:p w14:paraId="1443C0B9" w14:textId="2E0F39B9" w:rsidR="00AB5A1A" w:rsidRDefault="00AB5A1A">
            <w:pPr>
              <w:spacing w:after="0" w:line="240" w:lineRule="auto"/>
            </w:pPr>
            <w:r>
              <w:rPr>
                <w:sz w:val="15"/>
              </w:rPr>
              <w:t xml:space="preserve">Exploration solutions and services, studies, ore characterisation and process design for growth projects. </w:t>
            </w:r>
            <w:r>
              <w:rPr>
                <w:sz w:val="15"/>
              </w:rPr>
              <w:br/>
              <w:t>Asset reliability, water management, digitisation, safety and training for operating mines.</w:t>
            </w:r>
          </w:p>
        </w:tc>
      </w:tr>
      <w:tr w:rsidR="00AB5A1A" w14:paraId="2EF0497D" w14:textId="77777777" w:rsidTr="005A3274">
        <w:trPr>
          <w:trHeight w:val="19"/>
        </w:trPr>
        <w:tc>
          <w:tcPr>
            <w:tcW w:w="2327" w:type="dxa"/>
          </w:tcPr>
          <w:p w14:paraId="007D5179" w14:textId="77777777" w:rsidR="00AB5A1A" w:rsidRDefault="00AB5A1A">
            <w:pPr>
              <w:spacing w:after="0" w:line="240" w:lineRule="auto"/>
            </w:pPr>
            <w:r>
              <w:rPr>
                <w:sz w:val="15"/>
              </w:rPr>
              <w:t>Copper and polymetallic operations</w:t>
            </w:r>
          </w:p>
        </w:tc>
        <w:tc>
          <w:tcPr>
            <w:tcW w:w="3380" w:type="dxa"/>
          </w:tcPr>
          <w:p w14:paraId="62AB5038" w14:textId="5728C938" w:rsidR="00AB5A1A" w:rsidRDefault="00AB5A1A">
            <w:pPr>
              <w:spacing w:after="0" w:line="240" w:lineRule="auto"/>
            </w:pPr>
            <w:r>
              <w:rPr>
                <w:sz w:val="15"/>
              </w:rPr>
              <w:t xml:space="preserve">Maaden/Barrick Jabal Sayid and AMAK operating and growing base metals portfolio.  </w:t>
            </w:r>
          </w:p>
        </w:tc>
        <w:tc>
          <w:tcPr>
            <w:tcW w:w="3799" w:type="dxa"/>
          </w:tcPr>
          <w:p w14:paraId="61315633" w14:textId="77777777" w:rsidR="00AB5A1A" w:rsidRDefault="00AB5A1A">
            <w:pPr>
              <w:spacing w:after="0" w:line="240" w:lineRule="auto"/>
            </w:pPr>
            <w:r>
              <w:rPr>
                <w:sz w:val="15"/>
              </w:rPr>
              <w:t>Underground productivity, ventilation, process control, reliability, geotechnical monitoring, safety and workforce capability.</w:t>
            </w:r>
          </w:p>
        </w:tc>
      </w:tr>
      <w:tr w:rsidR="00AB5A1A" w14:paraId="6C464E90" w14:textId="77777777" w:rsidTr="005A3274">
        <w:trPr>
          <w:trHeight w:val="544"/>
        </w:trPr>
        <w:tc>
          <w:tcPr>
            <w:tcW w:w="2327" w:type="dxa"/>
          </w:tcPr>
          <w:p w14:paraId="533FFF93" w14:textId="77777777" w:rsidR="00AB5A1A" w:rsidRDefault="00AB5A1A">
            <w:pPr>
              <w:spacing w:after="0" w:line="240" w:lineRule="auto"/>
            </w:pPr>
            <w:r>
              <w:rPr>
                <w:sz w:val="15"/>
              </w:rPr>
              <w:lastRenderedPageBreak/>
              <w:t>Northern phosphate system</w:t>
            </w:r>
          </w:p>
        </w:tc>
        <w:tc>
          <w:tcPr>
            <w:tcW w:w="3380" w:type="dxa"/>
          </w:tcPr>
          <w:p w14:paraId="593C88F6" w14:textId="19B80D83" w:rsidR="00AB5A1A" w:rsidRDefault="00AB5A1A">
            <w:pPr>
              <w:spacing w:after="0" w:line="240" w:lineRule="auto"/>
            </w:pPr>
            <w:r>
              <w:rPr>
                <w:sz w:val="15"/>
              </w:rPr>
              <w:t xml:space="preserve">Maaden’s Al Jalamid and Al Khabra mines connect to </w:t>
            </w:r>
            <w:r w:rsidRPr="00DD4777">
              <w:rPr>
                <w:sz w:val="15"/>
              </w:rPr>
              <w:t>Wa’ad</w:t>
            </w:r>
            <w:r>
              <w:rPr>
                <w:sz w:val="15"/>
              </w:rPr>
              <w:t xml:space="preserve"> Al Shamal processing and industrial infrastructure. Phosphate 3 Phase 1 </w:t>
            </w:r>
            <w:r w:rsidRPr="00DD4777">
              <w:rPr>
                <w:sz w:val="15"/>
              </w:rPr>
              <w:t>is an expansion moving towards commissioning.</w:t>
            </w:r>
          </w:p>
        </w:tc>
        <w:tc>
          <w:tcPr>
            <w:tcW w:w="3799" w:type="dxa"/>
          </w:tcPr>
          <w:p w14:paraId="025F280D" w14:textId="77777777" w:rsidR="00AB5A1A" w:rsidRDefault="00AB5A1A">
            <w:pPr>
              <w:spacing w:after="0" w:line="240" w:lineRule="auto"/>
            </w:pPr>
            <w:r>
              <w:rPr>
                <w:sz w:val="15"/>
              </w:rPr>
              <w:t>Materials handling, beneficiation, process optimisation, water, energy efficiency, maintenance and environmental systems.</w:t>
            </w:r>
          </w:p>
        </w:tc>
      </w:tr>
      <w:tr w:rsidR="00AB5A1A" w14:paraId="7E51B911" w14:textId="77777777" w:rsidTr="005A3274">
        <w:trPr>
          <w:trHeight w:val="912"/>
        </w:trPr>
        <w:tc>
          <w:tcPr>
            <w:tcW w:w="2327" w:type="dxa"/>
          </w:tcPr>
          <w:p w14:paraId="6040D9CE" w14:textId="34021946" w:rsidR="00AB5A1A" w:rsidRDefault="00AB5A1A">
            <w:pPr>
              <w:spacing w:after="0" w:line="240" w:lineRule="auto"/>
            </w:pPr>
            <w:r>
              <w:rPr>
                <w:sz w:val="15"/>
              </w:rPr>
              <w:t>Bauxite mining and aluminium processing</w:t>
            </w:r>
          </w:p>
        </w:tc>
        <w:tc>
          <w:tcPr>
            <w:tcW w:w="3380" w:type="dxa"/>
          </w:tcPr>
          <w:p w14:paraId="32F09877" w14:textId="77777777" w:rsidR="00AB5A1A" w:rsidRDefault="00AB5A1A">
            <w:pPr>
              <w:spacing w:after="0" w:line="240" w:lineRule="auto"/>
            </w:pPr>
            <w:r>
              <w:rPr>
                <w:sz w:val="15"/>
              </w:rPr>
              <w:t>Al Ba'itha and related mineral assets feed the integrated Ras Al-Khair processing and export system.</w:t>
            </w:r>
          </w:p>
        </w:tc>
        <w:tc>
          <w:tcPr>
            <w:tcW w:w="3799" w:type="dxa"/>
          </w:tcPr>
          <w:p w14:paraId="5315E4E5" w14:textId="788C28E4" w:rsidR="00AB5A1A" w:rsidRDefault="00AB5A1A">
            <w:pPr>
              <w:spacing w:after="0" w:line="240" w:lineRule="auto"/>
            </w:pPr>
            <w:r>
              <w:rPr>
                <w:sz w:val="15"/>
              </w:rPr>
              <w:t>Bulk handling, refining and smelting support, reliability, waste management (red mud), emissions reduction, asset integrity and port-linked logistics.</w:t>
            </w:r>
          </w:p>
        </w:tc>
      </w:tr>
      <w:tr w:rsidR="00AB5A1A" w14:paraId="31FD7A93" w14:textId="77777777" w:rsidTr="005A3274">
        <w:trPr>
          <w:trHeight w:val="239"/>
        </w:trPr>
        <w:tc>
          <w:tcPr>
            <w:tcW w:w="2327" w:type="dxa"/>
          </w:tcPr>
          <w:p w14:paraId="2035CCB2" w14:textId="77777777" w:rsidR="00AB5A1A" w:rsidRDefault="00AB5A1A">
            <w:pPr>
              <w:spacing w:after="0" w:line="240" w:lineRule="auto"/>
            </w:pPr>
            <w:r>
              <w:rPr>
                <w:sz w:val="15"/>
              </w:rPr>
              <w:t>Exploration and licensing pipeline</w:t>
            </w:r>
          </w:p>
        </w:tc>
        <w:tc>
          <w:tcPr>
            <w:tcW w:w="3380" w:type="dxa"/>
          </w:tcPr>
          <w:p w14:paraId="4AFA922B" w14:textId="4A1DEBED" w:rsidR="00AB5A1A" w:rsidRDefault="00AB5A1A">
            <w:pPr>
              <w:spacing w:after="0" w:line="240" w:lineRule="auto"/>
            </w:pPr>
            <w:r>
              <w:rPr>
                <w:sz w:val="15"/>
              </w:rPr>
              <w:t>Licence releases providing significant Maaden and foreign investment activity across prospective Arabian Shield areas.</w:t>
            </w:r>
          </w:p>
        </w:tc>
        <w:tc>
          <w:tcPr>
            <w:tcW w:w="3799" w:type="dxa"/>
          </w:tcPr>
          <w:p w14:paraId="09C65CBB" w14:textId="2F6A0193" w:rsidR="00AB5A1A" w:rsidRDefault="00AB5A1A">
            <w:pPr>
              <w:spacing w:after="0" w:line="240" w:lineRule="auto"/>
            </w:pPr>
            <w:r>
              <w:rPr>
                <w:sz w:val="15"/>
              </w:rPr>
              <w:t>Geophysics, geochemistry, drilling, sampling, laboratories, data platforms and field systems.</w:t>
            </w:r>
          </w:p>
        </w:tc>
      </w:tr>
    </w:tbl>
    <w:p w14:paraId="0AF984D1" w14:textId="77777777" w:rsidR="001629E2" w:rsidRDefault="001629E2" w:rsidP="00B21041">
      <w:pPr>
        <w:spacing w:after="200" w:line="276" w:lineRule="auto"/>
        <w:rPr>
          <w:rFonts w:cstheme="majorHAnsi"/>
          <w:b/>
          <w:bCs/>
          <w:szCs w:val="20"/>
        </w:rPr>
      </w:pPr>
    </w:p>
    <w:p w14:paraId="6572F097" w14:textId="226C6BC0" w:rsidR="0061655A" w:rsidRPr="00224F99" w:rsidRDefault="0061655A" w:rsidP="00245D3A">
      <w:pPr>
        <w:pStyle w:val="Quote1"/>
      </w:pPr>
      <w:r w:rsidRPr="00224F99">
        <w:t>“</w:t>
      </w:r>
      <w:r w:rsidR="00CB5C18" w:rsidRPr="0032226D">
        <w:t>Ma</w:t>
      </w:r>
      <w:r w:rsidR="00CB5C18">
        <w:t>a</w:t>
      </w:r>
      <w:r w:rsidR="00CB5C18" w:rsidRPr="0032226D">
        <w:t>den</w:t>
      </w:r>
      <w:r w:rsidR="0032226D" w:rsidRPr="0032226D">
        <w:t xml:space="preserve"> is aiming to cut its groundwater use by 65% by 2040, and it's already moving in that direction, a 9% cut in withdrawal and a 45% increase in treated water use in 2024 alone. That's a real, near-term market for the water-efficient processing and recycling technology Australian METS companies specialise in</w:t>
      </w:r>
      <w:r w:rsidRPr="00224F99">
        <w:t>.”</w:t>
      </w:r>
    </w:p>
    <w:p w14:paraId="782A7CC0" w14:textId="48FA373D" w:rsidR="00507FEE" w:rsidRPr="00B31833" w:rsidRDefault="0061655A" w:rsidP="00B31833">
      <w:pPr>
        <w:pStyle w:val="quotename"/>
      </w:pPr>
      <w:r>
        <w:t xml:space="preserve">- </w:t>
      </w:r>
      <w:r w:rsidR="0084536D" w:rsidRPr="0084536D">
        <w:t>Aalia Hamadeh, Project manager, ALTIOS MIDDLE EAST</w:t>
      </w:r>
    </w:p>
    <w:p w14:paraId="63A6EF46" w14:textId="7885DAA5" w:rsidR="00F42845" w:rsidRPr="004B607A" w:rsidRDefault="00FE6CCC" w:rsidP="007F33FC">
      <w:pPr>
        <w:pStyle w:val="Heading3"/>
        <w:rPr>
          <w:highlight w:val="cyan"/>
        </w:rPr>
      </w:pPr>
      <w:r>
        <w:t>M</w:t>
      </w:r>
      <w:r w:rsidR="00DD765F">
        <w:t>arket</w:t>
      </w:r>
      <w:r>
        <w:t xml:space="preserve"> expansion</w:t>
      </w:r>
      <w:r w:rsidR="00F42845" w:rsidRPr="004B607A">
        <w:t xml:space="preserve"> and </w:t>
      </w:r>
      <w:r w:rsidR="004B607A">
        <w:t xml:space="preserve">exploration </w:t>
      </w:r>
      <w:r w:rsidR="00F42845" w:rsidRPr="004B607A">
        <w:t>activity</w:t>
      </w:r>
    </w:p>
    <w:p w14:paraId="07C4F4F0" w14:textId="3BAA7998" w:rsidR="000D00B6" w:rsidRDefault="00F63342" w:rsidP="00BA6FCC">
      <w:r w:rsidRPr="00F63342">
        <w:t xml:space="preserve">Saudi Arabia is a rapidly expanding mining investment market, driven </w:t>
      </w:r>
      <w:r w:rsidR="00154037">
        <w:t>through a structured program aligned to the Kingdom’s Vision 2030 objectives to increase</w:t>
      </w:r>
      <w:r w:rsidR="00A32B89">
        <w:t xml:space="preserve"> </w:t>
      </w:r>
      <w:r w:rsidR="00A32B89" w:rsidRPr="00A32B89">
        <w:t>mining's GDP contribution to SR240 billion (</w:t>
      </w:r>
      <w:r w:rsidR="00154037">
        <w:t>US</w:t>
      </w:r>
      <w:r w:rsidR="00A32B89" w:rsidRPr="00A32B89">
        <w:t>$63 billion) by 2030, creat</w:t>
      </w:r>
      <w:r w:rsidR="00154037">
        <w:t>e</w:t>
      </w:r>
      <w:r w:rsidR="00A32B89" w:rsidRPr="00A32B89">
        <w:t xml:space="preserve"> 200,000 direct and indirect jobs, and </w:t>
      </w:r>
      <w:r w:rsidR="00E06A80" w:rsidRPr="00E06A80">
        <w:t>attract US$27 billion in new investment</w:t>
      </w:r>
      <w:r w:rsidR="00E06A80">
        <w:t xml:space="preserve">. </w:t>
      </w:r>
      <w:r w:rsidR="00E06A80" w:rsidRPr="00CE6EE6">
        <w:rPr>
          <w:vertAlign w:val="superscript"/>
        </w:rPr>
        <w:t>[</w:t>
      </w:r>
      <w:r w:rsidR="007A6FED" w:rsidRPr="00CE6EE6">
        <w:rPr>
          <w:vertAlign w:val="superscript"/>
        </w:rPr>
        <w:t>1]</w:t>
      </w:r>
      <w:r w:rsidR="00154037">
        <w:t xml:space="preserve"> </w:t>
      </w:r>
    </w:p>
    <w:p w14:paraId="286A64F9" w14:textId="20A3C939" w:rsidR="00D72A1E" w:rsidRDefault="00D72A1E" w:rsidP="00BA6FCC">
      <w:r w:rsidRPr="00D72A1E">
        <w:t xml:space="preserve">To capture value from an estimated US$2.5 trillion in mineral </w:t>
      </w:r>
      <w:r w:rsidR="00B8652E">
        <w:t xml:space="preserve">resources </w:t>
      </w:r>
      <w:r w:rsidRPr="00D72A1E">
        <w:t>across 48 identified minerals, the Kingdom has introduced a range of initiatives to build a dynamic mining investment and exploration ecosystem. These include legal and regulatory reforms, licensing and digitisation initiatives, exploration incentives and financing mechanisms, geological data programs, infrastructure investment, and international partnerships.</w:t>
      </w:r>
    </w:p>
    <w:p w14:paraId="0D744B8B" w14:textId="06CBA63E" w:rsidR="005F048B" w:rsidRDefault="002D0BD5" w:rsidP="00BA6FCC">
      <w:pPr>
        <w:rPr>
          <w:b/>
          <w:bCs/>
        </w:rPr>
      </w:pPr>
      <w:r>
        <w:t>Maaden</w:t>
      </w:r>
      <w:r w:rsidR="00EE06EF" w:rsidRPr="00224F99">
        <w:t xml:space="preserve"> </w:t>
      </w:r>
      <w:r w:rsidR="00EE06EF">
        <w:t>leads</w:t>
      </w:r>
      <w:r w:rsidR="00EE06EF" w:rsidRPr="00224F99">
        <w:t xml:space="preserve"> </w:t>
      </w:r>
      <w:r w:rsidR="00306B25" w:rsidRPr="00306B25">
        <w:t>Saudi Arabia’s</w:t>
      </w:r>
      <w:r w:rsidR="00EE06EF">
        <w:t xml:space="preserve"> </w:t>
      </w:r>
      <w:r w:rsidR="00EE06EF" w:rsidRPr="00224F99">
        <w:t>exploration portfolio</w:t>
      </w:r>
      <w:r w:rsidR="00306B25" w:rsidRPr="00306B25">
        <w:t>, with much of its activity</w:t>
      </w:r>
      <w:r w:rsidR="00EE06EF" w:rsidRPr="00224F99">
        <w:t xml:space="preserve"> targeting </w:t>
      </w:r>
      <w:r w:rsidR="00306B25" w:rsidRPr="00306B25">
        <w:t>areas</w:t>
      </w:r>
      <w:r w:rsidR="00EE06EF" w:rsidRPr="00224F99">
        <w:t xml:space="preserve"> near existing operations. </w:t>
      </w:r>
      <w:r w:rsidR="00234DBF" w:rsidRPr="00234DBF">
        <w:t>On 18 August 2026, Aramco and Maaden signed a shareholders’ agreement for a proposed venture owned 51% by Maaden and 49% by Aramco. The exploration programme covers approximately 182,000 km² in Zone-4 of the Arabian Platform</w:t>
      </w:r>
      <w:r w:rsidR="00F512D0">
        <w:t xml:space="preserve"> </w:t>
      </w:r>
      <w:r w:rsidR="00F512D0" w:rsidRPr="00CE6EE6">
        <w:rPr>
          <w:vertAlign w:val="superscript"/>
        </w:rPr>
        <w:t>[32]</w:t>
      </w:r>
      <w:r w:rsidR="00306B25" w:rsidRPr="00306B25">
        <w:t>.</w:t>
      </w:r>
      <w:r w:rsidR="00234DBF" w:rsidRPr="00234DBF">
        <w:t xml:space="preserve"> The agreement taking effect and the venture being incorporated remain subject to approvals and other conditions. Suppliers should therefore confirm procurement arrangements before treating the announcement as an opportunity to bid</w:t>
      </w:r>
      <w:r w:rsidR="00306B25" w:rsidRPr="00306B25">
        <w:t>.</w:t>
      </w:r>
      <w:r w:rsidR="00306B25" w:rsidRPr="00CE6EE6">
        <w:rPr>
          <w:vertAlign w:val="superscript"/>
        </w:rPr>
        <w:t>[</w:t>
      </w:r>
      <w:r w:rsidR="001B33E6" w:rsidRPr="00CE6EE6">
        <w:rPr>
          <w:vertAlign w:val="superscript"/>
        </w:rPr>
        <w:t>31</w:t>
      </w:r>
      <w:r w:rsidR="00234DBF" w:rsidRPr="00CE6EE6">
        <w:rPr>
          <w:vertAlign w:val="superscript"/>
        </w:rPr>
        <w:t>]</w:t>
      </w:r>
      <w:r w:rsidR="00306B25" w:rsidRPr="00306B25">
        <w:t xml:space="preserve"> Maaden has also outlined a US$110 billion investment ambition over the next decade, including plans to expand gold, phosphate and aluminium production.</w:t>
      </w:r>
      <w:r w:rsidR="00306B25" w:rsidRPr="00CE6EE6">
        <w:rPr>
          <w:vertAlign w:val="superscript"/>
        </w:rPr>
        <w:t>[2][21][22][24]</w:t>
      </w:r>
      <w:r w:rsidR="00306B25">
        <w:t xml:space="preserve"> </w:t>
      </w:r>
      <w:r w:rsidR="005F048B" w:rsidRPr="005F048B">
        <w:t>Saudi Arabia has established mining partnerships and joint ventures at different stages with companies including Ivanhoe Electric, Barrick, Hancock Prospecting, Vedanta, McEwen Mining and Zijin Mining. The arrangements span existing operations, exploration commitments and proposed downstream investments.</w:t>
      </w:r>
      <w:r w:rsidR="005F048B" w:rsidRPr="00CE6EE6">
        <w:rPr>
          <w:vertAlign w:val="superscript"/>
        </w:rPr>
        <w:t>[5][6][7]</w:t>
      </w:r>
      <w:r w:rsidR="00D37BF4" w:rsidRPr="00CE6EE6">
        <w:rPr>
          <w:vertAlign w:val="superscript"/>
        </w:rPr>
        <w:t>[25]</w:t>
      </w:r>
    </w:p>
    <w:p w14:paraId="50684C74" w14:textId="77777777" w:rsidR="00836914" w:rsidRDefault="00836914" w:rsidP="00BA6FCC">
      <w:pPr>
        <w:rPr>
          <w:vertAlign w:val="superscript"/>
        </w:rPr>
      </w:pPr>
      <w:r w:rsidRPr="00836914">
        <w:t>Central to attracting investors has been digitisation and data capture, including a large-scale national geological survey program led by the Saudi Geological Survey and the development of the Ta’adeen platform as a gateway for licensing, investment incentives, prequalification and competitive auctions. The Ta’adeen platform is operated by ESNAD (Saudi Mining Services Company) under the Ministry of Industry and Mineral Resources.</w:t>
      </w:r>
      <w:r w:rsidRPr="00CE6EE6">
        <w:rPr>
          <w:vertAlign w:val="superscript"/>
        </w:rPr>
        <w:t>[9]</w:t>
      </w:r>
    </w:p>
    <w:p w14:paraId="7D2EBA27" w14:textId="77777777" w:rsidR="00B31833" w:rsidRDefault="00B31833" w:rsidP="00BA6FCC">
      <w:pPr>
        <w:rPr>
          <w:b/>
          <w:bCs/>
        </w:rPr>
      </w:pPr>
    </w:p>
    <w:p w14:paraId="6DCF6FB3" w14:textId="475CD512" w:rsidR="001629E2" w:rsidRDefault="001629E2" w:rsidP="00B31833">
      <w:pPr>
        <w:pStyle w:val="Heading3"/>
      </w:pPr>
      <w:r w:rsidRPr="00EE035A">
        <w:lastRenderedPageBreak/>
        <w:t xml:space="preserve">Key Projects </w:t>
      </w:r>
    </w:p>
    <w:tbl>
      <w:tblPr>
        <w:tblStyle w:val="TableGrid"/>
        <w:tblW w:w="9923" w:type="dxa"/>
        <w:tblLayout w:type="fixed"/>
        <w:tblCellMar>
          <w:top w:w="57" w:type="dxa"/>
          <w:bottom w:w="57" w:type="dxa"/>
        </w:tblCellMar>
        <w:tblLook w:val="04A0" w:firstRow="1" w:lastRow="0" w:firstColumn="1" w:lastColumn="0" w:noHBand="0" w:noVBand="1"/>
      </w:tblPr>
      <w:tblGrid>
        <w:gridCol w:w="1825"/>
        <w:gridCol w:w="3987"/>
        <w:gridCol w:w="4111"/>
      </w:tblGrid>
      <w:tr w:rsidR="000747D0" w14:paraId="76D39B51" w14:textId="77777777" w:rsidTr="005A3274">
        <w:tc>
          <w:tcPr>
            <w:tcW w:w="1825" w:type="dxa"/>
            <w:shd w:val="clear" w:color="auto" w:fill="173F34" w:themeFill="accent1"/>
            <w:vAlign w:val="center"/>
          </w:tcPr>
          <w:p w14:paraId="2CAFD526" w14:textId="3E819F57" w:rsidR="000747D0" w:rsidRDefault="000747D0" w:rsidP="005A3274">
            <w:pPr>
              <w:spacing w:after="40"/>
            </w:pPr>
            <w:r>
              <w:rPr>
                <w:b/>
                <w:sz w:val="16"/>
              </w:rPr>
              <w:t xml:space="preserve">Project </w:t>
            </w:r>
          </w:p>
        </w:tc>
        <w:tc>
          <w:tcPr>
            <w:tcW w:w="3987" w:type="dxa"/>
            <w:shd w:val="clear" w:color="auto" w:fill="173F34" w:themeFill="accent1"/>
            <w:vAlign w:val="center"/>
          </w:tcPr>
          <w:p w14:paraId="7090E1DA" w14:textId="0D040A2E" w:rsidR="000747D0" w:rsidRDefault="000747D0" w:rsidP="005A3274">
            <w:pPr>
              <w:spacing w:after="40"/>
            </w:pPr>
            <w:r>
              <w:rPr>
                <w:b/>
                <w:sz w:val="16"/>
              </w:rPr>
              <w:t xml:space="preserve">Overview </w:t>
            </w:r>
          </w:p>
        </w:tc>
        <w:tc>
          <w:tcPr>
            <w:tcW w:w="4111" w:type="dxa"/>
            <w:shd w:val="clear" w:color="auto" w:fill="173F34" w:themeFill="accent1"/>
            <w:vAlign w:val="center"/>
          </w:tcPr>
          <w:p w14:paraId="01355A3E" w14:textId="6F073EFB" w:rsidR="000747D0" w:rsidRDefault="000747D0" w:rsidP="005A3274">
            <w:pPr>
              <w:spacing w:after="40"/>
            </w:pPr>
            <w:r>
              <w:rPr>
                <w:b/>
                <w:sz w:val="16"/>
              </w:rPr>
              <w:t>METS opportunity</w:t>
            </w:r>
          </w:p>
        </w:tc>
      </w:tr>
      <w:tr w:rsidR="000747D0" w14:paraId="7FEA8003" w14:textId="77777777" w:rsidTr="005A3274">
        <w:tc>
          <w:tcPr>
            <w:tcW w:w="1825" w:type="dxa"/>
          </w:tcPr>
          <w:p w14:paraId="2EFA655E" w14:textId="55FB6FAC" w:rsidR="000747D0" w:rsidRDefault="000747D0">
            <w:pPr>
              <w:spacing w:after="40"/>
            </w:pPr>
            <w:r w:rsidRPr="000747D0">
              <w:rPr>
                <w:sz w:val="15"/>
              </w:rPr>
              <w:t xml:space="preserve">Jabal Sayid Copper Mine – </w:t>
            </w:r>
            <w:r w:rsidR="00B54557">
              <w:rPr>
                <w:sz w:val="15"/>
              </w:rPr>
              <w:t>Maaden</w:t>
            </w:r>
            <w:r w:rsidRPr="000747D0">
              <w:rPr>
                <w:sz w:val="15"/>
              </w:rPr>
              <w:t xml:space="preserve"> Barrick Copper Company (50-50 JV)</w:t>
            </w:r>
          </w:p>
        </w:tc>
        <w:tc>
          <w:tcPr>
            <w:tcW w:w="3987" w:type="dxa"/>
          </w:tcPr>
          <w:p w14:paraId="570F9E97" w14:textId="7AF90124" w:rsidR="000747D0" w:rsidRDefault="000747D0">
            <w:pPr>
              <w:spacing w:after="40"/>
            </w:pPr>
            <w:r w:rsidRPr="000747D0">
              <w:rPr>
                <w:sz w:val="15"/>
              </w:rPr>
              <w:t>Saudi Arabia’s largest underground base metals mine producing 64kt of copper in 2025, with gold and silver as by-products. Australian mining contractor, Byrnecut Group, has a long-standing partnership and undertakes underground development, production drilling, blasting, haulage, paste-fill and fleet maintenance</w:t>
            </w:r>
            <w:r>
              <w:rPr>
                <w:sz w:val="15"/>
              </w:rPr>
              <w:t xml:space="preserve">. </w:t>
            </w:r>
          </w:p>
        </w:tc>
        <w:tc>
          <w:tcPr>
            <w:tcW w:w="4111" w:type="dxa"/>
          </w:tcPr>
          <w:p w14:paraId="0D43DFB9" w14:textId="398C856C" w:rsidR="000747D0" w:rsidRDefault="00D139C1">
            <w:pPr>
              <w:spacing w:after="40"/>
            </w:pPr>
            <w:r w:rsidRPr="00D139C1">
              <w:rPr>
                <w:sz w:val="15"/>
              </w:rPr>
              <w:t>Byrnecut provides an interface into the market and has introduced several Australian technologies, such as the LiveMine paperless data management system and the Transcale truck load scanner, weighbridge and truck analysis system. Current priorities for Jabal Sayid are to maintain production efficiencies</w:t>
            </w:r>
            <w:r w:rsidR="003936B7">
              <w:rPr>
                <w:sz w:val="15"/>
              </w:rPr>
              <w:t xml:space="preserve"> </w:t>
            </w:r>
            <w:r w:rsidRPr="00D139C1">
              <w:rPr>
                <w:sz w:val="15"/>
              </w:rPr>
              <w:t>and continue exploration activities to extend the life of mine.</w:t>
            </w:r>
            <w:r w:rsidRPr="00CE6EE6">
              <w:rPr>
                <w:sz w:val="15"/>
                <w:vertAlign w:val="superscript"/>
              </w:rPr>
              <w:t>[10]</w:t>
            </w:r>
            <w:r w:rsidR="008D16D7">
              <w:rPr>
                <w:sz w:val="15"/>
              </w:rPr>
              <w:t xml:space="preserve"> </w:t>
            </w:r>
            <w:r w:rsidR="008D16D7" w:rsidRPr="008D16D7">
              <w:rPr>
                <w:sz w:val="15"/>
              </w:rPr>
              <w:t>Potential METS fit includes underground productivity, fleet reliability, ventilation, processing performance and funded exploration work; suppliers should confirm a specific operating need and purchasing route.</w:t>
            </w:r>
          </w:p>
        </w:tc>
      </w:tr>
      <w:tr w:rsidR="000747D0" w14:paraId="3C004C29" w14:textId="77777777" w:rsidTr="005A3274">
        <w:tc>
          <w:tcPr>
            <w:tcW w:w="1825" w:type="dxa"/>
          </w:tcPr>
          <w:p w14:paraId="623E020D" w14:textId="291EBEBD" w:rsidR="000747D0" w:rsidRPr="007936FF" w:rsidRDefault="00242CAF">
            <w:pPr>
              <w:spacing w:after="40"/>
              <w:rPr>
                <w:lang w:val="de-DE"/>
              </w:rPr>
            </w:pPr>
            <w:r w:rsidRPr="007936FF">
              <w:rPr>
                <w:sz w:val="15"/>
                <w:lang w:val="de-DE"/>
              </w:rPr>
              <w:t xml:space="preserve">Mansourah-Massarah Gold Mine – </w:t>
            </w:r>
            <w:r w:rsidR="00B54557">
              <w:rPr>
                <w:sz w:val="15"/>
                <w:lang w:val="de-DE"/>
              </w:rPr>
              <w:t>Maaden</w:t>
            </w:r>
          </w:p>
        </w:tc>
        <w:tc>
          <w:tcPr>
            <w:tcW w:w="3987" w:type="dxa"/>
          </w:tcPr>
          <w:p w14:paraId="7FE19C70" w14:textId="6667C309" w:rsidR="000747D0" w:rsidRDefault="00112B75">
            <w:pPr>
              <w:spacing w:after="40"/>
            </w:pPr>
            <w:r w:rsidRPr="00242CAF">
              <w:rPr>
                <w:sz w:val="15"/>
              </w:rPr>
              <w:t>Mansourah-Massarah</w:t>
            </w:r>
            <w:r>
              <w:rPr>
                <w:sz w:val="15"/>
              </w:rPr>
              <w:t xml:space="preserve"> </w:t>
            </w:r>
            <w:r w:rsidR="00A80DF0">
              <w:rPr>
                <w:sz w:val="15"/>
              </w:rPr>
              <w:t xml:space="preserve">is </w:t>
            </w:r>
            <w:r w:rsidR="00B47BA2">
              <w:rPr>
                <w:sz w:val="15"/>
              </w:rPr>
              <w:t>Maaden’s</w:t>
            </w:r>
            <w:r w:rsidR="00A80DF0">
              <w:rPr>
                <w:sz w:val="15"/>
              </w:rPr>
              <w:t xml:space="preserve"> flagship gold </w:t>
            </w:r>
            <w:r w:rsidR="0055268D">
              <w:rPr>
                <w:sz w:val="15"/>
              </w:rPr>
              <w:t xml:space="preserve">project, which is expected to produce </w:t>
            </w:r>
            <w:r w:rsidR="0055268D" w:rsidRPr="0055268D">
              <w:rPr>
                <w:sz w:val="15"/>
              </w:rPr>
              <w:t>250,000 ounces of gold per year</w:t>
            </w:r>
            <w:r w:rsidR="0055268D">
              <w:rPr>
                <w:sz w:val="15"/>
              </w:rPr>
              <w:t xml:space="preserve"> over its mine life. </w:t>
            </w:r>
            <w:r w:rsidR="00BF5D9D">
              <w:rPr>
                <w:sz w:val="15"/>
              </w:rPr>
              <w:t>The site includes open-pit mines</w:t>
            </w:r>
            <w:r w:rsidR="00E70D87">
              <w:rPr>
                <w:sz w:val="15"/>
              </w:rPr>
              <w:t xml:space="preserve">, </w:t>
            </w:r>
            <w:r w:rsidR="00E70D87" w:rsidRPr="00E70D87">
              <w:rPr>
                <w:sz w:val="15"/>
              </w:rPr>
              <w:t>a greenfield mineral concentrator and gold processing plant</w:t>
            </w:r>
            <w:r w:rsidR="00037A94">
              <w:rPr>
                <w:sz w:val="15"/>
              </w:rPr>
              <w:t xml:space="preserve">. </w:t>
            </w:r>
          </w:p>
        </w:tc>
        <w:tc>
          <w:tcPr>
            <w:tcW w:w="4111" w:type="dxa"/>
          </w:tcPr>
          <w:p w14:paraId="0D3B6E3A" w14:textId="29A2319B" w:rsidR="000747D0" w:rsidRDefault="00C562D3" w:rsidP="00763DAC">
            <w:pPr>
              <w:spacing w:after="40"/>
            </w:pPr>
            <w:r>
              <w:rPr>
                <w:sz w:val="15"/>
              </w:rPr>
              <w:t xml:space="preserve">Immediate opportunities </w:t>
            </w:r>
            <w:r w:rsidR="00676526">
              <w:rPr>
                <w:sz w:val="15"/>
              </w:rPr>
              <w:t xml:space="preserve">align to operational efficiencies across maintenance, fleet management, </w:t>
            </w:r>
            <w:r w:rsidR="003D0186">
              <w:rPr>
                <w:sz w:val="15"/>
              </w:rPr>
              <w:t>materials handling and processing optimisation.</w:t>
            </w:r>
            <w:r w:rsidR="00763DAC">
              <w:rPr>
                <w:sz w:val="15"/>
              </w:rPr>
              <w:t xml:space="preserve"> </w:t>
            </w:r>
            <w:r w:rsidR="00B47BA2">
              <w:rPr>
                <w:sz w:val="15"/>
              </w:rPr>
              <w:t>Maaden</w:t>
            </w:r>
            <w:r w:rsidR="003D0186">
              <w:rPr>
                <w:sz w:val="15"/>
              </w:rPr>
              <w:t xml:space="preserve"> continues to </w:t>
            </w:r>
            <w:r w:rsidR="006B11D9">
              <w:rPr>
                <w:sz w:val="15"/>
              </w:rPr>
              <w:t xml:space="preserve">explore </w:t>
            </w:r>
            <w:r w:rsidR="00C71CA2">
              <w:rPr>
                <w:sz w:val="15"/>
              </w:rPr>
              <w:t xml:space="preserve">multiple </w:t>
            </w:r>
            <w:r w:rsidR="0030602A">
              <w:rPr>
                <w:sz w:val="15"/>
              </w:rPr>
              <w:t xml:space="preserve">high-grade </w:t>
            </w:r>
            <w:r w:rsidR="00C71CA2">
              <w:rPr>
                <w:sz w:val="15"/>
              </w:rPr>
              <w:t>deposits south of its existing mine</w:t>
            </w:r>
            <w:r w:rsidR="0030602A">
              <w:rPr>
                <w:sz w:val="15"/>
              </w:rPr>
              <w:t xml:space="preserve"> which indicates potential for expanded operations in the area. </w:t>
            </w:r>
            <w:r w:rsidR="009900A8" w:rsidRPr="00CE6EE6">
              <w:rPr>
                <w:sz w:val="15"/>
                <w:vertAlign w:val="superscript"/>
              </w:rPr>
              <w:t>[11]</w:t>
            </w:r>
          </w:p>
        </w:tc>
      </w:tr>
      <w:tr w:rsidR="000747D0" w14:paraId="7FEDE804" w14:textId="77777777" w:rsidTr="005A3274">
        <w:tc>
          <w:tcPr>
            <w:tcW w:w="1825" w:type="dxa"/>
          </w:tcPr>
          <w:p w14:paraId="7276975C" w14:textId="5E36CB28" w:rsidR="000747D0" w:rsidRDefault="00FA0AD4">
            <w:pPr>
              <w:spacing w:after="40"/>
            </w:pPr>
            <w:r w:rsidRPr="00FA0AD4">
              <w:rPr>
                <w:sz w:val="15"/>
              </w:rPr>
              <w:t xml:space="preserve">Phosphate Phase 3 – </w:t>
            </w:r>
            <w:r w:rsidR="00B47BA2">
              <w:rPr>
                <w:sz w:val="15"/>
              </w:rPr>
              <w:t>Maaden</w:t>
            </w:r>
          </w:p>
        </w:tc>
        <w:tc>
          <w:tcPr>
            <w:tcW w:w="3987" w:type="dxa"/>
          </w:tcPr>
          <w:p w14:paraId="4A9995CA" w14:textId="5CF9CF47" w:rsidR="000747D0" w:rsidRDefault="009B6103">
            <w:pPr>
              <w:spacing w:after="40"/>
            </w:pPr>
            <w:r>
              <w:rPr>
                <w:sz w:val="15"/>
              </w:rPr>
              <w:t>Phosphate 3</w:t>
            </w:r>
            <w:r w:rsidR="00DD5313">
              <w:rPr>
                <w:sz w:val="15"/>
              </w:rPr>
              <w:t xml:space="preserve"> aims to </w:t>
            </w:r>
            <w:r w:rsidR="0047038C">
              <w:rPr>
                <w:sz w:val="15"/>
              </w:rPr>
              <w:t>increase</w:t>
            </w:r>
            <w:r w:rsidR="00DD5313">
              <w:rPr>
                <w:sz w:val="15"/>
              </w:rPr>
              <w:t xml:space="preserve"> </w:t>
            </w:r>
            <w:r w:rsidR="00B47BA2">
              <w:rPr>
                <w:sz w:val="15"/>
              </w:rPr>
              <w:t>Maaden’s</w:t>
            </w:r>
            <w:r w:rsidR="009128C7">
              <w:rPr>
                <w:sz w:val="15"/>
              </w:rPr>
              <w:t xml:space="preserve"> phosphate production </w:t>
            </w:r>
            <w:r w:rsidR="0047038C">
              <w:rPr>
                <w:sz w:val="15"/>
              </w:rPr>
              <w:t xml:space="preserve">to 9Mt annually </w:t>
            </w:r>
            <w:r w:rsidR="009128C7">
              <w:rPr>
                <w:sz w:val="15"/>
              </w:rPr>
              <w:t xml:space="preserve">across their </w:t>
            </w:r>
            <w:r>
              <w:rPr>
                <w:sz w:val="15"/>
              </w:rPr>
              <w:t xml:space="preserve">two key industrial cities of </w:t>
            </w:r>
            <w:r w:rsidR="00DD5313" w:rsidRPr="00DD5313">
              <w:rPr>
                <w:sz w:val="15"/>
              </w:rPr>
              <w:t>Wa'ad Al Shamal (WAS) and Ras Al-Khair (RAK)</w:t>
            </w:r>
            <w:r w:rsidR="009128C7">
              <w:rPr>
                <w:sz w:val="15"/>
              </w:rPr>
              <w:t xml:space="preserve">. </w:t>
            </w:r>
            <w:r w:rsidR="000004A3">
              <w:rPr>
                <w:sz w:val="15"/>
              </w:rPr>
              <w:t>Commissio</w:t>
            </w:r>
            <w:r w:rsidR="00691A4A">
              <w:rPr>
                <w:sz w:val="15"/>
              </w:rPr>
              <w:t xml:space="preserve">ning of Phase 1 infrastructure is </w:t>
            </w:r>
            <w:r w:rsidR="000F0693">
              <w:rPr>
                <w:sz w:val="15"/>
              </w:rPr>
              <w:t xml:space="preserve">on track </w:t>
            </w:r>
            <w:r w:rsidR="00691A4A">
              <w:rPr>
                <w:sz w:val="15"/>
              </w:rPr>
              <w:t xml:space="preserve">to begin at the end of 2026. </w:t>
            </w:r>
          </w:p>
        </w:tc>
        <w:tc>
          <w:tcPr>
            <w:tcW w:w="4111" w:type="dxa"/>
          </w:tcPr>
          <w:p w14:paraId="0114397C" w14:textId="5F60150D" w:rsidR="000747D0" w:rsidRDefault="001557C5">
            <w:pPr>
              <w:spacing w:after="40"/>
            </w:pPr>
            <w:r w:rsidRPr="001557C5">
              <w:rPr>
                <w:sz w:val="15"/>
              </w:rPr>
              <w:t>Worley and JESA International are leading the design and construction of Phase 1, with support of specialist equipment and technology providers such as FLSmidth.</w:t>
            </w:r>
            <w:r w:rsidRPr="00CE6EE6">
              <w:rPr>
                <w:sz w:val="15"/>
                <w:vertAlign w:val="superscript"/>
              </w:rPr>
              <w:t>[12]</w:t>
            </w:r>
            <w:r w:rsidR="00885367">
              <w:rPr>
                <w:sz w:val="15"/>
              </w:rPr>
              <w:t xml:space="preserve"> Operational, maintenance and optimisation </w:t>
            </w:r>
            <w:r w:rsidR="007265AC">
              <w:rPr>
                <w:sz w:val="15"/>
              </w:rPr>
              <w:t xml:space="preserve">support </w:t>
            </w:r>
            <w:r w:rsidR="00885367">
              <w:rPr>
                <w:sz w:val="15"/>
              </w:rPr>
              <w:t xml:space="preserve">opportunities </w:t>
            </w:r>
            <w:r w:rsidR="00E720D4">
              <w:rPr>
                <w:sz w:val="15"/>
              </w:rPr>
              <w:t xml:space="preserve">set to follow from 2027 ramp up. </w:t>
            </w:r>
          </w:p>
        </w:tc>
      </w:tr>
      <w:tr w:rsidR="00C731DF" w:rsidRPr="00A0476C" w14:paraId="7BCF627C" w14:textId="77777777" w:rsidTr="005A3274">
        <w:tc>
          <w:tcPr>
            <w:tcW w:w="1825" w:type="dxa"/>
          </w:tcPr>
          <w:p w14:paraId="2D1CC3A2" w14:textId="6F2DEBA5" w:rsidR="00C731DF" w:rsidRPr="00A0476C" w:rsidRDefault="00C731DF">
            <w:pPr>
              <w:spacing w:after="40"/>
              <w:rPr>
                <w:sz w:val="15"/>
                <w:lang w:val="de-DE"/>
              </w:rPr>
            </w:pPr>
            <w:r w:rsidRPr="00B36CB4">
              <w:rPr>
                <w:sz w:val="15"/>
                <w:lang w:val="de-DE"/>
              </w:rPr>
              <w:t>Ar Rjum</w:t>
            </w:r>
            <w:r w:rsidR="004B0C42" w:rsidRPr="00B36CB4">
              <w:rPr>
                <w:sz w:val="15"/>
                <w:lang w:val="de-DE"/>
              </w:rPr>
              <w:t xml:space="preserve"> Gold Mine - Maaden</w:t>
            </w:r>
          </w:p>
        </w:tc>
        <w:tc>
          <w:tcPr>
            <w:tcW w:w="3987" w:type="dxa"/>
          </w:tcPr>
          <w:p w14:paraId="4389DA78" w14:textId="7E1C5F43" w:rsidR="00C731DF" w:rsidRPr="00A0476C" w:rsidRDefault="0063792D">
            <w:pPr>
              <w:spacing w:after="40"/>
              <w:rPr>
                <w:sz w:val="15"/>
                <w:lang w:val="en-GB"/>
              </w:rPr>
            </w:pPr>
            <w:r w:rsidRPr="0063792D">
              <w:rPr>
                <w:sz w:val="15"/>
              </w:rPr>
              <w:t>Ar Rjum is Maaden's newest gold mine</w:t>
            </w:r>
            <w:r w:rsidR="00413C93">
              <w:rPr>
                <w:sz w:val="15"/>
              </w:rPr>
              <w:t xml:space="preserve"> with an expected first production in late 2028. </w:t>
            </w:r>
            <w:r w:rsidR="006B3B9F">
              <w:rPr>
                <w:sz w:val="15"/>
              </w:rPr>
              <w:t xml:space="preserve">It is an open pit </w:t>
            </w:r>
            <w:r w:rsidR="00FD2953" w:rsidRPr="00FD2953">
              <w:rPr>
                <w:sz w:val="15"/>
              </w:rPr>
              <w:t>mine with a processing facility</w:t>
            </w:r>
            <w:r w:rsidR="00FD2953">
              <w:rPr>
                <w:sz w:val="15"/>
              </w:rPr>
              <w:t xml:space="preserve"> that is expected to produce </w:t>
            </w:r>
            <w:r w:rsidR="00DB6A5F" w:rsidRPr="00DB6A5F">
              <w:rPr>
                <w:sz w:val="15"/>
              </w:rPr>
              <w:t>3.6 million ounces of gold over a 12-year life of mine</w:t>
            </w:r>
            <w:r w:rsidR="003D1300">
              <w:rPr>
                <w:sz w:val="15"/>
              </w:rPr>
              <w:t>.</w:t>
            </w:r>
            <w:r w:rsidR="00AB04FA">
              <w:rPr>
                <w:sz w:val="15"/>
              </w:rPr>
              <w:t>[27</w:t>
            </w:r>
            <w:r w:rsidR="00F512D0">
              <w:rPr>
                <w:sz w:val="15"/>
              </w:rPr>
              <w:t>, 32</w:t>
            </w:r>
            <w:r w:rsidR="00AB04FA">
              <w:rPr>
                <w:sz w:val="15"/>
              </w:rPr>
              <w:t>]</w:t>
            </w:r>
          </w:p>
        </w:tc>
        <w:tc>
          <w:tcPr>
            <w:tcW w:w="4111" w:type="dxa"/>
          </w:tcPr>
          <w:p w14:paraId="1A8F056A" w14:textId="1759AFB2" w:rsidR="00C731DF" w:rsidRPr="00A0476C" w:rsidRDefault="00C758B0">
            <w:pPr>
              <w:spacing w:after="40"/>
              <w:rPr>
                <w:sz w:val="15"/>
                <w:lang w:val="en-GB"/>
              </w:rPr>
            </w:pPr>
            <w:r w:rsidRPr="00C758B0">
              <w:rPr>
                <w:sz w:val="15"/>
                <w:lang w:val="en-GB"/>
              </w:rPr>
              <w:t>Saudi Arabian Bechtel Company and Bechtel Australia Pty Ltd are the parties to Maaden’s EPCM agreement for the Ar Rjum mine and processing facilities. The involvement of Bechtel Australia is relevant to Australian suppliers, but companies should confirm the responsible purchasing entity, supplier qualification requirements and availability of specific work packages before pursuing supply opportunities</w:t>
            </w:r>
            <w:r w:rsidR="00F512D0">
              <w:rPr>
                <w:sz w:val="15"/>
                <w:lang w:val="en-GB"/>
              </w:rPr>
              <w:t xml:space="preserve"> </w:t>
            </w:r>
            <w:r w:rsidR="00F512D0" w:rsidRPr="00CE6EE6">
              <w:rPr>
                <w:sz w:val="15"/>
                <w:vertAlign w:val="superscript"/>
                <w:lang w:val="en-GB"/>
              </w:rPr>
              <w:t>[32]</w:t>
            </w:r>
            <w:r w:rsidRPr="00C758B0">
              <w:rPr>
                <w:sz w:val="15"/>
                <w:lang w:val="en-GB"/>
              </w:rPr>
              <w:t>.</w:t>
            </w:r>
          </w:p>
        </w:tc>
      </w:tr>
      <w:tr w:rsidR="000747D0" w14:paraId="2CB1DD40" w14:textId="77777777" w:rsidTr="005A3274">
        <w:tc>
          <w:tcPr>
            <w:tcW w:w="1825" w:type="dxa"/>
          </w:tcPr>
          <w:p w14:paraId="64EAD478" w14:textId="21CAA7F3" w:rsidR="000747D0" w:rsidRDefault="00FA0AD4">
            <w:pPr>
              <w:spacing w:after="40"/>
            </w:pPr>
            <w:r w:rsidRPr="00FA0AD4">
              <w:rPr>
                <w:sz w:val="15"/>
              </w:rPr>
              <w:t xml:space="preserve">Rare Earth Refinery – </w:t>
            </w:r>
            <w:r w:rsidR="00B47BA2">
              <w:rPr>
                <w:sz w:val="15"/>
              </w:rPr>
              <w:t>Maaden</w:t>
            </w:r>
            <w:r w:rsidRPr="00FA0AD4">
              <w:rPr>
                <w:sz w:val="15"/>
              </w:rPr>
              <w:t xml:space="preserve"> – MP Materials / US Department of War </w:t>
            </w:r>
            <w:r w:rsidR="00491A69">
              <w:rPr>
                <w:sz w:val="15"/>
              </w:rPr>
              <w:t>JV</w:t>
            </w:r>
          </w:p>
        </w:tc>
        <w:tc>
          <w:tcPr>
            <w:tcW w:w="3987" w:type="dxa"/>
          </w:tcPr>
          <w:p w14:paraId="1FE5DE15" w14:textId="5E1F532C" w:rsidR="000747D0" w:rsidRDefault="00504EBA">
            <w:pPr>
              <w:spacing w:after="40"/>
            </w:pPr>
            <w:r w:rsidRPr="00504EBA">
              <w:rPr>
                <w:sz w:val="15"/>
              </w:rPr>
              <w:t>A binding term sheet announced in November 2025 set out a proposed joint venture for rare earth refining and separation; the facility has not yet reached construction</w:t>
            </w:r>
            <w:r w:rsidR="009B6CB1">
              <w:rPr>
                <w:sz w:val="15"/>
              </w:rPr>
              <w:t xml:space="preserve">. </w:t>
            </w:r>
            <w:r w:rsidR="00FF4F3F" w:rsidRPr="00FF4F3F">
              <w:rPr>
                <w:sz w:val="15"/>
              </w:rPr>
              <w:t>The planned facility would process rare earth feedstock sourced from both Saudi Arabia and other global regions, producing substantial volumes of separated light and heavy rare earth oxides.</w:t>
            </w:r>
            <w:r w:rsidR="0059327D" w:rsidRPr="00CE6EE6">
              <w:rPr>
                <w:sz w:val="15"/>
                <w:vertAlign w:val="superscript"/>
              </w:rPr>
              <w:t>[13]</w:t>
            </w:r>
          </w:p>
        </w:tc>
        <w:tc>
          <w:tcPr>
            <w:tcW w:w="4111" w:type="dxa"/>
          </w:tcPr>
          <w:p w14:paraId="508580FA" w14:textId="3ABED0E9" w:rsidR="000747D0" w:rsidRDefault="00FC11FD" w:rsidP="004D04FF">
            <w:pPr>
              <w:spacing w:after="40"/>
            </w:pPr>
            <w:r>
              <w:rPr>
                <w:sz w:val="15"/>
              </w:rPr>
              <w:t xml:space="preserve">This project remains at an </w:t>
            </w:r>
            <w:r w:rsidR="004D04FF">
              <w:rPr>
                <w:sz w:val="15"/>
              </w:rPr>
              <w:t>early stage</w:t>
            </w:r>
            <w:r w:rsidR="004D04FF" w:rsidRPr="004D04FF">
              <w:t xml:space="preserve"> </w:t>
            </w:r>
            <w:r w:rsidR="004D04FF" w:rsidRPr="004D04FF">
              <w:rPr>
                <w:sz w:val="15"/>
              </w:rPr>
              <w:t>rather than a fully financed project under construction.</w:t>
            </w:r>
            <w:r w:rsidR="004D04FF">
              <w:rPr>
                <w:sz w:val="15"/>
              </w:rPr>
              <w:t xml:space="preserve"> However, it represents a</w:t>
            </w:r>
            <w:r w:rsidR="001345B9">
              <w:rPr>
                <w:sz w:val="15"/>
              </w:rPr>
              <w:t xml:space="preserve"> longer-term</w:t>
            </w:r>
            <w:r w:rsidR="00100E3F">
              <w:rPr>
                <w:sz w:val="15"/>
              </w:rPr>
              <w:t xml:space="preserve"> vision of Saudi Arabia as a downstream industrial hub </w:t>
            </w:r>
            <w:r w:rsidR="00A8446A">
              <w:rPr>
                <w:sz w:val="15"/>
              </w:rPr>
              <w:t>with supply chain opportunities including</w:t>
            </w:r>
            <w:r w:rsidR="001345B9">
              <w:rPr>
                <w:sz w:val="15"/>
              </w:rPr>
              <w:t xml:space="preserve"> </w:t>
            </w:r>
            <w:r w:rsidR="00A8446A">
              <w:rPr>
                <w:sz w:val="15"/>
              </w:rPr>
              <w:t xml:space="preserve">engineering and construction, </w:t>
            </w:r>
            <w:r w:rsidR="001345B9">
              <w:rPr>
                <w:sz w:val="15"/>
              </w:rPr>
              <w:t>specialised processing and refining technology</w:t>
            </w:r>
            <w:r w:rsidR="00C065E6">
              <w:rPr>
                <w:sz w:val="15"/>
              </w:rPr>
              <w:t xml:space="preserve"> and digital </w:t>
            </w:r>
            <w:r w:rsidR="004C0BFA">
              <w:rPr>
                <w:sz w:val="15"/>
              </w:rPr>
              <w:t xml:space="preserve">architecture. </w:t>
            </w:r>
            <w:r w:rsidR="001345B9">
              <w:rPr>
                <w:sz w:val="15"/>
              </w:rPr>
              <w:t xml:space="preserve"> </w:t>
            </w:r>
          </w:p>
        </w:tc>
      </w:tr>
    </w:tbl>
    <w:p w14:paraId="7C4CE310" w14:textId="77777777" w:rsidR="000747D0" w:rsidRPr="00EE035A" w:rsidRDefault="000747D0" w:rsidP="001629E2">
      <w:pPr>
        <w:spacing w:after="200" w:line="276" w:lineRule="auto"/>
        <w:rPr>
          <w:rFonts w:asciiTheme="majorHAnsi" w:hAnsiTheme="majorHAnsi" w:cstheme="majorHAnsi"/>
          <w:b/>
          <w:bCs/>
          <w:color w:val="000000" w:themeColor="text2"/>
          <w:sz w:val="22"/>
        </w:rPr>
      </w:pPr>
    </w:p>
    <w:p w14:paraId="40808E2C" w14:textId="53DF34C6" w:rsidR="00ED084E" w:rsidRDefault="00DA58A2" w:rsidP="007F33FC">
      <w:pPr>
        <w:pStyle w:val="Heading3"/>
      </w:pPr>
      <w:r>
        <w:t xml:space="preserve">Market Approach for Australian METS </w:t>
      </w:r>
    </w:p>
    <w:p w14:paraId="3CEF6ED8" w14:textId="77777777" w:rsidR="007F33FC" w:rsidRPr="007F33FC" w:rsidRDefault="007F33FC" w:rsidP="007F33FC"/>
    <w:p w14:paraId="7E0A0B8C" w14:textId="66A84828" w:rsidR="00ED084E" w:rsidRPr="00224F99" w:rsidRDefault="00ED084E" w:rsidP="00245D3A">
      <w:pPr>
        <w:pStyle w:val="Quote1"/>
      </w:pPr>
      <w:r w:rsidRPr="00224F99">
        <w:t>“Australian companies enter Saudi Arabia with a genuine advantage: Australian mining expertise is well regarded and there are strong existing people-to-people links between the two countries.”</w:t>
      </w:r>
    </w:p>
    <w:p w14:paraId="6269F258" w14:textId="700EFD49" w:rsidR="00ED084E" w:rsidRDefault="00ED084E" w:rsidP="00BC7041">
      <w:pPr>
        <w:pStyle w:val="quotename"/>
      </w:pPr>
      <w:r>
        <w:t xml:space="preserve">- </w:t>
      </w:r>
      <w:r w:rsidR="00837C11">
        <w:t>Danie</w:t>
      </w:r>
      <w:r w:rsidR="005D4911">
        <w:t>l Jamsheedi, Partnership Director, Australian Saudi Business Council and Forum</w:t>
      </w:r>
    </w:p>
    <w:p w14:paraId="47D16013" w14:textId="247BBE8C" w:rsidR="00397592" w:rsidRDefault="00397592" w:rsidP="001116EE">
      <w:pPr>
        <w:pStyle w:val="Heading2"/>
        <w:rPr>
          <w:rFonts w:eastAsia="Aptos" w:cstheme="majorHAnsi"/>
          <w:b w:val="0"/>
          <w:bCs w:val="0"/>
          <w:color w:val="auto"/>
          <w:sz w:val="20"/>
          <w:szCs w:val="20"/>
        </w:rPr>
      </w:pPr>
    </w:p>
    <w:tbl>
      <w:tblPr>
        <w:tblStyle w:val="TableGrid"/>
        <w:tblW w:w="0" w:type="auto"/>
        <w:tblLook w:val="04A0" w:firstRow="1" w:lastRow="0" w:firstColumn="1" w:lastColumn="0" w:noHBand="0" w:noVBand="1"/>
      </w:tblPr>
      <w:tblGrid>
        <w:gridCol w:w="1980"/>
        <w:gridCol w:w="2835"/>
        <w:gridCol w:w="5255"/>
      </w:tblGrid>
      <w:tr w:rsidR="00B1500C" w:rsidRPr="001264C2" w14:paraId="0FE0F99B" w14:textId="77777777" w:rsidTr="002366DF">
        <w:tc>
          <w:tcPr>
            <w:tcW w:w="1980" w:type="dxa"/>
            <w:shd w:val="clear" w:color="auto" w:fill="173F34" w:themeFill="accent1"/>
          </w:tcPr>
          <w:p w14:paraId="46C45F09" w14:textId="77777777" w:rsidR="00B1500C" w:rsidRPr="001264C2" w:rsidRDefault="00B1500C">
            <w:pPr>
              <w:rPr>
                <w:b/>
                <w:bCs/>
                <w:sz w:val="16"/>
                <w:szCs w:val="18"/>
              </w:rPr>
            </w:pPr>
            <w:r w:rsidRPr="001264C2">
              <w:rPr>
                <w:b/>
                <w:bCs/>
                <w:sz w:val="16"/>
                <w:szCs w:val="18"/>
              </w:rPr>
              <w:t xml:space="preserve">Category </w:t>
            </w:r>
          </w:p>
        </w:tc>
        <w:tc>
          <w:tcPr>
            <w:tcW w:w="2835" w:type="dxa"/>
            <w:shd w:val="clear" w:color="auto" w:fill="173F34" w:themeFill="accent1"/>
          </w:tcPr>
          <w:p w14:paraId="767EB189" w14:textId="77777777" w:rsidR="00B1500C" w:rsidRPr="001264C2" w:rsidRDefault="00B1500C">
            <w:pPr>
              <w:rPr>
                <w:b/>
                <w:bCs/>
                <w:sz w:val="16"/>
                <w:szCs w:val="18"/>
              </w:rPr>
            </w:pPr>
            <w:r w:rsidRPr="001264C2">
              <w:rPr>
                <w:b/>
                <w:bCs/>
                <w:sz w:val="16"/>
                <w:szCs w:val="18"/>
              </w:rPr>
              <w:t xml:space="preserve">Capabilities Required </w:t>
            </w:r>
          </w:p>
        </w:tc>
        <w:tc>
          <w:tcPr>
            <w:tcW w:w="5255" w:type="dxa"/>
            <w:shd w:val="clear" w:color="auto" w:fill="173F34" w:themeFill="accent1"/>
          </w:tcPr>
          <w:p w14:paraId="756DC9BB" w14:textId="77777777" w:rsidR="00B1500C" w:rsidRPr="001264C2" w:rsidRDefault="00B1500C">
            <w:pPr>
              <w:rPr>
                <w:b/>
                <w:bCs/>
                <w:sz w:val="16"/>
                <w:szCs w:val="18"/>
              </w:rPr>
            </w:pPr>
            <w:r w:rsidRPr="001264C2">
              <w:rPr>
                <w:b/>
                <w:bCs/>
                <w:sz w:val="16"/>
                <w:szCs w:val="18"/>
              </w:rPr>
              <w:t xml:space="preserve">Demand Drivers </w:t>
            </w:r>
          </w:p>
        </w:tc>
      </w:tr>
      <w:tr w:rsidR="00B1500C" w:rsidRPr="001264C2" w14:paraId="06772D6E" w14:textId="77777777" w:rsidTr="002366DF">
        <w:tc>
          <w:tcPr>
            <w:tcW w:w="1980" w:type="dxa"/>
          </w:tcPr>
          <w:p w14:paraId="44D46DB9" w14:textId="156B2DA4" w:rsidR="00B1500C" w:rsidRPr="001264C2" w:rsidRDefault="00352E36">
            <w:pPr>
              <w:rPr>
                <w:sz w:val="16"/>
                <w:szCs w:val="18"/>
              </w:rPr>
            </w:pPr>
            <w:r>
              <w:rPr>
                <w:sz w:val="16"/>
                <w:szCs w:val="18"/>
              </w:rPr>
              <w:lastRenderedPageBreak/>
              <w:t xml:space="preserve">Exploration solutions </w:t>
            </w:r>
          </w:p>
        </w:tc>
        <w:tc>
          <w:tcPr>
            <w:tcW w:w="2835" w:type="dxa"/>
          </w:tcPr>
          <w:p w14:paraId="248237D0" w14:textId="2D9E3423" w:rsidR="00B1500C" w:rsidRPr="001264C2" w:rsidRDefault="00381D38">
            <w:pPr>
              <w:rPr>
                <w:sz w:val="16"/>
                <w:szCs w:val="18"/>
              </w:rPr>
            </w:pPr>
            <w:r w:rsidRPr="00381D38">
              <w:rPr>
                <w:sz w:val="16"/>
                <w:szCs w:val="18"/>
              </w:rPr>
              <w:t>Airborne</w:t>
            </w:r>
            <w:r w:rsidR="00615744">
              <w:rPr>
                <w:sz w:val="16"/>
                <w:szCs w:val="18"/>
              </w:rPr>
              <w:t xml:space="preserve"> and </w:t>
            </w:r>
            <w:r w:rsidRPr="00381D38">
              <w:rPr>
                <w:sz w:val="16"/>
                <w:szCs w:val="18"/>
              </w:rPr>
              <w:t>satellite geophysics, geochemical survey</w:t>
            </w:r>
            <w:r w:rsidR="00615744">
              <w:rPr>
                <w:sz w:val="16"/>
                <w:szCs w:val="18"/>
              </w:rPr>
              <w:t>s</w:t>
            </w:r>
            <w:r w:rsidRPr="00381D38">
              <w:rPr>
                <w:sz w:val="16"/>
                <w:szCs w:val="18"/>
              </w:rPr>
              <w:t>, drilling services, core logging, AI-driven mineral prospectivity mapping</w:t>
            </w:r>
            <w:r w:rsidR="00EA5CBF">
              <w:rPr>
                <w:sz w:val="16"/>
                <w:szCs w:val="18"/>
              </w:rPr>
              <w:t>.</w:t>
            </w:r>
          </w:p>
        </w:tc>
        <w:tc>
          <w:tcPr>
            <w:tcW w:w="5255" w:type="dxa"/>
          </w:tcPr>
          <w:p w14:paraId="5DC68FC2" w14:textId="77777777" w:rsidR="00067E39" w:rsidRPr="00067E39" w:rsidRDefault="00067E39" w:rsidP="00067E39">
            <w:pPr>
              <w:rPr>
                <w:sz w:val="16"/>
                <w:szCs w:val="18"/>
              </w:rPr>
            </w:pPr>
            <w:r w:rsidRPr="00067E39">
              <w:rPr>
                <w:sz w:val="16"/>
                <w:szCs w:val="18"/>
              </w:rPr>
              <w:t xml:space="preserve">This represents a more immediate opportunity, as demonstrated by the Fleet Space Technologies case study below. </w:t>
            </w:r>
          </w:p>
          <w:p w14:paraId="22D2A7AC" w14:textId="20B020DC" w:rsidR="00615744" w:rsidRPr="001264C2" w:rsidRDefault="00067E39" w:rsidP="00067E39">
            <w:pPr>
              <w:rPr>
                <w:sz w:val="16"/>
                <w:szCs w:val="18"/>
              </w:rPr>
            </w:pPr>
            <w:r w:rsidRPr="00067E39">
              <w:rPr>
                <w:sz w:val="16"/>
                <w:szCs w:val="18"/>
              </w:rPr>
              <w:t>The Saudi Arabia mineral exploration equipment market size reached over US$2.05</w:t>
            </w:r>
            <w:r w:rsidR="00A72CAB">
              <w:rPr>
                <w:sz w:val="16"/>
                <w:szCs w:val="18"/>
              </w:rPr>
              <w:t>b</w:t>
            </w:r>
            <w:r w:rsidRPr="00067E39">
              <w:rPr>
                <w:sz w:val="16"/>
                <w:szCs w:val="18"/>
              </w:rPr>
              <w:t>n in 2025 and is expected to grow to US$3.7</w:t>
            </w:r>
            <w:r w:rsidR="00FE1EAA">
              <w:rPr>
                <w:sz w:val="16"/>
                <w:szCs w:val="18"/>
              </w:rPr>
              <w:t>b</w:t>
            </w:r>
            <w:r w:rsidRPr="00067E39">
              <w:rPr>
                <w:sz w:val="16"/>
                <w:szCs w:val="18"/>
              </w:rPr>
              <w:t>n by 2034</w:t>
            </w:r>
            <w:r w:rsidRPr="005077DE">
              <w:rPr>
                <w:sz w:val="16"/>
                <w:szCs w:val="18"/>
              </w:rPr>
              <w:t>.</w:t>
            </w:r>
            <w:r w:rsidRPr="00CE6EE6">
              <w:rPr>
                <w:sz w:val="16"/>
                <w:szCs w:val="18"/>
                <w:vertAlign w:val="superscript"/>
              </w:rPr>
              <w:t>[14]</w:t>
            </w:r>
          </w:p>
        </w:tc>
      </w:tr>
      <w:tr w:rsidR="00B1500C" w:rsidRPr="001264C2" w14:paraId="6E37864D" w14:textId="77777777" w:rsidTr="002366DF">
        <w:tc>
          <w:tcPr>
            <w:tcW w:w="1980" w:type="dxa"/>
          </w:tcPr>
          <w:p w14:paraId="2516946D" w14:textId="7CDC9624" w:rsidR="00B1500C" w:rsidRPr="001264C2" w:rsidRDefault="00352E36">
            <w:pPr>
              <w:rPr>
                <w:sz w:val="16"/>
                <w:szCs w:val="18"/>
              </w:rPr>
            </w:pPr>
            <w:r>
              <w:rPr>
                <w:sz w:val="16"/>
                <w:szCs w:val="18"/>
              </w:rPr>
              <w:t xml:space="preserve">Engineering </w:t>
            </w:r>
            <w:r w:rsidR="00712984">
              <w:rPr>
                <w:sz w:val="16"/>
                <w:szCs w:val="18"/>
              </w:rPr>
              <w:t>and</w:t>
            </w:r>
            <w:r>
              <w:rPr>
                <w:sz w:val="16"/>
                <w:szCs w:val="18"/>
              </w:rPr>
              <w:t xml:space="preserve"> construction  </w:t>
            </w:r>
          </w:p>
        </w:tc>
        <w:tc>
          <w:tcPr>
            <w:tcW w:w="2835" w:type="dxa"/>
          </w:tcPr>
          <w:p w14:paraId="6E48EDAA" w14:textId="2942ED32" w:rsidR="00B1500C" w:rsidRPr="001264C2" w:rsidRDefault="00393808">
            <w:pPr>
              <w:rPr>
                <w:sz w:val="16"/>
                <w:szCs w:val="18"/>
              </w:rPr>
            </w:pPr>
            <w:r w:rsidRPr="00393808">
              <w:rPr>
                <w:sz w:val="16"/>
                <w:szCs w:val="18"/>
              </w:rPr>
              <w:t>Turnkey plant design and build, civil works, remote infrastructure (roads, power, water, accommodation), project management</w:t>
            </w:r>
            <w:r w:rsidR="00EA5CBF">
              <w:rPr>
                <w:sz w:val="16"/>
                <w:szCs w:val="18"/>
              </w:rPr>
              <w:t>.</w:t>
            </w:r>
          </w:p>
        </w:tc>
        <w:tc>
          <w:tcPr>
            <w:tcW w:w="5255" w:type="dxa"/>
          </w:tcPr>
          <w:p w14:paraId="7ED28B50" w14:textId="13AD7864" w:rsidR="00B1500C" w:rsidRPr="001264C2" w:rsidRDefault="00F64634">
            <w:pPr>
              <w:rPr>
                <w:sz w:val="16"/>
                <w:szCs w:val="18"/>
              </w:rPr>
            </w:pPr>
            <w:r>
              <w:rPr>
                <w:sz w:val="16"/>
                <w:szCs w:val="18"/>
              </w:rPr>
              <w:t xml:space="preserve">Market activity is shifting from </w:t>
            </w:r>
            <w:r w:rsidR="00B81BCF">
              <w:rPr>
                <w:sz w:val="16"/>
                <w:szCs w:val="18"/>
              </w:rPr>
              <w:t xml:space="preserve">specific plant builds to </w:t>
            </w:r>
            <w:r w:rsidR="00520E21">
              <w:rPr>
                <w:sz w:val="16"/>
                <w:szCs w:val="18"/>
              </w:rPr>
              <w:t xml:space="preserve">a </w:t>
            </w:r>
            <w:r w:rsidR="00520E21" w:rsidRPr="00520E21">
              <w:rPr>
                <w:sz w:val="16"/>
                <w:szCs w:val="18"/>
              </w:rPr>
              <w:t>multi-decade pipeline of greenfield plant and infrastructure builds</w:t>
            </w:r>
            <w:r w:rsidR="00520E21">
              <w:rPr>
                <w:sz w:val="16"/>
                <w:szCs w:val="18"/>
              </w:rPr>
              <w:t xml:space="preserve">. </w:t>
            </w:r>
            <w:r w:rsidR="003E45AB">
              <w:rPr>
                <w:sz w:val="16"/>
                <w:szCs w:val="18"/>
              </w:rPr>
              <w:br/>
            </w:r>
            <w:r w:rsidR="00BC59DC" w:rsidRPr="00BC59DC">
              <w:rPr>
                <w:sz w:val="16"/>
                <w:szCs w:val="18"/>
              </w:rPr>
              <w:t>Worley’s work on Phosphate 3 and Bechtel’s Ar Rjum EPCM contract provide routes for suppliers to investigate defined work packages. Companies should confirm the relevant package, contractor and procurement stage.</w:t>
            </w:r>
            <w:r w:rsidR="00BC59DC" w:rsidRPr="00CE6EE6">
              <w:rPr>
                <w:sz w:val="16"/>
                <w:szCs w:val="18"/>
                <w:vertAlign w:val="superscript"/>
              </w:rPr>
              <w:t>[21][28]</w:t>
            </w:r>
          </w:p>
        </w:tc>
      </w:tr>
      <w:tr w:rsidR="00B1500C" w:rsidRPr="001264C2" w14:paraId="62E393C0" w14:textId="77777777" w:rsidTr="002366DF">
        <w:tc>
          <w:tcPr>
            <w:tcW w:w="1980" w:type="dxa"/>
          </w:tcPr>
          <w:p w14:paraId="63283D1E" w14:textId="77F0C747" w:rsidR="00B1500C" w:rsidRPr="001264C2" w:rsidRDefault="00C45DE7">
            <w:pPr>
              <w:rPr>
                <w:sz w:val="16"/>
                <w:szCs w:val="18"/>
              </w:rPr>
            </w:pPr>
            <w:r w:rsidRPr="00C45DE7">
              <w:rPr>
                <w:sz w:val="16"/>
                <w:szCs w:val="18"/>
              </w:rPr>
              <w:t xml:space="preserve">Mineral Processing </w:t>
            </w:r>
            <w:r w:rsidR="00712984">
              <w:rPr>
                <w:sz w:val="16"/>
                <w:szCs w:val="18"/>
              </w:rPr>
              <w:t>and</w:t>
            </w:r>
            <w:r w:rsidRPr="00C45DE7">
              <w:rPr>
                <w:sz w:val="16"/>
                <w:szCs w:val="18"/>
              </w:rPr>
              <w:t xml:space="preserve"> Metallurgy</w:t>
            </w:r>
          </w:p>
        </w:tc>
        <w:tc>
          <w:tcPr>
            <w:tcW w:w="2835" w:type="dxa"/>
          </w:tcPr>
          <w:p w14:paraId="19BD9F90" w14:textId="07925FC6" w:rsidR="00B1500C" w:rsidRPr="001264C2" w:rsidRDefault="00E76248">
            <w:pPr>
              <w:rPr>
                <w:sz w:val="16"/>
                <w:szCs w:val="18"/>
              </w:rPr>
            </w:pPr>
            <w:r>
              <w:rPr>
                <w:sz w:val="16"/>
                <w:szCs w:val="18"/>
              </w:rPr>
              <w:t>Full flow sheet</w:t>
            </w:r>
            <w:r w:rsidR="00EB6273">
              <w:rPr>
                <w:sz w:val="16"/>
                <w:szCs w:val="18"/>
              </w:rPr>
              <w:t xml:space="preserve"> design and</w:t>
            </w:r>
            <w:r>
              <w:rPr>
                <w:sz w:val="16"/>
                <w:szCs w:val="18"/>
              </w:rPr>
              <w:t xml:space="preserve"> equipment supply</w:t>
            </w:r>
            <w:r w:rsidR="00356266">
              <w:rPr>
                <w:sz w:val="16"/>
                <w:szCs w:val="18"/>
              </w:rPr>
              <w:t xml:space="preserve"> across new projects, </w:t>
            </w:r>
            <w:r w:rsidR="00AB6CF1">
              <w:rPr>
                <w:sz w:val="16"/>
                <w:szCs w:val="18"/>
              </w:rPr>
              <w:t xml:space="preserve">re-processing </w:t>
            </w:r>
            <w:r w:rsidR="00550FC0">
              <w:rPr>
                <w:sz w:val="16"/>
                <w:szCs w:val="18"/>
              </w:rPr>
              <w:t>and conversion of waste streams to value</w:t>
            </w:r>
            <w:r w:rsidR="00EA5CBF">
              <w:rPr>
                <w:sz w:val="16"/>
                <w:szCs w:val="18"/>
              </w:rPr>
              <w:t>.</w:t>
            </w:r>
          </w:p>
        </w:tc>
        <w:tc>
          <w:tcPr>
            <w:tcW w:w="5255" w:type="dxa"/>
          </w:tcPr>
          <w:p w14:paraId="1A9F0DDD" w14:textId="658DF4DB" w:rsidR="005F0FA1" w:rsidRPr="001264C2" w:rsidRDefault="00402BAD">
            <w:pPr>
              <w:rPr>
                <w:sz w:val="16"/>
                <w:szCs w:val="18"/>
              </w:rPr>
            </w:pPr>
            <w:r>
              <w:rPr>
                <w:sz w:val="16"/>
                <w:szCs w:val="18"/>
              </w:rPr>
              <w:t>Maaden’s</w:t>
            </w:r>
            <w:r w:rsidR="005D1F6E">
              <w:rPr>
                <w:sz w:val="16"/>
                <w:szCs w:val="18"/>
              </w:rPr>
              <w:t xml:space="preserve"> expansion and exploration</w:t>
            </w:r>
            <w:r w:rsidR="008D4BA6">
              <w:rPr>
                <w:sz w:val="16"/>
                <w:szCs w:val="18"/>
              </w:rPr>
              <w:t xml:space="preserve"> </w:t>
            </w:r>
            <w:r w:rsidR="00C459FB">
              <w:rPr>
                <w:sz w:val="16"/>
                <w:szCs w:val="18"/>
              </w:rPr>
              <w:t xml:space="preserve">portfolio </w:t>
            </w:r>
            <w:r w:rsidR="00E8499B">
              <w:rPr>
                <w:sz w:val="16"/>
                <w:szCs w:val="18"/>
              </w:rPr>
              <w:t xml:space="preserve">will lead to </w:t>
            </w:r>
            <w:r w:rsidR="005F0FA1">
              <w:rPr>
                <w:sz w:val="16"/>
                <w:szCs w:val="18"/>
              </w:rPr>
              <w:t>demand for the full suite of capabilities to design, engineer, construct and operate processing infrastructure.</w:t>
            </w:r>
            <w:r w:rsidR="00460614">
              <w:rPr>
                <w:sz w:val="16"/>
                <w:szCs w:val="18"/>
              </w:rPr>
              <w:t xml:space="preserve"> </w:t>
            </w:r>
            <w:r w:rsidR="005F0FA1">
              <w:rPr>
                <w:sz w:val="16"/>
                <w:szCs w:val="18"/>
              </w:rPr>
              <w:t xml:space="preserve">Other immediate opportunities relate to </w:t>
            </w:r>
            <w:r w:rsidR="0009054A">
              <w:rPr>
                <w:sz w:val="16"/>
                <w:szCs w:val="18"/>
              </w:rPr>
              <w:t>finding</w:t>
            </w:r>
            <w:r w:rsidR="00F207C1">
              <w:rPr>
                <w:sz w:val="16"/>
                <w:szCs w:val="18"/>
              </w:rPr>
              <w:t xml:space="preserve"> value</w:t>
            </w:r>
            <w:r w:rsidR="0009054A">
              <w:rPr>
                <w:sz w:val="16"/>
                <w:szCs w:val="18"/>
              </w:rPr>
              <w:t xml:space="preserve"> streams</w:t>
            </w:r>
            <w:r w:rsidR="00F207C1">
              <w:rPr>
                <w:sz w:val="16"/>
                <w:szCs w:val="18"/>
              </w:rPr>
              <w:t xml:space="preserve"> from phosphate and bauxite waste, such as converting phosphogypsum into cement</w:t>
            </w:r>
            <w:r w:rsidR="00D21A19">
              <w:rPr>
                <w:sz w:val="16"/>
                <w:szCs w:val="18"/>
              </w:rPr>
              <w:t xml:space="preserve"> or </w:t>
            </w:r>
            <w:r w:rsidR="003F5EFD">
              <w:rPr>
                <w:sz w:val="16"/>
                <w:szCs w:val="18"/>
              </w:rPr>
              <w:t>re</w:t>
            </w:r>
            <w:r w:rsidR="00CF208C">
              <w:rPr>
                <w:sz w:val="16"/>
                <w:szCs w:val="18"/>
              </w:rPr>
              <w:t>-</w:t>
            </w:r>
            <w:r w:rsidR="003F5EFD">
              <w:rPr>
                <w:sz w:val="16"/>
                <w:szCs w:val="18"/>
              </w:rPr>
              <w:t xml:space="preserve">processing red </w:t>
            </w:r>
            <w:r w:rsidR="006F11C7">
              <w:rPr>
                <w:sz w:val="16"/>
                <w:szCs w:val="18"/>
              </w:rPr>
              <w:t xml:space="preserve">mud </w:t>
            </w:r>
            <w:r w:rsidR="0009054A">
              <w:rPr>
                <w:sz w:val="16"/>
                <w:szCs w:val="18"/>
              </w:rPr>
              <w:t xml:space="preserve">rich in elements such as rare earths. </w:t>
            </w:r>
            <w:r w:rsidR="005E6E3B">
              <w:rPr>
                <w:sz w:val="16"/>
                <w:szCs w:val="18"/>
              </w:rPr>
              <w:t xml:space="preserve"> </w:t>
            </w:r>
            <w:r w:rsidR="006F11C7">
              <w:rPr>
                <w:sz w:val="16"/>
                <w:szCs w:val="18"/>
              </w:rPr>
              <w:t xml:space="preserve"> </w:t>
            </w:r>
          </w:p>
        </w:tc>
      </w:tr>
      <w:tr w:rsidR="00B1500C" w:rsidRPr="001264C2" w14:paraId="0632012E" w14:textId="77777777" w:rsidTr="002366DF">
        <w:tc>
          <w:tcPr>
            <w:tcW w:w="1980" w:type="dxa"/>
          </w:tcPr>
          <w:p w14:paraId="4FA81CFE" w14:textId="5E31901A" w:rsidR="00B1500C" w:rsidRPr="007936FF" w:rsidRDefault="009A6840">
            <w:pPr>
              <w:rPr>
                <w:sz w:val="16"/>
                <w:szCs w:val="18"/>
                <w:lang w:val="de-DE"/>
              </w:rPr>
            </w:pPr>
            <w:r w:rsidRPr="007936FF">
              <w:rPr>
                <w:sz w:val="16"/>
                <w:szCs w:val="18"/>
                <w:lang w:val="de-DE"/>
              </w:rPr>
              <w:t xml:space="preserve">Mine Automation, Digital </w:t>
            </w:r>
            <w:r w:rsidR="00712984">
              <w:rPr>
                <w:sz w:val="16"/>
                <w:szCs w:val="18"/>
                <w:lang w:val="de-DE"/>
              </w:rPr>
              <w:t>and</w:t>
            </w:r>
            <w:r w:rsidRPr="007936FF">
              <w:rPr>
                <w:sz w:val="16"/>
                <w:szCs w:val="18"/>
                <w:lang w:val="de-DE"/>
              </w:rPr>
              <w:t xml:space="preserve"> AI Systems</w:t>
            </w:r>
          </w:p>
        </w:tc>
        <w:tc>
          <w:tcPr>
            <w:tcW w:w="2835" w:type="dxa"/>
          </w:tcPr>
          <w:p w14:paraId="7F6D19DB" w14:textId="048631F7" w:rsidR="00B1500C" w:rsidRPr="001264C2" w:rsidRDefault="000879DF" w:rsidP="000879DF">
            <w:pPr>
              <w:rPr>
                <w:sz w:val="16"/>
                <w:szCs w:val="18"/>
              </w:rPr>
            </w:pPr>
            <w:r w:rsidRPr="000879DF">
              <w:rPr>
                <w:sz w:val="16"/>
                <w:szCs w:val="18"/>
              </w:rPr>
              <w:t xml:space="preserve">Fleet automation, </w:t>
            </w:r>
            <w:r w:rsidR="00115006">
              <w:rPr>
                <w:sz w:val="16"/>
                <w:szCs w:val="18"/>
              </w:rPr>
              <w:t>remote</w:t>
            </w:r>
            <w:r w:rsidRPr="000879DF">
              <w:rPr>
                <w:sz w:val="16"/>
                <w:szCs w:val="18"/>
              </w:rPr>
              <w:t xml:space="preserve"> operations, IoT/telemetry, satellite monitoring, data analytics platforms</w:t>
            </w:r>
            <w:r w:rsidR="00F02D81">
              <w:rPr>
                <w:sz w:val="16"/>
                <w:szCs w:val="18"/>
              </w:rPr>
              <w:t>, communications infrastructure</w:t>
            </w:r>
            <w:r w:rsidR="00EA5CBF">
              <w:rPr>
                <w:sz w:val="16"/>
                <w:szCs w:val="18"/>
              </w:rPr>
              <w:t>.</w:t>
            </w:r>
          </w:p>
        </w:tc>
        <w:tc>
          <w:tcPr>
            <w:tcW w:w="5255" w:type="dxa"/>
          </w:tcPr>
          <w:p w14:paraId="1785E1BE" w14:textId="4D62161B" w:rsidR="00B1500C" w:rsidRPr="001264C2" w:rsidRDefault="008D3A44">
            <w:pPr>
              <w:rPr>
                <w:sz w:val="16"/>
                <w:szCs w:val="18"/>
              </w:rPr>
            </w:pPr>
            <w:r>
              <w:rPr>
                <w:sz w:val="16"/>
                <w:szCs w:val="18"/>
              </w:rPr>
              <w:t>Saudi Arabia is seeking to expand and develop projects leveraging the latest advancements in digital systems and connectivity.</w:t>
            </w:r>
            <w:r w:rsidR="00373C68">
              <w:rPr>
                <w:sz w:val="16"/>
                <w:szCs w:val="18"/>
              </w:rPr>
              <w:t xml:space="preserve"> This is evidenced by </w:t>
            </w:r>
            <w:r w:rsidR="00402BAD">
              <w:rPr>
                <w:sz w:val="16"/>
                <w:szCs w:val="18"/>
              </w:rPr>
              <w:t>Maaden</w:t>
            </w:r>
            <w:r w:rsidR="00373C68">
              <w:rPr>
                <w:sz w:val="16"/>
                <w:szCs w:val="18"/>
              </w:rPr>
              <w:t xml:space="preserve"> and Hexagon </w:t>
            </w:r>
            <w:r w:rsidR="004765D4">
              <w:rPr>
                <w:sz w:val="16"/>
                <w:szCs w:val="18"/>
              </w:rPr>
              <w:t xml:space="preserve">partnering </w:t>
            </w:r>
            <w:r w:rsidR="00E4304B">
              <w:rPr>
                <w:sz w:val="16"/>
                <w:szCs w:val="18"/>
              </w:rPr>
              <w:t>t</w:t>
            </w:r>
            <w:r w:rsidR="004765D4" w:rsidRPr="004765D4">
              <w:rPr>
                <w:sz w:val="16"/>
                <w:szCs w:val="18"/>
              </w:rPr>
              <w:t>o launch the Middle East's first "digital mine"</w:t>
            </w:r>
            <w:r w:rsidR="00E4304B">
              <w:rPr>
                <w:sz w:val="16"/>
                <w:szCs w:val="18"/>
              </w:rPr>
              <w:t xml:space="preserve"> at</w:t>
            </w:r>
            <w:r w:rsidR="004765D4" w:rsidRPr="004765D4">
              <w:rPr>
                <w:sz w:val="16"/>
                <w:szCs w:val="18"/>
              </w:rPr>
              <w:t xml:space="preserve"> </w:t>
            </w:r>
            <w:r w:rsidR="00E4304B" w:rsidRPr="004765D4">
              <w:rPr>
                <w:sz w:val="16"/>
                <w:szCs w:val="18"/>
              </w:rPr>
              <w:t>Mansourah</w:t>
            </w:r>
            <w:r w:rsidR="00B775C9">
              <w:rPr>
                <w:sz w:val="16"/>
                <w:szCs w:val="18"/>
              </w:rPr>
              <w:t>-</w:t>
            </w:r>
            <w:r w:rsidR="00E4304B" w:rsidRPr="004765D4">
              <w:rPr>
                <w:sz w:val="16"/>
                <w:szCs w:val="18"/>
              </w:rPr>
              <w:t>Massarah</w:t>
            </w:r>
            <w:r w:rsidR="00E4304B">
              <w:rPr>
                <w:sz w:val="16"/>
                <w:szCs w:val="18"/>
              </w:rPr>
              <w:t xml:space="preserve">, </w:t>
            </w:r>
            <w:r w:rsidR="000E648A">
              <w:rPr>
                <w:sz w:val="16"/>
                <w:szCs w:val="18"/>
              </w:rPr>
              <w:t>including</w:t>
            </w:r>
            <w:r w:rsidR="008A70E2">
              <w:rPr>
                <w:sz w:val="16"/>
                <w:szCs w:val="18"/>
              </w:rPr>
              <w:t xml:space="preserve"> </w:t>
            </w:r>
            <w:r w:rsidR="00094BF2">
              <w:rPr>
                <w:sz w:val="16"/>
                <w:szCs w:val="18"/>
              </w:rPr>
              <w:t xml:space="preserve">mine-to-mill digital twins, </w:t>
            </w:r>
            <w:r w:rsidR="000E648A">
              <w:rPr>
                <w:sz w:val="16"/>
                <w:szCs w:val="18"/>
              </w:rPr>
              <w:t xml:space="preserve">material flow intelligence, and </w:t>
            </w:r>
            <w:r w:rsidR="00B01271" w:rsidRPr="00B01271">
              <w:rPr>
                <w:sz w:val="16"/>
                <w:szCs w:val="18"/>
              </w:rPr>
              <w:t>an MoU to modernise mining curricula</w:t>
            </w:r>
            <w:r w:rsidR="00B01271">
              <w:rPr>
                <w:sz w:val="16"/>
                <w:szCs w:val="18"/>
              </w:rPr>
              <w:t xml:space="preserve">. </w:t>
            </w:r>
            <w:r w:rsidR="004D7735" w:rsidRPr="00CE6EE6">
              <w:rPr>
                <w:sz w:val="16"/>
                <w:szCs w:val="18"/>
                <w:vertAlign w:val="superscript"/>
              </w:rPr>
              <w:t>[15]</w:t>
            </w:r>
          </w:p>
        </w:tc>
      </w:tr>
      <w:tr w:rsidR="00B1500C" w:rsidRPr="001264C2" w14:paraId="629048CC" w14:textId="77777777" w:rsidTr="002366DF">
        <w:tc>
          <w:tcPr>
            <w:tcW w:w="1980" w:type="dxa"/>
          </w:tcPr>
          <w:p w14:paraId="4763FC4E" w14:textId="6B3998BD" w:rsidR="00B1500C" w:rsidRPr="001264C2" w:rsidRDefault="006A4EE2">
            <w:pPr>
              <w:rPr>
                <w:sz w:val="16"/>
                <w:szCs w:val="18"/>
              </w:rPr>
            </w:pPr>
            <w:r w:rsidRPr="006A4EE2">
              <w:rPr>
                <w:sz w:val="16"/>
                <w:szCs w:val="18"/>
              </w:rPr>
              <w:t xml:space="preserve">Skills, Training </w:t>
            </w:r>
            <w:r w:rsidR="00712984">
              <w:rPr>
                <w:sz w:val="16"/>
                <w:szCs w:val="18"/>
              </w:rPr>
              <w:t>and</w:t>
            </w:r>
            <w:r w:rsidRPr="006A4EE2">
              <w:rPr>
                <w:sz w:val="16"/>
                <w:szCs w:val="18"/>
              </w:rPr>
              <w:t xml:space="preserve"> Workforce Development</w:t>
            </w:r>
          </w:p>
        </w:tc>
        <w:tc>
          <w:tcPr>
            <w:tcW w:w="2835" w:type="dxa"/>
          </w:tcPr>
          <w:p w14:paraId="61D317D2" w14:textId="6DCA4415" w:rsidR="00B1500C" w:rsidRPr="001264C2" w:rsidRDefault="00256077">
            <w:pPr>
              <w:rPr>
                <w:sz w:val="16"/>
                <w:szCs w:val="18"/>
              </w:rPr>
            </w:pPr>
            <w:r w:rsidRPr="00256077">
              <w:rPr>
                <w:sz w:val="16"/>
                <w:szCs w:val="18"/>
              </w:rPr>
              <w:t>Technical</w:t>
            </w:r>
            <w:r>
              <w:rPr>
                <w:sz w:val="16"/>
                <w:szCs w:val="18"/>
              </w:rPr>
              <w:t xml:space="preserve"> and </w:t>
            </w:r>
            <w:r w:rsidRPr="00256077">
              <w:rPr>
                <w:sz w:val="16"/>
                <w:szCs w:val="18"/>
              </w:rPr>
              <w:t>vocational training, competency frameworks, localisation programs, leadership development</w:t>
            </w:r>
            <w:r>
              <w:rPr>
                <w:sz w:val="16"/>
                <w:szCs w:val="18"/>
              </w:rPr>
              <w:t xml:space="preserve">, and </w:t>
            </w:r>
            <w:r w:rsidR="006D608E">
              <w:rPr>
                <w:sz w:val="16"/>
                <w:szCs w:val="18"/>
              </w:rPr>
              <w:t>digitisation and automation capacities</w:t>
            </w:r>
            <w:r w:rsidR="001506DA">
              <w:rPr>
                <w:sz w:val="16"/>
                <w:szCs w:val="18"/>
              </w:rPr>
              <w:t>.</w:t>
            </w:r>
          </w:p>
        </w:tc>
        <w:tc>
          <w:tcPr>
            <w:tcW w:w="5255" w:type="dxa"/>
          </w:tcPr>
          <w:p w14:paraId="7A45CB2C" w14:textId="0561AA90" w:rsidR="00D81252" w:rsidRPr="001264C2" w:rsidRDefault="0045171C" w:rsidP="00920265">
            <w:pPr>
              <w:rPr>
                <w:sz w:val="16"/>
                <w:szCs w:val="18"/>
              </w:rPr>
            </w:pPr>
            <w:r w:rsidRPr="0045171C">
              <w:rPr>
                <w:sz w:val="16"/>
                <w:szCs w:val="18"/>
              </w:rPr>
              <w:t xml:space="preserve">Vision 2030 targets the creation of 200,000 direct and indirect mining jobs. </w:t>
            </w:r>
            <w:r w:rsidR="00A8383D">
              <w:rPr>
                <w:sz w:val="16"/>
                <w:szCs w:val="18"/>
              </w:rPr>
              <w:t>However</w:t>
            </w:r>
            <w:r w:rsidR="001A302B">
              <w:rPr>
                <w:sz w:val="16"/>
                <w:szCs w:val="18"/>
              </w:rPr>
              <w:t xml:space="preserve">, a 2026 TASC Report finds that </w:t>
            </w:r>
            <w:r w:rsidR="00DC2DD2" w:rsidRPr="00DC2DD2">
              <w:rPr>
                <w:sz w:val="16"/>
                <w:szCs w:val="18"/>
              </w:rPr>
              <w:t xml:space="preserve">Saudi Arabia faces a projected shortage of 663,000 skilled workers by 2030, </w:t>
            </w:r>
            <w:r w:rsidR="00DC2DD2">
              <w:rPr>
                <w:sz w:val="16"/>
                <w:szCs w:val="18"/>
              </w:rPr>
              <w:t>and</w:t>
            </w:r>
            <w:r w:rsidR="00DC2DD2" w:rsidRPr="00DC2DD2">
              <w:rPr>
                <w:sz w:val="16"/>
                <w:szCs w:val="18"/>
              </w:rPr>
              <w:t xml:space="preserve"> 93% of organi</w:t>
            </w:r>
            <w:r w:rsidR="00DC2DD2">
              <w:rPr>
                <w:sz w:val="16"/>
                <w:szCs w:val="18"/>
              </w:rPr>
              <w:t>s</w:t>
            </w:r>
            <w:r w:rsidR="00DC2DD2" w:rsidRPr="00DC2DD2">
              <w:rPr>
                <w:sz w:val="16"/>
                <w:szCs w:val="18"/>
              </w:rPr>
              <w:t>ations report active talent gaps</w:t>
            </w:r>
            <w:r w:rsidR="00DC2DD2">
              <w:rPr>
                <w:sz w:val="16"/>
                <w:szCs w:val="18"/>
              </w:rPr>
              <w:t>.</w:t>
            </w:r>
            <w:r w:rsidR="001454F7">
              <w:rPr>
                <w:sz w:val="16"/>
                <w:szCs w:val="18"/>
              </w:rPr>
              <w:t xml:space="preserve"> While this is not unique to mining</w:t>
            </w:r>
            <w:r w:rsidR="00920265">
              <w:rPr>
                <w:sz w:val="16"/>
                <w:szCs w:val="18"/>
              </w:rPr>
              <w:t>, it illustrates the</w:t>
            </w:r>
            <w:r w:rsidR="00D81252" w:rsidRPr="00D81252">
              <w:rPr>
                <w:sz w:val="16"/>
                <w:szCs w:val="18"/>
              </w:rPr>
              <w:t xml:space="preserve"> wider competition for </w:t>
            </w:r>
            <w:r w:rsidR="00920265">
              <w:rPr>
                <w:sz w:val="16"/>
                <w:szCs w:val="18"/>
              </w:rPr>
              <w:t>labour</w:t>
            </w:r>
            <w:r w:rsidR="00D81252" w:rsidRPr="00D81252">
              <w:rPr>
                <w:sz w:val="16"/>
                <w:szCs w:val="18"/>
              </w:rPr>
              <w:t xml:space="preserve"> as Vision 2030 projects expand across multiple sectors. </w:t>
            </w:r>
            <w:r w:rsidR="00D81252" w:rsidRPr="00CE6EE6">
              <w:rPr>
                <w:sz w:val="16"/>
                <w:szCs w:val="18"/>
                <w:vertAlign w:val="superscript"/>
              </w:rPr>
              <w:t>[16</w:t>
            </w:r>
            <w:r w:rsidR="00711FCC" w:rsidRPr="00CE6EE6">
              <w:rPr>
                <w:sz w:val="16"/>
                <w:szCs w:val="18"/>
                <w:vertAlign w:val="superscript"/>
              </w:rPr>
              <w:t>][</w:t>
            </w:r>
            <w:r w:rsidR="00D81252" w:rsidRPr="00CE6EE6">
              <w:rPr>
                <w:sz w:val="16"/>
                <w:szCs w:val="18"/>
                <w:vertAlign w:val="superscript"/>
              </w:rPr>
              <w:t>19]</w:t>
            </w:r>
          </w:p>
        </w:tc>
      </w:tr>
    </w:tbl>
    <w:p w14:paraId="43671D62" w14:textId="4FD9ABA4" w:rsidR="00B1500C" w:rsidRDefault="00B1500C" w:rsidP="00B1500C"/>
    <w:p w14:paraId="240601DC" w14:textId="77777777" w:rsidR="0070439F" w:rsidRDefault="0070439F" w:rsidP="00245D3A">
      <w:pPr>
        <w:pStyle w:val="Quote1"/>
        <w:rPr>
          <w:rFonts w:asciiTheme="majorHAnsi" w:hAnsiTheme="majorHAnsi" w:cstheme="majorHAnsi"/>
          <w:szCs w:val="20"/>
        </w:rPr>
      </w:pPr>
      <w:r w:rsidRPr="00B23480">
        <w:t>“What really resonates very well with private and public sector is knowledge transfer, because this is a country that's building capability and capacity.”</w:t>
      </w:r>
    </w:p>
    <w:p w14:paraId="788A6F3C" w14:textId="77777777" w:rsidR="00370F40" w:rsidRPr="00370F40" w:rsidRDefault="00370F40" w:rsidP="00BC7041">
      <w:pPr>
        <w:pStyle w:val="quotename"/>
      </w:pPr>
      <w:r w:rsidRPr="00370F40">
        <w:t>Abed Hakmi, Director of Energy and Mineral Resources, Infrastructure and Defence, Australian Trade and Investment Commission (Austrade), Riyadh</w:t>
      </w:r>
    </w:p>
    <w:p w14:paraId="062BB993" w14:textId="77777777" w:rsidR="008B4372" w:rsidRPr="008B4372" w:rsidRDefault="008B4372" w:rsidP="007F33FC">
      <w:pPr>
        <w:pStyle w:val="Heading3"/>
      </w:pPr>
      <w:r w:rsidRPr="008B4372">
        <w:t>Procurement and supplier preparation</w:t>
      </w:r>
    </w:p>
    <w:p w14:paraId="19B2479A" w14:textId="0BC59A98" w:rsidR="000908E5" w:rsidRPr="000908E5" w:rsidRDefault="000908E5" w:rsidP="008772B7">
      <w:pPr>
        <w:rPr>
          <w:lang w:val="en-GB"/>
        </w:rPr>
      </w:pPr>
      <w:r w:rsidRPr="000908E5">
        <w:rPr>
          <w:lang w:val="en-GB"/>
        </w:rPr>
        <w:t xml:space="preserve">Any long-term growth strategy in Saudi Arabia </w:t>
      </w:r>
      <w:r w:rsidR="00EC217C">
        <w:rPr>
          <w:lang w:val="en-GB"/>
        </w:rPr>
        <w:t>requires</w:t>
      </w:r>
      <w:r w:rsidRPr="000908E5">
        <w:rPr>
          <w:lang w:val="en-GB"/>
        </w:rPr>
        <w:t xml:space="preserve"> strong relationships across </w:t>
      </w:r>
      <w:r w:rsidR="00B54557">
        <w:rPr>
          <w:lang w:val="en-GB"/>
        </w:rPr>
        <w:t>Maaden</w:t>
      </w:r>
      <w:r w:rsidRPr="000908E5">
        <w:rPr>
          <w:lang w:val="en-GB"/>
        </w:rPr>
        <w:t xml:space="preserve"> and its wider supply chain. Registration through </w:t>
      </w:r>
      <w:r w:rsidR="00B54557">
        <w:rPr>
          <w:lang w:val="en-GB"/>
        </w:rPr>
        <w:t>Maaden</w:t>
      </w:r>
      <w:r w:rsidRPr="000908E5">
        <w:rPr>
          <w:lang w:val="en-GB"/>
        </w:rPr>
        <w:t xml:space="preserve">’s Supplier Portal is the formal starting point for establishing a business relationship with </w:t>
      </w:r>
      <w:r w:rsidR="00B54557">
        <w:rPr>
          <w:lang w:val="en-GB"/>
        </w:rPr>
        <w:t>Maaden</w:t>
      </w:r>
      <w:r w:rsidRPr="000908E5">
        <w:rPr>
          <w:lang w:val="en-GB"/>
        </w:rPr>
        <w:t xml:space="preserve"> and its affiliates. Foreign companies must provide documentation including business licences, certificates of incorporation, evidence of authority to operate internationally, detailed financial statements, and relevant regulatory and compliance certifications.</w:t>
      </w:r>
    </w:p>
    <w:p w14:paraId="6771A7A0" w14:textId="71CA202D" w:rsidR="000908E5" w:rsidRPr="000908E5" w:rsidRDefault="000908E5" w:rsidP="008772B7">
      <w:pPr>
        <w:rPr>
          <w:lang w:val="en-GB"/>
        </w:rPr>
      </w:pPr>
      <w:r w:rsidRPr="000908E5">
        <w:rPr>
          <w:lang w:val="en-GB"/>
        </w:rPr>
        <w:t xml:space="preserve">Registration is simply a prerequisite for engaging with </w:t>
      </w:r>
      <w:r w:rsidR="00B54557">
        <w:rPr>
          <w:lang w:val="en-GB"/>
        </w:rPr>
        <w:t>Maaden</w:t>
      </w:r>
      <w:r w:rsidRPr="000908E5">
        <w:rPr>
          <w:lang w:val="en-GB"/>
        </w:rPr>
        <w:t xml:space="preserve">. Companies must build relationships with relevant business units, identify operational needs and forthcoming opportunities, and establish a visible presence through major industry events and direct engagement. In many cases, a partnership, joint venture or representative arrangement with a well-connected Saudi entity can provide a more effective pathway into </w:t>
      </w:r>
      <w:r w:rsidR="00AF67C7">
        <w:rPr>
          <w:lang w:val="en-GB"/>
        </w:rPr>
        <w:t>Maaden</w:t>
      </w:r>
      <w:r w:rsidRPr="000908E5">
        <w:rPr>
          <w:lang w:val="en-GB"/>
        </w:rPr>
        <w:t xml:space="preserve"> and its supply chain.</w:t>
      </w:r>
    </w:p>
    <w:p w14:paraId="0E38864F" w14:textId="44A87B15" w:rsidR="000908E5" w:rsidRPr="000908E5" w:rsidRDefault="00B54557" w:rsidP="008772B7">
      <w:pPr>
        <w:rPr>
          <w:lang w:val="en-GB"/>
        </w:rPr>
      </w:pPr>
      <w:r>
        <w:rPr>
          <w:lang w:val="en-GB"/>
        </w:rPr>
        <w:t>Maaden</w:t>
      </w:r>
      <w:r w:rsidR="000908E5" w:rsidRPr="000908E5">
        <w:rPr>
          <w:lang w:val="en-GB"/>
        </w:rPr>
        <w:t xml:space="preserve">’s dedicated Technology and Innovation team may offer a particularly relevant entry point for Australian METS companies. The team identifies, evaluates and develops solutions to priority </w:t>
      </w:r>
      <w:r w:rsidR="000908E5" w:rsidRPr="000908E5">
        <w:rPr>
          <w:lang w:val="en-GB"/>
        </w:rPr>
        <w:lastRenderedPageBreak/>
        <w:t>operational challenges, creating potential pathways for technology partnerships, trials and pilot projects involving specialist SMEs.</w:t>
      </w:r>
    </w:p>
    <w:p w14:paraId="28B31EA0" w14:textId="47FE0EAF" w:rsidR="00A76AF3" w:rsidRPr="000908E5" w:rsidRDefault="00DE7BCF" w:rsidP="008772B7">
      <w:pPr>
        <w:rPr>
          <w:lang w:val="en-GB"/>
        </w:rPr>
      </w:pPr>
      <w:r w:rsidRPr="00DE7BCF">
        <w:rPr>
          <w:lang w:val="en-GB"/>
        </w:rPr>
        <w:t xml:space="preserve">Companies should nevertheless recognise that </w:t>
      </w:r>
      <w:r w:rsidR="00B54557">
        <w:rPr>
          <w:lang w:val="en-GB"/>
        </w:rPr>
        <w:t>Maaden</w:t>
      </w:r>
      <w:r w:rsidRPr="00DE7BCF">
        <w:rPr>
          <w:lang w:val="en-GB"/>
        </w:rPr>
        <w:t>’s local</w:t>
      </w:r>
      <w:r w:rsidR="00C14DA2">
        <w:rPr>
          <w:lang w:val="en-GB"/>
        </w:rPr>
        <w:t xml:space="preserve"> </w:t>
      </w:r>
      <w:r w:rsidRPr="00DE7BCF">
        <w:rPr>
          <w:lang w:val="en-GB"/>
        </w:rPr>
        <w:t xml:space="preserve">content program, Tharwah, is designed to strengthen the participation of Saudi suppliers and SMEs. This can influence procurement decisions and the competitiveness of foreign bidders, particularly for larger engineering, processing and service packages. Australian companies should therefore consider how local partnerships, in-country capability and knowledge transfer can strengthen their market proposition </w:t>
      </w:r>
      <w:r w:rsidRPr="00CE6EE6">
        <w:rPr>
          <w:vertAlign w:val="superscript"/>
          <w:lang w:val="en-GB"/>
        </w:rPr>
        <w:t>[18]</w:t>
      </w:r>
      <w:r w:rsidRPr="00DE7BCF">
        <w:rPr>
          <w:lang w:val="en-GB"/>
        </w:rPr>
        <w:t>.</w:t>
      </w:r>
    </w:p>
    <w:p w14:paraId="4DB1151E" w14:textId="77777777" w:rsidR="004A6A4A" w:rsidRDefault="004A6A4A">
      <w:pPr>
        <w:pStyle w:val="InterviewRevisionSource"/>
      </w:pPr>
    </w:p>
    <w:p w14:paraId="44D7FDAC" w14:textId="77777777" w:rsidR="00A572A6" w:rsidRDefault="00A572A6" w:rsidP="00BC7041">
      <w:pPr>
        <w:pStyle w:val="Heading3"/>
      </w:pPr>
      <w:r w:rsidRPr="00A572A6">
        <w:t>Fleet Space Technologies: from pilots to a long-term Saudi exploration partnership</w:t>
      </w:r>
    </w:p>
    <w:p w14:paraId="043FDA57" w14:textId="36D20F56" w:rsidR="00251EA2" w:rsidRDefault="0071551A" w:rsidP="00BC7041">
      <w:r w:rsidRPr="0071551A">
        <w:t>Fleet Space Technologies delivers mineral systems intelligence to mining companies worldwide. Its ExoSphere platform combines ground-based seismic sensors, satellite connectivity and machine learning to generate 3D subsurface models, giving exploration and mine development teams the data they need to de-risk and accelerate capital decisions.</w:t>
      </w:r>
    </w:p>
    <w:p w14:paraId="7EE602AB" w14:textId="15AB3FB3" w:rsidR="00D70AE9" w:rsidRDefault="00D70AE9" w:rsidP="00BC7041">
      <w:r>
        <w:t xml:space="preserve">Fleet entered Saudi Arabia in 2023, identifying a clear opportunity linked to the Kingdom’s rapid exploration expansion and need to cover large, historically underexplored areas. Fleet mapped the key people at </w:t>
      </w:r>
      <w:r w:rsidR="001E3A51">
        <w:t>Maaden</w:t>
      </w:r>
      <w:r>
        <w:t xml:space="preserve"> and built relationships at industry conferences ahead of formal engagements.</w:t>
      </w:r>
    </w:p>
    <w:p w14:paraId="2593C113" w14:textId="58B4494D" w:rsidR="00D70AE9" w:rsidRDefault="00D70AE9" w:rsidP="00BC7041">
      <w:r>
        <w:t xml:space="preserve">Fleet delivered its first two pilot projects with </w:t>
      </w:r>
      <w:r w:rsidR="008B1C15">
        <w:t>Maaden</w:t>
      </w:r>
      <w:r>
        <w:t xml:space="preserve"> from Australia, a deliberate strategy to prove the technology and build trust, before committing to a market Fleet did not yet know would generate real demand. The relationship subsequently progressed to a four-year strategic partnership signed in 2025 to explore more than </w:t>
      </w:r>
      <w:r w:rsidR="00161F3C" w:rsidRPr="00161F3C">
        <w:t xml:space="preserve">12,000 km² </w:t>
      </w:r>
      <w:r>
        <w:t xml:space="preserve">of the company’s priority projects across the Arabian Shield. </w:t>
      </w:r>
    </w:p>
    <w:p w14:paraId="5667449F" w14:textId="704C667F" w:rsidR="00D70AE9" w:rsidRDefault="00D70AE9" w:rsidP="00BC7041">
      <w:r>
        <w:t>After demand had been demonstrated, Fleet formed a joint venture with Tahreez, a subsidiary of Alturki Holding, to establish an in-market presence and improve client engagement, credibility, contracting and its ability to deliver turnkey programs. This has developed into a genuine in-country operation, including geoscience teams, and field delivery teams supported by geophysical equipment.</w:t>
      </w:r>
    </w:p>
    <w:p w14:paraId="3B476D47" w14:textId="69A7E3C6" w:rsidR="00D70AE9" w:rsidRDefault="00D70AE9" w:rsidP="00BC7041">
      <w:r>
        <w:t xml:space="preserve">That footprint is now being leveraged beyond the original client relationship. Fleet has extended into other major and junior exploration companies operating in Saudi Arabia and is positioning its in-country team and equipment to support mineral exploration in other Gulf states. </w:t>
      </w:r>
    </w:p>
    <w:p w14:paraId="2B7FF886" w14:textId="6FB219D3" w:rsidR="006D2AA8" w:rsidRPr="00245D3A" w:rsidRDefault="00D70AE9" w:rsidP="00245D3A">
      <w:r>
        <w:t>The practical lesson is staged commitment: prove value before making a major establishment decision and invest in credible local delivery once market fit is clear. This avoids potential risks with procurement and contracting moving slower than expectations.</w:t>
      </w:r>
      <w:r w:rsidR="006C1C33">
        <w:t xml:space="preserve"> </w:t>
      </w:r>
    </w:p>
    <w:p w14:paraId="40970BAE" w14:textId="7630FA0A" w:rsidR="00F41C49" w:rsidRDefault="003D77DA" w:rsidP="007F33FC">
      <w:pPr>
        <w:pStyle w:val="Heading3"/>
      </w:pPr>
      <w:r>
        <w:t xml:space="preserve">Market </w:t>
      </w:r>
      <w:r w:rsidR="00E55D30">
        <w:t>entry</w:t>
      </w:r>
      <w:r w:rsidR="00F41C49" w:rsidRPr="00E91368">
        <w:t xml:space="preserve"> and delivery expectations</w:t>
      </w:r>
    </w:p>
    <w:p w14:paraId="2AFFAD25" w14:textId="4A2ACD03" w:rsidR="00197A3A" w:rsidRDefault="008E61E2" w:rsidP="008772B7">
      <w:r w:rsidRPr="008E61E2">
        <w:t xml:space="preserve">Success in Saudi Arabia is driven by a long-term approach that prioritises local partnerships, networks, and sustained support. While the opportunities are significant, </w:t>
      </w:r>
      <w:r w:rsidR="00E447F1">
        <w:t>it</w:t>
      </w:r>
      <w:r w:rsidRPr="008E61E2">
        <w:t xml:space="preserve"> is a complex market that requires considerable time and resource commitment to build and maintain relationships, support clients, and develop local workforces.</w:t>
      </w:r>
      <w:r w:rsidR="0068237D">
        <w:br/>
      </w:r>
    </w:p>
    <w:p w14:paraId="25B04F83" w14:textId="77777777" w:rsidR="00BC7041" w:rsidRDefault="00197A3A" w:rsidP="00245D3A">
      <w:pPr>
        <w:pStyle w:val="Quote1"/>
      </w:pPr>
      <w:r>
        <w:t xml:space="preserve">“Once there is market fit and demand, finding a credible in-country partner will accelerate everything else.” </w:t>
      </w:r>
    </w:p>
    <w:p w14:paraId="2DA21E83" w14:textId="0714027E" w:rsidR="00197A3A" w:rsidRDefault="00197A3A" w:rsidP="00BC7041">
      <w:pPr>
        <w:pStyle w:val="quotename"/>
      </w:pPr>
      <w:r>
        <w:lastRenderedPageBreak/>
        <w:t xml:space="preserve">- </w:t>
      </w:r>
      <w:r w:rsidRPr="001D0A7E">
        <w:t xml:space="preserve">Steve Ledger, </w:t>
      </w:r>
      <w:r w:rsidR="00085C14" w:rsidRPr="00085C14">
        <w:t>Regional Vice President</w:t>
      </w:r>
      <w:r w:rsidR="00085C14">
        <w:t xml:space="preserve">, </w:t>
      </w:r>
      <w:r w:rsidRPr="001D0A7E">
        <w:t xml:space="preserve">Strategic Partnerships, Fleet Space Technologies </w:t>
      </w:r>
    </w:p>
    <w:p w14:paraId="78C7DD00" w14:textId="46139080" w:rsidR="00F00A63" w:rsidRPr="008C42F9" w:rsidRDefault="003E45FA" w:rsidP="008772B7">
      <w:pPr>
        <w:rPr>
          <w:lang w:val="en-GB"/>
        </w:rPr>
      </w:pPr>
      <w:r w:rsidRPr="003E45FA">
        <w:rPr>
          <w:lang w:val="en-GB"/>
        </w:rPr>
        <w:t>Saudi local</w:t>
      </w:r>
      <w:r w:rsidR="00F36BAA">
        <w:rPr>
          <w:lang w:val="en-GB"/>
        </w:rPr>
        <w:t xml:space="preserve"> </w:t>
      </w:r>
      <w:r w:rsidRPr="003E45FA">
        <w:rPr>
          <w:lang w:val="en-GB"/>
        </w:rPr>
        <w:t>content and service requirements</w:t>
      </w:r>
      <w:r w:rsidR="003F5677">
        <w:rPr>
          <w:lang w:val="en-GB"/>
        </w:rPr>
        <w:t xml:space="preserve"> may</w:t>
      </w:r>
      <w:r w:rsidRPr="003E45FA">
        <w:rPr>
          <w:lang w:val="en-GB"/>
        </w:rPr>
        <w:t xml:space="preserve"> affect the delivery model</w:t>
      </w:r>
      <w:r w:rsidR="00E0657C">
        <w:rPr>
          <w:lang w:val="en-GB"/>
        </w:rPr>
        <w:t xml:space="preserve">, and METS companies </w:t>
      </w:r>
      <w:r w:rsidRPr="003E45FA">
        <w:rPr>
          <w:lang w:val="en-GB"/>
        </w:rPr>
        <w:t>should assess whether direct service, a distributor, contractor, partner or local operation can meet the specific requirement.</w:t>
      </w:r>
      <w:r w:rsidRPr="00CE6EE6">
        <w:rPr>
          <w:vertAlign w:val="superscript"/>
          <w:lang w:val="en-GB"/>
        </w:rPr>
        <w:t>[17][18]</w:t>
      </w:r>
    </w:p>
    <w:p w14:paraId="4047D1B5" w14:textId="77777777" w:rsidR="00B072B2" w:rsidRDefault="00B072B2" w:rsidP="00CF0935">
      <w:pPr>
        <w:rPr>
          <w:rFonts w:asciiTheme="majorHAnsi" w:hAnsiTheme="majorHAnsi" w:cstheme="majorHAnsi"/>
          <w:szCs w:val="20"/>
        </w:rPr>
      </w:pPr>
    </w:p>
    <w:p w14:paraId="56C89D1D" w14:textId="5568468E" w:rsidR="00F24492" w:rsidRPr="008772B7" w:rsidRDefault="00F24492" w:rsidP="008772B7">
      <w:pPr>
        <w:rPr>
          <w:b/>
          <w:bCs/>
        </w:rPr>
      </w:pPr>
      <w:r w:rsidRPr="008772B7">
        <w:rPr>
          <w:b/>
          <w:bCs/>
        </w:rPr>
        <w:t>Saudi</w:t>
      </w:r>
      <w:r w:rsidR="00FC6A8B" w:rsidRPr="008772B7">
        <w:rPr>
          <w:b/>
          <w:bCs/>
        </w:rPr>
        <w:t>zation</w:t>
      </w:r>
    </w:p>
    <w:p w14:paraId="27BF753C" w14:textId="4B8F860C" w:rsidR="00CF0935" w:rsidRPr="00CF0935" w:rsidRDefault="006725FA" w:rsidP="008772B7">
      <w:pPr>
        <w:rPr>
          <w:lang w:val="en-GB"/>
        </w:rPr>
      </w:pPr>
      <w:r w:rsidRPr="006725FA">
        <w:t>Saudization, implemented through the broader Nitaqat framework and occupation-specific requirements, is becoming an increasingly important consideration</w:t>
      </w:r>
      <w:r w:rsidR="009518F6">
        <w:t xml:space="preserve">. </w:t>
      </w:r>
      <w:r w:rsidR="00860296" w:rsidRPr="00860296">
        <w:rPr>
          <w:lang w:val="en-GB"/>
        </w:rPr>
        <w:t xml:space="preserve">The Saudization requirement for engineering professions increased from 20% to 25% in July 2024 and rose to 30% from 30 June 2026. </w:t>
      </w:r>
      <w:r w:rsidR="00CF0935" w:rsidRPr="00CF0935">
        <w:rPr>
          <w:lang w:val="en-GB"/>
        </w:rPr>
        <w:t>The current requirement applies to private</w:t>
      </w:r>
      <w:r w:rsidR="00823C90">
        <w:rPr>
          <w:lang w:val="en-GB"/>
        </w:rPr>
        <w:t xml:space="preserve"> </w:t>
      </w:r>
      <w:r w:rsidR="00CF0935" w:rsidRPr="00CF0935">
        <w:rPr>
          <w:lang w:val="en-GB"/>
        </w:rPr>
        <w:t>sector establishments employing five or more people across 46 designated engineering professions.</w:t>
      </w:r>
      <w:r w:rsidR="001457BE" w:rsidRPr="00CE6EE6">
        <w:rPr>
          <w:vertAlign w:val="superscript"/>
          <w:lang w:val="en-GB"/>
        </w:rPr>
        <w:t>[</w:t>
      </w:r>
      <w:r w:rsidR="00CF0935" w:rsidRPr="00CE6EE6">
        <w:rPr>
          <w:vertAlign w:val="superscript"/>
          <w:lang w:val="en-GB"/>
        </w:rPr>
        <w:t>16]</w:t>
      </w:r>
    </w:p>
    <w:p w14:paraId="75147B29" w14:textId="1536F036" w:rsidR="004448E7" w:rsidRDefault="00752C7B" w:rsidP="008772B7">
      <w:pPr>
        <w:rPr>
          <w:lang w:val="en-GB"/>
        </w:rPr>
      </w:pPr>
      <w:r w:rsidRPr="006725FA">
        <w:t>Saudization</w:t>
      </w:r>
      <w:r w:rsidR="00CF0935" w:rsidRPr="00CF0935">
        <w:rPr>
          <w:lang w:val="en-GB"/>
        </w:rPr>
        <w:t xml:space="preserve"> requirements do not prevent companies from employing expatriate specialists, but they reduce the flexibility of relying predominantly on expatriate recruitment to fill skilled roles. Foreign companies must plan for the recruitment, development and retention of Saudi professionals as part of their operating model. This reinforces the importance of local partnerships, workforce development and knowledge transfer when entering the market. </w:t>
      </w:r>
    </w:p>
    <w:p w14:paraId="049E4264" w14:textId="77777777" w:rsidR="008772B7" w:rsidRDefault="008772B7" w:rsidP="008772B7">
      <w:pPr>
        <w:rPr>
          <w:lang w:val="en-GB"/>
        </w:rPr>
      </w:pPr>
    </w:p>
    <w:p w14:paraId="1730A188" w14:textId="4E8DADD3" w:rsidR="003C48C0" w:rsidRPr="008772B7" w:rsidRDefault="00222B47" w:rsidP="008772B7">
      <w:pPr>
        <w:rPr>
          <w:b/>
          <w:bCs/>
          <w:lang w:val="en-GB"/>
        </w:rPr>
      </w:pPr>
      <w:r w:rsidRPr="008772B7">
        <w:rPr>
          <w:b/>
          <w:bCs/>
          <w:lang w:val="en-GB"/>
        </w:rPr>
        <w:t>Importation</w:t>
      </w:r>
    </w:p>
    <w:p w14:paraId="097B47D7" w14:textId="4A37DE57" w:rsidR="008C42F9" w:rsidRPr="008C42F9" w:rsidRDefault="008C42F9" w:rsidP="008772B7">
      <w:r w:rsidRPr="008C42F9">
        <w:t>Products entering Saudi Arabia may be subject to product conformity and customs requirements. Importers are typically required to register on the SABER Portal, an online verification system used to issue conformity certificates before goods can enter the market. Requirements vary by product classification and intended use, making product-specific confirmation an important step when assessing the commercial and delivery requirements of any opportunity.</w:t>
      </w:r>
    </w:p>
    <w:p w14:paraId="38EEBC8B" w14:textId="39C3F8EA" w:rsidR="00396DF2" w:rsidRPr="008772B7" w:rsidRDefault="00396DF2" w:rsidP="008772B7">
      <w:pPr>
        <w:rPr>
          <w:b/>
          <w:bCs/>
        </w:rPr>
      </w:pPr>
      <w:r w:rsidRPr="008772B7">
        <w:rPr>
          <w:b/>
          <w:bCs/>
          <w:lang w:val="en-GB"/>
        </w:rPr>
        <w:t>Competition</w:t>
      </w:r>
    </w:p>
    <w:p w14:paraId="06B73E76" w14:textId="64ABFD4B" w:rsidR="00963942" w:rsidRDefault="003D1FBD" w:rsidP="008772B7">
      <w:r w:rsidRPr="003D1FBD">
        <w:t xml:space="preserve">Competition in Saudi Arabia is high and </w:t>
      </w:r>
      <w:r w:rsidR="004A6867">
        <w:t>growing</w:t>
      </w:r>
      <w:r w:rsidRPr="003D1FBD">
        <w:t xml:space="preserve">. The world’s major OEMs, engineering houses and technology providers have established a presence in the Kingdom, while Chinese industrial and mining companies are increasingly active. More than 750 Chinese companies now operate in Saudi Arabia across sectors including construction, manufacturing and natural resources. Chinese investment in the Kingdom reached US$8.26 billion in 2024, an increase of </w:t>
      </w:r>
      <w:r w:rsidR="00DF042E" w:rsidRPr="00DF042E">
        <w:t>29% year-on-year</w:t>
      </w:r>
      <w:r w:rsidRPr="003D1FBD">
        <w:t>, while bilateral trade reached US$107.5 billion.</w:t>
      </w:r>
      <w:r w:rsidR="00851751" w:rsidRPr="00CE6EE6">
        <w:rPr>
          <w:vertAlign w:val="superscript"/>
        </w:rPr>
        <w:t>[20]</w:t>
      </w:r>
      <w:r w:rsidRPr="003D1FBD">
        <w:t xml:space="preserve"> </w:t>
      </w:r>
    </w:p>
    <w:p w14:paraId="46C5FDFA" w14:textId="6E3501E7" w:rsidR="003D1FBD" w:rsidRDefault="003D1FBD" w:rsidP="008772B7">
      <w:r w:rsidRPr="003D1FBD">
        <w:t>This growing international presence reinforces the need for Australian METS companies to focus on segments and applications where their expertise, technology and capabilities are clearly differentiated, while also seeking to leverage relationships with Australian businesses already active in the Kingdom, such as Worley, Ausenco and Byrnecut.</w:t>
      </w:r>
    </w:p>
    <w:p w14:paraId="4324ED0C" w14:textId="77777777" w:rsidR="008772B7" w:rsidRDefault="008772B7" w:rsidP="008772B7"/>
    <w:p w14:paraId="7E15CC98" w14:textId="064D5B61" w:rsidR="00CE620D" w:rsidRPr="008772B7" w:rsidRDefault="00D36CB7" w:rsidP="008772B7">
      <w:pPr>
        <w:rPr>
          <w:b/>
          <w:bCs/>
        </w:rPr>
      </w:pPr>
      <w:r w:rsidRPr="008772B7">
        <w:rPr>
          <w:b/>
          <w:bCs/>
        </w:rPr>
        <w:t>METS Networks</w:t>
      </w:r>
    </w:p>
    <w:p w14:paraId="1338E78E" w14:textId="25311DC3" w:rsidR="008C42F9" w:rsidRPr="008C42F9" w:rsidRDefault="008C42F9" w:rsidP="008772B7">
      <w:r w:rsidRPr="008C42F9">
        <w:t xml:space="preserve">For Australian METS companies seeking to understand the Saudi market in greater depth, the Future Minerals Forum (FMF), held in Riyadh each January, is the leading platform. Led by Austrade and supported by Austmine, Australia maintains a coordinated presence at FMF to engage with over </w:t>
      </w:r>
      <w:r w:rsidR="00983165">
        <w:t>18</w:t>
      </w:r>
      <w:r w:rsidRPr="008C42F9">
        <w:t>,000 attendees, offering a valuable opportunity to network with current and prospective mining industry customers. Networks such as the Australian Saudi Business Council can further support the development of high-level relationships aimed at understanding, pursuing, and capturing growth opportunities in the Kingdom.</w:t>
      </w:r>
      <w:r>
        <w:br/>
      </w:r>
    </w:p>
    <w:p w14:paraId="45E2AC77" w14:textId="05E674B6" w:rsidR="00BC0DB9" w:rsidRDefault="00BC0DB9" w:rsidP="00245D3A">
      <w:pPr>
        <w:pStyle w:val="Quote1"/>
      </w:pPr>
      <w:r>
        <w:lastRenderedPageBreak/>
        <w:t xml:space="preserve">“….what the country is looking for is partners </w:t>
      </w:r>
      <w:r w:rsidR="005C0CEA">
        <w:t xml:space="preserve">who </w:t>
      </w:r>
      <w:r w:rsidR="008E7D7F">
        <w:t xml:space="preserve">can </w:t>
      </w:r>
      <w:r w:rsidR="00A65485">
        <w:t xml:space="preserve">help </w:t>
      </w:r>
      <w:r w:rsidR="005C0CEA">
        <w:t xml:space="preserve">solve real </w:t>
      </w:r>
      <w:r w:rsidR="00A65485">
        <w:t>problems that cannot be</w:t>
      </w:r>
      <w:r w:rsidR="005C0CEA">
        <w:t xml:space="preserve"> </w:t>
      </w:r>
      <w:r w:rsidR="00A65485">
        <w:t>addressed locally</w:t>
      </w:r>
      <w:r w:rsidR="007672C4">
        <w:t xml:space="preserve"> – partners who will work with them, rather than simply </w:t>
      </w:r>
      <w:r w:rsidR="00717FE0">
        <w:t xml:space="preserve">try to sell to them. </w:t>
      </w:r>
      <w:r w:rsidR="00E85147">
        <w:t xml:space="preserve"> </w:t>
      </w:r>
      <w:r>
        <w:t>.”</w:t>
      </w:r>
    </w:p>
    <w:p w14:paraId="1ECFD3A2" w14:textId="65632DC3" w:rsidR="00160311" w:rsidRPr="00BC7041" w:rsidRDefault="004F77DD" w:rsidP="00BC7041">
      <w:pPr>
        <w:pStyle w:val="quotename"/>
      </w:pPr>
      <w:r w:rsidRPr="004F77DD">
        <w:t xml:space="preserve"> </w:t>
      </w:r>
      <w:r>
        <w:t>Daniel Jamsheedi, Partnership Director, Australian Saudi Business Council and Forum</w:t>
      </w:r>
      <w:r w:rsidR="00160311">
        <w:t xml:space="preserve"> </w:t>
      </w:r>
    </w:p>
    <w:p w14:paraId="6E6E0C4A" w14:textId="77777777" w:rsidR="00AC60A6" w:rsidRDefault="00AC60A6">
      <w:pPr>
        <w:spacing w:after="200" w:line="276" w:lineRule="auto"/>
        <w:rPr>
          <w:rFonts w:asciiTheme="majorHAnsi" w:eastAsiaTheme="majorEastAsia" w:hAnsiTheme="majorHAnsi" w:cstheme="majorBidi"/>
          <w:b/>
          <w:bCs/>
          <w:color w:val="1F4E79"/>
          <w:sz w:val="36"/>
          <w:szCs w:val="36"/>
        </w:rPr>
      </w:pPr>
      <w:r>
        <w:rPr>
          <w:sz w:val="36"/>
          <w:szCs w:val="36"/>
        </w:rPr>
        <w:br w:type="page"/>
      </w:r>
    </w:p>
    <w:p w14:paraId="25F6BA94" w14:textId="6957F565" w:rsidR="00EA6308" w:rsidRPr="008A689D" w:rsidRDefault="00EA6308" w:rsidP="007F33FC">
      <w:pPr>
        <w:pStyle w:val="Heading2"/>
      </w:pPr>
      <w:r w:rsidRPr="008A689D">
        <w:lastRenderedPageBreak/>
        <w:t xml:space="preserve">United </w:t>
      </w:r>
      <w:r w:rsidRPr="007F33FC">
        <w:t>Arab</w:t>
      </w:r>
      <w:r w:rsidRPr="008A689D">
        <w:t xml:space="preserve"> Emirates</w:t>
      </w:r>
    </w:p>
    <w:p w14:paraId="0560999C" w14:textId="74220497" w:rsidR="00EA6308" w:rsidRPr="00D91382" w:rsidRDefault="00EA6308" w:rsidP="00EA6308">
      <w:pPr>
        <w:rPr>
          <w:rFonts w:cstheme="majorHAnsi"/>
          <w:b/>
          <w:bCs/>
          <w:i/>
          <w:iCs/>
          <w:szCs w:val="20"/>
        </w:rPr>
      </w:pPr>
      <w:r w:rsidRPr="00D91382">
        <w:rPr>
          <w:rFonts w:cstheme="majorHAnsi"/>
          <w:b/>
          <w:bCs/>
          <w:i/>
          <w:iCs/>
          <w:szCs w:val="20"/>
        </w:rPr>
        <w:t xml:space="preserve">A regional industrial, logistics and </w:t>
      </w:r>
      <w:r w:rsidR="00D61C48" w:rsidRPr="00D91382">
        <w:rPr>
          <w:rFonts w:cstheme="majorHAnsi"/>
          <w:b/>
          <w:bCs/>
          <w:i/>
          <w:iCs/>
          <w:szCs w:val="20"/>
        </w:rPr>
        <w:t xml:space="preserve">investment </w:t>
      </w:r>
      <w:r w:rsidRPr="00D91382">
        <w:rPr>
          <w:rFonts w:cstheme="majorHAnsi"/>
          <w:b/>
          <w:bCs/>
          <w:i/>
          <w:iCs/>
          <w:szCs w:val="20"/>
        </w:rPr>
        <w:t>platform</w:t>
      </w:r>
    </w:p>
    <w:p w14:paraId="7E7D07F9" w14:textId="77777777" w:rsidR="00D6047A" w:rsidRDefault="00D6047A" w:rsidP="008772B7">
      <w:r w:rsidRPr="00D6047A">
        <w:t>The UAE is not a large conventional mining jurisdiction. For Australian METS, it combines domestic customers in metals processing and quarrying with regional engineering and service functions and resources investors with overseas portfolios.</w:t>
      </w:r>
    </w:p>
    <w:p w14:paraId="59AB51BE" w14:textId="77777777" w:rsidR="00B67B07" w:rsidRPr="00B67B07" w:rsidRDefault="00B67B07" w:rsidP="008772B7">
      <w:pPr>
        <w:rPr>
          <w:b/>
          <w:bCs/>
        </w:rPr>
      </w:pPr>
      <w:r w:rsidRPr="00B67B07">
        <w:t>Domestic METS demand spans quarrying and bulk materials in Ras Al Khaimah, Emirates Global Aluminium (EGA) operations and EMSTEEL’s steel and building materials businesses.</w:t>
      </w:r>
      <w:r w:rsidRPr="00CE6EE6">
        <w:rPr>
          <w:vertAlign w:val="superscript"/>
        </w:rPr>
        <w:t>[4][7][12][16]</w:t>
      </w:r>
      <w:r w:rsidRPr="00B67B07">
        <w:t xml:space="preserve"> Abu Dhabi hosts resources investors such as International Resources Holding (IRH)</w:t>
      </w:r>
      <w:r w:rsidRPr="00CE6EE6">
        <w:rPr>
          <w:vertAlign w:val="superscript"/>
        </w:rPr>
        <w:t>[10]</w:t>
      </w:r>
      <w:r w:rsidRPr="00B67B07">
        <w:t>, while Dubai provides a commercial and logistics base. Access to an investor’s overseas portfolio still depends on the operating company’s procurement and delivery requirements.</w:t>
      </w:r>
      <w:r w:rsidRPr="00CE6EE6">
        <w:rPr>
          <w:vertAlign w:val="superscript"/>
        </w:rPr>
        <w:t>[11][15]</w:t>
      </w:r>
    </w:p>
    <w:p w14:paraId="1C6BBC58" w14:textId="77777777" w:rsidR="00B67B07" w:rsidRPr="00B67B07" w:rsidRDefault="00B67B07" w:rsidP="008772B7">
      <w:pPr>
        <w:rPr>
          <w:b/>
          <w:bCs/>
        </w:rPr>
      </w:pPr>
      <w:r w:rsidRPr="00B67B07">
        <w:t>Oil and gas remain important to the UAE economy despite diversification. The Australian Department of Foreign Affairs and Trade (DFAT) identifies their continuing role in exports and government revenue alongside growth in trade, transport, manufacturing and services. For METS suppliers, demand should be assessed through named quarrying and industrial accounts rather than inferred from the economy’s oil and gas share.</w:t>
      </w:r>
      <w:r w:rsidRPr="00CE6EE6">
        <w:rPr>
          <w:vertAlign w:val="superscript"/>
        </w:rPr>
        <w:t>[11]</w:t>
      </w:r>
    </w:p>
    <w:p w14:paraId="6C253908" w14:textId="77777777" w:rsidR="00B67B07" w:rsidRPr="00B67B07" w:rsidRDefault="00B67B07" w:rsidP="008772B7">
      <w:pPr>
        <w:rPr>
          <w:b/>
          <w:bCs/>
        </w:rPr>
      </w:pPr>
      <w:r w:rsidRPr="00B67B07">
        <w:t>The Australia–UAE Comprehensive Economic Partnership Agreement (CEPA) entered into force on 1 October 2025. DFAT states that it will eliminate tariffs on more than 99% of Australian goods exports to the UAE by value when fully implemented in 2029. Eligibility depends on the product and rules of origin and does not automatically extend to goods re-exported to another market.</w:t>
      </w:r>
      <w:r w:rsidRPr="00CE6EE6">
        <w:rPr>
          <w:vertAlign w:val="superscript"/>
        </w:rPr>
        <w:t>[1][2][3]</w:t>
      </w:r>
    </w:p>
    <w:p w14:paraId="6B09E988" w14:textId="77777777" w:rsidR="00B67B07" w:rsidRPr="00B67B07" w:rsidRDefault="00B67B07" w:rsidP="008772B7">
      <w:pPr>
        <w:rPr>
          <w:b/>
          <w:bCs/>
        </w:rPr>
      </w:pPr>
      <w:r w:rsidRPr="00B67B07">
        <w:t>The UAE’s ports and international transport links support regional trade and service delivery. Jebel Ali is an established logistics node, while DFAT identifies Dubai’s role in re-export, finance and business services.</w:t>
      </w:r>
      <w:r w:rsidRPr="00CE6EE6">
        <w:rPr>
          <w:vertAlign w:val="superscript"/>
        </w:rPr>
        <w:t>[11][19]</w:t>
      </w:r>
      <w:r w:rsidRPr="00B67B07">
        <w:t xml:space="preserve"> Connectivity can support regional operations, but suppliers should check current routes, costs and delivery reliability. Ownership, licensing, tax and employment requirements remain separate considerations when choosing a UAE base.</w:t>
      </w:r>
      <w:r w:rsidRPr="00CE6EE6">
        <w:rPr>
          <w:vertAlign w:val="superscript"/>
        </w:rPr>
        <w:t>[21][25]</w:t>
      </w:r>
    </w:p>
    <w:p w14:paraId="006AF833" w14:textId="7650E989" w:rsidR="00890705" w:rsidRDefault="00B67B07" w:rsidP="008772B7">
      <w:r w:rsidRPr="00B67B07">
        <w:t>For Australian suppliers, the strongest alignment in the UAE’s domestic industry is with technologies and services that improve reliability, productivity and environmental performance. A regional presence can support repeat business across several markets where the customer base and service requirements justify the investment. METS companies should weigh the UAE's regional accessibility and logistics advantages against the real cost of establishing a local presence, and should generally only consider this once sufficient scale has been established in the region.</w:t>
      </w:r>
    </w:p>
    <w:p w14:paraId="0AF21482" w14:textId="269090F1" w:rsidR="00EA6308" w:rsidRPr="00E91368" w:rsidRDefault="00EA6308" w:rsidP="00D91382">
      <w:pPr>
        <w:pStyle w:val="Heading3"/>
      </w:pPr>
      <w:r w:rsidRPr="00E91368">
        <w:t>Market at a glance</w:t>
      </w:r>
    </w:p>
    <w:tbl>
      <w:tblPr>
        <w:tblStyle w:val="TableGrid"/>
        <w:tblW w:w="0" w:type="auto"/>
        <w:tblCellMar>
          <w:top w:w="57" w:type="dxa"/>
          <w:bottom w:w="57" w:type="dxa"/>
        </w:tblCellMar>
        <w:tblLook w:val="04A0" w:firstRow="1" w:lastRow="0" w:firstColumn="1" w:lastColumn="0" w:noHBand="0" w:noVBand="1"/>
      </w:tblPr>
      <w:tblGrid>
        <w:gridCol w:w="3025"/>
        <w:gridCol w:w="7045"/>
      </w:tblGrid>
      <w:tr w:rsidR="002366DF" w:rsidRPr="00E91368" w14:paraId="6013BF0B" w14:textId="77777777" w:rsidTr="002366DF">
        <w:tc>
          <w:tcPr>
            <w:tcW w:w="10070" w:type="dxa"/>
            <w:gridSpan w:val="2"/>
            <w:shd w:val="clear" w:color="auto" w:fill="173F34" w:themeFill="accent1"/>
            <w:vAlign w:val="center"/>
            <w:hideMark/>
          </w:tcPr>
          <w:p w14:paraId="7937786C" w14:textId="16F7688B" w:rsidR="002366DF" w:rsidRPr="002366DF" w:rsidRDefault="002366DF" w:rsidP="002366DF">
            <w:pPr>
              <w:rPr>
                <w:b/>
                <w:bCs/>
                <w:sz w:val="16"/>
                <w:szCs w:val="18"/>
              </w:rPr>
            </w:pPr>
            <w:r w:rsidRPr="002366DF">
              <w:rPr>
                <w:b/>
                <w:bCs/>
                <w:sz w:val="16"/>
                <w:szCs w:val="18"/>
              </w:rPr>
              <w:t>United Arab Emirates snapshot</w:t>
            </w:r>
          </w:p>
        </w:tc>
      </w:tr>
      <w:tr w:rsidR="00BA003B" w:rsidRPr="00E91368" w14:paraId="72E75431" w14:textId="77777777" w:rsidTr="002366DF">
        <w:tc>
          <w:tcPr>
            <w:tcW w:w="3025" w:type="dxa"/>
            <w:hideMark/>
          </w:tcPr>
          <w:p w14:paraId="48AC07C0" w14:textId="77777777" w:rsidR="00BA003B" w:rsidRPr="008772B7" w:rsidRDefault="00BA003B" w:rsidP="008772B7">
            <w:pPr>
              <w:rPr>
                <w:sz w:val="16"/>
                <w:szCs w:val="18"/>
              </w:rPr>
            </w:pPr>
            <w:r w:rsidRPr="008772B7">
              <w:rPr>
                <w:sz w:val="16"/>
                <w:szCs w:val="18"/>
              </w:rPr>
              <w:t>Market role</w:t>
            </w:r>
          </w:p>
        </w:tc>
        <w:tc>
          <w:tcPr>
            <w:tcW w:w="7045" w:type="dxa"/>
            <w:hideMark/>
          </w:tcPr>
          <w:p w14:paraId="0AB23D53" w14:textId="7C7093CF" w:rsidR="00BA003B" w:rsidRPr="008772B7" w:rsidRDefault="00EF7BAC" w:rsidP="008772B7">
            <w:pPr>
              <w:rPr>
                <w:sz w:val="16"/>
                <w:szCs w:val="18"/>
              </w:rPr>
            </w:pPr>
            <w:r w:rsidRPr="008772B7">
              <w:rPr>
                <w:sz w:val="16"/>
                <w:szCs w:val="18"/>
              </w:rPr>
              <w:t>Industrial processing, quarrying, regional engineering</w:t>
            </w:r>
            <w:r w:rsidR="00100204" w:rsidRPr="008772B7">
              <w:rPr>
                <w:sz w:val="16"/>
                <w:szCs w:val="18"/>
              </w:rPr>
              <w:t xml:space="preserve"> </w:t>
            </w:r>
            <w:r w:rsidR="00E27C93" w:rsidRPr="008772B7">
              <w:rPr>
                <w:sz w:val="16"/>
                <w:szCs w:val="18"/>
              </w:rPr>
              <w:t>&amp;</w:t>
            </w:r>
            <w:r w:rsidR="00100204" w:rsidRPr="008772B7">
              <w:rPr>
                <w:sz w:val="16"/>
                <w:szCs w:val="18"/>
              </w:rPr>
              <w:t xml:space="preserve"> </w:t>
            </w:r>
            <w:r w:rsidRPr="008772B7">
              <w:rPr>
                <w:sz w:val="16"/>
                <w:szCs w:val="18"/>
              </w:rPr>
              <w:t>service hub and resources-investment decision centre</w:t>
            </w:r>
          </w:p>
        </w:tc>
      </w:tr>
      <w:tr w:rsidR="00BA003B" w:rsidRPr="00E91368" w14:paraId="0421FAF1" w14:textId="77777777" w:rsidTr="002366DF">
        <w:tc>
          <w:tcPr>
            <w:tcW w:w="3025" w:type="dxa"/>
          </w:tcPr>
          <w:p w14:paraId="075A074D" w14:textId="45B39E48" w:rsidR="00BA003B" w:rsidRPr="008772B7" w:rsidRDefault="00BA003B" w:rsidP="008772B7">
            <w:pPr>
              <w:rPr>
                <w:sz w:val="16"/>
                <w:szCs w:val="18"/>
              </w:rPr>
            </w:pPr>
            <w:r w:rsidRPr="008772B7">
              <w:rPr>
                <w:sz w:val="16"/>
                <w:szCs w:val="18"/>
              </w:rPr>
              <w:t xml:space="preserve">Principal </w:t>
            </w:r>
            <w:r w:rsidR="002D536B" w:rsidRPr="008772B7">
              <w:rPr>
                <w:sz w:val="16"/>
                <w:szCs w:val="18"/>
              </w:rPr>
              <w:t xml:space="preserve">activity </w:t>
            </w:r>
          </w:p>
        </w:tc>
        <w:tc>
          <w:tcPr>
            <w:tcW w:w="7045" w:type="dxa"/>
          </w:tcPr>
          <w:p w14:paraId="23D6D7D0" w14:textId="77777777" w:rsidR="00BA003B" w:rsidRPr="008772B7" w:rsidRDefault="00BA003B" w:rsidP="008772B7">
            <w:pPr>
              <w:rPr>
                <w:sz w:val="16"/>
                <w:szCs w:val="18"/>
              </w:rPr>
            </w:pPr>
            <w:r w:rsidRPr="008772B7">
              <w:rPr>
                <w:sz w:val="16"/>
                <w:szCs w:val="18"/>
              </w:rPr>
              <w:t>Aluminium, steel, building materials, mining investment, logistics and regional service delivery</w:t>
            </w:r>
          </w:p>
        </w:tc>
      </w:tr>
      <w:tr w:rsidR="00BA003B" w:rsidRPr="00E91368" w14:paraId="2C00B03B" w14:textId="77777777" w:rsidTr="002366DF">
        <w:tc>
          <w:tcPr>
            <w:tcW w:w="3025" w:type="dxa"/>
            <w:hideMark/>
          </w:tcPr>
          <w:p w14:paraId="26A4A1C1" w14:textId="77777777" w:rsidR="00BA003B" w:rsidRPr="008772B7" w:rsidRDefault="00BA003B" w:rsidP="008772B7">
            <w:pPr>
              <w:rPr>
                <w:sz w:val="16"/>
                <w:szCs w:val="18"/>
              </w:rPr>
            </w:pPr>
            <w:r w:rsidRPr="008772B7">
              <w:rPr>
                <w:sz w:val="16"/>
                <w:szCs w:val="18"/>
              </w:rPr>
              <w:t>Strongest METS alignment</w:t>
            </w:r>
          </w:p>
        </w:tc>
        <w:tc>
          <w:tcPr>
            <w:tcW w:w="7045" w:type="dxa"/>
            <w:hideMark/>
          </w:tcPr>
          <w:p w14:paraId="51F4B25D" w14:textId="66194EC6" w:rsidR="00DF65AC" w:rsidRPr="008772B7" w:rsidRDefault="00022235" w:rsidP="008772B7">
            <w:pPr>
              <w:rPr>
                <w:sz w:val="16"/>
                <w:szCs w:val="18"/>
              </w:rPr>
            </w:pPr>
            <w:r w:rsidRPr="008772B7">
              <w:rPr>
                <w:sz w:val="16"/>
                <w:szCs w:val="18"/>
              </w:rPr>
              <w:t xml:space="preserve">Regional delivery </w:t>
            </w:r>
            <w:r w:rsidR="00E12623" w:rsidRPr="008772B7">
              <w:rPr>
                <w:sz w:val="16"/>
                <w:szCs w:val="18"/>
              </w:rPr>
              <w:t xml:space="preserve">and service </w:t>
            </w:r>
            <w:r w:rsidRPr="008772B7">
              <w:rPr>
                <w:sz w:val="16"/>
                <w:szCs w:val="18"/>
              </w:rPr>
              <w:t>into</w:t>
            </w:r>
            <w:r w:rsidR="00DF65AC" w:rsidRPr="008772B7">
              <w:rPr>
                <w:sz w:val="16"/>
                <w:szCs w:val="18"/>
              </w:rPr>
              <w:t xml:space="preserve"> mining markets in</w:t>
            </w:r>
            <w:r w:rsidRPr="008772B7">
              <w:rPr>
                <w:sz w:val="16"/>
                <w:szCs w:val="18"/>
              </w:rPr>
              <w:t xml:space="preserve"> Africa</w:t>
            </w:r>
            <w:r w:rsidR="00737E90" w:rsidRPr="008772B7">
              <w:rPr>
                <w:sz w:val="16"/>
                <w:szCs w:val="18"/>
              </w:rPr>
              <w:t xml:space="preserve">, the Middle East and </w:t>
            </w:r>
            <w:r w:rsidR="00CC3CB7" w:rsidRPr="008772B7">
              <w:rPr>
                <w:sz w:val="16"/>
                <w:szCs w:val="18"/>
              </w:rPr>
              <w:t>South Asia</w:t>
            </w:r>
            <w:r w:rsidR="00DF65AC" w:rsidRPr="008772B7">
              <w:rPr>
                <w:sz w:val="16"/>
                <w:szCs w:val="18"/>
              </w:rPr>
              <w:t>.</w:t>
            </w:r>
          </w:p>
          <w:p w14:paraId="14DE376B" w14:textId="3A7F26F9" w:rsidR="00BA003B" w:rsidRPr="008772B7" w:rsidRDefault="00DF65AC" w:rsidP="008772B7">
            <w:pPr>
              <w:rPr>
                <w:sz w:val="16"/>
                <w:szCs w:val="18"/>
              </w:rPr>
            </w:pPr>
            <w:r w:rsidRPr="008772B7">
              <w:rPr>
                <w:sz w:val="16"/>
                <w:szCs w:val="18"/>
              </w:rPr>
              <w:t>D</w:t>
            </w:r>
            <w:r w:rsidR="00737E90" w:rsidRPr="008772B7">
              <w:rPr>
                <w:sz w:val="16"/>
                <w:szCs w:val="18"/>
              </w:rPr>
              <w:t>omestic i</w:t>
            </w:r>
            <w:r w:rsidR="00BA003B" w:rsidRPr="008772B7">
              <w:rPr>
                <w:sz w:val="16"/>
                <w:szCs w:val="18"/>
              </w:rPr>
              <w:t xml:space="preserve">ndustrial optimisation, maintenance, </w:t>
            </w:r>
            <w:r w:rsidR="00737E90" w:rsidRPr="008772B7">
              <w:rPr>
                <w:sz w:val="16"/>
                <w:szCs w:val="18"/>
              </w:rPr>
              <w:t>digitisation</w:t>
            </w:r>
            <w:r w:rsidR="00BA003B" w:rsidRPr="008772B7">
              <w:rPr>
                <w:sz w:val="16"/>
                <w:szCs w:val="18"/>
              </w:rPr>
              <w:t>, energy efficiency</w:t>
            </w:r>
            <w:r w:rsidR="00737E90" w:rsidRPr="008772B7">
              <w:rPr>
                <w:sz w:val="16"/>
                <w:szCs w:val="18"/>
              </w:rPr>
              <w:t xml:space="preserve">, and </w:t>
            </w:r>
            <w:r w:rsidR="00BA003B" w:rsidRPr="008772B7">
              <w:rPr>
                <w:sz w:val="16"/>
                <w:szCs w:val="18"/>
              </w:rPr>
              <w:t>emissions reduction</w:t>
            </w:r>
            <w:r w:rsidR="00737E90" w:rsidRPr="008772B7">
              <w:rPr>
                <w:sz w:val="16"/>
                <w:szCs w:val="18"/>
              </w:rPr>
              <w:t>.</w:t>
            </w:r>
          </w:p>
        </w:tc>
      </w:tr>
      <w:tr w:rsidR="00BA003B" w:rsidRPr="00E91368" w14:paraId="0D66F144" w14:textId="77777777" w:rsidTr="002366DF">
        <w:tc>
          <w:tcPr>
            <w:tcW w:w="3025" w:type="dxa"/>
            <w:hideMark/>
          </w:tcPr>
          <w:p w14:paraId="509EE14D" w14:textId="77777777" w:rsidR="00BA003B" w:rsidRPr="008772B7" w:rsidRDefault="00BA003B" w:rsidP="008772B7">
            <w:pPr>
              <w:rPr>
                <w:sz w:val="16"/>
                <w:szCs w:val="18"/>
              </w:rPr>
            </w:pPr>
            <w:r w:rsidRPr="008772B7">
              <w:rPr>
                <w:sz w:val="16"/>
                <w:szCs w:val="18"/>
              </w:rPr>
              <w:t>Typical access pathway</w:t>
            </w:r>
          </w:p>
        </w:tc>
        <w:tc>
          <w:tcPr>
            <w:tcW w:w="7045" w:type="dxa"/>
            <w:hideMark/>
          </w:tcPr>
          <w:p w14:paraId="7A363A49" w14:textId="4915A220" w:rsidR="00BA003B" w:rsidRPr="008772B7" w:rsidRDefault="0032564A" w:rsidP="008772B7">
            <w:pPr>
              <w:rPr>
                <w:sz w:val="16"/>
                <w:szCs w:val="18"/>
              </w:rPr>
            </w:pPr>
            <w:r w:rsidRPr="008772B7">
              <w:rPr>
                <w:sz w:val="16"/>
                <w:szCs w:val="18"/>
              </w:rPr>
              <w:t>Direct engagement with industrial buyers, investors, project contractors or regional distribution and service partners.</w:t>
            </w:r>
          </w:p>
        </w:tc>
      </w:tr>
      <w:tr w:rsidR="00BA003B" w:rsidRPr="00E91368" w14:paraId="59E3A5C0" w14:textId="77777777" w:rsidTr="002366DF">
        <w:tc>
          <w:tcPr>
            <w:tcW w:w="3025" w:type="dxa"/>
            <w:hideMark/>
          </w:tcPr>
          <w:p w14:paraId="41428329" w14:textId="040264BB" w:rsidR="00BA003B" w:rsidRPr="008772B7" w:rsidRDefault="00BA003B" w:rsidP="008772B7">
            <w:pPr>
              <w:rPr>
                <w:sz w:val="16"/>
                <w:szCs w:val="18"/>
              </w:rPr>
            </w:pPr>
            <w:r w:rsidRPr="008772B7">
              <w:rPr>
                <w:sz w:val="16"/>
                <w:szCs w:val="18"/>
              </w:rPr>
              <w:lastRenderedPageBreak/>
              <w:t>Key commercial consideration</w:t>
            </w:r>
            <w:r w:rsidR="00F5433C" w:rsidRPr="008772B7">
              <w:rPr>
                <w:sz w:val="16"/>
                <w:szCs w:val="18"/>
              </w:rPr>
              <w:t>s</w:t>
            </w:r>
          </w:p>
        </w:tc>
        <w:tc>
          <w:tcPr>
            <w:tcW w:w="7045" w:type="dxa"/>
            <w:hideMark/>
          </w:tcPr>
          <w:p w14:paraId="2FAEA459" w14:textId="29233077" w:rsidR="00BA003B" w:rsidRPr="008772B7" w:rsidRDefault="001B7097" w:rsidP="008772B7">
            <w:pPr>
              <w:rPr>
                <w:sz w:val="16"/>
                <w:szCs w:val="18"/>
              </w:rPr>
            </w:pPr>
            <w:r w:rsidRPr="008772B7">
              <w:rPr>
                <w:sz w:val="16"/>
                <w:szCs w:val="18"/>
              </w:rPr>
              <w:t>Buyer-specific qualification and in-country value requirements. The cost and practicalities of local service, stockholding or a regional presence. A UAE base does not replace operating-country requirements or local delivery expectations.</w:t>
            </w:r>
          </w:p>
        </w:tc>
      </w:tr>
    </w:tbl>
    <w:p w14:paraId="0D5A922A" w14:textId="77777777" w:rsidR="00EA6308" w:rsidRPr="00E91368" w:rsidRDefault="00EA6308" w:rsidP="00EA6308">
      <w:pPr>
        <w:rPr>
          <w:rFonts w:asciiTheme="majorHAnsi" w:hAnsiTheme="majorHAnsi" w:cstheme="majorHAnsi"/>
          <w:szCs w:val="20"/>
        </w:rPr>
      </w:pPr>
    </w:p>
    <w:p w14:paraId="4E6E69D6" w14:textId="77777777" w:rsidR="00161394" w:rsidRPr="00E91368" w:rsidRDefault="00161394" w:rsidP="00EA6308">
      <w:pPr>
        <w:rPr>
          <w:rFonts w:asciiTheme="majorHAnsi" w:hAnsiTheme="majorHAnsi" w:cstheme="majorHAnsi"/>
          <w:szCs w:val="20"/>
          <w:highlight w:val="yellow"/>
        </w:rPr>
      </w:pPr>
    </w:p>
    <w:p w14:paraId="7CDF203D" w14:textId="77777777" w:rsidR="00161394" w:rsidRPr="00E91368" w:rsidRDefault="00161394" w:rsidP="00EA6308">
      <w:pPr>
        <w:rPr>
          <w:rFonts w:asciiTheme="majorHAnsi" w:hAnsiTheme="majorHAnsi" w:cstheme="majorHAnsi"/>
          <w:szCs w:val="20"/>
          <w:highlight w:val="yellow"/>
        </w:rPr>
      </w:pPr>
    </w:p>
    <w:p w14:paraId="35CA202A" w14:textId="6935EFE8" w:rsidR="00206A25" w:rsidRPr="00D91382" w:rsidRDefault="00AE677A" w:rsidP="00D91382">
      <w:pPr>
        <w:spacing w:after="200" w:line="276" w:lineRule="auto"/>
        <w:rPr>
          <w:rFonts w:asciiTheme="majorHAnsi" w:hAnsiTheme="majorHAnsi" w:cstheme="majorHAnsi"/>
          <w:szCs w:val="20"/>
        </w:rPr>
      </w:pPr>
      <w:r>
        <w:rPr>
          <w:rFonts w:asciiTheme="majorHAnsi" w:hAnsiTheme="majorHAnsi" w:cstheme="majorHAnsi"/>
          <w:szCs w:val="20"/>
        </w:rPr>
        <w:br w:type="page"/>
      </w:r>
    </w:p>
    <w:p w14:paraId="167BE3A3" w14:textId="77777777" w:rsidR="00803A5E" w:rsidRPr="00E91368" w:rsidRDefault="00803A5E" w:rsidP="00803A5E">
      <w:pPr>
        <w:rPr>
          <w:rFonts w:asciiTheme="majorHAnsi" w:hAnsiTheme="majorHAnsi" w:cstheme="majorHAnsi"/>
          <w:b/>
          <w:bCs/>
          <w:szCs w:val="20"/>
        </w:rPr>
      </w:pPr>
    </w:p>
    <w:p w14:paraId="30574892" w14:textId="48B37671" w:rsidR="009D7263" w:rsidRDefault="009D7263" w:rsidP="00D91382">
      <w:pPr>
        <w:pStyle w:val="Heading3"/>
      </w:pPr>
      <w:r>
        <w:t xml:space="preserve">UAE Industrial Operations &amp; Infrastructure </w:t>
      </w:r>
    </w:p>
    <w:p w14:paraId="0630EFDE" w14:textId="0B9A63C0" w:rsidR="00D91382" w:rsidRDefault="00A13AEF" w:rsidP="00227C54">
      <w:pPr>
        <w:rPr>
          <w:rFonts w:asciiTheme="majorHAnsi" w:eastAsiaTheme="majorEastAsia" w:hAnsiTheme="majorHAnsi" w:cstheme="majorBidi"/>
          <w:b/>
          <w:bCs/>
          <w:color w:val="1F4E79"/>
          <w:sz w:val="26"/>
          <w:szCs w:val="26"/>
        </w:rPr>
      </w:pPr>
      <w:r>
        <w:rPr>
          <w:rFonts w:asciiTheme="majorHAnsi" w:eastAsiaTheme="majorEastAsia" w:hAnsiTheme="majorHAnsi" w:cstheme="majorBidi"/>
          <w:b/>
          <w:bCs/>
          <w:noProof/>
          <w:color w:val="1F4E79"/>
          <w:sz w:val="26"/>
          <w:szCs w:val="26"/>
        </w:rPr>
        <w:drawing>
          <wp:inline distT="0" distB="0" distL="0" distR="0" wp14:anchorId="5627605A" wp14:editId="7F991C85">
            <wp:extent cx="6393815" cy="4522470"/>
            <wp:effectExtent l="0" t="0" r="6985" b="0"/>
            <wp:docPr id="3354424" name="Picture 5" descr="Infographic for UAE mining and processing operations. It displays an image of a mining dump truck and another image of a map of UAE with mine locations marked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4424" name="Picture 5" descr="Infographic for UAE mining and processing operations. It displays an image of a mining dump truck and another image of a map of UAE with mine locations marked on i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93815" cy="4522470"/>
                    </a:xfrm>
                    <a:prstGeom prst="rect">
                      <a:avLst/>
                    </a:prstGeom>
                    <a:noFill/>
                    <a:ln>
                      <a:noFill/>
                    </a:ln>
                  </pic:spPr>
                </pic:pic>
              </a:graphicData>
            </a:graphic>
          </wp:inline>
        </w:drawing>
      </w:r>
    </w:p>
    <w:p w14:paraId="023C823C" w14:textId="77777777" w:rsidR="006775EF" w:rsidRDefault="006775EF" w:rsidP="00227C54">
      <w:pPr>
        <w:rPr>
          <w:rFonts w:asciiTheme="majorHAnsi" w:eastAsiaTheme="majorEastAsia" w:hAnsiTheme="majorHAnsi" w:cstheme="majorBidi"/>
          <w:b/>
          <w:bCs/>
          <w:color w:val="1F4E79"/>
          <w:sz w:val="26"/>
          <w:szCs w:val="26"/>
        </w:rPr>
      </w:pPr>
    </w:p>
    <w:p w14:paraId="4BF8F0DE" w14:textId="51E2D5CD" w:rsidR="00D866AB" w:rsidRDefault="00D866AB" w:rsidP="006775EF">
      <w:pPr>
        <w:pStyle w:val="Heading3"/>
      </w:pPr>
      <w:r w:rsidRPr="00D866AB">
        <w:t>Mining Activity and Implications for Australian METS</w:t>
      </w:r>
    </w:p>
    <w:p w14:paraId="263A16BE" w14:textId="77777777" w:rsidR="00F806EC" w:rsidRDefault="000854A7" w:rsidP="000854A7">
      <w:pPr>
        <w:rPr>
          <w:color w:val="404040"/>
        </w:rPr>
      </w:pPr>
      <w:r>
        <w:rPr>
          <w:color w:val="404040"/>
        </w:rPr>
        <w:t xml:space="preserve">The UAE’s operating assets create </w:t>
      </w:r>
      <w:r w:rsidR="00F806EC">
        <w:rPr>
          <w:color w:val="404040"/>
        </w:rPr>
        <w:t xml:space="preserve">selective </w:t>
      </w:r>
      <w:r>
        <w:rPr>
          <w:color w:val="404040"/>
        </w:rPr>
        <w:t>opportunities for Australian METS</w:t>
      </w:r>
      <w:r w:rsidR="00F806EC">
        <w:rPr>
          <w:color w:val="404040"/>
        </w:rPr>
        <w:t xml:space="preserve"> that fall outside of the typical mining and metals portfolio</w:t>
      </w:r>
      <w:r>
        <w:rPr>
          <w:color w:val="404040"/>
        </w:rPr>
        <w:t xml:space="preserve">. </w:t>
      </w:r>
    </w:p>
    <w:p w14:paraId="1F429B22" w14:textId="62D3830C" w:rsidR="000D2B81" w:rsidRDefault="000D2B81" w:rsidP="000854A7">
      <w:pPr>
        <w:rPr>
          <w:color w:val="404040"/>
        </w:rPr>
      </w:pPr>
      <w:r w:rsidRPr="000D2B81">
        <w:rPr>
          <w:color w:val="404040"/>
        </w:rPr>
        <w:t>Aluminium and steel complexes are concentrated around Jebel Ali, Al Taweelah and Musaffah/Industrial City of Abu Dhabi (ICAD). Ras Al Khaimah contains major quarrying operations. Ports and freight infrastructure connect these activities with domestic and export customers.</w:t>
      </w:r>
      <w:r w:rsidRPr="00CE6EE6">
        <w:rPr>
          <w:color w:val="404040"/>
          <w:vertAlign w:val="superscript"/>
        </w:rPr>
        <w:t>[7][1</w:t>
      </w:r>
      <w:r w:rsidR="00B67B07" w:rsidRPr="00CE6EE6">
        <w:rPr>
          <w:color w:val="404040"/>
          <w:vertAlign w:val="superscript"/>
        </w:rPr>
        <w:t>2</w:t>
      </w:r>
      <w:r w:rsidRPr="00CE6EE6">
        <w:rPr>
          <w:color w:val="404040"/>
          <w:vertAlign w:val="superscript"/>
        </w:rPr>
        <w:t>][1</w:t>
      </w:r>
      <w:r w:rsidR="00FE330C" w:rsidRPr="00CE6EE6">
        <w:rPr>
          <w:color w:val="404040"/>
          <w:vertAlign w:val="superscript"/>
        </w:rPr>
        <w:t>6</w:t>
      </w:r>
      <w:r w:rsidRPr="00CE6EE6">
        <w:rPr>
          <w:color w:val="404040"/>
          <w:vertAlign w:val="superscript"/>
        </w:rPr>
        <w:t>][</w:t>
      </w:r>
      <w:r w:rsidR="00FE330C" w:rsidRPr="00CE6EE6">
        <w:rPr>
          <w:color w:val="404040"/>
          <w:vertAlign w:val="superscript"/>
        </w:rPr>
        <w:t>19</w:t>
      </w:r>
      <w:r w:rsidRPr="00CE6EE6">
        <w:rPr>
          <w:color w:val="404040"/>
          <w:vertAlign w:val="superscript"/>
        </w:rPr>
        <w:t>]</w:t>
      </w:r>
    </w:p>
    <w:p w14:paraId="4D9B9DDB" w14:textId="7F697CDB" w:rsidR="00227C54" w:rsidRPr="002366DF" w:rsidRDefault="000854A7" w:rsidP="00227C54">
      <w:pPr>
        <w:rPr>
          <w:color w:val="404040"/>
        </w:rPr>
      </w:pPr>
      <w:r>
        <w:rPr>
          <w:color w:val="404040"/>
        </w:rPr>
        <w:t xml:space="preserve">Near-term demand centres on plant reliability, processing performance, quarry productivity, maintenance and environmental systems. </w:t>
      </w:r>
      <w:r w:rsidR="001F31F1">
        <w:rPr>
          <w:color w:val="404040"/>
        </w:rPr>
        <w:t>F</w:t>
      </w:r>
      <w:r w:rsidR="00B675D5">
        <w:rPr>
          <w:color w:val="404040"/>
        </w:rPr>
        <w:t>oreign resources investment</w:t>
      </w:r>
      <w:r w:rsidR="001F31F1">
        <w:rPr>
          <w:color w:val="404040"/>
        </w:rPr>
        <w:t xml:space="preserve"> in neighbouring markets</w:t>
      </w:r>
      <w:r w:rsidR="00B675D5">
        <w:rPr>
          <w:color w:val="404040"/>
        </w:rPr>
        <w:t>, r</w:t>
      </w:r>
      <w:r>
        <w:rPr>
          <w:color w:val="404040"/>
        </w:rPr>
        <w:t xml:space="preserve">egional procurement and service functions extend </w:t>
      </w:r>
      <w:r w:rsidR="001F31F1">
        <w:rPr>
          <w:color w:val="404040"/>
        </w:rPr>
        <w:t xml:space="preserve">METS </w:t>
      </w:r>
      <w:r>
        <w:rPr>
          <w:color w:val="404040"/>
        </w:rPr>
        <w:t>opportunit</w:t>
      </w:r>
      <w:r w:rsidR="00D63738">
        <w:rPr>
          <w:color w:val="404040"/>
        </w:rPr>
        <w:t xml:space="preserve">ies </w:t>
      </w:r>
      <w:r>
        <w:rPr>
          <w:color w:val="404040"/>
        </w:rPr>
        <w:t>beyond the UAE, but access depends on the relevant asset owner, project and operating</w:t>
      </w:r>
      <w:r w:rsidR="00B675D5">
        <w:rPr>
          <w:color w:val="404040"/>
        </w:rPr>
        <w:t xml:space="preserve"> </w:t>
      </w:r>
      <w:r>
        <w:rPr>
          <w:color w:val="404040"/>
        </w:rPr>
        <w:t>country requirements.</w:t>
      </w:r>
    </w:p>
    <w:tbl>
      <w:tblPr>
        <w:tblStyle w:val="TableGrid"/>
        <w:tblW w:w="9161" w:type="dxa"/>
        <w:tblLayout w:type="fixed"/>
        <w:tblCellMar>
          <w:top w:w="57" w:type="dxa"/>
          <w:bottom w:w="57" w:type="dxa"/>
        </w:tblCellMar>
        <w:tblLook w:val="04A0" w:firstRow="1" w:lastRow="0" w:firstColumn="1" w:lastColumn="0" w:noHBand="0" w:noVBand="1"/>
      </w:tblPr>
      <w:tblGrid>
        <w:gridCol w:w="2565"/>
        <w:gridCol w:w="3298"/>
        <w:gridCol w:w="3298"/>
      </w:tblGrid>
      <w:tr w:rsidR="00BD18B5" w14:paraId="5DE84BEE" w14:textId="77777777" w:rsidTr="002366DF">
        <w:trPr>
          <w:trHeight w:val="312"/>
        </w:trPr>
        <w:tc>
          <w:tcPr>
            <w:tcW w:w="2565" w:type="dxa"/>
            <w:shd w:val="clear" w:color="auto" w:fill="173F34" w:themeFill="accent1"/>
            <w:vAlign w:val="center"/>
          </w:tcPr>
          <w:p w14:paraId="7FCEAF40" w14:textId="7855CE69" w:rsidR="00BD18B5" w:rsidRPr="006775EF" w:rsidRDefault="00BD18B5" w:rsidP="002366DF">
            <w:pPr>
              <w:spacing w:after="0" w:line="240" w:lineRule="auto"/>
              <w:rPr>
                <w:sz w:val="16"/>
                <w:szCs w:val="20"/>
              </w:rPr>
            </w:pPr>
            <w:r w:rsidRPr="006775EF">
              <w:rPr>
                <w:b/>
                <w:sz w:val="16"/>
                <w:szCs w:val="20"/>
              </w:rPr>
              <w:t>Opportunity</w:t>
            </w:r>
          </w:p>
        </w:tc>
        <w:tc>
          <w:tcPr>
            <w:tcW w:w="3298" w:type="dxa"/>
            <w:shd w:val="clear" w:color="auto" w:fill="173F34" w:themeFill="accent1"/>
            <w:vAlign w:val="center"/>
          </w:tcPr>
          <w:p w14:paraId="37261493" w14:textId="3C88AD4B" w:rsidR="00BD18B5" w:rsidRPr="006775EF" w:rsidRDefault="00BD18B5" w:rsidP="002366DF">
            <w:pPr>
              <w:spacing w:after="0" w:line="240" w:lineRule="auto"/>
              <w:rPr>
                <w:sz w:val="16"/>
                <w:szCs w:val="20"/>
              </w:rPr>
            </w:pPr>
            <w:r w:rsidRPr="006775EF">
              <w:rPr>
                <w:b/>
                <w:sz w:val="16"/>
                <w:szCs w:val="20"/>
              </w:rPr>
              <w:t>Status</w:t>
            </w:r>
          </w:p>
        </w:tc>
        <w:tc>
          <w:tcPr>
            <w:tcW w:w="3298" w:type="dxa"/>
            <w:shd w:val="clear" w:color="auto" w:fill="173F34" w:themeFill="accent1"/>
            <w:vAlign w:val="center"/>
          </w:tcPr>
          <w:p w14:paraId="4AF01BA6" w14:textId="0646848F" w:rsidR="00BD18B5" w:rsidRPr="006775EF" w:rsidRDefault="00BD18B5" w:rsidP="002366DF">
            <w:pPr>
              <w:spacing w:after="0" w:line="240" w:lineRule="auto"/>
              <w:rPr>
                <w:sz w:val="16"/>
                <w:szCs w:val="20"/>
              </w:rPr>
            </w:pPr>
            <w:r w:rsidRPr="006775EF">
              <w:rPr>
                <w:b/>
                <w:sz w:val="16"/>
                <w:szCs w:val="20"/>
              </w:rPr>
              <w:t>Australian METS alignment</w:t>
            </w:r>
          </w:p>
        </w:tc>
      </w:tr>
      <w:tr w:rsidR="00BD18B5" w14:paraId="3ED5D740" w14:textId="77777777" w:rsidTr="002366DF">
        <w:trPr>
          <w:trHeight w:val="908"/>
        </w:trPr>
        <w:tc>
          <w:tcPr>
            <w:tcW w:w="2565" w:type="dxa"/>
          </w:tcPr>
          <w:p w14:paraId="33B5D8F5" w14:textId="77777777" w:rsidR="00BD18B5" w:rsidRDefault="00BD18B5">
            <w:pPr>
              <w:spacing w:after="0" w:line="240" w:lineRule="auto"/>
            </w:pPr>
            <w:r>
              <w:rPr>
                <w:sz w:val="15"/>
              </w:rPr>
              <w:t>EGA: Jebel Ali and Al Taweelah</w:t>
            </w:r>
          </w:p>
        </w:tc>
        <w:tc>
          <w:tcPr>
            <w:tcW w:w="3298" w:type="dxa"/>
          </w:tcPr>
          <w:p w14:paraId="6250ED44" w14:textId="716FF59B" w:rsidR="00BD18B5" w:rsidRDefault="00BD18B5">
            <w:pPr>
              <w:spacing w:after="0" w:line="240" w:lineRule="auto"/>
            </w:pPr>
            <w:r>
              <w:rPr>
                <w:sz w:val="15"/>
              </w:rPr>
              <w:t>Integrated smelting, refining and recycling assets form the principal large-scale industrial cluster. Al Taweelah is in restoration and ramp-up.</w:t>
            </w:r>
          </w:p>
        </w:tc>
        <w:tc>
          <w:tcPr>
            <w:tcW w:w="3298" w:type="dxa"/>
          </w:tcPr>
          <w:p w14:paraId="55AB47BB" w14:textId="77777777" w:rsidR="00BD18B5" w:rsidRDefault="00BD18B5">
            <w:pPr>
              <w:spacing w:after="0" w:line="240" w:lineRule="auto"/>
            </w:pPr>
            <w:r>
              <w:rPr>
                <w:sz w:val="15"/>
              </w:rPr>
              <w:t>Reliability, process control, energy efficiency, digital optimisation, emissions, recycling, asset integrity and major-hazard safety.</w:t>
            </w:r>
          </w:p>
        </w:tc>
      </w:tr>
      <w:tr w:rsidR="00BD18B5" w14:paraId="69B5012B" w14:textId="77777777" w:rsidTr="002366DF">
        <w:trPr>
          <w:trHeight w:val="908"/>
        </w:trPr>
        <w:tc>
          <w:tcPr>
            <w:tcW w:w="2565" w:type="dxa"/>
          </w:tcPr>
          <w:p w14:paraId="2CAF9768" w14:textId="77777777" w:rsidR="00BD18B5" w:rsidRDefault="00BD18B5">
            <w:pPr>
              <w:spacing w:after="0" w:line="240" w:lineRule="auto"/>
            </w:pPr>
            <w:r>
              <w:rPr>
                <w:sz w:val="15"/>
              </w:rPr>
              <w:lastRenderedPageBreak/>
              <w:t>EMSTEEL and Musaffah/ICAD</w:t>
            </w:r>
          </w:p>
        </w:tc>
        <w:tc>
          <w:tcPr>
            <w:tcW w:w="3298" w:type="dxa"/>
          </w:tcPr>
          <w:p w14:paraId="67502C7F" w14:textId="7DCE280A" w:rsidR="00BD18B5" w:rsidRDefault="00BD18B5">
            <w:pPr>
              <w:spacing w:after="0" w:line="240" w:lineRule="auto"/>
            </w:pPr>
            <w:r>
              <w:rPr>
                <w:sz w:val="15"/>
              </w:rPr>
              <w:t>Steel and building materials production provides a major industrial customer pathway.</w:t>
            </w:r>
          </w:p>
        </w:tc>
        <w:tc>
          <w:tcPr>
            <w:tcW w:w="3298" w:type="dxa"/>
          </w:tcPr>
          <w:p w14:paraId="09C7FB6D" w14:textId="77777777" w:rsidR="00BD18B5" w:rsidRDefault="00BD18B5">
            <w:pPr>
              <w:spacing w:after="0" w:line="240" w:lineRule="auto"/>
            </w:pPr>
            <w:r>
              <w:rPr>
                <w:sz w:val="15"/>
              </w:rPr>
              <w:t>Maintenance, condition monitoring, materials handling, process control, energy, emissions and workforce capability.</w:t>
            </w:r>
          </w:p>
        </w:tc>
      </w:tr>
      <w:tr w:rsidR="00BD18B5" w14:paraId="5C2D2596" w14:textId="77777777" w:rsidTr="002366DF">
        <w:trPr>
          <w:trHeight w:val="270"/>
        </w:trPr>
        <w:tc>
          <w:tcPr>
            <w:tcW w:w="2565" w:type="dxa"/>
          </w:tcPr>
          <w:p w14:paraId="5FFABDD0" w14:textId="77777777" w:rsidR="00BD18B5" w:rsidRDefault="00BD18B5">
            <w:pPr>
              <w:spacing w:after="0" w:line="240" w:lineRule="auto"/>
            </w:pPr>
            <w:r>
              <w:rPr>
                <w:sz w:val="15"/>
              </w:rPr>
              <w:t>Ras Al Khaimah quarry clusters</w:t>
            </w:r>
          </w:p>
        </w:tc>
        <w:tc>
          <w:tcPr>
            <w:tcW w:w="3298" w:type="dxa"/>
          </w:tcPr>
          <w:p w14:paraId="3150C3AF" w14:textId="2AC8D163" w:rsidR="00BD18B5" w:rsidRDefault="00BD18B5">
            <w:pPr>
              <w:spacing w:after="0" w:line="240" w:lineRule="auto"/>
            </w:pPr>
            <w:r>
              <w:rPr>
                <w:sz w:val="15"/>
              </w:rPr>
              <w:t>Khor Khuwair and Al Ghail represent the clearest domestic extractive minerals activity.</w:t>
            </w:r>
          </w:p>
        </w:tc>
        <w:tc>
          <w:tcPr>
            <w:tcW w:w="3298" w:type="dxa"/>
          </w:tcPr>
          <w:p w14:paraId="026FD25E" w14:textId="6863652C" w:rsidR="00BD18B5" w:rsidRDefault="00BD18B5">
            <w:pPr>
              <w:spacing w:after="0" w:line="240" w:lineRule="auto"/>
            </w:pPr>
            <w:r>
              <w:rPr>
                <w:sz w:val="15"/>
              </w:rPr>
              <w:t>Crushing and screening, wear, maintenance, dust suppression, fleet productivity, conveyors, environmental monitoring and safety.</w:t>
            </w:r>
          </w:p>
        </w:tc>
      </w:tr>
      <w:tr w:rsidR="00BD18B5" w14:paraId="7147C53E" w14:textId="77777777" w:rsidTr="002366DF">
        <w:trPr>
          <w:trHeight w:val="694"/>
        </w:trPr>
        <w:tc>
          <w:tcPr>
            <w:tcW w:w="2565" w:type="dxa"/>
          </w:tcPr>
          <w:p w14:paraId="4B07C016" w14:textId="77777777" w:rsidR="00BD18B5" w:rsidRDefault="00BD18B5">
            <w:pPr>
              <w:spacing w:after="0" w:line="240" w:lineRule="auto"/>
            </w:pPr>
            <w:r>
              <w:rPr>
                <w:sz w:val="15"/>
              </w:rPr>
              <w:t>Ports and industrial logistics</w:t>
            </w:r>
          </w:p>
        </w:tc>
        <w:tc>
          <w:tcPr>
            <w:tcW w:w="3298" w:type="dxa"/>
          </w:tcPr>
          <w:p w14:paraId="0360E89C" w14:textId="77777777" w:rsidR="00BD18B5" w:rsidRDefault="00BD18B5">
            <w:pPr>
              <w:spacing w:after="0" w:line="240" w:lineRule="auto"/>
            </w:pPr>
            <w:r>
              <w:rPr>
                <w:sz w:val="15"/>
              </w:rPr>
              <w:t>Jebel Ali, Khalifa Port and Fujairah support bulk materials, warehousing, re-export and regional service delivery.</w:t>
            </w:r>
          </w:p>
        </w:tc>
        <w:tc>
          <w:tcPr>
            <w:tcW w:w="3298" w:type="dxa"/>
          </w:tcPr>
          <w:p w14:paraId="37C84944" w14:textId="77777777" w:rsidR="00BD18B5" w:rsidRDefault="00BD18B5">
            <w:pPr>
              <w:spacing w:after="0" w:line="240" w:lineRule="auto"/>
            </w:pPr>
            <w:r>
              <w:rPr>
                <w:sz w:val="15"/>
              </w:rPr>
              <w:t>Bulk handling, inventory visibility, condition monitoring, spares, logistics technology and regional technical support.</w:t>
            </w:r>
          </w:p>
        </w:tc>
      </w:tr>
      <w:tr w:rsidR="00BD18B5" w14:paraId="240F72CC" w14:textId="77777777" w:rsidTr="002366DF">
        <w:trPr>
          <w:trHeight w:val="409"/>
        </w:trPr>
        <w:tc>
          <w:tcPr>
            <w:tcW w:w="2565" w:type="dxa"/>
          </w:tcPr>
          <w:p w14:paraId="6966D2BB" w14:textId="77777777" w:rsidR="00BD18B5" w:rsidRDefault="00BD18B5">
            <w:pPr>
              <w:spacing w:after="0" w:line="240" w:lineRule="auto"/>
            </w:pPr>
            <w:r>
              <w:rPr>
                <w:sz w:val="15"/>
              </w:rPr>
              <w:t>UAE-based resources investors</w:t>
            </w:r>
          </w:p>
        </w:tc>
        <w:tc>
          <w:tcPr>
            <w:tcW w:w="3298" w:type="dxa"/>
          </w:tcPr>
          <w:p w14:paraId="28AF4FD7" w14:textId="4693428D" w:rsidR="00BD18B5" w:rsidRDefault="00BD18B5">
            <w:pPr>
              <w:spacing w:after="0" w:line="240" w:lineRule="auto"/>
            </w:pPr>
            <w:r>
              <w:rPr>
                <w:sz w:val="15"/>
              </w:rPr>
              <w:t>Abu Dhabi-based investors and technology functions may influence mining assets outside the UAE.</w:t>
            </w:r>
          </w:p>
        </w:tc>
        <w:tc>
          <w:tcPr>
            <w:tcW w:w="3298" w:type="dxa"/>
          </w:tcPr>
          <w:p w14:paraId="6896A0E7" w14:textId="1AD17366" w:rsidR="00BD18B5" w:rsidRDefault="00BD18B5">
            <w:pPr>
              <w:spacing w:after="0" w:line="240" w:lineRule="auto"/>
            </w:pPr>
            <w:r>
              <w:rPr>
                <w:sz w:val="15"/>
              </w:rPr>
              <w:t>Technical due diligence, major contracting, operational improvements and portfolio-level technology deployment.</w:t>
            </w:r>
          </w:p>
        </w:tc>
      </w:tr>
    </w:tbl>
    <w:p w14:paraId="650FC15F" w14:textId="77777777" w:rsidR="00F52E71" w:rsidRPr="00F52E71" w:rsidRDefault="00F52E71" w:rsidP="00F52E71"/>
    <w:p w14:paraId="372CD6F4" w14:textId="77777777" w:rsidR="000E59AD" w:rsidRDefault="000E59AD" w:rsidP="006775EF">
      <w:pPr>
        <w:pStyle w:val="Heading3"/>
      </w:pPr>
      <w:r>
        <w:t xml:space="preserve">Market </w:t>
      </w:r>
      <w:r w:rsidRPr="006775EF">
        <w:t>expansion</w:t>
      </w:r>
      <w:r>
        <w:t xml:space="preserve"> and industrial investment</w:t>
      </w:r>
    </w:p>
    <w:p w14:paraId="45000039" w14:textId="77777777" w:rsidR="00C8212E" w:rsidRPr="00C8212E" w:rsidRDefault="00C8212E" w:rsidP="008772B7">
      <w:pPr>
        <w:rPr>
          <w:b/>
          <w:bCs/>
        </w:rPr>
      </w:pPr>
      <w:r w:rsidRPr="00C8212E">
        <w:t xml:space="preserve">EGA's restoration of its Al Taweelah facility, following the March 2026 shutdown, has generated plant restart requirements estimated at approximately US$400 million in capital expenditure. The bulk of this work falls in 2026, with the remainder carrying into 2027. </w:t>
      </w:r>
      <w:r w:rsidRPr="00CE6EE6">
        <w:rPr>
          <w:vertAlign w:val="superscript"/>
        </w:rPr>
        <w:t>[12][13]</w:t>
      </w:r>
    </w:p>
    <w:p w14:paraId="2C155F87" w14:textId="77777777" w:rsidR="00C8212E" w:rsidRPr="00C8212E" w:rsidRDefault="00C8212E" w:rsidP="008772B7">
      <w:pPr>
        <w:rPr>
          <w:b/>
          <w:bCs/>
        </w:rPr>
      </w:pPr>
      <w:r w:rsidRPr="00C8212E">
        <w:t>The longer-term industrial pipeline is broader than one restoration program. EGA and Sunstone are planning a US$300 million, 300,000 tonnes-per-annum anode plant, with construction from 2026 and first production expected as early as 2028. EMSTEEL is in the midst of an Asset Enhancement Program providing opportunities to support plant performance, materials handling, energy, emissions and decarbonisation. A proposed gallium plant at Al Taweelah remains at feasibility stage and should be treated as a watchlist opportunity.</w:t>
      </w:r>
      <w:r w:rsidRPr="00CE6EE6">
        <w:rPr>
          <w:vertAlign w:val="superscript"/>
        </w:rPr>
        <w:t>[7][13][14][17]</w:t>
      </w:r>
    </w:p>
    <w:p w14:paraId="4AFE8932" w14:textId="77777777" w:rsidR="00C8212E" w:rsidRPr="00C8212E" w:rsidRDefault="00C8212E" w:rsidP="008772B7">
      <w:pPr>
        <w:rPr>
          <w:b/>
          <w:bCs/>
        </w:rPr>
      </w:pPr>
      <w:r w:rsidRPr="00C8212E">
        <w:t>Ras Al Khaimah's quarrying industry provides a substantial domestic market for extractive equipment and services. Its largest operator, Stevin Rock, runs three sites with a combined annual capacity of approximately 80 million tonnes, according to the Ras Al Khaimah Investment and Development Office (IDO).</w:t>
      </w:r>
      <w:r w:rsidRPr="00CE6EE6">
        <w:rPr>
          <w:vertAlign w:val="superscript"/>
        </w:rPr>
        <w:t>[16]</w:t>
      </w:r>
      <w:r w:rsidRPr="00C8212E">
        <w:t xml:space="preserve"> The business is pursuing improved materials recovery and is investing in new wash plants to recover saleable sand and aggregate from waste material.  </w:t>
      </w:r>
    </w:p>
    <w:p w14:paraId="21E22420" w14:textId="77777777" w:rsidR="00C8212E" w:rsidRPr="00C8212E" w:rsidRDefault="00C8212E" w:rsidP="008772B7">
      <w:pPr>
        <w:rPr>
          <w:b/>
          <w:bCs/>
        </w:rPr>
      </w:pPr>
      <w:r w:rsidRPr="00C8212E">
        <w:t>In July 2026, CFlo announced that a wet-processing plant for limestone scalpings and mine rejects had been dispatched to Stevin Rock, with commissioning still ahead.</w:t>
      </w:r>
      <w:r w:rsidRPr="00CE6EE6">
        <w:rPr>
          <w:vertAlign w:val="superscript"/>
        </w:rPr>
        <w:t>[33]</w:t>
      </w:r>
      <w:r w:rsidRPr="00C8212E">
        <w:t xml:space="preserve"> The investment illustrates demand for improved materials recovery. </w:t>
      </w:r>
    </w:p>
    <w:p w14:paraId="3A442AE1" w14:textId="77777777" w:rsidR="00C8212E" w:rsidRDefault="00C8212E" w:rsidP="008772B7">
      <w:pPr>
        <w:rPr>
          <w:b/>
          <w:bCs/>
        </w:rPr>
      </w:pPr>
      <w:r w:rsidRPr="00C8212E">
        <w:t>The UAE also matters as an outbound resources-investment centre. For example, Abu Dhabi-based International Resources Holding (IRH) is the majority owner of Zambia’s Mopani Copper Mines following a 51% acquisition in 2024. For Australian METS firms, portfolio and technical engagement may begin in Abu Dhabi, while vendor qualification, delivery and local-value commitments occur in Zambia.</w:t>
      </w:r>
      <w:r w:rsidRPr="00CE6EE6">
        <w:rPr>
          <w:vertAlign w:val="superscript"/>
        </w:rPr>
        <w:t>[15]</w:t>
      </w:r>
    </w:p>
    <w:p w14:paraId="434DA9A0" w14:textId="49727197" w:rsidR="00E144A0" w:rsidRPr="00E144A0" w:rsidRDefault="00E43128" w:rsidP="006775EF">
      <w:pPr>
        <w:pStyle w:val="Heading3"/>
      </w:pPr>
      <w:r>
        <w:t>Key Projects</w:t>
      </w:r>
    </w:p>
    <w:tbl>
      <w:tblPr>
        <w:tblStyle w:val="TableGrid"/>
        <w:tblW w:w="10223" w:type="dxa"/>
        <w:tblLayout w:type="fixed"/>
        <w:tblCellMar>
          <w:top w:w="57" w:type="dxa"/>
          <w:bottom w:w="57" w:type="dxa"/>
        </w:tblCellMar>
        <w:tblLook w:val="04A0" w:firstRow="1" w:lastRow="0" w:firstColumn="1" w:lastColumn="0" w:noHBand="0" w:noVBand="1"/>
      </w:tblPr>
      <w:tblGrid>
        <w:gridCol w:w="1750"/>
        <w:gridCol w:w="3937"/>
        <w:gridCol w:w="4536"/>
      </w:tblGrid>
      <w:tr w:rsidR="00BE3199" w14:paraId="0BB0C4F8" w14:textId="77777777" w:rsidTr="002366DF">
        <w:tc>
          <w:tcPr>
            <w:tcW w:w="1750" w:type="dxa"/>
            <w:shd w:val="clear" w:color="auto" w:fill="173F34" w:themeFill="accent1"/>
            <w:vAlign w:val="center"/>
          </w:tcPr>
          <w:p w14:paraId="593C5753" w14:textId="037BBF03" w:rsidR="00BE3199" w:rsidRPr="00AF71EC" w:rsidRDefault="00BE3199" w:rsidP="002366DF">
            <w:pPr>
              <w:spacing w:after="40"/>
              <w:rPr>
                <w:b/>
                <w:sz w:val="16"/>
              </w:rPr>
            </w:pPr>
            <w:r w:rsidRPr="00AF71EC">
              <w:rPr>
                <w:b/>
                <w:sz w:val="16"/>
              </w:rPr>
              <w:t>Project</w:t>
            </w:r>
          </w:p>
        </w:tc>
        <w:tc>
          <w:tcPr>
            <w:tcW w:w="3937" w:type="dxa"/>
            <w:shd w:val="clear" w:color="auto" w:fill="173F34" w:themeFill="accent1"/>
            <w:vAlign w:val="center"/>
          </w:tcPr>
          <w:p w14:paraId="7AEEE523" w14:textId="7C4BEAC0" w:rsidR="00BE3199" w:rsidRPr="00AF71EC" w:rsidRDefault="007D1A09" w:rsidP="002366DF">
            <w:pPr>
              <w:spacing w:after="40"/>
              <w:rPr>
                <w:b/>
                <w:sz w:val="16"/>
              </w:rPr>
            </w:pPr>
            <w:r w:rsidRPr="00AF71EC">
              <w:rPr>
                <w:b/>
                <w:sz w:val="16"/>
              </w:rPr>
              <w:t>Overview</w:t>
            </w:r>
          </w:p>
        </w:tc>
        <w:tc>
          <w:tcPr>
            <w:tcW w:w="4536" w:type="dxa"/>
            <w:shd w:val="clear" w:color="auto" w:fill="173F34" w:themeFill="accent1"/>
            <w:vAlign w:val="center"/>
          </w:tcPr>
          <w:p w14:paraId="39D975B0" w14:textId="63272DC5" w:rsidR="00BE3199" w:rsidRPr="00AF71EC" w:rsidRDefault="00BE3199" w:rsidP="002366DF">
            <w:pPr>
              <w:spacing w:after="40"/>
              <w:rPr>
                <w:b/>
                <w:sz w:val="16"/>
              </w:rPr>
            </w:pPr>
            <w:r w:rsidRPr="00AF71EC">
              <w:rPr>
                <w:b/>
                <w:sz w:val="16"/>
              </w:rPr>
              <w:t>METS opportunity</w:t>
            </w:r>
          </w:p>
        </w:tc>
      </w:tr>
      <w:tr w:rsidR="00E43E1A" w14:paraId="5E86E3C3" w14:textId="77777777" w:rsidTr="002366DF">
        <w:tc>
          <w:tcPr>
            <w:tcW w:w="1750" w:type="dxa"/>
          </w:tcPr>
          <w:p w14:paraId="178122CE" w14:textId="6B5775E4" w:rsidR="00E43E1A" w:rsidRPr="008772B7" w:rsidRDefault="00E43E1A" w:rsidP="008772B7">
            <w:pPr>
              <w:rPr>
                <w:sz w:val="16"/>
                <w:szCs w:val="18"/>
              </w:rPr>
            </w:pPr>
            <w:r w:rsidRPr="008772B7">
              <w:rPr>
                <w:sz w:val="16"/>
                <w:szCs w:val="18"/>
              </w:rPr>
              <w:t>EGA Al Taweelah restoration and recycling ramp-up</w:t>
            </w:r>
          </w:p>
        </w:tc>
        <w:tc>
          <w:tcPr>
            <w:tcW w:w="3937" w:type="dxa"/>
          </w:tcPr>
          <w:p w14:paraId="502101F7" w14:textId="3049EBFE" w:rsidR="00E43E1A" w:rsidRPr="008772B7" w:rsidRDefault="00E43E1A" w:rsidP="008772B7">
            <w:pPr>
              <w:rPr>
                <w:sz w:val="16"/>
                <w:szCs w:val="18"/>
              </w:rPr>
            </w:pPr>
            <w:r w:rsidRPr="008772B7">
              <w:rPr>
                <w:sz w:val="16"/>
                <w:szCs w:val="18"/>
              </w:rPr>
              <w:t>Restoration of the smelter is progressing towards production target of the first quarter of 2027. On 26 August 2026, EGA reported that 315 of 1,262 reduction cells had restarted. The recycling plant is also ramping up, with full production expected in late the fourth quarter of 2026.</w:t>
            </w:r>
            <w:r w:rsidRPr="00CE6EE6">
              <w:rPr>
                <w:sz w:val="16"/>
                <w:szCs w:val="18"/>
                <w:vertAlign w:val="superscript"/>
              </w:rPr>
              <w:t>[12][13]</w:t>
            </w:r>
          </w:p>
        </w:tc>
        <w:tc>
          <w:tcPr>
            <w:tcW w:w="4536" w:type="dxa"/>
          </w:tcPr>
          <w:p w14:paraId="1D55455D" w14:textId="26C5E406" w:rsidR="00E43E1A" w:rsidRPr="008772B7" w:rsidRDefault="00E43E1A" w:rsidP="008772B7">
            <w:pPr>
              <w:rPr>
                <w:sz w:val="16"/>
                <w:szCs w:val="18"/>
              </w:rPr>
            </w:pPr>
            <w:r w:rsidRPr="008772B7">
              <w:rPr>
                <w:sz w:val="16"/>
                <w:szCs w:val="18"/>
              </w:rPr>
              <w:t xml:space="preserve">Asset integrity, controls, safe commissioning, reliability, scrap preparation, process optimisation and emissions management. Potential suppliers need to establish which ramp-up requirements remain available and register on the EGA Supplier Collaboration Portal. </w:t>
            </w:r>
          </w:p>
        </w:tc>
      </w:tr>
      <w:tr w:rsidR="00E43E1A" w14:paraId="21E40050" w14:textId="77777777" w:rsidTr="002366DF">
        <w:tc>
          <w:tcPr>
            <w:tcW w:w="1750" w:type="dxa"/>
          </w:tcPr>
          <w:p w14:paraId="5179500A" w14:textId="77777777" w:rsidR="00E43E1A" w:rsidRPr="008772B7" w:rsidRDefault="00E43E1A" w:rsidP="008772B7">
            <w:pPr>
              <w:rPr>
                <w:sz w:val="16"/>
                <w:szCs w:val="18"/>
              </w:rPr>
            </w:pPr>
            <w:r w:rsidRPr="008772B7">
              <w:rPr>
                <w:sz w:val="16"/>
                <w:szCs w:val="18"/>
              </w:rPr>
              <w:lastRenderedPageBreak/>
              <w:t>EGA–Sunstone anode plant</w:t>
            </w:r>
          </w:p>
        </w:tc>
        <w:tc>
          <w:tcPr>
            <w:tcW w:w="3937" w:type="dxa"/>
          </w:tcPr>
          <w:p w14:paraId="36006294" w14:textId="5C7013BB" w:rsidR="00E43E1A" w:rsidRPr="008772B7" w:rsidRDefault="00E43E1A" w:rsidP="008772B7">
            <w:pPr>
              <w:rPr>
                <w:sz w:val="16"/>
                <w:szCs w:val="18"/>
              </w:rPr>
            </w:pPr>
            <w:r w:rsidRPr="008772B7">
              <w:rPr>
                <w:sz w:val="16"/>
                <w:szCs w:val="18"/>
              </w:rPr>
              <w:t>A US$300 million joint venture to establish a 300,000 tpa pre-baked anode manufacturing facility in Abu Dhabi's Khalifa Industrial Zone Abu Dhabi (KIZAD), with construction commencing in 2026 and first production targeted for 2028.</w:t>
            </w:r>
            <w:r w:rsidRPr="00CE6EE6">
              <w:rPr>
                <w:sz w:val="16"/>
                <w:szCs w:val="18"/>
                <w:vertAlign w:val="superscript"/>
              </w:rPr>
              <w:t>[14]</w:t>
            </w:r>
          </w:p>
        </w:tc>
        <w:tc>
          <w:tcPr>
            <w:tcW w:w="4536" w:type="dxa"/>
          </w:tcPr>
          <w:p w14:paraId="47D2A487" w14:textId="79103BE4" w:rsidR="00E43E1A" w:rsidRPr="008772B7" w:rsidRDefault="00E43E1A" w:rsidP="008772B7">
            <w:pPr>
              <w:rPr>
                <w:sz w:val="16"/>
                <w:szCs w:val="18"/>
              </w:rPr>
            </w:pPr>
            <w:r w:rsidRPr="008772B7">
              <w:rPr>
                <w:sz w:val="16"/>
                <w:szCs w:val="18"/>
              </w:rPr>
              <w:t>Materials handling, process and environmental controls, utilities, inspection, commissioning and maintenance.</w:t>
            </w:r>
            <w:r w:rsidRPr="008772B7">
              <w:rPr>
                <w:bCs/>
                <w:sz w:val="16"/>
                <w:szCs w:val="18"/>
              </w:rPr>
              <w:t xml:space="preserve"> Sunstone will build for the joint venture.</w:t>
            </w:r>
          </w:p>
        </w:tc>
      </w:tr>
      <w:tr w:rsidR="00E43E1A" w14:paraId="10F6FE82" w14:textId="77777777" w:rsidTr="002366DF">
        <w:tc>
          <w:tcPr>
            <w:tcW w:w="1750" w:type="dxa"/>
          </w:tcPr>
          <w:p w14:paraId="0D1CE5D0" w14:textId="5B7F5B0D" w:rsidR="00E43E1A" w:rsidRPr="008772B7" w:rsidRDefault="00E43E1A" w:rsidP="008772B7">
            <w:pPr>
              <w:rPr>
                <w:sz w:val="16"/>
                <w:szCs w:val="18"/>
              </w:rPr>
            </w:pPr>
            <w:r w:rsidRPr="008772B7">
              <w:rPr>
                <w:sz w:val="16"/>
                <w:szCs w:val="18"/>
              </w:rPr>
              <w:t>Stevin Rock quarry processing upgrade – Ras Al Khaimah</w:t>
            </w:r>
          </w:p>
        </w:tc>
        <w:tc>
          <w:tcPr>
            <w:tcW w:w="3937" w:type="dxa"/>
          </w:tcPr>
          <w:p w14:paraId="28A9277E" w14:textId="189BCB36" w:rsidR="00E43E1A" w:rsidRPr="008772B7" w:rsidRDefault="00E43E1A" w:rsidP="008772B7">
            <w:pPr>
              <w:rPr>
                <w:sz w:val="16"/>
                <w:szCs w:val="18"/>
              </w:rPr>
            </w:pPr>
            <w:r w:rsidRPr="008772B7">
              <w:rPr>
                <w:sz w:val="16"/>
                <w:szCs w:val="18"/>
              </w:rPr>
              <w:t>Two major contracts have been awarded to support greater recovery. CFlo reported dispatch of a wet-processing plant for limestone scalpings and mine rejects on 15 July 2026, with commissioning still ahead.</w:t>
            </w:r>
            <w:r w:rsidRPr="00CE6EE6">
              <w:rPr>
                <w:sz w:val="16"/>
                <w:szCs w:val="18"/>
                <w:vertAlign w:val="superscript"/>
              </w:rPr>
              <w:t>[33]</w:t>
            </w:r>
            <w:r w:rsidR="00414D3E" w:rsidRPr="008772B7">
              <w:rPr>
                <w:sz w:val="16"/>
                <w:szCs w:val="18"/>
              </w:rPr>
              <w:t xml:space="preserve"> CDE has announced a contract to design and manufacture a 1,000tph and a 250tph sand and aggregates wash plant to be located at the Al Ghail facility.</w:t>
            </w:r>
            <w:r w:rsidR="00414D3E" w:rsidRPr="00CE6EE6">
              <w:rPr>
                <w:sz w:val="16"/>
                <w:szCs w:val="18"/>
                <w:vertAlign w:val="superscript"/>
              </w:rPr>
              <w:t>[35]</w:t>
            </w:r>
          </w:p>
        </w:tc>
        <w:tc>
          <w:tcPr>
            <w:tcW w:w="4536" w:type="dxa"/>
          </w:tcPr>
          <w:p w14:paraId="7C5CD8D3" w14:textId="166B7572" w:rsidR="00E43E1A" w:rsidRPr="008772B7" w:rsidRDefault="00E43E1A" w:rsidP="008772B7">
            <w:pPr>
              <w:rPr>
                <w:sz w:val="16"/>
                <w:szCs w:val="18"/>
              </w:rPr>
            </w:pPr>
            <w:r w:rsidRPr="008772B7">
              <w:rPr>
                <w:sz w:val="16"/>
                <w:szCs w:val="18"/>
              </w:rPr>
              <w:t xml:space="preserve">Potential complementary work in wear, water recovery, plant reliability and maintenance. </w:t>
            </w:r>
          </w:p>
        </w:tc>
      </w:tr>
      <w:tr w:rsidR="00E43E1A" w14:paraId="4DF99C1F" w14:textId="77777777" w:rsidTr="002366DF">
        <w:tc>
          <w:tcPr>
            <w:tcW w:w="1750" w:type="dxa"/>
          </w:tcPr>
          <w:p w14:paraId="42ECB389" w14:textId="77777777" w:rsidR="00E43E1A" w:rsidRPr="008772B7" w:rsidRDefault="00E43E1A" w:rsidP="008772B7">
            <w:pPr>
              <w:rPr>
                <w:sz w:val="16"/>
                <w:szCs w:val="18"/>
              </w:rPr>
            </w:pPr>
            <w:r w:rsidRPr="008772B7">
              <w:rPr>
                <w:sz w:val="16"/>
                <w:szCs w:val="18"/>
              </w:rPr>
              <w:t>IRH / Mopani transformation, Zambia</w:t>
            </w:r>
          </w:p>
        </w:tc>
        <w:tc>
          <w:tcPr>
            <w:tcW w:w="3937" w:type="dxa"/>
          </w:tcPr>
          <w:p w14:paraId="0DB06AA3" w14:textId="2A7604C9" w:rsidR="00E43E1A" w:rsidRPr="008772B7" w:rsidRDefault="00C41CD3" w:rsidP="008772B7">
            <w:pPr>
              <w:rPr>
                <w:sz w:val="16"/>
                <w:szCs w:val="18"/>
              </w:rPr>
            </w:pPr>
            <w:r w:rsidRPr="008772B7">
              <w:rPr>
                <w:sz w:val="16"/>
                <w:szCs w:val="18"/>
              </w:rPr>
              <w:t>IRH reports investment of more than US$1.1 billion since 2024 and a target to increase copper production to 300,000 tonnes per year by 2029.</w:t>
            </w:r>
            <w:r w:rsidRPr="00CE6EE6">
              <w:rPr>
                <w:sz w:val="16"/>
                <w:szCs w:val="18"/>
                <w:vertAlign w:val="superscript"/>
              </w:rPr>
              <w:t>[1</w:t>
            </w:r>
            <w:r w:rsidR="001B5822" w:rsidRPr="00CE6EE6">
              <w:rPr>
                <w:sz w:val="16"/>
                <w:szCs w:val="18"/>
                <w:vertAlign w:val="superscript"/>
              </w:rPr>
              <w:t>0</w:t>
            </w:r>
            <w:r w:rsidRPr="00CE6EE6">
              <w:rPr>
                <w:sz w:val="16"/>
                <w:szCs w:val="18"/>
                <w:vertAlign w:val="superscript"/>
              </w:rPr>
              <w:t>]</w:t>
            </w:r>
          </w:p>
        </w:tc>
        <w:tc>
          <w:tcPr>
            <w:tcW w:w="4536" w:type="dxa"/>
          </w:tcPr>
          <w:p w14:paraId="43F796DA" w14:textId="14068647" w:rsidR="00E43E1A" w:rsidRPr="008772B7" w:rsidRDefault="00E43E1A" w:rsidP="008772B7">
            <w:pPr>
              <w:rPr>
                <w:sz w:val="16"/>
                <w:szCs w:val="18"/>
              </w:rPr>
            </w:pPr>
            <w:r w:rsidRPr="008772B7">
              <w:rPr>
                <w:sz w:val="16"/>
                <w:szCs w:val="18"/>
              </w:rPr>
              <w:t>Geophysics, digital mine systems, grade control, predictive maintenance, underground connectivity and safety.</w:t>
            </w:r>
            <w:r w:rsidRPr="008772B7">
              <w:rPr>
                <w:bCs/>
                <w:sz w:val="16"/>
                <w:szCs w:val="18"/>
              </w:rPr>
              <w:t xml:space="preserve"> IRH reports strong Zambian procurement localisation. </w:t>
            </w:r>
          </w:p>
        </w:tc>
      </w:tr>
    </w:tbl>
    <w:p w14:paraId="3F38C81A" w14:textId="77777777" w:rsidR="00227C54" w:rsidRDefault="00227C54" w:rsidP="00AE677A">
      <w:pPr>
        <w:pStyle w:val="Heading2"/>
      </w:pPr>
    </w:p>
    <w:p w14:paraId="7674EE4F" w14:textId="77777777" w:rsidR="00F52E71" w:rsidRDefault="00F52E71">
      <w:pPr>
        <w:spacing w:after="200" w:line="276" w:lineRule="auto"/>
        <w:rPr>
          <w:rFonts w:asciiTheme="majorHAnsi" w:eastAsiaTheme="majorEastAsia" w:hAnsiTheme="majorHAnsi" w:cstheme="majorBidi"/>
          <w:b/>
          <w:bCs/>
          <w:color w:val="1F4E79"/>
          <w:sz w:val="32"/>
          <w:szCs w:val="28"/>
        </w:rPr>
      </w:pPr>
      <w:r>
        <w:br w:type="page"/>
      </w:r>
    </w:p>
    <w:p w14:paraId="4901CBFF" w14:textId="0BE2EF4B" w:rsidR="00BC0B47" w:rsidRDefault="00BC0B47" w:rsidP="006775EF">
      <w:pPr>
        <w:pStyle w:val="Heading3"/>
      </w:pPr>
      <w:r>
        <w:lastRenderedPageBreak/>
        <w:t>Market Approach for Australian METS</w:t>
      </w:r>
    </w:p>
    <w:tbl>
      <w:tblPr>
        <w:tblStyle w:val="TableGrid"/>
        <w:tblW w:w="10080" w:type="dxa"/>
        <w:tblLayout w:type="fixed"/>
        <w:tblCellMar>
          <w:top w:w="57" w:type="dxa"/>
          <w:bottom w:w="57" w:type="dxa"/>
        </w:tblCellMar>
        <w:tblLook w:val="04A0" w:firstRow="1" w:lastRow="0" w:firstColumn="1" w:lastColumn="0" w:noHBand="0" w:noVBand="1"/>
      </w:tblPr>
      <w:tblGrid>
        <w:gridCol w:w="1944"/>
        <w:gridCol w:w="4104"/>
        <w:gridCol w:w="4032"/>
      </w:tblGrid>
      <w:tr w:rsidR="00BC0B47" w14:paraId="7049C3E9" w14:textId="77777777" w:rsidTr="002366DF">
        <w:tc>
          <w:tcPr>
            <w:tcW w:w="1944" w:type="dxa"/>
            <w:shd w:val="clear" w:color="auto" w:fill="173F34" w:themeFill="accent1"/>
            <w:vAlign w:val="center"/>
          </w:tcPr>
          <w:p w14:paraId="64FBCD9A" w14:textId="77777777" w:rsidR="00BC0B47" w:rsidRPr="008772B7" w:rsidRDefault="00BC0B47" w:rsidP="002366DF">
            <w:pPr>
              <w:spacing w:after="100"/>
              <w:rPr>
                <w:sz w:val="16"/>
                <w:szCs w:val="20"/>
              </w:rPr>
            </w:pPr>
            <w:r w:rsidRPr="008772B7">
              <w:rPr>
                <w:b/>
                <w:sz w:val="16"/>
                <w:szCs w:val="20"/>
              </w:rPr>
              <w:t>Category</w:t>
            </w:r>
          </w:p>
        </w:tc>
        <w:tc>
          <w:tcPr>
            <w:tcW w:w="4104" w:type="dxa"/>
            <w:shd w:val="clear" w:color="auto" w:fill="173F34" w:themeFill="accent1"/>
            <w:vAlign w:val="center"/>
          </w:tcPr>
          <w:p w14:paraId="2B0B703A" w14:textId="77777777" w:rsidR="00BC0B47" w:rsidRPr="008772B7" w:rsidRDefault="00BC0B47" w:rsidP="002366DF">
            <w:pPr>
              <w:spacing w:after="100"/>
              <w:rPr>
                <w:sz w:val="16"/>
                <w:szCs w:val="20"/>
              </w:rPr>
            </w:pPr>
            <w:r w:rsidRPr="008772B7">
              <w:rPr>
                <w:b/>
                <w:sz w:val="16"/>
                <w:szCs w:val="20"/>
              </w:rPr>
              <w:t>Capabilities required</w:t>
            </w:r>
          </w:p>
        </w:tc>
        <w:tc>
          <w:tcPr>
            <w:tcW w:w="4032" w:type="dxa"/>
            <w:shd w:val="clear" w:color="auto" w:fill="173F34" w:themeFill="accent1"/>
            <w:vAlign w:val="center"/>
          </w:tcPr>
          <w:p w14:paraId="70DD2E65" w14:textId="77777777" w:rsidR="00BC0B47" w:rsidRPr="008772B7" w:rsidRDefault="00BC0B47" w:rsidP="002366DF">
            <w:pPr>
              <w:spacing w:after="100"/>
              <w:rPr>
                <w:sz w:val="16"/>
                <w:szCs w:val="20"/>
              </w:rPr>
            </w:pPr>
            <w:r w:rsidRPr="008772B7">
              <w:rPr>
                <w:b/>
                <w:sz w:val="16"/>
                <w:szCs w:val="20"/>
              </w:rPr>
              <w:t>Demand drivers</w:t>
            </w:r>
          </w:p>
        </w:tc>
      </w:tr>
      <w:tr w:rsidR="00BC0B47" w14:paraId="3BA9AF6E" w14:textId="77777777" w:rsidTr="002366DF">
        <w:tc>
          <w:tcPr>
            <w:tcW w:w="1944" w:type="dxa"/>
          </w:tcPr>
          <w:p w14:paraId="58EDBF26" w14:textId="77777777" w:rsidR="00BC0B47" w:rsidRPr="008772B7" w:rsidRDefault="00BC0B47">
            <w:pPr>
              <w:spacing w:after="100"/>
              <w:rPr>
                <w:sz w:val="16"/>
                <w:szCs w:val="20"/>
              </w:rPr>
            </w:pPr>
            <w:r w:rsidRPr="008772B7">
              <w:rPr>
                <w:sz w:val="16"/>
                <w:szCs w:val="20"/>
              </w:rPr>
              <w:t>Maintenance and asset reliability</w:t>
            </w:r>
          </w:p>
        </w:tc>
        <w:tc>
          <w:tcPr>
            <w:tcW w:w="4104" w:type="dxa"/>
          </w:tcPr>
          <w:p w14:paraId="33CAF83C" w14:textId="77777777" w:rsidR="00BC0B47" w:rsidRPr="008772B7" w:rsidRDefault="00BC0B47">
            <w:pPr>
              <w:spacing w:after="100"/>
              <w:rPr>
                <w:sz w:val="16"/>
                <w:szCs w:val="20"/>
              </w:rPr>
            </w:pPr>
            <w:r w:rsidRPr="008772B7">
              <w:rPr>
                <w:sz w:val="16"/>
                <w:szCs w:val="20"/>
              </w:rPr>
              <w:t>Asset integrity, non-destructive testing, electrical systems, controls, safe commissioning, condition monitoring and critical spares.</w:t>
            </w:r>
          </w:p>
        </w:tc>
        <w:tc>
          <w:tcPr>
            <w:tcW w:w="4032" w:type="dxa"/>
          </w:tcPr>
          <w:p w14:paraId="0CA1F110" w14:textId="77777777" w:rsidR="00BC0B47" w:rsidRPr="008772B7" w:rsidRDefault="00BC0B47">
            <w:pPr>
              <w:spacing w:after="100"/>
              <w:rPr>
                <w:sz w:val="16"/>
                <w:szCs w:val="20"/>
              </w:rPr>
            </w:pPr>
            <w:r w:rsidRPr="008772B7">
              <w:rPr>
                <w:sz w:val="16"/>
                <w:szCs w:val="20"/>
              </w:rPr>
              <w:t>EGA restoration and ramp-up, together with continuing maintenance and reliability needs across metals, cement and quarry operations.</w:t>
            </w:r>
          </w:p>
        </w:tc>
      </w:tr>
      <w:tr w:rsidR="00BC0B47" w14:paraId="1EA65A14" w14:textId="77777777" w:rsidTr="002366DF">
        <w:tc>
          <w:tcPr>
            <w:tcW w:w="1944" w:type="dxa"/>
          </w:tcPr>
          <w:p w14:paraId="77BBE6C6" w14:textId="77777777" w:rsidR="00BC0B47" w:rsidRPr="008772B7" w:rsidRDefault="00BC0B47">
            <w:pPr>
              <w:spacing w:after="100"/>
              <w:rPr>
                <w:sz w:val="16"/>
                <w:szCs w:val="20"/>
              </w:rPr>
            </w:pPr>
            <w:r w:rsidRPr="008772B7">
              <w:rPr>
                <w:sz w:val="16"/>
                <w:szCs w:val="20"/>
              </w:rPr>
              <w:t>Processing and productivity</w:t>
            </w:r>
          </w:p>
        </w:tc>
        <w:tc>
          <w:tcPr>
            <w:tcW w:w="4104" w:type="dxa"/>
          </w:tcPr>
          <w:p w14:paraId="7E9135A2" w14:textId="77777777" w:rsidR="00BC0B47" w:rsidRPr="008772B7" w:rsidRDefault="00BC0B47">
            <w:pPr>
              <w:spacing w:after="100"/>
              <w:rPr>
                <w:sz w:val="16"/>
                <w:szCs w:val="20"/>
              </w:rPr>
            </w:pPr>
            <w:r w:rsidRPr="008772B7">
              <w:rPr>
                <w:sz w:val="16"/>
                <w:szCs w:val="20"/>
              </w:rPr>
              <w:t>Advanced process control, materials handling, wear management, digital twins, analytics and predictive maintenance.</w:t>
            </w:r>
          </w:p>
        </w:tc>
        <w:tc>
          <w:tcPr>
            <w:tcW w:w="4032" w:type="dxa"/>
          </w:tcPr>
          <w:p w14:paraId="23C383DC" w14:textId="77777777" w:rsidR="00BC0B47" w:rsidRPr="008772B7" w:rsidRDefault="00BC0B47">
            <w:pPr>
              <w:spacing w:after="100"/>
              <w:rPr>
                <w:sz w:val="16"/>
                <w:szCs w:val="20"/>
              </w:rPr>
            </w:pPr>
            <w:r w:rsidRPr="008772B7">
              <w:rPr>
                <w:sz w:val="16"/>
                <w:szCs w:val="20"/>
              </w:rPr>
              <w:t>Operating plants and quarry fleets provide opportunities to improve throughput, availability and lifecycle cost.</w:t>
            </w:r>
          </w:p>
        </w:tc>
      </w:tr>
      <w:tr w:rsidR="00BC0B47" w14:paraId="49144672" w14:textId="77777777" w:rsidTr="002366DF">
        <w:tc>
          <w:tcPr>
            <w:tcW w:w="1944" w:type="dxa"/>
          </w:tcPr>
          <w:p w14:paraId="6EDA6BDB" w14:textId="77777777" w:rsidR="00BC0B47" w:rsidRPr="008772B7" w:rsidRDefault="00BC0B47">
            <w:pPr>
              <w:spacing w:after="100"/>
              <w:rPr>
                <w:sz w:val="16"/>
                <w:szCs w:val="20"/>
              </w:rPr>
            </w:pPr>
            <w:r w:rsidRPr="008772B7">
              <w:rPr>
                <w:sz w:val="16"/>
                <w:szCs w:val="20"/>
              </w:rPr>
              <w:t>Water, energy and environmental performance</w:t>
            </w:r>
          </w:p>
        </w:tc>
        <w:tc>
          <w:tcPr>
            <w:tcW w:w="4104" w:type="dxa"/>
          </w:tcPr>
          <w:p w14:paraId="4C68B269" w14:textId="478884F2" w:rsidR="00BC0B47" w:rsidRPr="008772B7" w:rsidRDefault="00BC0B47">
            <w:pPr>
              <w:spacing w:after="100"/>
              <w:rPr>
                <w:sz w:val="16"/>
                <w:szCs w:val="20"/>
              </w:rPr>
            </w:pPr>
            <w:r w:rsidRPr="008772B7">
              <w:rPr>
                <w:sz w:val="16"/>
                <w:szCs w:val="20"/>
              </w:rPr>
              <w:t>Energy efficiency, water balance and reuse, dust and emissions monitoring, recycling technologies and supply</w:t>
            </w:r>
            <w:r w:rsidR="00BA5713" w:rsidRPr="008772B7">
              <w:rPr>
                <w:sz w:val="16"/>
                <w:szCs w:val="20"/>
              </w:rPr>
              <w:t xml:space="preserve"> </w:t>
            </w:r>
            <w:r w:rsidRPr="008772B7">
              <w:rPr>
                <w:sz w:val="16"/>
                <w:szCs w:val="20"/>
              </w:rPr>
              <w:t>chain resilience.</w:t>
            </w:r>
          </w:p>
        </w:tc>
        <w:tc>
          <w:tcPr>
            <w:tcW w:w="4032" w:type="dxa"/>
          </w:tcPr>
          <w:p w14:paraId="679137BD" w14:textId="77777777" w:rsidR="00BC0B47" w:rsidRPr="008772B7" w:rsidRDefault="00BC0B47">
            <w:pPr>
              <w:spacing w:after="100"/>
              <w:rPr>
                <w:sz w:val="16"/>
                <w:szCs w:val="20"/>
              </w:rPr>
            </w:pPr>
            <w:r w:rsidRPr="008772B7">
              <w:rPr>
                <w:sz w:val="16"/>
                <w:szCs w:val="20"/>
              </w:rPr>
              <w:t>Recycling, industrial decarbonisation and operational resilience support demand for measurable improvements in resource use and environmental performance.</w:t>
            </w:r>
          </w:p>
        </w:tc>
      </w:tr>
      <w:tr w:rsidR="00BC0B47" w14:paraId="472881AB" w14:textId="77777777" w:rsidTr="002366DF">
        <w:tc>
          <w:tcPr>
            <w:tcW w:w="1944" w:type="dxa"/>
          </w:tcPr>
          <w:p w14:paraId="29DF55C3" w14:textId="77777777" w:rsidR="00BC0B47" w:rsidRPr="008772B7" w:rsidRDefault="00BC0B47">
            <w:pPr>
              <w:spacing w:after="100"/>
              <w:rPr>
                <w:sz w:val="16"/>
                <w:szCs w:val="20"/>
              </w:rPr>
            </w:pPr>
            <w:r w:rsidRPr="008772B7">
              <w:rPr>
                <w:sz w:val="16"/>
                <w:szCs w:val="20"/>
              </w:rPr>
              <w:t>Engineering and regional technical support</w:t>
            </w:r>
          </w:p>
        </w:tc>
        <w:tc>
          <w:tcPr>
            <w:tcW w:w="4104" w:type="dxa"/>
          </w:tcPr>
          <w:p w14:paraId="77E9E537" w14:textId="77777777" w:rsidR="00BC0B47" w:rsidRPr="008772B7" w:rsidRDefault="00BC0B47">
            <w:pPr>
              <w:spacing w:after="100"/>
              <w:rPr>
                <w:sz w:val="16"/>
                <w:szCs w:val="20"/>
              </w:rPr>
            </w:pPr>
            <w:r w:rsidRPr="008772B7">
              <w:rPr>
                <w:sz w:val="16"/>
                <w:szCs w:val="20"/>
              </w:rPr>
              <w:t>Engineering, technical studies, project controls, training, remote operations, spares and field service.</w:t>
            </w:r>
          </w:p>
        </w:tc>
        <w:tc>
          <w:tcPr>
            <w:tcW w:w="4032" w:type="dxa"/>
          </w:tcPr>
          <w:p w14:paraId="630B64D7" w14:textId="77777777" w:rsidR="00BC0B47" w:rsidRPr="008772B7" w:rsidRDefault="00BC0B47">
            <w:pPr>
              <w:spacing w:after="100"/>
              <w:rPr>
                <w:sz w:val="16"/>
                <w:szCs w:val="20"/>
              </w:rPr>
            </w:pPr>
            <w:r w:rsidRPr="008772B7">
              <w:rPr>
                <w:sz w:val="16"/>
                <w:szCs w:val="20"/>
              </w:rPr>
              <w:t>UAE industrial projects and a defined multi-market customer base may support regional delivery and after-sales capability.</w:t>
            </w:r>
          </w:p>
        </w:tc>
      </w:tr>
    </w:tbl>
    <w:p w14:paraId="692425F4" w14:textId="77777777" w:rsidR="00BB7646" w:rsidRDefault="00BB7646" w:rsidP="00BB7646"/>
    <w:p w14:paraId="65CA0C09" w14:textId="77777777" w:rsidR="00246DB1" w:rsidRPr="00224978" w:rsidRDefault="00246DB1" w:rsidP="006775EF">
      <w:pPr>
        <w:pStyle w:val="Heading3"/>
      </w:pPr>
      <w:r w:rsidRPr="00224978">
        <w:t>Australia–UAE Comprehensive Economic Partnership Agreement (CEPA)</w:t>
      </w:r>
    </w:p>
    <w:p w14:paraId="121DAC1A" w14:textId="5FB26F50" w:rsidR="00CB0789" w:rsidRPr="00245D3A" w:rsidRDefault="00CB0789" w:rsidP="00246DB1">
      <w:pPr>
        <w:rPr>
          <w:szCs w:val="20"/>
        </w:rPr>
      </w:pPr>
      <w:r w:rsidRPr="00245D3A">
        <w:rPr>
          <w:szCs w:val="20"/>
        </w:rPr>
        <w:t>The Australia–UAE Comprehensive Economic Partnership Agreement (CEPA) entered into force on 1 October 2025. DFAT states that tariffs will be eliminated on more than 99% of Australian goods exports to the UAE by value when fully implemented in 2029</w:t>
      </w:r>
      <w:r w:rsidR="002C5241" w:rsidRPr="00245D3A">
        <w:rPr>
          <w:szCs w:val="20"/>
        </w:rPr>
        <w:t>.</w:t>
      </w:r>
      <w:r w:rsidR="00946AC4" w:rsidRPr="00245D3A">
        <w:rPr>
          <w:szCs w:val="20"/>
          <w:vertAlign w:val="superscript"/>
        </w:rPr>
        <w:t>[1]</w:t>
      </w:r>
    </w:p>
    <w:p w14:paraId="1C2A9F45" w14:textId="6AA67426" w:rsidR="00BB1B1E" w:rsidRPr="00245D3A" w:rsidRDefault="00BB1B1E" w:rsidP="00BB7646">
      <w:pPr>
        <w:rPr>
          <w:szCs w:val="20"/>
        </w:rPr>
      </w:pPr>
      <w:r w:rsidRPr="00245D3A">
        <w:rPr>
          <w:szCs w:val="20"/>
        </w:rPr>
        <w:t>CEPA may improve the landed cost of eligible Australian goods, but it does not automatically waive UAE product standards, testing, import approvals or buyer qualification. Confirm the product-specific requirements before pricing or dispatch.</w:t>
      </w:r>
      <w:r w:rsidRPr="00245D3A">
        <w:rPr>
          <w:szCs w:val="20"/>
          <w:vertAlign w:val="superscript"/>
        </w:rPr>
        <w:t>[1][3][38]</w:t>
      </w:r>
    </w:p>
    <w:p w14:paraId="3DE8CE5D" w14:textId="53213657" w:rsidR="00246DB1" w:rsidRPr="00245D3A" w:rsidRDefault="00074039" w:rsidP="00BB7646">
      <w:r w:rsidRPr="00245D3A">
        <w:t>Preferential treatment is applied per product line via the good's HS classification; exporters can identify the applicable tariff and staging schedule for a specific good through DFAT's FTA Portal</w:t>
      </w:r>
      <w:r w:rsidR="00246DB1" w:rsidRPr="00245D3A">
        <w:t>.</w:t>
      </w:r>
      <w:r w:rsidR="00246DB1" w:rsidRPr="00245D3A">
        <w:rPr>
          <w:vertAlign w:val="superscript"/>
        </w:rPr>
        <w:t>[1][3]</w:t>
      </w:r>
    </w:p>
    <w:p w14:paraId="780356BB" w14:textId="77777777" w:rsidR="00BC0B47" w:rsidRDefault="00BC0B47" w:rsidP="006775EF">
      <w:pPr>
        <w:pStyle w:val="Heading3"/>
      </w:pPr>
      <w:r>
        <w:t>Procurement and supplier preparation</w:t>
      </w:r>
    </w:p>
    <w:p w14:paraId="33234D6E" w14:textId="0CC68860" w:rsidR="00BC0B47" w:rsidRPr="00245D3A" w:rsidRDefault="00814171" w:rsidP="00BC0B47">
      <w:r w:rsidRPr="00245D3A">
        <w:t>The UAE Ministry of Finance's Federal Supplier Register is the mandatory entry point for selling to UAE federal government entities, requiring annual renewal to remain eligible for tenders. Industrial buyers and contractors</w:t>
      </w:r>
      <w:r w:rsidR="0016285D" w:rsidRPr="00245D3A">
        <w:t xml:space="preserve"> maintain their own separate registration and approved-vendor systems</w:t>
      </w:r>
      <w:r w:rsidR="00BC0B47" w:rsidRPr="00245D3A">
        <w:t>.</w:t>
      </w:r>
      <w:r w:rsidR="00920F79" w:rsidRPr="00245D3A">
        <w:t xml:space="preserve"> </w:t>
      </w:r>
      <w:r w:rsidR="00E15AEF" w:rsidRPr="00245D3A">
        <w:t xml:space="preserve">The National In-Country Value (ICV) Program, administered separately by the Ministry of Industry and Advanced Technology (MoIAT), scores suppliers on local procurement, in-country investment and national employment. </w:t>
      </w:r>
      <w:r w:rsidR="00920F79" w:rsidRPr="00245D3A">
        <w:t>Where adopted, this score is factored directly into bid evaluation, and a missing or low score can weaken an otherwise competitive bid. Its relevance and weighting vary by buyer, however; it is not a universal procurement quota.</w:t>
      </w:r>
      <w:r w:rsidR="00920F79" w:rsidRPr="00245D3A">
        <w:rPr>
          <w:vertAlign w:val="superscript"/>
        </w:rPr>
        <w:t>[8][9]</w:t>
      </w:r>
      <w:r w:rsidR="00920F79" w:rsidRPr="00245D3A">
        <w:t xml:space="preserve"> </w:t>
      </w:r>
      <w:r w:rsidR="00153C3B" w:rsidRPr="00245D3A">
        <w:t>EGA and EMSTEEL use their own supplier and site processes; Stevin Rock or its contractors buy for quarry operations. For overseas assets held by UAE investors, confirm whether the operating company purchases in the host country.</w:t>
      </w:r>
    </w:p>
    <w:p w14:paraId="07F2C7AC" w14:textId="3EEA2082" w:rsidR="0002137D" w:rsidRDefault="00DE2FFE" w:rsidP="00224978">
      <w:pPr>
        <w:rPr>
          <w:vertAlign w:val="superscript"/>
        </w:rPr>
      </w:pPr>
      <w:r w:rsidRPr="00817437">
        <w:t xml:space="preserve">EGA reports that it procured more than </w:t>
      </w:r>
      <w:r w:rsidR="00EE6BED" w:rsidRPr="00EE6BED">
        <w:t xml:space="preserve">US$2 billion </w:t>
      </w:r>
      <w:r w:rsidRPr="00817437">
        <w:t xml:space="preserve">of goods and services locally in 2025, equal to </w:t>
      </w:r>
      <w:r w:rsidR="00932B33" w:rsidRPr="00932B33">
        <w:t xml:space="preserve">42% </w:t>
      </w:r>
      <w:r w:rsidRPr="00817437">
        <w:t>of its total procurement spend, and that it prioritises local suppliers when they are commercially competitive. This creates a practical incentive for international suppliers to add UAE-based service, stockholding or manufacturing capability.</w:t>
      </w:r>
      <w:r w:rsidRPr="00CE6EE6">
        <w:rPr>
          <w:vertAlign w:val="superscript"/>
        </w:rPr>
        <w:t>[6]</w:t>
      </w:r>
    </w:p>
    <w:p w14:paraId="312DD365" w14:textId="77777777" w:rsidR="00245D3A" w:rsidRPr="00245D3A" w:rsidRDefault="00245D3A" w:rsidP="00224978"/>
    <w:p w14:paraId="7647242D" w14:textId="01715E65" w:rsidR="00A32C4F" w:rsidRDefault="00A32C4F" w:rsidP="00245D3A">
      <w:pPr>
        <w:pStyle w:val="Quote1"/>
      </w:pPr>
      <w:r w:rsidRPr="00903913">
        <w:t>“</w:t>
      </w:r>
      <w:r w:rsidRPr="00A32C4F">
        <w:t>A local partner needs practical support from the Australian supplier. This includes product training, joint customer meetings and a clear explanation of the problem the technology solves</w:t>
      </w:r>
      <w:r>
        <w:t>”</w:t>
      </w:r>
    </w:p>
    <w:p w14:paraId="44C4A0BD" w14:textId="40BE9C11" w:rsidR="00206716" w:rsidRDefault="00A32C4F" w:rsidP="006775EF">
      <w:pPr>
        <w:pStyle w:val="quotename"/>
      </w:pPr>
      <w:r>
        <w:lastRenderedPageBreak/>
        <w:t xml:space="preserve">- </w:t>
      </w:r>
      <w:r w:rsidR="00A3579F">
        <w:t>Kassem Younes</w:t>
      </w:r>
      <w:r w:rsidR="00907E14">
        <w:t xml:space="preserve"> PSM</w:t>
      </w:r>
      <w:r w:rsidR="00A3579F">
        <w:t xml:space="preserve">, Queensland Trade </w:t>
      </w:r>
      <w:r w:rsidR="00712984">
        <w:t>and</w:t>
      </w:r>
      <w:r w:rsidR="00A3579F">
        <w:t xml:space="preserve"> Investment Commissioner to the Middle East </w:t>
      </w:r>
      <w:r w:rsidR="00712984">
        <w:t>and</w:t>
      </w:r>
      <w:r w:rsidR="00A3579F">
        <w:t xml:space="preserve"> Africa</w:t>
      </w:r>
    </w:p>
    <w:p w14:paraId="21E86484" w14:textId="77777777" w:rsidR="007D4919" w:rsidRDefault="007D4919" w:rsidP="006775EF">
      <w:pPr>
        <w:pStyle w:val="Heading3"/>
      </w:pPr>
      <w:r>
        <w:t>Market entry and delivery expectations</w:t>
      </w:r>
    </w:p>
    <w:p w14:paraId="68C6531B" w14:textId="38150F5F" w:rsidR="00EF16DC" w:rsidRPr="00EF16DC" w:rsidRDefault="00EF16DC" w:rsidP="00224978">
      <w:r w:rsidRPr="00EF16DC">
        <w:t>The value of a UAE-based presence depends on the target buyer and the volume of repeat business. A distributor or technical service partner can be sufficient where deal flow is occasional</w:t>
      </w:r>
      <w:r w:rsidR="008B7462">
        <w:t>. R</w:t>
      </w:r>
      <w:r w:rsidRPr="00EF16DC">
        <w:t>ecurring or multi-market demand tends to justify regional staff, inventory or account management, as service depth and the ICV benefit become more material to bid outcomes.</w:t>
      </w:r>
    </w:p>
    <w:p w14:paraId="15B2DDEB" w14:textId="695186E8" w:rsidR="007D4919" w:rsidRPr="001B5A9B" w:rsidRDefault="00EF16DC" w:rsidP="00224978">
      <w:r w:rsidRPr="00EF16DC">
        <w:t>In evaluating a partner, technical staff, import capability, field service reach and existing access to target accounts typically matter more than geographic coverage alone. Stockholding, repair, calibration, training or assembly capability become more relevant once repeat demand is established</w:t>
      </w:r>
      <w:r w:rsidR="007D4919">
        <w:t>.</w:t>
      </w:r>
      <w:r w:rsidR="007D4919" w:rsidRPr="00CE6EE6">
        <w:rPr>
          <w:vertAlign w:val="superscript"/>
        </w:rPr>
        <w:t>[6][9]</w:t>
      </w:r>
    </w:p>
    <w:p w14:paraId="04B0443F" w14:textId="77777777" w:rsidR="00867CAD" w:rsidRDefault="00867CAD" w:rsidP="00224978">
      <w:r w:rsidRPr="00E91368">
        <w:t>Commercial agency, establishment, import and re-export arrangements can have legal, tax and operational implications and should be considered in the context of the specific customer and commercial model.</w:t>
      </w:r>
      <w:r w:rsidRPr="00CE6EE6">
        <w:rPr>
          <w:vertAlign w:val="superscript"/>
        </w:rPr>
        <w:t>[1][3]</w:t>
      </w:r>
    </w:p>
    <w:p w14:paraId="533A9368" w14:textId="7CD91C92" w:rsidR="008F2034" w:rsidRDefault="008F2034" w:rsidP="00224978">
      <w:pPr>
        <w:rPr>
          <w:b/>
          <w:i/>
        </w:rPr>
      </w:pPr>
      <w:r w:rsidRPr="008F2034">
        <w:t xml:space="preserve">Interviews undertaken for this report illustrate that the case for a local UAE presence strengthens as engagement in the region matures. Capital Limited, a mining services provider with a significant footprint across the Middle East and North Africa, opened its Dubai office to support business development, travel logistics and management functions. Jord, an engineering and process equipment supplier, operates from Dubai to serve the region's oil and gas sector, where it has extensive experience. Austin Engineering, a global equipment manufacturer with recent UAE interests, </w:t>
      </w:r>
      <w:r w:rsidR="006C2F2A">
        <w:t>plans to service</w:t>
      </w:r>
      <w:r w:rsidRPr="008F2034">
        <w:t xml:space="preserve"> local customers from Australia, with regional support under consideration as activity develops.</w:t>
      </w:r>
      <w:r w:rsidRPr="008F2034">
        <w:rPr>
          <w:b/>
          <w:i/>
        </w:rPr>
        <w:t xml:space="preserve"> </w:t>
      </w:r>
    </w:p>
    <w:p w14:paraId="18373C24" w14:textId="77777777" w:rsidR="00245D3A" w:rsidRDefault="00245D3A" w:rsidP="00224978">
      <w:pPr>
        <w:rPr>
          <w:b/>
          <w:i/>
        </w:rPr>
      </w:pPr>
    </w:p>
    <w:p w14:paraId="37CC95CB" w14:textId="4FE65AEA" w:rsidR="00D92E26" w:rsidRPr="00805ED5" w:rsidRDefault="00D92E26" w:rsidP="00245D3A">
      <w:pPr>
        <w:pStyle w:val="Quote1"/>
      </w:pPr>
      <w:r w:rsidRPr="00805ED5">
        <w:t>“The regulatory environment in the UAE and Saudi Arabia evolves constantly, licensing requirements, local</w:t>
      </w:r>
      <w:r w:rsidR="00066893">
        <w:t xml:space="preserve"> </w:t>
      </w:r>
      <w:r w:rsidRPr="00805ED5">
        <w:t>content rules and market</w:t>
      </w:r>
      <w:r w:rsidR="00066893">
        <w:t xml:space="preserve"> </w:t>
      </w:r>
      <w:r w:rsidRPr="00805ED5">
        <w:t>entry pathways shift regularly in both jurisdictions. Choosing the right structure and staying compliant isn't something companies can work out from the outside. A missed filing deadline, an incorrect tax treatment or an overlooked local requirement can be costly to fix later, which is why working with an experienced service provider from the start often makes the difference between a smooth market entry and a difficult one.”</w:t>
      </w:r>
    </w:p>
    <w:p w14:paraId="5712FB4A" w14:textId="320988FC" w:rsidR="003976A7" w:rsidRPr="006775EF" w:rsidRDefault="00BA2BCF" w:rsidP="006775EF">
      <w:pPr>
        <w:pStyle w:val="quotename"/>
        <w:rPr>
          <w:rFonts w:asciiTheme="minorHAnsi" w:hAnsiTheme="minorHAnsi" w:cstheme="majorHAnsi"/>
        </w:rPr>
      </w:pPr>
      <w:r>
        <w:t xml:space="preserve">- </w:t>
      </w:r>
      <w:r w:rsidR="00805ED5" w:rsidRPr="00805ED5">
        <w:t>Flavie Paquay, Middle East Director, ALTIOS MIDDLE EAST</w:t>
      </w:r>
    </w:p>
    <w:p w14:paraId="20BA576E" w14:textId="7976A132" w:rsidR="00662E4B" w:rsidRPr="00E91368" w:rsidRDefault="0076182E" w:rsidP="006775EF">
      <w:pPr>
        <w:pStyle w:val="Heading3"/>
        <w:rPr>
          <w:rFonts w:cstheme="majorHAnsi"/>
          <w:szCs w:val="20"/>
        </w:rPr>
      </w:pPr>
      <w:r w:rsidRPr="0076182E">
        <w:t>What a UAE base can</w:t>
      </w:r>
      <w:r>
        <w:t xml:space="preserve">, </w:t>
      </w:r>
      <w:r w:rsidRPr="0076182E">
        <w:t>and</w:t>
      </w:r>
      <w:r w:rsidRPr="0076182E">
        <w:rPr>
          <w:rFonts w:cstheme="majorHAnsi"/>
          <w:szCs w:val="20"/>
        </w:rPr>
        <w:t xml:space="preserve"> </w:t>
      </w:r>
      <w:r w:rsidRPr="0076182E">
        <w:t>canno</w:t>
      </w:r>
      <w:r>
        <w:t xml:space="preserve">t, </w:t>
      </w:r>
      <w:r w:rsidRPr="0076182E">
        <w:t>support</w:t>
      </w:r>
    </w:p>
    <w:p w14:paraId="15FCAC32" w14:textId="132D43CB" w:rsidR="00892888" w:rsidRDefault="000C6156" w:rsidP="00224978">
      <w:r w:rsidRPr="000C6156">
        <w:t>Dubai and Abu Dhabi function as established regional hubs, with international air connectivity and a concentration of regional headquarters, distributors and professional services providers. The UAE is also a member of the Gulf Cooperation Council (GCC), alongside Saudi Arabia, Qatar, Kuwait, Bahrain and Oman. The GCC Customs Union applies a common external tariff to many imports, but the treatment of goods moving between member states depends on the product, origin and customs documentation. Services, procurement, value-added tax (VAT) and local content requirements still require a country-specific assessment. A UAE base therefore supports regional travel, logistics and relationship management, but each GCC market still requires separate assessment of its customs, procurement and local content rules.</w:t>
      </w:r>
      <w:r w:rsidRPr="00CE6EE6">
        <w:rPr>
          <w:vertAlign w:val="superscript"/>
        </w:rPr>
        <w:t>[19][11][20]</w:t>
      </w:r>
    </w:p>
    <w:p w14:paraId="7066FC02" w14:textId="77777777" w:rsidR="000C6156" w:rsidRPr="00E91368" w:rsidRDefault="000C6156" w:rsidP="005F06D4">
      <w:pPr>
        <w:rPr>
          <w:rFonts w:asciiTheme="majorHAnsi" w:hAnsiTheme="majorHAnsi" w:cstheme="majorHAnsi"/>
          <w:szCs w:val="20"/>
        </w:rPr>
      </w:pPr>
    </w:p>
    <w:tbl>
      <w:tblPr>
        <w:tblStyle w:val="TableGrid"/>
        <w:tblW w:w="0" w:type="auto"/>
        <w:tblLayout w:type="fixed"/>
        <w:tblCellMar>
          <w:top w:w="57" w:type="dxa"/>
          <w:bottom w:w="57" w:type="dxa"/>
        </w:tblCellMar>
        <w:tblLook w:val="04A0" w:firstRow="1" w:lastRow="0" w:firstColumn="1" w:lastColumn="0" w:noHBand="0" w:noVBand="1"/>
      </w:tblPr>
      <w:tblGrid>
        <w:gridCol w:w="1800"/>
        <w:gridCol w:w="3298"/>
        <w:gridCol w:w="4261"/>
      </w:tblGrid>
      <w:tr w:rsidR="005F06D4" w14:paraId="66FEB7E4" w14:textId="77777777" w:rsidTr="002366DF">
        <w:tc>
          <w:tcPr>
            <w:tcW w:w="1800" w:type="dxa"/>
            <w:shd w:val="clear" w:color="auto" w:fill="173F34" w:themeFill="accent1"/>
            <w:vAlign w:val="center"/>
          </w:tcPr>
          <w:p w14:paraId="430C9F8E" w14:textId="77777777" w:rsidR="005F06D4" w:rsidRPr="00224978" w:rsidRDefault="005F06D4" w:rsidP="002366DF">
            <w:pPr>
              <w:rPr>
                <w:b/>
                <w:bCs/>
                <w:sz w:val="16"/>
                <w:szCs w:val="18"/>
              </w:rPr>
            </w:pPr>
            <w:r w:rsidRPr="00224978">
              <w:rPr>
                <w:b/>
                <w:bCs/>
                <w:sz w:val="16"/>
                <w:szCs w:val="18"/>
              </w:rPr>
              <w:t>Market</w:t>
            </w:r>
          </w:p>
        </w:tc>
        <w:tc>
          <w:tcPr>
            <w:tcW w:w="3298" w:type="dxa"/>
            <w:shd w:val="clear" w:color="auto" w:fill="173F34" w:themeFill="accent1"/>
            <w:vAlign w:val="center"/>
          </w:tcPr>
          <w:p w14:paraId="5651E420" w14:textId="77777777" w:rsidR="005F06D4" w:rsidRPr="00224978" w:rsidRDefault="005F06D4" w:rsidP="002366DF">
            <w:pPr>
              <w:rPr>
                <w:b/>
                <w:bCs/>
                <w:sz w:val="16"/>
                <w:szCs w:val="18"/>
              </w:rPr>
            </w:pPr>
            <w:r w:rsidRPr="00224978">
              <w:rPr>
                <w:b/>
                <w:bCs/>
                <w:sz w:val="16"/>
                <w:szCs w:val="18"/>
              </w:rPr>
              <w:t>How a UAE base can help</w:t>
            </w:r>
          </w:p>
        </w:tc>
        <w:tc>
          <w:tcPr>
            <w:tcW w:w="4261" w:type="dxa"/>
            <w:shd w:val="clear" w:color="auto" w:fill="173F34" w:themeFill="accent1"/>
            <w:vAlign w:val="center"/>
          </w:tcPr>
          <w:p w14:paraId="1EA97BCA" w14:textId="77777777" w:rsidR="005F06D4" w:rsidRPr="00224978" w:rsidRDefault="005F06D4" w:rsidP="002366DF">
            <w:pPr>
              <w:rPr>
                <w:b/>
                <w:bCs/>
                <w:sz w:val="16"/>
                <w:szCs w:val="18"/>
              </w:rPr>
            </w:pPr>
            <w:r w:rsidRPr="00224978">
              <w:rPr>
                <w:b/>
                <w:bCs/>
                <w:sz w:val="16"/>
                <w:szCs w:val="18"/>
              </w:rPr>
              <w:t>Limitations and operating implication</w:t>
            </w:r>
          </w:p>
        </w:tc>
      </w:tr>
      <w:tr w:rsidR="005F06D4" w14:paraId="3FB8E66C" w14:textId="77777777" w:rsidTr="002366DF">
        <w:tc>
          <w:tcPr>
            <w:tcW w:w="1800" w:type="dxa"/>
          </w:tcPr>
          <w:p w14:paraId="54E198EB" w14:textId="77777777" w:rsidR="005F06D4" w:rsidRPr="00224978" w:rsidRDefault="005F06D4" w:rsidP="00224978">
            <w:pPr>
              <w:rPr>
                <w:sz w:val="16"/>
                <w:szCs w:val="18"/>
              </w:rPr>
            </w:pPr>
            <w:r w:rsidRPr="00224978">
              <w:rPr>
                <w:sz w:val="16"/>
                <w:szCs w:val="18"/>
              </w:rPr>
              <w:lastRenderedPageBreak/>
              <w:t>UAE domestic market</w:t>
            </w:r>
          </w:p>
        </w:tc>
        <w:tc>
          <w:tcPr>
            <w:tcW w:w="3298" w:type="dxa"/>
          </w:tcPr>
          <w:p w14:paraId="6DB44935" w14:textId="11401657" w:rsidR="005F06D4" w:rsidRPr="00224978" w:rsidRDefault="007C7A62" w:rsidP="00224978">
            <w:pPr>
              <w:rPr>
                <w:sz w:val="16"/>
                <w:szCs w:val="18"/>
              </w:rPr>
            </w:pPr>
            <w:r w:rsidRPr="00224978">
              <w:rPr>
                <w:sz w:val="16"/>
                <w:szCs w:val="18"/>
              </w:rPr>
              <w:t>Provides direct proximity to EGA, EMSTEEL, quarrying operators, engineering, procurement and construction (EPC) contractors and regional offices. A mainland company can trade directly across the UAE and pursue government work.</w:t>
            </w:r>
          </w:p>
        </w:tc>
        <w:tc>
          <w:tcPr>
            <w:tcW w:w="4261" w:type="dxa"/>
          </w:tcPr>
          <w:p w14:paraId="38696E4A" w14:textId="0DE3E553" w:rsidR="005F06D4" w:rsidRPr="00224978" w:rsidRDefault="005F06D4" w:rsidP="00224978">
            <w:pPr>
              <w:rPr>
                <w:sz w:val="16"/>
                <w:szCs w:val="18"/>
              </w:rPr>
            </w:pPr>
            <w:r w:rsidRPr="00224978">
              <w:rPr>
                <w:sz w:val="16"/>
                <w:szCs w:val="18"/>
              </w:rPr>
              <w:t>A free-zone licence does not, by itself, authorise direct mainland activity. The sales and import route must match the licence, customer and activity.</w:t>
            </w:r>
            <w:r w:rsidRPr="00CE6EE6">
              <w:rPr>
                <w:sz w:val="16"/>
                <w:szCs w:val="18"/>
                <w:vertAlign w:val="superscript"/>
              </w:rPr>
              <w:t>[2</w:t>
            </w:r>
            <w:r w:rsidR="007C7A62" w:rsidRPr="00CE6EE6">
              <w:rPr>
                <w:sz w:val="16"/>
                <w:szCs w:val="18"/>
                <w:vertAlign w:val="superscript"/>
              </w:rPr>
              <w:t>1</w:t>
            </w:r>
            <w:r w:rsidRPr="00CE6EE6">
              <w:rPr>
                <w:sz w:val="16"/>
                <w:szCs w:val="18"/>
                <w:vertAlign w:val="superscript"/>
              </w:rPr>
              <w:t>]</w:t>
            </w:r>
          </w:p>
        </w:tc>
      </w:tr>
      <w:tr w:rsidR="005F06D4" w14:paraId="7C39BD41" w14:textId="77777777" w:rsidTr="002366DF">
        <w:tc>
          <w:tcPr>
            <w:tcW w:w="1800" w:type="dxa"/>
          </w:tcPr>
          <w:p w14:paraId="336C9966" w14:textId="77777777" w:rsidR="005F06D4" w:rsidRPr="00224978" w:rsidRDefault="005F06D4" w:rsidP="00224978">
            <w:pPr>
              <w:rPr>
                <w:sz w:val="16"/>
                <w:szCs w:val="18"/>
              </w:rPr>
            </w:pPr>
            <w:r w:rsidRPr="00224978">
              <w:rPr>
                <w:sz w:val="16"/>
                <w:szCs w:val="18"/>
              </w:rPr>
              <w:t>Oman, Qatar, Bahrain and Kuwait</w:t>
            </w:r>
          </w:p>
        </w:tc>
        <w:tc>
          <w:tcPr>
            <w:tcW w:w="3298" w:type="dxa"/>
          </w:tcPr>
          <w:p w14:paraId="6845A190" w14:textId="77777777" w:rsidR="005F06D4" w:rsidRPr="00224978" w:rsidRDefault="005F06D4" w:rsidP="00224978">
            <w:pPr>
              <w:rPr>
                <w:sz w:val="16"/>
                <w:szCs w:val="18"/>
              </w:rPr>
            </w:pPr>
            <w:r w:rsidRPr="00224978">
              <w:rPr>
                <w:sz w:val="16"/>
                <w:szCs w:val="18"/>
              </w:rPr>
              <w:t>Can support account management, travel, re-export and selected stock or service functions where there is a genuine multi-market customer base.</w:t>
            </w:r>
          </w:p>
        </w:tc>
        <w:tc>
          <w:tcPr>
            <w:tcW w:w="4261" w:type="dxa"/>
          </w:tcPr>
          <w:p w14:paraId="52540467" w14:textId="01531877" w:rsidR="005F06D4" w:rsidRPr="00224978" w:rsidRDefault="005F06D4" w:rsidP="00224978">
            <w:pPr>
              <w:rPr>
                <w:sz w:val="16"/>
                <w:szCs w:val="18"/>
              </w:rPr>
            </w:pPr>
            <w:r w:rsidRPr="00224978">
              <w:rPr>
                <w:sz w:val="16"/>
                <w:szCs w:val="18"/>
              </w:rPr>
              <w:t>Each market retains its own customs, standards, registration, tender and local</w:t>
            </w:r>
            <w:r w:rsidR="00D139C8" w:rsidRPr="00224978">
              <w:rPr>
                <w:sz w:val="16"/>
                <w:szCs w:val="18"/>
              </w:rPr>
              <w:t xml:space="preserve"> </w:t>
            </w:r>
            <w:r w:rsidRPr="00224978">
              <w:rPr>
                <w:sz w:val="16"/>
                <w:szCs w:val="18"/>
              </w:rPr>
              <w:t>delivery requirements. GCC integration does not create a single procurement or licensing market.</w:t>
            </w:r>
            <w:r w:rsidRPr="00CE6EE6">
              <w:rPr>
                <w:sz w:val="16"/>
                <w:szCs w:val="18"/>
                <w:vertAlign w:val="superscript"/>
              </w:rPr>
              <w:t>[</w:t>
            </w:r>
            <w:r w:rsidR="007C7A62" w:rsidRPr="00CE6EE6">
              <w:rPr>
                <w:sz w:val="16"/>
                <w:szCs w:val="18"/>
                <w:vertAlign w:val="superscript"/>
              </w:rPr>
              <w:t>19</w:t>
            </w:r>
            <w:r w:rsidRPr="00CE6EE6">
              <w:rPr>
                <w:sz w:val="16"/>
                <w:szCs w:val="18"/>
                <w:vertAlign w:val="superscript"/>
              </w:rPr>
              <w:t>][20]</w:t>
            </w:r>
          </w:p>
        </w:tc>
      </w:tr>
      <w:tr w:rsidR="005F06D4" w14:paraId="1C6A3384" w14:textId="77777777" w:rsidTr="002366DF">
        <w:tc>
          <w:tcPr>
            <w:tcW w:w="1800" w:type="dxa"/>
          </w:tcPr>
          <w:p w14:paraId="4E1E5EA6" w14:textId="77777777" w:rsidR="005F06D4" w:rsidRPr="00224978" w:rsidRDefault="005F06D4" w:rsidP="00224978">
            <w:pPr>
              <w:rPr>
                <w:sz w:val="16"/>
                <w:szCs w:val="18"/>
              </w:rPr>
            </w:pPr>
            <w:r w:rsidRPr="00224978">
              <w:rPr>
                <w:sz w:val="16"/>
                <w:szCs w:val="18"/>
              </w:rPr>
              <w:t>Saudi Arabia</w:t>
            </w:r>
          </w:p>
        </w:tc>
        <w:tc>
          <w:tcPr>
            <w:tcW w:w="3298" w:type="dxa"/>
          </w:tcPr>
          <w:p w14:paraId="7E21DFD7" w14:textId="52D7D9CD" w:rsidR="005F06D4" w:rsidRPr="00224978" w:rsidRDefault="005F06D4" w:rsidP="00224978">
            <w:pPr>
              <w:rPr>
                <w:sz w:val="16"/>
                <w:szCs w:val="18"/>
              </w:rPr>
            </w:pPr>
            <w:r w:rsidRPr="00224978">
              <w:rPr>
                <w:sz w:val="16"/>
                <w:szCs w:val="18"/>
              </w:rPr>
              <w:t>Useful for regional oversight, travel and relationships with companies that maintain regional offices.</w:t>
            </w:r>
          </w:p>
        </w:tc>
        <w:tc>
          <w:tcPr>
            <w:tcW w:w="4261" w:type="dxa"/>
          </w:tcPr>
          <w:p w14:paraId="74953DA1" w14:textId="48D7C226" w:rsidR="005F06D4" w:rsidRPr="00224978" w:rsidRDefault="003301A3" w:rsidP="00224978">
            <w:pPr>
              <w:rPr>
                <w:sz w:val="16"/>
                <w:szCs w:val="18"/>
              </w:rPr>
            </w:pPr>
            <w:r w:rsidRPr="00224978">
              <w:rPr>
                <w:sz w:val="16"/>
                <w:szCs w:val="18"/>
              </w:rPr>
              <w:t>Increasing Saudi requirements</w:t>
            </w:r>
            <w:r w:rsidR="00EF519A" w:rsidRPr="00224978">
              <w:rPr>
                <w:sz w:val="16"/>
                <w:szCs w:val="18"/>
              </w:rPr>
              <w:t xml:space="preserve"> for </w:t>
            </w:r>
            <w:r w:rsidR="0033304D" w:rsidRPr="00224978">
              <w:rPr>
                <w:sz w:val="16"/>
                <w:szCs w:val="18"/>
              </w:rPr>
              <w:t xml:space="preserve">business </w:t>
            </w:r>
            <w:r w:rsidR="00EF519A" w:rsidRPr="00224978">
              <w:rPr>
                <w:sz w:val="16"/>
                <w:szCs w:val="18"/>
              </w:rPr>
              <w:t>registration, importation, workforce localisation and site support</w:t>
            </w:r>
            <w:r w:rsidR="00360E6C" w:rsidRPr="00224978">
              <w:rPr>
                <w:sz w:val="16"/>
                <w:szCs w:val="18"/>
              </w:rPr>
              <w:t xml:space="preserve"> may mean a base in UAE is insufficient for market growth.</w:t>
            </w:r>
            <w:r w:rsidR="00EF519A" w:rsidRPr="00224978">
              <w:rPr>
                <w:sz w:val="16"/>
                <w:szCs w:val="18"/>
              </w:rPr>
              <w:t xml:space="preserve"> </w:t>
            </w:r>
            <w:r w:rsidR="009A5BE3" w:rsidRPr="00224978">
              <w:rPr>
                <w:sz w:val="16"/>
                <w:szCs w:val="18"/>
              </w:rPr>
              <w:t xml:space="preserve">(see Saudi Arabia references </w:t>
            </w:r>
            <w:r w:rsidR="009A5BE3" w:rsidRPr="00CE6EE6">
              <w:rPr>
                <w:sz w:val="16"/>
                <w:szCs w:val="18"/>
                <w:vertAlign w:val="superscript"/>
              </w:rPr>
              <w:t>[1</w:t>
            </w:r>
            <w:r w:rsidR="007C7A62" w:rsidRPr="00CE6EE6">
              <w:rPr>
                <w:sz w:val="16"/>
                <w:szCs w:val="18"/>
                <w:vertAlign w:val="superscript"/>
              </w:rPr>
              <w:t>7</w:t>
            </w:r>
            <w:r w:rsidR="009A5BE3" w:rsidRPr="00CE6EE6">
              <w:rPr>
                <w:sz w:val="16"/>
                <w:szCs w:val="18"/>
                <w:vertAlign w:val="superscript"/>
              </w:rPr>
              <w:t>]</w:t>
            </w:r>
            <w:r w:rsidR="009A5BE3" w:rsidRPr="00224978">
              <w:rPr>
                <w:sz w:val="16"/>
                <w:szCs w:val="18"/>
              </w:rPr>
              <w:t xml:space="preserve"> and </w:t>
            </w:r>
            <w:r w:rsidR="009A5BE3" w:rsidRPr="00CE6EE6">
              <w:rPr>
                <w:sz w:val="16"/>
                <w:szCs w:val="18"/>
                <w:vertAlign w:val="superscript"/>
              </w:rPr>
              <w:t>[1</w:t>
            </w:r>
            <w:r w:rsidR="007C7A62" w:rsidRPr="00CE6EE6">
              <w:rPr>
                <w:sz w:val="16"/>
                <w:szCs w:val="18"/>
                <w:vertAlign w:val="superscript"/>
              </w:rPr>
              <w:t>8</w:t>
            </w:r>
            <w:r w:rsidR="009A5BE3" w:rsidRPr="00CE6EE6">
              <w:rPr>
                <w:sz w:val="16"/>
                <w:szCs w:val="18"/>
                <w:vertAlign w:val="superscript"/>
              </w:rPr>
              <w:t>]</w:t>
            </w:r>
            <w:r w:rsidR="009A5BE3" w:rsidRPr="00224978">
              <w:rPr>
                <w:sz w:val="16"/>
                <w:szCs w:val="18"/>
              </w:rPr>
              <w:t>)</w:t>
            </w:r>
          </w:p>
        </w:tc>
      </w:tr>
      <w:tr w:rsidR="005F06D4" w14:paraId="16B3FA2F" w14:textId="77777777" w:rsidTr="002366DF">
        <w:tc>
          <w:tcPr>
            <w:tcW w:w="1800" w:type="dxa"/>
          </w:tcPr>
          <w:p w14:paraId="31470354" w14:textId="77777777" w:rsidR="005F06D4" w:rsidRPr="00224978" w:rsidRDefault="005F06D4" w:rsidP="00224978">
            <w:pPr>
              <w:rPr>
                <w:sz w:val="16"/>
                <w:szCs w:val="18"/>
              </w:rPr>
            </w:pPr>
            <w:r w:rsidRPr="00224978">
              <w:rPr>
                <w:sz w:val="16"/>
                <w:szCs w:val="18"/>
              </w:rPr>
              <w:t>Wider Middle East, Africa and South Asia</w:t>
            </w:r>
          </w:p>
        </w:tc>
        <w:tc>
          <w:tcPr>
            <w:tcW w:w="3298" w:type="dxa"/>
          </w:tcPr>
          <w:p w14:paraId="0C578616" w14:textId="77777777" w:rsidR="005F06D4" w:rsidRPr="00224978" w:rsidRDefault="005F06D4" w:rsidP="00224978">
            <w:pPr>
              <w:rPr>
                <w:sz w:val="16"/>
                <w:szCs w:val="18"/>
              </w:rPr>
            </w:pPr>
            <w:r w:rsidRPr="00224978">
              <w:rPr>
                <w:sz w:val="16"/>
                <w:szCs w:val="18"/>
              </w:rPr>
              <w:t>Dubai can provide logistics, professional services and access to UAE-based investors, traders and engineering groups with overseas portfolios.</w:t>
            </w:r>
          </w:p>
        </w:tc>
        <w:tc>
          <w:tcPr>
            <w:tcW w:w="4261" w:type="dxa"/>
          </w:tcPr>
          <w:p w14:paraId="14BFA1EF" w14:textId="6CE5C870" w:rsidR="005F06D4" w:rsidRPr="00224978" w:rsidRDefault="005F06D4" w:rsidP="00224978">
            <w:pPr>
              <w:rPr>
                <w:sz w:val="16"/>
                <w:szCs w:val="18"/>
              </w:rPr>
            </w:pPr>
            <w:r w:rsidRPr="00224978">
              <w:rPr>
                <w:sz w:val="16"/>
                <w:szCs w:val="18"/>
              </w:rPr>
              <w:t>Value depends on where procurement authority sits. Delivery, permits, taxation, local content and after</w:t>
            </w:r>
            <w:r w:rsidR="00177EDC" w:rsidRPr="00224978">
              <w:rPr>
                <w:sz w:val="16"/>
                <w:szCs w:val="18"/>
              </w:rPr>
              <w:t xml:space="preserve"> </w:t>
            </w:r>
            <w:r w:rsidRPr="00224978">
              <w:rPr>
                <w:sz w:val="16"/>
                <w:szCs w:val="18"/>
              </w:rPr>
              <w:t>sales support remain country</w:t>
            </w:r>
            <w:r w:rsidR="0098165B" w:rsidRPr="00224978">
              <w:rPr>
                <w:sz w:val="16"/>
                <w:szCs w:val="18"/>
              </w:rPr>
              <w:t xml:space="preserve"> </w:t>
            </w:r>
            <w:r w:rsidRPr="00224978">
              <w:rPr>
                <w:sz w:val="16"/>
                <w:szCs w:val="18"/>
              </w:rPr>
              <w:t xml:space="preserve">and </w:t>
            </w:r>
            <w:r w:rsidR="0098165B" w:rsidRPr="00224978">
              <w:rPr>
                <w:sz w:val="16"/>
                <w:szCs w:val="18"/>
              </w:rPr>
              <w:t>project specific</w:t>
            </w:r>
            <w:r w:rsidRPr="00224978">
              <w:rPr>
                <w:sz w:val="16"/>
                <w:szCs w:val="18"/>
              </w:rPr>
              <w:t>.</w:t>
            </w:r>
            <w:r w:rsidRPr="00CE6EE6">
              <w:rPr>
                <w:sz w:val="16"/>
                <w:szCs w:val="18"/>
                <w:vertAlign w:val="superscript"/>
              </w:rPr>
              <w:t>[1</w:t>
            </w:r>
            <w:r w:rsidR="007C7A62" w:rsidRPr="00CE6EE6">
              <w:rPr>
                <w:sz w:val="16"/>
                <w:szCs w:val="18"/>
                <w:vertAlign w:val="superscript"/>
              </w:rPr>
              <w:t>8</w:t>
            </w:r>
            <w:r w:rsidRPr="00CE6EE6">
              <w:rPr>
                <w:sz w:val="16"/>
                <w:szCs w:val="18"/>
                <w:vertAlign w:val="superscript"/>
              </w:rPr>
              <w:t>]</w:t>
            </w:r>
          </w:p>
        </w:tc>
      </w:tr>
    </w:tbl>
    <w:p w14:paraId="7BD66CFB" w14:textId="77777777" w:rsidR="00F71D2E" w:rsidRDefault="00F71D2E" w:rsidP="00F71D2E">
      <w:pPr>
        <w:rPr>
          <w:rFonts w:asciiTheme="majorHAnsi" w:hAnsiTheme="majorHAnsi" w:cstheme="majorHAnsi"/>
          <w:szCs w:val="20"/>
        </w:rPr>
      </w:pPr>
    </w:p>
    <w:p w14:paraId="6C1FE346" w14:textId="77777777" w:rsidR="00F71D2E" w:rsidRDefault="00F71D2E" w:rsidP="00245D3A">
      <w:pPr>
        <w:pStyle w:val="Quote1"/>
      </w:pPr>
      <w:r w:rsidRPr="00903913">
        <w:t>“</w:t>
      </w:r>
      <w:r w:rsidRPr="008C1D8B">
        <w:t>The UAE remains a strong regional hub for connectivity, but companies targeting Saudi Arabia, the largest economy in the region, increasingly need to treat the Kingdom as a distinct market with dedicated in-country engagement</w:t>
      </w:r>
      <w:r w:rsidRPr="00903913">
        <w:t>.”</w:t>
      </w:r>
    </w:p>
    <w:p w14:paraId="1E5EEBA5" w14:textId="77777777" w:rsidR="00F71D2E" w:rsidRDefault="00F71D2E" w:rsidP="00915287">
      <w:pPr>
        <w:pStyle w:val="quotename"/>
      </w:pPr>
      <w:r>
        <w:t xml:space="preserve">- Kassem Younes PSM, Queensland Trade and Investment Commissioner to the Middle East and Africa </w:t>
      </w:r>
    </w:p>
    <w:p w14:paraId="1087E452" w14:textId="0E3F371A" w:rsidR="00BB17CE" w:rsidRPr="00BB17CE" w:rsidRDefault="00BB17CE" w:rsidP="00915287">
      <w:pPr>
        <w:pStyle w:val="Heading3"/>
      </w:pPr>
      <w:r w:rsidRPr="00BB17CE">
        <w:t>Choosing the operating model</w:t>
      </w:r>
    </w:p>
    <w:p w14:paraId="1302202A" w14:textId="73BBD63F" w:rsidR="00031142" w:rsidRPr="00BB17CE" w:rsidRDefault="007E1CA3" w:rsidP="00224978">
      <w:r w:rsidRPr="00482B3C">
        <w:t>Both mainland and free</w:t>
      </w:r>
      <w:r w:rsidR="006C71E6">
        <w:t xml:space="preserve"> </w:t>
      </w:r>
      <w:r w:rsidRPr="00482B3C">
        <w:t xml:space="preserve">zone structures allow </w:t>
      </w:r>
      <w:r w:rsidR="002F41CE" w:rsidRPr="002F41CE">
        <w:t xml:space="preserve">100% </w:t>
      </w:r>
      <w:r w:rsidRPr="00482B3C">
        <w:t>foreign ownership for most activities</w:t>
      </w:r>
      <w:r w:rsidR="00482B3C" w:rsidRPr="00482B3C">
        <w:t>. A mainland company can trade directly across the UAE and is generally the clearer route for repeat UAE sales, site services and government work. A free</w:t>
      </w:r>
      <w:r w:rsidR="00CB143F">
        <w:t xml:space="preserve"> </w:t>
      </w:r>
      <w:r w:rsidR="00482B3C" w:rsidRPr="00482B3C">
        <w:t>zone company can suit regional management, international consulting, trading or re-export, but its licence does not by itself authorise direct activity on the UAE mainland</w:t>
      </w:r>
      <w:r w:rsidR="00F234DA">
        <w:t>. D</w:t>
      </w:r>
      <w:r w:rsidR="00482B3C" w:rsidRPr="00482B3C">
        <w:t>epending on the activity, mainland access may require a distributor, branch, separate licence or an applicable permit.</w:t>
      </w:r>
      <w:r w:rsidR="00482B3C" w:rsidRPr="00CE6EE6">
        <w:rPr>
          <w:vertAlign w:val="superscript"/>
        </w:rPr>
        <w:t>[2</w:t>
      </w:r>
      <w:r w:rsidR="007F0FA8" w:rsidRPr="00CE6EE6">
        <w:rPr>
          <w:vertAlign w:val="superscript"/>
        </w:rPr>
        <w:t>1</w:t>
      </w:r>
      <w:r w:rsidR="00482B3C" w:rsidRPr="00CE6EE6">
        <w:rPr>
          <w:vertAlign w:val="superscript"/>
        </w:rPr>
        <w:t>]</w:t>
      </w:r>
      <w:r w:rsidR="0033639B" w:rsidRPr="0033639B">
        <w:t xml:space="preserve"> Dubai Multi Commodities Centre (DMCC) advertises remote company setup and publishes indicative licence costs; banking, visas and operational service capability need separate planning.</w:t>
      </w:r>
      <w:r w:rsidR="0033639B" w:rsidRPr="00CE6EE6">
        <w:rPr>
          <w:vertAlign w:val="superscript"/>
        </w:rPr>
        <w:t>[23][24]</w:t>
      </w:r>
    </w:p>
    <w:p w14:paraId="5BB01AF7" w14:textId="68996512" w:rsidR="000C4D52" w:rsidRPr="00BB17CE" w:rsidRDefault="00EE7F47" w:rsidP="00224978">
      <w:r w:rsidRPr="00EE7F47">
        <w:t>An Emirati equity partner is therefore not generally required for most activities. A technically capable distributor may still be commercially important for import, field service and account access, but a registered commercial agency carries</w:t>
      </w:r>
      <w:r w:rsidR="000C4D52">
        <w:t xml:space="preserve"> </w:t>
      </w:r>
      <w:r w:rsidR="000C4D52" w:rsidRPr="00EE7F47">
        <w:t>different legal obligations to an ordinary distribution agreement</w:t>
      </w:r>
      <w:r w:rsidR="000C4D52">
        <w:t xml:space="preserve"> </w:t>
      </w:r>
      <w:r w:rsidR="000C4D52" w:rsidRPr="003F007E">
        <w:t>and should be assessed accordingly</w:t>
      </w:r>
      <w:r w:rsidR="000C4D52" w:rsidRPr="00236D6C">
        <w:t>.</w:t>
      </w:r>
      <w:r w:rsidR="000C4D52" w:rsidRPr="00CE6EE6">
        <w:rPr>
          <w:vertAlign w:val="superscript"/>
        </w:rPr>
        <w:t>[24]</w:t>
      </w:r>
      <w:r w:rsidR="00DB7608">
        <w:br/>
      </w:r>
    </w:p>
    <w:p w14:paraId="30D50404" w14:textId="77777777" w:rsidR="00574DD4" w:rsidRDefault="00574DD4" w:rsidP="00915287">
      <w:pPr>
        <w:pStyle w:val="Heading3"/>
      </w:pPr>
      <w:r w:rsidRPr="00574DD4">
        <w:t>Warehousing and service capability</w:t>
      </w:r>
    </w:p>
    <w:p w14:paraId="79640372" w14:textId="2FDE8109" w:rsidR="00BA277B" w:rsidRDefault="00E75D43" w:rsidP="00224978">
      <w:r w:rsidRPr="00E75D43">
        <w:t>For equipment suppliers, the establishment decision concerns stock and service capability as much as office space. Free zones</w:t>
      </w:r>
      <w:r>
        <w:t xml:space="preserve"> </w:t>
      </w:r>
      <w:r w:rsidR="00106376" w:rsidRPr="00106376">
        <w:t>offer warehousing and light manufacturing alongside port and transport access, which can support regional spare-parts inventory, equipment consolidation or light assembly where licensed activity and customer demand justify the investment. Zone selection should follow customer geography and site access rather than brand recognition alone</w:t>
      </w:r>
      <w:r w:rsidR="00BA277B" w:rsidRPr="00BA277B">
        <w:t>.</w:t>
      </w:r>
      <w:r w:rsidR="00BA277B" w:rsidRPr="00CE6EE6">
        <w:rPr>
          <w:vertAlign w:val="superscript"/>
        </w:rPr>
        <w:t>[3</w:t>
      </w:r>
      <w:r w:rsidR="00A64FC6" w:rsidRPr="00CE6EE6">
        <w:rPr>
          <w:vertAlign w:val="superscript"/>
        </w:rPr>
        <w:t>6</w:t>
      </w:r>
      <w:r w:rsidR="00FD41BF" w:rsidRPr="00CE6EE6">
        <w:rPr>
          <w:vertAlign w:val="superscript"/>
        </w:rPr>
        <w:t>]</w:t>
      </w:r>
    </w:p>
    <w:p w14:paraId="69FD4A17" w14:textId="77777777" w:rsidR="00DA1F6B" w:rsidRDefault="00DA1F6B" w:rsidP="00BA277B">
      <w:pPr>
        <w:rPr>
          <w:rFonts w:asciiTheme="majorHAnsi" w:hAnsiTheme="majorHAnsi" w:cstheme="majorHAnsi"/>
          <w:szCs w:val="20"/>
        </w:rPr>
      </w:pPr>
    </w:p>
    <w:tbl>
      <w:tblPr>
        <w:tblStyle w:val="TableGrid"/>
        <w:tblW w:w="9363" w:type="dxa"/>
        <w:tblCellMar>
          <w:top w:w="57" w:type="dxa"/>
          <w:bottom w:w="57" w:type="dxa"/>
        </w:tblCellMar>
        <w:tblLook w:val="04A0" w:firstRow="1" w:lastRow="0" w:firstColumn="1" w:lastColumn="0" w:noHBand="0" w:noVBand="1"/>
      </w:tblPr>
      <w:tblGrid>
        <w:gridCol w:w="2586"/>
        <w:gridCol w:w="2586"/>
        <w:gridCol w:w="4191"/>
      </w:tblGrid>
      <w:tr w:rsidR="000844C8" w:rsidRPr="000844C8" w14:paraId="5399F020" w14:textId="77777777" w:rsidTr="00FC1B2B">
        <w:trPr>
          <w:trHeight w:val="323"/>
        </w:trPr>
        <w:tc>
          <w:tcPr>
            <w:tcW w:w="2586" w:type="dxa"/>
            <w:shd w:val="clear" w:color="auto" w:fill="173F34" w:themeFill="accent1"/>
            <w:vAlign w:val="center"/>
            <w:hideMark/>
          </w:tcPr>
          <w:p w14:paraId="40913275" w14:textId="77777777" w:rsidR="000844C8" w:rsidRPr="00224978" w:rsidRDefault="000844C8" w:rsidP="00FC1B2B">
            <w:pPr>
              <w:rPr>
                <w:b/>
                <w:bCs/>
                <w:sz w:val="16"/>
                <w:szCs w:val="18"/>
                <w:lang w:eastAsia="en-AU"/>
              </w:rPr>
            </w:pPr>
            <w:r w:rsidRPr="00224978">
              <w:rPr>
                <w:b/>
                <w:bCs/>
                <w:sz w:val="16"/>
                <w:szCs w:val="18"/>
                <w:lang w:eastAsia="en-AU"/>
              </w:rPr>
              <w:lastRenderedPageBreak/>
              <w:t>Free zone</w:t>
            </w:r>
          </w:p>
        </w:tc>
        <w:tc>
          <w:tcPr>
            <w:tcW w:w="2586" w:type="dxa"/>
            <w:shd w:val="clear" w:color="auto" w:fill="173F34" w:themeFill="accent1"/>
            <w:vAlign w:val="center"/>
            <w:hideMark/>
          </w:tcPr>
          <w:p w14:paraId="1D499317" w14:textId="77777777" w:rsidR="000844C8" w:rsidRPr="00224978" w:rsidRDefault="000844C8" w:rsidP="00FC1B2B">
            <w:pPr>
              <w:rPr>
                <w:b/>
                <w:bCs/>
                <w:sz w:val="16"/>
                <w:szCs w:val="18"/>
                <w:lang w:eastAsia="en-AU"/>
              </w:rPr>
            </w:pPr>
            <w:r w:rsidRPr="00224978">
              <w:rPr>
                <w:b/>
                <w:bCs/>
                <w:sz w:val="16"/>
                <w:szCs w:val="18"/>
                <w:lang w:eastAsia="en-AU"/>
              </w:rPr>
              <w:t>Supports</w:t>
            </w:r>
          </w:p>
        </w:tc>
        <w:tc>
          <w:tcPr>
            <w:tcW w:w="4191" w:type="dxa"/>
            <w:shd w:val="clear" w:color="auto" w:fill="173F34" w:themeFill="accent1"/>
            <w:vAlign w:val="center"/>
            <w:hideMark/>
          </w:tcPr>
          <w:p w14:paraId="2A9C9201" w14:textId="77777777" w:rsidR="000844C8" w:rsidRPr="00224978" w:rsidRDefault="000844C8" w:rsidP="00FC1B2B">
            <w:pPr>
              <w:rPr>
                <w:b/>
                <w:bCs/>
                <w:sz w:val="16"/>
                <w:szCs w:val="18"/>
                <w:lang w:eastAsia="en-AU"/>
              </w:rPr>
            </w:pPr>
            <w:r w:rsidRPr="00224978">
              <w:rPr>
                <w:b/>
                <w:bCs/>
                <w:sz w:val="16"/>
                <w:szCs w:val="18"/>
                <w:lang w:eastAsia="en-AU"/>
              </w:rPr>
              <w:t>Key benefit for METS</w:t>
            </w:r>
          </w:p>
        </w:tc>
      </w:tr>
      <w:tr w:rsidR="000844C8" w:rsidRPr="000844C8" w14:paraId="190CCABE" w14:textId="77777777" w:rsidTr="00FC1B2B">
        <w:trPr>
          <w:trHeight w:val="707"/>
        </w:trPr>
        <w:tc>
          <w:tcPr>
            <w:tcW w:w="2586" w:type="dxa"/>
            <w:hideMark/>
          </w:tcPr>
          <w:p w14:paraId="539DEB91" w14:textId="77777777" w:rsidR="000844C8" w:rsidRPr="00224978" w:rsidRDefault="000844C8" w:rsidP="00224978">
            <w:pPr>
              <w:rPr>
                <w:sz w:val="16"/>
                <w:szCs w:val="18"/>
                <w:lang w:eastAsia="en-AU"/>
              </w:rPr>
            </w:pPr>
            <w:r w:rsidRPr="00224978">
              <w:rPr>
                <w:sz w:val="16"/>
                <w:szCs w:val="18"/>
                <w:lang w:eastAsia="en-AU"/>
              </w:rPr>
              <w:t>Jebel Ali Free Zone Authority (JAFZA) – Dubai</w:t>
            </w:r>
          </w:p>
        </w:tc>
        <w:tc>
          <w:tcPr>
            <w:tcW w:w="2586" w:type="dxa"/>
            <w:hideMark/>
          </w:tcPr>
          <w:p w14:paraId="6C6301C0" w14:textId="73B8FE27" w:rsidR="000844C8" w:rsidRPr="00224978" w:rsidRDefault="000844C8" w:rsidP="00224978">
            <w:pPr>
              <w:rPr>
                <w:sz w:val="16"/>
                <w:szCs w:val="18"/>
                <w:lang w:eastAsia="en-AU"/>
              </w:rPr>
            </w:pPr>
            <w:r w:rsidRPr="00224978">
              <w:rPr>
                <w:sz w:val="16"/>
                <w:szCs w:val="18"/>
                <w:lang w:eastAsia="en-AU"/>
              </w:rPr>
              <w:t>Distribution, warehousing, spare parts</w:t>
            </w:r>
            <w:r w:rsidR="009C3496" w:rsidRPr="00224978">
              <w:rPr>
                <w:sz w:val="16"/>
                <w:szCs w:val="18"/>
                <w:lang w:eastAsia="en-AU"/>
              </w:rPr>
              <w:t xml:space="preserve"> and </w:t>
            </w:r>
            <w:r w:rsidRPr="00224978">
              <w:rPr>
                <w:sz w:val="16"/>
                <w:szCs w:val="18"/>
                <w:lang w:eastAsia="en-AU"/>
              </w:rPr>
              <w:t>light assembly</w:t>
            </w:r>
            <w:r w:rsidR="009C3496" w:rsidRPr="00224978">
              <w:rPr>
                <w:sz w:val="16"/>
                <w:szCs w:val="18"/>
                <w:lang w:eastAsia="en-AU"/>
              </w:rPr>
              <w:t xml:space="preserve">. </w:t>
            </w:r>
          </w:p>
        </w:tc>
        <w:tc>
          <w:tcPr>
            <w:tcW w:w="4191" w:type="dxa"/>
            <w:hideMark/>
          </w:tcPr>
          <w:p w14:paraId="2D47080E" w14:textId="40B1DCB9" w:rsidR="000844C8" w:rsidRPr="00224978" w:rsidRDefault="000844C8" w:rsidP="00224978">
            <w:pPr>
              <w:rPr>
                <w:sz w:val="16"/>
                <w:szCs w:val="18"/>
                <w:lang w:eastAsia="en-AU"/>
              </w:rPr>
            </w:pPr>
            <w:r w:rsidRPr="00224978">
              <w:rPr>
                <w:sz w:val="16"/>
                <w:szCs w:val="18"/>
                <w:lang w:eastAsia="en-AU"/>
              </w:rPr>
              <w:t>Major port and logistics hub; strong platform for regional distribution and re-export</w:t>
            </w:r>
            <w:r w:rsidR="00793045" w:rsidRPr="00224978">
              <w:rPr>
                <w:sz w:val="16"/>
                <w:szCs w:val="18"/>
                <w:lang w:eastAsia="en-AU"/>
              </w:rPr>
              <w:t xml:space="preserve">. </w:t>
            </w:r>
          </w:p>
        </w:tc>
      </w:tr>
      <w:tr w:rsidR="000844C8" w:rsidRPr="000844C8" w14:paraId="3452AD7C" w14:textId="77777777" w:rsidTr="00FC1B2B">
        <w:trPr>
          <w:trHeight w:val="666"/>
        </w:trPr>
        <w:tc>
          <w:tcPr>
            <w:tcW w:w="2586" w:type="dxa"/>
            <w:hideMark/>
          </w:tcPr>
          <w:p w14:paraId="1ACAA3B5" w14:textId="77777777" w:rsidR="000844C8" w:rsidRPr="00224978" w:rsidRDefault="000844C8" w:rsidP="00224978">
            <w:pPr>
              <w:rPr>
                <w:sz w:val="16"/>
                <w:szCs w:val="18"/>
                <w:lang w:val="es-ES" w:eastAsia="en-AU"/>
              </w:rPr>
            </w:pPr>
            <w:r w:rsidRPr="00224978">
              <w:rPr>
                <w:sz w:val="16"/>
                <w:szCs w:val="18"/>
                <w:lang w:val="es-ES" w:eastAsia="en-AU"/>
              </w:rPr>
              <w:t>Khalifa Economic Zones Abu Dhabi (KEZAD) – Abu Dhabi</w:t>
            </w:r>
          </w:p>
        </w:tc>
        <w:tc>
          <w:tcPr>
            <w:tcW w:w="2586" w:type="dxa"/>
            <w:hideMark/>
          </w:tcPr>
          <w:p w14:paraId="6AF71192" w14:textId="51F2A9F8" w:rsidR="000844C8" w:rsidRPr="00224978" w:rsidRDefault="000844C8" w:rsidP="00224978">
            <w:pPr>
              <w:rPr>
                <w:sz w:val="16"/>
                <w:szCs w:val="18"/>
                <w:lang w:eastAsia="en-AU"/>
              </w:rPr>
            </w:pPr>
            <w:r w:rsidRPr="00224978">
              <w:rPr>
                <w:sz w:val="16"/>
                <w:szCs w:val="18"/>
                <w:lang w:eastAsia="en-AU"/>
              </w:rPr>
              <w:t>Manufacturing, assembly, workshops</w:t>
            </w:r>
            <w:r w:rsidR="00F837B8" w:rsidRPr="00224978">
              <w:rPr>
                <w:sz w:val="16"/>
                <w:szCs w:val="18"/>
                <w:lang w:eastAsia="en-AU"/>
              </w:rPr>
              <w:t xml:space="preserve"> and</w:t>
            </w:r>
            <w:r w:rsidRPr="00224978">
              <w:rPr>
                <w:sz w:val="16"/>
                <w:szCs w:val="18"/>
                <w:lang w:eastAsia="en-AU"/>
              </w:rPr>
              <w:t xml:space="preserve"> warehousing</w:t>
            </w:r>
            <w:r w:rsidR="00512E3C" w:rsidRPr="00224978">
              <w:rPr>
                <w:sz w:val="16"/>
                <w:szCs w:val="18"/>
                <w:lang w:eastAsia="en-AU"/>
              </w:rPr>
              <w:t>.</w:t>
            </w:r>
          </w:p>
        </w:tc>
        <w:tc>
          <w:tcPr>
            <w:tcW w:w="4191" w:type="dxa"/>
            <w:hideMark/>
          </w:tcPr>
          <w:p w14:paraId="2369FE6F" w14:textId="0AB9548F" w:rsidR="000844C8" w:rsidRPr="00224978" w:rsidRDefault="000844C8" w:rsidP="00224978">
            <w:pPr>
              <w:rPr>
                <w:sz w:val="16"/>
                <w:szCs w:val="18"/>
                <w:lang w:eastAsia="en-AU"/>
              </w:rPr>
            </w:pPr>
            <w:r w:rsidRPr="00224978">
              <w:rPr>
                <w:sz w:val="16"/>
                <w:szCs w:val="18"/>
                <w:lang w:eastAsia="en-AU"/>
              </w:rPr>
              <w:t xml:space="preserve">Industrial ecosystem and proximity to Abu Dhabi's energy, metals and manufacturing customers, including </w:t>
            </w:r>
            <w:r w:rsidR="00035332" w:rsidRPr="00224978">
              <w:rPr>
                <w:sz w:val="16"/>
                <w:szCs w:val="18"/>
                <w:lang w:eastAsia="en-AU"/>
              </w:rPr>
              <w:t>EGA</w:t>
            </w:r>
            <w:r w:rsidRPr="00224978">
              <w:rPr>
                <w:sz w:val="16"/>
                <w:szCs w:val="18"/>
                <w:lang w:eastAsia="en-AU"/>
              </w:rPr>
              <w:t xml:space="preserve"> and EMSTEEL</w:t>
            </w:r>
            <w:r w:rsidR="00357CB9" w:rsidRPr="00224978">
              <w:rPr>
                <w:sz w:val="16"/>
                <w:szCs w:val="18"/>
                <w:lang w:eastAsia="en-AU"/>
              </w:rPr>
              <w:t xml:space="preserve">. </w:t>
            </w:r>
          </w:p>
        </w:tc>
      </w:tr>
      <w:tr w:rsidR="000844C8" w:rsidRPr="000844C8" w14:paraId="48DB8725" w14:textId="77777777" w:rsidTr="00FC1B2B">
        <w:trPr>
          <w:trHeight w:val="841"/>
        </w:trPr>
        <w:tc>
          <w:tcPr>
            <w:tcW w:w="2586" w:type="dxa"/>
            <w:hideMark/>
          </w:tcPr>
          <w:p w14:paraId="62D63A9F" w14:textId="77777777" w:rsidR="000844C8" w:rsidRPr="00224978" w:rsidRDefault="000844C8" w:rsidP="00224978">
            <w:pPr>
              <w:rPr>
                <w:sz w:val="16"/>
                <w:szCs w:val="18"/>
                <w:lang w:val="es-ES" w:eastAsia="en-AU"/>
              </w:rPr>
            </w:pPr>
            <w:r w:rsidRPr="00224978">
              <w:rPr>
                <w:sz w:val="16"/>
                <w:szCs w:val="18"/>
                <w:lang w:val="es-ES" w:eastAsia="en-AU"/>
              </w:rPr>
              <w:t>Ras Al Khaimah Economic Zone (RAKEZ) – Ras Al Khaimah</w:t>
            </w:r>
          </w:p>
        </w:tc>
        <w:tc>
          <w:tcPr>
            <w:tcW w:w="2586" w:type="dxa"/>
            <w:hideMark/>
          </w:tcPr>
          <w:p w14:paraId="4F93D807" w14:textId="2FB354BA" w:rsidR="000844C8" w:rsidRPr="00224978" w:rsidRDefault="000844C8" w:rsidP="00224978">
            <w:pPr>
              <w:rPr>
                <w:sz w:val="16"/>
                <w:szCs w:val="18"/>
                <w:lang w:eastAsia="en-AU"/>
              </w:rPr>
            </w:pPr>
            <w:r w:rsidRPr="00224978">
              <w:rPr>
                <w:sz w:val="16"/>
                <w:szCs w:val="18"/>
                <w:lang w:eastAsia="en-AU"/>
              </w:rPr>
              <w:t>Workshops, servicing, light manufacturing</w:t>
            </w:r>
            <w:r w:rsidR="00F40D54" w:rsidRPr="00224978">
              <w:rPr>
                <w:sz w:val="16"/>
                <w:szCs w:val="18"/>
                <w:lang w:eastAsia="en-AU"/>
              </w:rPr>
              <w:t xml:space="preserve"> and </w:t>
            </w:r>
            <w:r w:rsidRPr="00224978">
              <w:rPr>
                <w:sz w:val="16"/>
                <w:szCs w:val="18"/>
                <w:lang w:eastAsia="en-AU"/>
              </w:rPr>
              <w:t>warehousing</w:t>
            </w:r>
            <w:r w:rsidR="00F40D54" w:rsidRPr="00224978">
              <w:rPr>
                <w:sz w:val="16"/>
                <w:szCs w:val="18"/>
                <w:lang w:eastAsia="en-AU"/>
              </w:rPr>
              <w:t xml:space="preserve">. </w:t>
            </w:r>
          </w:p>
        </w:tc>
        <w:tc>
          <w:tcPr>
            <w:tcW w:w="4191" w:type="dxa"/>
            <w:hideMark/>
          </w:tcPr>
          <w:p w14:paraId="75D35E74" w14:textId="211B87D9" w:rsidR="000844C8" w:rsidRPr="00224978" w:rsidRDefault="000844C8" w:rsidP="00224978">
            <w:pPr>
              <w:rPr>
                <w:sz w:val="16"/>
                <w:szCs w:val="18"/>
                <w:lang w:eastAsia="en-AU"/>
              </w:rPr>
            </w:pPr>
            <w:r w:rsidRPr="00224978">
              <w:rPr>
                <w:sz w:val="16"/>
                <w:szCs w:val="18"/>
                <w:lang w:eastAsia="en-AU"/>
              </w:rPr>
              <w:t>Cost-effective industrial base with proximity to Stevin Rock and Ras Al Khaimah's quarrying and aggregates sector</w:t>
            </w:r>
            <w:r w:rsidR="0075219E" w:rsidRPr="00224978">
              <w:rPr>
                <w:sz w:val="16"/>
                <w:szCs w:val="18"/>
                <w:lang w:eastAsia="en-AU"/>
              </w:rPr>
              <w:t xml:space="preserve">. </w:t>
            </w:r>
          </w:p>
        </w:tc>
      </w:tr>
      <w:tr w:rsidR="000844C8" w:rsidRPr="000844C8" w14:paraId="7FA8E0D6" w14:textId="77777777" w:rsidTr="00FC1B2B">
        <w:trPr>
          <w:trHeight w:val="19"/>
        </w:trPr>
        <w:tc>
          <w:tcPr>
            <w:tcW w:w="2586" w:type="dxa"/>
            <w:hideMark/>
          </w:tcPr>
          <w:p w14:paraId="28DC6BC9" w14:textId="77777777" w:rsidR="000844C8" w:rsidRPr="00224978" w:rsidRDefault="000844C8" w:rsidP="00224978">
            <w:pPr>
              <w:rPr>
                <w:sz w:val="16"/>
                <w:szCs w:val="18"/>
                <w:lang w:eastAsia="en-AU"/>
              </w:rPr>
            </w:pPr>
            <w:r w:rsidRPr="00224978">
              <w:rPr>
                <w:sz w:val="16"/>
                <w:szCs w:val="18"/>
                <w:lang w:eastAsia="en-AU"/>
              </w:rPr>
              <w:t>Fujairah Free Zone – Fujairah</w:t>
            </w:r>
          </w:p>
        </w:tc>
        <w:tc>
          <w:tcPr>
            <w:tcW w:w="2586" w:type="dxa"/>
            <w:hideMark/>
          </w:tcPr>
          <w:p w14:paraId="2B1FD397" w14:textId="2354C729" w:rsidR="000844C8" w:rsidRPr="00224978" w:rsidRDefault="000844C8" w:rsidP="00224978">
            <w:pPr>
              <w:rPr>
                <w:sz w:val="16"/>
                <w:szCs w:val="18"/>
                <w:lang w:eastAsia="en-AU"/>
              </w:rPr>
            </w:pPr>
            <w:r w:rsidRPr="00224978">
              <w:rPr>
                <w:sz w:val="16"/>
                <w:szCs w:val="18"/>
                <w:lang w:eastAsia="en-AU"/>
              </w:rPr>
              <w:t>Aggregates, bulk materials, processing</w:t>
            </w:r>
            <w:r w:rsidR="00441D66" w:rsidRPr="00224978">
              <w:rPr>
                <w:sz w:val="16"/>
                <w:szCs w:val="18"/>
                <w:lang w:eastAsia="en-AU"/>
              </w:rPr>
              <w:t xml:space="preserve"> and </w:t>
            </w:r>
            <w:r w:rsidRPr="00224978">
              <w:rPr>
                <w:sz w:val="16"/>
                <w:szCs w:val="18"/>
                <w:lang w:eastAsia="en-AU"/>
              </w:rPr>
              <w:t>logistics</w:t>
            </w:r>
            <w:r w:rsidR="00441D66" w:rsidRPr="00224978">
              <w:rPr>
                <w:sz w:val="16"/>
                <w:szCs w:val="18"/>
                <w:lang w:eastAsia="en-AU"/>
              </w:rPr>
              <w:t xml:space="preserve">. </w:t>
            </w:r>
          </w:p>
        </w:tc>
        <w:tc>
          <w:tcPr>
            <w:tcW w:w="4191" w:type="dxa"/>
            <w:hideMark/>
          </w:tcPr>
          <w:p w14:paraId="7F050BF6" w14:textId="61E03887" w:rsidR="000844C8" w:rsidRPr="00224978" w:rsidRDefault="000844C8" w:rsidP="00224978">
            <w:pPr>
              <w:rPr>
                <w:sz w:val="16"/>
                <w:szCs w:val="18"/>
                <w:lang w:eastAsia="en-AU"/>
              </w:rPr>
            </w:pPr>
            <w:r w:rsidRPr="00224978">
              <w:rPr>
                <w:sz w:val="16"/>
                <w:szCs w:val="18"/>
                <w:lang w:eastAsia="en-AU"/>
              </w:rPr>
              <w:t>Proximity to quarrying activity</w:t>
            </w:r>
            <w:r w:rsidR="00E95FC1" w:rsidRPr="00224978">
              <w:rPr>
                <w:sz w:val="16"/>
                <w:szCs w:val="18"/>
                <w:lang w:eastAsia="en-AU"/>
              </w:rPr>
              <w:t xml:space="preserve"> </w:t>
            </w:r>
            <w:r w:rsidRPr="00224978">
              <w:rPr>
                <w:sz w:val="16"/>
                <w:szCs w:val="18"/>
                <w:lang w:eastAsia="en-AU"/>
              </w:rPr>
              <w:t>and Fujairah Port for export-oriented operations</w:t>
            </w:r>
            <w:r w:rsidR="00F100F8" w:rsidRPr="00224978">
              <w:rPr>
                <w:sz w:val="16"/>
                <w:szCs w:val="18"/>
                <w:lang w:eastAsia="en-AU"/>
              </w:rPr>
              <w:t xml:space="preserve">. </w:t>
            </w:r>
          </w:p>
        </w:tc>
      </w:tr>
      <w:tr w:rsidR="000844C8" w:rsidRPr="000844C8" w14:paraId="3D457DD1" w14:textId="77777777" w:rsidTr="00FC1B2B">
        <w:trPr>
          <w:trHeight w:val="744"/>
        </w:trPr>
        <w:tc>
          <w:tcPr>
            <w:tcW w:w="2586" w:type="dxa"/>
            <w:hideMark/>
          </w:tcPr>
          <w:p w14:paraId="0CC67758" w14:textId="77777777" w:rsidR="000844C8" w:rsidRPr="006B25F5" w:rsidRDefault="000844C8" w:rsidP="00224978">
            <w:pPr>
              <w:rPr>
                <w:sz w:val="16"/>
                <w:szCs w:val="18"/>
                <w:lang w:val="pt-PT" w:eastAsia="en-AU"/>
              </w:rPr>
            </w:pPr>
            <w:r w:rsidRPr="006B25F5">
              <w:rPr>
                <w:sz w:val="16"/>
                <w:szCs w:val="18"/>
                <w:lang w:val="pt-PT" w:eastAsia="en-AU"/>
              </w:rPr>
              <w:t>Dubai Multi Commodities Centre (DMCC) – Dubai</w:t>
            </w:r>
          </w:p>
        </w:tc>
        <w:tc>
          <w:tcPr>
            <w:tcW w:w="2586" w:type="dxa"/>
            <w:hideMark/>
          </w:tcPr>
          <w:p w14:paraId="34DD195A" w14:textId="21F08C71" w:rsidR="000844C8" w:rsidRPr="00224978" w:rsidRDefault="000844C8" w:rsidP="00224978">
            <w:pPr>
              <w:rPr>
                <w:sz w:val="16"/>
                <w:szCs w:val="18"/>
                <w:lang w:eastAsia="en-AU"/>
              </w:rPr>
            </w:pPr>
            <w:r w:rsidRPr="00224978">
              <w:rPr>
                <w:sz w:val="16"/>
                <w:szCs w:val="18"/>
                <w:lang w:eastAsia="en-AU"/>
              </w:rPr>
              <w:t xml:space="preserve">Regional </w:t>
            </w:r>
            <w:r w:rsidR="0033639B" w:rsidRPr="00224978">
              <w:rPr>
                <w:sz w:val="16"/>
                <w:szCs w:val="18"/>
                <w:lang w:eastAsia="en-AU"/>
              </w:rPr>
              <w:t xml:space="preserve">headquarters, </w:t>
            </w:r>
            <w:r w:rsidRPr="00224978">
              <w:rPr>
                <w:sz w:val="16"/>
                <w:szCs w:val="18"/>
                <w:lang w:eastAsia="en-AU"/>
              </w:rPr>
              <w:t>trading, consulting, engineering</w:t>
            </w:r>
            <w:r w:rsidR="008F5909" w:rsidRPr="00224978">
              <w:rPr>
                <w:sz w:val="16"/>
                <w:szCs w:val="18"/>
                <w:lang w:eastAsia="en-AU"/>
              </w:rPr>
              <w:t xml:space="preserve"> and </w:t>
            </w:r>
            <w:r w:rsidRPr="00224978">
              <w:rPr>
                <w:sz w:val="16"/>
                <w:szCs w:val="18"/>
                <w:lang w:eastAsia="en-AU"/>
              </w:rPr>
              <w:t>professional services</w:t>
            </w:r>
            <w:r w:rsidR="008F5909" w:rsidRPr="00224978">
              <w:rPr>
                <w:sz w:val="16"/>
                <w:szCs w:val="18"/>
                <w:lang w:eastAsia="en-AU"/>
              </w:rPr>
              <w:t xml:space="preserve">. </w:t>
            </w:r>
          </w:p>
        </w:tc>
        <w:tc>
          <w:tcPr>
            <w:tcW w:w="4191" w:type="dxa"/>
            <w:hideMark/>
          </w:tcPr>
          <w:p w14:paraId="212255E2" w14:textId="4181413B" w:rsidR="000844C8" w:rsidRPr="00224978" w:rsidRDefault="000844C8" w:rsidP="00224978">
            <w:pPr>
              <w:rPr>
                <w:sz w:val="16"/>
                <w:szCs w:val="18"/>
                <w:lang w:eastAsia="en-AU"/>
              </w:rPr>
            </w:pPr>
            <w:r w:rsidRPr="00224978">
              <w:rPr>
                <w:sz w:val="16"/>
                <w:szCs w:val="18"/>
                <w:lang w:eastAsia="en-AU"/>
              </w:rPr>
              <w:t>Established commodities trading ecosystem and access to international mining and trading networks</w:t>
            </w:r>
            <w:r w:rsidR="00B3705F" w:rsidRPr="00224978">
              <w:rPr>
                <w:sz w:val="16"/>
                <w:szCs w:val="18"/>
                <w:lang w:eastAsia="en-AU"/>
              </w:rPr>
              <w:t xml:space="preserve">. </w:t>
            </w:r>
          </w:p>
        </w:tc>
      </w:tr>
    </w:tbl>
    <w:p w14:paraId="4CE7F65F" w14:textId="77777777" w:rsidR="00DA1F6B" w:rsidRPr="00BA277B" w:rsidRDefault="00DA1F6B" w:rsidP="00BA277B">
      <w:pPr>
        <w:rPr>
          <w:rFonts w:asciiTheme="majorHAnsi" w:hAnsiTheme="majorHAnsi" w:cstheme="majorHAnsi"/>
          <w:szCs w:val="20"/>
        </w:rPr>
      </w:pPr>
    </w:p>
    <w:p w14:paraId="07B79FA3" w14:textId="50B7EB80" w:rsidR="00574DD4" w:rsidRDefault="006E7AB7" w:rsidP="00224978">
      <w:r>
        <w:t>Free zone</w:t>
      </w:r>
      <w:r w:rsidR="00BA277B" w:rsidRPr="00BA277B">
        <w:t xml:space="preserve"> status does not automatically exempt a business from corporate tax, VAT or compliance obligations. Tax and customs advice should cover the actual movement of contracts, goods and personnel, including sales into the UAE mainland and re-exports.</w:t>
      </w:r>
      <w:r w:rsidR="00BA277B" w:rsidRPr="00CE6EE6">
        <w:rPr>
          <w:vertAlign w:val="superscript"/>
        </w:rPr>
        <w:t>[2</w:t>
      </w:r>
      <w:r w:rsidR="0033639B" w:rsidRPr="00CE6EE6">
        <w:rPr>
          <w:vertAlign w:val="superscript"/>
        </w:rPr>
        <w:t>5</w:t>
      </w:r>
      <w:r w:rsidR="00BA277B" w:rsidRPr="00CE6EE6">
        <w:rPr>
          <w:vertAlign w:val="superscript"/>
        </w:rPr>
        <w:t>][2</w:t>
      </w:r>
      <w:r w:rsidR="0033639B" w:rsidRPr="00CE6EE6">
        <w:rPr>
          <w:vertAlign w:val="superscript"/>
        </w:rPr>
        <w:t>6</w:t>
      </w:r>
      <w:r w:rsidR="00BA277B" w:rsidRPr="00CE6EE6">
        <w:rPr>
          <w:vertAlign w:val="superscript"/>
        </w:rPr>
        <w:t>]</w:t>
      </w:r>
    </w:p>
    <w:p w14:paraId="1041B4CD" w14:textId="34C7C6CC" w:rsidR="00BB17CE" w:rsidRDefault="00BB17CE" w:rsidP="00224978">
      <w:pPr>
        <w:rPr>
          <w:vertAlign w:val="superscript"/>
        </w:rPr>
      </w:pPr>
      <w:r w:rsidRPr="00BB17CE">
        <w:t xml:space="preserve">Where the target buyer applies the National </w:t>
      </w:r>
      <w:r w:rsidR="007548C7">
        <w:t>ICV</w:t>
      </w:r>
      <w:r w:rsidRPr="00BB17CE">
        <w:t xml:space="preserve"> Program, the commercial case for local staff, procurement, stockholding, repair or assembly should be </w:t>
      </w:r>
      <w:r w:rsidR="00D25531">
        <w:t>weighed</w:t>
      </w:r>
      <w:r w:rsidRPr="00BB17CE">
        <w:t xml:space="preserve"> against that buyer’s scoring and tender requirements. </w:t>
      </w:r>
      <w:r w:rsidR="00E56CEF" w:rsidRPr="00E56CEF">
        <w:t>A UAE address alone should not be assumed to deliver a meaningful procurement benefit.</w:t>
      </w:r>
      <w:r w:rsidR="00E56CEF" w:rsidRPr="00CE6EE6">
        <w:rPr>
          <w:vertAlign w:val="superscript"/>
        </w:rPr>
        <w:t>[2</w:t>
      </w:r>
      <w:r w:rsidR="0033639B" w:rsidRPr="00CE6EE6">
        <w:rPr>
          <w:vertAlign w:val="superscript"/>
        </w:rPr>
        <w:t>7</w:t>
      </w:r>
      <w:r w:rsidR="00E56CEF" w:rsidRPr="00CE6EE6">
        <w:rPr>
          <w:vertAlign w:val="superscript"/>
        </w:rPr>
        <w:t>]</w:t>
      </w:r>
    </w:p>
    <w:p w14:paraId="0E11C5A2" w14:textId="77777777" w:rsidR="00245D3A" w:rsidRPr="00245D3A" w:rsidRDefault="00245D3A" w:rsidP="00224978"/>
    <w:p w14:paraId="2BC2ADC2" w14:textId="77777777" w:rsidR="000C4D52" w:rsidRDefault="000C4D52" w:rsidP="004C5D40">
      <w:pPr>
        <w:pStyle w:val="Quote1"/>
        <w:rPr>
          <w:lang w:val="en-AE"/>
        </w:rPr>
      </w:pPr>
      <w:r>
        <w:t>“</w:t>
      </w:r>
      <w:r w:rsidRPr="00551063">
        <w:rPr>
          <w:lang w:val="en-AE"/>
        </w:rPr>
        <w:t>With more than 46 jurisdictions across the UAE, including mainland and themed free zones, each offering different regulatory frameworks, licensing activities, ownership structures, and operational considerations, choosing the right jurisdiction can be challenging.</w:t>
      </w:r>
      <w:r>
        <w:rPr>
          <w:lang w:val="en-AE"/>
        </w:rPr>
        <w:t xml:space="preserve"> </w:t>
      </w:r>
      <w:r w:rsidRPr="00551063">
        <w:rPr>
          <w:lang w:val="en-AE"/>
        </w:rPr>
        <w:t>The key is to ensure that your chosen jurisdiction is fit for purpose today and aligned with your business objectives for the future.</w:t>
      </w:r>
      <w:r>
        <w:rPr>
          <w:lang w:val="en-AE"/>
        </w:rPr>
        <w:t>”</w:t>
      </w:r>
    </w:p>
    <w:p w14:paraId="5A7E6B24" w14:textId="6C4D3DD1" w:rsidR="000C4D52" w:rsidRPr="004C5D40" w:rsidRDefault="000C4D52" w:rsidP="004C5D40">
      <w:pPr>
        <w:pStyle w:val="quotename"/>
      </w:pPr>
      <w:r>
        <w:t>- Maria Libunao, Head of corporate services, ALTIOS MIDDLE EAST</w:t>
      </w:r>
    </w:p>
    <w:p w14:paraId="43C1D186" w14:textId="77777777" w:rsidR="00BB17CE" w:rsidRPr="00BB17CE" w:rsidRDefault="00BB17CE" w:rsidP="004C5D40">
      <w:pPr>
        <w:pStyle w:val="Heading3"/>
      </w:pPr>
      <w:r w:rsidRPr="00BB17CE">
        <w:t>Developing the right relationships</w:t>
      </w:r>
    </w:p>
    <w:p w14:paraId="0270D8D9" w14:textId="5603817A" w:rsidR="00533277" w:rsidRPr="00533277" w:rsidRDefault="00533277" w:rsidP="00224978">
      <w:r w:rsidRPr="00533277">
        <w:t>The Mining Show is the most directly relevant event</w:t>
      </w:r>
      <w:r w:rsidR="002B646D">
        <w:t xml:space="preserve"> for mining equipment and supply, typically taking place each November in Dubai</w:t>
      </w:r>
      <w:r w:rsidRPr="00533277">
        <w:t>. It is useful for testing regional demand, meeting distributors and engaging mining companies, contractors and government representatives.</w:t>
      </w:r>
      <w:r w:rsidRPr="00CE6EE6">
        <w:rPr>
          <w:vertAlign w:val="superscript"/>
        </w:rPr>
        <w:t>[</w:t>
      </w:r>
      <w:r w:rsidR="006B5393" w:rsidRPr="00CE6EE6">
        <w:rPr>
          <w:vertAlign w:val="superscript"/>
        </w:rPr>
        <w:t>28</w:t>
      </w:r>
      <w:r w:rsidRPr="00CE6EE6">
        <w:rPr>
          <w:vertAlign w:val="superscript"/>
        </w:rPr>
        <w:t>]</w:t>
      </w:r>
    </w:p>
    <w:p w14:paraId="248A2947" w14:textId="2DF5CA6A" w:rsidR="001D7226" w:rsidRDefault="00533277" w:rsidP="00224978">
      <w:r w:rsidRPr="00533277">
        <w:t xml:space="preserve">Australian companies </w:t>
      </w:r>
      <w:r w:rsidR="00CE44A8">
        <w:t xml:space="preserve">should also </w:t>
      </w:r>
      <w:r w:rsidR="00551A65">
        <w:t>leverage the presence of</w:t>
      </w:r>
      <w:r w:rsidRPr="00533277">
        <w:t xml:space="preserve"> </w:t>
      </w:r>
      <w:r w:rsidR="00E26DBB" w:rsidRPr="00E26DBB">
        <w:t xml:space="preserve">Austrade’s Dubai and Abu Dhabi offices, the Australian Business Council Dubai and the Australia–UAE Business Council </w:t>
      </w:r>
      <w:r w:rsidRPr="00533277">
        <w:t xml:space="preserve">to build market understanding and identify credible contacts. </w:t>
      </w:r>
      <w:r w:rsidR="00DE0E9C" w:rsidRPr="00CE6EE6">
        <w:rPr>
          <w:vertAlign w:val="superscript"/>
        </w:rPr>
        <w:t>[</w:t>
      </w:r>
      <w:r w:rsidRPr="00CE6EE6">
        <w:rPr>
          <w:vertAlign w:val="superscript"/>
        </w:rPr>
        <w:t>1</w:t>
      </w:r>
      <w:r w:rsidR="006B5393" w:rsidRPr="00CE6EE6">
        <w:rPr>
          <w:vertAlign w:val="superscript"/>
        </w:rPr>
        <w:t>1</w:t>
      </w:r>
      <w:r w:rsidRPr="00CE6EE6">
        <w:rPr>
          <w:vertAlign w:val="superscript"/>
        </w:rPr>
        <w:t>][</w:t>
      </w:r>
      <w:r w:rsidR="006B5393" w:rsidRPr="00CE6EE6">
        <w:rPr>
          <w:vertAlign w:val="superscript"/>
        </w:rPr>
        <w:t>29</w:t>
      </w:r>
      <w:r w:rsidRPr="00CE6EE6">
        <w:rPr>
          <w:vertAlign w:val="superscript"/>
        </w:rPr>
        <w:t>][3</w:t>
      </w:r>
      <w:r w:rsidR="006B5393" w:rsidRPr="00CE6EE6">
        <w:rPr>
          <w:vertAlign w:val="superscript"/>
        </w:rPr>
        <w:t>0</w:t>
      </w:r>
      <w:r w:rsidRPr="00CE6EE6">
        <w:rPr>
          <w:vertAlign w:val="superscript"/>
        </w:rPr>
        <w:t>][3</w:t>
      </w:r>
      <w:r w:rsidR="006B5393" w:rsidRPr="00CE6EE6">
        <w:rPr>
          <w:vertAlign w:val="superscript"/>
        </w:rPr>
        <w:t>1</w:t>
      </w:r>
      <w:r w:rsidRPr="00CE6EE6">
        <w:rPr>
          <w:vertAlign w:val="superscript"/>
        </w:rPr>
        <w:t>]</w:t>
      </w:r>
    </w:p>
    <w:p w14:paraId="54552F9B" w14:textId="77777777" w:rsidR="00533277" w:rsidRPr="00BB17CE" w:rsidRDefault="00533277" w:rsidP="00533277">
      <w:pPr>
        <w:rPr>
          <w:rFonts w:asciiTheme="majorHAnsi" w:hAnsiTheme="majorHAnsi" w:cstheme="majorHAnsi"/>
          <w:szCs w:val="20"/>
        </w:rPr>
      </w:pPr>
    </w:p>
    <w:p w14:paraId="0F412AA1" w14:textId="77777777" w:rsidR="00BB17CE" w:rsidRPr="00D34811" w:rsidRDefault="00BB17CE" w:rsidP="00BB17CE">
      <w:pPr>
        <w:rPr>
          <w:i/>
          <w:color w:val="666666"/>
          <w:sz w:val="16"/>
        </w:rPr>
      </w:pPr>
    </w:p>
    <w:p w14:paraId="5F19864A" w14:textId="77777777" w:rsidR="00EA6308" w:rsidRPr="00E91368" w:rsidRDefault="00EA6308" w:rsidP="00EA6308">
      <w:pPr>
        <w:rPr>
          <w:rFonts w:asciiTheme="majorHAnsi" w:hAnsiTheme="majorHAnsi" w:cstheme="majorHAnsi"/>
          <w:szCs w:val="20"/>
        </w:rPr>
      </w:pPr>
    </w:p>
    <w:p w14:paraId="0B93F05D" w14:textId="6DAAB63F" w:rsidR="00B526B1" w:rsidRDefault="00B526B1">
      <w:pPr>
        <w:spacing w:after="200" w:line="276" w:lineRule="auto"/>
        <w:rPr>
          <w:rFonts w:asciiTheme="majorHAnsi" w:eastAsiaTheme="majorEastAsia" w:hAnsiTheme="majorHAnsi" w:cstheme="majorHAnsi"/>
          <w:b/>
          <w:bCs/>
          <w:color w:val="1F4E79"/>
          <w:szCs w:val="20"/>
        </w:rPr>
      </w:pPr>
      <w:r>
        <w:rPr>
          <w:rFonts w:cstheme="majorHAnsi"/>
          <w:szCs w:val="20"/>
        </w:rPr>
        <w:br w:type="page"/>
      </w:r>
    </w:p>
    <w:p w14:paraId="7F5E7AC3" w14:textId="462EC6F8" w:rsidR="00EA6308" w:rsidRPr="00D51F1A" w:rsidRDefault="00EA6308" w:rsidP="00D51F1A">
      <w:pPr>
        <w:pStyle w:val="Heading1"/>
      </w:pPr>
      <w:r w:rsidRPr="00D51F1A">
        <w:lastRenderedPageBreak/>
        <w:t>Morocco</w:t>
      </w:r>
    </w:p>
    <w:p w14:paraId="66987C81" w14:textId="419D1F11" w:rsidR="003B6039" w:rsidRPr="00FC1B2B" w:rsidRDefault="003B6039" w:rsidP="00224978">
      <w:pPr>
        <w:rPr>
          <w:b/>
          <w:bCs/>
          <w:i/>
          <w:iCs/>
        </w:rPr>
      </w:pPr>
      <w:r w:rsidRPr="00FC1B2B">
        <w:rPr>
          <w:b/>
          <w:bCs/>
          <w:i/>
          <w:iCs/>
        </w:rPr>
        <w:t xml:space="preserve">A </w:t>
      </w:r>
      <w:r w:rsidR="00DE63AE" w:rsidRPr="00FC1B2B">
        <w:rPr>
          <w:b/>
          <w:bCs/>
          <w:i/>
          <w:iCs/>
        </w:rPr>
        <w:t>phosphate mining giant</w:t>
      </w:r>
      <w:r w:rsidRPr="00FC1B2B">
        <w:rPr>
          <w:b/>
          <w:bCs/>
          <w:i/>
          <w:iCs/>
        </w:rPr>
        <w:t xml:space="preserve"> </w:t>
      </w:r>
      <w:r w:rsidR="00FC212D" w:rsidRPr="00FC1B2B">
        <w:rPr>
          <w:b/>
          <w:bCs/>
          <w:i/>
          <w:iCs/>
        </w:rPr>
        <w:t>diversifying for long-term growth</w:t>
      </w:r>
    </w:p>
    <w:p w14:paraId="7E75A665" w14:textId="1BC01A22" w:rsidR="00FB5DB3" w:rsidRDefault="00FB5DB3" w:rsidP="00224978">
      <w:r w:rsidRPr="00FB5DB3">
        <w:t xml:space="preserve">Morocco </w:t>
      </w:r>
      <w:r w:rsidR="00A644FA">
        <w:t>occupies</w:t>
      </w:r>
      <w:r w:rsidRPr="00FB5DB3">
        <w:t xml:space="preserve"> a highly strategic position in the global food security landscape, holding an estimated 70% of the world's known phosphate reserves</w:t>
      </w:r>
      <w:r>
        <w:t xml:space="preserve">, </w:t>
      </w:r>
      <w:r w:rsidRPr="00FB5DB3">
        <w:t xml:space="preserve">the essential building block for fertiliser production </w:t>
      </w:r>
      <w:r w:rsidR="002954D0">
        <w:t>to feed</w:t>
      </w:r>
      <w:r w:rsidRPr="00FB5DB3">
        <w:t xml:space="preserve"> a growing planet. Morocco ranks second </w:t>
      </w:r>
      <w:r w:rsidR="007A0393">
        <w:t>in global phosphate rock production</w:t>
      </w:r>
      <w:r w:rsidRPr="00FB5DB3">
        <w:t xml:space="preserve"> behind China, </w:t>
      </w:r>
      <w:r w:rsidR="007A0393">
        <w:t>with an output of</w:t>
      </w:r>
      <w:r w:rsidRPr="00FB5DB3">
        <w:t xml:space="preserve"> </w:t>
      </w:r>
      <w:r w:rsidR="00BD35C8" w:rsidRPr="00BD35C8">
        <w:t xml:space="preserve">36 million tonnes </w:t>
      </w:r>
      <w:r w:rsidRPr="00FB5DB3">
        <w:t>in 2025</w:t>
      </w:r>
      <w:r>
        <w:t>.</w:t>
      </w:r>
      <w:r w:rsidR="006D2DD7" w:rsidRPr="00CE6EE6">
        <w:rPr>
          <w:vertAlign w:val="superscript"/>
        </w:rPr>
        <w:t>[1]</w:t>
      </w:r>
    </w:p>
    <w:p w14:paraId="587F8530" w14:textId="406D1688" w:rsidR="00FA2BAE" w:rsidRDefault="00FA2BAE" w:rsidP="00224978">
      <w:r w:rsidRPr="00FA2BAE">
        <w:t xml:space="preserve">The state-owned OCP Group has led the development of </w:t>
      </w:r>
      <w:r w:rsidR="000503A7">
        <w:t>phosphate</w:t>
      </w:r>
      <w:r w:rsidRPr="00FA2BAE">
        <w:t xml:space="preserve"> reserves since 1920 and has driven substantial investment in downstream industries, producing 12 million tonnes of fertiliser in 2024 with an expansion target of 20 million tonnes annually by 2027. With global demand for fertiliser expected to grow steadily over the next decade, Morocco’s scale and longevity of reserves position the country as critical to food security and global agricultural supply chains for decades to come.</w:t>
      </w:r>
      <w:r w:rsidRPr="00CE6EE6">
        <w:rPr>
          <w:vertAlign w:val="superscript"/>
        </w:rPr>
        <w:t>[2][3]</w:t>
      </w:r>
    </w:p>
    <w:p w14:paraId="42BACB27" w14:textId="098BCF4D" w:rsidR="00D6420A" w:rsidRDefault="00577B68" w:rsidP="00224978">
      <w:r w:rsidRPr="00577B68">
        <w:t>However, Morocco’s mining ambitions extend beyond phosphate. The Ministry of Energy Transition and Sustainable Development is implementing the Morocco Mining Plan 2021–2030 to diversify mineral production, increase non-phosphate exploration and support sustainable economic development. In May 2026, the Ministry launched a public competition covering 361 exploration blocks across approximately 13,000 km², supported by a digital mining cadastre to attract further mineral exploration investment.</w:t>
      </w:r>
      <w:r w:rsidR="00D6420A" w:rsidRPr="00CE6EE6">
        <w:rPr>
          <w:vertAlign w:val="superscript"/>
        </w:rPr>
        <w:t>[1</w:t>
      </w:r>
      <w:r w:rsidR="008E74A6" w:rsidRPr="00CE6EE6">
        <w:rPr>
          <w:vertAlign w:val="superscript"/>
        </w:rPr>
        <w:t>4</w:t>
      </w:r>
      <w:r w:rsidR="00D6420A" w:rsidRPr="00CE6EE6">
        <w:rPr>
          <w:vertAlign w:val="superscript"/>
        </w:rPr>
        <w:t>]</w:t>
      </w:r>
    </w:p>
    <w:p w14:paraId="1F550A9D" w14:textId="623A45AC" w:rsidR="00D32370" w:rsidRPr="00FB5DB3" w:rsidRDefault="00D65EFB" w:rsidP="00224978">
      <w:r>
        <w:t xml:space="preserve">Morocco is also </w:t>
      </w:r>
      <w:r w:rsidR="00413626">
        <w:t>seeking to leverage mineral endowment for downstream processing industries. This is</w:t>
      </w:r>
      <w:r w:rsidR="002E4934">
        <w:t xml:space="preserve"> evidenced by </w:t>
      </w:r>
      <w:r w:rsidR="00C9355C" w:rsidRPr="00C9355C">
        <w:t xml:space="preserve">the African Development Bank Group </w:t>
      </w:r>
      <w:r w:rsidR="00A346A0">
        <w:t>recent approval of</w:t>
      </w:r>
      <w:r w:rsidR="00C9355C" w:rsidRPr="00C9355C">
        <w:t xml:space="preserve"> a €100 million</w:t>
      </w:r>
      <w:r w:rsidR="008F30F8">
        <w:t xml:space="preserve"> </w:t>
      </w:r>
      <w:r w:rsidR="008F30F8" w:rsidRPr="008F30F8">
        <w:t>loan to Gotion Power Morocco to finance the development of an integrated cathode-to-cell lithium iron phosphate battery gigafactory in the Rabat-Salé-Kénitra Free Trade Zone.</w:t>
      </w:r>
      <w:r w:rsidR="00D80CCD" w:rsidRPr="00CE6EE6">
        <w:rPr>
          <w:vertAlign w:val="superscript"/>
        </w:rPr>
        <w:t>[5]</w:t>
      </w:r>
    </w:p>
    <w:p w14:paraId="132BCB82" w14:textId="5190AA5C" w:rsidR="00FB5DB3" w:rsidRPr="00FB5DB3" w:rsidRDefault="00FB5DB3" w:rsidP="00224978">
      <w:r w:rsidRPr="00FB5DB3">
        <w:t xml:space="preserve">While the bulk of immediate </w:t>
      </w:r>
      <w:r w:rsidR="00B53A95">
        <w:t xml:space="preserve">METS </w:t>
      </w:r>
      <w:r w:rsidRPr="00FB5DB3">
        <w:t>opportunities for base and precious metals centres on supporting exploration</w:t>
      </w:r>
      <w:r w:rsidR="0055304E">
        <w:t xml:space="preserve">, </w:t>
      </w:r>
      <w:r w:rsidRPr="00FB5DB3">
        <w:t>geological surveying</w:t>
      </w:r>
      <w:r w:rsidR="0055304E">
        <w:t xml:space="preserve"> studies and front-end engineering design</w:t>
      </w:r>
      <w:r w:rsidRPr="00FB5DB3">
        <w:t>, a small number of strategic mining and industrial accounts are operating across copper, cobalt, gold and silver</w:t>
      </w:r>
      <w:r w:rsidR="00AD42FC">
        <w:t>. This is</w:t>
      </w:r>
      <w:r w:rsidRPr="00FB5DB3">
        <w:t xml:space="preserve"> led by Managem, Morocco's main diversified mining organisation</w:t>
      </w:r>
      <w:r w:rsidR="00923911">
        <w:t xml:space="preserve"> with several operating units across the country</w:t>
      </w:r>
      <w:r w:rsidR="00395650">
        <w:t>, and growing activity from Aya Gold &amp; Silver</w:t>
      </w:r>
      <w:r w:rsidR="004567C4">
        <w:t xml:space="preserve">. </w:t>
      </w:r>
      <w:r w:rsidR="00923911">
        <w:t xml:space="preserve"> </w:t>
      </w:r>
    </w:p>
    <w:p w14:paraId="25590D59" w14:textId="4D1BAAA9" w:rsidR="00D30981" w:rsidRDefault="00D30981" w:rsidP="00E33CDF">
      <w:pPr>
        <w:rPr>
          <w:b/>
          <w:bCs/>
        </w:rPr>
      </w:pPr>
      <w:r w:rsidRPr="00D30981">
        <w:t>Australian METS companies can access a broad range of opportunities through targeted engagement across the phosphate, metals and exploration sectors. OCP has ambitious plans to expand mining and processing infrastructure while reducing the water and energy intensity of operations. Established and developing metal</w:t>
      </w:r>
      <w:r w:rsidR="00D10C04">
        <w:t>s</w:t>
      </w:r>
      <w:r w:rsidRPr="00D30981">
        <w:t xml:space="preserve"> mines are demonstrating a growing appetite for productivity-enhancing technologies, while significant investment from Canadian-listed mining companies is bringing international best</w:t>
      </w:r>
      <w:r w:rsidR="00707DD5">
        <w:t xml:space="preserve"> </w:t>
      </w:r>
      <w:r w:rsidRPr="00D30981">
        <w:t>practice</w:t>
      </w:r>
      <w:r w:rsidR="007C4229">
        <w:t>s</w:t>
      </w:r>
      <w:r w:rsidRPr="00D30981">
        <w:t xml:space="preserve"> and technologies to the market.</w:t>
      </w:r>
    </w:p>
    <w:p w14:paraId="57BF5E01" w14:textId="07EF4E22" w:rsidR="00EA6308" w:rsidRPr="002C3C2E" w:rsidRDefault="00EA6308" w:rsidP="002C3C2E">
      <w:pPr>
        <w:pStyle w:val="Heading3"/>
      </w:pPr>
      <w:r w:rsidRPr="00D51F1A">
        <w:t>Market at a glance</w:t>
      </w:r>
    </w:p>
    <w:tbl>
      <w:tblPr>
        <w:tblStyle w:val="TableGrid"/>
        <w:tblW w:w="0" w:type="auto"/>
        <w:tblCellMar>
          <w:top w:w="57" w:type="dxa"/>
          <w:bottom w:w="57" w:type="dxa"/>
        </w:tblCellMar>
        <w:tblLook w:val="04A0" w:firstRow="1" w:lastRow="0" w:firstColumn="1" w:lastColumn="0" w:noHBand="0" w:noVBand="1"/>
      </w:tblPr>
      <w:tblGrid>
        <w:gridCol w:w="3026"/>
        <w:gridCol w:w="7044"/>
      </w:tblGrid>
      <w:tr w:rsidR="002366DF" w:rsidRPr="00E91368" w14:paraId="1CAA4CC5" w14:textId="77777777" w:rsidTr="002366DF">
        <w:tc>
          <w:tcPr>
            <w:tcW w:w="10070" w:type="dxa"/>
            <w:gridSpan w:val="2"/>
            <w:shd w:val="clear" w:color="auto" w:fill="173F34" w:themeFill="accent1"/>
            <w:vAlign w:val="center"/>
            <w:hideMark/>
          </w:tcPr>
          <w:p w14:paraId="2D93DDA2" w14:textId="72FA7B33" w:rsidR="002366DF" w:rsidRPr="00224978" w:rsidRDefault="002366DF" w:rsidP="002366DF">
            <w:pPr>
              <w:rPr>
                <w:sz w:val="16"/>
                <w:szCs w:val="18"/>
              </w:rPr>
            </w:pPr>
            <w:r w:rsidRPr="00224978">
              <w:rPr>
                <w:b/>
                <w:bCs/>
                <w:sz w:val="16"/>
                <w:szCs w:val="18"/>
              </w:rPr>
              <w:t>Morocco snapshot</w:t>
            </w:r>
          </w:p>
        </w:tc>
      </w:tr>
      <w:tr w:rsidR="00E73E65" w:rsidRPr="00E91368" w14:paraId="4E054EC8" w14:textId="77777777" w:rsidTr="00FC1B2B">
        <w:tc>
          <w:tcPr>
            <w:tcW w:w="3026" w:type="dxa"/>
            <w:hideMark/>
          </w:tcPr>
          <w:p w14:paraId="401612C5" w14:textId="77777777" w:rsidR="00E73E65" w:rsidRPr="00224978" w:rsidRDefault="00E73E65" w:rsidP="00224978">
            <w:pPr>
              <w:rPr>
                <w:sz w:val="16"/>
                <w:szCs w:val="18"/>
              </w:rPr>
            </w:pPr>
            <w:r w:rsidRPr="00224978">
              <w:rPr>
                <w:sz w:val="16"/>
                <w:szCs w:val="18"/>
              </w:rPr>
              <w:t>Market role</w:t>
            </w:r>
          </w:p>
        </w:tc>
        <w:tc>
          <w:tcPr>
            <w:tcW w:w="7044" w:type="dxa"/>
            <w:hideMark/>
          </w:tcPr>
          <w:p w14:paraId="29DAE80F" w14:textId="51A6DD38" w:rsidR="00E73E65" w:rsidRPr="00224978" w:rsidRDefault="005B63C8" w:rsidP="00224978">
            <w:pPr>
              <w:rPr>
                <w:sz w:val="16"/>
                <w:szCs w:val="18"/>
              </w:rPr>
            </w:pPr>
            <w:r w:rsidRPr="00224978">
              <w:rPr>
                <w:sz w:val="16"/>
                <w:szCs w:val="18"/>
              </w:rPr>
              <w:t xml:space="preserve">Established phosphate and </w:t>
            </w:r>
            <w:r w:rsidR="00F754F3" w:rsidRPr="00224978">
              <w:rPr>
                <w:sz w:val="16"/>
                <w:szCs w:val="18"/>
              </w:rPr>
              <w:t xml:space="preserve">select </w:t>
            </w:r>
            <w:r w:rsidRPr="00224978">
              <w:rPr>
                <w:sz w:val="16"/>
                <w:szCs w:val="18"/>
              </w:rPr>
              <w:t>metals operations with further project development.</w:t>
            </w:r>
          </w:p>
        </w:tc>
      </w:tr>
      <w:tr w:rsidR="00E73E65" w:rsidRPr="00E91368" w14:paraId="6BD24252" w14:textId="77777777" w:rsidTr="00FC1B2B">
        <w:tc>
          <w:tcPr>
            <w:tcW w:w="3026" w:type="dxa"/>
          </w:tcPr>
          <w:p w14:paraId="55EDB5F8" w14:textId="12A9FB2B" w:rsidR="00E73E65" w:rsidRPr="00224978" w:rsidRDefault="00E73E65" w:rsidP="00224978">
            <w:pPr>
              <w:rPr>
                <w:sz w:val="16"/>
                <w:szCs w:val="18"/>
              </w:rPr>
            </w:pPr>
            <w:r w:rsidRPr="00224978">
              <w:rPr>
                <w:sz w:val="16"/>
                <w:szCs w:val="18"/>
              </w:rPr>
              <w:t xml:space="preserve">Principal </w:t>
            </w:r>
            <w:r w:rsidR="004C55AB" w:rsidRPr="00224978">
              <w:rPr>
                <w:sz w:val="16"/>
                <w:szCs w:val="18"/>
              </w:rPr>
              <w:t>activity</w:t>
            </w:r>
          </w:p>
        </w:tc>
        <w:tc>
          <w:tcPr>
            <w:tcW w:w="7044" w:type="dxa"/>
          </w:tcPr>
          <w:p w14:paraId="1B6AD0A0" w14:textId="77777777" w:rsidR="00E73E65" w:rsidRPr="00224978" w:rsidRDefault="00E73E65" w:rsidP="00224978">
            <w:pPr>
              <w:rPr>
                <w:sz w:val="16"/>
                <w:szCs w:val="18"/>
              </w:rPr>
            </w:pPr>
            <w:r w:rsidRPr="00224978">
              <w:rPr>
                <w:sz w:val="16"/>
                <w:szCs w:val="18"/>
              </w:rPr>
              <w:t>Phosphate, copper, silver, gold, cobalt, zinc and selected industrial minerals</w:t>
            </w:r>
          </w:p>
        </w:tc>
      </w:tr>
      <w:tr w:rsidR="00E73E65" w:rsidRPr="00E91368" w14:paraId="7F215C53" w14:textId="77777777" w:rsidTr="00FC1B2B">
        <w:tc>
          <w:tcPr>
            <w:tcW w:w="3026" w:type="dxa"/>
            <w:hideMark/>
          </w:tcPr>
          <w:p w14:paraId="7C472677" w14:textId="77777777" w:rsidR="00E73E65" w:rsidRPr="00224978" w:rsidRDefault="00E73E65" w:rsidP="00224978">
            <w:pPr>
              <w:rPr>
                <w:sz w:val="16"/>
                <w:szCs w:val="18"/>
              </w:rPr>
            </w:pPr>
            <w:r w:rsidRPr="00224978">
              <w:rPr>
                <w:sz w:val="16"/>
                <w:szCs w:val="18"/>
              </w:rPr>
              <w:t>Strongest METS alignment</w:t>
            </w:r>
          </w:p>
        </w:tc>
        <w:tc>
          <w:tcPr>
            <w:tcW w:w="7044" w:type="dxa"/>
            <w:hideMark/>
          </w:tcPr>
          <w:p w14:paraId="05022F13" w14:textId="77777777" w:rsidR="00E73E65" w:rsidRPr="00224978" w:rsidRDefault="00AF5BAF" w:rsidP="00224978">
            <w:pPr>
              <w:rPr>
                <w:sz w:val="16"/>
                <w:szCs w:val="18"/>
              </w:rPr>
            </w:pPr>
            <w:r w:rsidRPr="00224978">
              <w:rPr>
                <w:sz w:val="16"/>
                <w:szCs w:val="18"/>
              </w:rPr>
              <w:t xml:space="preserve">Current: </w:t>
            </w:r>
            <w:r w:rsidR="00E73E65" w:rsidRPr="00224978">
              <w:rPr>
                <w:sz w:val="16"/>
                <w:szCs w:val="18"/>
              </w:rPr>
              <w:t>Water</w:t>
            </w:r>
            <w:r w:rsidR="00DA730B" w:rsidRPr="00224978">
              <w:rPr>
                <w:sz w:val="16"/>
                <w:szCs w:val="18"/>
              </w:rPr>
              <w:t xml:space="preserve"> management</w:t>
            </w:r>
            <w:r w:rsidR="00E73E65" w:rsidRPr="00224978">
              <w:rPr>
                <w:sz w:val="16"/>
                <w:szCs w:val="18"/>
              </w:rPr>
              <w:t xml:space="preserve">, desalination, </w:t>
            </w:r>
            <w:r w:rsidR="008447B5" w:rsidRPr="00224978">
              <w:rPr>
                <w:sz w:val="16"/>
                <w:szCs w:val="18"/>
              </w:rPr>
              <w:t xml:space="preserve">specialised </w:t>
            </w:r>
            <w:r w:rsidR="00E73E65" w:rsidRPr="00224978">
              <w:rPr>
                <w:sz w:val="16"/>
                <w:szCs w:val="18"/>
              </w:rPr>
              <w:t xml:space="preserve">processing, energy </w:t>
            </w:r>
            <w:r w:rsidR="008447B5" w:rsidRPr="00224978">
              <w:rPr>
                <w:sz w:val="16"/>
                <w:szCs w:val="18"/>
              </w:rPr>
              <w:t xml:space="preserve">infrastructure and </w:t>
            </w:r>
            <w:r w:rsidR="00E73E65" w:rsidRPr="00224978">
              <w:rPr>
                <w:sz w:val="16"/>
                <w:szCs w:val="18"/>
              </w:rPr>
              <w:t xml:space="preserve">efficiency, maintenance, materials handling, </w:t>
            </w:r>
            <w:r w:rsidR="00FA4F2C" w:rsidRPr="00224978">
              <w:rPr>
                <w:sz w:val="16"/>
                <w:szCs w:val="18"/>
              </w:rPr>
              <w:t>waste management, environmental performance</w:t>
            </w:r>
            <w:r w:rsidRPr="00224978">
              <w:rPr>
                <w:sz w:val="16"/>
                <w:szCs w:val="18"/>
              </w:rPr>
              <w:t xml:space="preserve">. </w:t>
            </w:r>
          </w:p>
          <w:p w14:paraId="509BABF9" w14:textId="354AA50F" w:rsidR="00AF5BAF" w:rsidRPr="00224978" w:rsidRDefault="00AF5BAF" w:rsidP="00224978">
            <w:pPr>
              <w:rPr>
                <w:sz w:val="16"/>
                <w:szCs w:val="18"/>
              </w:rPr>
            </w:pPr>
            <w:r w:rsidRPr="00224978">
              <w:rPr>
                <w:sz w:val="16"/>
                <w:szCs w:val="18"/>
              </w:rPr>
              <w:t xml:space="preserve">Emerging: </w:t>
            </w:r>
            <w:r w:rsidR="008A1826" w:rsidRPr="00224978">
              <w:rPr>
                <w:sz w:val="16"/>
                <w:szCs w:val="18"/>
              </w:rPr>
              <w:t>Exploration, geoscience</w:t>
            </w:r>
            <w:r w:rsidR="002327AB" w:rsidRPr="00224978">
              <w:rPr>
                <w:sz w:val="16"/>
                <w:szCs w:val="18"/>
              </w:rPr>
              <w:t xml:space="preserve">, drilling, </w:t>
            </w:r>
            <w:r w:rsidR="002129D3" w:rsidRPr="00224978">
              <w:rPr>
                <w:sz w:val="16"/>
                <w:szCs w:val="18"/>
              </w:rPr>
              <w:t>mine</w:t>
            </w:r>
            <w:r w:rsidR="009326F6" w:rsidRPr="00224978">
              <w:rPr>
                <w:sz w:val="16"/>
                <w:szCs w:val="18"/>
              </w:rPr>
              <w:t xml:space="preserve"> design and</w:t>
            </w:r>
            <w:r w:rsidR="002129D3" w:rsidRPr="00224978">
              <w:rPr>
                <w:sz w:val="16"/>
                <w:szCs w:val="18"/>
              </w:rPr>
              <w:t xml:space="preserve"> development, </w:t>
            </w:r>
            <w:r w:rsidR="00C75FAA" w:rsidRPr="00224978">
              <w:rPr>
                <w:sz w:val="16"/>
                <w:szCs w:val="18"/>
              </w:rPr>
              <w:t xml:space="preserve">metallurgy and mineralogy, feasibility studies, process flow </w:t>
            </w:r>
            <w:r w:rsidR="00283447" w:rsidRPr="00224978">
              <w:rPr>
                <w:sz w:val="16"/>
                <w:szCs w:val="18"/>
              </w:rPr>
              <w:t xml:space="preserve">modelling. </w:t>
            </w:r>
            <w:r w:rsidR="00CE6BAA" w:rsidRPr="00224978">
              <w:rPr>
                <w:sz w:val="16"/>
                <w:szCs w:val="18"/>
              </w:rPr>
              <w:t xml:space="preserve"> </w:t>
            </w:r>
          </w:p>
        </w:tc>
      </w:tr>
      <w:tr w:rsidR="00E73E65" w:rsidRPr="00E91368" w14:paraId="64B397E6" w14:textId="77777777" w:rsidTr="00FC1B2B">
        <w:tc>
          <w:tcPr>
            <w:tcW w:w="3026" w:type="dxa"/>
            <w:hideMark/>
          </w:tcPr>
          <w:p w14:paraId="52146978" w14:textId="77777777" w:rsidR="00E73E65" w:rsidRPr="00224978" w:rsidRDefault="00BA003B" w:rsidP="00224978">
            <w:pPr>
              <w:rPr>
                <w:sz w:val="16"/>
                <w:szCs w:val="18"/>
              </w:rPr>
            </w:pPr>
            <w:r w:rsidRPr="00224978">
              <w:rPr>
                <w:sz w:val="16"/>
                <w:szCs w:val="18"/>
              </w:rPr>
              <w:lastRenderedPageBreak/>
              <w:t>Typical access pathway</w:t>
            </w:r>
          </w:p>
        </w:tc>
        <w:tc>
          <w:tcPr>
            <w:tcW w:w="7044" w:type="dxa"/>
            <w:hideMark/>
          </w:tcPr>
          <w:p w14:paraId="741F0299" w14:textId="28A22EB6" w:rsidR="00E73E65" w:rsidRPr="00224978" w:rsidRDefault="00144921" w:rsidP="00224978">
            <w:pPr>
              <w:rPr>
                <w:sz w:val="16"/>
                <w:szCs w:val="18"/>
              </w:rPr>
            </w:pPr>
            <w:r w:rsidRPr="00224978">
              <w:rPr>
                <w:sz w:val="16"/>
                <w:szCs w:val="18"/>
              </w:rPr>
              <w:t>Direct engagement with the OCP</w:t>
            </w:r>
            <w:r w:rsidR="00902E8B" w:rsidRPr="00224978">
              <w:rPr>
                <w:sz w:val="16"/>
                <w:szCs w:val="18"/>
              </w:rPr>
              <w:t xml:space="preserve"> or private operator</w:t>
            </w:r>
            <w:r w:rsidRPr="00224978">
              <w:rPr>
                <w:sz w:val="16"/>
                <w:szCs w:val="18"/>
              </w:rPr>
              <w:t xml:space="preserve"> business unit, or through project and engineering partners </w:t>
            </w:r>
            <w:r w:rsidR="001B0CC6" w:rsidRPr="00224978">
              <w:rPr>
                <w:sz w:val="16"/>
                <w:szCs w:val="18"/>
              </w:rPr>
              <w:t>such as Worley/JESA</w:t>
            </w:r>
            <w:r w:rsidR="000168C2" w:rsidRPr="00224978">
              <w:rPr>
                <w:sz w:val="16"/>
                <w:szCs w:val="18"/>
              </w:rPr>
              <w:t>.</w:t>
            </w:r>
          </w:p>
        </w:tc>
      </w:tr>
      <w:tr w:rsidR="00E73E65" w:rsidRPr="00E91368" w14:paraId="1283896F" w14:textId="77777777" w:rsidTr="00FC1B2B">
        <w:tc>
          <w:tcPr>
            <w:tcW w:w="3026" w:type="dxa"/>
            <w:hideMark/>
          </w:tcPr>
          <w:p w14:paraId="58D7372F" w14:textId="5D091943" w:rsidR="00E73E65" w:rsidRPr="00224978" w:rsidRDefault="00BA003B" w:rsidP="00224978">
            <w:pPr>
              <w:rPr>
                <w:sz w:val="16"/>
                <w:szCs w:val="18"/>
              </w:rPr>
            </w:pPr>
            <w:r w:rsidRPr="00224978">
              <w:rPr>
                <w:sz w:val="16"/>
                <w:szCs w:val="18"/>
              </w:rPr>
              <w:t>Key commercial consideration</w:t>
            </w:r>
            <w:r w:rsidR="00557553" w:rsidRPr="00224978">
              <w:rPr>
                <w:sz w:val="16"/>
                <w:szCs w:val="18"/>
              </w:rPr>
              <w:t>s</w:t>
            </w:r>
          </w:p>
        </w:tc>
        <w:tc>
          <w:tcPr>
            <w:tcW w:w="7044" w:type="dxa"/>
            <w:hideMark/>
          </w:tcPr>
          <w:p w14:paraId="536CDDBD" w14:textId="6B13BDA5" w:rsidR="00E73E65" w:rsidRPr="00224978" w:rsidRDefault="00F41B76" w:rsidP="00224978">
            <w:pPr>
              <w:rPr>
                <w:sz w:val="16"/>
                <w:szCs w:val="18"/>
              </w:rPr>
            </w:pPr>
            <w:r w:rsidRPr="00224978">
              <w:rPr>
                <w:sz w:val="16"/>
                <w:szCs w:val="18"/>
              </w:rPr>
              <w:t xml:space="preserve">Purchasing is concentrated in a small number of major accounts, often with established suppliers and engineering partners. Identify the responsible business unit, French-language requirements, expected service response and suitable local support. Allow for extended negotiations and </w:t>
            </w:r>
            <w:r w:rsidR="00C647CE" w:rsidRPr="00224978">
              <w:rPr>
                <w:sz w:val="16"/>
                <w:szCs w:val="18"/>
              </w:rPr>
              <w:t>consider</w:t>
            </w:r>
            <w:r w:rsidRPr="00224978">
              <w:rPr>
                <w:sz w:val="16"/>
                <w:szCs w:val="18"/>
              </w:rPr>
              <w:t xml:space="preserve"> payment, currency, tax and import arrangements.</w:t>
            </w:r>
          </w:p>
        </w:tc>
      </w:tr>
    </w:tbl>
    <w:p w14:paraId="5B3C1EC5" w14:textId="77777777" w:rsidR="00EA6308" w:rsidRDefault="00EA6308" w:rsidP="00EA6308">
      <w:pPr>
        <w:pStyle w:val="Heading2"/>
        <w:rPr>
          <w:rFonts w:cstheme="majorHAnsi"/>
          <w:sz w:val="20"/>
          <w:szCs w:val="20"/>
        </w:rPr>
      </w:pPr>
    </w:p>
    <w:p w14:paraId="2F5D98B8" w14:textId="77777777" w:rsidR="00685BE2" w:rsidRDefault="00685BE2" w:rsidP="00EA6308">
      <w:pPr>
        <w:rPr>
          <w:rFonts w:asciiTheme="majorHAnsi" w:hAnsiTheme="majorHAnsi" w:cstheme="majorHAnsi"/>
          <w:szCs w:val="20"/>
        </w:rPr>
      </w:pPr>
    </w:p>
    <w:p w14:paraId="2C75554B" w14:textId="7D45B561" w:rsidR="00EA6308" w:rsidRDefault="00EA6308" w:rsidP="00EA6308">
      <w:pPr>
        <w:rPr>
          <w:rFonts w:asciiTheme="majorHAnsi" w:hAnsiTheme="majorHAnsi" w:cstheme="majorHAnsi"/>
          <w:szCs w:val="20"/>
        </w:rPr>
      </w:pPr>
      <w:r w:rsidRPr="00E91368">
        <w:rPr>
          <w:rFonts w:asciiTheme="majorHAnsi" w:hAnsiTheme="majorHAnsi" w:cstheme="majorHAnsi"/>
          <w:szCs w:val="20"/>
        </w:rPr>
        <w:br w:type="page"/>
      </w:r>
    </w:p>
    <w:p w14:paraId="502BDD85" w14:textId="3D4694B5" w:rsidR="009C14AA" w:rsidRDefault="009C14AA" w:rsidP="002C3C2E">
      <w:pPr>
        <w:pStyle w:val="Heading3"/>
      </w:pPr>
      <w:r>
        <w:lastRenderedPageBreak/>
        <w:t>Morocco Min</w:t>
      </w:r>
      <w:r w:rsidR="00E456C8">
        <w:t xml:space="preserve">es </w:t>
      </w:r>
      <w:r w:rsidR="00712984">
        <w:t>and</w:t>
      </w:r>
      <w:r w:rsidR="00E456C8">
        <w:t xml:space="preserve"> Processing Operations</w:t>
      </w:r>
      <w:r>
        <w:t xml:space="preserve"> </w:t>
      </w:r>
    </w:p>
    <w:p w14:paraId="5CCBA1AC" w14:textId="32890C3D" w:rsidR="00AB08AE" w:rsidRDefault="004E5674" w:rsidP="002F2721">
      <w:pPr>
        <w:rPr>
          <w:rFonts w:asciiTheme="majorHAnsi" w:hAnsiTheme="majorHAnsi" w:cstheme="majorHAnsi"/>
          <w:b/>
          <w:bCs/>
          <w:szCs w:val="20"/>
        </w:rPr>
      </w:pPr>
      <w:r>
        <w:rPr>
          <w:rFonts w:asciiTheme="majorHAnsi" w:hAnsiTheme="majorHAnsi" w:cstheme="majorHAnsi"/>
          <w:b/>
          <w:bCs/>
          <w:noProof/>
          <w:szCs w:val="20"/>
        </w:rPr>
        <w:drawing>
          <wp:inline distT="0" distB="0" distL="0" distR="0" wp14:anchorId="4E3AB228" wp14:editId="21CE67A5">
            <wp:extent cx="6393815" cy="4522470"/>
            <wp:effectExtent l="0" t="0" r="6985" b="0"/>
            <wp:docPr id="798288653" name="Picture 6" descr="Infographic for Morocco mining and processing operations. It displays an image of a processing plant pipes and another image of a map of Morocco with mine locations marked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288653" name="Picture 6" descr="Infographic for Morocco mining and processing operations. It displays an image of a processing plant pipes and another image of a map of Morocco with mine locations marked on i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93815" cy="4522470"/>
                    </a:xfrm>
                    <a:prstGeom prst="rect">
                      <a:avLst/>
                    </a:prstGeom>
                    <a:noFill/>
                    <a:ln>
                      <a:noFill/>
                    </a:ln>
                  </pic:spPr>
                </pic:pic>
              </a:graphicData>
            </a:graphic>
          </wp:inline>
        </w:drawing>
      </w:r>
    </w:p>
    <w:p w14:paraId="76F45037" w14:textId="77777777" w:rsidR="001D447C" w:rsidRDefault="001D447C" w:rsidP="002F2721">
      <w:pPr>
        <w:rPr>
          <w:rFonts w:asciiTheme="majorHAnsi" w:hAnsiTheme="majorHAnsi" w:cstheme="majorHAnsi"/>
          <w:b/>
          <w:bCs/>
          <w:szCs w:val="20"/>
        </w:rPr>
      </w:pPr>
    </w:p>
    <w:p w14:paraId="75EDC999" w14:textId="77777777" w:rsidR="00D866AB" w:rsidRDefault="00D866AB" w:rsidP="002C3C2E">
      <w:pPr>
        <w:pStyle w:val="Heading3"/>
      </w:pPr>
      <w:r w:rsidRPr="00D866AB">
        <w:t>Mining Activity and Implications for Australian METS</w:t>
      </w:r>
    </w:p>
    <w:p w14:paraId="757AA9BD" w14:textId="77777777" w:rsidR="0076729A" w:rsidRPr="004835C9" w:rsidRDefault="009209BD" w:rsidP="00224978">
      <w:r w:rsidRPr="004835C9">
        <w:t>Morocco has</w:t>
      </w:r>
      <w:r w:rsidR="00B327A6" w:rsidRPr="004835C9">
        <w:t xml:space="preserve"> two </w:t>
      </w:r>
      <w:r w:rsidRPr="004835C9">
        <w:t>distinct</w:t>
      </w:r>
      <w:r w:rsidR="00ED70EF" w:rsidRPr="004835C9">
        <w:t xml:space="preserve"> </w:t>
      </w:r>
      <w:r w:rsidR="00B327A6" w:rsidRPr="004835C9">
        <w:t xml:space="preserve">opportunity systems. </w:t>
      </w:r>
    </w:p>
    <w:p w14:paraId="23C8E977" w14:textId="314C52FB" w:rsidR="00FC343F" w:rsidRPr="004835C9" w:rsidRDefault="006F3094" w:rsidP="00224978">
      <w:r>
        <w:t xml:space="preserve">OCP’s </w:t>
      </w:r>
      <w:r w:rsidR="00B327A6" w:rsidRPr="004835C9">
        <w:t>phosphate value chain is concentrated around the Khouribga and Gantour mining basins and links to the processing and export complexes at Jorf Lasfar and Safi</w:t>
      </w:r>
      <w:r w:rsidR="00FC343F" w:rsidRPr="004835C9">
        <w:t>, with</w:t>
      </w:r>
      <w:r w:rsidR="0053361A" w:rsidRPr="004835C9">
        <w:t xml:space="preserve"> </w:t>
      </w:r>
      <w:r w:rsidR="00FC343F" w:rsidRPr="004835C9">
        <w:t>industrial activities spa</w:t>
      </w:r>
      <w:r w:rsidR="006A3AFB">
        <w:t>n</w:t>
      </w:r>
      <w:r w:rsidR="00FC343F" w:rsidRPr="004835C9">
        <w:t>n</w:t>
      </w:r>
      <w:r w:rsidR="006A3AFB">
        <w:t>ing</w:t>
      </w:r>
      <w:r w:rsidR="00FC343F" w:rsidRPr="004835C9">
        <w:t xml:space="preserve"> mining, beneficiation, chemical processing, fertiliser production, water and logistics.</w:t>
      </w:r>
      <w:r w:rsidR="00FE26BB" w:rsidRPr="00CE6EE6">
        <w:rPr>
          <w:vertAlign w:val="superscript"/>
        </w:rPr>
        <w:t>[6]</w:t>
      </w:r>
    </w:p>
    <w:p w14:paraId="094CA315" w14:textId="62902B35" w:rsidR="006F572D" w:rsidRPr="004835C9" w:rsidRDefault="00B327A6" w:rsidP="00224978">
      <w:r w:rsidRPr="004835C9">
        <w:t xml:space="preserve">Metals activity is more dispersed, with copper, cobalt, silver and polymetallic assets extending through the Atlas and Anti-Atlas regions and selected central and eastern districts. </w:t>
      </w:r>
      <w:r w:rsidR="009C10BC" w:rsidRPr="004835C9">
        <w:rPr>
          <w:szCs w:val="20"/>
        </w:rPr>
        <w:t>Managem</w:t>
      </w:r>
      <w:r w:rsidR="00E9779B">
        <w:rPr>
          <w:szCs w:val="20"/>
        </w:rPr>
        <w:t xml:space="preserve"> provides the primary opportunity in metals</w:t>
      </w:r>
      <w:r w:rsidR="00E931FB">
        <w:rPr>
          <w:szCs w:val="20"/>
        </w:rPr>
        <w:t xml:space="preserve"> and is </w:t>
      </w:r>
      <w:r w:rsidR="0006616E">
        <w:rPr>
          <w:szCs w:val="20"/>
        </w:rPr>
        <w:t>continuing to expand its footprint across the region</w:t>
      </w:r>
      <w:r w:rsidR="00CA3959">
        <w:rPr>
          <w:szCs w:val="20"/>
        </w:rPr>
        <w:t xml:space="preserve">, </w:t>
      </w:r>
      <w:r w:rsidR="00ED610A" w:rsidRPr="004835C9">
        <w:rPr>
          <w:szCs w:val="20"/>
        </w:rPr>
        <w:t>achieving record</w:t>
      </w:r>
      <w:r w:rsidR="00E24E7A" w:rsidRPr="004835C9">
        <w:rPr>
          <w:szCs w:val="20"/>
        </w:rPr>
        <w:t xml:space="preserve"> profits and production in 2025</w:t>
      </w:r>
      <w:r w:rsidR="0006616E">
        <w:rPr>
          <w:szCs w:val="20"/>
        </w:rPr>
        <w:t>.</w:t>
      </w:r>
      <w:r w:rsidR="007B0D1B">
        <w:rPr>
          <w:szCs w:val="20"/>
        </w:rPr>
        <w:t xml:space="preserve"> </w:t>
      </w:r>
      <w:r w:rsidR="000064E1" w:rsidRPr="000064E1">
        <w:rPr>
          <w:szCs w:val="20"/>
        </w:rPr>
        <w:t xml:space="preserve">Canadian-listed Aya Gold </w:t>
      </w:r>
      <w:r w:rsidR="00712984">
        <w:rPr>
          <w:szCs w:val="20"/>
        </w:rPr>
        <w:t>and</w:t>
      </w:r>
      <w:r w:rsidR="000064E1" w:rsidRPr="000064E1">
        <w:rPr>
          <w:szCs w:val="20"/>
        </w:rPr>
        <w:t xml:space="preserve"> Silver operates the Zgounder silver mine and is developing the Boumadine polymetallic project</w:t>
      </w:r>
      <w:r w:rsidR="00CF1C91">
        <w:rPr>
          <w:szCs w:val="20"/>
        </w:rPr>
        <w:t>.</w:t>
      </w:r>
      <w:r w:rsidR="00096AC7" w:rsidRPr="00CE6EE6">
        <w:rPr>
          <w:szCs w:val="20"/>
          <w:vertAlign w:val="superscript"/>
        </w:rPr>
        <w:t>[7]</w:t>
      </w:r>
    </w:p>
    <w:p w14:paraId="515525E1" w14:textId="7C5FC653" w:rsidR="00B327A6" w:rsidRDefault="00B327A6" w:rsidP="00224978">
      <w:r w:rsidRPr="004835C9">
        <w:t>For Australian METS companies, the strongest pathway is not broad market coverage but disciplined account selection</w:t>
      </w:r>
      <w:r w:rsidR="001A421D">
        <w:t xml:space="preserve"> aligned with development </w:t>
      </w:r>
      <w:r w:rsidR="00F65099">
        <w:t>need</w:t>
      </w:r>
      <w:r w:rsidR="001A421D">
        <w:t xml:space="preserve">s or operational priorities </w:t>
      </w:r>
      <w:r w:rsidR="00972A56">
        <w:t>requiring specialised technical expertise or technologies</w:t>
      </w:r>
      <w:r w:rsidRPr="004835C9">
        <w:t xml:space="preserve">. </w:t>
      </w:r>
    </w:p>
    <w:p w14:paraId="20DA9780" w14:textId="77777777" w:rsidR="00FA3DD8" w:rsidRPr="00B075D7" w:rsidRDefault="00FA3DD8" w:rsidP="00B327A6">
      <w:pPr>
        <w:rPr>
          <w:rFonts w:asciiTheme="majorHAnsi" w:hAnsiTheme="majorHAnsi" w:cstheme="majorHAnsi"/>
        </w:rPr>
      </w:pPr>
    </w:p>
    <w:tbl>
      <w:tblPr>
        <w:tblStyle w:val="TableGrid"/>
        <w:tblW w:w="9583" w:type="dxa"/>
        <w:tblLayout w:type="fixed"/>
        <w:tblLook w:val="04A0" w:firstRow="1" w:lastRow="0" w:firstColumn="1" w:lastColumn="0" w:noHBand="0" w:noVBand="1"/>
      </w:tblPr>
      <w:tblGrid>
        <w:gridCol w:w="2399"/>
        <w:gridCol w:w="3511"/>
        <w:gridCol w:w="3673"/>
      </w:tblGrid>
      <w:tr w:rsidR="00A77E59" w14:paraId="15DED187" w14:textId="77777777" w:rsidTr="00A77E59">
        <w:trPr>
          <w:cantSplit/>
          <w:trHeight w:val="226"/>
          <w:tblHeader/>
        </w:trPr>
        <w:tc>
          <w:tcPr>
            <w:tcW w:w="2399" w:type="dxa"/>
            <w:shd w:val="clear" w:color="auto" w:fill="C0E8DD" w:themeFill="accent1" w:themeFillTint="33"/>
            <w:tcMar>
              <w:top w:w="70" w:type="dxa"/>
              <w:left w:w="85" w:type="dxa"/>
              <w:bottom w:w="70" w:type="dxa"/>
              <w:right w:w="85" w:type="dxa"/>
            </w:tcMar>
          </w:tcPr>
          <w:p w14:paraId="490747EB" w14:textId="05AA45BB" w:rsidR="00A77E59" w:rsidRPr="00224978" w:rsidRDefault="00A77E59" w:rsidP="00224978">
            <w:pPr>
              <w:rPr>
                <w:b/>
                <w:bCs/>
                <w:sz w:val="16"/>
                <w:szCs w:val="18"/>
              </w:rPr>
            </w:pPr>
            <w:r w:rsidRPr="00224978">
              <w:rPr>
                <w:b/>
                <w:bCs/>
                <w:sz w:val="16"/>
                <w:szCs w:val="18"/>
              </w:rPr>
              <w:lastRenderedPageBreak/>
              <w:t>Opportunity</w:t>
            </w:r>
          </w:p>
        </w:tc>
        <w:tc>
          <w:tcPr>
            <w:tcW w:w="3511" w:type="dxa"/>
            <w:shd w:val="clear" w:color="auto" w:fill="C0E8DD" w:themeFill="accent1" w:themeFillTint="33"/>
            <w:tcMar>
              <w:top w:w="70" w:type="dxa"/>
              <w:left w:w="85" w:type="dxa"/>
              <w:bottom w:w="70" w:type="dxa"/>
              <w:right w:w="85" w:type="dxa"/>
            </w:tcMar>
          </w:tcPr>
          <w:p w14:paraId="375EEA5F" w14:textId="26863540" w:rsidR="00A77E59" w:rsidRPr="00224978" w:rsidRDefault="00A77E59" w:rsidP="00224978">
            <w:pPr>
              <w:rPr>
                <w:b/>
                <w:bCs/>
                <w:sz w:val="16"/>
                <w:szCs w:val="18"/>
              </w:rPr>
            </w:pPr>
            <w:r w:rsidRPr="00224978">
              <w:rPr>
                <w:b/>
                <w:bCs/>
                <w:sz w:val="16"/>
                <w:szCs w:val="18"/>
              </w:rPr>
              <w:t>Status</w:t>
            </w:r>
          </w:p>
        </w:tc>
        <w:tc>
          <w:tcPr>
            <w:tcW w:w="3673" w:type="dxa"/>
            <w:shd w:val="clear" w:color="auto" w:fill="C0E8DD" w:themeFill="accent1" w:themeFillTint="33"/>
            <w:tcMar>
              <w:top w:w="70" w:type="dxa"/>
              <w:left w:w="85" w:type="dxa"/>
              <w:bottom w:w="70" w:type="dxa"/>
              <w:right w:w="85" w:type="dxa"/>
            </w:tcMar>
          </w:tcPr>
          <w:p w14:paraId="4F521CD9" w14:textId="239E0F23" w:rsidR="00A77E59" w:rsidRPr="00224978" w:rsidRDefault="00A77E59" w:rsidP="00224978">
            <w:pPr>
              <w:rPr>
                <w:b/>
                <w:bCs/>
                <w:sz w:val="16"/>
                <w:szCs w:val="18"/>
              </w:rPr>
            </w:pPr>
            <w:r w:rsidRPr="00224978">
              <w:rPr>
                <w:b/>
                <w:bCs/>
                <w:sz w:val="16"/>
                <w:szCs w:val="18"/>
              </w:rPr>
              <w:t>Australian METS alignment</w:t>
            </w:r>
          </w:p>
        </w:tc>
      </w:tr>
      <w:tr w:rsidR="00A77E59" w14:paraId="56D1FF09" w14:textId="77777777" w:rsidTr="00A77E59">
        <w:trPr>
          <w:cantSplit/>
          <w:trHeight w:val="745"/>
        </w:trPr>
        <w:tc>
          <w:tcPr>
            <w:tcW w:w="2399" w:type="dxa"/>
            <w:tcMar>
              <w:top w:w="70" w:type="dxa"/>
              <w:left w:w="85" w:type="dxa"/>
              <w:bottom w:w="70" w:type="dxa"/>
              <w:right w:w="85" w:type="dxa"/>
            </w:tcMar>
            <w:vAlign w:val="center"/>
          </w:tcPr>
          <w:p w14:paraId="2018E051" w14:textId="77777777" w:rsidR="00A77E59" w:rsidRPr="00224978" w:rsidRDefault="00A77E59" w:rsidP="00224978">
            <w:pPr>
              <w:rPr>
                <w:sz w:val="16"/>
                <w:szCs w:val="18"/>
              </w:rPr>
            </w:pPr>
            <w:r w:rsidRPr="00224978">
              <w:rPr>
                <w:sz w:val="16"/>
                <w:szCs w:val="18"/>
              </w:rPr>
              <w:t>OCP phosphate mining basins</w:t>
            </w:r>
          </w:p>
        </w:tc>
        <w:tc>
          <w:tcPr>
            <w:tcW w:w="3511" w:type="dxa"/>
            <w:tcMar>
              <w:top w:w="70" w:type="dxa"/>
              <w:left w:w="85" w:type="dxa"/>
              <w:bottom w:w="70" w:type="dxa"/>
              <w:right w:w="85" w:type="dxa"/>
            </w:tcMar>
            <w:vAlign w:val="center"/>
          </w:tcPr>
          <w:p w14:paraId="756246B5" w14:textId="3FE0B77D" w:rsidR="00A77E59" w:rsidRPr="00224978" w:rsidRDefault="00A77E59" w:rsidP="00224978">
            <w:pPr>
              <w:rPr>
                <w:sz w:val="16"/>
                <w:szCs w:val="18"/>
              </w:rPr>
            </w:pPr>
            <w:r w:rsidRPr="00224978">
              <w:rPr>
                <w:sz w:val="16"/>
                <w:szCs w:val="18"/>
              </w:rPr>
              <w:t>Khouribga and Gantour are the core mining units feeding an integrated national phosphate system.</w:t>
            </w:r>
          </w:p>
        </w:tc>
        <w:tc>
          <w:tcPr>
            <w:tcW w:w="3673" w:type="dxa"/>
            <w:tcMar>
              <w:top w:w="70" w:type="dxa"/>
              <w:left w:w="85" w:type="dxa"/>
              <w:bottom w:w="70" w:type="dxa"/>
              <w:right w:w="85" w:type="dxa"/>
            </w:tcMar>
            <w:vAlign w:val="center"/>
          </w:tcPr>
          <w:p w14:paraId="563F924D" w14:textId="77777777" w:rsidR="00A77E59" w:rsidRPr="00224978" w:rsidRDefault="00A77E59" w:rsidP="00224978">
            <w:pPr>
              <w:rPr>
                <w:sz w:val="16"/>
                <w:szCs w:val="18"/>
              </w:rPr>
            </w:pPr>
            <w:r w:rsidRPr="00224978">
              <w:rPr>
                <w:sz w:val="16"/>
                <w:szCs w:val="18"/>
              </w:rPr>
              <w:t>Mine planning, beneficiation, materials handling, water, energy, maintenance, automation and environmental performance.</w:t>
            </w:r>
          </w:p>
        </w:tc>
      </w:tr>
      <w:tr w:rsidR="00A77E59" w14:paraId="6152CEF9" w14:textId="77777777" w:rsidTr="00A77E59">
        <w:trPr>
          <w:cantSplit/>
          <w:trHeight w:val="1132"/>
        </w:trPr>
        <w:tc>
          <w:tcPr>
            <w:tcW w:w="2399" w:type="dxa"/>
            <w:tcMar>
              <w:top w:w="70" w:type="dxa"/>
              <w:left w:w="85" w:type="dxa"/>
              <w:bottom w:w="70" w:type="dxa"/>
              <w:right w:w="85" w:type="dxa"/>
            </w:tcMar>
            <w:vAlign w:val="center"/>
          </w:tcPr>
          <w:p w14:paraId="5131E252" w14:textId="6B1D99E2" w:rsidR="00A77E59" w:rsidRPr="00224978" w:rsidRDefault="00A77E59" w:rsidP="00224978">
            <w:pPr>
              <w:rPr>
                <w:sz w:val="16"/>
                <w:szCs w:val="18"/>
              </w:rPr>
            </w:pPr>
            <w:r w:rsidRPr="00224978">
              <w:rPr>
                <w:sz w:val="16"/>
                <w:szCs w:val="18"/>
              </w:rPr>
              <w:t xml:space="preserve">OCP Jorf Lasfar and Safi processing complexes </w:t>
            </w:r>
          </w:p>
        </w:tc>
        <w:tc>
          <w:tcPr>
            <w:tcW w:w="3511" w:type="dxa"/>
            <w:tcMar>
              <w:top w:w="70" w:type="dxa"/>
              <w:left w:w="85" w:type="dxa"/>
              <w:bottom w:w="70" w:type="dxa"/>
              <w:right w:w="85" w:type="dxa"/>
            </w:tcMar>
            <w:vAlign w:val="center"/>
          </w:tcPr>
          <w:p w14:paraId="01C44CC5" w14:textId="5137BEA3" w:rsidR="00A77E59" w:rsidRPr="00224978" w:rsidRDefault="00A77E59" w:rsidP="00224978">
            <w:pPr>
              <w:rPr>
                <w:sz w:val="16"/>
                <w:szCs w:val="18"/>
              </w:rPr>
            </w:pPr>
            <w:r w:rsidRPr="00224978">
              <w:rPr>
                <w:sz w:val="16"/>
                <w:szCs w:val="18"/>
              </w:rPr>
              <w:t>OCP’s two primary chemical hubs to process raw phosphate rock into phosphoric acid and downstream fertilizer products, including significant water and export infrastructure.</w:t>
            </w:r>
          </w:p>
        </w:tc>
        <w:tc>
          <w:tcPr>
            <w:tcW w:w="3673" w:type="dxa"/>
            <w:tcMar>
              <w:top w:w="70" w:type="dxa"/>
              <w:left w:w="85" w:type="dxa"/>
              <w:bottom w:w="70" w:type="dxa"/>
              <w:right w:w="85" w:type="dxa"/>
            </w:tcMar>
            <w:vAlign w:val="center"/>
          </w:tcPr>
          <w:p w14:paraId="62C1C109" w14:textId="2A989593" w:rsidR="00A77E59" w:rsidRPr="00224978" w:rsidRDefault="00A77E59" w:rsidP="00224978">
            <w:pPr>
              <w:rPr>
                <w:sz w:val="16"/>
                <w:szCs w:val="18"/>
              </w:rPr>
            </w:pPr>
            <w:r w:rsidRPr="00224978">
              <w:rPr>
                <w:sz w:val="16"/>
                <w:szCs w:val="18"/>
              </w:rPr>
              <w:t>Desalination and water systems, process optimisation, energy efficiency, emissions, asset integrity, waste management, maintenance and logistics.</w:t>
            </w:r>
          </w:p>
        </w:tc>
      </w:tr>
      <w:tr w:rsidR="00A77E59" w14:paraId="7D88FF80" w14:textId="77777777" w:rsidTr="00A77E59">
        <w:trPr>
          <w:cantSplit/>
          <w:trHeight w:val="754"/>
        </w:trPr>
        <w:tc>
          <w:tcPr>
            <w:tcW w:w="2399" w:type="dxa"/>
            <w:tcMar>
              <w:top w:w="70" w:type="dxa"/>
              <w:left w:w="85" w:type="dxa"/>
              <w:bottom w:w="70" w:type="dxa"/>
              <w:right w:w="85" w:type="dxa"/>
            </w:tcMar>
            <w:vAlign w:val="center"/>
          </w:tcPr>
          <w:p w14:paraId="40DB0697" w14:textId="77777777" w:rsidR="00A77E59" w:rsidRPr="00224978" w:rsidRDefault="00A77E59" w:rsidP="00224978">
            <w:pPr>
              <w:rPr>
                <w:sz w:val="16"/>
                <w:szCs w:val="18"/>
              </w:rPr>
            </w:pPr>
            <w:r w:rsidRPr="00224978">
              <w:rPr>
                <w:sz w:val="16"/>
                <w:szCs w:val="18"/>
              </w:rPr>
              <w:t>Managem copper and polymetallic system</w:t>
            </w:r>
          </w:p>
        </w:tc>
        <w:tc>
          <w:tcPr>
            <w:tcW w:w="3511" w:type="dxa"/>
            <w:tcMar>
              <w:top w:w="70" w:type="dxa"/>
              <w:left w:w="85" w:type="dxa"/>
              <w:bottom w:w="70" w:type="dxa"/>
              <w:right w:w="85" w:type="dxa"/>
            </w:tcMar>
            <w:vAlign w:val="center"/>
          </w:tcPr>
          <w:p w14:paraId="2D98AA6B" w14:textId="09E8F1FF" w:rsidR="00A77E59" w:rsidRPr="00224978" w:rsidRDefault="00A77E59" w:rsidP="00224978">
            <w:pPr>
              <w:rPr>
                <w:sz w:val="16"/>
                <w:szCs w:val="18"/>
              </w:rPr>
            </w:pPr>
            <w:r w:rsidRPr="00224978">
              <w:rPr>
                <w:sz w:val="16"/>
                <w:szCs w:val="18"/>
              </w:rPr>
              <w:t>Tizert, Akka, Bou-Azzer, Bleida and Guemassa offer a geographically dispersed operating and growth portfolio.</w:t>
            </w:r>
          </w:p>
        </w:tc>
        <w:tc>
          <w:tcPr>
            <w:tcW w:w="3673" w:type="dxa"/>
            <w:tcMar>
              <w:top w:w="70" w:type="dxa"/>
              <w:left w:w="85" w:type="dxa"/>
              <w:bottom w:w="70" w:type="dxa"/>
              <w:right w:w="85" w:type="dxa"/>
            </w:tcMar>
            <w:vAlign w:val="center"/>
          </w:tcPr>
          <w:p w14:paraId="54CEA35C" w14:textId="1C4A9EA2" w:rsidR="00A77E59" w:rsidRPr="00224978" w:rsidRDefault="005E468E" w:rsidP="00224978">
            <w:pPr>
              <w:rPr>
                <w:sz w:val="16"/>
                <w:szCs w:val="18"/>
              </w:rPr>
            </w:pPr>
            <w:r w:rsidRPr="00224978">
              <w:rPr>
                <w:sz w:val="16"/>
                <w:szCs w:val="18"/>
              </w:rPr>
              <w:t>Copper and polymetallic processing, project services, reliability, environmental, social and governance (ESG) systems, mine planning and technical studies.</w:t>
            </w:r>
          </w:p>
        </w:tc>
      </w:tr>
      <w:tr w:rsidR="00A77E59" w14:paraId="6C4F485A" w14:textId="77777777" w:rsidTr="00A77E59">
        <w:trPr>
          <w:cantSplit/>
          <w:trHeight w:val="754"/>
        </w:trPr>
        <w:tc>
          <w:tcPr>
            <w:tcW w:w="2399" w:type="dxa"/>
            <w:tcMar>
              <w:top w:w="70" w:type="dxa"/>
              <w:left w:w="85" w:type="dxa"/>
              <w:bottom w:w="70" w:type="dxa"/>
              <w:right w:w="85" w:type="dxa"/>
            </w:tcMar>
            <w:vAlign w:val="center"/>
          </w:tcPr>
          <w:p w14:paraId="0BBEDCA5" w14:textId="00ABE14C" w:rsidR="00A77E59" w:rsidRPr="00224978" w:rsidRDefault="00A77E59" w:rsidP="00224978">
            <w:pPr>
              <w:rPr>
                <w:sz w:val="16"/>
                <w:szCs w:val="18"/>
              </w:rPr>
            </w:pPr>
            <w:r w:rsidRPr="00224978">
              <w:rPr>
                <w:sz w:val="16"/>
                <w:szCs w:val="18"/>
              </w:rPr>
              <w:t>Aya Gold and Silver Zgounder operation and Boumadine development</w:t>
            </w:r>
          </w:p>
        </w:tc>
        <w:tc>
          <w:tcPr>
            <w:tcW w:w="3511" w:type="dxa"/>
            <w:tcMar>
              <w:top w:w="70" w:type="dxa"/>
              <w:left w:w="85" w:type="dxa"/>
              <w:bottom w:w="70" w:type="dxa"/>
              <w:right w:w="85" w:type="dxa"/>
            </w:tcMar>
            <w:vAlign w:val="center"/>
          </w:tcPr>
          <w:p w14:paraId="34236542" w14:textId="77777777" w:rsidR="00A77E59" w:rsidRPr="00224978" w:rsidRDefault="00A77E59" w:rsidP="00224978">
            <w:pPr>
              <w:rPr>
                <w:sz w:val="16"/>
                <w:szCs w:val="18"/>
              </w:rPr>
            </w:pPr>
            <w:r w:rsidRPr="00224978">
              <w:rPr>
                <w:sz w:val="16"/>
                <w:szCs w:val="18"/>
              </w:rPr>
              <w:t>An expanded operating silver mine sits alongside a separate advanced polymetallic growth project.</w:t>
            </w:r>
          </w:p>
        </w:tc>
        <w:tc>
          <w:tcPr>
            <w:tcW w:w="3673" w:type="dxa"/>
            <w:tcMar>
              <w:top w:w="70" w:type="dxa"/>
              <w:left w:w="85" w:type="dxa"/>
              <w:bottom w:w="70" w:type="dxa"/>
              <w:right w:w="85" w:type="dxa"/>
            </w:tcMar>
            <w:vAlign w:val="center"/>
          </w:tcPr>
          <w:p w14:paraId="4CF05B1C" w14:textId="3A91DE54" w:rsidR="00A77E59" w:rsidRPr="00224978" w:rsidRDefault="00A77E59" w:rsidP="00224978">
            <w:pPr>
              <w:rPr>
                <w:sz w:val="16"/>
                <w:szCs w:val="18"/>
              </w:rPr>
            </w:pPr>
            <w:r w:rsidRPr="00224978">
              <w:rPr>
                <w:sz w:val="16"/>
                <w:szCs w:val="18"/>
              </w:rPr>
              <w:t>Plant optimisation, water, digital systems, reliability, resource definition, test work and project studies.</w:t>
            </w:r>
          </w:p>
        </w:tc>
      </w:tr>
      <w:tr w:rsidR="00A77E59" w14:paraId="1A67C01C" w14:textId="77777777" w:rsidTr="00A77E59">
        <w:trPr>
          <w:cantSplit/>
          <w:trHeight w:val="566"/>
        </w:trPr>
        <w:tc>
          <w:tcPr>
            <w:tcW w:w="2399" w:type="dxa"/>
            <w:tcMar>
              <w:top w:w="70" w:type="dxa"/>
              <w:left w:w="85" w:type="dxa"/>
              <w:bottom w:w="70" w:type="dxa"/>
              <w:right w:w="85" w:type="dxa"/>
            </w:tcMar>
            <w:vAlign w:val="center"/>
          </w:tcPr>
          <w:p w14:paraId="306C22E1" w14:textId="62A24AEE" w:rsidR="00A77E59" w:rsidRPr="00224978" w:rsidRDefault="00A77E59" w:rsidP="00224978">
            <w:pPr>
              <w:rPr>
                <w:sz w:val="16"/>
                <w:szCs w:val="18"/>
              </w:rPr>
            </w:pPr>
            <w:r w:rsidRPr="00224978">
              <w:rPr>
                <w:sz w:val="16"/>
                <w:szCs w:val="18"/>
              </w:rPr>
              <w:t>Exploration licence holders</w:t>
            </w:r>
          </w:p>
        </w:tc>
        <w:tc>
          <w:tcPr>
            <w:tcW w:w="3511" w:type="dxa"/>
            <w:tcMar>
              <w:top w:w="70" w:type="dxa"/>
              <w:left w:w="85" w:type="dxa"/>
              <w:bottom w:w="70" w:type="dxa"/>
              <w:right w:w="85" w:type="dxa"/>
            </w:tcMar>
          </w:tcPr>
          <w:p w14:paraId="3F82DE17" w14:textId="0A743851" w:rsidR="00A77E59" w:rsidRPr="00224978" w:rsidRDefault="00A77E59" w:rsidP="00224978">
            <w:pPr>
              <w:rPr>
                <w:sz w:val="16"/>
                <w:szCs w:val="18"/>
              </w:rPr>
            </w:pPr>
            <w:r w:rsidRPr="00224978">
              <w:rPr>
                <w:sz w:val="16"/>
                <w:szCs w:val="18"/>
              </w:rPr>
              <w:t>Licence releases and exploration activity may generate work before projects reach development.</w:t>
            </w:r>
          </w:p>
        </w:tc>
        <w:tc>
          <w:tcPr>
            <w:tcW w:w="3673" w:type="dxa"/>
            <w:tcMar>
              <w:top w:w="70" w:type="dxa"/>
              <w:left w:w="85" w:type="dxa"/>
              <w:bottom w:w="70" w:type="dxa"/>
              <w:right w:w="85" w:type="dxa"/>
            </w:tcMar>
          </w:tcPr>
          <w:p w14:paraId="1A8EF5B8" w14:textId="27A13A5E" w:rsidR="00A77E59" w:rsidRPr="00224978" w:rsidRDefault="00A77E59" w:rsidP="00224978">
            <w:pPr>
              <w:rPr>
                <w:sz w:val="16"/>
                <w:szCs w:val="18"/>
              </w:rPr>
            </w:pPr>
            <w:r w:rsidRPr="00224978">
              <w:rPr>
                <w:sz w:val="16"/>
                <w:szCs w:val="18"/>
              </w:rPr>
              <w:t>Geophysics, drilling, sampling, laboratories, geological modelling and studies.</w:t>
            </w:r>
          </w:p>
        </w:tc>
      </w:tr>
    </w:tbl>
    <w:p w14:paraId="68497B35" w14:textId="77777777" w:rsidR="004A327D" w:rsidRDefault="004A327D">
      <w:pPr>
        <w:spacing w:after="200" w:line="276" w:lineRule="auto"/>
        <w:rPr>
          <w:rFonts w:asciiTheme="majorHAnsi" w:hAnsiTheme="majorHAnsi" w:cstheme="majorHAnsi"/>
          <w:b/>
          <w:bCs/>
          <w:szCs w:val="20"/>
        </w:rPr>
      </w:pPr>
    </w:p>
    <w:p w14:paraId="1457671B" w14:textId="3145BD7F" w:rsidR="004A327D" w:rsidRPr="004E2E63" w:rsidRDefault="004A327D" w:rsidP="002C3C2E">
      <w:pPr>
        <w:pStyle w:val="Heading3"/>
        <w:rPr>
          <w:highlight w:val="cyan"/>
        </w:rPr>
      </w:pPr>
      <w:r w:rsidRPr="00B21041">
        <w:t>Market development</w:t>
      </w:r>
      <w:r w:rsidR="001D0708">
        <w:t xml:space="preserve"> </w:t>
      </w:r>
      <w:r w:rsidR="00712984">
        <w:t>and</w:t>
      </w:r>
      <w:r w:rsidR="001D0708">
        <w:t xml:space="preserve"> Exploration Activity </w:t>
      </w:r>
      <w:r w:rsidRPr="00B21041">
        <w:t xml:space="preserve"> </w:t>
      </w:r>
    </w:p>
    <w:p w14:paraId="69D20D79" w14:textId="77777777" w:rsidR="00D555AF" w:rsidRDefault="00CD5D2F" w:rsidP="00224978">
      <w:r w:rsidRPr="00CD5D2F">
        <w:t>Morocco’s strong investment environment is reflected in the Fraser Institute’s 2025 Investment Attractiveness Index, where it ranked 15th of 68 jurisdictions, up from 18th of 82 in 2024. Based on survey responses from 256 global mining companies, Morocco ranked second in Africa behind Botswana, which ranked 7th globally</w:t>
      </w:r>
      <w:r w:rsidR="00D85ACF">
        <w:t>.</w:t>
      </w:r>
      <w:r w:rsidR="00E32BA4">
        <w:t xml:space="preserve"> </w:t>
      </w:r>
      <w:r w:rsidR="00C31CF2" w:rsidRPr="00CE6EE6">
        <w:rPr>
          <w:vertAlign w:val="superscript"/>
        </w:rPr>
        <w:t>[8]</w:t>
      </w:r>
    </w:p>
    <w:p w14:paraId="061C1A6B" w14:textId="48F0B8F7" w:rsidR="008E70B4" w:rsidRDefault="00D70A4D" w:rsidP="00224978">
      <w:r>
        <w:t xml:space="preserve">Exploration </w:t>
      </w:r>
      <w:r w:rsidR="00D555AF">
        <w:t xml:space="preserve">in Morocco </w:t>
      </w:r>
      <w:r w:rsidR="00CE16BB">
        <w:t>is largely focused</w:t>
      </w:r>
      <w:r>
        <w:t xml:space="preserve"> on </w:t>
      </w:r>
      <w:r w:rsidR="00D555AF">
        <w:t>base and precious metals</w:t>
      </w:r>
      <w:r w:rsidR="00F0768F">
        <w:t>. It has attracted</w:t>
      </w:r>
      <w:r w:rsidR="00E15F7B">
        <w:t xml:space="preserve"> considerable foreign investment</w:t>
      </w:r>
      <w:r w:rsidR="00CE16BB">
        <w:t xml:space="preserve"> </w:t>
      </w:r>
      <w:r w:rsidR="00E15F7B">
        <w:t xml:space="preserve">from companies listed on the Toronto Stock Exchange, such as </w:t>
      </w:r>
      <w:r w:rsidR="00E15F7B" w:rsidRPr="00F4451D">
        <w:t>Morocco Strategic Minerals</w:t>
      </w:r>
      <w:r w:rsidR="00E15F7B">
        <w:t xml:space="preserve">, </w:t>
      </w:r>
      <w:r w:rsidR="00E15F7B" w:rsidRPr="00BE2B14">
        <w:t>Stellar AfricaGold</w:t>
      </w:r>
      <w:r w:rsidR="00E15F7B">
        <w:t xml:space="preserve"> and </w:t>
      </w:r>
      <w:r w:rsidR="00E15F7B" w:rsidRPr="009F2207">
        <w:t>Trigon Metals</w:t>
      </w:r>
      <w:r w:rsidR="00E15F7B">
        <w:t xml:space="preserve">. </w:t>
      </w:r>
      <w:r w:rsidRPr="00D70A4D">
        <w:t xml:space="preserve">Aya Gold &amp; Silver's total exploration and development expenditure across its Moroccan projects reached approximately </w:t>
      </w:r>
      <w:r w:rsidR="00B82A07">
        <w:t>US</w:t>
      </w:r>
      <w:r w:rsidRPr="00D70A4D">
        <w:t xml:space="preserve">$41 million in 2025, </w:t>
      </w:r>
      <w:r w:rsidR="00DE6550">
        <w:t>with a focus on its development of the</w:t>
      </w:r>
      <w:r w:rsidRPr="00D70A4D">
        <w:t xml:space="preserve"> Boumadine</w:t>
      </w:r>
      <w:r w:rsidR="00DE6550">
        <w:t xml:space="preserve"> project</w:t>
      </w:r>
      <w:r w:rsidR="00C31CF2" w:rsidRPr="00C31CF2">
        <w:t>.</w:t>
      </w:r>
      <w:r w:rsidR="00C31CF2" w:rsidRPr="00CE6EE6">
        <w:rPr>
          <w:vertAlign w:val="superscript"/>
        </w:rPr>
        <w:t>[9]</w:t>
      </w:r>
    </w:p>
    <w:p w14:paraId="24F94CA1" w14:textId="77777777" w:rsidR="00DA5CD8" w:rsidRDefault="00DA5CD8" w:rsidP="002C3C2E">
      <w:pPr>
        <w:pStyle w:val="Heading3"/>
      </w:pPr>
      <w:r>
        <w:t>Key Projects</w:t>
      </w:r>
    </w:p>
    <w:tbl>
      <w:tblPr>
        <w:tblStyle w:val="TableGrid"/>
        <w:tblW w:w="10080" w:type="dxa"/>
        <w:tblInd w:w="120" w:type="dxa"/>
        <w:tblLayout w:type="fixed"/>
        <w:tblCellMar>
          <w:top w:w="57" w:type="dxa"/>
          <w:bottom w:w="57" w:type="dxa"/>
        </w:tblCellMar>
        <w:tblLook w:val="04A0" w:firstRow="1" w:lastRow="0" w:firstColumn="1" w:lastColumn="0" w:noHBand="0" w:noVBand="1"/>
      </w:tblPr>
      <w:tblGrid>
        <w:gridCol w:w="2016"/>
        <w:gridCol w:w="4096"/>
        <w:gridCol w:w="3968"/>
      </w:tblGrid>
      <w:tr w:rsidR="00DA5CD8" w14:paraId="6AE3D27B" w14:textId="77777777" w:rsidTr="0023213C">
        <w:trPr>
          <w:cantSplit/>
          <w:trHeight w:val="352"/>
          <w:tblHeader/>
        </w:trPr>
        <w:tc>
          <w:tcPr>
            <w:tcW w:w="2016" w:type="dxa"/>
            <w:shd w:val="clear" w:color="auto" w:fill="173F34" w:themeFill="accent1"/>
            <w:vAlign w:val="center"/>
          </w:tcPr>
          <w:p w14:paraId="0AFD8745" w14:textId="77777777" w:rsidR="00DA5CD8" w:rsidRPr="00224978" w:rsidRDefault="00DA5CD8" w:rsidP="0023213C">
            <w:pPr>
              <w:rPr>
                <w:b/>
                <w:bCs/>
                <w:sz w:val="16"/>
                <w:szCs w:val="18"/>
              </w:rPr>
            </w:pPr>
            <w:r w:rsidRPr="00224978">
              <w:rPr>
                <w:b/>
                <w:bCs/>
                <w:sz w:val="16"/>
                <w:szCs w:val="18"/>
              </w:rPr>
              <w:t>Project</w:t>
            </w:r>
          </w:p>
        </w:tc>
        <w:tc>
          <w:tcPr>
            <w:tcW w:w="4096" w:type="dxa"/>
            <w:shd w:val="clear" w:color="auto" w:fill="173F34" w:themeFill="accent1"/>
            <w:vAlign w:val="center"/>
          </w:tcPr>
          <w:p w14:paraId="3B3B202F" w14:textId="77777777" w:rsidR="00DA5CD8" w:rsidRPr="00224978" w:rsidRDefault="00DA5CD8" w:rsidP="0023213C">
            <w:pPr>
              <w:rPr>
                <w:b/>
                <w:bCs/>
                <w:sz w:val="16"/>
                <w:szCs w:val="18"/>
              </w:rPr>
            </w:pPr>
            <w:r w:rsidRPr="00224978">
              <w:rPr>
                <w:b/>
                <w:bCs/>
                <w:sz w:val="16"/>
                <w:szCs w:val="18"/>
              </w:rPr>
              <w:t>Overview</w:t>
            </w:r>
          </w:p>
        </w:tc>
        <w:tc>
          <w:tcPr>
            <w:tcW w:w="3968" w:type="dxa"/>
            <w:shd w:val="clear" w:color="auto" w:fill="173F34" w:themeFill="accent1"/>
            <w:vAlign w:val="center"/>
          </w:tcPr>
          <w:p w14:paraId="664E74CD" w14:textId="77777777" w:rsidR="00DA5CD8" w:rsidRPr="00224978" w:rsidRDefault="00DA5CD8" w:rsidP="0023213C">
            <w:pPr>
              <w:rPr>
                <w:b/>
                <w:bCs/>
                <w:sz w:val="16"/>
                <w:szCs w:val="18"/>
              </w:rPr>
            </w:pPr>
            <w:r w:rsidRPr="00224978">
              <w:rPr>
                <w:b/>
                <w:bCs/>
                <w:sz w:val="16"/>
                <w:szCs w:val="18"/>
              </w:rPr>
              <w:t>METS opportunity</w:t>
            </w:r>
          </w:p>
        </w:tc>
      </w:tr>
      <w:tr w:rsidR="00DA5CD8" w14:paraId="0D5F7CB0" w14:textId="77777777" w:rsidTr="0023213C">
        <w:trPr>
          <w:cantSplit/>
        </w:trPr>
        <w:tc>
          <w:tcPr>
            <w:tcW w:w="2016" w:type="dxa"/>
          </w:tcPr>
          <w:p w14:paraId="410EBC1C" w14:textId="1C6F717D" w:rsidR="00DA5CD8" w:rsidRPr="00224978" w:rsidRDefault="00DA5CD8" w:rsidP="00224978">
            <w:pPr>
              <w:rPr>
                <w:sz w:val="16"/>
                <w:szCs w:val="18"/>
              </w:rPr>
            </w:pPr>
            <w:r w:rsidRPr="00224978">
              <w:rPr>
                <w:sz w:val="16"/>
                <w:szCs w:val="18"/>
              </w:rPr>
              <w:t xml:space="preserve">Khouribga Mining Complex </w:t>
            </w:r>
            <w:r w:rsidR="00712984" w:rsidRPr="00224978">
              <w:rPr>
                <w:sz w:val="16"/>
                <w:szCs w:val="18"/>
              </w:rPr>
              <w:t>and</w:t>
            </w:r>
            <w:r w:rsidRPr="00224978">
              <w:rPr>
                <w:sz w:val="16"/>
                <w:szCs w:val="18"/>
              </w:rPr>
              <w:t xml:space="preserve"> Jorf Lasfar Phosphate-Fertiliser Hub – OCP Group</w:t>
            </w:r>
          </w:p>
        </w:tc>
        <w:tc>
          <w:tcPr>
            <w:tcW w:w="4096" w:type="dxa"/>
          </w:tcPr>
          <w:p w14:paraId="6D5348B9" w14:textId="23131ECD" w:rsidR="00DA5CD8" w:rsidRPr="00224978" w:rsidRDefault="00DA5CD8" w:rsidP="00224978">
            <w:pPr>
              <w:rPr>
                <w:sz w:val="16"/>
                <w:szCs w:val="18"/>
              </w:rPr>
            </w:pPr>
            <w:r w:rsidRPr="00224978">
              <w:rPr>
                <w:sz w:val="16"/>
                <w:szCs w:val="18"/>
              </w:rPr>
              <w:t>Khouribga is OCP's primary mine site, producing around 70% of the Group's total output through large-scale open-pit operations. Mining involves continuous overburden removal and ore washing to produce merchant-grade phosphate rock, which is then processed through washing</w:t>
            </w:r>
            <w:r w:rsidR="006F3DBD" w:rsidRPr="00224978">
              <w:rPr>
                <w:sz w:val="16"/>
                <w:szCs w:val="18"/>
              </w:rPr>
              <w:t xml:space="preserve"> and </w:t>
            </w:r>
            <w:r w:rsidRPr="00224978">
              <w:rPr>
                <w:sz w:val="16"/>
                <w:szCs w:val="18"/>
              </w:rPr>
              <w:t>beneficiation plants on site, before transport via a 235km slurry pipeline to the Jorf Lasfar processing complex.</w:t>
            </w:r>
          </w:p>
        </w:tc>
        <w:tc>
          <w:tcPr>
            <w:tcW w:w="3968" w:type="dxa"/>
          </w:tcPr>
          <w:p w14:paraId="2F19D725" w14:textId="4E443E96" w:rsidR="00DA5CD8" w:rsidRPr="00224978" w:rsidRDefault="004549EF" w:rsidP="00224978">
            <w:pPr>
              <w:rPr>
                <w:sz w:val="16"/>
                <w:szCs w:val="18"/>
              </w:rPr>
            </w:pPr>
            <w:r w:rsidRPr="00224978">
              <w:rPr>
                <w:sz w:val="16"/>
                <w:szCs w:val="18"/>
              </w:rPr>
              <w:t>Khouribga and Jorf Lasfar form OCP's Northern Axis. OCP Group reported in July 2025 that it had achieved complete autonomy from conventional water across its industrial and mining sites, two years ahead of its original 2027 target. Current priorities include continued desalination and transfer infrastructure, renewable energy and processing efficiency.</w:t>
            </w:r>
            <w:r w:rsidRPr="00CE6EE6">
              <w:rPr>
                <w:sz w:val="16"/>
                <w:szCs w:val="18"/>
                <w:vertAlign w:val="superscript"/>
              </w:rPr>
              <w:t>[14]</w:t>
            </w:r>
          </w:p>
        </w:tc>
      </w:tr>
      <w:tr w:rsidR="00DA5CD8" w14:paraId="26C09FC5" w14:textId="77777777" w:rsidTr="0023213C">
        <w:trPr>
          <w:cantSplit/>
        </w:trPr>
        <w:tc>
          <w:tcPr>
            <w:tcW w:w="2016" w:type="dxa"/>
          </w:tcPr>
          <w:p w14:paraId="233F220A" w14:textId="0DAE8D88" w:rsidR="00DA5CD8" w:rsidRPr="00224978" w:rsidRDefault="005500F5" w:rsidP="00224978">
            <w:pPr>
              <w:rPr>
                <w:sz w:val="16"/>
                <w:szCs w:val="18"/>
              </w:rPr>
            </w:pPr>
            <w:r w:rsidRPr="00224978">
              <w:rPr>
                <w:sz w:val="16"/>
                <w:szCs w:val="18"/>
              </w:rPr>
              <w:lastRenderedPageBreak/>
              <w:t xml:space="preserve">Bou-Azzer Cobalt Mine </w:t>
            </w:r>
            <w:r w:rsidR="00712984" w:rsidRPr="00224978">
              <w:rPr>
                <w:sz w:val="16"/>
                <w:szCs w:val="18"/>
              </w:rPr>
              <w:t>and</w:t>
            </w:r>
            <w:r w:rsidRPr="00224978">
              <w:rPr>
                <w:sz w:val="16"/>
                <w:szCs w:val="18"/>
              </w:rPr>
              <w:t xml:space="preserve"> Cobalt Sulfate Plant – Managem</w:t>
            </w:r>
          </w:p>
        </w:tc>
        <w:tc>
          <w:tcPr>
            <w:tcW w:w="4096" w:type="dxa"/>
          </w:tcPr>
          <w:p w14:paraId="480992A7" w14:textId="2E84819C" w:rsidR="00DA5CD8" w:rsidRPr="00224978" w:rsidRDefault="005500F5" w:rsidP="00224978">
            <w:pPr>
              <w:rPr>
                <w:sz w:val="16"/>
                <w:szCs w:val="18"/>
              </w:rPr>
            </w:pPr>
            <w:r w:rsidRPr="00224978">
              <w:rPr>
                <w:sz w:val="16"/>
                <w:szCs w:val="18"/>
              </w:rPr>
              <w:t>Bou-Azzer is Morocco's founding cobalt operation and Managem's flagship cobalt asset. Mining is conducted via underground methods with historical annual output of around 1,500–2,400 tonnes of contained cobalt used for cobalt cathode.</w:t>
            </w:r>
          </w:p>
        </w:tc>
        <w:tc>
          <w:tcPr>
            <w:tcW w:w="3968" w:type="dxa"/>
          </w:tcPr>
          <w:p w14:paraId="324BF346" w14:textId="6614C562" w:rsidR="00DA5CD8" w:rsidRPr="00224978" w:rsidRDefault="0052503F" w:rsidP="00224978">
            <w:pPr>
              <w:rPr>
                <w:color w:val="000000" w:themeColor="text1"/>
                <w:sz w:val="16"/>
                <w:szCs w:val="18"/>
              </w:rPr>
            </w:pPr>
            <w:r w:rsidRPr="00224978">
              <w:rPr>
                <w:color w:val="000000" w:themeColor="text1"/>
                <w:sz w:val="16"/>
                <w:szCs w:val="18"/>
              </w:rPr>
              <w:t>M</w:t>
            </w:r>
            <w:r w:rsidR="009909F5" w:rsidRPr="00224978">
              <w:rPr>
                <w:color w:val="000000" w:themeColor="text1"/>
                <w:sz w:val="16"/>
                <w:szCs w:val="18"/>
              </w:rPr>
              <w:t xml:space="preserve">arket sources </w:t>
            </w:r>
            <w:r w:rsidR="0000457D" w:rsidRPr="00224978">
              <w:rPr>
                <w:color w:val="000000" w:themeColor="text1"/>
                <w:sz w:val="16"/>
                <w:szCs w:val="18"/>
              </w:rPr>
              <w:t xml:space="preserve">report </w:t>
            </w:r>
            <w:r w:rsidR="002D65DE" w:rsidRPr="00224978">
              <w:rPr>
                <w:color w:val="000000" w:themeColor="text1"/>
                <w:sz w:val="16"/>
                <w:szCs w:val="18"/>
              </w:rPr>
              <w:t>that Managem</w:t>
            </w:r>
            <w:r w:rsidR="00D64F7F" w:rsidRPr="00224978">
              <w:rPr>
                <w:color w:val="000000" w:themeColor="text1"/>
                <w:sz w:val="16"/>
                <w:szCs w:val="18"/>
              </w:rPr>
              <w:t xml:space="preserve"> </w:t>
            </w:r>
            <w:r w:rsidR="006F38BA" w:rsidRPr="00224978">
              <w:rPr>
                <w:color w:val="000000" w:themeColor="text1"/>
                <w:sz w:val="16"/>
                <w:szCs w:val="18"/>
              </w:rPr>
              <w:t xml:space="preserve">is commissioning a </w:t>
            </w:r>
            <w:r w:rsidR="009351FC" w:rsidRPr="00224978">
              <w:rPr>
                <w:color w:val="000000" w:themeColor="text1"/>
                <w:sz w:val="16"/>
                <w:szCs w:val="18"/>
              </w:rPr>
              <w:t xml:space="preserve">project </w:t>
            </w:r>
            <w:r w:rsidR="006F38BA" w:rsidRPr="00224978">
              <w:rPr>
                <w:color w:val="000000" w:themeColor="text1"/>
                <w:sz w:val="16"/>
                <w:szCs w:val="18"/>
              </w:rPr>
              <w:t xml:space="preserve">to </w:t>
            </w:r>
            <w:r w:rsidR="00D64F7F" w:rsidRPr="00224978">
              <w:rPr>
                <w:color w:val="000000" w:themeColor="text1"/>
                <w:sz w:val="16"/>
                <w:szCs w:val="18"/>
              </w:rPr>
              <w:t xml:space="preserve">switch from cobalt metal to sulfate </w:t>
            </w:r>
            <w:r w:rsidR="00770574" w:rsidRPr="00224978">
              <w:rPr>
                <w:color w:val="000000" w:themeColor="text1"/>
                <w:sz w:val="16"/>
                <w:szCs w:val="18"/>
              </w:rPr>
              <w:t>production</w:t>
            </w:r>
            <w:r w:rsidR="009351FC" w:rsidRPr="00224978">
              <w:rPr>
                <w:color w:val="000000" w:themeColor="text1"/>
                <w:sz w:val="16"/>
                <w:szCs w:val="18"/>
              </w:rPr>
              <w:t>. The plant would have a</w:t>
            </w:r>
            <w:r w:rsidR="00D64F7F" w:rsidRPr="00224978">
              <w:rPr>
                <w:color w:val="000000" w:themeColor="text1"/>
                <w:sz w:val="16"/>
                <w:szCs w:val="18"/>
              </w:rPr>
              <w:t xml:space="preserve"> capacity of 6,000 tonnes of sulfate per year, equivalent to about 1,200 tonnes of contained cobalt</w:t>
            </w:r>
            <w:r w:rsidR="009351FC" w:rsidRPr="00224978">
              <w:rPr>
                <w:color w:val="000000" w:themeColor="text1"/>
                <w:sz w:val="16"/>
                <w:szCs w:val="18"/>
              </w:rPr>
              <w:t xml:space="preserve">. </w:t>
            </w:r>
            <w:r w:rsidRPr="00224978">
              <w:rPr>
                <w:color w:val="000000" w:themeColor="text1"/>
                <w:sz w:val="16"/>
                <w:szCs w:val="18"/>
              </w:rPr>
              <w:t xml:space="preserve">This requires new technical capabilities and </w:t>
            </w:r>
            <w:r w:rsidR="00A54775" w:rsidRPr="00224978">
              <w:rPr>
                <w:color w:val="000000" w:themeColor="text1"/>
                <w:sz w:val="16"/>
                <w:szCs w:val="18"/>
              </w:rPr>
              <w:t xml:space="preserve">presents </w:t>
            </w:r>
            <w:r w:rsidRPr="00224978">
              <w:rPr>
                <w:color w:val="000000" w:themeColor="text1"/>
                <w:sz w:val="16"/>
                <w:szCs w:val="18"/>
              </w:rPr>
              <w:t>potential opportunities.</w:t>
            </w:r>
            <w:r w:rsidRPr="00CE6EE6">
              <w:rPr>
                <w:color w:val="000000" w:themeColor="text1"/>
                <w:sz w:val="16"/>
                <w:szCs w:val="18"/>
                <w:vertAlign w:val="superscript"/>
              </w:rPr>
              <w:t>[10]</w:t>
            </w:r>
          </w:p>
        </w:tc>
      </w:tr>
      <w:tr w:rsidR="00EC04B7" w14:paraId="2AF41B69" w14:textId="77777777" w:rsidTr="0023213C">
        <w:trPr>
          <w:cantSplit/>
        </w:trPr>
        <w:tc>
          <w:tcPr>
            <w:tcW w:w="2016" w:type="dxa"/>
          </w:tcPr>
          <w:p w14:paraId="46BE0C27" w14:textId="39C25307" w:rsidR="00EC04B7" w:rsidRPr="00224978" w:rsidRDefault="00EC04B7" w:rsidP="00224978">
            <w:pPr>
              <w:rPr>
                <w:sz w:val="16"/>
                <w:szCs w:val="18"/>
              </w:rPr>
            </w:pPr>
            <w:r w:rsidRPr="00224978">
              <w:rPr>
                <w:sz w:val="16"/>
                <w:szCs w:val="18"/>
              </w:rPr>
              <w:t>Tizert Copper Mine – Managem</w:t>
            </w:r>
          </w:p>
        </w:tc>
        <w:tc>
          <w:tcPr>
            <w:tcW w:w="4096" w:type="dxa"/>
          </w:tcPr>
          <w:p w14:paraId="03E507DE" w14:textId="4BF2AD6C" w:rsidR="00EC04B7" w:rsidRPr="00224978" w:rsidRDefault="00EC04B7" w:rsidP="00224978">
            <w:pPr>
              <w:rPr>
                <w:sz w:val="16"/>
                <w:szCs w:val="18"/>
              </w:rPr>
            </w:pPr>
            <w:r w:rsidRPr="00224978">
              <w:rPr>
                <w:sz w:val="16"/>
                <w:szCs w:val="18"/>
              </w:rPr>
              <w:t>Tizert is a</w:t>
            </w:r>
            <w:r w:rsidR="003536A2" w:rsidRPr="00224978">
              <w:rPr>
                <w:sz w:val="16"/>
                <w:szCs w:val="18"/>
              </w:rPr>
              <w:t xml:space="preserve"> greenfield</w:t>
            </w:r>
            <w:r w:rsidRPr="00224978">
              <w:rPr>
                <w:sz w:val="16"/>
                <w:szCs w:val="18"/>
              </w:rPr>
              <w:t xml:space="preserve"> copper operation that commenced production in 2025</w:t>
            </w:r>
            <w:r w:rsidR="005A6E47" w:rsidRPr="00224978">
              <w:rPr>
                <w:sz w:val="16"/>
                <w:szCs w:val="18"/>
              </w:rPr>
              <w:t xml:space="preserve">, and </w:t>
            </w:r>
            <w:r w:rsidR="00195E05" w:rsidRPr="00224978">
              <w:rPr>
                <w:sz w:val="16"/>
                <w:szCs w:val="18"/>
              </w:rPr>
              <w:t>plans to be the largest underground mining operation in the region</w:t>
            </w:r>
            <w:r w:rsidRPr="00224978">
              <w:rPr>
                <w:sz w:val="16"/>
                <w:szCs w:val="18"/>
              </w:rPr>
              <w:t>. Its development and ramp-up add operating and technical</w:t>
            </w:r>
            <w:r w:rsidR="00FF6470" w:rsidRPr="00224978">
              <w:rPr>
                <w:sz w:val="16"/>
                <w:szCs w:val="18"/>
              </w:rPr>
              <w:t xml:space="preserve"> </w:t>
            </w:r>
            <w:r w:rsidRPr="00224978">
              <w:rPr>
                <w:sz w:val="16"/>
                <w:szCs w:val="18"/>
              </w:rPr>
              <w:t>service demand alongside Morocco’s established metals assets.</w:t>
            </w:r>
          </w:p>
        </w:tc>
        <w:tc>
          <w:tcPr>
            <w:tcW w:w="3968" w:type="dxa"/>
          </w:tcPr>
          <w:p w14:paraId="046B7F02" w14:textId="46BB3E44" w:rsidR="00EC04B7" w:rsidRPr="00224978" w:rsidRDefault="00777D43" w:rsidP="00224978">
            <w:pPr>
              <w:rPr>
                <w:sz w:val="16"/>
                <w:szCs w:val="18"/>
              </w:rPr>
            </w:pPr>
            <w:r w:rsidRPr="00224978">
              <w:rPr>
                <w:sz w:val="16"/>
                <w:szCs w:val="18"/>
              </w:rPr>
              <w:t xml:space="preserve">As a greenfields site, Managem worked with </w:t>
            </w:r>
            <w:r w:rsidR="00EC04B7" w:rsidRPr="00224978">
              <w:rPr>
                <w:sz w:val="16"/>
                <w:szCs w:val="18"/>
              </w:rPr>
              <w:t xml:space="preserve">Epiroc </w:t>
            </w:r>
            <w:r w:rsidRPr="00224978">
              <w:rPr>
                <w:sz w:val="16"/>
                <w:szCs w:val="18"/>
              </w:rPr>
              <w:t xml:space="preserve">to embed digitisation technologies such as </w:t>
            </w:r>
            <w:r w:rsidR="00EC04B7" w:rsidRPr="00224978">
              <w:rPr>
                <w:sz w:val="16"/>
                <w:szCs w:val="18"/>
              </w:rPr>
              <w:t>real-time personnel and vehicle tracking and safety systems.</w:t>
            </w:r>
            <w:r w:rsidR="00EC04B7" w:rsidRPr="00CE6EE6">
              <w:rPr>
                <w:sz w:val="16"/>
                <w:szCs w:val="18"/>
                <w:vertAlign w:val="superscript"/>
              </w:rPr>
              <w:t>[11]</w:t>
            </w:r>
            <w:r w:rsidR="00EC04B7" w:rsidRPr="00224978">
              <w:rPr>
                <w:sz w:val="16"/>
                <w:szCs w:val="18"/>
              </w:rPr>
              <w:t xml:space="preserve"> METS applications include plant reliability, maintenance, operating optimisation and workforce capability as copper</w:t>
            </w:r>
            <w:r w:rsidR="00836A85" w:rsidRPr="00224978">
              <w:rPr>
                <w:sz w:val="16"/>
                <w:szCs w:val="18"/>
              </w:rPr>
              <w:t xml:space="preserve"> </w:t>
            </w:r>
            <w:r w:rsidR="00EC04B7" w:rsidRPr="00224978">
              <w:rPr>
                <w:sz w:val="16"/>
                <w:szCs w:val="18"/>
              </w:rPr>
              <w:t>concentrate production ramps up</w:t>
            </w:r>
            <w:r w:rsidR="00836A85" w:rsidRPr="00224978">
              <w:rPr>
                <w:sz w:val="16"/>
                <w:szCs w:val="18"/>
              </w:rPr>
              <w:t xml:space="preserve">, along with </w:t>
            </w:r>
            <w:r w:rsidR="004A6EA5" w:rsidRPr="00224978">
              <w:rPr>
                <w:sz w:val="16"/>
                <w:szCs w:val="18"/>
              </w:rPr>
              <w:t xml:space="preserve">efficiency-enhancing systems leveraging the </w:t>
            </w:r>
            <w:r w:rsidR="00043800" w:rsidRPr="00224978">
              <w:rPr>
                <w:sz w:val="16"/>
                <w:szCs w:val="18"/>
              </w:rPr>
              <w:t xml:space="preserve">mine’s digital architecture. </w:t>
            </w:r>
          </w:p>
        </w:tc>
      </w:tr>
      <w:tr w:rsidR="006874DA" w14:paraId="1AFA59A6" w14:textId="77777777" w:rsidTr="0023213C">
        <w:trPr>
          <w:cantSplit/>
        </w:trPr>
        <w:tc>
          <w:tcPr>
            <w:tcW w:w="2016" w:type="dxa"/>
          </w:tcPr>
          <w:p w14:paraId="71CC6102" w14:textId="2D25B63A" w:rsidR="006874DA" w:rsidRPr="00224978" w:rsidRDefault="006874DA" w:rsidP="00224978">
            <w:pPr>
              <w:rPr>
                <w:sz w:val="16"/>
                <w:szCs w:val="18"/>
              </w:rPr>
            </w:pPr>
            <w:r w:rsidRPr="00224978">
              <w:rPr>
                <w:sz w:val="16"/>
                <w:szCs w:val="18"/>
              </w:rPr>
              <w:t>Boumadine Polymetallic Project - Aya Gold and Silver</w:t>
            </w:r>
          </w:p>
        </w:tc>
        <w:tc>
          <w:tcPr>
            <w:tcW w:w="4096" w:type="dxa"/>
          </w:tcPr>
          <w:p w14:paraId="48B29013" w14:textId="43EFC63F" w:rsidR="006874DA" w:rsidRPr="00224978" w:rsidRDefault="000F517D" w:rsidP="00224978">
            <w:pPr>
              <w:rPr>
                <w:sz w:val="16"/>
                <w:szCs w:val="18"/>
              </w:rPr>
            </w:pPr>
            <w:r w:rsidRPr="00224978">
              <w:rPr>
                <w:sz w:val="16"/>
                <w:szCs w:val="18"/>
              </w:rPr>
              <w:t>Boumadine is a development-stage polymetallic growth project. Aya published an updated preliminary economic assessment on 9 September 2026 outlining a combined open-pit and underground plan with a 14-year mine life. A feasibility study and environmental and social impact assessment (ESIA) are underway, supported by a 400,000-metre drilling program across 2026–2027.</w:t>
            </w:r>
            <w:r w:rsidRPr="00CE6EE6">
              <w:rPr>
                <w:sz w:val="16"/>
                <w:szCs w:val="18"/>
                <w:vertAlign w:val="superscript"/>
              </w:rPr>
              <w:t>[15]</w:t>
            </w:r>
          </w:p>
        </w:tc>
        <w:tc>
          <w:tcPr>
            <w:tcW w:w="3968" w:type="dxa"/>
          </w:tcPr>
          <w:p w14:paraId="054DF69B" w14:textId="138F6ABF" w:rsidR="006874DA" w:rsidRPr="00224978" w:rsidRDefault="006874DA" w:rsidP="00224978">
            <w:pPr>
              <w:rPr>
                <w:sz w:val="16"/>
                <w:szCs w:val="18"/>
              </w:rPr>
            </w:pPr>
            <w:r w:rsidRPr="00224978">
              <w:rPr>
                <w:sz w:val="16"/>
                <w:szCs w:val="18"/>
              </w:rPr>
              <w:t xml:space="preserve">Near-term METS opportunities relate to engineering, metallurgical testwork, water and infrastructure design, resource-definition </w:t>
            </w:r>
            <w:r w:rsidR="009C5379" w:rsidRPr="00224978">
              <w:rPr>
                <w:sz w:val="16"/>
                <w:szCs w:val="18"/>
              </w:rPr>
              <w:t xml:space="preserve">and </w:t>
            </w:r>
            <w:r w:rsidRPr="00224978">
              <w:rPr>
                <w:sz w:val="16"/>
                <w:szCs w:val="18"/>
              </w:rPr>
              <w:t xml:space="preserve">drilling. </w:t>
            </w:r>
            <w:r w:rsidR="009C5379" w:rsidRPr="00224978">
              <w:rPr>
                <w:sz w:val="16"/>
                <w:szCs w:val="18"/>
              </w:rPr>
              <w:t xml:space="preserve">Future procurement packages remain </w:t>
            </w:r>
            <w:r w:rsidRPr="00224978">
              <w:rPr>
                <w:sz w:val="16"/>
                <w:szCs w:val="18"/>
              </w:rPr>
              <w:t>prospective until the feasibility study, approvals and funding are further advanced.</w:t>
            </w:r>
            <w:r w:rsidRPr="00CE6EE6">
              <w:rPr>
                <w:sz w:val="16"/>
                <w:szCs w:val="18"/>
                <w:vertAlign w:val="superscript"/>
              </w:rPr>
              <w:t>[17]</w:t>
            </w:r>
          </w:p>
        </w:tc>
      </w:tr>
    </w:tbl>
    <w:p w14:paraId="565F20AA" w14:textId="29D73DEE" w:rsidR="002F2721" w:rsidRDefault="002F2721">
      <w:pPr>
        <w:spacing w:after="200" w:line="276" w:lineRule="auto"/>
        <w:rPr>
          <w:rFonts w:asciiTheme="majorHAnsi" w:hAnsiTheme="majorHAnsi" w:cstheme="majorHAnsi"/>
          <w:b/>
          <w:bCs/>
          <w:szCs w:val="20"/>
        </w:rPr>
      </w:pPr>
    </w:p>
    <w:p w14:paraId="06805724" w14:textId="77777777" w:rsidR="009842BD" w:rsidRDefault="009842BD" w:rsidP="002C3C2E">
      <w:pPr>
        <w:pStyle w:val="Heading3"/>
      </w:pPr>
      <w:r>
        <w:t xml:space="preserve">Market Approach for Australian METS </w:t>
      </w:r>
    </w:p>
    <w:p w14:paraId="049BBB6D" w14:textId="77777777" w:rsidR="009842BD" w:rsidRDefault="009842BD" w:rsidP="009842BD"/>
    <w:p w14:paraId="17A45478" w14:textId="77777777" w:rsidR="002C3C2E" w:rsidRDefault="009842BD" w:rsidP="00245D3A">
      <w:pPr>
        <w:pStyle w:val="Quote1"/>
      </w:pPr>
      <w:r w:rsidRPr="001049D4">
        <w:t>“</w:t>
      </w:r>
      <w:r w:rsidRPr="009E2A2E">
        <w:t>A local presence, either directly or through a qualified local partner or distributor, is a key success factor for large-</w:t>
      </w:r>
      <w:r w:rsidRPr="00245D3A">
        <w:t>scale</w:t>
      </w:r>
      <w:r w:rsidRPr="009E2A2E">
        <w:t xml:space="preserve"> projects. OCP typically seeks strategic partners capable of creating long-term value, rather than transactional supplier relationships</w:t>
      </w:r>
      <w:r w:rsidRPr="001049D4">
        <w:t>.”</w:t>
      </w:r>
    </w:p>
    <w:p w14:paraId="6571F2AD" w14:textId="1490F219" w:rsidR="009842BD" w:rsidRDefault="009842BD" w:rsidP="002C3C2E">
      <w:pPr>
        <w:pStyle w:val="quotename"/>
      </w:pPr>
      <w:r>
        <w:t xml:space="preserve">- </w:t>
      </w:r>
      <w:r w:rsidRPr="001049D4">
        <w:t>Driss Sekkat</w:t>
      </w:r>
      <w:r>
        <w:t xml:space="preserve">, Investment Director, Austrade </w:t>
      </w:r>
    </w:p>
    <w:p w14:paraId="11D592AB" w14:textId="7151EA7F" w:rsidR="009842BD" w:rsidRPr="002C3C2E" w:rsidRDefault="009842BD" w:rsidP="002C3C2E">
      <w:pPr>
        <w:pStyle w:val="Heading3"/>
      </w:pPr>
      <w:r>
        <w:t xml:space="preserve">Australian METS Capability Alignment </w:t>
      </w:r>
    </w:p>
    <w:tbl>
      <w:tblPr>
        <w:tblStyle w:val="TableGrid"/>
        <w:tblW w:w="0" w:type="auto"/>
        <w:tblCellMar>
          <w:top w:w="57" w:type="dxa"/>
          <w:bottom w:w="57" w:type="dxa"/>
        </w:tblCellMar>
        <w:tblLook w:val="04A0" w:firstRow="1" w:lastRow="0" w:firstColumn="1" w:lastColumn="0" w:noHBand="0" w:noVBand="1"/>
      </w:tblPr>
      <w:tblGrid>
        <w:gridCol w:w="1838"/>
        <w:gridCol w:w="3544"/>
        <w:gridCol w:w="4688"/>
      </w:tblGrid>
      <w:tr w:rsidR="009842BD" w:rsidRPr="001264C2" w14:paraId="158CA6FC" w14:textId="77777777" w:rsidTr="0023213C">
        <w:trPr>
          <w:trHeight w:val="373"/>
        </w:trPr>
        <w:tc>
          <w:tcPr>
            <w:tcW w:w="1838" w:type="dxa"/>
            <w:shd w:val="clear" w:color="auto" w:fill="173F34" w:themeFill="accent1"/>
            <w:vAlign w:val="center"/>
          </w:tcPr>
          <w:p w14:paraId="49685D5F" w14:textId="77777777" w:rsidR="009842BD" w:rsidRPr="0023213C" w:rsidRDefault="009842BD" w:rsidP="0023213C">
            <w:pPr>
              <w:rPr>
                <w:b/>
                <w:bCs/>
                <w:color w:val="FFFFFF" w:themeColor="background1"/>
                <w:sz w:val="16"/>
                <w:szCs w:val="16"/>
              </w:rPr>
            </w:pPr>
            <w:r w:rsidRPr="0023213C">
              <w:rPr>
                <w:b/>
                <w:bCs/>
                <w:color w:val="FFFFFF" w:themeColor="background1"/>
                <w:sz w:val="16"/>
                <w:szCs w:val="16"/>
              </w:rPr>
              <w:t xml:space="preserve">Category </w:t>
            </w:r>
          </w:p>
        </w:tc>
        <w:tc>
          <w:tcPr>
            <w:tcW w:w="3544" w:type="dxa"/>
            <w:shd w:val="clear" w:color="auto" w:fill="173F34" w:themeFill="accent1"/>
            <w:vAlign w:val="center"/>
          </w:tcPr>
          <w:p w14:paraId="43D2E8A4" w14:textId="77777777" w:rsidR="009842BD" w:rsidRPr="0023213C" w:rsidRDefault="009842BD" w:rsidP="0023213C">
            <w:pPr>
              <w:rPr>
                <w:b/>
                <w:bCs/>
                <w:color w:val="FFFFFF" w:themeColor="background1"/>
                <w:sz w:val="16"/>
                <w:szCs w:val="16"/>
              </w:rPr>
            </w:pPr>
            <w:r w:rsidRPr="0023213C">
              <w:rPr>
                <w:b/>
                <w:bCs/>
                <w:color w:val="FFFFFF" w:themeColor="background1"/>
                <w:sz w:val="16"/>
                <w:szCs w:val="16"/>
              </w:rPr>
              <w:t xml:space="preserve">Capabilities Required </w:t>
            </w:r>
          </w:p>
        </w:tc>
        <w:tc>
          <w:tcPr>
            <w:tcW w:w="4688" w:type="dxa"/>
            <w:shd w:val="clear" w:color="auto" w:fill="173F34" w:themeFill="accent1"/>
            <w:vAlign w:val="center"/>
          </w:tcPr>
          <w:p w14:paraId="0D33C156" w14:textId="77777777" w:rsidR="009842BD" w:rsidRPr="0023213C" w:rsidRDefault="009842BD" w:rsidP="0023213C">
            <w:pPr>
              <w:rPr>
                <w:b/>
                <w:bCs/>
                <w:color w:val="FFFFFF" w:themeColor="background1"/>
                <w:sz w:val="16"/>
                <w:szCs w:val="16"/>
              </w:rPr>
            </w:pPr>
            <w:r w:rsidRPr="0023213C">
              <w:rPr>
                <w:b/>
                <w:bCs/>
                <w:color w:val="FFFFFF" w:themeColor="background1"/>
                <w:sz w:val="16"/>
                <w:szCs w:val="16"/>
              </w:rPr>
              <w:t xml:space="preserve">Demand Drivers </w:t>
            </w:r>
          </w:p>
        </w:tc>
      </w:tr>
      <w:tr w:rsidR="006A29C6" w:rsidRPr="001264C2" w14:paraId="00B30B31" w14:textId="77777777" w:rsidTr="0023213C">
        <w:tc>
          <w:tcPr>
            <w:tcW w:w="1838" w:type="dxa"/>
          </w:tcPr>
          <w:p w14:paraId="4FEEC180" w14:textId="77777777" w:rsidR="006A29C6" w:rsidRPr="00224978" w:rsidRDefault="006A29C6" w:rsidP="00224978">
            <w:pPr>
              <w:rPr>
                <w:sz w:val="16"/>
                <w:szCs w:val="16"/>
              </w:rPr>
            </w:pPr>
            <w:r w:rsidRPr="00224978">
              <w:rPr>
                <w:sz w:val="16"/>
                <w:szCs w:val="16"/>
              </w:rPr>
              <w:t>Water &amp; desalination technology</w:t>
            </w:r>
          </w:p>
        </w:tc>
        <w:tc>
          <w:tcPr>
            <w:tcW w:w="3544" w:type="dxa"/>
          </w:tcPr>
          <w:p w14:paraId="15822EEF" w14:textId="177030A0" w:rsidR="006A29C6" w:rsidRPr="00224978" w:rsidRDefault="006A29C6" w:rsidP="00224978">
            <w:pPr>
              <w:rPr>
                <w:sz w:val="16"/>
                <w:szCs w:val="16"/>
              </w:rPr>
            </w:pPr>
            <w:r w:rsidRPr="00224978">
              <w:rPr>
                <w:sz w:val="16"/>
                <w:szCs w:val="16"/>
              </w:rPr>
              <w:t xml:space="preserve">Seawater desalination plant design and construction; non-conventional water treatment and reuse systems; water-efficient beneficiation and processing technology; water recycling and tailings water recovery. </w:t>
            </w:r>
          </w:p>
        </w:tc>
        <w:tc>
          <w:tcPr>
            <w:tcW w:w="4688" w:type="dxa"/>
          </w:tcPr>
          <w:p w14:paraId="3E4F3BB9" w14:textId="750BFEB5" w:rsidR="006A29C6" w:rsidRPr="00224978" w:rsidRDefault="006A29C6" w:rsidP="00224978">
            <w:pPr>
              <w:rPr>
                <w:sz w:val="16"/>
                <w:szCs w:val="16"/>
              </w:rPr>
            </w:pPr>
            <w:r w:rsidRPr="00224978">
              <w:rPr>
                <w:sz w:val="16"/>
                <w:szCs w:val="16"/>
              </w:rPr>
              <w:t>Water scarcity makes desalination, transfer and reuse central to OCP’s operations. OCP reported autonomy from conventional water across its industrial and mining sites in July 2025 and continues to develop water infrastructure at Jorf Lasfar and Safi.</w:t>
            </w:r>
            <w:r w:rsidRPr="00CE6EE6">
              <w:rPr>
                <w:sz w:val="16"/>
                <w:szCs w:val="16"/>
                <w:vertAlign w:val="superscript"/>
              </w:rPr>
              <w:t>[6][13]</w:t>
            </w:r>
            <w:r w:rsidRPr="00224978">
              <w:rPr>
                <w:sz w:val="16"/>
                <w:szCs w:val="16"/>
              </w:rPr>
              <w:t xml:space="preserve"> Water availability also affects project planning in inland exploration areas.</w:t>
            </w:r>
          </w:p>
        </w:tc>
      </w:tr>
      <w:tr w:rsidR="006A29C6" w:rsidRPr="001264C2" w14:paraId="4A2FFD77" w14:textId="77777777" w:rsidTr="0023213C">
        <w:tc>
          <w:tcPr>
            <w:tcW w:w="1838" w:type="dxa"/>
          </w:tcPr>
          <w:p w14:paraId="6FC10840" w14:textId="77777777" w:rsidR="006A29C6" w:rsidRPr="00224978" w:rsidRDefault="006A29C6" w:rsidP="00224978">
            <w:pPr>
              <w:rPr>
                <w:sz w:val="16"/>
                <w:szCs w:val="16"/>
              </w:rPr>
            </w:pPr>
            <w:r w:rsidRPr="00224978">
              <w:rPr>
                <w:sz w:val="16"/>
                <w:szCs w:val="16"/>
              </w:rPr>
              <w:t>Renewable energy &amp; decarbonisation</w:t>
            </w:r>
          </w:p>
        </w:tc>
        <w:tc>
          <w:tcPr>
            <w:tcW w:w="3544" w:type="dxa"/>
          </w:tcPr>
          <w:p w14:paraId="5B667AF5" w14:textId="2F04A88D" w:rsidR="006A29C6" w:rsidRPr="00224978" w:rsidRDefault="006A29C6" w:rsidP="00224978">
            <w:pPr>
              <w:rPr>
                <w:sz w:val="16"/>
                <w:szCs w:val="16"/>
              </w:rPr>
            </w:pPr>
            <w:r w:rsidRPr="00224978">
              <w:rPr>
                <w:sz w:val="16"/>
                <w:szCs w:val="16"/>
              </w:rPr>
              <w:t xml:space="preserve">Solar and wind power integration for mine sites; green hydrogen/ammonia production expertise; grid connection and hybrid power system design; carbon capture/reduction technology. </w:t>
            </w:r>
          </w:p>
        </w:tc>
        <w:tc>
          <w:tcPr>
            <w:tcW w:w="4688" w:type="dxa"/>
          </w:tcPr>
          <w:p w14:paraId="0587EA31" w14:textId="30909A12" w:rsidR="006A29C6" w:rsidRPr="00224978" w:rsidRDefault="006A29C6" w:rsidP="00224978">
            <w:pPr>
              <w:rPr>
                <w:sz w:val="16"/>
                <w:szCs w:val="16"/>
              </w:rPr>
            </w:pPr>
            <w:r w:rsidRPr="00224978">
              <w:rPr>
                <w:sz w:val="16"/>
                <w:szCs w:val="16"/>
              </w:rPr>
              <w:t>OCP targets 100% renewable energy by 2027 and carbon neutrality (Scopes 1 and 2 by 2030, Scope 3 by 2040), backed by a US$13 billion 2023–2027 investment program.</w:t>
            </w:r>
            <w:r w:rsidRPr="00CE6EE6">
              <w:rPr>
                <w:sz w:val="16"/>
                <w:szCs w:val="16"/>
                <w:vertAlign w:val="superscript"/>
              </w:rPr>
              <w:t>[12]</w:t>
            </w:r>
          </w:p>
        </w:tc>
      </w:tr>
      <w:tr w:rsidR="006A29C6" w:rsidRPr="001264C2" w14:paraId="04B533E2" w14:textId="77777777" w:rsidTr="0023213C">
        <w:tc>
          <w:tcPr>
            <w:tcW w:w="1838" w:type="dxa"/>
          </w:tcPr>
          <w:p w14:paraId="2E1BA9C1" w14:textId="77777777" w:rsidR="006A29C6" w:rsidRPr="00224978" w:rsidRDefault="006A29C6" w:rsidP="00224978">
            <w:pPr>
              <w:rPr>
                <w:sz w:val="16"/>
                <w:szCs w:val="16"/>
              </w:rPr>
            </w:pPr>
            <w:r w:rsidRPr="00224978">
              <w:rPr>
                <w:sz w:val="16"/>
                <w:szCs w:val="16"/>
              </w:rPr>
              <w:lastRenderedPageBreak/>
              <w:t>Mining equipment &amp; processing technology</w:t>
            </w:r>
          </w:p>
        </w:tc>
        <w:tc>
          <w:tcPr>
            <w:tcW w:w="3544" w:type="dxa"/>
          </w:tcPr>
          <w:p w14:paraId="764C1DB0" w14:textId="031B3696" w:rsidR="006A29C6" w:rsidRPr="00224978" w:rsidRDefault="006A29C6" w:rsidP="00224978">
            <w:pPr>
              <w:rPr>
                <w:sz w:val="16"/>
                <w:szCs w:val="16"/>
              </w:rPr>
            </w:pPr>
            <w:r w:rsidRPr="00224978">
              <w:rPr>
                <w:sz w:val="16"/>
                <w:szCs w:val="16"/>
              </w:rPr>
              <w:t>Slurry pumps, hydrocyclones and separation equipment; crushing, grinding, and beneficiation plant technology; energy-efficient processing systems; equipment suited to open-pit and underground hard-rock operations.</w:t>
            </w:r>
          </w:p>
        </w:tc>
        <w:tc>
          <w:tcPr>
            <w:tcW w:w="4688" w:type="dxa"/>
          </w:tcPr>
          <w:p w14:paraId="611BDB34" w14:textId="7E677758" w:rsidR="006A29C6" w:rsidRPr="00224978" w:rsidRDefault="006A29C6" w:rsidP="00224978">
            <w:pPr>
              <w:rPr>
                <w:sz w:val="16"/>
                <w:szCs w:val="16"/>
              </w:rPr>
            </w:pPr>
            <w:r w:rsidRPr="00224978">
              <w:rPr>
                <w:sz w:val="16"/>
                <w:szCs w:val="16"/>
              </w:rPr>
              <w:t>OCP's ongoing Khouribga/Benguerir/Louta expansions and Managem's new mines (Tizert, Bou-Azzer sulfate plant) require modern, efficient processing equipment as production scales and OCP pursues its 20 Mt/year 2027 fertiliser target.</w:t>
            </w:r>
            <w:r w:rsidRPr="00CE6EE6">
              <w:rPr>
                <w:sz w:val="16"/>
                <w:szCs w:val="16"/>
                <w:vertAlign w:val="superscript"/>
              </w:rPr>
              <w:t>[13]</w:t>
            </w:r>
          </w:p>
        </w:tc>
      </w:tr>
      <w:tr w:rsidR="006A29C6" w:rsidRPr="001264C2" w14:paraId="4A357641" w14:textId="77777777" w:rsidTr="0023213C">
        <w:tc>
          <w:tcPr>
            <w:tcW w:w="1838" w:type="dxa"/>
          </w:tcPr>
          <w:p w14:paraId="36941E59" w14:textId="77777777" w:rsidR="006A29C6" w:rsidRPr="00224978" w:rsidRDefault="006A29C6" w:rsidP="00224978">
            <w:pPr>
              <w:rPr>
                <w:sz w:val="16"/>
                <w:szCs w:val="16"/>
              </w:rPr>
            </w:pPr>
            <w:r w:rsidRPr="00224978">
              <w:rPr>
                <w:sz w:val="16"/>
                <w:szCs w:val="16"/>
              </w:rPr>
              <w:t>Mine automation &amp; digitalisation</w:t>
            </w:r>
          </w:p>
        </w:tc>
        <w:tc>
          <w:tcPr>
            <w:tcW w:w="3544" w:type="dxa"/>
          </w:tcPr>
          <w:p w14:paraId="6B5D0D7A" w14:textId="43B13301" w:rsidR="006A29C6" w:rsidRPr="00224978" w:rsidRDefault="006A29C6" w:rsidP="00224978">
            <w:pPr>
              <w:rPr>
                <w:sz w:val="16"/>
                <w:szCs w:val="16"/>
              </w:rPr>
            </w:pPr>
            <w:r w:rsidRPr="00224978">
              <w:rPr>
                <w:sz w:val="16"/>
                <w:szCs w:val="16"/>
              </w:rPr>
              <w:t>Real-time personnel/vehicle tracking systems; remote and autonomous drilling/haulage technology; digital mine planning and orebody modelling software; data management and IoT sensor systems.</w:t>
            </w:r>
          </w:p>
        </w:tc>
        <w:tc>
          <w:tcPr>
            <w:tcW w:w="4688" w:type="dxa"/>
          </w:tcPr>
          <w:p w14:paraId="6BDAF6A8" w14:textId="634ABF6A" w:rsidR="006A29C6" w:rsidRPr="00224978" w:rsidRDefault="006A29C6" w:rsidP="00224978">
            <w:pPr>
              <w:rPr>
                <w:sz w:val="16"/>
                <w:szCs w:val="16"/>
              </w:rPr>
            </w:pPr>
            <w:r w:rsidRPr="00224978">
              <w:rPr>
                <w:sz w:val="16"/>
                <w:szCs w:val="16"/>
              </w:rPr>
              <w:t xml:space="preserve">Managem's "digitalised greenfield" approach at Tizert signals appetite for automation from project inception. OCP's existing sensor-based slurry pipeline monitoring shows precedent for data-driven operations. </w:t>
            </w:r>
          </w:p>
        </w:tc>
      </w:tr>
      <w:tr w:rsidR="006A29C6" w:rsidRPr="001264C2" w14:paraId="29F0ED39" w14:textId="77777777" w:rsidTr="0023213C">
        <w:tc>
          <w:tcPr>
            <w:tcW w:w="1838" w:type="dxa"/>
          </w:tcPr>
          <w:p w14:paraId="000672C2" w14:textId="77777777" w:rsidR="006A29C6" w:rsidRPr="00224978" w:rsidRDefault="006A29C6" w:rsidP="00224978">
            <w:pPr>
              <w:rPr>
                <w:sz w:val="16"/>
                <w:szCs w:val="16"/>
              </w:rPr>
            </w:pPr>
            <w:r w:rsidRPr="00224978">
              <w:rPr>
                <w:sz w:val="16"/>
                <w:szCs w:val="16"/>
              </w:rPr>
              <w:t>Exploration &amp; geological services</w:t>
            </w:r>
          </w:p>
        </w:tc>
        <w:tc>
          <w:tcPr>
            <w:tcW w:w="3544" w:type="dxa"/>
          </w:tcPr>
          <w:p w14:paraId="126D3979" w14:textId="5F6D1C42" w:rsidR="006A29C6" w:rsidRPr="00224978" w:rsidRDefault="006A29C6" w:rsidP="00224978">
            <w:pPr>
              <w:rPr>
                <w:sz w:val="16"/>
                <w:szCs w:val="16"/>
              </w:rPr>
            </w:pPr>
            <w:r w:rsidRPr="00224978">
              <w:rPr>
                <w:sz w:val="16"/>
                <w:szCs w:val="16"/>
              </w:rPr>
              <w:t>Diamond and reverse-circulation (RC) drilling contract services; geophysical surveying; assay and metallurgical test work laboratories; resource estimation and reporting under Canada's National Instrument 43-101 and the Australasian Code for Reporting of Exploration Results, Mineral Resources and Ore Reserves (JORC Code).</w:t>
            </w:r>
          </w:p>
        </w:tc>
        <w:tc>
          <w:tcPr>
            <w:tcW w:w="4688" w:type="dxa"/>
          </w:tcPr>
          <w:p w14:paraId="034284E5" w14:textId="35181774" w:rsidR="006A29C6" w:rsidRPr="00224978" w:rsidRDefault="006A29C6" w:rsidP="00224978">
            <w:pPr>
              <w:rPr>
                <w:sz w:val="16"/>
                <w:szCs w:val="16"/>
              </w:rPr>
            </w:pPr>
            <w:r w:rsidRPr="00224978">
              <w:rPr>
                <w:sz w:val="16"/>
                <w:szCs w:val="16"/>
              </w:rPr>
              <w:t>Rapid growth in junior explorer activity (Aya, Morocco Strategic Minerals, Stellar AfricaGold, Steadright, Trigon, CMR) with limited major international drilling contractor presence currently established in-country.</w:t>
            </w:r>
          </w:p>
        </w:tc>
      </w:tr>
      <w:tr w:rsidR="006A29C6" w:rsidRPr="001264C2" w14:paraId="3362FFA7" w14:textId="77777777" w:rsidTr="0023213C">
        <w:tc>
          <w:tcPr>
            <w:tcW w:w="1838" w:type="dxa"/>
          </w:tcPr>
          <w:p w14:paraId="1AC9758D" w14:textId="77777777" w:rsidR="006A29C6" w:rsidRPr="00224978" w:rsidRDefault="006A29C6" w:rsidP="00224978">
            <w:pPr>
              <w:rPr>
                <w:sz w:val="16"/>
                <w:szCs w:val="16"/>
              </w:rPr>
            </w:pPr>
            <w:r w:rsidRPr="00224978">
              <w:rPr>
                <w:sz w:val="16"/>
                <w:szCs w:val="16"/>
              </w:rPr>
              <w:t>Environmental, safety &amp; sustainability consulting</w:t>
            </w:r>
          </w:p>
        </w:tc>
        <w:tc>
          <w:tcPr>
            <w:tcW w:w="3544" w:type="dxa"/>
          </w:tcPr>
          <w:p w14:paraId="3DAF7252" w14:textId="14D1E17A" w:rsidR="006A29C6" w:rsidRPr="00224978" w:rsidRDefault="006A29C6" w:rsidP="00224978">
            <w:pPr>
              <w:rPr>
                <w:sz w:val="16"/>
                <w:szCs w:val="16"/>
              </w:rPr>
            </w:pPr>
            <w:r w:rsidRPr="00224978">
              <w:rPr>
                <w:sz w:val="16"/>
                <w:szCs w:val="16"/>
              </w:rPr>
              <w:t xml:space="preserve">ESG compliance and reporting aligned with European Union (EU) standards; mine rehabilitation and closure planning; quality, health, safety and environment (QHSE) systems and auditing; community development program design. </w:t>
            </w:r>
          </w:p>
        </w:tc>
        <w:tc>
          <w:tcPr>
            <w:tcW w:w="4688" w:type="dxa"/>
          </w:tcPr>
          <w:p w14:paraId="0EC1944D" w14:textId="3CAE9816" w:rsidR="006A29C6" w:rsidRPr="00224978" w:rsidRDefault="006A29C6" w:rsidP="00224978">
            <w:pPr>
              <w:rPr>
                <w:sz w:val="16"/>
                <w:szCs w:val="16"/>
              </w:rPr>
            </w:pPr>
            <w:r w:rsidRPr="00224978">
              <w:rPr>
                <w:sz w:val="16"/>
                <w:szCs w:val="16"/>
              </w:rPr>
              <w:t>Morocco's green mining agenda is explicitly aligned with EU sustainability standards to support its export relationship with Europe. OCP and Managem both publicise strong sustainability and community commitments, and EU-linked trade requires demonstrable compliance.</w:t>
            </w:r>
          </w:p>
        </w:tc>
      </w:tr>
    </w:tbl>
    <w:p w14:paraId="77F66D8D" w14:textId="77777777" w:rsidR="009842BD" w:rsidRDefault="009842BD" w:rsidP="009842BD"/>
    <w:p w14:paraId="42448BD9" w14:textId="33D9F947" w:rsidR="00017873" w:rsidRPr="00017873" w:rsidRDefault="009842BD" w:rsidP="002C3C2E">
      <w:pPr>
        <w:pStyle w:val="Heading3"/>
      </w:pPr>
      <w:r w:rsidRPr="00E91368">
        <w:t>Procurement and supplier preparation</w:t>
      </w:r>
    </w:p>
    <w:p w14:paraId="224D45E6" w14:textId="02D5F82A" w:rsidR="00BC5491" w:rsidRDefault="00BC5491" w:rsidP="00017873">
      <w:r>
        <w:t xml:space="preserve">Morocco has historically had </w:t>
      </w:r>
      <w:r w:rsidRPr="00BC5491">
        <w:t xml:space="preserve">no mandatory local content requirements </w:t>
      </w:r>
      <w:r>
        <w:t xml:space="preserve">in place. </w:t>
      </w:r>
      <w:r w:rsidR="006237E0">
        <w:t xml:space="preserve">However, </w:t>
      </w:r>
      <w:r w:rsidR="0046567E">
        <w:t xml:space="preserve">a </w:t>
      </w:r>
      <w:r w:rsidR="0046567E" w:rsidRPr="0046567E">
        <w:t>draft mining code reform</w:t>
      </w:r>
      <w:r w:rsidR="006154EF">
        <w:t xml:space="preserve"> </w:t>
      </w:r>
      <w:r w:rsidR="005D6A58">
        <w:t>is set to examine</w:t>
      </w:r>
      <w:r w:rsidR="006154EF" w:rsidRPr="006154EF">
        <w:t xml:space="preserve"> the transfer and leasing of exploitation permits, regulate subcontracting, and prioriti</w:t>
      </w:r>
      <w:r w:rsidR="00D87FA6">
        <w:t>s</w:t>
      </w:r>
      <w:r w:rsidR="006154EF" w:rsidRPr="006154EF">
        <w:t>e local employment and training through a new professional mining card.</w:t>
      </w:r>
      <w:r w:rsidR="005D6A58" w:rsidRPr="00CE6EE6">
        <w:rPr>
          <w:vertAlign w:val="superscript"/>
        </w:rPr>
        <w:t>[1</w:t>
      </w:r>
      <w:r w:rsidR="009E783E" w:rsidRPr="00CE6EE6">
        <w:rPr>
          <w:vertAlign w:val="superscript"/>
        </w:rPr>
        <w:t>6</w:t>
      </w:r>
      <w:r w:rsidR="005D6A58" w:rsidRPr="00CE6EE6">
        <w:rPr>
          <w:vertAlign w:val="superscript"/>
        </w:rPr>
        <w:t>]</w:t>
      </w:r>
    </w:p>
    <w:p w14:paraId="0EFD5B9C" w14:textId="1A4358A2" w:rsidR="00397F4C" w:rsidRDefault="00397F4C" w:rsidP="00017873">
      <w:r w:rsidRPr="00397F4C">
        <w:t>Customs duties and any zone-based incentives depend on the product, location and activity. Suppliers should confirm the applicable treatment before pricing equipment or choosing an import route.</w:t>
      </w:r>
      <w:r w:rsidRPr="00CE6EE6">
        <w:rPr>
          <w:vertAlign w:val="superscript"/>
        </w:rPr>
        <w:t>[1</w:t>
      </w:r>
      <w:r w:rsidR="009E783E" w:rsidRPr="00CE6EE6">
        <w:rPr>
          <w:vertAlign w:val="superscript"/>
        </w:rPr>
        <w:t>7</w:t>
      </w:r>
      <w:r w:rsidRPr="00CE6EE6">
        <w:rPr>
          <w:vertAlign w:val="superscript"/>
        </w:rPr>
        <w:t>]</w:t>
      </w:r>
    </w:p>
    <w:p w14:paraId="76DF960D" w14:textId="78159D1F" w:rsidR="009842BD" w:rsidRDefault="009842BD" w:rsidP="00017873">
      <w:r w:rsidRPr="00E91368">
        <w:t>OCP is the central account,</w:t>
      </w:r>
      <w:r>
        <w:t xml:space="preserve"> and </w:t>
      </w:r>
      <w:r w:rsidRPr="00685BE2">
        <w:t>access differs according to the scale and nature of the requirement. Selected components and equipment may move through formal supplier and online procurement processes, while larger projects are more likely to involve sustained local engagement, engineering partners and a partnership-based delivery model. This reinforces the need to identify the relevant project and technical pathway rather than treating OCP as a single procurement channel.</w:t>
      </w:r>
      <w:r w:rsidRPr="00931AA6">
        <w:t xml:space="preserve"> </w:t>
      </w:r>
      <w:r w:rsidR="009E783E" w:rsidRPr="00CE6EE6">
        <w:rPr>
          <w:vertAlign w:val="superscript"/>
        </w:rPr>
        <w:t>[18]</w:t>
      </w:r>
    </w:p>
    <w:p w14:paraId="5EAD5B88" w14:textId="7870D604" w:rsidR="001F150B" w:rsidRDefault="001F150B" w:rsidP="009842BD">
      <w:pPr>
        <w:rPr>
          <w:rFonts w:asciiTheme="majorHAnsi" w:hAnsiTheme="majorHAnsi" w:cstheme="majorHAnsi"/>
          <w:szCs w:val="20"/>
        </w:rPr>
      </w:pPr>
      <w:r>
        <w:t xml:space="preserve">A potential avenue for Australian METS companies to development and engineering opportunities may be through </w:t>
      </w:r>
      <w:r w:rsidR="00D207E9">
        <w:t xml:space="preserve">JESA, </w:t>
      </w:r>
      <w:r w:rsidR="00C846AD" w:rsidRPr="00C846AD">
        <w:t>the joint venture between OCP and Worley</w:t>
      </w:r>
      <w:r w:rsidR="00C846AD">
        <w:t xml:space="preserve">. </w:t>
      </w:r>
      <w:r w:rsidR="0078312E">
        <w:t xml:space="preserve">They provide significant </w:t>
      </w:r>
      <w:r w:rsidR="00C37CA4" w:rsidRPr="00C37CA4">
        <w:t>project management and delivery capabilities across OCP’s major industrial and mining</w:t>
      </w:r>
      <w:r w:rsidR="00C37CA4">
        <w:t xml:space="preserve"> units, along with </w:t>
      </w:r>
      <w:r w:rsidR="00851121">
        <w:t xml:space="preserve">access to opportunities in other markets, </w:t>
      </w:r>
      <w:r w:rsidR="00050105">
        <w:t>such as Maaden’s 3 Phosphate</w:t>
      </w:r>
      <w:r w:rsidR="000C4FFD">
        <w:t xml:space="preserve"> Phase 1</w:t>
      </w:r>
      <w:r w:rsidR="00050105">
        <w:t xml:space="preserve"> expansion in Saudi Arabia. </w:t>
      </w:r>
    </w:p>
    <w:p w14:paraId="7A8C7199" w14:textId="659E032D" w:rsidR="009842BD" w:rsidRPr="00834326" w:rsidRDefault="009842BD" w:rsidP="002C3C2E">
      <w:pPr>
        <w:pStyle w:val="Quote1"/>
      </w:pPr>
      <w:r w:rsidRPr="00834326">
        <w:t>“</w:t>
      </w:r>
      <w:r w:rsidR="00743701" w:rsidRPr="00743701">
        <w:t>In Morocco, a strong local agent is essential to securing projects. Occasional proposals submitted remotely are unlikely to succeed without an established local presence and relationships</w:t>
      </w:r>
      <w:r w:rsidR="00743701">
        <w:t>”</w:t>
      </w:r>
      <w:r w:rsidRPr="00834326">
        <w:t>.”</w:t>
      </w:r>
    </w:p>
    <w:p w14:paraId="7FC4E90B" w14:textId="6EB15BA7" w:rsidR="009842BD" w:rsidRPr="00B52B99" w:rsidRDefault="009842BD" w:rsidP="00B52B99">
      <w:pPr>
        <w:pStyle w:val="quotename"/>
        <w:rPr>
          <w:rFonts w:cstheme="majorHAnsi"/>
          <w:sz w:val="12"/>
          <w:szCs w:val="12"/>
        </w:rPr>
      </w:pPr>
      <w:r w:rsidRPr="00834326">
        <w:lastRenderedPageBreak/>
        <w:t xml:space="preserve">- Shane Freeman, Senior Sales Manager, JORD International </w:t>
      </w:r>
    </w:p>
    <w:p w14:paraId="402D4A00" w14:textId="77777777" w:rsidR="009842BD" w:rsidRPr="00280CFA" w:rsidRDefault="009842BD" w:rsidP="00B52B99">
      <w:pPr>
        <w:pStyle w:val="Heading3"/>
        <w:rPr>
          <w:rFonts w:cstheme="majorHAnsi"/>
          <w:sz w:val="16"/>
          <w:szCs w:val="16"/>
        </w:rPr>
      </w:pPr>
      <w:r>
        <w:t>Market entry</w:t>
      </w:r>
      <w:r w:rsidRPr="00280CFA">
        <w:t xml:space="preserve"> and delivery expectations</w:t>
      </w:r>
    </w:p>
    <w:p w14:paraId="247CB758" w14:textId="77777777" w:rsidR="009842BD" w:rsidRPr="00417142" w:rsidRDefault="009842BD" w:rsidP="00017873">
      <w:r w:rsidRPr="00417142">
        <w:t xml:space="preserve">Morocco should be approached as a distinct, European-facing commercial market, as business practices, customer expectations, and route-to-market considerations differ materially from the Gulf region or Africa. Commercial and technical engagements </w:t>
      </w:r>
      <w:r>
        <w:t>are often carried out in</w:t>
      </w:r>
      <w:r w:rsidRPr="00417142">
        <w:t xml:space="preserve"> French</w:t>
      </w:r>
      <w:r>
        <w:t xml:space="preserve"> language</w:t>
      </w:r>
      <w:r w:rsidRPr="00417142">
        <w:t>, and this shapes practical requirements for market access.</w:t>
      </w:r>
    </w:p>
    <w:p w14:paraId="3833AC5B" w14:textId="77777777" w:rsidR="00F633CC" w:rsidRDefault="00F633CC" w:rsidP="00017873">
      <w:r w:rsidRPr="00F633CC">
        <w:t>Jord’s experience points to the value of a credible local representative and continuing customer support. Australian METS companies should assess whether an agent, partner or local service model can meet the buyer’s language, installation, training and after-sales requirements, and allow time to establish the relationship.</w:t>
      </w:r>
    </w:p>
    <w:p w14:paraId="1259F23F" w14:textId="5536F3CC" w:rsidR="009842BD" w:rsidRDefault="009842BD" w:rsidP="00017873">
      <w:r w:rsidRPr="00417142">
        <w:t>Australia's relative geographic distance and limited existing investment in Morocco's mining industry present a potential competitiveness challenge. Morocco's integration with European markets, along with significant investment from Canadian junior miners and explorers, has brought supply chains and technical solutions from those regions. Morocco's mining sector is explicitly aligning its sustainability standards with the EU, and suppliers should expect scrutiny on carbon footprint, health and safety certification, and ESG standards.</w:t>
      </w:r>
    </w:p>
    <w:p w14:paraId="1FAF12A3" w14:textId="77777777" w:rsidR="009842BD" w:rsidRDefault="009842BD" w:rsidP="00017873">
      <w:r>
        <w:t>For Australian METS investigating the market, the annual In</w:t>
      </w:r>
      <w:r w:rsidRPr="00FE2095">
        <w:t>ternational Mining Congress (IMC</w:t>
      </w:r>
      <w:r>
        <w:t xml:space="preserve">) in </w:t>
      </w:r>
      <w:r w:rsidRPr="00954F60">
        <w:t>Rabat</w:t>
      </w:r>
      <w:r>
        <w:t xml:space="preserve"> offers the key platform to connect with industry and establish relationships with major mining houses, explorers and potential in-market partners. Companies can engage with Austrade’s office in Paris to receive advice, connections and support for the Moroccan market. </w:t>
      </w:r>
    </w:p>
    <w:p w14:paraId="1A6AB017" w14:textId="77777777" w:rsidR="009842BD" w:rsidRPr="00676FF9" w:rsidRDefault="009842BD" w:rsidP="009842BD">
      <w:pPr>
        <w:rPr>
          <w:rFonts w:asciiTheme="majorHAnsi" w:hAnsiTheme="majorHAnsi" w:cstheme="majorHAnsi"/>
          <w:szCs w:val="20"/>
        </w:rPr>
      </w:pPr>
    </w:p>
    <w:p w14:paraId="09F210AA" w14:textId="77777777" w:rsidR="009842BD" w:rsidRDefault="009842BD" w:rsidP="00B52B99">
      <w:pPr>
        <w:pStyle w:val="Quote1"/>
      </w:pPr>
      <w:r>
        <w:t>“</w:t>
      </w:r>
      <w:r w:rsidRPr="00291A97">
        <w:t>It is important to approach Morocco as a distinct market rather than grouping it with the Gulf countries. The business mindset and decision-making processes are shaped by a different context, with many practices being familiar to European companies</w:t>
      </w:r>
      <w:r w:rsidRPr="005D36AB">
        <w:t>.</w:t>
      </w:r>
      <w:r>
        <w:t>”</w:t>
      </w:r>
    </w:p>
    <w:p w14:paraId="267606FA" w14:textId="77777777" w:rsidR="009842BD" w:rsidRDefault="009842BD" w:rsidP="00B52B99">
      <w:pPr>
        <w:pStyle w:val="quotename"/>
      </w:pPr>
      <w:r>
        <w:t xml:space="preserve">- </w:t>
      </w:r>
      <w:r w:rsidRPr="001049D4">
        <w:t>Driss Sekkat</w:t>
      </w:r>
      <w:r>
        <w:t>, Investment Director, Austrade</w:t>
      </w:r>
    </w:p>
    <w:p w14:paraId="18F667A9" w14:textId="77777777" w:rsidR="009842BD" w:rsidRDefault="009842BD" w:rsidP="009842BD">
      <w:pPr>
        <w:pStyle w:val="InterviewRevisionSource"/>
      </w:pPr>
    </w:p>
    <w:p w14:paraId="3FF372C5" w14:textId="52531504" w:rsidR="009842BD" w:rsidRDefault="009842BD" w:rsidP="00B52B99">
      <w:pPr>
        <w:pStyle w:val="Heading3"/>
      </w:pPr>
      <w:r>
        <w:t xml:space="preserve">METS </w:t>
      </w:r>
      <w:r w:rsidR="004E5674">
        <w:t>Case Study</w:t>
      </w:r>
      <w:r>
        <w:t xml:space="preserve"> </w:t>
      </w:r>
    </w:p>
    <w:p w14:paraId="7986C821" w14:textId="77777777" w:rsidR="009842BD" w:rsidRDefault="009842BD" w:rsidP="00B52B99">
      <w:pPr>
        <w:pStyle w:val="Heading3"/>
      </w:pPr>
      <w:r>
        <w:t>Jord: entering Morocco through relationships, references and an in-market representative</w:t>
      </w:r>
    </w:p>
    <w:p w14:paraId="07BC8411" w14:textId="77777777" w:rsidR="006F7F16" w:rsidRDefault="006F7F16" w:rsidP="00B52B99">
      <w:r w:rsidRPr="006F7F16">
        <w:t>Jord is an Australian METS company specialising in minerals processing technology and modular plant solutions. Building on its Middle Eastern operations, Jord is constantly expanding its presence into North Africa.</w:t>
      </w:r>
    </w:p>
    <w:p w14:paraId="0FB12B78" w14:textId="6B03B17A" w:rsidR="00CB4D01" w:rsidRDefault="00CB4D01" w:rsidP="00B52B99">
      <w:r>
        <w:t>Jord is pursuing an opportunity to improve plant operating systems for a major Moroccan phosphate producer. Its approach has focused on collaboration with engineering houses, EPC contractors and end users to develop opportunities and maintain strong local relationships.</w:t>
      </w:r>
    </w:p>
    <w:p w14:paraId="1ADD5CC2" w14:textId="77777777" w:rsidR="00CB4D01" w:rsidRDefault="00CB4D01" w:rsidP="00B52B99">
      <w:r>
        <w:t>Building trust and identifying suitable local representation have been important in understanding customer expectations and establishing credibility. The customer's openness to local and international operating references has enabled Jord to demonstrate its technical capabilities whilst building long term relationships in the region.</w:t>
      </w:r>
    </w:p>
    <w:p w14:paraId="393C40DD" w14:textId="77777777" w:rsidR="00CB4D01" w:rsidRDefault="00CB4D01" w:rsidP="00B52B99">
      <w:r>
        <w:t>Morocco is a competitive industrial market with established international suppliers. Jord's experience reinforces the importance of proven technology, relevant test work and demonstrable operational benefits, supported by strong customer interaction and ongoing technical support.</w:t>
      </w:r>
    </w:p>
    <w:p w14:paraId="57913593" w14:textId="77777777" w:rsidR="00CB4D01" w:rsidRDefault="00CB4D01" w:rsidP="00B52B99">
      <w:r>
        <w:lastRenderedPageBreak/>
        <w:t>Commercial ongoing negotiations have required consideration of contractual, financial and regulatory matters, including exchange rates and withholding taxes, highlighting the value of local expertise and appropriate professional advice.</w:t>
      </w:r>
    </w:p>
    <w:p w14:paraId="30FFB139" w14:textId="18E44A01" w:rsidR="009842BD" w:rsidRDefault="00CB4D01" w:rsidP="009842BD">
      <w:r>
        <w:t>Jord's experience demonstrates that successful market development relies on technical credibility, flexibility, effective communication and sustained local engagement. Combining international expertise with trusted local partnerships provides a strong foundation for long-term growth in Morocco.</w:t>
      </w:r>
      <w:r w:rsidR="009842BD">
        <w:br w:type="page"/>
      </w:r>
    </w:p>
    <w:p w14:paraId="040512AA" w14:textId="77777777" w:rsidR="00EA6308" w:rsidRPr="008A689D" w:rsidRDefault="00EA6308" w:rsidP="00B52B99">
      <w:pPr>
        <w:pStyle w:val="Heading2"/>
      </w:pPr>
      <w:r w:rsidRPr="008A689D">
        <w:lastRenderedPageBreak/>
        <w:t>Egypt</w:t>
      </w:r>
    </w:p>
    <w:p w14:paraId="51A9B104" w14:textId="49F9B143" w:rsidR="00F55F91" w:rsidRPr="00E91368" w:rsidRDefault="00F55F91" w:rsidP="00017873">
      <w:r w:rsidRPr="00E91368">
        <w:t xml:space="preserve">A </w:t>
      </w:r>
      <w:r w:rsidR="0086246A">
        <w:t xml:space="preserve">market amidst significant reform and transformation </w:t>
      </w:r>
    </w:p>
    <w:p w14:paraId="0DF65FF7" w14:textId="073999A6" w:rsidR="00837258" w:rsidRDefault="00837258" w:rsidP="00017873">
      <w:r w:rsidRPr="00837258">
        <w:t>Egypt’s mining industry is undergoing significant regulatory and institutional change</w:t>
      </w:r>
      <w:r w:rsidR="00C93FC6">
        <w:t xml:space="preserve"> linked to the government’s objective</w:t>
      </w:r>
      <w:r w:rsidRPr="00837258">
        <w:t xml:space="preserve"> to raise mining’s contribution from around 1% of GDP to 5–6% over the coming years.</w:t>
      </w:r>
      <w:r w:rsidRPr="00CE6EE6">
        <w:rPr>
          <w:vertAlign w:val="superscript"/>
        </w:rPr>
        <w:t>[1]</w:t>
      </w:r>
    </w:p>
    <w:p w14:paraId="1105779F" w14:textId="7E70EF1B" w:rsidR="004603C7" w:rsidRDefault="00775468" w:rsidP="00017873">
      <w:r>
        <w:t xml:space="preserve">To deliver this </w:t>
      </w:r>
      <w:r w:rsidR="00023B24">
        <w:t xml:space="preserve">target, </w:t>
      </w:r>
      <w:r w:rsidR="007C7BCE">
        <w:t xml:space="preserve">the </w:t>
      </w:r>
      <w:r w:rsidR="0041207B" w:rsidRPr="0041207B">
        <w:t xml:space="preserve">Mineral Resources and Mining Industries Authority </w:t>
      </w:r>
      <w:r w:rsidR="00871E4B">
        <w:t xml:space="preserve">(MRMIA) </w:t>
      </w:r>
      <w:r w:rsidR="00C90AE5">
        <w:t xml:space="preserve">has </w:t>
      </w:r>
      <w:r w:rsidR="00C90AE5" w:rsidRPr="00C90AE5">
        <w:t>an expanded mandate covering mining, downstream industries, and value creation</w:t>
      </w:r>
      <w:r w:rsidR="002128E2">
        <w:t xml:space="preserve">. </w:t>
      </w:r>
      <w:r w:rsidR="00B75DE7">
        <w:t>It has</w:t>
      </w:r>
      <w:r w:rsidR="00023B24">
        <w:t xml:space="preserve"> </w:t>
      </w:r>
      <w:r w:rsidR="00B50012">
        <w:t>launched</w:t>
      </w:r>
      <w:r w:rsidR="0081027A">
        <w:t xml:space="preserve"> a comprehensive reform platform </w:t>
      </w:r>
      <w:r w:rsidR="00877725">
        <w:t xml:space="preserve">to attract </w:t>
      </w:r>
      <w:r w:rsidR="008B70C5">
        <w:t xml:space="preserve">investment into the sector, including modernising the industry’s legal framework to align with international best practices, </w:t>
      </w:r>
      <w:r w:rsidR="0070112A">
        <w:t xml:space="preserve">creating </w:t>
      </w:r>
      <w:r w:rsidR="00C71F3F">
        <w:t>competitive fiscal terms and</w:t>
      </w:r>
      <w:r w:rsidR="00B41D08">
        <w:t xml:space="preserve"> stability clauses</w:t>
      </w:r>
      <w:r w:rsidR="003B62DF">
        <w:t xml:space="preserve">, </w:t>
      </w:r>
      <w:r w:rsidR="0070112A">
        <w:t>delivering</w:t>
      </w:r>
      <w:r w:rsidR="003B62DF">
        <w:t xml:space="preserve"> a suite of</w:t>
      </w:r>
      <w:r w:rsidR="0070112A">
        <w:t xml:space="preserve"> investment incentives</w:t>
      </w:r>
      <w:r w:rsidR="004603C7">
        <w:t>, and driving a digital transformation agenda to increase efficiencies, transparency and governance.</w:t>
      </w:r>
      <w:r w:rsidR="0063408B" w:rsidRPr="00CE6EE6">
        <w:rPr>
          <w:vertAlign w:val="superscript"/>
        </w:rPr>
        <w:t>[</w:t>
      </w:r>
      <w:r w:rsidR="006423F5" w:rsidRPr="00CE6EE6">
        <w:rPr>
          <w:vertAlign w:val="superscript"/>
        </w:rPr>
        <w:t>8</w:t>
      </w:r>
      <w:r w:rsidR="0063408B" w:rsidRPr="00CE6EE6">
        <w:rPr>
          <w:vertAlign w:val="superscript"/>
        </w:rPr>
        <w:t>]</w:t>
      </w:r>
    </w:p>
    <w:p w14:paraId="53416563" w14:textId="77777777" w:rsidR="006A6CD9" w:rsidRDefault="006A6CD9" w:rsidP="00017873">
      <w:r w:rsidRPr="006A6CD9">
        <w:t>To support future mining activity, Egypt has launched its first nationwide airborne mineral survey in 42 years. Led by the Ministry of Petroleum and Mineral Resources and MRMIA with Xcalibur Smart Mapping, the program covers six strategic regions and uses advanced airborne geophysics, artificial intelligence and multi-source geospatial data integration to generate higher-resolution geological information and reduce exploration risk.</w:t>
      </w:r>
      <w:r w:rsidRPr="00CE6EE6">
        <w:rPr>
          <w:vertAlign w:val="superscript"/>
        </w:rPr>
        <w:t>[2]</w:t>
      </w:r>
    </w:p>
    <w:p w14:paraId="342FFC77" w14:textId="49BF8440" w:rsidR="005245CF" w:rsidRDefault="005245CF" w:rsidP="00017873">
      <w:r>
        <w:t>The early signs of th</w:t>
      </w:r>
      <w:r w:rsidR="000B326D">
        <w:t xml:space="preserve">ese reforms have been promising, with initial results indicating </w:t>
      </w:r>
      <w:r w:rsidR="000B326D" w:rsidRPr="000B326D">
        <w:t>increased international interest, new exploration commitments and companies returning to Egypt</w:t>
      </w:r>
      <w:r w:rsidR="000B326D">
        <w:t xml:space="preserve">. </w:t>
      </w:r>
      <w:r w:rsidR="007A4B8F">
        <w:t xml:space="preserve">However, Egypt has a long path to navigate to develop its minerals sector, and </w:t>
      </w:r>
      <w:r w:rsidR="00A857D4">
        <w:t>the conversion of e</w:t>
      </w:r>
      <w:r w:rsidR="00A857D4" w:rsidRPr="00A857D4">
        <w:t>xploration licences into funded exploration programs and new mine</w:t>
      </w:r>
      <w:r w:rsidR="00A857D4">
        <w:t xml:space="preserve"> </w:t>
      </w:r>
      <w:r w:rsidR="00A857D4" w:rsidRPr="00A857D4">
        <w:t>development decisions</w:t>
      </w:r>
      <w:r w:rsidR="00A857D4">
        <w:t xml:space="preserve"> across the </w:t>
      </w:r>
      <w:r w:rsidR="00A857D4" w:rsidRPr="00A857D4">
        <w:t>next 12–24 months</w:t>
      </w:r>
      <w:r>
        <w:t xml:space="preserve"> </w:t>
      </w:r>
      <w:r w:rsidR="00A857D4">
        <w:t xml:space="preserve">will be the real test. </w:t>
      </w:r>
    </w:p>
    <w:p w14:paraId="2522E0FE" w14:textId="77777777" w:rsidR="00245D3A" w:rsidRDefault="00245D3A" w:rsidP="00017873"/>
    <w:p w14:paraId="0A192C76" w14:textId="638EE978" w:rsidR="00DF7421" w:rsidRDefault="00DF7421" w:rsidP="00B52B99">
      <w:pPr>
        <w:pStyle w:val="Quote1"/>
      </w:pPr>
      <w:r>
        <w:t>“</w:t>
      </w:r>
      <w:r w:rsidR="00346876" w:rsidRPr="00346876">
        <w:t>I've never seen a country and a government so proactive in turning things around and making it open to external investment and people coming into the industry."</w:t>
      </w:r>
    </w:p>
    <w:p w14:paraId="090827B6" w14:textId="71D2CC8F" w:rsidR="002E2AD1" w:rsidRDefault="00DF7421" w:rsidP="00B52B99">
      <w:pPr>
        <w:pStyle w:val="quotename"/>
      </w:pPr>
      <w:r>
        <w:t xml:space="preserve">- </w:t>
      </w:r>
      <w:r w:rsidR="00346876">
        <w:t xml:space="preserve">Colin Rawbone, </w:t>
      </w:r>
      <w:r w:rsidR="00FC761F">
        <w:t xml:space="preserve">Managing Director, SRK Exploration </w:t>
      </w:r>
      <w:r w:rsidR="00346876">
        <w:t xml:space="preserve"> </w:t>
      </w:r>
    </w:p>
    <w:p w14:paraId="47DDEA3B" w14:textId="3DA18E41" w:rsidR="009025F5" w:rsidRPr="00017873" w:rsidRDefault="00C909A9" w:rsidP="009025F5">
      <w:pPr>
        <w:rPr>
          <w:b/>
          <w:bCs/>
        </w:rPr>
      </w:pPr>
      <w:r w:rsidRPr="00C909A9">
        <w:t xml:space="preserve">For Australian METS companies, the strongest established mining account is the Sukari Gold Mine, owned 50% by AngloGold Ashanti and 50% by the Egyptian </w:t>
      </w:r>
      <w:r w:rsidR="005921A8">
        <w:t>government</w:t>
      </w:r>
      <w:r w:rsidRPr="00C909A9">
        <w:t>.</w:t>
      </w:r>
      <w:r w:rsidRPr="00CE6EE6">
        <w:rPr>
          <w:vertAlign w:val="superscript"/>
        </w:rPr>
        <w:t>[3]</w:t>
      </w:r>
      <w:r w:rsidRPr="00C909A9">
        <w:t xml:space="preserve"> </w:t>
      </w:r>
      <w:r w:rsidR="003A6683" w:rsidRPr="003A6683">
        <w:t>Since commencing production in 20</w:t>
      </w:r>
      <w:r w:rsidR="00F04D28">
        <w:t>09</w:t>
      </w:r>
      <w:r w:rsidR="003A6683" w:rsidRPr="003A6683">
        <w:t xml:space="preserve">, Sukari has transformed into Egypt’s largest and most important mining operation,  producing 500,000 ounces of gold </w:t>
      </w:r>
      <w:r w:rsidR="00821A58">
        <w:t>in 2025</w:t>
      </w:r>
      <w:r w:rsidR="00AF4A55">
        <w:t>{</w:t>
      </w:r>
      <w:r w:rsidR="009A74AE">
        <w:t>14]</w:t>
      </w:r>
      <w:r w:rsidR="003A6683" w:rsidRPr="003A6683">
        <w:t xml:space="preserve">. Sukari is the strongest proof-of-concept for Egypt's modern gold mining industry, demonstrating that a large-scale international mining operation can be developed and operated in partnership with a major foreign investor, utilising international expertise </w:t>
      </w:r>
      <w:r w:rsidR="007E76A6">
        <w:t xml:space="preserve">and </w:t>
      </w:r>
      <w:r w:rsidR="003A6683" w:rsidRPr="003A6683">
        <w:t>technical best practices.</w:t>
      </w:r>
      <w:r w:rsidR="003A6683" w:rsidRPr="00CE6EE6">
        <w:rPr>
          <w:vertAlign w:val="superscript"/>
        </w:rPr>
        <w:t>[3]</w:t>
      </w:r>
    </w:p>
    <w:p w14:paraId="040D9802" w14:textId="42D09284" w:rsidR="004C009A" w:rsidRDefault="002E2AD1" w:rsidP="00017873">
      <w:r w:rsidRPr="009025F5">
        <w:t xml:space="preserve">Egypt’s longer-term prospects depend on implementation of </w:t>
      </w:r>
      <w:r w:rsidR="009025F5" w:rsidRPr="009025F5">
        <w:t xml:space="preserve">the </w:t>
      </w:r>
      <w:r w:rsidRPr="009025F5">
        <w:t xml:space="preserve">reforms and sustained investment. </w:t>
      </w:r>
      <w:r w:rsidR="009025F5" w:rsidRPr="009025F5">
        <w:t xml:space="preserve">The announced changes and new exploration activity </w:t>
      </w:r>
      <w:r w:rsidR="00CE3BA6">
        <w:t>signal potential</w:t>
      </w:r>
      <w:r w:rsidR="009025F5" w:rsidRPr="009025F5">
        <w:t xml:space="preserve">, but their practical effect </w:t>
      </w:r>
      <w:r w:rsidR="00A520DF">
        <w:t xml:space="preserve">on </w:t>
      </w:r>
      <w:r w:rsidR="00C50072">
        <w:t>METS opportunities will</w:t>
      </w:r>
      <w:r w:rsidR="009025F5" w:rsidRPr="009025F5">
        <w:t xml:space="preserve"> be clearer as licence holders undertake funded work, secure finance and progress projects to </w:t>
      </w:r>
      <w:r w:rsidR="003D0DE9">
        <w:t xml:space="preserve">development and construction. </w:t>
      </w:r>
    </w:p>
    <w:p w14:paraId="7D898ADC" w14:textId="77777777" w:rsidR="004C009A" w:rsidRDefault="004C009A" w:rsidP="004C009A"/>
    <w:p w14:paraId="7E068A96" w14:textId="64B89C58" w:rsidR="00EA6308" w:rsidRPr="00B52B99" w:rsidRDefault="002467E6" w:rsidP="00B52B99">
      <w:pPr>
        <w:pStyle w:val="Heading3"/>
      </w:pPr>
      <w:r w:rsidRPr="00E91368">
        <w:t>Market at a glance</w:t>
      </w:r>
    </w:p>
    <w:tbl>
      <w:tblPr>
        <w:tblStyle w:val="TableGrid"/>
        <w:tblW w:w="0" w:type="auto"/>
        <w:tblCellMar>
          <w:top w:w="57" w:type="dxa"/>
          <w:bottom w:w="57" w:type="dxa"/>
        </w:tblCellMar>
        <w:tblLook w:val="04A0" w:firstRow="1" w:lastRow="0" w:firstColumn="1" w:lastColumn="0" w:noHBand="0" w:noVBand="1"/>
      </w:tblPr>
      <w:tblGrid>
        <w:gridCol w:w="3018"/>
        <w:gridCol w:w="7052"/>
      </w:tblGrid>
      <w:tr w:rsidR="0023213C" w:rsidRPr="00E91368" w14:paraId="36ECAB50" w14:textId="77777777" w:rsidTr="0023213C">
        <w:tc>
          <w:tcPr>
            <w:tcW w:w="10070" w:type="dxa"/>
            <w:gridSpan w:val="2"/>
            <w:shd w:val="clear" w:color="auto" w:fill="173F34" w:themeFill="accent1"/>
            <w:vAlign w:val="center"/>
            <w:hideMark/>
          </w:tcPr>
          <w:p w14:paraId="77ACB019" w14:textId="19CFA824" w:rsidR="0023213C" w:rsidRPr="00E91368" w:rsidRDefault="0023213C" w:rsidP="0023213C">
            <w:pPr>
              <w:rPr>
                <w:rFonts w:asciiTheme="majorHAnsi" w:hAnsiTheme="majorHAnsi" w:cstheme="majorHAnsi"/>
                <w:b/>
                <w:bCs/>
                <w:szCs w:val="20"/>
              </w:rPr>
            </w:pPr>
            <w:r w:rsidRPr="00E91368">
              <w:rPr>
                <w:rFonts w:asciiTheme="majorHAnsi" w:hAnsiTheme="majorHAnsi" w:cstheme="majorHAnsi"/>
                <w:b/>
                <w:bCs/>
                <w:szCs w:val="20"/>
              </w:rPr>
              <w:t>Egypt snapshot</w:t>
            </w:r>
          </w:p>
        </w:tc>
      </w:tr>
      <w:tr w:rsidR="0023213C" w:rsidRPr="00E91368" w14:paraId="64A8E90F" w14:textId="77777777" w:rsidTr="0023213C">
        <w:tc>
          <w:tcPr>
            <w:tcW w:w="3018" w:type="dxa"/>
            <w:hideMark/>
          </w:tcPr>
          <w:p w14:paraId="3074FC32" w14:textId="4ADDCE6E" w:rsidR="0023213C" w:rsidRPr="00E91368" w:rsidRDefault="0023213C" w:rsidP="0023213C">
            <w:pPr>
              <w:rPr>
                <w:rFonts w:asciiTheme="majorHAnsi" w:hAnsiTheme="majorHAnsi" w:cstheme="majorHAnsi"/>
                <w:b/>
                <w:bCs/>
                <w:szCs w:val="20"/>
              </w:rPr>
            </w:pPr>
            <w:r w:rsidRPr="00E91368">
              <w:rPr>
                <w:rFonts w:asciiTheme="majorHAnsi" w:hAnsiTheme="majorHAnsi" w:cstheme="majorHAnsi"/>
                <w:b/>
                <w:bCs/>
                <w:szCs w:val="20"/>
              </w:rPr>
              <w:t>Market role</w:t>
            </w:r>
          </w:p>
        </w:tc>
        <w:tc>
          <w:tcPr>
            <w:tcW w:w="7052" w:type="dxa"/>
            <w:hideMark/>
          </w:tcPr>
          <w:p w14:paraId="12FBE5BB" w14:textId="3A4533BE" w:rsidR="0023213C" w:rsidRPr="00E91368" w:rsidRDefault="0023213C" w:rsidP="0023213C">
            <w:pPr>
              <w:rPr>
                <w:rFonts w:asciiTheme="majorHAnsi" w:hAnsiTheme="majorHAnsi" w:cstheme="majorHAnsi"/>
                <w:szCs w:val="20"/>
              </w:rPr>
            </w:pPr>
            <w:r w:rsidRPr="00B36BBE">
              <w:rPr>
                <w:rFonts w:asciiTheme="majorHAnsi" w:hAnsiTheme="majorHAnsi" w:cstheme="majorHAnsi"/>
                <w:szCs w:val="20"/>
              </w:rPr>
              <w:t>Market amidst significant mining and investment reforms with selective current demand</w:t>
            </w:r>
          </w:p>
        </w:tc>
      </w:tr>
      <w:tr w:rsidR="0023213C" w:rsidRPr="00E91368" w14:paraId="29C93401" w14:textId="77777777" w:rsidTr="0023213C">
        <w:tc>
          <w:tcPr>
            <w:tcW w:w="3018" w:type="dxa"/>
            <w:hideMark/>
          </w:tcPr>
          <w:p w14:paraId="3F01D225" w14:textId="7F95223D" w:rsidR="0023213C" w:rsidRPr="00E91368" w:rsidRDefault="0023213C" w:rsidP="0023213C">
            <w:pPr>
              <w:rPr>
                <w:rFonts w:asciiTheme="majorHAnsi" w:hAnsiTheme="majorHAnsi" w:cstheme="majorHAnsi"/>
                <w:b/>
                <w:bCs/>
                <w:szCs w:val="20"/>
              </w:rPr>
            </w:pPr>
            <w:r w:rsidRPr="00E91368">
              <w:rPr>
                <w:rFonts w:asciiTheme="majorHAnsi" w:hAnsiTheme="majorHAnsi" w:cstheme="majorHAnsi"/>
                <w:b/>
                <w:bCs/>
                <w:szCs w:val="20"/>
              </w:rPr>
              <w:t xml:space="preserve">Principal </w:t>
            </w:r>
            <w:r>
              <w:rPr>
                <w:rFonts w:asciiTheme="majorHAnsi" w:hAnsiTheme="majorHAnsi" w:cstheme="majorHAnsi"/>
                <w:b/>
                <w:bCs/>
                <w:szCs w:val="20"/>
              </w:rPr>
              <w:t>activity</w:t>
            </w:r>
          </w:p>
        </w:tc>
        <w:tc>
          <w:tcPr>
            <w:tcW w:w="7052" w:type="dxa"/>
            <w:hideMark/>
          </w:tcPr>
          <w:p w14:paraId="43E7AC49" w14:textId="5E25B953" w:rsidR="0023213C" w:rsidRPr="00E91368" w:rsidRDefault="0023213C" w:rsidP="0023213C">
            <w:pPr>
              <w:rPr>
                <w:rFonts w:asciiTheme="majorHAnsi" w:hAnsiTheme="majorHAnsi" w:cstheme="majorHAnsi"/>
                <w:szCs w:val="20"/>
              </w:rPr>
            </w:pPr>
            <w:r w:rsidRPr="00DD411A">
              <w:rPr>
                <w:rFonts w:asciiTheme="majorHAnsi" w:hAnsiTheme="majorHAnsi" w:cstheme="majorHAnsi"/>
                <w:szCs w:val="20"/>
              </w:rPr>
              <w:t>Gold, phosphate, copper, mineral sands, iron ore and rare earths</w:t>
            </w:r>
          </w:p>
        </w:tc>
      </w:tr>
      <w:tr w:rsidR="0023213C" w:rsidRPr="00E91368" w14:paraId="4ADC2B6E" w14:textId="77777777" w:rsidTr="0023213C">
        <w:tc>
          <w:tcPr>
            <w:tcW w:w="3018" w:type="dxa"/>
          </w:tcPr>
          <w:p w14:paraId="7A87A67A" w14:textId="00D0436C" w:rsidR="0023213C" w:rsidRPr="00E91368" w:rsidRDefault="0023213C" w:rsidP="0023213C">
            <w:pPr>
              <w:rPr>
                <w:rFonts w:asciiTheme="majorHAnsi" w:hAnsiTheme="majorHAnsi" w:cstheme="majorHAnsi"/>
                <w:b/>
                <w:bCs/>
                <w:szCs w:val="20"/>
              </w:rPr>
            </w:pPr>
            <w:r w:rsidRPr="00E91368">
              <w:rPr>
                <w:rFonts w:asciiTheme="majorHAnsi" w:hAnsiTheme="majorHAnsi" w:cstheme="majorHAnsi"/>
                <w:b/>
                <w:bCs/>
                <w:szCs w:val="20"/>
              </w:rPr>
              <w:lastRenderedPageBreak/>
              <w:t>Strongest METS alignment</w:t>
            </w:r>
          </w:p>
        </w:tc>
        <w:tc>
          <w:tcPr>
            <w:tcW w:w="7052" w:type="dxa"/>
          </w:tcPr>
          <w:p w14:paraId="410A7FF8" w14:textId="217E1DA9" w:rsidR="0023213C" w:rsidRPr="00E91368" w:rsidRDefault="0023213C" w:rsidP="0023213C">
            <w:pPr>
              <w:rPr>
                <w:rFonts w:asciiTheme="majorHAnsi" w:hAnsiTheme="majorHAnsi" w:cstheme="majorHAnsi"/>
                <w:szCs w:val="20"/>
              </w:rPr>
            </w:pPr>
            <w:r>
              <w:rPr>
                <w:rFonts w:asciiTheme="majorHAnsi" w:hAnsiTheme="majorHAnsi" w:cstheme="majorHAnsi"/>
                <w:szCs w:val="20"/>
              </w:rPr>
              <w:t>Mine</w:t>
            </w:r>
            <w:r w:rsidRPr="00B13C31">
              <w:rPr>
                <w:rFonts w:asciiTheme="majorHAnsi" w:hAnsiTheme="majorHAnsi" w:cstheme="majorHAnsi"/>
                <w:szCs w:val="20"/>
              </w:rPr>
              <w:t xml:space="preserve"> recovery and reliability; geoscience, surveying, drilling, water and specialist technical services</w:t>
            </w:r>
          </w:p>
        </w:tc>
      </w:tr>
      <w:tr w:rsidR="0023213C" w:rsidRPr="00E91368" w14:paraId="5BC48282" w14:textId="77777777" w:rsidTr="0023213C">
        <w:tc>
          <w:tcPr>
            <w:tcW w:w="3018" w:type="dxa"/>
            <w:hideMark/>
          </w:tcPr>
          <w:p w14:paraId="7B7AE8BC" w14:textId="2B720018" w:rsidR="0023213C" w:rsidRPr="00E91368" w:rsidRDefault="0023213C" w:rsidP="0023213C">
            <w:pPr>
              <w:rPr>
                <w:rFonts w:asciiTheme="majorHAnsi" w:hAnsiTheme="majorHAnsi" w:cstheme="majorHAnsi"/>
                <w:b/>
                <w:bCs/>
                <w:szCs w:val="20"/>
              </w:rPr>
            </w:pPr>
            <w:r w:rsidRPr="00E91368">
              <w:rPr>
                <w:rFonts w:asciiTheme="majorHAnsi" w:hAnsiTheme="majorHAnsi" w:cstheme="majorHAnsi"/>
                <w:b/>
                <w:bCs/>
                <w:szCs w:val="20"/>
              </w:rPr>
              <w:t>Typical access pathway</w:t>
            </w:r>
          </w:p>
        </w:tc>
        <w:tc>
          <w:tcPr>
            <w:tcW w:w="7052" w:type="dxa"/>
            <w:hideMark/>
          </w:tcPr>
          <w:p w14:paraId="353F62F8" w14:textId="24704D51" w:rsidR="0023213C" w:rsidRPr="00E91368" w:rsidRDefault="0023213C" w:rsidP="0023213C">
            <w:pPr>
              <w:rPr>
                <w:rFonts w:asciiTheme="majorHAnsi" w:hAnsiTheme="majorHAnsi" w:cstheme="majorHAnsi"/>
                <w:szCs w:val="20"/>
              </w:rPr>
            </w:pPr>
            <w:r>
              <w:rPr>
                <w:rFonts w:asciiTheme="majorHAnsi" w:hAnsiTheme="majorHAnsi" w:cstheme="majorHAnsi"/>
                <w:szCs w:val="20"/>
              </w:rPr>
              <w:t xml:space="preserve">Direct engagement with AngloGold Ashanti business units, MRMIA or government-owned mining operators </w:t>
            </w:r>
          </w:p>
        </w:tc>
      </w:tr>
      <w:tr w:rsidR="0023213C" w:rsidRPr="00E91368" w14:paraId="6BD8EC0D" w14:textId="77777777" w:rsidTr="0023213C">
        <w:tc>
          <w:tcPr>
            <w:tcW w:w="3018" w:type="dxa"/>
            <w:hideMark/>
          </w:tcPr>
          <w:p w14:paraId="4AD07EC4" w14:textId="1EA7B86F" w:rsidR="0023213C" w:rsidRPr="00E91368" w:rsidRDefault="0023213C" w:rsidP="0023213C">
            <w:pPr>
              <w:rPr>
                <w:rFonts w:asciiTheme="majorHAnsi" w:hAnsiTheme="majorHAnsi" w:cstheme="majorHAnsi"/>
                <w:b/>
                <w:bCs/>
                <w:szCs w:val="20"/>
              </w:rPr>
            </w:pPr>
            <w:r w:rsidRPr="00E91368">
              <w:rPr>
                <w:rFonts w:asciiTheme="majorHAnsi" w:hAnsiTheme="majorHAnsi" w:cstheme="majorHAnsi"/>
                <w:b/>
                <w:bCs/>
                <w:szCs w:val="20"/>
              </w:rPr>
              <w:t>Key commercial consideration</w:t>
            </w:r>
            <w:r>
              <w:rPr>
                <w:rFonts w:asciiTheme="majorHAnsi" w:hAnsiTheme="majorHAnsi" w:cstheme="majorHAnsi"/>
                <w:b/>
                <w:bCs/>
                <w:szCs w:val="20"/>
              </w:rPr>
              <w:t>s</w:t>
            </w:r>
          </w:p>
        </w:tc>
        <w:tc>
          <w:tcPr>
            <w:tcW w:w="7052" w:type="dxa"/>
            <w:hideMark/>
          </w:tcPr>
          <w:p w14:paraId="3B9C0782" w14:textId="7BCAFC37" w:rsidR="0023213C" w:rsidRPr="00E91368" w:rsidRDefault="0023213C" w:rsidP="0023213C">
            <w:pPr>
              <w:rPr>
                <w:rFonts w:asciiTheme="majorHAnsi" w:hAnsiTheme="majorHAnsi" w:cstheme="majorHAnsi"/>
                <w:szCs w:val="20"/>
              </w:rPr>
            </w:pPr>
            <w:r w:rsidRPr="000B1C57">
              <w:rPr>
                <w:rFonts w:asciiTheme="majorHAnsi" w:hAnsiTheme="majorHAnsi" w:cstheme="majorHAnsi"/>
                <w:szCs w:val="20"/>
              </w:rPr>
              <w:t xml:space="preserve">Current purchasing is concentrated around established operations and funded exploration. </w:t>
            </w:r>
            <w:r>
              <w:rPr>
                <w:rFonts w:asciiTheme="majorHAnsi" w:hAnsiTheme="majorHAnsi" w:cstheme="majorHAnsi"/>
                <w:szCs w:val="20"/>
              </w:rPr>
              <w:t>Observe</w:t>
            </w:r>
            <w:r w:rsidRPr="000B1C57">
              <w:rPr>
                <w:rFonts w:asciiTheme="majorHAnsi" w:hAnsiTheme="majorHAnsi" w:cstheme="majorHAnsi"/>
                <w:szCs w:val="20"/>
              </w:rPr>
              <w:t xml:space="preserve"> project funding and timing, identify </w:t>
            </w:r>
            <w:r>
              <w:rPr>
                <w:rFonts w:asciiTheme="majorHAnsi" w:hAnsiTheme="majorHAnsi" w:cstheme="majorHAnsi"/>
                <w:szCs w:val="20"/>
              </w:rPr>
              <w:t>purchasing unit</w:t>
            </w:r>
            <w:r w:rsidRPr="000B1C57">
              <w:rPr>
                <w:rFonts w:asciiTheme="majorHAnsi" w:hAnsiTheme="majorHAnsi" w:cstheme="majorHAnsi"/>
                <w:szCs w:val="20"/>
              </w:rPr>
              <w:t>,</w:t>
            </w:r>
            <w:r>
              <w:rPr>
                <w:rFonts w:asciiTheme="majorHAnsi" w:hAnsiTheme="majorHAnsi" w:cstheme="majorHAnsi"/>
                <w:szCs w:val="20"/>
              </w:rPr>
              <w:t xml:space="preserve"> agree commercial terms, confirm partner capability required,</w:t>
            </w:r>
            <w:r w:rsidRPr="000B1C57">
              <w:rPr>
                <w:rFonts w:asciiTheme="majorHAnsi" w:hAnsiTheme="majorHAnsi" w:cstheme="majorHAnsi"/>
                <w:szCs w:val="20"/>
              </w:rPr>
              <w:t xml:space="preserve"> and allow for equipment importation and mobilisation. </w:t>
            </w:r>
          </w:p>
        </w:tc>
      </w:tr>
    </w:tbl>
    <w:p w14:paraId="58EC0431" w14:textId="77777777" w:rsidR="00E32F67" w:rsidRDefault="00E32F67" w:rsidP="00B52B99"/>
    <w:p w14:paraId="012BE667" w14:textId="77777777" w:rsidR="00E32F67" w:rsidRDefault="00E32F67" w:rsidP="00B52B99">
      <w:pPr>
        <w:pStyle w:val="Heading3"/>
      </w:pPr>
      <w:r>
        <w:t>Egypt’s exploration opening and the execution test</w:t>
      </w:r>
    </w:p>
    <w:p w14:paraId="1A4E2CCD" w14:textId="7D89FF34" w:rsidR="00874444" w:rsidRDefault="00874444" w:rsidP="00B52B99">
      <w:r>
        <w:t xml:space="preserve">SRK Exploration has worked with Egypt for almost a decade and is in an unparalleled position to understand </w:t>
      </w:r>
      <w:r w:rsidR="00BB5AEC">
        <w:t>t</w:t>
      </w:r>
      <w:r>
        <w:t xml:space="preserve">he transformational change underway in the market. According to their Managing Director, Colin Rawbone, a </w:t>
      </w:r>
      <w:r w:rsidRPr="009F4EAF">
        <w:t>shift from a closed, high-risk, first-mover play to a more credible destination for international participation</w:t>
      </w:r>
      <w:r>
        <w:t xml:space="preserve"> is rapidly developing, driven by national geoscience studies, a more accessible cadastre and a broader multi-commodity exploration focus. </w:t>
      </w:r>
    </w:p>
    <w:p w14:paraId="44196D32" w14:textId="77777777" w:rsidR="00874444" w:rsidRDefault="00874444" w:rsidP="00B52B99">
      <w:r>
        <w:t xml:space="preserve">These significant reforms have brought a maturing base of exploration companies and service providers, including drilling companies, laboratories and technical experts, demonstrating the development towards a vibrant mining ecosystem. SRK believes these international players </w:t>
      </w:r>
      <w:r w:rsidRPr="00D97ABF">
        <w:t>are bringing in modern and expatriate skill sets to supplement a strongly academic domestic technical base</w:t>
      </w:r>
      <w:r>
        <w:t xml:space="preserve"> and well-established infrastructure. </w:t>
      </w:r>
    </w:p>
    <w:p w14:paraId="696F8F37" w14:textId="64BB9011" w:rsidR="000814C7" w:rsidRDefault="00874444" w:rsidP="00B52B99">
      <w:r>
        <w:t xml:space="preserve">While the transformation is real and rapid, the mining industry development will take time, effort and investment. SRK notes that while signs are positive, Egypt must sustain the momentum, and potential investors will want to see outcomes from initial explorers.  </w:t>
      </w:r>
    </w:p>
    <w:p w14:paraId="3BF2AB61" w14:textId="77777777" w:rsidR="00B52B99" w:rsidRDefault="00B52B99" w:rsidP="00B52B99"/>
    <w:p w14:paraId="50CCAD5D" w14:textId="5C19EB95" w:rsidR="00E32F67" w:rsidRPr="00240C22" w:rsidRDefault="00E32F67" w:rsidP="00B52B99">
      <w:pPr>
        <w:pStyle w:val="Quote1"/>
      </w:pPr>
      <w:r w:rsidRPr="00E32F67">
        <w:t>“It's just about timing in the market and having that stability... I think that's the real litmus test for Egypt now.”</w:t>
      </w:r>
    </w:p>
    <w:p w14:paraId="5723ACA0" w14:textId="09AD0331" w:rsidR="00E32F67" w:rsidRDefault="00E32F67" w:rsidP="00B52B99">
      <w:pPr>
        <w:pStyle w:val="quotename"/>
      </w:pPr>
      <w:r>
        <w:t xml:space="preserve">- Colin Rawbone, </w:t>
      </w:r>
      <w:r w:rsidR="0054607F">
        <w:t>Managing Director</w:t>
      </w:r>
      <w:r>
        <w:t xml:space="preserve">, SRK </w:t>
      </w:r>
      <w:r w:rsidR="00BA7DB0">
        <w:t xml:space="preserve">Exploration </w:t>
      </w:r>
    </w:p>
    <w:p w14:paraId="4F7E6B57" w14:textId="77777777" w:rsidR="00C86B24" w:rsidRPr="00A53C17" w:rsidRDefault="00C86B24" w:rsidP="003E58A5">
      <w:pPr>
        <w:pStyle w:val="Heading1"/>
      </w:pPr>
    </w:p>
    <w:p w14:paraId="1B89E52E" w14:textId="77777777" w:rsidR="00C86B24" w:rsidRPr="00C86B24" w:rsidRDefault="00C86B24" w:rsidP="00C86B24"/>
    <w:p w14:paraId="66DB4681" w14:textId="77777777" w:rsidR="00C86B24" w:rsidRDefault="00C86B24" w:rsidP="00C86B24"/>
    <w:p w14:paraId="1B79B1BE" w14:textId="77777777" w:rsidR="009025F5" w:rsidRDefault="009025F5" w:rsidP="003E58A5">
      <w:pPr>
        <w:pStyle w:val="Heading1"/>
      </w:pPr>
    </w:p>
    <w:p w14:paraId="0F65AEB5" w14:textId="77777777" w:rsidR="009025F5" w:rsidRDefault="009025F5" w:rsidP="003E58A5">
      <w:pPr>
        <w:pStyle w:val="Heading1"/>
      </w:pPr>
    </w:p>
    <w:p w14:paraId="04DF862A" w14:textId="77777777" w:rsidR="00813518" w:rsidRDefault="00813518" w:rsidP="00813518"/>
    <w:p w14:paraId="144E8FB3" w14:textId="77777777" w:rsidR="00813518" w:rsidRDefault="00813518" w:rsidP="00813518"/>
    <w:p w14:paraId="78D4D934" w14:textId="77777777" w:rsidR="00813518" w:rsidRPr="00813518" w:rsidRDefault="00813518" w:rsidP="00813518"/>
    <w:p w14:paraId="6E9CD2F9" w14:textId="533B324B" w:rsidR="00354E98" w:rsidRDefault="0098472F" w:rsidP="00B52B99">
      <w:pPr>
        <w:pStyle w:val="Heading3"/>
        <w:rPr>
          <w:rFonts w:cstheme="majorHAnsi"/>
          <w:szCs w:val="20"/>
          <w:highlight w:val="cyan"/>
        </w:rPr>
      </w:pPr>
      <w:r>
        <w:t>Egypt</w:t>
      </w:r>
      <w:r w:rsidR="003E58A5">
        <w:t xml:space="preserve"> Mines </w:t>
      </w:r>
      <w:r w:rsidR="00712984">
        <w:t>and</w:t>
      </w:r>
      <w:r w:rsidR="003E58A5">
        <w:t xml:space="preserve"> Processing Operations </w:t>
      </w:r>
    </w:p>
    <w:p w14:paraId="172BA3C8" w14:textId="3F026FF7" w:rsidR="0026370C" w:rsidRDefault="00F52CFF" w:rsidP="00132828">
      <w:pPr>
        <w:rPr>
          <w:rFonts w:asciiTheme="majorHAnsi" w:hAnsiTheme="majorHAnsi" w:cstheme="majorHAnsi"/>
          <w:b/>
          <w:bCs/>
          <w:szCs w:val="20"/>
        </w:rPr>
      </w:pPr>
      <w:r>
        <w:rPr>
          <w:rFonts w:asciiTheme="majorHAnsi" w:hAnsiTheme="majorHAnsi" w:cstheme="majorHAnsi"/>
          <w:b/>
          <w:bCs/>
          <w:noProof/>
          <w:szCs w:val="20"/>
        </w:rPr>
        <w:drawing>
          <wp:inline distT="0" distB="0" distL="0" distR="0" wp14:anchorId="5626B878" wp14:editId="473B0052">
            <wp:extent cx="6393815" cy="4522470"/>
            <wp:effectExtent l="0" t="0" r="6985" b="0"/>
            <wp:docPr id="1709904255" name="Picture 7" descr="Infographic for Egypt mining and processing operations. It displays an image of a desert and another image of a map of Egypt with mine locations marked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04255" name="Picture 7" descr="Infographic for Egypt mining and processing operations. It displays an image of a desert and another image of a map of Egypt with mine locations marked on i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93815" cy="4522470"/>
                    </a:xfrm>
                    <a:prstGeom prst="rect">
                      <a:avLst/>
                    </a:prstGeom>
                    <a:noFill/>
                    <a:ln>
                      <a:noFill/>
                    </a:ln>
                  </pic:spPr>
                </pic:pic>
              </a:graphicData>
            </a:graphic>
          </wp:inline>
        </w:drawing>
      </w:r>
    </w:p>
    <w:p w14:paraId="6063EA23" w14:textId="77777777" w:rsidR="00B327A6" w:rsidRDefault="00B327A6" w:rsidP="00132828">
      <w:pPr>
        <w:rPr>
          <w:rFonts w:asciiTheme="majorHAnsi" w:hAnsiTheme="majorHAnsi" w:cstheme="majorHAnsi"/>
          <w:b/>
          <w:bCs/>
          <w:szCs w:val="20"/>
        </w:rPr>
      </w:pPr>
    </w:p>
    <w:p w14:paraId="67504E9E" w14:textId="77777777" w:rsidR="00D866AB" w:rsidRDefault="00D866AB" w:rsidP="00B52B99">
      <w:pPr>
        <w:pStyle w:val="Heading3"/>
      </w:pPr>
      <w:r w:rsidRPr="00D866AB">
        <w:t>Mining Activity and Implications for Australian METS</w:t>
      </w:r>
    </w:p>
    <w:p w14:paraId="417B2973" w14:textId="25F3CE5F" w:rsidR="00091217" w:rsidRDefault="00091217" w:rsidP="00072233">
      <w:r w:rsidRPr="00091217">
        <w:t xml:space="preserve">While gold is the main mining opportunity in Egypt, potential exists across a broad array of minerals and metals, with each </w:t>
      </w:r>
      <w:r w:rsidR="007A151E">
        <w:t xml:space="preserve">commodity </w:t>
      </w:r>
      <w:r w:rsidRPr="00091217">
        <w:t>at a different level of maturity. The flagship Sukari operation is in the Eastern Desert within the Arabian-Nubian Shield, where much of Egypt’s gold exploration is concentrated. Red Sea ports provide important logistics hubs for current and potential gold projects. Phosphate activity is centred further west and south, while black</w:t>
      </w:r>
      <w:r w:rsidR="001F4415">
        <w:t xml:space="preserve"> </w:t>
      </w:r>
      <w:r w:rsidRPr="00091217">
        <w:t>sands processing, involving heavy minerals including ilmenite, zircon, magnetite, rutile, garnet and monazite, is located along the Nile Delta and Mediterranean coast.</w:t>
      </w:r>
    </w:p>
    <w:p w14:paraId="61E72557" w14:textId="0E8CD15D" w:rsidR="006566B2" w:rsidRDefault="00072233" w:rsidP="00072233">
      <w:r>
        <w:t xml:space="preserve">For Australian METS companies, </w:t>
      </w:r>
      <w:r w:rsidR="00A967CF">
        <w:t xml:space="preserve">the </w:t>
      </w:r>
      <w:r>
        <w:t>timing</w:t>
      </w:r>
      <w:r w:rsidR="00A967CF">
        <w:t xml:space="preserve"> of market entry to Egypt</w:t>
      </w:r>
      <w:r>
        <w:t xml:space="preserve"> should follow project maturity rather than the size of the geological opportunity alone. </w:t>
      </w:r>
      <w:r w:rsidR="001551A8" w:rsidRPr="001551A8">
        <w:t>Companies should track committed exploration spend, project finance and procurement timing rather than treating reform announcements alone as a signal of near-term purchasing.</w:t>
      </w:r>
    </w:p>
    <w:p w14:paraId="6E89CB3D" w14:textId="77777777" w:rsidR="00072233" w:rsidRDefault="00072233" w:rsidP="00072233"/>
    <w:tbl>
      <w:tblPr>
        <w:tblStyle w:val="TableGrid"/>
        <w:tblW w:w="9561" w:type="dxa"/>
        <w:tblLayout w:type="fixed"/>
        <w:tblCellMar>
          <w:top w:w="57" w:type="dxa"/>
          <w:bottom w:w="57" w:type="dxa"/>
        </w:tblCellMar>
        <w:tblLook w:val="04A0" w:firstRow="1" w:lastRow="0" w:firstColumn="1" w:lastColumn="0" w:noHBand="0" w:noVBand="1"/>
      </w:tblPr>
      <w:tblGrid>
        <w:gridCol w:w="2677"/>
        <w:gridCol w:w="3442"/>
        <w:gridCol w:w="3442"/>
      </w:tblGrid>
      <w:tr w:rsidR="00D65659" w14:paraId="18B4899A" w14:textId="77777777" w:rsidTr="0023213C">
        <w:trPr>
          <w:cantSplit/>
          <w:trHeight w:val="193"/>
          <w:tblHeader/>
        </w:trPr>
        <w:tc>
          <w:tcPr>
            <w:tcW w:w="2677" w:type="dxa"/>
            <w:shd w:val="clear" w:color="auto" w:fill="173F34" w:themeFill="accent1"/>
            <w:tcMar>
              <w:top w:w="70" w:type="dxa"/>
              <w:left w:w="85" w:type="dxa"/>
              <w:bottom w:w="70" w:type="dxa"/>
              <w:right w:w="85" w:type="dxa"/>
            </w:tcMar>
            <w:vAlign w:val="center"/>
          </w:tcPr>
          <w:p w14:paraId="0F19F56C" w14:textId="658BC70B" w:rsidR="00D65659" w:rsidRPr="0023213C" w:rsidRDefault="00D65659" w:rsidP="008A1F07">
            <w:pPr>
              <w:spacing w:after="0" w:line="240" w:lineRule="auto"/>
              <w:rPr>
                <w:sz w:val="16"/>
              </w:rPr>
            </w:pPr>
            <w:r w:rsidRPr="0023213C">
              <w:rPr>
                <w:b/>
                <w:sz w:val="16"/>
              </w:rPr>
              <w:lastRenderedPageBreak/>
              <w:t xml:space="preserve">Opportunity </w:t>
            </w:r>
          </w:p>
        </w:tc>
        <w:tc>
          <w:tcPr>
            <w:tcW w:w="3442" w:type="dxa"/>
            <w:shd w:val="clear" w:color="auto" w:fill="173F34" w:themeFill="accent1"/>
            <w:tcMar>
              <w:top w:w="70" w:type="dxa"/>
              <w:left w:w="85" w:type="dxa"/>
              <w:bottom w:w="70" w:type="dxa"/>
              <w:right w:w="85" w:type="dxa"/>
            </w:tcMar>
            <w:vAlign w:val="center"/>
          </w:tcPr>
          <w:p w14:paraId="71E8D7F2" w14:textId="001CE108" w:rsidR="00D65659" w:rsidRPr="0023213C" w:rsidRDefault="00D65659" w:rsidP="008A1F07">
            <w:pPr>
              <w:spacing w:after="0" w:line="240" w:lineRule="auto"/>
              <w:rPr>
                <w:sz w:val="16"/>
              </w:rPr>
            </w:pPr>
            <w:r w:rsidRPr="0023213C">
              <w:rPr>
                <w:b/>
                <w:sz w:val="16"/>
              </w:rPr>
              <w:t xml:space="preserve">Status </w:t>
            </w:r>
          </w:p>
        </w:tc>
        <w:tc>
          <w:tcPr>
            <w:tcW w:w="3442" w:type="dxa"/>
            <w:shd w:val="clear" w:color="auto" w:fill="173F34" w:themeFill="accent1"/>
            <w:tcMar>
              <w:top w:w="70" w:type="dxa"/>
              <w:left w:w="85" w:type="dxa"/>
              <w:bottom w:w="70" w:type="dxa"/>
              <w:right w:w="85" w:type="dxa"/>
            </w:tcMar>
            <w:vAlign w:val="center"/>
          </w:tcPr>
          <w:p w14:paraId="0CB15A1A" w14:textId="47469614" w:rsidR="00D65659" w:rsidRPr="0023213C" w:rsidRDefault="00D65659" w:rsidP="008A1F07">
            <w:pPr>
              <w:spacing w:after="0" w:line="240" w:lineRule="auto"/>
              <w:rPr>
                <w:sz w:val="16"/>
              </w:rPr>
            </w:pPr>
            <w:r w:rsidRPr="0023213C">
              <w:rPr>
                <w:b/>
                <w:sz w:val="16"/>
              </w:rPr>
              <w:t>Australian METS alignment</w:t>
            </w:r>
          </w:p>
        </w:tc>
      </w:tr>
      <w:tr w:rsidR="00D65659" w14:paraId="31DD5561" w14:textId="77777777" w:rsidTr="0023213C">
        <w:trPr>
          <w:cantSplit/>
          <w:trHeight w:val="923"/>
        </w:trPr>
        <w:tc>
          <w:tcPr>
            <w:tcW w:w="2677" w:type="dxa"/>
            <w:tcMar>
              <w:top w:w="70" w:type="dxa"/>
              <w:left w:w="85" w:type="dxa"/>
              <w:bottom w:w="70" w:type="dxa"/>
              <w:right w:w="85" w:type="dxa"/>
            </w:tcMar>
            <w:vAlign w:val="center"/>
          </w:tcPr>
          <w:p w14:paraId="610FAA8A" w14:textId="62315411" w:rsidR="00D65659" w:rsidRPr="0023213C" w:rsidRDefault="00D65659">
            <w:pPr>
              <w:spacing w:after="0" w:line="240" w:lineRule="auto"/>
              <w:rPr>
                <w:sz w:val="16"/>
              </w:rPr>
            </w:pPr>
            <w:r w:rsidRPr="0023213C">
              <w:rPr>
                <w:sz w:val="16"/>
              </w:rPr>
              <w:t xml:space="preserve">Sukari gold mine – AngloGold Ashanti and MRMIA </w:t>
            </w:r>
          </w:p>
        </w:tc>
        <w:tc>
          <w:tcPr>
            <w:tcW w:w="3442" w:type="dxa"/>
            <w:tcMar>
              <w:top w:w="70" w:type="dxa"/>
              <w:left w:w="85" w:type="dxa"/>
              <w:bottom w:w="70" w:type="dxa"/>
              <w:right w:w="85" w:type="dxa"/>
            </w:tcMar>
            <w:vAlign w:val="center"/>
          </w:tcPr>
          <w:p w14:paraId="310E68EB" w14:textId="3F608A5B" w:rsidR="00D65659" w:rsidRPr="0023213C" w:rsidRDefault="00D65659">
            <w:pPr>
              <w:spacing w:after="0" w:line="240" w:lineRule="auto"/>
              <w:rPr>
                <w:sz w:val="16"/>
              </w:rPr>
            </w:pPr>
            <w:r w:rsidRPr="0023213C">
              <w:rPr>
                <w:sz w:val="16"/>
              </w:rPr>
              <w:t>A large-scale open-pit and underground gold operation providing Egypt's strongest established mining account.</w:t>
            </w:r>
          </w:p>
        </w:tc>
        <w:tc>
          <w:tcPr>
            <w:tcW w:w="3442" w:type="dxa"/>
            <w:tcMar>
              <w:top w:w="70" w:type="dxa"/>
              <w:left w:w="85" w:type="dxa"/>
              <w:bottom w:w="70" w:type="dxa"/>
              <w:right w:w="85" w:type="dxa"/>
            </w:tcMar>
            <w:vAlign w:val="center"/>
          </w:tcPr>
          <w:p w14:paraId="10DBD1B8" w14:textId="77777777" w:rsidR="00D65659" w:rsidRPr="0023213C" w:rsidRDefault="00D65659">
            <w:pPr>
              <w:spacing w:after="0" w:line="240" w:lineRule="auto"/>
              <w:rPr>
                <w:sz w:val="16"/>
              </w:rPr>
            </w:pPr>
            <w:r w:rsidRPr="0023213C">
              <w:rPr>
                <w:sz w:val="16"/>
              </w:rPr>
              <w:t>Processing and recovery, comminution, maintenance, water, tailings, digital systems, safety and environmental performance.</w:t>
            </w:r>
          </w:p>
        </w:tc>
      </w:tr>
      <w:tr w:rsidR="00D65659" w14:paraId="22ABFE66" w14:textId="77777777" w:rsidTr="0023213C">
        <w:trPr>
          <w:cantSplit/>
          <w:trHeight w:val="923"/>
        </w:trPr>
        <w:tc>
          <w:tcPr>
            <w:tcW w:w="2677" w:type="dxa"/>
            <w:tcMar>
              <w:top w:w="70" w:type="dxa"/>
              <w:left w:w="85" w:type="dxa"/>
              <w:bottom w:w="70" w:type="dxa"/>
              <w:right w:w="85" w:type="dxa"/>
            </w:tcMar>
            <w:vAlign w:val="center"/>
          </w:tcPr>
          <w:p w14:paraId="13213CE3" w14:textId="77777777" w:rsidR="00D65659" w:rsidRPr="0023213C" w:rsidRDefault="00D65659">
            <w:pPr>
              <w:spacing w:after="0" w:line="240" w:lineRule="auto"/>
              <w:rPr>
                <w:sz w:val="16"/>
              </w:rPr>
            </w:pPr>
            <w:r w:rsidRPr="0023213C">
              <w:rPr>
                <w:sz w:val="16"/>
              </w:rPr>
              <w:t>Eastern Desert exploration</w:t>
            </w:r>
          </w:p>
        </w:tc>
        <w:tc>
          <w:tcPr>
            <w:tcW w:w="3442" w:type="dxa"/>
            <w:tcMar>
              <w:top w:w="70" w:type="dxa"/>
              <w:left w:w="85" w:type="dxa"/>
              <w:bottom w:w="70" w:type="dxa"/>
              <w:right w:w="85" w:type="dxa"/>
            </w:tcMar>
            <w:vAlign w:val="center"/>
          </w:tcPr>
          <w:p w14:paraId="7D299159" w14:textId="48373879" w:rsidR="00D65659" w:rsidRPr="0023213C" w:rsidRDefault="00D65659">
            <w:pPr>
              <w:spacing w:after="0" w:line="240" w:lineRule="auto"/>
              <w:rPr>
                <w:sz w:val="16"/>
              </w:rPr>
            </w:pPr>
            <w:r w:rsidRPr="0023213C">
              <w:rPr>
                <w:sz w:val="16"/>
              </w:rPr>
              <w:t xml:space="preserve">A cluster of licences and </w:t>
            </w:r>
            <w:r w:rsidR="00C14C70" w:rsidRPr="0023213C">
              <w:rPr>
                <w:sz w:val="16"/>
              </w:rPr>
              <w:t>exploration</w:t>
            </w:r>
            <w:r w:rsidR="00D8394E" w:rsidRPr="0023213C">
              <w:rPr>
                <w:sz w:val="16"/>
              </w:rPr>
              <w:t xml:space="preserve"> activity</w:t>
            </w:r>
            <w:r w:rsidR="00647C76" w:rsidRPr="0023213C">
              <w:rPr>
                <w:sz w:val="16"/>
              </w:rPr>
              <w:t xml:space="preserve"> is driving</w:t>
            </w:r>
            <w:r w:rsidRPr="0023213C">
              <w:rPr>
                <w:sz w:val="16"/>
              </w:rPr>
              <w:t xml:space="preserve"> </w:t>
            </w:r>
            <w:r w:rsidR="00DD4FC5" w:rsidRPr="0023213C">
              <w:rPr>
                <w:sz w:val="16"/>
              </w:rPr>
              <w:t>r</w:t>
            </w:r>
            <w:r w:rsidRPr="0023213C">
              <w:rPr>
                <w:sz w:val="16"/>
              </w:rPr>
              <w:t xml:space="preserve">esource definition </w:t>
            </w:r>
            <w:r w:rsidR="00D8394E" w:rsidRPr="0023213C">
              <w:rPr>
                <w:sz w:val="16"/>
              </w:rPr>
              <w:t>and development</w:t>
            </w:r>
            <w:r w:rsidRPr="0023213C">
              <w:rPr>
                <w:sz w:val="16"/>
              </w:rPr>
              <w:t xml:space="preserve"> around the Arabian-Nubian Shield.</w:t>
            </w:r>
          </w:p>
        </w:tc>
        <w:tc>
          <w:tcPr>
            <w:tcW w:w="3442" w:type="dxa"/>
            <w:tcMar>
              <w:top w:w="70" w:type="dxa"/>
              <w:left w:w="85" w:type="dxa"/>
              <w:bottom w:w="70" w:type="dxa"/>
              <w:right w:w="85" w:type="dxa"/>
            </w:tcMar>
            <w:vAlign w:val="center"/>
          </w:tcPr>
          <w:p w14:paraId="3EBA0F13" w14:textId="77777777" w:rsidR="00D65659" w:rsidRPr="0023213C" w:rsidRDefault="00D65659">
            <w:pPr>
              <w:spacing w:after="0" w:line="240" w:lineRule="auto"/>
              <w:rPr>
                <w:sz w:val="16"/>
              </w:rPr>
            </w:pPr>
            <w:r w:rsidRPr="0023213C">
              <w:rPr>
                <w:sz w:val="16"/>
              </w:rPr>
              <w:t>Geophysics, remote sensing, drilling, core and sample tracking, laboratories, field data and logistics.</w:t>
            </w:r>
          </w:p>
        </w:tc>
      </w:tr>
      <w:tr w:rsidR="00D65659" w14:paraId="16521F90" w14:textId="77777777" w:rsidTr="0023213C">
        <w:trPr>
          <w:cantSplit/>
          <w:trHeight w:val="1477"/>
        </w:trPr>
        <w:tc>
          <w:tcPr>
            <w:tcW w:w="2677" w:type="dxa"/>
            <w:tcMar>
              <w:top w:w="70" w:type="dxa"/>
              <w:left w:w="85" w:type="dxa"/>
              <w:bottom w:w="70" w:type="dxa"/>
              <w:right w:w="85" w:type="dxa"/>
            </w:tcMar>
            <w:vAlign w:val="center"/>
          </w:tcPr>
          <w:p w14:paraId="06B6082B" w14:textId="77777777" w:rsidR="00D65659" w:rsidRPr="0023213C" w:rsidRDefault="00D65659">
            <w:pPr>
              <w:spacing w:after="0" w:line="240" w:lineRule="auto"/>
              <w:rPr>
                <w:sz w:val="16"/>
              </w:rPr>
            </w:pPr>
            <w:r w:rsidRPr="0023213C">
              <w:rPr>
                <w:sz w:val="16"/>
              </w:rPr>
              <w:t>Phosphate districts and Abu Tartur</w:t>
            </w:r>
          </w:p>
        </w:tc>
        <w:tc>
          <w:tcPr>
            <w:tcW w:w="3442" w:type="dxa"/>
            <w:tcMar>
              <w:top w:w="70" w:type="dxa"/>
              <w:left w:w="85" w:type="dxa"/>
              <w:bottom w:w="70" w:type="dxa"/>
              <w:right w:w="85" w:type="dxa"/>
            </w:tcMar>
            <w:vAlign w:val="center"/>
          </w:tcPr>
          <w:p w14:paraId="106410D9" w14:textId="77A52D2E" w:rsidR="00D65659" w:rsidRPr="0023213C" w:rsidRDefault="00D65659">
            <w:pPr>
              <w:spacing w:after="0" w:line="240" w:lineRule="auto"/>
              <w:rPr>
                <w:sz w:val="16"/>
              </w:rPr>
            </w:pPr>
            <w:r w:rsidRPr="0023213C">
              <w:rPr>
                <w:sz w:val="16"/>
              </w:rPr>
              <w:t xml:space="preserve">Western Desert and Upper Egypt phosphate assets create a separate mining and downstream development opportunity. Most yet to be developed with small historical production from Abu Tartur project. </w:t>
            </w:r>
          </w:p>
        </w:tc>
        <w:tc>
          <w:tcPr>
            <w:tcW w:w="3442" w:type="dxa"/>
            <w:tcMar>
              <w:top w:w="70" w:type="dxa"/>
              <w:left w:w="85" w:type="dxa"/>
              <w:bottom w:w="70" w:type="dxa"/>
              <w:right w:w="85" w:type="dxa"/>
            </w:tcMar>
            <w:vAlign w:val="center"/>
          </w:tcPr>
          <w:p w14:paraId="69E70349" w14:textId="753C4DC9" w:rsidR="00D65659" w:rsidRPr="0023213C" w:rsidRDefault="00D65659">
            <w:pPr>
              <w:spacing w:after="0" w:line="240" w:lineRule="auto"/>
              <w:rPr>
                <w:sz w:val="16"/>
              </w:rPr>
            </w:pPr>
            <w:r w:rsidRPr="0023213C">
              <w:rPr>
                <w:sz w:val="16"/>
              </w:rPr>
              <w:t>Exploration, mining systems, beneficiation, bulk handling, water, process engineering, infrastructure and environmental management.</w:t>
            </w:r>
          </w:p>
        </w:tc>
      </w:tr>
      <w:tr w:rsidR="00D65659" w14:paraId="24610A4F" w14:textId="77777777" w:rsidTr="0023213C">
        <w:trPr>
          <w:cantSplit/>
          <w:trHeight w:val="1293"/>
        </w:trPr>
        <w:tc>
          <w:tcPr>
            <w:tcW w:w="2677" w:type="dxa"/>
            <w:tcMar>
              <w:top w:w="70" w:type="dxa"/>
              <w:left w:w="85" w:type="dxa"/>
              <w:bottom w:w="70" w:type="dxa"/>
              <w:right w:w="85" w:type="dxa"/>
            </w:tcMar>
            <w:vAlign w:val="center"/>
          </w:tcPr>
          <w:p w14:paraId="6791828B" w14:textId="46E32A4C" w:rsidR="00D65659" w:rsidRPr="0023213C" w:rsidRDefault="00D65659">
            <w:pPr>
              <w:spacing w:after="0" w:line="240" w:lineRule="auto"/>
              <w:rPr>
                <w:sz w:val="16"/>
              </w:rPr>
            </w:pPr>
            <w:r w:rsidRPr="0023213C">
              <w:rPr>
                <w:sz w:val="16"/>
              </w:rPr>
              <w:t xml:space="preserve">Black sands systems </w:t>
            </w:r>
          </w:p>
        </w:tc>
        <w:tc>
          <w:tcPr>
            <w:tcW w:w="3442" w:type="dxa"/>
            <w:tcMar>
              <w:top w:w="70" w:type="dxa"/>
              <w:left w:w="85" w:type="dxa"/>
              <w:bottom w:w="70" w:type="dxa"/>
              <w:right w:w="85" w:type="dxa"/>
            </w:tcMar>
            <w:vAlign w:val="center"/>
          </w:tcPr>
          <w:p w14:paraId="544A0748" w14:textId="676DC27E" w:rsidR="00D65659" w:rsidRPr="0023213C" w:rsidRDefault="00D65659">
            <w:pPr>
              <w:spacing w:after="0" w:line="240" w:lineRule="auto"/>
              <w:rPr>
                <w:sz w:val="16"/>
              </w:rPr>
            </w:pPr>
            <w:r w:rsidRPr="0023213C">
              <w:rPr>
                <w:sz w:val="16"/>
              </w:rPr>
              <w:t xml:space="preserve">Largely operated by the government-owned Egyptian Black Sand Company (EBSC), this complex involves integrated </w:t>
            </w:r>
            <w:r w:rsidR="002661EB" w:rsidRPr="0023213C">
              <w:rPr>
                <w:sz w:val="16"/>
              </w:rPr>
              <w:t>dredgin</w:t>
            </w:r>
            <w:r w:rsidRPr="0023213C">
              <w:rPr>
                <w:sz w:val="16"/>
              </w:rPr>
              <w:t xml:space="preserve">g and processing/separation operations. </w:t>
            </w:r>
          </w:p>
        </w:tc>
        <w:tc>
          <w:tcPr>
            <w:tcW w:w="3442" w:type="dxa"/>
            <w:tcMar>
              <w:top w:w="70" w:type="dxa"/>
              <w:left w:w="85" w:type="dxa"/>
              <w:bottom w:w="70" w:type="dxa"/>
              <w:right w:w="85" w:type="dxa"/>
            </w:tcMar>
            <w:vAlign w:val="center"/>
          </w:tcPr>
          <w:p w14:paraId="37062781" w14:textId="0F5726BD" w:rsidR="00D65659" w:rsidRPr="0023213C" w:rsidRDefault="00D65659">
            <w:pPr>
              <w:spacing w:after="0" w:line="240" w:lineRule="auto"/>
              <w:rPr>
                <w:sz w:val="16"/>
              </w:rPr>
            </w:pPr>
            <w:r w:rsidRPr="0023213C">
              <w:rPr>
                <w:sz w:val="16"/>
              </w:rPr>
              <w:t>Mineral separation, magnetic, process control, maintenance, product quality and environmental monitoring.</w:t>
            </w:r>
          </w:p>
        </w:tc>
      </w:tr>
    </w:tbl>
    <w:p w14:paraId="5FB817D2" w14:textId="77777777" w:rsidR="00C36BA8" w:rsidRDefault="00C36BA8">
      <w:pPr>
        <w:spacing w:after="200" w:line="276" w:lineRule="auto"/>
        <w:rPr>
          <w:rFonts w:asciiTheme="majorHAnsi" w:hAnsiTheme="majorHAnsi" w:cstheme="majorHAnsi"/>
          <w:szCs w:val="20"/>
          <w:highlight w:val="green"/>
        </w:rPr>
      </w:pPr>
    </w:p>
    <w:p w14:paraId="3476B944" w14:textId="0A58B2C1" w:rsidR="00C36BA8" w:rsidRPr="004E2E63" w:rsidRDefault="00C36BA8" w:rsidP="00B52B99">
      <w:pPr>
        <w:pStyle w:val="Heading3"/>
        <w:rPr>
          <w:highlight w:val="cyan"/>
        </w:rPr>
      </w:pPr>
      <w:r w:rsidRPr="00B21041">
        <w:t>Market development</w:t>
      </w:r>
      <w:r>
        <w:t xml:space="preserve"> </w:t>
      </w:r>
      <w:r w:rsidR="00712984">
        <w:t>and</w:t>
      </w:r>
      <w:r>
        <w:t xml:space="preserve"> Exploration Activity </w:t>
      </w:r>
      <w:r w:rsidRPr="00B21041">
        <w:t xml:space="preserve"> </w:t>
      </w:r>
    </w:p>
    <w:p w14:paraId="3C42FAB3" w14:textId="709D9800" w:rsidR="001C6AFA" w:rsidRDefault="006D6B6A" w:rsidP="00910E98">
      <w:r w:rsidRPr="006D6B6A">
        <w:t>Egypt's mining sector is at an early but increasingly active stage of development. While current production is concentrated in a small number of established operations</w:t>
      </w:r>
      <w:r>
        <w:t>, the</w:t>
      </w:r>
      <w:r w:rsidRPr="006D6B6A">
        <w:t xml:space="preserve"> government's 2025–26 reforms </w:t>
      </w:r>
      <w:r w:rsidR="004740CF">
        <w:t xml:space="preserve">are </w:t>
      </w:r>
      <w:r w:rsidR="004740CF" w:rsidRPr="006D6B6A">
        <w:t>expanding Egypt's exploration pipeline.</w:t>
      </w:r>
    </w:p>
    <w:p w14:paraId="0AE3A882" w14:textId="77777777" w:rsidR="00633402" w:rsidRDefault="00633402" w:rsidP="00910E98">
      <w:r w:rsidRPr="00633402">
        <w:t>Recent licensing activity provides an indication of sector activity. In the fourth quarter of 2025, MRMIA approved 53 decisions: 11 new exploration licences, 15 new exploitation licences, 26 exploitation-licence renewals and one land-licence request. The decisions covered minerals including feldspar, calcite, vermiculite, magnetite, iron oxide, talc, fluorspar, phosphate and glass sand. International companies are also recommitting capital, including Cyprus-based FMC, which announced plans to resume gold and mineral exploration in the Eastern Desert with around US$20 million of investment.</w:t>
      </w:r>
      <w:r w:rsidRPr="00CE6EE6">
        <w:rPr>
          <w:vertAlign w:val="superscript"/>
        </w:rPr>
        <w:t>[4][5]</w:t>
      </w:r>
    </w:p>
    <w:p w14:paraId="7CF11EFA" w14:textId="5BBC4ED0" w:rsidR="007C167C" w:rsidRDefault="007C167C" w:rsidP="00B52B99">
      <w:pPr>
        <w:pStyle w:val="Quote1"/>
      </w:pPr>
      <w:r>
        <w:t>“</w:t>
      </w:r>
      <w:r w:rsidR="00FB7381">
        <w:t>W</w:t>
      </w:r>
      <w:r w:rsidRPr="007C167C">
        <w:t>hat they've managed to achieve in</w:t>
      </w:r>
      <w:r w:rsidR="00095634">
        <w:t xml:space="preserve"> </w:t>
      </w:r>
      <w:r w:rsidRPr="007C167C">
        <w:t>11 months is unheard of anywhere</w:t>
      </w:r>
      <w:r w:rsidRPr="00346876">
        <w:t>."</w:t>
      </w:r>
    </w:p>
    <w:p w14:paraId="493E5B73" w14:textId="10209513" w:rsidR="007C167C" w:rsidRPr="004E1CF7" w:rsidRDefault="007C167C" w:rsidP="00B52B99">
      <w:pPr>
        <w:pStyle w:val="quotename"/>
      </w:pPr>
      <w:r w:rsidRPr="004E1CF7">
        <w:t xml:space="preserve">- Doug Horak, CEO, </w:t>
      </w:r>
      <w:r w:rsidR="00901117" w:rsidRPr="004E1CF7">
        <w:t>Australia</w:t>
      </w:r>
      <w:r w:rsidR="00B64A97" w:rsidRPr="004E1CF7">
        <w:t xml:space="preserve">-Africa Minerals </w:t>
      </w:r>
      <w:r w:rsidR="00712984">
        <w:t>and</w:t>
      </w:r>
      <w:r w:rsidR="00B64A97" w:rsidRPr="004E1CF7">
        <w:t xml:space="preserve"> Energy Group (AAMEG)</w:t>
      </w:r>
    </w:p>
    <w:p w14:paraId="77FB2D88" w14:textId="77777777" w:rsidR="007C167C" w:rsidRPr="004E1CF7" w:rsidRDefault="007C167C" w:rsidP="00C36BA8">
      <w:pPr>
        <w:spacing w:after="200" w:line="276" w:lineRule="auto"/>
        <w:rPr>
          <w:rFonts w:asciiTheme="majorHAnsi" w:hAnsiTheme="majorHAnsi" w:cstheme="majorHAnsi"/>
          <w:szCs w:val="20"/>
        </w:rPr>
      </w:pPr>
    </w:p>
    <w:p w14:paraId="35BCBC74" w14:textId="6E36E749" w:rsidR="00132828" w:rsidRPr="004E1CF7" w:rsidRDefault="00132828" w:rsidP="00CB30F9">
      <w:pPr>
        <w:spacing w:after="200" w:line="276" w:lineRule="auto"/>
        <w:rPr>
          <w:rFonts w:asciiTheme="majorHAnsi" w:hAnsiTheme="majorHAnsi" w:cstheme="majorHAnsi"/>
          <w:szCs w:val="20"/>
          <w:highlight w:val="green"/>
        </w:rPr>
      </w:pPr>
    </w:p>
    <w:p w14:paraId="455C83CB" w14:textId="77777777" w:rsidR="00B10DD5" w:rsidRDefault="00B10DD5" w:rsidP="00B52B99">
      <w:pPr>
        <w:pStyle w:val="Heading3"/>
      </w:pPr>
      <w:r w:rsidRPr="00EE035A">
        <w:lastRenderedPageBreak/>
        <w:t xml:space="preserve">Key Projects </w:t>
      </w:r>
    </w:p>
    <w:tbl>
      <w:tblPr>
        <w:tblStyle w:val="TableGrid"/>
        <w:tblW w:w="9923" w:type="dxa"/>
        <w:tblInd w:w="-5" w:type="dxa"/>
        <w:tblLayout w:type="fixed"/>
        <w:tblCellMar>
          <w:top w:w="57" w:type="dxa"/>
          <w:bottom w:w="57" w:type="dxa"/>
        </w:tblCellMar>
        <w:tblLook w:val="04A0" w:firstRow="1" w:lastRow="0" w:firstColumn="1" w:lastColumn="0" w:noHBand="0" w:noVBand="1"/>
      </w:tblPr>
      <w:tblGrid>
        <w:gridCol w:w="1825"/>
        <w:gridCol w:w="3987"/>
        <w:gridCol w:w="4111"/>
      </w:tblGrid>
      <w:tr w:rsidR="00B10DD5" w14:paraId="075FADA1" w14:textId="77777777" w:rsidTr="0023213C">
        <w:trPr>
          <w:cantSplit/>
          <w:trHeight w:val="19"/>
          <w:tblHeader/>
        </w:trPr>
        <w:tc>
          <w:tcPr>
            <w:tcW w:w="1825" w:type="dxa"/>
            <w:shd w:val="clear" w:color="auto" w:fill="173F34" w:themeFill="accent1"/>
            <w:vAlign w:val="center"/>
          </w:tcPr>
          <w:p w14:paraId="0938EF79" w14:textId="77777777" w:rsidR="00B10DD5" w:rsidRDefault="00B10DD5" w:rsidP="0023213C">
            <w:pPr>
              <w:spacing w:after="40"/>
            </w:pPr>
            <w:r>
              <w:rPr>
                <w:b/>
                <w:sz w:val="16"/>
              </w:rPr>
              <w:t xml:space="preserve">Project </w:t>
            </w:r>
          </w:p>
        </w:tc>
        <w:tc>
          <w:tcPr>
            <w:tcW w:w="3987" w:type="dxa"/>
            <w:shd w:val="clear" w:color="auto" w:fill="173F34" w:themeFill="accent1"/>
            <w:vAlign w:val="center"/>
          </w:tcPr>
          <w:p w14:paraId="68479792" w14:textId="77777777" w:rsidR="00B10DD5" w:rsidRDefault="00B10DD5" w:rsidP="0023213C">
            <w:pPr>
              <w:spacing w:after="40"/>
            </w:pPr>
            <w:r>
              <w:rPr>
                <w:b/>
                <w:sz w:val="16"/>
              </w:rPr>
              <w:t xml:space="preserve">Overview </w:t>
            </w:r>
          </w:p>
        </w:tc>
        <w:tc>
          <w:tcPr>
            <w:tcW w:w="4111" w:type="dxa"/>
            <w:shd w:val="clear" w:color="auto" w:fill="173F34" w:themeFill="accent1"/>
            <w:vAlign w:val="center"/>
          </w:tcPr>
          <w:p w14:paraId="1D8EB919" w14:textId="77777777" w:rsidR="00B10DD5" w:rsidRDefault="00B10DD5" w:rsidP="0023213C">
            <w:pPr>
              <w:spacing w:after="40"/>
            </w:pPr>
            <w:r>
              <w:rPr>
                <w:b/>
                <w:sz w:val="16"/>
              </w:rPr>
              <w:t>METS opportunity</w:t>
            </w:r>
          </w:p>
        </w:tc>
      </w:tr>
      <w:tr w:rsidR="00B10DD5" w14:paraId="5C208826" w14:textId="77777777" w:rsidTr="0023213C">
        <w:trPr>
          <w:cantSplit/>
        </w:trPr>
        <w:tc>
          <w:tcPr>
            <w:tcW w:w="1825" w:type="dxa"/>
          </w:tcPr>
          <w:p w14:paraId="7C94C024" w14:textId="20D19767" w:rsidR="00B10DD5" w:rsidRPr="00910E98" w:rsidRDefault="000D6E47" w:rsidP="00175DCA">
            <w:pPr>
              <w:spacing w:after="40"/>
              <w:rPr>
                <w:sz w:val="16"/>
                <w:szCs w:val="24"/>
              </w:rPr>
            </w:pPr>
            <w:r w:rsidRPr="00910E98">
              <w:rPr>
                <w:sz w:val="16"/>
                <w:szCs w:val="24"/>
              </w:rPr>
              <w:t xml:space="preserve">Sukari - AngloGold Ashanti </w:t>
            </w:r>
            <w:r w:rsidR="009244C0" w:rsidRPr="00910E98">
              <w:rPr>
                <w:sz w:val="16"/>
                <w:szCs w:val="24"/>
              </w:rPr>
              <w:t xml:space="preserve">(50%) </w:t>
            </w:r>
            <w:r w:rsidR="00712984" w:rsidRPr="00910E98">
              <w:rPr>
                <w:sz w:val="16"/>
                <w:szCs w:val="24"/>
              </w:rPr>
              <w:t>and</w:t>
            </w:r>
            <w:r w:rsidRPr="00910E98">
              <w:rPr>
                <w:sz w:val="16"/>
                <w:szCs w:val="24"/>
              </w:rPr>
              <w:t xml:space="preserve"> MRMIA</w:t>
            </w:r>
            <w:r w:rsidR="00CF4F41" w:rsidRPr="00910E98">
              <w:rPr>
                <w:sz w:val="16"/>
                <w:szCs w:val="24"/>
              </w:rPr>
              <w:t xml:space="preserve"> (5</w:t>
            </w:r>
            <w:r w:rsidR="009244C0" w:rsidRPr="00910E98">
              <w:rPr>
                <w:sz w:val="16"/>
                <w:szCs w:val="24"/>
              </w:rPr>
              <w:t>0%</w:t>
            </w:r>
            <w:r w:rsidR="00CF4F41" w:rsidRPr="00910E98">
              <w:rPr>
                <w:sz w:val="16"/>
                <w:szCs w:val="24"/>
              </w:rPr>
              <w:t>)</w:t>
            </w:r>
            <w:r w:rsidRPr="00910E98">
              <w:rPr>
                <w:sz w:val="16"/>
                <w:szCs w:val="24"/>
              </w:rPr>
              <w:t xml:space="preserve"> Joint Venture</w:t>
            </w:r>
          </w:p>
        </w:tc>
        <w:tc>
          <w:tcPr>
            <w:tcW w:w="3987" w:type="dxa"/>
          </w:tcPr>
          <w:p w14:paraId="719C304B" w14:textId="2BD9D495" w:rsidR="00B10DD5" w:rsidRPr="00910E98" w:rsidRDefault="00275E0F" w:rsidP="00175DCA">
            <w:pPr>
              <w:spacing w:after="40"/>
              <w:rPr>
                <w:sz w:val="16"/>
                <w:szCs w:val="24"/>
              </w:rPr>
            </w:pPr>
            <w:r w:rsidRPr="00910E98">
              <w:rPr>
                <w:sz w:val="16"/>
                <w:szCs w:val="24"/>
              </w:rPr>
              <w:t>Sukari is Egypt’s largest modern gold mine. The operation produced 500,000 ounces of gold in 2025 and combines open-pit and underground mining with a large processing plant.</w:t>
            </w:r>
            <w:r w:rsidRPr="00CE6EE6">
              <w:rPr>
                <w:sz w:val="16"/>
                <w:szCs w:val="24"/>
                <w:vertAlign w:val="superscript"/>
              </w:rPr>
              <w:t>[3]</w:t>
            </w:r>
          </w:p>
        </w:tc>
        <w:tc>
          <w:tcPr>
            <w:tcW w:w="4111" w:type="dxa"/>
          </w:tcPr>
          <w:p w14:paraId="0FF599F8" w14:textId="7DD5ACCD" w:rsidR="00B10DD5" w:rsidRPr="00910E98" w:rsidRDefault="00C542B3" w:rsidP="00175DCA">
            <w:pPr>
              <w:spacing w:after="40"/>
              <w:rPr>
                <w:sz w:val="16"/>
                <w:szCs w:val="24"/>
              </w:rPr>
            </w:pPr>
            <w:r w:rsidRPr="00910E98">
              <w:rPr>
                <w:sz w:val="16"/>
                <w:szCs w:val="24"/>
              </w:rPr>
              <w:t>In August 2026, AngloGold</w:t>
            </w:r>
            <w:r w:rsidR="00DF4872" w:rsidRPr="00910E98">
              <w:rPr>
                <w:sz w:val="16"/>
                <w:szCs w:val="24"/>
              </w:rPr>
              <w:t xml:space="preserve"> Ashanti</w:t>
            </w:r>
            <w:r w:rsidRPr="00910E98">
              <w:rPr>
                <w:sz w:val="16"/>
                <w:szCs w:val="24"/>
              </w:rPr>
              <w:t xml:space="preserve"> announced various initiatives to </w:t>
            </w:r>
            <w:r w:rsidR="002216E6" w:rsidRPr="00910E98">
              <w:rPr>
                <w:sz w:val="16"/>
                <w:szCs w:val="24"/>
              </w:rPr>
              <w:t>increase</w:t>
            </w:r>
            <w:r w:rsidRPr="00910E98">
              <w:rPr>
                <w:sz w:val="16"/>
                <w:szCs w:val="24"/>
              </w:rPr>
              <w:t xml:space="preserve"> the mine's long-term value, including upgrading the mining fleet, accelerating waste stripping, and improving the processing plant to enhance gold recovery. </w:t>
            </w:r>
            <w:r w:rsidR="002A175A" w:rsidRPr="00910E98">
              <w:rPr>
                <w:sz w:val="16"/>
                <w:szCs w:val="24"/>
              </w:rPr>
              <w:t xml:space="preserve">They also noted </w:t>
            </w:r>
            <w:r w:rsidR="00427E01" w:rsidRPr="00910E98">
              <w:rPr>
                <w:sz w:val="16"/>
                <w:szCs w:val="24"/>
              </w:rPr>
              <w:t xml:space="preserve">ongoing exploration </w:t>
            </w:r>
            <w:r w:rsidR="003B266F" w:rsidRPr="00910E98">
              <w:rPr>
                <w:sz w:val="16"/>
                <w:szCs w:val="24"/>
              </w:rPr>
              <w:t xml:space="preserve">on the Little Sukari project </w:t>
            </w:r>
            <w:r w:rsidR="00427E01" w:rsidRPr="00910E98">
              <w:rPr>
                <w:sz w:val="16"/>
                <w:szCs w:val="24"/>
              </w:rPr>
              <w:t xml:space="preserve">to </w:t>
            </w:r>
            <w:r w:rsidRPr="00910E98">
              <w:rPr>
                <w:sz w:val="16"/>
                <w:szCs w:val="24"/>
              </w:rPr>
              <w:t>expand mineral resources</w:t>
            </w:r>
            <w:r w:rsidR="007A068B" w:rsidRPr="00910E98">
              <w:rPr>
                <w:sz w:val="16"/>
                <w:szCs w:val="24"/>
              </w:rPr>
              <w:t>.</w:t>
            </w:r>
            <w:r w:rsidR="00B64B34" w:rsidRPr="00CE6EE6">
              <w:rPr>
                <w:sz w:val="16"/>
                <w:szCs w:val="24"/>
                <w:vertAlign w:val="superscript"/>
              </w:rPr>
              <w:t>[6]</w:t>
            </w:r>
          </w:p>
        </w:tc>
      </w:tr>
      <w:tr w:rsidR="00C5377E" w14:paraId="5FD0834C" w14:textId="77777777" w:rsidTr="0023213C">
        <w:trPr>
          <w:cantSplit/>
          <w:trHeight w:val="1256"/>
        </w:trPr>
        <w:tc>
          <w:tcPr>
            <w:tcW w:w="1825" w:type="dxa"/>
          </w:tcPr>
          <w:p w14:paraId="6713F777" w14:textId="7E2E38E5" w:rsidR="00C5377E" w:rsidRPr="00910E98" w:rsidRDefault="00C5377E" w:rsidP="00C5377E">
            <w:pPr>
              <w:spacing w:after="40"/>
              <w:rPr>
                <w:sz w:val="16"/>
                <w:szCs w:val="24"/>
              </w:rPr>
            </w:pPr>
            <w:r w:rsidRPr="00910E98">
              <w:rPr>
                <w:sz w:val="16"/>
                <w:szCs w:val="24"/>
              </w:rPr>
              <w:t>Hamama West – Aton Resources</w:t>
            </w:r>
          </w:p>
        </w:tc>
        <w:tc>
          <w:tcPr>
            <w:tcW w:w="3987" w:type="dxa"/>
          </w:tcPr>
          <w:p w14:paraId="04096C06" w14:textId="013EAEDB" w:rsidR="00C5377E" w:rsidRPr="00910E98" w:rsidRDefault="00C5377E" w:rsidP="00C5377E">
            <w:pPr>
              <w:spacing w:after="40"/>
              <w:rPr>
                <w:sz w:val="16"/>
                <w:szCs w:val="24"/>
              </w:rPr>
            </w:pPr>
            <w:r w:rsidRPr="00910E98">
              <w:rPr>
                <w:sz w:val="16"/>
                <w:szCs w:val="24"/>
              </w:rPr>
              <w:t>Aton targets first production in 2027 from its proposed Hamama West heap-leach project. Aton agreed a facility of up to US$30 million in September 2026 for further exploration and development at Hamama and general corporate expenses.</w:t>
            </w:r>
            <w:r w:rsidRPr="00CE6EE6">
              <w:rPr>
                <w:sz w:val="16"/>
                <w:szCs w:val="24"/>
                <w:vertAlign w:val="superscript"/>
              </w:rPr>
              <w:t>[13]</w:t>
            </w:r>
          </w:p>
        </w:tc>
        <w:tc>
          <w:tcPr>
            <w:tcW w:w="4111" w:type="dxa"/>
          </w:tcPr>
          <w:p w14:paraId="251CE02A" w14:textId="2B7A5A46" w:rsidR="00C5377E" w:rsidRPr="00910E98" w:rsidRDefault="00C5377E" w:rsidP="00C5377E">
            <w:pPr>
              <w:spacing w:after="40"/>
              <w:rPr>
                <w:sz w:val="16"/>
                <w:szCs w:val="24"/>
              </w:rPr>
            </w:pPr>
            <w:r w:rsidRPr="00910E98">
              <w:rPr>
                <w:sz w:val="16"/>
                <w:szCs w:val="24"/>
              </w:rPr>
              <w:t xml:space="preserve">Technical studies, test work, metallurgy, project systems, infrastructure planning and future process design. Xinhai subscribed for CAD$4 million of Aton shares and signed a non-binding memorandum to discuss potential cooperation; this does not establish an EPC award or committed plant supply. </w:t>
            </w:r>
            <w:r w:rsidRPr="00CE6EE6">
              <w:rPr>
                <w:sz w:val="16"/>
                <w:szCs w:val="24"/>
                <w:vertAlign w:val="superscript"/>
              </w:rPr>
              <w:t>[7][11]</w:t>
            </w:r>
          </w:p>
        </w:tc>
      </w:tr>
      <w:tr w:rsidR="00C5377E" w14:paraId="27A9D641" w14:textId="77777777" w:rsidTr="0023213C">
        <w:trPr>
          <w:cantSplit/>
        </w:trPr>
        <w:tc>
          <w:tcPr>
            <w:tcW w:w="1825" w:type="dxa"/>
          </w:tcPr>
          <w:p w14:paraId="5D49E4DB" w14:textId="44090F4D" w:rsidR="00C5377E" w:rsidRPr="00910E98" w:rsidRDefault="00C5377E" w:rsidP="00C5377E">
            <w:pPr>
              <w:spacing w:after="40"/>
              <w:rPr>
                <w:sz w:val="16"/>
                <w:szCs w:val="24"/>
              </w:rPr>
            </w:pPr>
            <w:r w:rsidRPr="00910E98">
              <w:rPr>
                <w:sz w:val="16"/>
                <w:szCs w:val="24"/>
              </w:rPr>
              <w:t>Eastern Desert Regional Exploration – AngloGold Ashanti</w:t>
            </w:r>
          </w:p>
        </w:tc>
        <w:tc>
          <w:tcPr>
            <w:tcW w:w="3987" w:type="dxa"/>
          </w:tcPr>
          <w:p w14:paraId="76DD9520" w14:textId="165E3F69" w:rsidR="00C5377E" w:rsidRPr="00910E98" w:rsidRDefault="004646CA" w:rsidP="00C5377E">
            <w:pPr>
              <w:spacing w:after="40"/>
              <w:rPr>
                <w:sz w:val="16"/>
                <w:szCs w:val="24"/>
              </w:rPr>
            </w:pPr>
            <w:r w:rsidRPr="00910E98">
              <w:rPr>
                <w:sz w:val="16"/>
                <w:szCs w:val="24"/>
              </w:rPr>
              <w:t>AngloGold Ashanti’s greenfield exploration portfolio in Egypt includes the Nugrus and Najd blocks in the Eastern Desert.</w:t>
            </w:r>
            <w:r w:rsidRPr="00CE6EE6">
              <w:rPr>
                <w:sz w:val="16"/>
                <w:szCs w:val="24"/>
                <w:vertAlign w:val="superscript"/>
              </w:rPr>
              <w:t>[11]</w:t>
            </w:r>
            <w:r w:rsidR="00441F22" w:rsidRPr="00910E98">
              <w:rPr>
                <w:sz w:val="16"/>
                <w:szCs w:val="24"/>
              </w:rPr>
              <w:t>[</w:t>
            </w:r>
            <w:r w:rsidRPr="00910E98">
              <w:rPr>
                <w:sz w:val="16"/>
                <w:szCs w:val="24"/>
              </w:rPr>
              <w:t xml:space="preserve"> </w:t>
            </w:r>
            <w:r w:rsidR="00C5377E" w:rsidRPr="00910E98">
              <w:rPr>
                <w:sz w:val="16"/>
                <w:szCs w:val="24"/>
              </w:rPr>
              <w:t>6][12}</w:t>
            </w:r>
          </w:p>
        </w:tc>
        <w:tc>
          <w:tcPr>
            <w:tcW w:w="4111" w:type="dxa"/>
          </w:tcPr>
          <w:p w14:paraId="2DAED839" w14:textId="38B36C2C" w:rsidR="00C5377E" w:rsidRPr="00910E98" w:rsidRDefault="00441F22" w:rsidP="00C5377E">
            <w:pPr>
              <w:spacing w:after="40"/>
              <w:rPr>
                <w:sz w:val="16"/>
                <w:szCs w:val="24"/>
              </w:rPr>
            </w:pPr>
            <w:r w:rsidRPr="00910E98">
              <w:rPr>
                <w:sz w:val="16"/>
                <w:szCs w:val="24"/>
              </w:rPr>
              <w:t xml:space="preserve">Potential METS applications include drilling, geophysics, geochemistry, data systems and resource modelling. Suppliers should confirm the current exploration programme, budget and procurement requirements before pursuing work. </w:t>
            </w:r>
            <w:r w:rsidRPr="00CE6EE6">
              <w:rPr>
                <w:sz w:val="16"/>
                <w:szCs w:val="24"/>
                <w:vertAlign w:val="superscript"/>
              </w:rPr>
              <w:t>[11]</w:t>
            </w:r>
            <w:r w:rsidR="00C5377E" w:rsidRPr="00910E98">
              <w:rPr>
                <w:sz w:val="16"/>
                <w:szCs w:val="24"/>
              </w:rPr>
              <w:t>.</w:t>
            </w:r>
            <w:r w:rsidR="00C5377E" w:rsidRPr="00CE6EE6">
              <w:rPr>
                <w:sz w:val="16"/>
                <w:szCs w:val="24"/>
                <w:vertAlign w:val="superscript"/>
              </w:rPr>
              <w:t>[6][12]</w:t>
            </w:r>
          </w:p>
        </w:tc>
      </w:tr>
      <w:tr w:rsidR="00B10DD5" w14:paraId="24770600" w14:textId="77777777" w:rsidTr="0023213C">
        <w:trPr>
          <w:cantSplit/>
        </w:trPr>
        <w:tc>
          <w:tcPr>
            <w:tcW w:w="1825" w:type="dxa"/>
          </w:tcPr>
          <w:p w14:paraId="398D4365" w14:textId="10ED5CE9" w:rsidR="00B10DD5" w:rsidRPr="00910E98" w:rsidRDefault="000D6E47" w:rsidP="00175DCA">
            <w:pPr>
              <w:spacing w:after="40"/>
              <w:rPr>
                <w:sz w:val="16"/>
                <w:szCs w:val="24"/>
              </w:rPr>
            </w:pPr>
            <w:r w:rsidRPr="00910E98">
              <w:rPr>
                <w:sz w:val="16"/>
                <w:szCs w:val="24"/>
              </w:rPr>
              <w:t>National Geophysical Airborne Survey – MRMIA</w:t>
            </w:r>
          </w:p>
        </w:tc>
        <w:tc>
          <w:tcPr>
            <w:tcW w:w="3987" w:type="dxa"/>
          </w:tcPr>
          <w:p w14:paraId="7B5F53FA" w14:textId="03C37A0A" w:rsidR="00B10DD5" w:rsidRPr="00910E98" w:rsidRDefault="00BF4173" w:rsidP="00175DCA">
            <w:pPr>
              <w:spacing w:after="40"/>
              <w:rPr>
                <w:sz w:val="16"/>
                <w:szCs w:val="24"/>
              </w:rPr>
            </w:pPr>
            <w:r w:rsidRPr="00910E98">
              <w:rPr>
                <w:sz w:val="16"/>
                <w:szCs w:val="24"/>
              </w:rPr>
              <w:t>Egypt has launched its first nationwide airborne mineral survey in 42 years. Xcalibur Smart Mapping is the principal international contractor, using advanced airborne geophysics, AI and multi-source geospatial data integration across six regions.</w:t>
            </w:r>
            <w:r w:rsidRPr="00CE6EE6">
              <w:rPr>
                <w:sz w:val="16"/>
                <w:szCs w:val="24"/>
                <w:vertAlign w:val="superscript"/>
              </w:rPr>
              <w:t>[2]</w:t>
            </w:r>
          </w:p>
        </w:tc>
        <w:tc>
          <w:tcPr>
            <w:tcW w:w="4111" w:type="dxa"/>
          </w:tcPr>
          <w:p w14:paraId="1325994E" w14:textId="16734391" w:rsidR="00B10DD5" w:rsidRPr="00910E98" w:rsidRDefault="00383F6D" w:rsidP="00175DCA">
            <w:pPr>
              <w:spacing w:after="40"/>
              <w:rPr>
                <w:sz w:val="16"/>
                <w:szCs w:val="24"/>
              </w:rPr>
            </w:pPr>
            <w:r w:rsidRPr="00910E98">
              <w:rPr>
                <w:sz w:val="16"/>
                <w:szCs w:val="24"/>
              </w:rPr>
              <w:t>The principal survey contract has already been awarded. Suppliers should establish whether Xcalibur or MRMIA has a defined follow-on need for data interpretation, integration or related services.</w:t>
            </w:r>
          </w:p>
        </w:tc>
      </w:tr>
    </w:tbl>
    <w:p w14:paraId="4A80B403" w14:textId="36645150" w:rsidR="003A55C0" w:rsidRPr="00B52B99" w:rsidRDefault="0023472E" w:rsidP="00B52B99">
      <w:pPr>
        <w:pStyle w:val="Heading3"/>
      </w:pPr>
      <w:r>
        <w:t xml:space="preserve">Market Approach for Australian METS </w:t>
      </w:r>
    </w:p>
    <w:tbl>
      <w:tblPr>
        <w:tblStyle w:val="TableGrid"/>
        <w:tblW w:w="0" w:type="auto"/>
        <w:tblCellMar>
          <w:top w:w="57" w:type="dxa"/>
          <w:bottom w:w="57" w:type="dxa"/>
        </w:tblCellMar>
        <w:tblLook w:val="04A0" w:firstRow="1" w:lastRow="0" w:firstColumn="1" w:lastColumn="0" w:noHBand="0" w:noVBand="1"/>
      </w:tblPr>
      <w:tblGrid>
        <w:gridCol w:w="1980"/>
        <w:gridCol w:w="2835"/>
        <w:gridCol w:w="5255"/>
      </w:tblGrid>
      <w:tr w:rsidR="00321C6E" w:rsidRPr="001264C2" w14:paraId="658AA16B" w14:textId="77777777" w:rsidTr="0023213C">
        <w:tc>
          <w:tcPr>
            <w:tcW w:w="1980" w:type="dxa"/>
            <w:shd w:val="clear" w:color="auto" w:fill="173F34" w:themeFill="accent1"/>
            <w:vAlign w:val="center"/>
          </w:tcPr>
          <w:p w14:paraId="5A47E274" w14:textId="77777777" w:rsidR="00321C6E" w:rsidRPr="001264C2" w:rsidRDefault="00321C6E" w:rsidP="0023213C">
            <w:pPr>
              <w:rPr>
                <w:b/>
                <w:bCs/>
                <w:sz w:val="16"/>
                <w:szCs w:val="18"/>
              </w:rPr>
            </w:pPr>
            <w:r w:rsidRPr="001264C2">
              <w:rPr>
                <w:b/>
                <w:bCs/>
                <w:sz w:val="16"/>
                <w:szCs w:val="18"/>
              </w:rPr>
              <w:t xml:space="preserve">Category </w:t>
            </w:r>
          </w:p>
        </w:tc>
        <w:tc>
          <w:tcPr>
            <w:tcW w:w="2835" w:type="dxa"/>
            <w:shd w:val="clear" w:color="auto" w:fill="173F34" w:themeFill="accent1"/>
            <w:vAlign w:val="center"/>
          </w:tcPr>
          <w:p w14:paraId="12C75BD4" w14:textId="77777777" w:rsidR="00321C6E" w:rsidRPr="001264C2" w:rsidRDefault="00321C6E" w:rsidP="0023213C">
            <w:pPr>
              <w:rPr>
                <w:b/>
                <w:bCs/>
                <w:sz w:val="16"/>
                <w:szCs w:val="18"/>
              </w:rPr>
            </w:pPr>
            <w:r w:rsidRPr="001264C2">
              <w:rPr>
                <w:b/>
                <w:bCs/>
                <w:sz w:val="16"/>
                <w:szCs w:val="18"/>
              </w:rPr>
              <w:t xml:space="preserve">Capabilities Required </w:t>
            </w:r>
          </w:p>
        </w:tc>
        <w:tc>
          <w:tcPr>
            <w:tcW w:w="5255" w:type="dxa"/>
            <w:shd w:val="clear" w:color="auto" w:fill="173F34" w:themeFill="accent1"/>
            <w:vAlign w:val="center"/>
          </w:tcPr>
          <w:p w14:paraId="051A85C6" w14:textId="77777777" w:rsidR="00321C6E" w:rsidRPr="001264C2" w:rsidRDefault="00321C6E" w:rsidP="0023213C">
            <w:pPr>
              <w:rPr>
                <w:b/>
                <w:bCs/>
                <w:sz w:val="16"/>
                <w:szCs w:val="18"/>
              </w:rPr>
            </w:pPr>
            <w:r w:rsidRPr="001264C2">
              <w:rPr>
                <w:b/>
                <w:bCs/>
                <w:sz w:val="16"/>
                <w:szCs w:val="18"/>
              </w:rPr>
              <w:t xml:space="preserve">Demand Drivers </w:t>
            </w:r>
          </w:p>
        </w:tc>
      </w:tr>
      <w:tr w:rsidR="00321C6E" w:rsidRPr="001264C2" w14:paraId="26DFE9CF" w14:textId="77777777" w:rsidTr="0023213C">
        <w:tc>
          <w:tcPr>
            <w:tcW w:w="1980" w:type="dxa"/>
          </w:tcPr>
          <w:p w14:paraId="125F7152" w14:textId="333BA555" w:rsidR="00321C6E" w:rsidRPr="001264C2" w:rsidRDefault="009342DE">
            <w:pPr>
              <w:rPr>
                <w:sz w:val="16"/>
                <w:szCs w:val="18"/>
              </w:rPr>
            </w:pPr>
            <w:r w:rsidRPr="009342DE">
              <w:rPr>
                <w:sz w:val="16"/>
                <w:szCs w:val="18"/>
              </w:rPr>
              <w:t xml:space="preserve">Mineral exploration </w:t>
            </w:r>
            <w:r w:rsidR="00712984">
              <w:rPr>
                <w:sz w:val="16"/>
                <w:szCs w:val="18"/>
              </w:rPr>
              <w:t>and</w:t>
            </w:r>
            <w:r w:rsidRPr="009342DE">
              <w:rPr>
                <w:sz w:val="16"/>
                <w:szCs w:val="18"/>
              </w:rPr>
              <w:t xml:space="preserve"> geological services</w:t>
            </w:r>
          </w:p>
        </w:tc>
        <w:tc>
          <w:tcPr>
            <w:tcW w:w="2835" w:type="dxa"/>
          </w:tcPr>
          <w:p w14:paraId="728B1C65" w14:textId="73033EC7" w:rsidR="00321C6E" w:rsidRPr="001264C2" w:rsidRDefault="004F3F51">
            <w:pPr>
              <w:rPr>
                <w:sz w:val="16"/>
                <w:szCs w:val="18"/>
              </w:rPr>
            </w:pPr>
            <w:r w:rsidRPr="004F3F51">
              <w:rPr>
                <w:sz w:val="16"/>
                <w:szCs w:val="18"/>
              </w:rPr>
              <w:t>Geological modelling; exploration targeting; resource estimation; JORC-compliant reporting; field geology; geochemical interpretation</w:t>
            </w:r>
            <w:r w:rsidR="00C31EB2">
              <w:rPr>
                <w:sz w:val="16"/>
                <w:szCs w:val="18"/>
              </w:rPr>
              <w:t>.</w:t>
            </w:r>
          </w:p>
        </w:tc>
        <w:tc>
          <w:tcPr>
            <w:tcW w:w="5255" w:type="dxa"/>
          </w:tcPr>
          <w:p w14:paraId="5DCD4514" w14:textId="032422F1" w:rsidR="00321C6E" w:rsidRPr="001264C2" w:rsidRDefault="00787346">
            <w:pPr>
              <w:rPr>
                <w:sz w:val="16"/>
                <w:szCs w:val="18"/>
              </w:rPr>
            </w:pPr>
            <w:r w:rsidRPr="00787346">
              <w:rPr>
                <w:sz w:val="16"/>
                <w:szCs w:val="18"/>
              </w:rPr>
              <w:t>Expansion of exploration following mining</w:t>
            </w:r>
            <w:r w:rsidR="00F03A5B">
              <w:rPr>
                <w:sz w:val="16"/>
                <w:szCs w:val="18"/>
              </w:rPr>
              <w:t xml:space="preserve"> </w:t>
            </w:r>
            <w:r w:rsidRPr="00787346">
              <w:rPr>
                <w:sz w:val="16"/>
                <w:szCs w:val="18"/>
              </w:rPr>
              <w:t>sector reforms and the 2026 Open Blocks system covering gold, phosphate, talc and kaolin. Egypt is seeking to attract international exploration companies and improve resource definition.</w:t>
            </w:r>
          </w:p>
        </w:tc>
      </w:tr>
      <w:tr w:rsidR="00321C6E" w:rsidRPr="001264C2" w14:paraId="32B2CE23" w14:textId="77777777" w:rsidTr="0023213C">
        <w:tc>
          <w:tcPr>
            <w:tcW w:w="1980" w:type="dxa"/>
          </w:tcPr>
          <w:p w14:paraId="77195FFF" w14:textId="1C971871" w:rsidR="00321C6E" w:rsidRPr="001264C2" w:rsidRDefault="00C407CE">
            <w:pPr>
              <w:rPr>
                <w:sz w:val="16"/>
                <w:szCs w:val="18"/>
              </w:rPr>
            </w:pPr>
            <w:r w:rsidRPr="00C407CE">
              <w:rPr>
                <w:sz w:val="16"/>
                <w:szCs w:val="18"/>
              </w:rPr>
              <w:t xml:space="preserve">Geophysical surveying </w:t>
            </w:r>
            <w:r w:rsidR="00712984">
              <w:rPr>
                <w:sz w:val="16"/>
                <w:szCs w:val="18"/>
              </w:rPr>
              <w:t>and</w:t>
            </w:r>
            <w:r w:rsidRPr="00C407CE">
              <w:rPr>
                <w:sz w:val="16"/>
                <w:szCs w:val="18"/>
              </w:rPr>
              <w:t xml:space="preserve"> remote sensing</w:t>
            </w:r>
          </w:p>
        </w:tc>
        <w:tc>
          <w:tcPr>
            <w:tcW w:w="2835" w:type="dxa"/>
          </w:tcPr>
          <w:p w14:paraId="2384A383" w14:textId="52FA4D80" w:rsidR="00321C6E" w:rsidRPr="001264C2" w:rsidRDefault="0086774D">
            <w:pPr>
              <w:rPr>
                <w:sz w:val="16"/>
                <w:szCs w:val="18"/>
              </w:rPr>
            </w:pPr>
            <w:r w:rsidRPr="0086774D">
              <w:rPr>
                <w:sz w:val="16"/>
                <w:szCs w:val="18"/>
              </w:rPr>
              <w:t>Airborne geophysics; ground geophysics; hyperspectral imaging; remote sensing; 3D geological modelling; drone/UAV surveying</w:t>
            </w:r>
            <w:r w:rsidR="00A964F0">
              <w:rPr>
                <w:sz w:val="16"/>
                <w:szCs w:val="18"/>
              </w:rPr>
              <w:t>.</w:t>
            </w:r>
          </w:p>
        </w:tc>
        <w:tc>
          <w:tcPr>
            <w:tcW w:w="5255" w:type="dxa"/>
          </w:tcPr>
          <w:p w14:paraId="3281A564" w14:textId="3F4E0B2E" w:rsidR="00321C6E" w:rsidRPr="001264C2" w:rsidRDefault="007C0836">
            <w:pPr>
              <w:rPr>
                <w:sz w:val="16"/>
                <w:szCs w:val="18"/>
              </w:rPr>
            </w:pPr>
            <w:r w:rsidRPr="007C0836">
              <w:rPr>
                <w:sz w:val="16"/>
                <w:szCs w:val="18"/>
              </w:rPr>
              <w:t>Large</w:t>
            </w:r>
            <w:r w:rsidR="00CE7615" w:rsidRPr="007C0836">
              <w:rPr>
                <w:sz w:val="16"/>
                <w:szCs w:val="18"/>
              </w:rPr>
              <w:t>,</w:t>
            </w:r>
            <w:r w:rsidRPr="007C0836">
              <w:rPr>
                <w:sz w:val="16"/>
                <w:szCs w:val="18"/>
              </w:rPr>
              <w:t xml:space="preserve"> underexplored areas of the Eastern Desert and Arabian-Nubian Shield create demand for efficient exploration technologies. Sukari and surrounding exploration areas already use geochemical, geological, drilling and airborne geophysical techniques</w:t>
            </w:r>
            <w:r>
              <w:rPr>
                <w:sz w:val="16"/>
                <w:szCs w:val="18"/>
              </w:rPr>
              <w:t xml:space="preserve">. </w:t>
            </w:r>
          </w:p>
        </w:tc>
      </w:tr>
      <w:tr w:rsidR="00321C6E" w:rsidRPr="001264C2" w14:paraId="5DB9731E" w14:textId="77777777" w:rsidTr="0023213C">
        <w:tc>
          <w:tcPr>
            <w:tcW w:w="1980" w:type="dxa"/>
          </w:tcPr>
          <w:p w14:paraId="109AE245" w14:textId="44980434" w:rsidR="00321C6E" w:rsidRPr="001264C2" w:rsidRDefault="00C26FE4">
            <w:pPr>
              <w:rPr>
                <w:sz w:val="16"/>
                <w:szCs w:val="18"/>
              </w:rPr>
            </w:pPr>
            <w:r w:rsidRPr="00C26FE4">
              <w:rPr>
                <w:sz w:val="16"/>
                <w:szCs w:val="18"/>
              </w:rPr>
              <w:t xml:space="preserve">Exploration drilling </w:t>
            </w:r>
            <w:r w:rsidR="00712984">
              <w:rPr>
                <w:sz w:val="16"/>
                <w:szCs w:val="18"/>
              </w:rPr>
              <w:t>and</w:t>
            </w:r>
            <w:r w:rsidRPr="00C26FE4">
              <w:rPr>
                <w:sz w:val="16"/>
                <w:szCs w:val="18"/>
              </w:rPr>
              <w:t xml:space="preserve"> drilling technology</w:t>
            </w:r>
          </w:p>
        </w:tc>
        <w:tc>
          <w:tcPr>
            <w:tcW w:w="2835" w:type="dxa"/>
          </w:tcPr>
          <w:p w14:paraId="20E72478" w14:textId="34B32FD0" w:rsidR="00321C6E" w:rsidRPr="001264C2" w:rsidRDefault="008E5CB4">
            <w:pPr>
              <w:rPr>
                <w:sz w:val="16"/>
                <w:szCs w:val="18"/>
              </w:rPr>
            </w:pPr>
            <w:r w:rsidRPr="008E5CB4">
              <w:rPr>
                <w:sz w:val="16"/>
                <w:szCs w:val="18"/>
              </w:rPr>
              <w:t>RC and diamond drilling; directional drilling; automated drilling; downhole instrumentation; drill optimisation; geological logging</w:t>
            </w:r>
            <w:r w:rsidR="00AC6335">
              <w:rPr>
                <w:sz w:val="16"/>
                <w:szCs w:val="18"/>
              </w:rPr>
              <w:t>.</w:t>
            </w:r>
          </w:p>
        </w:tc>
        <w:tc>
          <w:tcPr>
            <w:tcW w:w="5255" w:type="dxa"/>
          </w:tcPr>
          <w:p w14:paraId="5E6EDA4C" w14:textId="519CDD4B" w:rsidR="00321C6E" w:rsidRPr="001264C2" w:rsidRDefault="008E5CB4">
            <w:pPr>
              <w:rPr>
                <w:sz w:val="16"/>
                <w:szCs w:val="18"/>
              </w:rPr>
            </w:pPr>
            <w:r w:rsidRPr="008E5CB4">
              <w:rPr>
                <w:sz w:val="16"/>
                <w:szCs w:val="18"/>
              </w:rPr>
              <w:t>New exploration licences and increasing gold exploration will require significant drilling capacity. International companies are actively returning to or expanding exploration activity in the Eastern Desert.</w:t>
            </w:r>
          </w:p>
        </w:tc>
      </w:tr>
      <w:tr w:rsidR="00321C6E" w:rsidRPr="001264C2" w14:paraId="7538C9AA" w14:textId="77777777" w:rsidTr="0023213C">
        <w:tc>
          <w:tcPr>
            <w:tcW w:w="1980" w:type="dxa"/>
          </w:tcPr>
          <w:p w14:paraId="2E823A1D" w14:textId="142191AD" w:rsidR="00321C6E" w:rsidRPr="001264C2" w:rsidRDefault="008D48CF">
            <w:pPr>
              <w:rPr>
                <w:sz w:val="16"/>
                <w:szCs w:val="18"/>
              </w:rPr>
            </w:pPr>
            <w:r w:rsidRPr="008D48CF">
              <w:rPr>
                <w:sz w:val="16"/>
                <w:szCs w:val="18"/>
              </w:rPr>
              <w:t xml:space="preserve">Gold mining </w:t>
            </w:r>
            <w:r w:rsidR="00712984">
              <w:rPr>
                <w:sz w:val="16"/>
                <w:szCs w:val="18"/>
              </w:rPr>
              <w:t>and</w:t>
            </w:r>
            <w:r w:rsidRPr="008D48CF">
              <w:rPr>
                <w:sz w:val="16"/>
                <w:szCs w:val="18"/>
              </w:rPr>
              <w:t xml:space="preserve"> mine optimisation</w:t>
            </w:r>
          </w:p>
        </w:tc>
        <w:tc>
          <w:tcPr>
            <w:tcW w:w="2835" w:type="dxa"/>
          </w:tcPr>
          <w:p w14:paraId="54FC39CF" w14:textId="458EBC07" w:rsidR="00321C6E" w:rsidRPr="001264C2" w:rsidRDefault="008D48CF">
            <w:pPr>
              <w:rPr>
                <w:sz w:val="16"/>
                <w:szCs w:val="18"/>
              </w:rPr>
            </w:pPr>
            <w:r w:rsidRPr="008D48CF">
              <w:rPr>
                <w:sz w:val="16"/>
                <w:szCs w:val="18"/>
              </w:rPr>
              <w:t>Mine planning; grade control; fleet optimisation; blasting; orebody modelling; production optimisation; automation</w:t>
            </w:r>
            <w:r w:rsidR="00BF47CC">
              <w:rPr>
                <w:sz w:val="16"/>
                <w:szCs w:val="18"/>
              </w:rPr>
              <w:t>.</w:t>
            </w:r>
          </w:p>
        </w:tc>
        <w:tc>
          <w:tcPr>
            <w:tcW w:w="5255" w:type="dxa"/>
          </w:tcPr>
          <w:p w14:paraId="6B429AC8" w14:textId="649F431C" w:rsidR="00321C6E" w:rsidRPr="001264C2" w:rsidRDefault="000810BE">
            <w:pPr>
              <w:rPr>
                <w:sz w:val="16"/>
                <w:szCs w:val="18"/>
              </w:rPr>
            </w:pPr>
            <w:r w:rsidRPr="000810BE">
              <w:rPr>
                <w:sz w:val="16"/>
                <w:szCs w:val="18"/>
              </w:rPr>
              <w:t xml:space="preserve">Sukari </w:t>
            </w:r>
            <w:r w:rsidR="00E55EE6">
              <w:rPr>
                <w:sz w:val="16"/>
                <w:szCs w:val="18"/>
              </w:rPr>
              <w:t>and other</w:t>
            </w:r>
            <w:r w:rsidRPr="000810BE">
              <w:rPr>
                <w:sz w:val="16"/>
                <w:szCs w:val="18"/>
              </w:rPr>
              <w:t xml:space="preserve"> gold </w:t>
            </w:r>
            <w:r w:rsidR="00E55EE6">
              <w:rPr>
                <w:sz w:val="16"/>
                <w:szCs w:val="18"/>
              </w:rPr>
              <w:t>mines coming on board</w:t>
            </w:r>
            <w:r w:rsidRPr="000810BE">
              <w:rPr>
                <w:sz w:val="16"/>
                <w:szCs w:val="18"/>
              </w:rPr>
              <w:t xml:space="preserve"> with both open-pit and underground mining creates opportunities for productivity, cost and recovery improvements.</w:t>
            </w:r>
            <w:r w:rsidR="009C6D59">
              <w:rPr>
                <w:sz w:val="16"/>
                <w:szCs w:val="18"/>
              </w:rPr>
              <w:t xml:space="preserve"> </w:t>
            </w:r>
            <w:r w:rsidR="009C6D59" w:rsidRPr="009C6D59">
              <w:rPr>
                <w:sz w:val="16"/>
                <w:szCs w:val="18"/>
              </w:rPr>
              <w:t>Other projects depend on funding and development decisions.</w:t>
            </w:r>
          </w:p>
        </w:tc>
      </w:tr>
      <w:tr w:rsidR="00902B0F" w:rsidRPr="001264C2" w14:paraId="6BDE4543" w14:textId="77777777" w:rsidTr="0023213C">
        <w:tc>
          <w:tcPr>
            <w:tcW w:w="1980" w:type="dxa"/>
          </w:tcPr>
          <w:p w14:paraId="2AD56977" w14:textId="7D59CC01" w:rsidR="00902B0F" w:rsidRPr="008D48CF" w:rsidRDefault="00665A59">
            <w:pPr>
              <w:rPr>
                <w:sz w:val="16"/>
                <w:szCs w:val="18"/>
              </w:rPr>
            </w:pPr>
            <w:r w:rsidRPr="00665A59">
              <w:rPr>
                <w:sz w:val="16"/>
                <w:szCs w:val="18"/>
              </w:rPr>
              <w:t xml:space="preserve">Water management </w:t>
            </w:r>
            <w:r w:rsidR="00712984">
              <w:rPr>
                <w:sz w:val="16"/>
                <w:szCs w:val="18"/>
              </w:rPr>
              <w:t>and</w:t>
            </w:r>
            <w:r w:rsidRPr="00665A59">
              <w:rPr>
                <w:sz w:val="16"/>
                <w:szCs w:val="18"/>
              </w:rPr>
              <w:t xml:space="preserve"> treatment</w:t>
            </w:r>
          </w:p>
        </w:tc>
        <w:tc>
          <w:tcPr>
            <w:tcW w:w="2835" w:type="dxa"/>
          </w:tcPr>
          <w:p w14:paraId="583BC78E" w14:textId="10ADA68E" w:rsidR="00902B0F" w:rsidRPr="008D48CF" w:rsidRDefault="001E09BF">
            <w:pPr>
              <w:rPr>
                <w:sz w:val="16"/>
                <w:szCs w:val="18"/>
              </w:rPr>
            </w:pPr>
            <w:r w:rsidRPr="001E09BF">
              <w:rPr>
                <w:sz w:val="16"/>
                <w:szCs w:val="18"/>
              </w:rPr>
              <w:t>Mine</w:t>
            </w:r>
            <w:r w:rsidR="00EB306E">
              <w:rPr>
                <w:sz w:val="16"/>
                <w:szCs w:val="18"/>
              </w:rPr>
              <w:t xml:space="preserve"> </w:t>
            </w:r>
            <w:r w:rsidRPr="001E09BF">
              <w:rPr>
                <w:sz w:val="16"/>
                <w:szCs w:val="18"/>
              </w:rPr>
              <w:t>water treatment; desalination; water recycling; filtration; dewatering; tailings-</w:t>
            </w:r>
            <w:r w:rsidRPr="001E09BF">
              <w:rPr>
                <w:sz w:val="16"/>
                <w:szCs w:val="18"/>
              </w:rPr>
              <w:lastRenderedPageBreak/>
              <w:t>water recovery; process-water optimisation</w:t>
            </w:r>
          </w:p>
        </w:tc>
        <w:tc>
          <w:tcPr>
            <w:tcW w:w="5255" w:type="dxa"/>
          </w:tcPr>
          <w:p w14:paraId="08637DD0" w14:textId="3E5107B8" w:rsidR="00902B0F" w:rsidRPr="000810BE" w:rsidRDefault="001E09BF">
            <w:pPr>
              <w:rPr>
                <w:sz w:val="16"/>
                <w:szCs w:val="18"/>
              </w:rPr>
            </w:pPr>
            <w:r w:rsidRPr="001E09BF">
              <w:rPr>
                <w:sz w:val="16"/>
                <w:szCs w:val="18"/>
              </w:rPr>
              <w:lastRenderedPageBreak/>
              <w:t xml:space="preserve">Water scarcity and the location of many mineral deposits in arid areas make water efficiency increasingly important. </w:t>
            </w:r>
            <w:r w:rsidRPr="001E09BF">
              <w:rPr>
                <w:sz w:val="16"/>
                <w:szCs w:val="18"/>
              </w:rPr>
              <w:lastRenderedPageBreak/>
              <w:t>Processing expansion also increases demand for water recycling and treatment technologies.</w:t>
            </w:r>
          </w:p>
        </w:tc>
      </w:tr>
      <w:tr w:rsidR="00321C6E" w:rsidRPr="001264C2" w14:paraId="19BC49BC" w14:textId="77777777" w:rsidTr="0023213C">
        <w:tc>
          <w:tcPr>
            <w:tcW w:w="1980" w:type="dxa"/>
          </w:tcPr>
          <w:p w14:paraId="1E9D64E3" w14:textId="4E3FFFB2" w:rsidR="00321C6E" w:rsidRPr="001264C2" w:rsidRDefault="001660C8">
            <w:pPr>
              <w:rPr>
                <w:sz w:val="16"/>
                <w:szCs w:val="18"/>
              </w:rPr>
            </w:pPr>
            <w:r w:rsidRPr="001660C8">
              <w:rPr>
                <w:sz w:val="16"/>
                <w:szCs w:val="18"/>
              </w:rPr>
              <w:lastRenderedPageBreak/>
              <w:t xml:space="preserve">Mining safety </w:t>
            </w:r>
            <w:r w:rsidR="00712984">
              <w:rPr>
                <w:sz w:val="16"/>
                <w:szCs w:val="18"/>
              </w:rPr>
              <w:t>and</w:t>
            </w:r>
            <w:r w:rsidRPr="001660C8">
              <w:rPr>
                <w:sz w:val="16"/>
                <w:szCs w:val="18"/>
              </w:rPr>
              <w:t xml:space="preserve"> workforce capability</w:t>
            </w:r>
          </w:p>
        </w:tc>
        <w:tc>
          <w:tcPr>
            <w:tcW w:w="2835" w:type="dxa"/>
          </w:tcPr>
          <w:p w14:paraId="1734221F" w14:textId="147EE4D2" w:rsidR="00321C6E" w:rsidRPr="001264C2" w:rsidRDefault="007E4F31">
            <w:pPr>
              <w:rPr>
                <w:sz w:val="16"/>
                <w:szCs w:val="18"/>
              </w:rPr>
            </w:pPr>
            <w:r w:rsidRPr="007E4F31">
              <w:rPr>
                <w:sz w:val="16"/>
                <w:szCs w:val="18"/>
              </w:rPr>
              <w:t>Safety systems; fatigue management; proximity detection; mine rescue; training; competency systems; operational risk management</w:t>
            </w:r>
          </w:p>
        </w:tc>
        <w:tc>
          <w:tcPr>
            <w:tcW w:w="5255" w:type="dxa"/>
          </w:tcPr>
          <w:p w14:paraId="460DC7F1" w14:textId="3D578CB1" w:rsidR="00321C6E" w:rsidRPr="001264C2" w:rsidRDefault="00C349A8">
            <w:pPr>
              <w:rPr>
                <w:sz w:val="16"/>
                <w:szCs w:val="18"/>
              </w:rPr>
            </w:pPr>
            <w:r w:rsidRPr="00C349A8">
              <w:rPr>
                <w:sz w:val="16"/>
                <w:szCs w:val="18"/>
              </w:rPr>
              <w:t>Expansion of mining activity will require development of technical and operational capability. Australian expertise in mine safety, training and operational systems is highly transferable to Egypt's developing modern mining industry.</w:t>
            </w:r>
          </w:p>
        </w:tc>
      </w:tr>
      <w:tr w:rsidR="001E09BF" w:rsidRPr="001264C2" w14:paraId="73645C97" w14:textId="77777777" w:rsidTr="0023213C">
        <w:tc>
          <w:tcPr>
            <w:tcW w:w="1980" w:type="dxa"/>
          </w:tcPr>
          <w:p w14:paraId="07DBB88E" w14:textId="4A4064BD" w:rsidR="001E09BF" w:rsidRPr="001264C2" w:rsidRDefault="00F81CEE">
            <w:pPr>
              <w:rPr>
                <w:sz w:val="16"/>
                <w:szCs w:val="18"/>
              </w:rPr>
            </w:pPr>
            <w:r w:rsidRPr="00F81CEE">
              <w:rPr>
                <w:sz w:val="16"/>
                <w:szCs w:val="18"/>
              </w:rPr>
              <w:t xml:space="preserve">Mine environmental management </w:t>
            </w:r>
            <w:r w:rsidR="00712984">
              <w:rPr>
                <w:sz w:val="16"/>
                <w:szCs w:val="18"/>
              </w:rPr>
              <w:t>and</w:t>
            </w:r>
            <w:r w:rsidRPr="00F81CEE">
              <w:rPr>
                <w:sz w:val="16"/>
                <w:szCs w:val="18"/>
              </w:rPr>
              <w:t xml:space="preserve"> closure</w:t>
            </w:r>
          </w:p>
        </w:tc>
        <w:tc>
          <w:tcPr>
            <w:tcW w:w="2835" w:type="dxa"/>
          </w:tcPr>
          <w:p w14:paraId="1343D038" w14:textId="073A871C" w:rsidR="001E09BF" w:rsidRPr="001264C2" w:rsidRDefault="00F62701">
            <w:pPr>
              <w:rPr>
                <w:sz w:val="16"/>
                <w:szCs w:val="18"/>
              </w:rPr>
            </w:pPr>
            <w:r w:rsidRPr="00F62701">
              <w:rPr>
                <w:sz w:val="16"/>
                <w:szCs w:val="18"/>
              </w:rPr>
              <w:t>Environmental monitoring; rehabilitation; biodiversity management; closure planning; ESG reporting; impact assessment</w:t>
            </w:r>
            <w:r w:rsidR="00314001">
              <w:rPr>
                <w:sz w:val="16"/>
                <w:szCs w:val="18"/>
              </w:rPr>
              <w:t>.</w:t>
            </w:r>
          </w:p>
        </w:tc>
        <w:tc>
          <w:tcPr>
            <w:tcW w:w="5255" w:type="dxa"/>
          </w:tcPr>
          <w:p w14:paraId="2B97A366" w14:textId="5ECE8898" w:rsidR="001E09BF" w:rsidRPr="001264C2" w:rsidRDefault="00FE1AD9">
            <w:pPr>
              <w:rPr>
                <w:sz w:val="16"/>
                <w:szCs w:val="18"/>
              </w:rPr>
            </w:pPr>
            <w:r w:rsidRPr="00FE1AD9">
              <w:rPr>
                <w:sz w:val="16"/>
                <w:szCs w:val="18"/>
              </w:rPr>
              <w:t>Egypt's mining reforms are accompanied by a stronger focus on internationally aligned environmental practices. New exploration and mining developments will require environmental assessment, permitting and closure planning.</w:t>
            </w:r>
          </w:p>
        </w:tc>
      </w:tr>
      <w:tr w:rsidR="001E09BF" w:rsidRPr="001264C2" w14:paraId="27BAD298" w14:textId="77777777" w:rsidTr="0023213C">
        <w:tc>
          <w:tcPr>
            <w:tcW w:w="1980" w:type="dxa"/>
          </w:tcPr>
          <w:p w14:paraId="6C40F335" w14:textId="06A0CFF4" w:rsidR="001E09BF" w:rsidRPr="001264C2" w:rsidRDefault="007B1EB9">
            <w:pPr>
              <w:rPr>
                <w:sz w:val="16"/>
                <w:szCs w:val="18"/>
              </w:rPr>
            </w:pPr>
            <w:r w:rsidRPr="007B1EB9">
              <w:rPr>
                <w:sz w:val="16"/>
                <w:szCs w:val="18"/>
              </w:rPr>
              <w:t xml:space="preserve">Phosphate mining </w:t>
            </w:r>
            <w:r w:rsidR="00712984">
              <w:rPr>
                <w:sz w:val="16"/>
                <w:szCs w:val="18"/>
              </w:rPr>
              <w:t>and</w:t>
            </w:r>
            <w:r w:rsidRPr="007B1EB9">
              <w:rPr>
                <w:sz w:val="16"/>
                <w:szCs w:val="18"/>
              </w:rPr>
              <w:t xml:space="preserve"> processing</w:t>
            </w:r>
          </w:p>
        </w:tc>
        <w:tc>
          <w:tcPr>
            <w:tcW w:w="2835" w:type="dxa"/>
          </w:tcPr>
          <w:p w14:paraId="12BF16E4" w14:textId="0EC9AF8A" w:rsidR="001E09BF" w:rsidRPr="001264C2" w:rsidRDefault="003D0F45">
            <w:pPr>
              <w:rPr>
                <w:sz w:val="16"/>
                <w:szCs w:val="18"/>
              </w:rPr>
            </w:pPr>
            <w:r w:rsidRPr="003D0F45">
              <w:rPr>
                <w:sz w:val="16"/>
                <w:szCs w:val="18"/>
              </w:rPr>
              <w:t>Beneficiation; phosphate processing; materials handling; process engineering; water management; downstream chemical processing</w:t>
            </w:r>
            <w:r w:rsidR="007942B3">
              <w:rPr>
                <w:sz w:val="16"/>
                <w:szCs w:val="18"/>
              </w:rPr>
              <w:t>.</w:t>
            </w:r>
          </w:p>
        </w:tc>
        <w:tc>
          <w:tcPr>
            <w:tcW w:w="5255" w:type="dxa"/>
          </w:tcPr>
          <w:p w14:paraId="47DDEC30" w14:textId="55F3B08F" w:rsidR="001E09BF" w:rsidRPr="001264C2" w:rsidRDefault="00E21C22">
            <w:pPr>
              <w:rPr>
                <w:sz w:val="16"/>
                <w:szCs w:val="18"/>
              </w:rPr>
            </w:pPr>
            <w:r w:rsidRPr="00E21C22">
              <w:rPr>
                <w:sz w:val="16"/>
                <w:szCs w:val="18"/>
              </w:rPr>
              <w:t xml:space="preserve">The government is </w:t>
            </w:r>
            <w:r w:rsidR="009C7119">
              <w:rPr>
                <w:sz w:val="16"/>
                <w:szCs w:val="18"/>
              </w:rPr>
              <w:t>pursuing phosphate growth</w:t>
            </w:r>
            <w:r w:rsidR="0024744B">
              <w:rPr>
                <w:sz w:val="16"/>
                <w:szCs w:val="18"/>
              </w:rPr>
              <w:t>,</w:t>
            </w:r>
            <w:r w:rsidR="00B3082E">
              <w:rPr>
                <w:sz w:val="16"/>
                <w:szCs w:val="18"/>
              </w:rPr>
              <w:t xml:space="preserve"> evidenced </w:t>
            </w:r>
            <w:r w:rsidR="00AB100D" w:rsidRPr="00AB100D">
              <w:rPr>
                <w:sz w:val="16"/>
                <w:szCs w:val="18"/>
              </w:rPr>
              <w:t>by a July 2026 memorandum of understanding between MRMIA and Genesis Mining Egypt for a proposed US$930 million integrated phosphate project in the New Valley. Studies, finance and procurement decisions remain ahead.</w:t>
            </w:r>
            <w:r w:rsidR="00AB100D" w:rsidRPr="00CE6EE6">
              <w:rPr>
                <w:sz w:val="16"/>
                <w:szCs w:val="18"/>
                <w:vertAlign w:val="superscript"/>
              </w:rPr>
              <w:t>[14]</w:t>
            </w:r>
          </w:p>
        </w:tc>
      </w:tr>
      <w:tr w:rsidR="00E21C22" w:rsidRPr="001264C2" w14:paraId="4313D024" w14:textId="77777777" w:rsidTr="0023213C">
        <w:tc>
          <w:tcPr>
            <w:tcW w:w="1980" w:type="dxa"/>
          </w:tcPr>
          <w:p w14:paraId="14111FC8" w14:textId="792F02E3" w:rsidR="00E21C22" w:rsidRPr="007B1EB9" w:rsidRDefault="00584190">
            <w:pPr>
              <w:rPr>
                <w:sz w:val="16"/>
                <w:szCs w:val="18"/>
              </w:rPr>
            </w:pPr>
            <w:r w:rsidRPr="00584190">
              <w:rPr>
                <w:sz w:val="16"/>
                <w:szCs w:val="18"/>
              </w:rPr>
              <w:t>Mineral sands / black sands processing</w:t>
            </w:r>
          </w:p>
        </w:tc>
        <w:tc>
          <w:tcPr>
            <w:tcW w:w="2835" w:type="dxa"/>
          </w:tcPr>
          <w:p w14:paraId="6FFD0409" w14:textId="7E98BB26" w:rsidR="00E21C22" w:rsidRPr="003D0F45" w:rsidRDefault="00584190">
            <w:pPr>
              <w:rPr>
                <w:sz w:val="16"/>
                <w:szCs w:val="18"/>
              </w:rPr>
            </w:pPr>
            <w:r w:rsidRPr="00584190">
              <w:rPr>
                <w:sz w:val="16"/>
                <w:szCs w:val="18"/>
              </w:rPr>
              <w:t>Mineral separation; magnetic/electrostatic separation; gravity concentration; wet processing; tailings management; process automation</w:t>
            </w:r>
            <w:r w:rsidR="00F771A4">
              <w:rPr>
                <w:sz w:val="16"/>
                <w:szCs w:val="18"/>
              </w:rPr>
              <w:t>.</w:t>
            </w:r>
          </w:p>
        </w:tc>
        <w:tc>
          <w:tcPr>
            <w:tcW w:w="5255" w:type="dxa"/>
          </w:tcPr>
          <w:p w14:paraId="5890B8F1" w14:textId="199639D3" w:rsidR="00E21C22" w:rsidRPr="00E21C22" w:rsidRDefault="00A611FC">
            <w:pPr>
              <w:rPr>
                <w:sz w:val="16"/>
                <w:szCs w:val="18"/>
              </w:rPr>
            </w:pPr>
            <w:r w:rsidRPr="00A611FC">
              <w:rPr>
                <w:sz w:val="16"/>
                <w:szCs w:val="18"/>
              </w:rPr>
              <w:t>Egypt is seeking to monetise its mineral</w:t>
            </w:r>
            <w:r w:rsidR="005060FE">
              <w:rPr>
                <w:sz w:val="16"/>
                <w:szCs w:val="18"/>
              </w:rPr>
              <w:t xml:space="preserve"> </w:t>
            </w:r>
            <w:r w:rsidRPr="00A611FC">
              <w:rPr>
                <w:sz w:val="16"/>
                <w:szCs w:val="18"/>
              </w:rPr>
              <w:t>sands resources and develop downstream processing. This is a particularly relevant niche for Australian companies with mineral</w:t>
            </w:r>
            <w:r w:rsidR="00F52493">
              <w:rPr>
                <w:sz w:val="16"/>
                <w:szCs w:val="18"/>
              </w:rPr>
              <w:t xml:space="preserve"> </w:t>
            </w:r>
            <w:r w:rsidRPr="00A611FC">
              <w:rPr>
                <w:sz w:val="16"/>
                <w:szCs w:val="18"/>
              </w:rPr>
              <w:t>sands processing and separation expertise.</w:t>
            </w:r>
          </w:p>
        </w:tc>
      </w:tr>
    </w:tbl>
    <w:p w14:paraId="2F7E6696" w14:textId="77777777" w:rsidR="00264B85" w:rsidRDefault="00264B85" w:rsidP="00CB30F9">
      <w:pPr>
        <w:spacing w:after="200" w:line="276" w:lineRule="auto"/>
        <w:rPr>
          <w:rFonts w:asciiTheme="majorHAnsi" w:hAnsiTheme="majorHAnsi" w:cstheme="majorHAnsi"/>
          <w:szCs w:val="20"/>
          <w:highlight w:val="green"/>
        </w:rPr>
      </w:pPr>
    </w:p>
    <w:p w14:paraId="57813D62" w14:textId="77777777" w:rsidR="00A73BA4" w:rsidRPr="008B4372" w:rsidRDefault="00A73BA4" w:rsidP="00B52B99">
      <w:pPr>
        <w:pStyle w:val="Heading3"/>
      </w:pPr>
      <w:r w:rsidRPr="008B4372">
        <w:t>Procurement and supplier preparation</w:t>
      </w:r>
    </w:p>
    <w:p w14:paraId="52D8CB9F" w14:textId="394947B8" w:rsidR="00474708" w:rsidRDefault="00474708" w:rsidP="00324C84">
      <w:r w:rsidRPr="00474708">
        <w:t>Current procurement opportunities are concentrated around established operations</w:t>
      </w:r>
      <w:r w:rsidR="00723B11">
        <w:t xml:space="preserve"> and</w:t>
      </w:r>
      <w:r w:rsidRPr="00474708">
        <w:t xml:space="preserve"> funded exploration </w:t>
      </w:r>
      <w:r w:rsidR="00723B11">
        <w:t>activity</w:t>
      </w:r>
      <w:r w:rsidRPr="00474708">
        <w:t>. Suppliers should identify specific purchasing requirements rather than assume that announced reforms or licence awards will generate immediate tenders.</w:t>
      </w:r>
    </w:p>
    <w:p w14:paraId="5BE14466" w14:textId="716ED87E" w:rsidR="00CD30F7" w:rsidRDefault="00CD30F7" w:rsidP="00324C84">
      <w:r>
        <w:t xml:space="preserve">A key factor is to determine </w:t>
      </w:r>
      <w:r w:rsidRPr="00CD30F7">
        <w:t>whether the ultimate customer is a state-linked mining company</w:t>
      </w:r>
      <w:r>
        <w:t xml:space="preserve"> or </w:t>
      </w:r>
      <w:r w:rsidR="00DD18E9">
        <w:t xml:space="preserve">a </w:t>
      </w:r>
      <w:r w:rsidR="0045629C">
        <w:t xml:space="preserve">multinational </w:t>
      </w:r>
      <w:r w:rsidR="00FB00BB">
        <w:t>organisation</w:t>
      </w:r>
      <w:r w:rsidRPr="00CD30F7">
        <w:t xml:space="preserve">, </w:t>
      </w:r>
      <w:r>
        <w:t>EPCM</w:t>
      </w:r>
      <w:r w:rsidRPr="00CD30F7">
        <w:t xml:space="preserve"> or private Egyptian operator</w:t>
      </w:r>
      <w:r w:rsidR="001F48CA">
        <w:t>.</w:t>
      </w:r>
      <w:r w:rsidR="00DC11FA">
        <w:t xml:space="preserve"> </w:t>
      </w:r>
      <w:r w:rsidR="005B1659">
        <w:t xml:space="preserve">While government procurement </w:t>
      </w:r>
      <w:r w:rsidR="00456A53">
        <w:t xml:space="preserve">generally gives preference to </w:t>
      </w:r>
      <w:r w:rsidR="00041B7D" w:rsidRPr="00041B7D">
        <w:t>Egyptian-origin products</w:t>
      </w:r>
      <w:r w:rsidR="00041B7D">
        <w:t>, l</w:t>
      </w:r>
      <w:r w:rsidR="00DC11FA" w:rsidRPr="00DC11FA">
        <w:t xml:space="preserve">ocal content is not yet codified in </w:t>
      </w:r>
      <w:r w:rsidR="00DC11FA">
        <w:t xml:space="preserve">mining-specific </w:t>
      </w:r>
      <w:r w:rsidR="003C304F">
        <w:t>legislation</w:t>
      </w:r>
      <w:r w:rsidR="00D0736A">
        <w:t xml:space="preserve">. </w:t>
      </w:r>
      <w:r w:rsidR="00DA4D83" w:rsidRPr="00DA4D83">
        <w:t>In practice, local content expectations at operating mines are driven by operator-level ESG and community commitments rather than statute</w:t>
      </w:r>
      <w:r w:rsidR="00DA4D83">
        <w:t xml:space="preserve">. </w:t>
      </w:r>
    </w:p>
    <w:p w14:paraId="616BAFCD" w14:textId="18C6FB40" w:rsidR="006E17D9" w:rsidRDefault="00CD30F7" w:rsidP="00324C84">
      <w:r w:rsidRPr="00CD30F7">
        <w:t>For major projects</w:t>
      </w:r>
      <w:r w:rsidR="008E725A">
        <w:t xml:space="preserve"> that may be developed in the coming years</w:t>
      </w:r>
      <w:r w:rsidRPr="00CD30F7">
        <w:t xml:space="preserve">, getting specified into the technical design </w:t>
      </w:r>
      <w:r w:rsidR="008E725A">
        <w:t xml:space="preserve">is a </w:t>
      </w:r>
      <w:r w:rsidRPr="00CD30F7">
        <w:t xml:space="preserve">more </w:t>
      </w:r>
      <w:r w:rsidR="008E725A">
        <w:t>effective route to market</w:t>
      </w:r>
      <w:r w:rsidRPr="00CD30F7">
        <w:t xml:space="preserve"> than competing solely at the final tender stage.</w:t>
      </w:r>
      <w:r w:rsidR="00A67330">
        <w:t xml:space="preserve"> Therefore, METS companies should b</w:t>
      </w:r>
      <w:r w:rsidR="00A67330" w:rsidRPr="00A67330">
        <w:t xml:space="preserve">uild relationships with </w:t>
      </w:r>
      <w:r w:rsidR="00DE2C52">
        <w:t>these counterparts</w:t>
      </w:r>
      <w:r w:rsidR="00A67330" w:rsidRPr="00A67330">
        <w:t xml:space="preserve"> before procurement opportunities arise.</w:t>
      </w:r>
    </w:p>
    <w:p w14:paraId="1D01633F" w14:textId="77777777" w:rsidR="00F65990" w:rsidRDefault="00F65990" w:rsidP="00A73BA4">
      <w:pPr>
        <w:rPr>
          <w:rFonts w:asciiTheme="majorHAnsi" w:hAnsiTheme="majorHAnsi" w:cstheme="majorHAnsi"/>
          <w:szCs w:val="20"/>
        </w:rPr>
      </w:pPr>
    </w:p>
    <w:p w14:paraId="6E0B0620" w14:textId="77777777" w:rsidR="00F65990" w:rsidRDefault="00F65990" w:rsidP="00B52B99">
      <w:pPr>
        <w:pStyle w:val="Heading3"/>
      </w:pPr>
      <w:r>
        <w:t>Market entry</w:t>
      </w:r>
      <w:r w:rsidRPr="00E91368">
        <w:t xml:space="preserve"> and delivery expectations</w:t>
      </w:r>
    </w:p>
    <w:p w14:paraId="67097619" w14:textId="4289DB90" w:rsidR="00EB6018" w:rsidRDefault="00967E58" w:rsidP="00324C84">
      <w:r w:rsidRPr="00967E58">
        <w:t xml:space="preserve">As the mining sector is still developing in Egypt, a staged approach to market entry is recommended that reduces upfront capital costs and allows a local presence. </w:t>
      </w:r>
      <w:r w:rsidR="00CC14CA">
        <w:t xml:space="preserve">This </w:t>
      </w:r>
      <w:r w:rsidR="00EE5509">
        <w:t>includes</w:t>
      </w:r>
      <w:r w:rsidR="00CC14CA">
        <w:t xml:space="preserve"> initial m</w:t>
      </w:r>
      <w:r w:rsidR="00CC14CA" w:rsidRPr="00CC14CA">
        <w:t>arket validation and customer mapping</w:t>
      </w:r>
      <w:r w:rsidR="00D27D9D">
        <w:t>,</w:t>
      </w:r>
      <w:r w:rsidR="00CC14CA" w:rsidRPr="00CC14CA">
        <w:t xml:space="preserve"> establish</w:t>
      </w:r>
      <w:r w:rsidR="00CC14CA">
        <w:t>ing</w:t>
      </w:r>
      <w:r w:rsidR="00CC14CA" w:rsidRPr="00CC14CA">
        <w:t xml:space="preserve"> an Egyptian partner</w:t>
      </w:r>
      <w:r w:rsidR="00D27D9D">
        <w:t>,</w:t>
      </w:r>
      <w:r w:rsidR="00CC14CA">
        <w:t xml:space="preserve"> and</w:t>
      </w:r>
      <w:r w:rsidR="00CC14CA" w:rsidRPr="00CC14CA">
        <w:t xml:space="preserve"> undertak</w:t>
      </w:r>
      <w:r w:rsidR="00CC14CA">
        <w:t>ing</w:t>
      </w:r>
      <w:r w:rsidR="00CC14CA" w:rsidRPr="00CC14CA">
        <w:t xml:space="preserve"> targeted </w:t>
      </w:r>
      <w:r w:rsidR="00CC14CA">
        <w:t xml:space="preserve">business visits. </w:t>
      </w:r>
    </w:p>
    <w:p w14:paraId="059C74E2" w14:textId="487A91F7" w:rsidR="00A51B7E" w:rsidRDefault="00A51B7E" w:rsidP="00324C84">
      <w:r w:rsidRPr="00A51B7E">
        <w:t>A local partner is highly valuable in Egypt, and a purely Australia-to-Egypt remote sales model is likely to be less effective for technical mining equipment and services. Key elements to look for in partners include existing relationships with mine operators, government entities and EPC contractors, and the ability to provide installation, commissioning, maintenance and Arabic-</w:t>
      </w:r>
      <w:r w:rsidRPr="00A51B7E">
        <w:lastRenderedPageBreak/>
        <w:t xml:space="preserve">language support. The local Egyptian workforce has a </w:t>
      </w:r>
      <w:r w:rsidR="00712984">
        <w:t>high level</w:t>
      </w:r>
      <w:r w:rsidRPr="00A51B7E">
        <w:t xml:space="preserve"> of education and provides a strong resource to support in-market follow-up and technical requirements.</w:t>
      </w:r>
    </w:p>
    <w:p w14:paraId="548F40A1" w14:textId="22CB5F3E" w:rsidR="005D48CC" w:rsidRDefault="005D48CC" w:rsidP="00324C84">
      <w:r w:rsidRPr="005D48CC">
        <w:t>Commercial agency, distribution and importation have different registration requirements. Companies should check importer eligibility under the current GOEIC rules, including the foreign-ownership exceptions introduced by Law 173/2023 and subsequent amendments and regulations. Before contracting or shipping, confirm with GOEIC and qualified Egyptian advisers who will act as importer of record, how long the registration is valid and which conditions apply</w:t>
      </w:r>
      <w:r w:rsidR="008F7987">
        <w:t xml:space="preserve"> </w:t>
      </w:r>
      <w:r w:rsidR="008F7987" w:rsidRPr="00CE6EE6">
        <w:rPr>
          <w:vertAlign w:val="superscript"/>
        </w:rPr>
        <w:t>[15]</w:t>
      </w:r>
      <w:r w:rsidRPr="005D48CC">
        <w:t>.</w:t>
      </w:r>
    </w:p>
    <w:p w14:paraId="7143F73A" w14:textId="36AE3760" w:rsidR="00A82D78" w:rsidRDefault="00A82D78" w:rsidP="00324C84">
      <w:r w:rsidRPr="00A82D78">
        <w:t>For equipment and parts shipped to Egypt, agree with the importer or an experienced customs broker who will arrange clearance, duties, insurance and inland transport under the chosen Incoterm. Egypt’s Advance Cargo Information (ACI) process requires advance shipment data and an ACID number</w:t>
      </w:r>
      <w:r w:rsidR="00F523A7">
        <w:t>. E</w:t>
      </w:r>
      <w:r w:rsidRPr="00A82D78">
        <w:t>xporters should check the current Nafeza instructions and document requirements before dispatch, including for samples and temporary imports. Confirm any claimed customs or tax incentive for the specific licence, item and transaction rather than assuming a general exemption.</w:t>
      </w:r>
      <w:r w:rsidRPr="00CE6EE6">
        <w:rPr>
          <w:vertAlign w:val="superscript"/>
        </w:rPr>
        <w:t>[9]</w:t>
      </w:r>
    </w:p>
    <w:p w14:paraId="0E4BA4FC" w14:textId="5D22A57D" w:rsidR="00EA6308" w:rsidRPr="00E91368" w:rsidRDefault="00EE584A" w:rsidP="00324C84">
      <w:pPr>
        <w:rPr>
          <w:b/>
          <w:bCs/>
        </w:rPr>
      </w:pPr>
      <w:r>
        <w:t xml:space="preserve">For Australian METS companies looking at the market, consider </w:t>
      </w:r>
      <w:r w:rsidR="006D3728">
        <w:t>starting with the Egyptian Mining Forum</w:t>
      </w:r>
      <w:r w:rsidR="00EE1B29">
        <w:t xml:space="preserve">, taking place annually in Cairo. </w:t>
      </w:r>
      <w:r w:rsidR="00943244">
        <w:t xml:space="preserve">This is an increasingly popular event </w:t>
      </w:r>
      <w:r w:rsidR="00615368">
        <w:t>to meet the key players</w:t>
      </w:r>
      <w:r w:rsidR="000A1EB9">
        <w:t xml:space="preserve">, with </w:t>
      </w:r>
      <w:r w:rsidR="00615368">
        <w:t xml:space="preserve">the first </w:t>
      </w:r>
      <w:r w:rsidR="00246DA1">
        <w:t>major</w:t>
      </w:r>
      <w:r w:rsidR="00615368">
        <w:t xml:space="preserve"> Australian delegation</w:t>
      </w:r>
      <w:r w:rsidR="00351854">
        <w:t xml:space="preserve"> delivered by AAMEG</w:t>
      </w:r>
      <w:r w:rsidR="00615368">
        <w:t xml:space="preserve"> in 2026</w:t>
      </w:r>
      <w:r w:rsidR="00351854">
        <w:t>.</w:t>
      </w:r>
      <w:r w:rsidR="00615368">
        <w:t xml:space="preserve"> </w:t>
      </w:r>
    </w:p>
    <w:p w14:paraId="07050183" w14:textId="77777777" w:rsidR="00EA6308" w:rsidRPr="00E91368" w:rsidRDefault="00EA6308" w:rsidP="00EA6308">
      <w:pPr>
        <w:rPr>
          <w:rFonts w:asciiTheme="majorHAnsi" w:hAnsiTheme="majorHAnsi" w:cstheme="majorHAnsi"/>
          <w:b/>
          <w:bCs/>
          <w:szCs w:val="20"/>
        </w:rPr>
      </w:pPr>
    </w:p>
    <w:p w14:paraId="0BE07BDE" w14:textId="20764A5E" w:rsidR="00B52B99" w:rsidRDefault="00EB4093" w:rsidP="00B52B99">
      <w:pPr>
        <w:pStyle w:val="Heading3"/>
      </w:pPr>
      <w:r w:rsidRPr="00EB4093">
        <w:t>Case Study</w:t>
      </w:r>
    </w:p>
    <w:p w14:paraId="59364D39" w14:textId="4CEBC48F" w:rsidR="00EB4093" w:rsidRDefault="00EB4093" w:rsidP="00B52B99">
      <w:pPr>
        <w:pStyle w:val="Heading3"/>
        <w:rPr>
          <w:i/>
        </w:rPr>
      </w:pPr>
      <w:r w:rsidRPr="00EB4093">
        <w:t>Capital Limited: Building an Egyptian operating base and regional workforce</w:t>
      </w:r>
    </w:p>
    <w:p w14:paraId="4397F175" w14:textId="77777777" w:rsidR="00CB3EDE" w:rsidRPr="00324C84" w:rsidRDefault="00CB3EDE" w:rsidP="00B52B99">
      <w:pPr>
        <w:rPr>
          <w:i/>
        </w:rPr>
      </w:pPr>
      <w:r w:rsidRPr="00324C84">
        <w:t>Capital Limited has maintained a long-standing presence in Egypt for nearly two decades, with operations at the Sukari Gold Mine commencing in 2005. Initially supporting exploration drilling, Capital’s role at Sukari has expanded over time into production drilling and broader mining services.</w:t>
      </w:r>
    </w:p>
    <w:p w14:paraId="3716E454" w14:textId="77777777" w:rsidR="00CB3EDE" w:rsidRPr="00324C84" w:rsidRDefault="00CB3EDE" w:rsidP="00B52B99">
      <w:pPr>
        <w:rPr>
          <w:i/>
        </w:rPr>
      </w:pPr>
      <w:r w:rsidRPr="00324C84">
        <w:t xml:space="preserve">The company now employs over 600 people in Egypt. This long-term presence has been sustained by a strong focus on local employment, training and skills development across drilling, engineering, maintenance and other specialist functions. Egyptian employees now hold senior management roles across the business in Egypt and globally within Capital Limited. These roles include, but are not limited to, Senior Finance and Country Manager positions, as well as roles across Procurement, IT, Supply Chain and Maintenance, and Training. </w:t>
      </w:r>
    </w:p>
    <w:p w14:paraId="044247A8" w14:textId="77777777" w:rsidR="00CB3EDE" w:rsidRPr="00324C84" w:rsidRDefault="00CB3EDE" w:rsidP="00B52B99">
      <w:pPr>
        <w:rPr>
          <w:i/>
        </w:rPr>
      </w:pPr>
      <w:r w:rsidRPr="00324C84">
        <w:t>Capital has also expanded its service offering through MSALABS, establishing the first internationally certified assay laboratory in Egypt, based in Marsa Alam. The laboratory provides sample preparation and assay services, with additional multi-element analysis supported by MSALABS’ Vancouver laboratory. MSALABS has also continued to expand its activities in Egypt and Saudi Arabia.</w:t>
      </w:r>
    </w:p>
    <w:p w14:paraId="28F66971" w14:textId="77777777" w:rsidR="00B52B99" w:rsidRDefault="00CB3EDE" w:rsidP="00B52B99">
      <w:r w:rsidRPr="00324C84">
        <w:t>Capital’s experience in Egypt demonstrates how long-term investment in local capability, workforce development and an expanding mining</w:t>
      </w:r>
      <w:r w:rsidR="00DF112E" w:rsidRPr="00324C84">
        <w:t xml:space="preserve"> </w:t>
      </w:r>
      <w:r w:rsidRPr="00324C84">
        <w:t>services offering can support customers as the country’s mining sector develops from exploration through to production</w:t>
      </w:r>
      <w:r w:rsidR="005C1621" w:rsidRPr="00324C84">
        <w:t>.</w:t>
      </w:r>
    </w:p>
    <w:p w14:paraId="32AC1FD0" w14:textId="2B16E907" w:rsidR="00B52B99" w:rsidRPr="00B52B99" w:rsidRDefault="00322F40" w:rsidP="00B52B99">
      <w:pPr>
        <w:pStyle w:val="Quote1"/>
      </w:pPr>
      <w:r w:rsidRPr="00B52B99">
        <w:t xml:space="preserve"> </w:t>
      </w:r>
      <w:r w:rsidR="00E65989" w:rsidRPr="00B52B99">
        <w:t>“Since commencing operations in Egypt in 2005, Capital has grown alongside the country’s mining sector, investing in local talent, developing technical capability and expanding the services we provide to our customers.”</w:t>
      </w:r>
    </w:p>
    <w:p w14:paraId="5BDD8B9D" w14:textId="0F0E7DB2" w:rsidR="00A51B7E" w:rsidRPr="009E405E" w:rsidRDefault="005C57CC" w:rsidP="005C57CC">
      <w:pPr>
        <w:pStyle w:val="quotename"/>
        <w:rPr>
          <w:sz w:val="24"/>
          <w:szCs w:val="20"/>
        </w:rPr>
      </w:pPr>
      <w:r w:rsidRPr="005C57CC">
        <w:rPr>
          <w:sz w:val="24"/>
          <w:szCs w:val="20"/>
        </w:rPr>
        <w:t>-</w:t>
      </w:r>
      <w:r>
        <w:t xml:space="preserve"> </w:t>
      </w:r>
      <w:r w:rsidR="00376CF4" w:rsidRPr="00E65989">
        <w:t xml:space="preserve">Damien Valente, </w:t>
      </w:r>
      <w:r w:rsidR="00376CF4" w:rsidRPr="00B52B99">
        <w:t>General</w:t>
      </w:r>
      <w:r w:rsidR="00376CF4" w:rsidRPr="00E65989">
        <w:t xml:space="preserve"> Manager Business Development, Capital Limited </w:t>
      </w:r>
    </w:p>
    <w:p w14:paraId="7AB6D070" w14:textId="77777777" w:rsidR="00D875FA" w:rsidRPr="005C57CC" w:rsidRDefault="00D875FA" w:rsidP="005C57CC">
      <w:pPr>
        <w:rPr>
          <w:highlight w:val="yellow"/>
        </w:rPr>
      </w:pPr>
      <w:r w:rsidRPr="005C57CC">
        <w:rPr>
          <w:sz w:val="40"/>
          <w:szCs w:val="36"/>
        </w:rPr>
        <w:br w:type="page"/>
      </w:r>
    </w:p>
    <w:p w14:paraId="0FAF0FDE" w14:textId="15C9D32B" w:rsidR="00EA6308" w:rsidRPr="0061438C" w:rsidRDefault="00EA6308" w:rsidP="005C57CC">
      <w:pPr>
        <w:pStyle w:val="Heading2"/>
        <w:rPr>
          <w:szCs w:val="36"/>
        </w:rPr>
      </w:pPr>
      <w:r w:rsidRPr="0061438C">
        <w:rPr>
          <w:szCs w:val="36"/>
        </w:rPr>
        <w:lastRenderedPageBreak/>
        <w:t>Türkiye</w:t>
      </w:r>
    </w:p>
    <w:p w14:paraId="0EF7A6D5" w14:textId="516DD284" w:rsidR="00EA6308" w:rsidRPr="00DA466A" w:rsidRDefault="002B4ABB" w:rsidP="00EA6308">
      <w:pPr>
        <w:rPr>
          <w:rFonts w:cstheme="majorHAnsi"/>
          <w:b/>
          <w:bCs/>
          <w:i/>
          <w:iCs/>
          <w:szCs w:val="20"/>
        </w:rPr>
      </w:pPr>
      <w:r w:rsidRPr="00DA466A">
        <w:rPr>
          <w:rFonts w:cstheme="majorHAnsi"/>
          <w:b/>
          <w:bCs/>
          <w:i/>
          <w:iCs/>
          <w:szCs w:val="20"/>
        </w:rPr>
        <w:t>An established, competitive mining and minerals</w:t>
      </w:r>
      <w:r w:rsidR="006A26D8" w:rsidRPr="00DA466A">
        <w:rPr>
          <w:rFonts w:cstheme="majorHAnsi"/>
          <w:b/>
          <w:bCs/>
          <w:i/>
          <w:iCs/>
          <w:szCs w:val="20"/>
        </w:rPr>
        <w:t xml:space="preserve"> </w:t>
      </w:r>
      <w:r w:rsidRPr="00DA466A">
        <w:rPr>
          <w:rFonts w:cstheme="majorHAnsi"/>
          <w:b/>
          <w:bCs/>
          <w:i/>
          <w:iCs/>
          <w:szCs w:val="20"/>
        </w:rPr>
        <w:t>processing market</w:t>
      </w:r>
    </w:p>
    <w:p w14:paraId="74B8D1C9" w14:textId="77777777" w:rsidR="00241DC5" w:rsidRPr="00241DC5" w:rsidRDefault="00241DC5" w:rsidP="00324C84">
      <w:pPr>
        <w:rPr>
          <w:b/>
          <w:bCs/>
        </w:rPr>
      </w:pPr>
      <w:r w:rsidRPr="00241DC5">
        <w:t>Türkiye offers Australian METS companies an established operating mining and minerals processing base, with opportunities concentrated in specialist technologies and services that deliver measurable performance improvements.</w:t>
      </w:r>
    </w:p>
    <w:p w14:paraId="7154F644" w14:textId="77777777" w:rsidR="00241DC5" w:rsidRPr="00241DC5" w:rsidRDefault="00241DC5" w:rsidP="00324C84">
      <w:pPr>
        <w:rPr>
          <w:b/>
          <w:bCs/>
        </w:rPr>
      </w:pPr>
      <w:r w:rsidRPr="00241DC5">
        <w:t>Türkiye spans Europe and Asia, with an estimated population of 85.8 million in 2025. Ankara is the capital and Istanbul is the principal commercial, transport and advanced manufacturing hub. Mining and minerals processing are geographically dispersed, so account selection and local service coverage matter more than proximity to one national mining centre.</w:t>
      </w:r>
      <w:r w:rsidRPr="00CE6EE6">
        <w:rPr>
          <w:vertAlign w:val="superscript"/>
        </w:rPr>
        <w:t>[11][12]</w:t>
      </w:r>
    </w:p>
    <w:p w14:paraId="63787E6B" w14:textId="77777777" w:rsidR="00241DC5" w:rsidRPr="00241DC5" w:rsidRDefault="00241DC5" w:rsidP="00324C84">
      <w:pPr>
        <w:rPr>
          <w:b/>
          <w:bCs/>
        </w:rPr>
      </w:pPr>
      <w:r w:rsidRPr="00241DC5">
        <w:t>Türkiye combines a diverse resource base with established mining, minerals processing and machinery capability. The Presidency of the Republic of Türkiye Investment Office’s sector profile reports that the country holds 73 per cent of identified global boron reserves and hosts 649 international mining companies.</w:t>
      </w:r>
      <w:r w:rsidRPr="00CE6EE6">
        <w:rPr>
          <w:vertAlign w:val="superscript"/>
        </w:rPr>
        <w:t>[13]</w:t>
      </w:r>
    </w:p>
    <w:p w14:paraId="2096C87B" w14:textId="1AD3A347" w:rsidR="00241DC5" w:rsidRPr="00241DC5" w:rsidRDefault="00241DC5" w:rsidP="00324C84">
      <w:pPr>
        <w:rPr>
          <w:b/>
          <w:bCs/>
        </w:rPr>
      </w:pPr>
      <w:r w:rsidRPr="00241DC5">
        <w:t>Boron is a defining part of the industry. Eti Maden operates under the state framework for boron mining and processing. Its mining and processing network creates opportunities across extraction, beneficiation, product quality, materials handling, plant reliability, energy and emissions performance.</w:t>
      </w:r>
      <w:r w:rsidRPr="00CE6EE6">
        <w:rPr>
          <w:vertAlign w:val="superscript"/>
        </w:rPr>
        <w:t>[1][2][16][17][18][19]</w:t>
      </w:r>
    </w:p>
    <w:p w14:paraId="5395E8F4" w14:textId="77777777" w:rsidR="00241DC5" w:rsidRPr="00241DC5" w:rsidRDefault="00241DC5" w:rsidP="00324C84">
      <w:pPr>
        <w:rPr>
          <w:b/>
          <w:bCs/>
        </w:rPr>
      </w:pPr>
      <w:r w:rsidRPr="00241DC5">
        <w:t>Gold and polymetallic operations provide the clearest near- and medium-term project pipeline across surface mining, underground production and minerals processing. Eldorado Gold is investing in heap-leach, agglomeration, water, pit and underground development at Kışladağ and Efemçukuru. ACG Metals produced first copper concentrate from the Gediktepe sulphide expansion in August 2026 and has moved into ramp-up phases. Centerra is progressing a life-of-mine optimisation study at Öksüt, expected to be completed in early 2027. These are predominantly operating, brownfield or staged opportunities where optimisation, expansion and local service are more relevant than broad greenfield equipment supply.</w:t>
      </w:r>
      <w:r w:rsidRPr="00CE6EE6">
        <w:rPr>
          <w:vertAlign w:val="superscript"/>
        </w:rPr>
        <w:t>[17][18][19][20]</w:t>
      </w:r>
    </w:p>
    <w:p w14:paraId="456B1901" w14:textId="77777777" w:rsidR="00241DC5" w:rsidRDefault="00241DC5" w:rsidP="00324C84">
      <w:pPr>
        <w:rPr>
          <w:b/>
          <w:bCs/>
        </w:rPr>
      </w:pPr>
      <w:r w:rsidRPr="00241DC5">
        <w:t>Australian capability is most relevant where suppliers can demonstrate an advantage in recovery, safety, water management, underground productivity, fleet performance, digitalisation or lifecycle cost. Türkiye’s strong domestic machinery and engineering base, alongside European and Chinese competition, makes technical differentiation and responsive service central to the opportunity.</w:t>
      </w:r>
      <w:r w:rsidRPr="00CE6EE6">
        <w:rPr>
          <w:vertAlign w:val="superscript"/>
        </w:rPr>
        <w:t>[14]</w:t>
      </w:r>
    </w:p>
    <w:p w14:paraId="62D43A38" w14:textId="51FF2BB5" w:rsidR="00EA6308" w:rsidRPr="00DA466A" w:rsidRDefault="002467E6" w:rsidP="00DA466A">
      <w:pPr>
        <w:pStyle w:val="Heading3"/>
      </w:pPr>
      <w:r w:rsidRPr="00E91368">
        <w:t>Market at a glance</w:t>
      </w:r>
    </w:p>
    <w:tbl>
      <w:tblPr>
        <w:tblStyle w:val="TableGrid"/>
        <w:tblW w:w="0" w:type="auto"/>
        <w:tblCellMar>
          <w:top w:w="57" w:type="dxa"/>
          <w:bottom w:w="57" w:type="dxa"/>
        </w:tblCellMar>
        <w:tblLook w:val="04A0" w:firstRow="1" w:lastRow="0" w:firstColumn="1" w:lastColumn="0" w:noHBand="0" w:noVBand="1"/>
      </w:tblPr>
      <w:tblGrid>
        <w:gridCol w:w="3021"/>
        <w:gridCol w:w="7049"/>
      </w:tblGrid>
      <w:tr w:rsidR="0023213C" w:rsidRPr="00E91368" w14:paraId="788B2227" w14:textId="77777777" w:rsidTr="0023213C">
        <w:trPr>
          <w:trHeight w:val="218"/>
        </w:trPr>
        <w:tc>
          <w:tcPr>
            <w:tcW w:w="10070" w:type="dxa"/>
            <w:gridSpan w:val="2"/>
            <w:shd w:val="clear" w:color="auto" w:fill="173F34" w:themeFill="accent1"/>
            <w:vAlign w:val="center"/>
            <w:hideMark/>
          </w:tcPr>
          <w:p w14:paraId="26B7E9A5" w14:textId="77FBF4A3" w:rsidR="0023213C" w:rsidRPr="00E91368" w:rsidRDefault="0023213C" w:rsidP="0023213C">
            <w:pPr>
              <w:rPr>
                <w:rFonts w:asciiTheme="majorHAnsi" w:hAnsiTheme="majorHAnsi" w:cstheme="majorHAnsi"/>
                <w:b/>
                <w:bCs/>
                <w:szCs w:val="20"/>
              </w:rPr>
            </w:pPr>
            <w:r w:rsidRPr="00E91368">
              <w:rPr>
                <w:rFonts w:asciiTheme="majorHAnsi" w:hAnsiTheme="majorHAnsi" w:cstheme="majorHAnsi"/>
                <w:b/>
                <w:bCs/>
                <w:szCs w:val="20"/>
              </w:rPr>
              <w:t>Türkiye snapshot</w:t>
            </w:r>
          </w:p>
        </w:tc>
      </w:tr>
      <w:tr w:rsidR="00BA003B" w:rsidRPr="00E91368" w14:paraId="72CE2C6D" w14:textId="77777777" w:rsidTr="0023213C">
        <w:tc>
          <w:tcPr>
            <w:tcW w:w="3021" w:type="dxa"/>
            <w:hideMark/>
          </w:tcPr>
          <w:p w14:paraId="5BE2A8D5" w14:textId="77777777" w:rsidR="00BA003B" w:rsidRPr="00E91368" w:rsidRDefault="00BA003B" w:rsidP="00BA003B">
            <w:pPr>
              <w:rPr>
                <w:rFonts w:asciiTheme="majorHAnsi" w:hAnsiTheme="majorHAnsi" w:cstheme="majorHAnsi"/>
                <w:b/>
                <w:bCs/>
                <w:szCs w:val="20"/>
              </w:rPr>
            </w:pPr>
            <w:r w:rsidRPr="00E91368">
              <w:rPr>
                <w:rFonts w:asciiTheme="majorHAnsi" w:hAnsiTheme="majorHAnsi" w:cstheme="majorHAnsi"/>
                <w:b/>
                <w:bCs/>
                <w:szCs w:val="20"/>
              </w:rPr>
              <w:t>Market role</w:t>
            </w:r>
          </w:p>
        </w:tc>
        <w:tc>
          <w:tcPr>
            <w:tcW w:w="7049" w:type="dxa"/>
            <w:hideMark/>
          </w:tcPr>
          <w:p w14:paraId="2173CEB8" w14:textId="6CF4ADA4" w:rsidR="00BA003B" w:rsidRPr="00E91368" w:rsidRDefault="001D43A0" w:rsidP="00BA003B">
            <w:pPr>
              <w:rPr>
                <w:rFonts w:asciiTheme="majorHAnsi" w:hAnsiTheme="majorHAnsi" w:cstheme="majorHAnsi"/>
                <w:szCs w:val="20"/>
              </w:rPr>
            </w:pPr>
            <w:r w:rsidRPr="001D43A0">
              <w:rPr>
                <w:rFonts w:asciiTheme="majorHAnsi" w:hAnsiTheme="majorHAnsi" w:cstheme="majorHAnsi"/>
                <w:szCs w:val="20"/>
              </w:rPr>
              <w:t>Established operating mines, processing plants and strong domestic engineering and machinery competition</w:t>
            </w:r>
          </w:p>
        </w:tc>
      </w:tr>
      <w:tr w:rsidR="00BA003B" w:rsidRPr="00E91368" w14:paraId="4C9EA4D5" w14:textId="77777777" w:rsidTr="0023213C">
        <w:tc>
          <w:tcPr>
            <w:tcW w:w="3021" w:type="dxa"/>
          </w:tcPr>
          <w:p w14:paraId="2A99B5DF" w14:textId="1B722E74" w:rsidR="00BA003B" w:rsidRPr="00E91368" w:rsidRDefault="00BA003B" w:rsidP="00BA003B">
            <w:pPr>
              <w:rPr>
                <w:rFonts w:asciiTheme="majorHAnsi" w:hAnsiTheme="majorHAnsi" w:cstheme="majorHAnsi"/>
                <w:b/>
                <w:bCs/>
                <w:szCs w:val="20"/>
              </w:rPr>
            </w:pPr>
            <w:r w:rsidRPr="00E91368">
              <w:rPr>
                <w:rFonts w:asciiTheme="majorHAnsi" w:hAnsiTheme="majorHAnsi" w:cstheme="majorHAnsi"/>
                <w:b/>
                <w:bCs/>
                <w:szCs w:val="20"/>
              </w:rPr>
              <w:t xml:space="preserve">Principal </w:t>
            </w:r>
            <w:r w:rsidR="00470A18">
              <w:rPr>
                <w:rFonts w:asciiTheme="majorHAnsi" w:hAnsiTheme="majorHAnsi" w:cstheme="majorHAnsi"/>
                <w:b/>
                <w:bCs/>
                <w:szCs w:val="20"/>
              </w:rPr>
              <w:t>activity</w:t>
            </w:r>
          </w:p>
        </w:tc>
        <w:tc>
          <w:tcPr>
            <w:tcW w:w="7049" w:type="dxa"/>
          </w:tcPr>
          <w:p w14:paraId="65E2E601" w14:textId="48E4C391" w:rsidR="00BA003B" w:rsidRPr="00E91368" w:rsidRDefault="00726E39" w:rsidP="00BA003B">
            <w:pPr>
              <w:rPr>
                <w:rFonts w:asciiTheme="majorHAnsi" w:hAnsiTheme="majorHAnsi" w:cstheme="majorHAnsi"/>
                <w:szCs w:val="20"/>
              </w:rPr>
            </w:pPr>
            <w:r w:rsidRPr="00726E39">
              <w:rPr>
                <w:rFonts w:asciiTheme="majorHAnsi" w:hAnsiTheme="majorHAnsi" w:cstheme="majorHAnsi"/>
                <w:szCs w:val="20"/>
              </w:rPr>
              <w:t>Boron</w:t>
            </w:r>
            <w:r w:rsidR="00470A18">
              <w:rPr>
                <w:rFonts w:asciiTheme="majorHAnsi" w:hAnsiTheme="majorHAnsi" w:cstheme="majorHAnsi"/>
                <w:szCs w:val="20"/>
              </w:rPr>
              <w:t xml:space="preserve">, </w:t>
            </w:r>
            <w:r w:rsidRPr="00726E39">
              <w:rPr>
                <w:rFonts w:asciiTheme="majorHAnsi" w:hAnsiTheme="majorHAnsi" w:cstheme="majorHAnsi"/>
                <w:szCs w:val="20"/>
              </w:rPr>
              <w:t>gold</w:t>
            </w:r>
            <w:r w:rsidR="00470A18">
              <w:rPr>
                <w:rFonts w:asciiTheme="majorHAnsi" w:hAnsiTheme="majorHAnsi" w:cstheme="majorHAnsi"/>
                <w:szCs w:val="20"/>
              </w:rPr>
              <w:t>,</w:t>
            </w:r>
            <w:r w:rsidRPr="00726E39">
              <w:rPr>
                <w:rFonts w:asciiTheme="majorHAnsi" w:hAnsiTheme="majorHAnsi" w:cstheme="majorHAnsi"/>
                <w:szCs w:val="20"/>
              </w:rPr>
              <w:t xml:space="preserve"> copper-zinc and other polymetallic ores; industrial minerals and natural stone</w:t>
            </w:r>
          </w:p>
        </w:tc>
      </w:tr>
      <w:tr w:rsidR="00BA003B" w:rsidRPr="00E91368" w14:paraId="3D413FED" w14:textId="77777777" w:rsidTr="0023213C">
        <w:tc>
          <w:tcPr>
            <w:tcW w:w="3021" w:type="dxa"/>
            <w:hideMark/>
          </w:tcPr>
          <w:p w14:paraId="7D264B81" w14:textId="77777777" w:rsidR="00BA003B" w:rsidRPr="00E91368" w:rsidRDefault="00BA003B" w:rsidP="00BA003B">
            <w:pPr>
              <w:rPr>
                <w:rFonts w:asciiTheme="majorHAnsi" w:hAnsiTheme="majorHAnsi" w:cstheme="majorHAnsi"/>
                <w:b/>
                <w:bCs/>
                <w:szCs w:val="20"/>
              </w:rPr>
            </w:pPr>
            <w:r w:rsidRPr="00E91368">
              <w:rPr>
                <w:rFonts w:asciiTheme="majorHAnsi" w:hAnsiTheme="majorHAnsi" w:cstheme="majorHAnsi"/>
                <w:b/>
                <w:bCs/>
                <w:szCs w:val="20"/>
              </w:rPr>
              <w:t>Strongest METS alignment</w:t>
            </w:r>
          </w:p>
        </w:tc>
        <w:tc>
          <w:tcPr>
            <w:tcW w:w="7049" w:type="dxa"/>
            <w:hideMark/>
          </w:tcPr>
          <w:p w14:paraId="412B82AF" w14:textId="15B0C7B5" w:rsidR="00BA003B" w:rsidRPr="00E91368" w:rsidRDefault="00432690" w:rsidP="00432690">
            <w:pPr>
              <w:rPr>
                <w:rFonts w:asciiTheme="majorHAnsi" w:hAnsiTheme="majorHAnsi" w:cstheme="majorHAnsi"/>
                <w:szCs w:val="20"/>
              </w:rPr>
            </w:pPr>
            <w:r w:rsidRPr="00432690">
              <w:rPr>
                <w:rFonts w:asciiTheme="majorHAnsi" w:hAnsiTheme="majorHAnsi" w:cstheme="majorHAnsi"/>
                <w:szCs w:val="20"/>
              </w:rPr>
              <w:t>Minerals processing, recovery, automation, underground safety, ventilation, tailings, monitoring and selected technologies with protected intellectual property (IP)</w:t>
            </w:r>
          </w:p>
        </w:tc>
      </w:tr>
      <w:tr w:rsidR="00BA003B" w:rsidRPr="00E91368" w14:paraId="01A42A2D" w14:textId="77777777" w:rsidTr="0023213C">
        <w:tc>
          <w:tcPr>
            <w:tcW w:w="3021" w:type="dxa"/>
            <w:hideMark/>
          </w:tcPr>
          <w:p w14:paraId="0B3E4476" w14:textId="77777777" w:rsidR="00BA003B" w:rsidRPr="00E91368" w:rsidRDefault="00BA003B" w:rsidP="00BA003B">
            <w:pPr>
              <w:rPr>
                <w:rFonts w:asciiTheme="majorHAnsi" w:hAnsiTheme="majorHAnsi" w:cstheme="majorHAnsi"/>
                <w:b/>
                <w:bCs/>
                <w:szCs w:val="20"/>
              </w:rPr>
            </w:pPr>
            <w:r w:rsidRPr="00E91368">
              <w:rPr>
                <w:rFonts w:asciiTheme="majorHAnsi" w:hAnsiTheme="majorHAnsi" w:cstheme="majorHAnsi"/>
                <w:b/>
                <w:bCs/>
                <w:szCs w:val="20"/>
              </w:rPr>
              <w:t>Priority customers</w:t>
            </w:r>
          </w:p>
        </w:tc>
        <w:tc>
          <w:tcPr>
            <w:tcW w:w="7049" w:type="dxa"/>
            <w:hideMark/>
          </w:tcPr>
          <w:p w14:paraId="6ED522C7" w14:textId="3BCCC1F0" w:rsidR="00BA003B" w:rsidRPr="00E91368" w:rsidRDefault="00BA003B" w:rsidP="00BA003B">
            <w:pPr>
              <w:rPr>
                <w:rFonts w:asciiTheme="majorHAnsi" w:hAnsiTheme="majorHAnsi" w:cstheme="majorHAnsi"/>
                <w:szCs w:val="20"/>
              </w:rPr>
            </w:pPr>
            <w:r w:rsidRPr="00E91368">
              <w:rPr>
                <w:rFonts w:asciiTheme="majorHAnsi" w:hAnsiTheme="majorHAnsi" w:cstheme="majorHAnsi"/>
                <w:szCs w:val="20"/>
              </w:rPr>
              <w:t xml:space="preserve">Eti Maden, </w:t>
            </w:r>
            <w:r w:rsidR="00E8750F">
              <w:rPr>
                <w:rFonts w:asciiTheme="majorHAnsi" w:hAnsiTheme="majorHAnsi" w:cstheme="majorHAnsi"/>
                <w:szCs w:val="20"/>
              </w:rPr>
              <w:t>Eldorado Gold</w:t>
            </w:r>
            <w:r w:rsidRPr="00E91368">
              <w:rPr>
                <w:rFonts w:asciiTheme="majorHAnsi" w:hAnsiTheme="majorHAnsi" w:cstheme="majorHAnsi"/>
                <w:szCs w:val="20"/>
              </w:rPr>
              <w:t>, TÜMAD, private operators, contractors and specialised distributors</w:t>
            </w:r>
          </w:p>
        </w:tc>
      </w:tr>
      <w:tr w:rsidR="00BA003B" w:rsidRPr="00E91368" w14:paraId="5B94A74C" w14:textId="77777777" w:rsidTr="0023213C">
        <w:tc>
          <w:tcPr>
            <w:tcW w:w="3021" w:type="dxa"/>
            <w:hideMark/>
          </w:tcPr>
          <w:p w14:paraId="11F2B9D2" w14:textId="77777777" w:rsidR="00BA003B" w:rsidRPr="00E91368" w:rsidRDefault="00BA003B" w:rsidP="00BA003B">
            <w:pPr>
              <w:rPr>
                <w:rFonts w:asciiTheme="majorHAnsi" w:hAnsiTheme="majorHAnsi" w:cstheme="majorHAnsi"/>
                <w:b/>
                <w:bCs/>
                <w:szCs w:val="20"/>
              </w:rPr>
            </w:pPr>
            <w:r w:rsidRPr="00E91368">
              <w:rPr>
                <w:rFonts w:asciiTheme="majorHAnsi" w:hAnsiTheme="majorHAnsi" w:cstheme="majorHAnsi"/>
                <w:b/>
                <w:bCs/>
                <w:szCs w:val="20"/>
              </w:rPr>
              <w:t>Typical access pathway</w:t>
            </w:r>
          </w:p>
        </w:tc>
        <w:tc>
          <w:tcPr>
            <w:tcW w:w="7049" w:type="dxa"/>
            <w:hideMark/>
          </w:tcPr>
          <w:p w14:paraId="27CF6CFB" w14:textId="77777777" w:rsidR="00BA003B" w:rsidRPr="00E91368" w:rsidRDefault="00ED4120" w:rsidP="00BA003B">
            <w:pPr>
              <w:rPr>
                <w:rFonts w:asciiTheme="majorHAnsi" w:hAnsiTheme="majorHAnsi" w:cstheme="majorHAnsi"/>
                <w:szCs w:val="20"/>
              </w:rPr>
            </w:pPr>
            <w:r w:rsidRPr="00E91368">
              <w:rPr>
                <w:rFonts w:asciiTheme="majorHAnsi" w:hAnsiTheme="majorHAnsi" w:cstheme="majorHAnsi"/>
                <w:szCs w:val="20"/>
              </w:rPr>
              <w:t>Direct engagement with operators and industrial customers, supported where appropriate by technically capable local service or distribution partners.</w:t>
            </w:r>
          </w:p>
        </w:tc>
      </w:tr>
      <w:tr w:rsidR="00BA003B" w:rsidRPr="00E91368" w14:paraId="5DBAF30C" w14:textId="77777777" w:rsidTr="0023213C">
        <w:tc>
          <w:tcPr>
            <w:tcW w:w="3021" w:type="dxa"/>
            <w:hideMark/>
          </w:tcPr>
          <w:p w14:paraId="70E2E317" w14:textId="77777777" w:rsidR="00BA003B" w:rsidRPr="00E91368" w:rsidRDefault="00BA003B" w:rsidP="00BA003B">
            <w:pPr>
              <w:rPr>
                <w:rFonts w:asciiTheme="majorHAnsi" w:hAnsiTheme="majorHAnsi" w:cstheme="majorHAnsi"/>
                <w:b/>
                <w:bCs/>
                <w:szCs w:val="20"/>
              </w:rPr>
            </w:pPr>
            <w:r w:rsidRPr="00E91368">
              <w:rPr>
                <w:rFonts w:asciiTheme="majorHAnsi" w:hAnsiTheme="majorHAnsi" w:cstheme="majorHAnsi"/>
                <w:b/>
                <w:bCs/>
                <w:szCs w:val="20"/>
              </w:rPr>
              <w:lastRenderedPageBreak/>
              <w:t>Key commercial consideration</w:t>
            </w:r>
          </w:p>
        </w:tc>
        <w:tc>
          <w:tcPr>
            <w:tcW w:w="7049" w:type="dxa"/>
            <w:hideMark/>
          </w:tcPr>
          <w:p w14:paraId="4B2ECEA8" w14:textId="3795E159" w:rsidR="00BA003B" w:rsidRPr="00E91368" w:rsidRDefault="00AC5158" w:rsidP="00BA003B">
            <w:pPr>
              <w:rPr>
                <w:rFonts w:asciiTheme="majorHAnsi" w:hAnsiTheme="majorHAnsi" w:cstheme="majorHAnsi"/>
                <w:szCs w:val="20"/>
              </w:rPr>
            </w:pPr>
            <w:r w:rsidRPr="00AC5158">
              <w:rPr>
                <w:rFonts w:asciiTheme="majorHAnsi" w:hAnsiTheme="majorHAnsi" w:cstheme="majorHAnsi"/>
                <w:szCs w:val="20"/>
              </w:rPr>
              <w:t>Competition from Turkish and international suppliers requires a demonstrable technical or lifecycle benefit. Turkish-language documentation, timely commissioning and after-sales support may affect selection.</w:t>
            </w:r>
          </w:p>
        </w:tc>
      </w:tr>
    </w:tbl>
    <w:p w14:paraId="68AA4998" w14:textId="521C2BAB" w:rsidR="00803A5E" w:rsidRPr="00F52CFF" w:rsidRDefault="00236CA4" w:rsidP="00F52CFF">
      <w:pPr>
        <w:pStyle w:val="Heading3"/>
        <w:rPr>
          <w:rFonts w:cstheme="minorBidi"/>
        </w:rPr>
      </w:pPr>
      <w:r w:rsidRPr="00236CA4">
        <w:t>Türkiye</w:t>
      </w:r>
      <w:r>
        <w:t xml:space="preserve"> mines and processing operations</w:t>
      </w:r>
    </w:p>
    <w:p w14:paraId="473468B9" w14:textId="396DFFFE" w:rsidR="00E16352" w:rsidRPr="00E16352" w:rsidRDefault="00236CA4" w:rsidP="00E16352">
      <w:r>
        <w:rPr>
          <w:noProof/>
        </w:rPr>
        <w:drawing>
          <wp:inline distT="0" distB="0" distL="0" distR="0" wp14:anchorId="12000C05" wp14:editId="4C07A9C6">
            <wp:extent cx="6393815" cy="4522470"/>
            <wp:effectExtent l="0" t="0" r="6985" b="0"/>
            <wp:docPr id="1405520098" name="Picture 8" descr="Infographic for Turkiye mining and processing operations. It displays an image of a processing plant and another image of a map of Turkiye with mine locations marked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20098" name="Picture 8" descr="Infographic for Turkiye mining and processing operations. It displays an image of a processing plant and another image of a map of Turkiye with mine locations marked on i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393815" cy="4522470"/>
                    </a:xfrm>
                    <a:prstGeom prst="rect">
                      <a:avLst/>
                    </a:prstGeom>
                    <a:noFill/>
                    <a:ln>
                      <a:noFill/>
                    </a:ln>
                  </pic:spPr>
                </pic:pic>
              </a:graphicData>
            </a:graphic>
          </wp:inline>
        </w:drawing>
      </w:r>
    </w:p>
    <w:p w14:paraId="72BDAE8A" w14:textId="46CA88B2" w:rsidR="00DE105B" w:rsidRDefault="00DE105B" w:rsidP="002467E6">
      <w:pPr>
        <w:rPr>
          <w:rFonts w:asciiTheme="majorHAnsi" w:hAnsiTheme="majorHAnsi" w:cstheme="majorHAnsi"/>
          <w:b/>
          <w:bCs/>
          <w:szCs w:val="20"/>
        </w:rPr>
      </w:pPr>
    </w:p>
    <w:p w14:paraId="38F6D922" w14:textId="77777777" w:rsidR="00DE105B" w:rsidRDefault="00DE105B">
      <w:pPr>
        <w:spacing w:after="200" w:line="276" w:lineRule="auto"/>
        <w:rPr>
          <w:rFonts w:asciiTheme="majorHAnsi" w:hAnsiTheme="majorHAnsi" w:cstheme="majorHAnsi"/>
          <w:b/>
          <w:bCs/>
          <w:szCs w:val="20"/>
        </w:rPr>
      </w:pPr>
      <w:r>
        <w:rPr>
          <w:rFonts w:asciiTheme="majorHAnsi" w:hAnsiTheme="majorHAnsi" w:cstheme="majorHAnsi"/>
          <w:b/>
          <w:bCs/>
          <w:szCs w:val="20"/>
        </w:rPr>
        <w:br w:type="page"/>
      </w:r>
    </w:p>
    <w:p w14:paraId="37533384" w14:textId="77777777" w:rsidR="00054367" w:rsidRDefault="00054367" w:rsidP="002467E6">
      <w:pPr>
        <w:rPr>
          <w:rFonts w:asciiTheme="majorHAnsi" w:hAnsiTheme="majorHAnsi" w:cstheme="majorHAnsi"/>
          <w:b/>
          <w:bCs/>
          <w:szCs w:val="20"/>
        </w:rPr>
      </w:pPr>
    </w:p>
    <w:p w14:paraId="22748DE2" w14:textId="1BF81324" w:rsidR="00D866AB" w:rsidRPr="00D866AB" w:rsidRDefault="00D866AB" w:rsidP="00DA466A">
      <w:pPr>
        <w:pStyle w:val="Heading3"/>
      </w:pPr>
      <w:r w:rsidRPr="00D866AB">
        <w:t>Mining Activity</w:t>
      </w:r>
      <w:r w:rsidR="00A45D68">
        <w:t xml:space="preserve"> and </w:t>
      </w:r>
      <w:r w:rsidRPr="00D866AB">
        <w:t>Implications</w:t>
      </w:r>
      <w:r w:rsidR="00A45D68">
        <w:t xml:space="preserve"> for Australian METS</w:t>
      </w:r>
    </w:p>
    <w:p w14:paraId="56F61C96" w14:textId="77777777" w:rsidR="00657B28" w:rsidRDefault="00657B28" w:rsidP="00657B28">
      <w:r>
        <w:t>Türkiye’s mining and minerals industry is geographically distributed. Western Türkiye contains the principal boron complexes and several major gold operations; copper and base-metals assets extend through northern and eastern belts; and central Türkiye contains Öksüt and the Beylikova rare-earth pilot and proposed industrial development.</w:t>
      </w:r>
    </w:p>
    <w:p w14:paraId="1E974E4F" w14:textId="3AB38FEB" w:rsidR="00A45D68" w:rsidRDefault="00A45D68" w:rsidP="00A45D68">
      <w:r>
        <w:t xml:space="preserve">Operating mines and processing complexes provide the clearest </w:t>
      </w:r>
      <w:r w:rsidR="00657B28">
        <w:t>near-term opportunities. Demand aligns with recovery</w:t>
      </w:r>
      <w:r>
        <w:t xml:space="preserve"> and </w:t>
      </w:r>
      <w:r w:rsidR="00657B28">
        <w:t xml:space="preserve">throughput improvements, underground productivity, water management, fleet performance and plant reliability. Reference sites, </w:t>
      </w:r>
      <w:r>
        <w:t>lifecycle value</w:t>
      </w:r>
      <w:r w:rsidR="00657B28">
        <w:t xml:space="preserve"> and</w:t>
      </w:r>
      <w:r>
        <w:t xml:space="preserve"> commissioning</w:t>
      </w:r>
      <w:r w:rsidR="00657B28">
        <w:t>, training</w:t>
      </w:r>
      <w:r>
        <w:t xml:space="preserve"> and after-sales support</w:t>
      </w:r>
      <w:r w:rsidR="00657B28">
        <w:t xml:space="preserve"> help specialist suppliers compete within this established market.</w:t>
      </w:r>
      <w:r>
        <w:t xml:space="preserve"> Coal-related opportunities </w:t>
      </w:r>
      <w:r w:rsidR="00657B28">
        <w:t>require separate consideration of the</w:t>
      </w:r>
      <w:r>
        <w:t xml:space="preserve"> customer, </w:t>
      </w:r>
      <w:r w:rsidR="00657B28">
        <w:t xml:space="preserve">funding, </w:t>
      </w:r>
      <w:r>
        <w:t>policy and emissions context.</w:t>
      </w:r>
    </w:p>
    <w:p w14:paraId="28A4C0AD" w14:textId="77777777" w:rsidR="00657B28" w:rsidRDefault="00657B28" w:rsidP="00657B28"/>
    <w:tbl>
      <w:tblPr>
        <w:tblStyle w:val="TableGrid"/>
        <w:tblW w:w="9039" w:type="dxa"/>
        <w:tblLayout w:type="fixed"/>
        <w:tblCellMar>
          <w:top w:w="57" w:type="dxa"/>
          <w:bottom w:w="57" w:type="dxa"/>
        </w:tblCellMar>
        <w:tblLook w:val="04A0" w:firstRow="1" w:lastRow="0" w:firstColumn="1" w:lastColumn="0" w:noHBand="0" w:noVBand="1"/>
      </w:tblPr>
      <w:tblGrid>
        <w:gridCol w:w="1731"/>
        <w:gridCol w:w="3077"/>
        <w:gridCol w:w="4231"/>
      </w:tblGrid>
      <w:tr w:rsidR="00EA1D7B" w14:paraId="6501A606" w14:textId="77777777" w:rsidTr="0023213C">
        <w:trPr>
          <w:trHeight w:val="252"/>
        </w:trPr>
        <w:tc>
          <w:tcPr>
            <w:tcW w:w="1731" w:type="dxa"/>
            <w:shd w:val="clear" w:color="auto" w:fill="173F34" w:themeFill="accent1"/>
            <w:vAlign w:val="center"/>
          </w:tcPr>
          <w:p w14:paraId="61042ED1" w14:textId="1C14B4E4" w:rsidR="00EA1D7B" w:rsidRPr="00DA466A" w:rsidRDefault="00EA1D7B" w:rsidP="0023213C">
            <w:pPr>
              <w:spacing w:after="40"/>
              <w:rPr>
                <w:sz w:val="16"/>
                <w:szCs w:val="16"/>
              </w:rPr>
            </w:pPr>
            <w:r w:rsidRPr="00DA466A">
              <w:rPr>
                <w:b/>
                <w:sz w:val="16"/>
                <w:szCs w:val="16"/>
              </w:rPr>
              <w:t>Opportunity</w:t>
            </w:r>
          </w:p>
        </w:tc>
        <w:tc>
          <w:tcPr>
            <w:tcW w:w="3077" w:type="dxa"/>
            <w:shd w:val="clear" w:color="auto" w:fill="173F34" w:themeFill="accent1"/>
            <w:vAlign w:val="center"/>
          </w:tcPr>
          <w:p w14:paraId="7884FD43" w14:textId="134C4416" w:rsidR="00EA1D7B" w:rsidRPr="00DA466A" w:rsidRDefault="00EA1D7B" w:rsidP="0023213C">
            <w:pPr>
              <w:spacing w:after="40"/>
              <w:rPr>
                <w:sz w:val="16"/>
                <w:szCs w:val="16"/>
              </w:rPr>
            </w:pPr>
            <w:r w:rsidRPr="00DA466A">
              <w:rPr>
                <w:b/>
                <w:sz w:val="16"/>
                <w:szCs w:val="16"/>
              </w:rPr>
              <w:t>Status</w:t>
            </w:r>
          </w:p>
        </w:tc>
        <w:tc>
          <w:tcPr>
            <w:tcW w:w="4231" w:type="dxa"/>
            <w:shd w:val="clear" w:color="auto" w:fill="173F34" w:themeFill="accent1"/>
            <w:vAlign w:val="center"/>
          </w:tcPr>
          <w:p w14:paraId="20F4DE6A" w14:textId="01876CA4" w:rsidR="00EA1D7B" w:rsidRPr="00DA466A" w:rsidRDefault="00EA1D7B" w:rsidP="0023213C">
            <w:pPr>
              <w:spacing w:after="40"/>
              <w:rPr>
                <w:sz w:val="16"/>
                <w:szCs w:val="16"/>
              </w:rPr>
            </w:pPr>
            <w:r w:rsidRPr="00DA466A">
              <w:rPr>
                <w:b/>
                <w:sz w:val="16"/>
                <w:szCs w:val="16"/>
              </w:rPr>
              <w:t>Australian METS alignment</w:t>
            </w:r>
          </w:p>
        </w:tc>
      </w:tr>
      <w:tr w:rsidR="00121B97" w14:paraId="596BF620" w14:textId="77777777" w:rsidTr="0023213C">
        <w:trPr>
          <w:trHeight w:val="894"/>
        </w:trPr>
        <w:tc>
          <w:tcPr>
            <w:tcW w:w="1731" w:type="dxa"/>
          </w:tcPr>
          <w:p w14:paraId="0B4B2254" w14:textId="77777777" w:rsidR="00121B97" w:rsidRPr="00DA466A" w:rsidRDefault="00121B97" w:rsidP="00121B97">
            <w:pPr>
              <w:spacing w:after="40"/>
              <w:rPr>
                <w:sz w:val="16"/>
                <w:szCs w:val="16"/>
              </w:rPr>
            </w:pPr>
            <w:r w:rsidRPr="00DA466A">
              <w:rPr>
                <w:sz w:val="16"/>
                <w:szCs w:val="16"/>
              </w:rPr>
              <w:t>Eti Maden boron system</w:t>
            </w:r>
          </w:p>
        </w:tc>
        <w:tc>
          <w:tcPr>
            <w:tcW w:w="3077" w:type="dxa"/>
          </w:tcPr>
          <w:p w14:paraId="5C70B2D3" w14:textId="2AF1ABF5" w:rsidR="00121B97" w:rsidRPr="00DA466A" w:rsidRDefault="00121B97" w:rsidP="00121B97">
            <w:pPr>
              <w:spacing w:after="40"/>
              <w:rPr>
                <w:sz w:val="16"/>
                <w:szCs w:val="16"/>
              </w:rPr>
            </w:pPr>
            <w:r w:rsidRPr="00DA466A">
              <w:rPr>
                <w:sz w:val="16"/>
                <w:szCs w:val="16"/>
              </w:rPr>
              <w:t>Kırka, Emet, Bigadiç and Bandırma form a linked mining, processing and downstream system.</w:t>
            </w:r>
            <w:r w:rsidRPr="00DA466A">
              <w:rPr>
                <w:sz w:val="16"/>
                <w:szCs w:val="16"/>
                <w:vertAlign w:val="superscript"/>
              </w:rPr>
              <w:t>[3]</w:t>
            </w:r>
          </w:p>
        </w:tc>
        <w:tc>
          <w:tcPr>
            <w:tcW w:w="4231" w:type="dxa"/>
          </w:tcPr>
          <w:p w14:paraId="6A893F56" w14:textId="0ABB9AA0" w:rsidR="00121B97" w:rsidRPr="00DA466A" w:rsidRDefault="00121B97" w:rsidP="00121B97">
            <w:pPr>
              <w:spacing w:after="40"/>
              <w:rPr>
                <w:sz w:val="16"/>
                <w:szCs w:val="16"/>
              </w:rPr>
            </w:pPr>
            <w:r w:rsidRPr="00DA466A">
              <w:rPr>
                <w:sz w:val="16"/>
                <w:szCs w:val="16"/>
              </w:rPr>
              <w:t>Beneficiation, process control, automation, energy, maintenance, materials handling and downstream technology.</w:t>
            </w:r>
            <w:r w:rsidRPr="00DA466A">
              <w:rPr>
                <w:sz w:val="16"/>
                <w:szCs w:val="16"/>
                <w:vertAlign w:val="superscript"/>
              </w:rPr>
              <w:t>[4]</w:t>
            </w:r>
          </w:p>
        </w:tc>
      </w:tr>
      <w:tr w:rsidR="00121B97" w14:paraId="750A5F1A" w14:textId="77777777" w:rsidTr="0023213C">
        <w:trPr>
          <w:trHeight w:val="1105"/>
        </w:trPr>
        <w:tc>
          <w:tcPr>
            <w:tcW w:w="1731" w:type="dxa"/>
          </w:tcPr>
          <w:p w14:paraId="1DCE0EA1" w14:textId="63026BD3" w:rsidR="00121B97" w:rsidRPr="00DA466A" w:rsidRDefault="00121B97" w:rsidP="00121B97">
            <w:pPr>
              <w:spacing w:after="40"/>
              <w:rPr>
                <w:sz w:val="16"/>
                <w:szCs w:val="16"/>
              </w:rPr>
            </w:pPr>
            <w:r w:rsidRPr="00DA466A">
              <w:rPr>
                <w:sz w:val="16"/>
                <w:szCs w:val="16"/>
              </w:rPr>
              <w:t>Eldorado Gold Kışladağ and Efemçukuru</w:t>
            </w:r>
          </w:p>
        </w:tc>
        <w:tc>
          <w:tcPr>
            <w:tcW w:w="3077" w:type="dxa"/>
          </w:tcPr>
          <w:p w14:paraId="05140AA3" w14:textId="3D8D03D5" w:rsidR="00121B97" w:rsidRPr="00DA466A" w:rsidRDefault="00121B97" w:rsidP="00121B97">
            <w:pPr>
              <w:spacing w:after="40"/>
              <w:rPr>
                <w:sz w:val="16"/>
                <w:szCs w:val="16"/>
              </w:rPr>
            </w:pPr>
            <w:r w:rsidRPr="00DA466A">
              <w:rPr>
                <w:sz w:val="16"/>
                <w:szCs w:val="16"/>
              </w:rPr>
              <w:t>Operating mines with funded heap-leach, water, pit and underground work in 2026.</w:t>
            </w:r>
          </w:p>
        </w:tc>
        <w:tc>
          <w:tcPr>
            <w:tcW w:w="4231" w:type="dxa"/>
          </w:tcPr>
          <w:p w14:paraId="6CE8C204" w14:textId="4B99411C" w:rsidR="00121B97" w:rsidRPr="00DA466A" w:rsidRDefault="00121B97" w:rsidP="00121B97">
            <w:pPr>
              <w:spacing w:after="40"/>
              <w:rPr>
                <w:sz w:val="16"/>
                <w:szCs w:val="16"/>
              </w:rPr>
            </w:pPr>
            <w:r w:rsidRPr="00DA466A">
              <w:rPr>
                <w:sz w:val="16"/>
                <w:szCs w:val="16"/>
              </w:rPr>
              <w:t>Recovery, water, geometallurgy, fleet, underground safety, communications, workforce capability, maintenance and process optimisation.</w:t>
            </w:r>
          </w:p>
        </w:tc>
      </w:tr>
      <w:tr w:rsidR="00121B97" w14:paraId="69AFD11D" w14:textId="77777777" w:rsidTr="0023213C">
        <w:trPr>
          <w:trHeight w:val="1527"/>
        </w:trPr>
        <w:tc>
          <w:tcPr>
            <w:tcW w:w="1731" w:type="dxa"/>
          </w:tcPr>
          <w:p w14:paraId="29EF4FC6" w14:textId="77777777" w:rsidR="00121B97" w:rsidRPr="00DA466A" w:rsidRDefault="00121B97" w:rsidP="00121B97">
            <w:pPr>
              <w:spacing w:after="40"/>
              <w:rPr>
                <w:sz w:val="16"/>
                <w:szCs w:val="16"/>
              </w:rPr>
            </w:pPr>
            <w:r w:rsidRPr="00DA466A">
              <w:rPr>
                <w:sz w:val="16"/>
                <w:szCs w:val="16"/>
              </w:rPr>
              <w:t>Gediktepe / western gold cluster</w:t>
            </w:r>
          </w:p>
        </w:tc>
        <w:tc>
          <w:tcPr>
            <w:tcW w:w="3077" w:type="dxa"/>
          </w:tcPr>
          <w:p w14:paraId="5CD424FC" w14:textId="78B37A1C" w:rsidR="00121B97" w:rsidRPr="00DA466A" w:rsidRDefault="00121B97" w:rsidP="00121B97">
            <w:pPr>
              <w:spacing w:after="40"/>
              <w:rPr>
                <w:sz w:val="16"/>
                <w:szCs w:val="16"/>
              </w:rPr>
            </w:pPr>
            <w:r w:rsidRPr="00DA466A">
              <w:rPr>
                <w:sz w:val="16"/>
                <w:szCs w:val="16"/>
              </w:rPr>
              <w:t>Gediktepe produced first copper concentrate on 31 August 2026 and is ramping up the sulphide circuit; İvrindi and Lapseki are established Turkish-operated assets.</w:t>
            </w:r>
            <w:r w:rsidRPr="00DA466A">
              <w:rPr>
                <w:sz w:val="16"/>
                <w:szCs w:val="16"/>
                <w:vertAlign w:val="superscript"/>
              </w:rPr>
              <w:t>[19]</w:t>
            </w:r>
          </w:p>
        </w:tc>
        <w:tc>
          <w:tcPr>
            <w:tcW w:w="4231" w:type="dxa"/>
          </w:tcPr>
          <w:p w14:paraId="519BD161" w14:textId="49B4C958" w:rsidR="00121B97" w:rsidRPr="00DA466A" w:rsidRDefault="00121B97" w:rsidP="00121B97">
            <w:pPr>
              <w:spacing w:after="40"/>
              <w:rPr>
                <w:sz w:val="16"/>
                <w:szCs w:val="16"/>
              </w:rPr>
            </w:pPr>
            <w:r w:rsidRPr="00DA466A">
              <w:rPr>
                <w:sz w:val="16"/>
                <w:szCs w:val="16"/>
              </w:rPr>
              <w:t>Ramp-up optimisation, flotation, concentrate handling, wear, maintenance, fleet, water and environmental systems.</w:t>
            </w:r>
          </w:p>
        </w:tc>
      </w:tr>
      <w:tr w:rsidR="00121B97" w14:paraId="7C98A8E2" w14:textId="77777777" w:rsidTr="0023213C">
        <w:trPr>
          <w:trHeight w:val="894"/>
        </w:trPr>
        <w:tc>
          <w:tcPr>
            <w:tcW w:w="1731" w:type="dxa"/>
          </w:tcPr>
          <w:p w14:paraId="18F63016" w14:textId="10A00B27" w:rsidR="00121B97" w:rsidRPr="00DA466A" w:rsidRDefault="00121B97" w:rsidP="00121B97">
            <w:pPr>
              <w:spacing w:after="40"/>
              <w:rPr>
                <w:sz w:val="16"/>
                <w:szCs w:val="16"/>
              </w:rPr>
            </w:pPr>
            <w:r w:rsidRPr="00DA466A">
              <w:rPr>
                <w:sz w:val="16"/>
                <w:szCs w:val="16"/>
              </w:rPr>
              <w:t>Centerra Gold Inc. - Öksüt</w:t>
            </w:r>
          </w:p>
        </w:tc>
        <w:tc>
          <w:tcPr>
            <w:tcW w:w="3077" w:type="dxa"/>
          </w:tcPr>
          <w:p w14:paraId="379F7AB5" w14:textId="1EAA143F" w:rsidR="00121B97" w:rsidRPr="00DA466A" w:rsidRDefault="00121B97" w:rsidP="00121B97">
            <w:pPr>
              <w:spacing w:after="40"/>
              <w:rPr>
                <w:sz w:val="16"/>
                <w:szCs w:val="16"/>
              </w:rPr>
            </w:pPr>
            <w:r w:rsidRPr="00DA466A">
              <w:rPr>
                <w:sz w:val="16"/>
                <w:szCs w:val="16"/>
              </w:rPr>
              <w:t>Operating heap-leach mine with life-of-mine optimisation study expected in early 2027.</w:t>
            </w:r>
          </w:p>
        </w:tc>
        <w:tc>
          <w:tcPr>
            <w:tcW w:w="4231" w:type="dxa"/>
          </w:tcPr>
          <w:p w14:paraId="7C334CDD" w14:textId="4C6F6216" w:rsidR="00121B97" w:rsidRPr="00DA466A" w:rsidRDefault="00121B97" w:rsidP="00121B97">
            <w:pPr>
              <w:spacing w:after="40"/>
              <w:rPr>
                <w:sz w:val="16"/>
                <w:szCs w:val="16"/>
              </w:rPr>
            </w:pPr>
            <w:r w:rsidRPr="00DA466A">
              <w:rPr>
                <w:sz w:val="16"/>
                <w:szCs w:val="16"/>
              </w:rPr>
              <w:t>Residual recovery, solution management, low-grade ore, water, closure and monitoring.</w:t>
            </w:r>
          </w:p>
        </w:tc>
      </w:tr>
      <w:tr w:rsidR="00121B97" w14:paraId="44DD9645" w14:textId="77777777" w:rsidTr="0023213C">
        <w:trPr>
          <w:trHeight w:val="1105"/>
        </w:trPr>
        <w:tc>
          <w:tcPr>
            <w:tcW w:w="1731" w:type="dxa"/>
          </w:tcPr>
          <w:p w14:paraId="0793E4F5" w14:textId="6666BF1C" w:rsidR="00121B97" w:rsidRPr="00DA466A" w:rsidRDefault="00121B97" w:rsidP="00121B97">
            <w:pPr>
              <w:spacing w:after="40"/>
              <w:rPr>
                <w:sz w:val="16"/>
                <w:szCs w:val="16"/>
              </w:rPr>
            </w:pPr>
            <w:r w:rsidRPr="00DA466A">
              <w:rPr>
                <w:sz w:val="16"/>
                <w:szCs w:val="16"/>
              </w:rPr>
              <w:t>Cengiz Holding - Çayeli</w:t>
            </w:r>
          </w:p>
        </w:tc>
        <w:tc>
          <w:tcPr>
            <w:tcW w:w="3077" w:type="dxa"/>
          </w:tcPr>
          <w:p w14:paraId="4FC35269" w14:textId="3192A8D9" w:rsidR="00121B97" w:rsidRPr="00DA466A" w:rsidRDefault="00121B97" w:rsidP="00121B97">
            <w:pPr>
              <w:spacing w:after="40"/>
              <w:rPr>
                <w:sz w:val="16"/>
                <w:szCs w:val="16"/>
              </w:rPr>
            </w:pPr>
            <w:r w:rsidRPr="00DA466A">
              <w:rPr>
                <w:sz w:val="16"/>
                <w:szCs w:val="16"/>
              </w:rPr>
              <w:t>Operating underground copper-zinc mine with recent South Orebody work reported to extend mine life to 2036.</w:t>
            </w:r>
            <w:r w:rsidRPr="00DA466A">
              <w:rPr>
                <w:sz w:val="16"/>
                <w:szCs w:val="16"/>
                <w:vertAlign w:val="superscript"/>
              </w:rPr>
              <w:t>[21][27]</w:t>
            </w:r>
          </w:p>
        </w:tc>
        <w:tc>
          <w:tcPr>
            <w:tcW w:w="4231" w:type="dxa"/>
          </w:tcPr>
          <w:p w14:paraId="133D63F5" w14:textId="3CB314F9" w:rsidR="00121B97" w:rsidRPr="00DA466A" w:rsidRDefault="00121B97" w:rsidP="00121B97">
            <w:pPr>
              <w:spacing w:after="40"/>
              <w:rPr>
                <w:sz w:val="16"/>
                <w:szCs w:val="16"/>
              </w:rPr>
            </w:pPr>
            <w:r w:rsidRPr="00DA466A">
              <w:rPr>
                <w:sz w:val="16"/>
                <w:szCs w:val="16"/>
              </w:rPr>
              <w:t>Underground systems, processing, asset transition, reliability, water and mine-life support.</w:t>
            </w:r>
          </w:p>
        </w:tc>
      </w:tr>
      <w:tr w:rsidR="00121B97" w14:paraId="05F5FBB4" w14:textId="77777777" w:rsidTr="0023213C">
        <w:trPr>
          <w:trHeight w:val="1105"/>
        </w:trPr>
        <w:tc>
          <w:tcPr>
            <w:tcW w:w="1731" w:type="dxa"/>
          </w:tcPr>
          <w:p w14:paraId="03DAA5FE" w14:textId="77777777" w:rsidR="00121B97" w:rsidRPr="00DA466A" w:rsidRDefault="00121B97" w:rsidP="00121B97">
            <w:pPr>
              <w:spacing w:after="40"/>
              <w:rPr>
                <w:sz w:val="16"/>
                <w:szCs w:val="16"/>
              </w:rPr>
            </w:pPr>
            <w:r w:rsidRPr="00DA466A">
              <w:rPr>
                <w:sz w:val="16"/>
                <w:szCs w:val="16"/>
              </w:rPr>
              <w:t>Beylikova rare earths</w:t>
            </w:r>
          </w:p>
        </w:tc>
        <w:tc>
          <w:tcPr>
            <w:tcW w:w="3077" w:type="dxa"/>
          </w:tcPr>
          <w:p w14:paraId="761EBB57" w14:textId="3834338F" w:rsidR="00121B97" w:rsidRPr="00DA466A" w:rsidRDefault="00121B97" w:rsidP="00121B97">
            <w:pPr>
              <w:spacing w:after="40"/>
              <w:rPr>
                <w:sz w:val="16"/>
                <w:szCs w:val="16"/>
              </w:rPr>
            </w:pPr>
            <w:r w:rsidRPr="00DA466A">
              <w:rPr>
                <w:sz w:val="16"/>
                <w:szCs w:val="16"/>
              </w:rPr>
              <w:t>Pilot plant operating; government states an intention to scale toward an industrial refining facility.</w:t>
            </w:r>
            <w:r w:rsidRPr="00DA466A">
              <w:rPr>
                <w:sz w:val="16"/>
                <w:szCs w:val="16"/>
                <w:vertAlign w:val="superscript"/>
              </w:rPr>
              <w:t>[24]</w:t>
            </w:r>
          </w:p>
        </w:tc>
        <w:tc>
          <w:tcPr>
            <w:tcW w:w="4231" w:type="dxa"/>
          </w:tcPr>
          <w:p w14:paraId="1405F00B" w14:textId="4402B61C" w:rsidR="00121B97" w:rsidRPr="00DA466A" w:rsidRDefault="00121B97" w:rsidP="00121B97">
            <w:pPr>
              <w:spacing w:after="40"/>
              <w:rPr>
                <w:sz w:val="16"/>
                <w:szCs w:val="16"/>
              </w:rPr>
            </w:pPr>
            <w:r w:rsidRPr="00DA466A">
              <w:rPr>
                <w:sz w:val="16"/>
                <w:szCs w:val="16"/>
              </w:rPr>
              <w:t>Testwork, separation, process control, water, residues, laboratories and commissioning.</w:t>
            </w:r>
          </w:p>
        </w:tc>
      </w:tr>
      <w:tr w:rsidR="00121B97" w14:paraId="0DBAFC80" w14:textId="77777777" w:rsidTr="0023213C">
        <w:trPr>
          <w:trHeight w:val="1105"/>
        </w:trPr>
        <w:tc>
          <w:tcPr>
            <w:tcW w:w="1731" w:type="dxa"/>
          </w:tcPr>
          <w:p w14:paraId="48C5EAED" w14:textId="77777777" w:rsidR="00121B97" w:rsidRPr="00DA466A" w:rsidRDefault="00121B97" w:rsidP="00121B97">
            <w:pPr>
              <w:spacing w:after="40"/>
              <w:rPr>
                <w:sz w:val="16"/>
                <w:szCs w:val="16"/>
              </w:rPr>
            </w:pPr>
            <w:r w:rsidRPr="00DA466A">
              <w:rPr>
                <w:sz w:val="16"/>
                <w:szCs w:val="16"/>
              </w:rPr>
              <w:t>Coal and industrial minerals</w:t>
            </w:r>
          </w:p>
        </w:tc>
        <w:tc>
          <w:tcPr>
            <w:tcW w:w="3077" w:type="dxa"/>
          </w:tcPr>
          <w:p w14:paraId="6BD26B53" w14:textId="25B1275B" w:rsidR="00121B97" w:rsidRPr="00DA466A" w:rsidRDefault="00121B97" w:rsidP="00121B97">
            <w:pPr>
              <w:spacing w:after="40"/>
              <w:rPr>
                <w:sz w:val="16"/>
                <w:szCs w:val="16"/>
              </w:rPr>
            </w:pPr>
            <w:r w:rsidRPr="00DA466A">
              <w:rPr>
                <w:sz w:val="16"/>
                <w:szCs w:val="16"/>
              </w:rPr>
              <w:t>Large operating districts remain part of the mining system but differ in policy, emissions and capital context.</w:t>
            </w:r>
          </w:p>
        </w:tc>
        <w:tc>
          <w:tcPr>
            <w:tcW w:w="4231" w:type="dxa"/>
          </w:tcPr>
          <w:p w14:paraId="026C3835" w14:textId="57AF728F" w:rsidR="00121B97" w:rsidRPr="00DA466A" w:rsidRDefault="00121B97" w:rsidP="00121B97">
            <w:pPr>
              <w:spacing w:after="40"/>
              <w:rPr>
                <w:sz w:val="16"/>
                <w:szCs w:val="16"/>
              </w:rPr>
            </w:pPr>
            <w:r w:rsidRPr="00DA466A">
              <w:rPr>
                <w:sz w:val="16"/>
                <w:szCs w:val="16"/>
              </w:rPr>
              <w:t>Safety, ventilation, conveyors, rehabilitation, water, dust and emissions monitoring.</w:t>
            </w:r>
          </w:p>
        </w:tc>
      </w:tr>
    </w:tbl>
    <w:p w14:paraId="6233EC09" w14:textId="77777777" w:rsidR="00517377" w:rsidRDefault="00517377" w:rsidP="00DA466A">
      <w:pPr>
        <w:pStyle w:val="Heading3"/>
      </w:pPr>
      <w:r>
        <w:lastRenderedPageBreak/>
        <w:t>Market expansion and exploration activity</w:t>
      </w:r>
    </w:p>
    <w:p w14:paraId="571BDCD1" w14:textId="77777777" w:rsidR="00A30EF4" w:rsidRPr="00A30EF4" w:rsidRDefault="00A30EF4" w:rsidP="007A16A4">
      <w:pPr>
        <w:rPr>
          <w:b/>
          <w:bCs/>
        </w:rPr>
      </w:pPr>
      <w:r w:rsidRPr="00A30EF4">
        <w:t>Investment includes expansion and optimisation at existing operations, alongside exploration. Kışladağ’s heap-leach improvements and Efemçukuru’s underground development differ from Gediktepe’s sulphide ramp-up and Öksüt’s life-of-mine study.</w:t>
      </w:r>
      <w:r w:rsidRPr="00CE6EE6">
        <w:rPr>
          <w:vertAlign w:val="superscript"/>
        </w:rPr>
        <w:t>[18][19][20]</w:t>
      </w:r>
      <w:r w:rsidRPr="00A30EF4">
        <w:t xml:space="preserve"> Eldorado’s 2026 guidance also includes resource-growth and discovery programs in Türkiye, supporting potential demand for exploration services.</w:t>
      </w:r>
      <w:r w:rsidRPr="00CE6EE6">
        <w:rPr>
          <w:vertAlign w:val="superscript"/>
        </w:rPr>
        <w:t>[18]</w:t>
      </w:r>
      <w:r w:rsidRPr="00A30EF4">
        <w:t xml:space="preserve"> </w:t>
      </w:r>
    </w:p>
    <w:p w14:paraId="62F31178" w14:textId="77777777" w:rsidR="00A30EF4" w:rsidRPr="00A30EF4" w:rsidRDefault="00A30EF4" w:rsidP="007A16A4">
      <w:pPr>
        <w:rPr>
          <w:b/>
          <w:bCs/>
        </w:rPr>
      </w:pPr>
      <w:r w:rsidRPr="00A30EF4">
        <w:t>Law No. 7554, adopted in July 2025, amended the Mining Law and related environmental legislation. It introduced decision periods for specified permissions, a rehabilitation-fee account and an investment guarantee for licence applications. The changes affect project timing and licence-holder obligations.</w:t>
      </w:r>
      <w:r w:rsidRPr="00CE6EE6">
        <w:rPr>
          <w:vertAlign w:val="superscript"/>
        </w:rPr>
        <w:t>[15]</w:t>
      </w:r>
    </w:p>
    <w:p w14:paraId="0D6DE1B7" w14:textId="77777777" w:rsidR="00A30EF4" w:rsidRDefault="00A30EF4" w:rsidP="007A16A4">
      <w:pPr>
        <w:rPr>
          <w:b/>
          <w:bCs/>
        </w:rPr>
      </w:pPr>
      <w:r w:rsidRPr="00A30EF4">
        <w:t xml:space="preserve">Beylikova remains a pilot operation, with industrial scale-up awaiting funding, design and procurement clarity. Hod Maden is now with Lidya Mines after SSR Mining’s July 2026 sale; confirm its financing and buying route. Çöpler remains suspended and was sold to Cengiz Holding in June 2026; it is not a current operating procurement account. Çayeli’s ownership change calls for a fresh supplier-qualification check. </w:t>
      </w:r>
      <w:r w:rsidRPr="00CE6EE6">
        <w:rPr>
          <w:vertAlign w:val="superscript"/>
        </w:rPr>
        <w:t>[21][22][23][24][27][28]</w:t>
      </w:r>
    </w:p>
    <w:p w14:paraId="348C73BD" w14:textId="0D3A3773" w:rsidR="00655FBB" w:rsidRDefault="00655FBB" w:rsidP="00DA466A">
      <w:pPr>
        <w:pStyle w:val="Heading3"/>
      </w:pPr>
      <w:r>
        <w:t>Key Projects</w:t>
      </w:r>
    </w:p>
    <w:tbl>
      <w:tblPr>
        <w:tblStyle w:val="TableGrid"/>
        <w:tblW w:w="10080" w:type="dxa"/>
        <w:tblLayout w:type="fixed"/>
        <w:tblCellMar>
          <w:top w:w="57" w:type="dxa"/>
          <w:bottom w:w="57" w:type="dxa"/>
        </w:tblCellMar>
        <w:tblLook w:val="04A0" w:firstRow="1" w:lastRow="0" w:firstColumn="1" w:lastColumn="0" w:noHBand="0" w:noVBand="1"/>
      </w:tblPr>
      <w:tblGrid>
        <w:gridCol w:w="2016"/>
        <w:gridCol w:w="3813"/>
        <w:gridCol w:w="4251"/>
      </w:tblGrid>
      <w:tr w:rsidR="00655FBB" w14:paraId="4EF5B9E0" w14:textId="77777777" w:rsidTr="0023213C">
        <w:tc>
          <w:tcPr>
            <w:tcW w:w="2016" w:type="dxa"/>
            <w:shd w:val="clear" w:color="auto" w:fill="173F34" w:themeFill="accent1"/>
            <w:vAlign w:val="center"/>
          </w:tcPr>
          <w:p w14:paraId="0B40F839" w14:textId="77777777" w:rsidR="00655FBB" w:rsidRPr="00AB78F5" w:rsidRDefault="00655FBB" w:rsidP="0023213C">
            <w:pPr>
              <w:spacing w:after="100"/>
              <w:rPr>
                <w:sz w:val="16"/>
                <w:szCs w:val="20"/>
              </w:rPr>
            </w:pPr>
            <w:r w:rsidRPr="00AB78F5">
              <w:rPr>
                <w:b/>
                <w:sz w:val="16"/>
                <w:szCs w:val="20"/>
              </w:rPr>
              <w:t>Project</w:t>
            </w:r>
          </w:p>
        </w:tc>
        <w:tc>
          <w:tcPr>
            <w:tcW w:w="3813" w:type="dxa"/>
            <w:shd w:val="clear" w:color="auto" w:fill="173F34" w:themeFill="accent1"/>
            <w:vAlign w:val="center"/>
          </w:tcPr>
          <w:p w14:paraId="567F5F06" w14:textId="77777777" w:rsidR="00655FBB" w:rsidRPr="00AB78F5" w:rsidRDefault="00655FBB" w:rsidP="0023213C">
            <w:pPr>
              <w:spacing w:after="100"/>
              <w:rPr>
                <w:sz w:val="16"/>
                <w:szCs w:val="20"/>
              </w:rPr>
            </w:pPr>
            <w:r w:rsidRPr="00AB78F5">
              <w:rPr>
                <w:b/>
                <w:sz w:val="16"/>
                <w:szCs w:val="20"/>
              </w:rPr>
              <w:t>Overview</w:t>
            </w:r>
          </w:p>
        </w:tc>
        <w:tc>
          <w:tcPr>
            <w:tcW w:w="4251" w:type="dxa"/>
            <w:shd w:val="clear" w:color="auto" w:fill="173F34" w:themeFill="accent1"/>
            <w:vAlign w:val="center"/>
          </w:tcPr>
          <w:p w14:paraId="6F6D4B7C" w14:textId="77777777" w:rsidR="00655FBB" w:rsidRPr="00AB78F5" w:rsidRDefault="00655FBB" w:rsidP="0023213C">
            <w:pPr>
              <w:spacing w:after="100"/>
              <w:rPr>
                <w:sz w:val="16"/>
                <w:szCs w:val="20"/>
              </w:rPr>
            </w:pPr>
            <w:r w:rsidRPr="00AB78F5">
              <w:rPr>
                <w:b/>
                <w:sz w:val="16"/>
                <w:szCs w:val="20"/>
              </w:rPr>
              <w:t>METS opportunity</w:t>
            </w:r>
          </w:p>
        </w:tc>
      </w:tr>
      <w:tr w:rsidR="00A91618" w14:paraId="0D908544" w14:textId="77777777" w:rsidTr="0023213C">
        <w:tc>
          <w:tcPr>
            <w:tcW w:w="2016" w:type="dxa"/>
          </w:tcPr>
          <w:p w14:paraId="43E89A85" w14:textId="2D7EF790" w:rsidR="00A91618" w:rsidRPr="004522F1" w:rsidRDefault="00A91618" w:rsidP="00A91618">
            <w:pPr>
              <w:spacing w:after="100"/>
              <w:rPr>
                <w:sz w:val="16"/>
                <w:szCs w:val="16"/>
              </w:rPr>
            </w:pPr>
            <w:r w:rsidRPr="004522F1">
              <w:rPr>
                <w:sz w:val="16"/>
                <w:szCs w:val="16"/>
              </w:rPr>
              <w:t>Kışladağ - Tüprag Metal Madencilik, a subsidiary of Eldorado Gold Corporation</w:t>
            </w:r>
          </w:p>
        </w:tc>
        <w:tc>
          <w:tcPr>
            <w:tcW w:w="3813" w:type="dxa"/>
          </w:tcPr>
          <w:p w14:paraId="4D7CB97B" w14:textId="4ACFE8A6" w:rsidR="00A91618" w:rsidRPr="004522F1" w:rsidRDefault="00A91618" w:rsidP="00A91618">
            <w:pPr>
              <w:spacing w:after="100"/>
              <w:rPr>
                <w:sz w:val="16"/>
                <w:szCs w:val="16"/>
              </w:rPr>
            </w:pPr>
            <w:r w:rsidRPr="004522F1">
              <w:rPr>
                <w:sz w:val="16"/>
                <w:szCs w:val="16"/>
              </w:rPr>
              <w:t>Kışladağ is a large, low-grade porphyry gold deposit with mining via open-pit methods and processing using crushing and heap leaching. It produced 168,701 ounces of gold in 2025 and reports a 13-year reserve life to 2038.</w:t>
            </w:r>
            <w:r w:rsidRPr="00CE6EE6">
              <w:rPr>
                <w:sz w:val="16"/>
                <w:szCs w:val="16"/>
                <w:vertAlign w:val="superscript"/>
              </w:rPr>
              <w:t>[17][18][5]</w:t>
            </w:r>
          </w:p>
        </w:tc>
        <w:tc>
          <w:tcPr>
            <w:tcW w:w="4251" w:type="dxa"/>
          </w:tcPr>
          <w:p w14:paraId="44E4835E" w14:textId="629511E2" w:rsidR="00A91618" w:rsidRPr="004522F1" w:rsidRDefault="00A91618" w:rsidP="00A91618">
            <w:pPr>
              <w:spacing w:after="100"/>
              <w:rPr>
                <w:sz w:val="16"/>
                <w:szCs w:val="16"/>
              </w:rPr>
            </w:pPr>
            <w:r w:rsidRPr="004522F1">
              <w:rPr>
                <w:sz w:val="16"/>
                <w:szCs w:val="16"/>
              </w:rPr>
              <w:t xml:space="preserve">Eldorado has committed approximately US$35 million to whole-ore agglomeration intended to improve heap permeability, leach kinetics and cycle times. A secondary crusher expansion is also underway. </w:t>
            </w:r>
          </w:p>
        </w:tc>
      </w:tr>
      <w:tr w:rsidR="00056FCA" w14:paraId="5754B494" w14:textId="77777777" w:rsidTr="0023213C">
        <w:tc>
          <w:tcPr>
            <w:tcW w:w="2016" w:type="dxa"/>
          </w:tcPr>
          <w:p w14:paraId="7C554C8E" w14:textId="792E85D6" w:rsidR="00056FCA" w:rsidRPr="004522F1" w:rsidRDefault="00056FCA" w:rsidP="00056FCA">
            <w:pPr>
              <w:spacing w:after="100"/>
              <w:rPr>
                <w:sz w:val="16"/>
                <w:szCs w:val="16"/>
              </w:rPr>
            </w:pPr>
            <w:r w:rsidRPr="004522F1">
              <w:rPr>
                <w:sz w:val="16"/>
                <w:szCs w:val="16"/>
              </w:rPr>
              <w:t>Efemçukuru - Tüprag Metal Madencilik, a subsidiary of Eldorado Gold Corporation</w:t>
            </w:r>
          </w:p>
        </w:tc>
        <w:tc>
          <w:tcPr>
            <w:tcW w:w="3813" w:type="dxa"/>
          </w:tcPr>
          <w:p w14:paraId="6F66CF08" w14:textId="41ED86E5" w:rsidR="00056FCA" w:rsidRPr="004522F1" w:rsidRDefault="00056FCA" w:rsidP="00056FCA">
            <w:pPr>
              <w:spacing w:after="100"/>
              <w:rPr>
                <w:sz w:val="16"/>
                <w:szCs w:val="16"/>
              </w:rPr>
            </w:pPr>
            <w:r w:rsidRPr="004522F1">
              <w:rPr>
                <w:sz w:val="16"/>
                <w:szCs w:val="16"/>
              </w:rPr>
              <w:t>Efemçukuru is an established high-grade underground gold operation that commenced commercial production in 2011. The operation produced 72,482 ounces of gold in 2025 and currently has an eight-year reserve life.</w:t>
            </w:r>
            <w:r w:rsidRPr="00CE6EE6">
              <w:rPr>
                <w:sz w:val="16"/>
                <w:szCs w:val="16"/>
                <w:vertAlign w:val="superscript"/>
              </w:rPr>
              <w:t>[17][18][6]</w:t>
            </w:r>
          </w:p>
        </w:tc>
        <w:tc>
          <w:tcPr>
            <w:tcW w:w="4251" w:type="dxa"/>
          </w:tcPr>
          <w:p w14:paraId="56215207" w14:textId="505CC519" w:rsidR="00056FCA" w:rsidRPr="004522F1" w:rsidRDefault="00056FCA" w:rsidP="00056FCA">
            <w:pPr>
              <w:spacing w:after="100"/>
              <w:rPr>
                <w:sz w:val="16"/>
                <w:szCs w:val="16"/>
              </w:rPr>
            </w:pPr>
            <w:r w:rsidRPr="004522F1">
              <w:rPr>
                <w:sz w:val="16"/>
                <w:szCs w:val="16"/>
              </w:rPr>
              <w:t>Efemçukuru is currently progressing underground growth and development at the Kokarpinar and Bati vein systems, providing opportunities in development equipment, drilling and ground support, underground mobile equipment, ventilation, pumping, mine services, communications and mine planning/optimisation.</w:t>
            </w:r>
          </w:p>
        </w:tc>
      </w:tr>
      <w:tr w:rsidR="00056FCA" w14:paraId="5FDED95E" w14:textId="77777777" w:rsidTr="0023213C">
        <w:tc>
          <w:tcPr>
            <w:tcW w:w="2016" w:type="dxa"/>
          </w:tcPr>
          <w:p w14:paraId="67A06A07" w14:textId="42C1453F" w:rsidR="00056FCA" w:rsidRPr="004522F1" w:rsidRDefault="00056FCA" w:rsidP="00056FCA">
            <w:pPr>
              <w:spacing w:after="100"/>
              <w:rPr>
                <w:sz w:val="16"/>
                <w:szCs w:val="16"/>
              </w:rPr>
            </w:pPr>
            <w:r w:rsidRPr="004522F1">
              <w:rPr>
                <w:sz w:val="16"/>
                <w:szCs w:val="16"/>
              </w:rPr>
              <w:t xml:space="preserve">Gediktepe – ACG Metals </w:t>
            </w:r>
          </w:p>
        </w:tc>
        <w:tc>
          <w:tcPr>
            <w:tcW w:w="3813" w:type="dxa"/>
          </w:tcPr>
          <w:p w14:paraId="10108DB3" w14:textId="7AC3D53C" w:rsidR="00056FCA" w:rsidRPr="004522F1" w:rsidRDefault="00056FCA" w:rsidP="00056FCA">
            <w:pPr>
              <w:spacing w:after="100"/>
              <w:rPr>
                <w:sz w:val="16"/>
                <w:szCs w:val="16"/>
              </w:rPr>
            </w:pPr>
            <w:r w:rsidRPr="004522F1">
              <w:rPr>
                <w:sz w:val="16"/>
                <w:szCs w:val="16"/>
              </w:rPr>
              <w:t>Gediktepe is transitioning from oxide-gold production to processing sulphide ore for copper and zinc concentrates. First copper concentrate was produced in August 2026, marking the start of ramp-up toward the operator’s year-end production target.</w:t>
            </w:r>
            <w:r w:rsidRPr="00CE6EE6">
              <w:rPr>
                <w:sz w:val="16"/>
                <w:szCs w:val="16"/>
                <w:vertAlign w:val="superscript"/>
              </w:rPr>
              <w:t>[19]</w:t>
            </w:r>
          </w:p>
        </w:tc>
        <w:tc>
          <w:tcPr>
            <w:tcW w:w="4251" w:type="dxa"/>
          </w:tcPr>
          <w:p w14:paraId="6618C8DE" w14:textId="1953EE3B" w:rsidR="00056FCA" w:rsidRPr="004522F1" w:rsidRDefault="00056FCA" w:rsidP="00056FCA">
            <w:pPr>
              <w:spacing w:after="100"/>
              <w:rPr>
                <w:sz w:val="16"/>
                <w:szCs w:val="16"/>
              </w:rPr>
            </w:pPr>
            <w:r w:rsidRPr="004522F1">
              <w:rPr>
                <w:sz w:val="16"/>
                <w:szCs w:val="16"/>
              </w:rPr>
              <w:t>The ramp-up provides near-term opportunities associated with mineral processing optimisation, comminution, flotation, materials handling, process control and automation, plant maintenance, water management and operational reliability.</w:t>
            </w:r>
          </w:p>
        </w:tc>
      </w:tr>
      <w:tr w:rsidR="00056FCA" w14:paraId="5384BDBD" w14:textId="77777777" w:rsidTr="0023213C">
        <w:tc>
          <w:tcPr>
            <w:tcW w:w="2016" w:type="dxa"/>
          </w:tcPr>
          <w:p w14:paraId="0345DA7F" w14:textId="7DAE3D4E" w:rsidR="00056FCA" w:rsidRPr="004522F1" w:rsidRDefault="00056FCA" w:rsidP="00056FCA">
            <w:pPr>
              <w:spacing w:after="100"/>
              <w:rPr>
                <w:sz w:val="16"/>
                <w:szCs w:val="16"/>
              </w:rPr>
            </w:pPr>
            <w:r w:rsidRPr="004522F1">
              <w:rPr>
                <w:sz w:val="16"/>
                <w:szCs w:val="16"/>
              </w:rPr>
              <w:t xml:space="preserve">Öksüt – Centerra Gold Inc. </w:t>
            </w:r>
          </w:p>
        </w:tc>
        <w:tc>
          <w:tcPr>
            <w:tcW w:w="3813" w:type="dxa"/>
          </w:tcPr>
          <w:p w14:paraId="29DBEA78" w14:textId="0F5FE4BA" w:rsidR="00056FCA" w:rsidRPr="004522F1" w:rsidRDefault="00056FCA" w:rsidP="00056FCA">
            <w:pPr>
              <w:spacing w:after="100"/>
              <w:rPr>
                <w:sz w:val="16"/>
                <w:szCs w:val="16"/>
              </w:rPr>
            </w:pPr>
            <w:r w:rsidRPr="004522F1">
              <w:rPr>
                <w:sz w:val="16"/>
                <w:szCs w:val="16"/>
              </w:rPr>
              <w:t>Large-scale open pit mine with ore processed through a heap-leach operation. A life-of-mine optimisation study is expected to be complete early 2027, evaluating residual leaching, low-grade oxide and solution management.</w:t>
            </w:r>
            <w:r w:rsidRPr="00CE6EE6">
              <w:rPr>
                <w:sz w:val="16"/>
                <w:szCs w:val="16"/>
                <w:vertAlign w:val="superscript"/>
              </w:rPr>
              <w:t>[20]</w:t>
            </w:r>
          </w:p>
        </w:tc>
        <w:tc>
          <w:tcPr>
            <w:tcW w:w="4251" w:type="dxa"/>
          </w:tcPr>
          <w:p w14:paraId="74BEB723" w14:textId="7810EAF8" w:rsidR="00056FCA" w:rsidRPr="004522F1" w:rsidRDefault="00056FCA" w:rsidP="00056FCA">
            <w:pPr>
              <w:spacing w:after="100"/>
              <w:rPr>
                <w:sz w:val="16"/>
                <w:szCs w:val="16"/>
              </w:rPr>
            </w:pPr>
            <w:r w:rsidRPr="004522F1">
              <w:rPr>
                <w:sz w:val="16"/>
                <w:szCs w:val="16"/>
              </w:rPr>
              <w:t>Residual recovery, solution management, low-grade ore, water, closure/reclamation planning and monitoring.</w:t>
            </w:r>
          </w:p>
        </w:tc>
      </w:tr>
    </w:tbl>
    <w:p w14:paraId="03F46DEB" w14:textId="77777777" w:rsidR="00957CB5" w:rsidRDefault="00957CB5" w:rsidP="00490DCC">
      <w:pPr>
        <w:pStyle w:val="Heading1"/>
        <w:spacing w:after="120"/>
      </w:pPr>
    </w:p>
    <w:p w14:paraId="19F1B94E" w14:textId="441B2622" w:rsidR="00122508" w:rsidRPr="00122508" w:rsidRDefault="00490DCC" w:rsidP="00DA466A">
      <w:pPr>
        <w:pStyle w:val="Heading3"/>
      </w:pPr>
      <w:r>
        <w:t>Market Approach for Australian METS</w:t>
      </w:r>
    </w:p>
    <w:tbl>
      <w:tblPr>
        <w:tblStyle w:val="TableGrid"/>
        <w:tblW w:w="10080" w:type="dxa"/>
        <w:tblLayout w:type="fixed"/>
        <w:tblCellMar>
          <w:top w:w="57" w:type="dxa"/>
          <w:bottom w:w="57" w:type="dxa"/>
        </w:tblCellMar>
        <w:tblLook w:val="04A0" w:firstRow="1" w:lastRow="0" w:firstColumn="1" w:lastColumn="0" w:noHBand="0" w:noVBand="1"/>
      </w:tblPr>
      <w:tblGrid>
        <w:gridCol w:w="1944"/>
        <w:gridCol w:w="4104"/>
        <w:gridCol w:w="4032"/>
      </w:tblGrid>
      <w:tr w:rsidR="00490DCC" w14:paraId="3FCBB366" w14:textId="77777777" w:rsidTr="0023213C">
        <w:tc>
          <w:tcPr>
            <w:tcW w:w="1944" w:type="dxa"/>
            <w:shd w:val="clear" w:color="auto" w:fill="173F34" w:themeFill="accent1"/>
            <w:vAlign w:val="center"/>
          </w:tcPr>
          <w:p w14:paraId="22161531" w14:textId="77777777" w:rsidR="00490DCC" w:rsidRPr="00AB78F5" w:rsidRDefault="00490DCC" w:rsidP="0023213C">
            <w:pPr>
              <w:spacing w:after="100"/>
              <w:rPr>
                <w:sz w:val="16"/>
                <w:szCs w:val="20"/>
              </w:rPr>
            </w:pPr>
            <w:r w:rsidRPr="00AB78F5">
              <w:rPr>
                <w:b/>
                <w:sz w:val="16"/>
                <w:szCs w:val="20"/>
              </w:rPr>
              <w:t>Category</w:t>
            </w:r>
          </w:p>
        </w:tc>
        <w:tc>
          <w:tcPr>
            <w:tcW w:w="4104" w:type="dxa"/>
            <w:shd w:val="clear" w:color="auto" w:fill="173F34" w:themeFill="accent1"/>
            <w:vAlign w:val="center"/>
          </w:tcPr>
          <w:p w14:paraId="4437C3BB" w14:textId="77777777" w:rsidR="00490DCC" w:rsidRPr="00AB78F5" w:rsidRDefault="00490DCC" w:rsidP="0023213C">
            <w:pPr>
              <w:spacing w:after="100"/>
              <w:rPr>
                <w:sz w:val="16"/>
                <w:szCs w:val="20"/>
              </w:rPr>
            </w:pPr>
            <w:r w:rsidRPr="00AB78F5">
              <w:rPr>
                <w:b/>
                <w:sz w:val="16"/>
                <w:szCs w:val="20"/>
              </w:rPr>
              <w:t>Capabilities required</w:t>
            </w:r>
          </w:p>
        </w:tc>
        <w:tc>
          <w:tcPr>
            <w:tcW w:w="4032" w:type="dxa"/>
            <w:shd w:val="clear" w:color="auto" w:fill="173F34" w:themeFill="accent1"/>
            <w:vAlign w:val="center"/>
          </w:tcPr>
          <w:p w14:paraId="2A5CA8FD" w14:textId="77777777" w:rsidR="00490DCC" w:rsidRPr="00AB78F5" w:rsidRDefault="00490DCC" w:rsidP="0023213C">
            <w:pPr>
              <w:spacing w:after="100"/>
              <w:rPr>
                <w:sz w:val="16"/>
                <w:szCs w:val="20"/>
              </w:rPr>
            </w:pPr>
            <w:r w:rsidRPr="00AB78F5">
              <w:rPr>
                <w:b/>
                <w:sz w:val="16"/>
                <w:szCs w:val="20"/>
              </w:rPr>
              <w:t>Demand drivers</w:t>
            </w:r>
          </w:p>
        </w:tc>
      </w:tr>
      <w:tr w:rsidR="00490DCC" w14:paraId="227E7B87" w14:textId="77777777" w:rsidTr="0023213C">
        <w:tc>
          <w:tcPr>
            <w:tcW w:w="1944" w:type="dxa"/>
          </w:tcPr>
          <w:p w14:paraId="04AE2075" w14:textId="77777777" w:rsidR="00490DCC" w:rsidRPr="004522F1" w:rsidRDefault="00490DCC">
            <w:pPr>
              <w:spacing w:after="100"/>
              <w:rPr>
                <w:sz w:val="16"/>
                <w:szCs w:val="16"/>
              </w:rPr>
            </w:pPr>
            <w:r w:rsidRPr="004522F1">
              <w:rPr>
                <w:sz w:val="16"/>
                <w:szCs w:val="16"/>
              </w:rPr>
              <w:t>Mineral processing and metallurgy</w:t>
            </w:r>
          </w:p>
        </w:tc>
        <w:tc>
          <w:tcPr>
            <w:tcW w:w="4104" w:type="dxa"/>
          </w:tcPr>
          <w:p w14:paraId="271FD829" w14:textId="2502DF4B" w:rsidR="00490DCC" w:rsidRPr="004522F1" w:rsidRDefault="00490DCC">
            <w:pPr>
              <w:spacing w:after="100"/>
              <w:rPr>
                <w:sz w:val="16"/>
                <w:szCs w:val="16"/>
              </w:rPr>
            </w:pPr>
            <w:r w:rsidRPr="004522F1">
              <w:rPr>
                <w:sz w:val="16"/>
                <w:szCs w:val="16"/>
              </w:rPr>
              <w:t xml:space="preserve">Recovery, throughput and energy/reagent efficiency, metallurgical </w:t>
            </w:r>
            <w:r w:rsidR="009C5612" w:rsidRPr="004522F1">
              <w:rPr>
                <w:sz w:val="16"/>
                <w:szCs w:val="16"/>
              </w:rPr>
              <w:t>test work</w:t>
            </w:r>
            <w:r w:rsidRPr="004522F1">
              <w:rPr>
                <w:sz w:val="16"/>
                <w:szCs w:val="16"/>
              </w:rPr>
              <w:t xml:space="preserve">, process </w:t>
            </w:r>
            <w:r w:rsidRPr="004522F1">
              <w:rPr>
                <w:sz w:val="16"/>
                <w:szCs w:val="16"/>
              </w:rPr>
              <w:lastRenderedPageBreak/>
              <w:t xml:space="preserve">control, flotation and leach optimisation, supported by </w:t>
            </w:r>
            <w:r w:rsidR="009C5612" w:rsidRPr="004522F1">
              <w:rPr>
                <w:sz w:val="16"/>
                <w:szCs w:val="16"/>
              </w:rPr>
              <w:t>test work</w:t>
            </w:r>
            <w:r w:rsidRPr="004522F1">
              <w:rPr>
                <w:sz w:val="16"/>
                <w:szCs w:val="16"/>
              </w:rPr>
              <w:t xml:space="preserve"> or operating data.</w:t>
            </w:r>
          </w:p>
        </w:tc>
        <w:tc>
          <w:tcPr>
            <w:tcW w:w="4032" w:type="dxa"/>
          </w:tcPr>
          <w:p w14:paraId="0BB46474" w14:textId="17F98CB0" w:rsidR="00490DCC" w:rsidRPr="004522F1" w:rsidRDefault="006D3FE4">
            <w:pPr>
              <w:spacing w:after="100"/>
              <w:rPr>
                <w:sz w:val="16"/>
                <w:szCs w:val="16"/>
              </w:rPr>
            </w:pPr>
            <w:r w:rsidRPr="004522F1">
              <w:rPr>
                <w:sz w:val="16"/>
                <w:szCs w:val="16"/>
              </w:rPr>
              <w:lastRenderedPageBreak/>
              <w:t xml:space="preserve">Boron processing, operating gold mines, Gediktepe ramp-up and study-led </w:t>
            </w:r>
            <w:r w:rsidRPr="004522F1">
              <w:rPr>
                <w:sz w:val="16"/>
                <w:szCs w:val="16"/>
              </w:rPr>
              <w:lastRenderedPageBreak/>
              <w:t>optimisation. Technical value needs to be demonstrated against incumbent supply.</w:t>
            </w:r>
          </w:p>
        </w:tc>
      </w:tr>
      <w:tr w:rsidR="00490DCC" w14:paraId="28F02BE2" w14:textId="77777777" w:rsidTr="0023213C">
        <w:tc>
          <w:tcPr>
            <w:tcW w:w="1944" w:type="dxa"/>
          </w:tcPr>
          <w:p w14:paraId="6955A529" w14:textId="77777777" w:rsidR="00490DCC" w:rsidRPr="004522F1" w:rsidRDefault="00490DCC">
            <w:pPr>
              <w:spacing w:after="100"/>
              <w:rPr>
                <w:sz w:val="16"/>
                <w:szCs w:val="16"/>
              </w:rPr>
            </w:pPr>
            <w:r w:rsidRPr="004522F1">
              <w:rPr>
                <w:sz w:val="16"/>
                <w:szCs w:val="16"/>
              </w:rPr>
              <w:lastRenderedPageBreak/>
              <w:t>Underground systems and safety</w:t>
            </w:r>
          </w:p>
        </w:tc>
        <w:tc>
          <w:tcPr>
            <w:tcW w:w="4104" w:type="dxa"/>
          </w:tcPr>
          <w:p w14:paraId="15ADFBCD" w14:textId="77777777" w:rsidR="00490DCC" w:rsidRPr="004522F1" w:rsidRDefault="00490DCC">
            <w:pPr>
              <w:spacing w:after="100"/>
              <w:rPr>
                <w:sz w:val="16"/>
                <w:szCs w:val="16"/>
              </w:rPr>
            </w:pPr>
            <w:r w:rsidRPr="004522F1">
              <w:rPr>
                <w:sz w:val="16"/>
                <w:szCs w:val="16"/>
              </w:rPr>
              <w:t>Ventilation, communications, tracking, ground support, geotechnical monitoring and mobile-equipment productivity.</w:t>
            </w:r>
          </w:p>
        </w:tc>
        <w:tc>
          <w:tcPr>
            <w:tcW w:w="4032" w:type="dxa"/>
          </w:tcPr>
          <w:p w14:paraId="4EA19C26" w14:textId="1A21C578" w:rsidR="00490DCC" w:rsidRPr="004522F1" w:rsidRDefault="00490DCC">
            <w:pPr>
              <w:spacing w:after="100"/>
              <w:rPr>
                <w:sz w:val="16"/>
                <w:szCs w:val="16"/>
              </w:rPr>
            </w:pPr>
            <w:r w:rsidRPr="004522F1">
              <w:rPr>
                <w:sz w:val="16"/>
                <w:szCs w:val="16"/>
              </w:rPr>
              <w:t>Underground development and operating</w:t>
            </w:r>
            <w:r w:rsidR="00DC4409" w:rsidRPr="004522F1">
              <w:rPr>
                <w:sz w:val="16"/>
                <w:szCs w:val="16"/>
              </w:rPr>
              <w:t xml:space="preserve"> </w:t>
            </w:r>
            <w:r w:rsidRPr="004522F1">
              <w:rPr>
                <w:sz w:val="16"/>
                <w:szCs w:val="16"/>
              </w:rPr>
              <w:t>mine safety, productivity and reliability requirements.</w:t>
            </w:r>
          </w:p>
        </w:tc>
      </w:tr>
      <w:tr w:rsidR="00490DCC" w14:paraId="61510A8C" w14:textId="77777777" w:rsidTr="0023213C">
        <w:tc>
          <w:tcPr>
            <w:tcW w:w="1944" w:type="dxa"/>
          </w:tcPr>
          <w:p w14:paraId="20D03AEB" w14:textId="77777777" w:rsidR="00490DCC" w:rsidRPr="004522F1" w:rsidRDefault="00490DCC">
            <w:pPr>
              <w:spacing w:after="100"/>
              <w:rPr>
                <w:sz w:val="16"/>
                <w:szCs w:val="16"/>
              </w:rPr>
            </w:pPr>
            <w:r w:rsidRPr="004522F1">
              <w:rPr>
                <w:sz w:val="16"/>
                <w:szCs w:val="16"/>
              </w:rPr>
              <w:t>Water and environmental performance</w:t>
            </w:r>
          </w:p>
        </w:tc>
        <w:tc>
          <w:tcPr>
            <w:tcW w:w="4104" w:type="dxa"/>
          </w:tcPr>
          <w:p w14:paraId="6F711D97" w14:textId="77777777" w:rsidR="00490DCC" w:rsidRPr="004522F1" w:rsidRDefault="00490DCC">
            <w:pPr>
              <w:spacing w:after="100"/>
              <w:rPr>
                <w:sz w:val="16"/>
                <w:szCs w:val="16"/>
              </w:rPr>
            </w:pPr>
            <w:r w:rsidRPr="004522F1">
              <w:rPr>
                <w:sz w:val="16"/>
                <w:szCs w:val="16"/>
              </w:rPr>
              <w:t>Water balance, solution management, tailings, monitoring, closure and rehabilitation systems.</w:t>
            </w:r>
          </w:p>
        </w:tc>
        <w:tc>
          <w:tcPr>
            <w:tcW w:w="4032" w:type="dxa"/>
          </w:tcPr>
          <w:p w14:paraId="618909FD" w14:textId="4F7CFD57" w:rsidR="00490DCC" w:rsidRPr="004522F1" w:rsidRDefault="00490DCC">
            <w:pPr>
              <w:spacing w:after="100"/>
              <w:rPr>
                <w:sz w:val="16"/>
                <w:szCs w:val="16"/>
              </w:rPr>
            </w:pPr>
            <w:r w:rsidRPr="004522F1">
              <w:rPr>
                <w:sz w:val="16"/>
                <w:szCs w:val="16"/>
              </w:rPr>
              <w:t>Operating requirements, mine planning and environmental obligations.</w:t>
            </w:r>
          </w:p>
        </w:tc>
      </w:tr>
      <w:tr w:rsidR="00490DCC" w14:paraId="4518C42D" w14:textId="77777777" w:rsidTr="0023213C">
        <w:tc>
          <w:tcPr>
            <w:tcW w:w="1944" w:type="dxa"/>
          </w:tcPr>
          <w:p w14:paraId="7D0E7C51" w14:textId="77777777" w:rsidR="00490DCC" w:rsidRPr="004522F1" w:rsidRDefault="00490DCC">
            <w:pPr>
              <w:spacing w:after="100"/>
              <w:rPr>
                <w:sz w:val="16"/>
                <w:szCs w:val="16"/>
              </w:rPr>
            </w:pPr>
            <w:r w:rsidRPr="004522F1">
              <w:rPr>
                <w:sz w:val="16"/>
                <w:szCs w:val="16"/>
              </w:rPr>
              <w:t>Fleet performance and reliability</w:t>
            </w:r>
          </w:p>
        </w:tc>
        <w:tc>
          <w:tcPr>
            <w:tcW w:w="4104" w:type="dxa"/>
          </w:tcPr>
          <w:p w14:paraId="2FC41900" w14:textId="77777777" w:rsidR="00490DCC" w:rsidRPr="004522F1" w:rsidRDefault="00490DCC">
            <w:pPr>
              <w:spacing w:after="100"/>
              <w:rPr>
                <w:sz w:val="16"/>
                <w:szCs w:val="16"/>
              </w:rPr>
            </w:pPr>
            <w:r w:rsidRPr="004522F1">
              <w:rPr>
                <w:sz w:val="16"/>
                <w:szCs w:val="16"/>
              </w:rPr>
              <w:t>Truck bodies, wear materials, condition monitoring, rebuilds, OEM-independent troubleshooting and technician training.</w:t>
            </w:r>
          </w:p>
        </w:tc>
        <w:tc>
          <w:tcPr>
            <w:tcW w:w="4032" w:type="dxa"/>
          </w:tcPr>
          <w:p w14:paraId="10FFEC4B" w14:textId="77777777" w:rsidR="00490DCC" w:rsidRPr="004522F1" w:rsidRDefault="00490DCC">
            <w:pPr>
              <w:spacing w:after="100"/>
              <w:rPr>
                <w:sz w:val="16"/>
                <w:szCs w:val="16"/>
              </w:rPr>
            </w:pPr>
            <w:r w:rsidRPr="004522F1">
              <w:rPr>
                <w:sz w:val="16"/>
                <w:szCs w:val="16"/>
              </w:rPr>
              <w:t>Payload, uptime and lifecycle improvement at operating sites, supported by spares and responsive technical service.</w:t>
            </w:r>
          </w:p>
        </w:tc>
      </w:tr>
      <w:tr w:rsidR="00490DCC" w14:paraId="5D3F133A" w14:textId="77777777" w:rsidTr="0023213C">
        <w:tc>
          <w:tcPr>
            <w:tcW w:w="1944" w:type="dxa"/>
          </w:tcPr>
          <w:p w14:paraId="622ABE66" w14:textId="77777777" w:rsidR="00490DCC" w:rsidRPr="004522F1" w:rsidRDefault="00490DCC">
            <w:pPr>
              <w:spacing w:after="100"/>
              <w:rPr>
                <w:sz w:val="16"/>
                <w:szCs w:val="16"/>
              </w:rPr>
            </w:pPr>
            <w:r w:rsidRPr="004522F1">
              <w:rPr>
                <w:sz w:val="16"/>
                <w:szCs w:val="16"/>
              </w:rPr>
              <w:t>Geoscience and digital systems</w:t>
            </w:r>
          </w:p>
        </w:tc>
        <w:tc>
          <w:tcPr>
            <w:tcW w:w="4104" w:type="dxa"/>
          </w:tcPr>
          <w:p w14:paraId="1CD736E8" w14:textId="77777777" w:rsidR="00490DCC" w:rsidRPr="004522F1" w:rsidRDefault="00490DCC">
            <w:pPr>
              <w:spacing w:after="100"/>
              <w:rPr>
                <w:sz w:val="16"/>
                <w:szCs w:val="16"/>
              </w:rPr>
            </w:pPr>
            <w:r w:rsidRPr="004522F1">
              <w:rPr>
                <w:sz w:val="16"/>
                <w:szCs w:val="16"/>
              </w:rPr>
              <w:t>Exploration, geochemistry, assay, mine planning, automation, telemetry and operational analytics.</w:t>
            </w:r>
          </w:p>
        </w:tc>
        <w:tc>
          <w:tcPr>
            <w:tcW w:w="4032" w:type="dxa"/>
          </w:tcPr>
          <w:p w14:paraId="076232AF" w14:textId="77777777" w:rsidR="00490DCC" w:rsidRPr="004522F1" w:rsidRDefault="00490DCC">
            <w:pPr>
              <w:spacing w:after="100"/>
              <w:rPr>
                <w:sz w:val="16"/>
                <w:szCs w:val="16"/>
              </w:rPr>
            </w:pPr>
            <w:r w:rsidRPr="004522F1">
              <w:rPr>
                <w:sz w:val="16"/>
                <w:szCs w:val="16"/>
              </w:rPr>
              <w:t>Targeted technical needs across resource evaluation, operational improvement and predictive maintenance.</w:t>
            </w:r>
          </w:p>
        </w:tc>
      </w:tr>
    </w:tbl>
    <w:p w14:paraId="11C5E2BB" w14:textId="77777777" w:rsidR="00490DCC" w:rsidRDefault="00490DCC" w:rsidP="00EA6308">
      <w:pPr>
        <w:rPr>
          <w:rFonts w:asciiTheme="majorHAnsi" w:hAnsiTheme="majorHAnsi" w:cstheme="majorHAnsi"/>
          <w:szCs w:val="20"/>
        </w:rPr>
      </w:pPr>
    </w:p>
    <w:p w14:paraId="7048302B" w14:textId="2BDB1F22" w:rsidR="00DE105B" w:rsidRDefault="00DE105B" w:rsidP="00917767">
      <w:pPr>
        <w:pStyle w:val="Quote1"/>
      </w:pPr>
      <w:r w:rsidRPr="001D5CA6">
        <w:t>“There are areas where the in-country solution simply isn't available, and operators are open to working with specialist companies from outside Türkiye.</w:t>
      </w:r>
      <w:r w:rsidR="007641CC">
        <w:t>”</w:t>
      </w:r>
    </w:p>
    <w:p w14:paraId="4E895096" w14:textId="43CA11CE" w:rsidR="00BB7106" w:rsidRPr="006C0CEA" w:rsidRDefault="00DE105B" w:rsidP="00917767">
      <w:pPr>
        <w:pStyle w:val="quotename"/>
      </w:pPr>
      <w:r>
        <w:t>-</w:t>
      </w:r>
      <w:r w:rsidR="005031CA" w:rsidRPr="005031CA">
        <w:t xml:space="preserve"> Maintenance Manager</w:t>
      </w:r>
      <w:r w:rsidR="00F22918">
        <w:t xml:space="preserve"> at major operational gold mining company </w:t>
      </w:r>
    </w:p>
    <w:p w14:paraId="1E959264" w14:textId="77777777" w:rsidR="00DE105B" w:rsidRPr="00E91368" w:rsidRDefault="00DE105B" w:rsidP="00EA6308">
      <w:pPr>
        <w:rPr>
          <w:rFonts w:asciiTheme="majorHAnsi" w:hAnsiTheme="majorHAnsi" w:cstheme="majorHAnsi"/>
          <w:szCs w:val="20"/>
        </w:rPr>
      </w:pPr>
    </w:p>
    <w:p w14:paraId="5A9FA497" w14:textId="0B986B5F" w:rsidR="00977BD2" w:rsidRPr="0062235B" w:rsidRDefault="00DF393B" w:rsidP="00917767">
      <w:pPr>
        <w:pStyle w:val="Heading3"/>
      </w:pPr>
      <w:r>
        <w:br w:type="page"/>
      </w:r>
      <w:r w:rsidR="00977BD2" w:rsidRPr="0062235B">
        <w:lastRenderedPageBreak/>
        <w:t>Procurement and supplier preparation</w:t>
      </w:r>
    </w:p>
    <w:p w14:paraId="6A931B31" w14:textId="11E80E00" w:rsidR="00977BD2" w:rsidRDefault="00AB7337" w:rsidP="00977BD2">
      <w:pPr>
        <w:rPr>
          <w:color w:val="404040"/>
        </w:rPr>
      </w:pPr>
      <w:r w:rsidRPr="00AB7337">
        <w:rPr>
          <w:color w:val="404040"/>
        </w:rPr>
        <w:t>Most priority purchases are made through owner/operator or EPC processes rather than a single national channel. Eti Maden publishes tenders through its own system, while private operators use corporate prequalification, technical evaluation and commercial negotiation. For public tenders within scope, foreign suppliers should check whether Electronic Public Procurement Platform (EKAP) registration is required.</w:t>
      </w:r>
      <w:r w:rsidRPr="00CE6EE6">
        <w:rPr>
          <w:color w:val="404040"/>
          <w:vertAlign w:val="superscript"/>
        </w:rPr>
        <w:t>[7]</w:t>
      </w:r>
      <w:r w:rsidRPr="00AB7337">
        <w:rPr>
          <w:color w:val="404040"/>
        </w:rPr>
        <w:t xml:space="preserve"> Turkish-language technical documentation, responsive commissioning and after-sales support can be decisive.</w:t>
      </w:r>
      <w:r w:rsidRPr="00CE6EE6">
        <w:rPr>
          <w:color w:val="404040"/>
          <w:vertAlign w:val="superscript"/>
        </w:rPr>
        <w:t>[16]</w:t>
      </w:r>
    </w:p>
    <w:p w14:paraId="537B7553" w14:textId="77777777" w:rsidR="00AB7337" w:rsidRDefault="00AB7337" w:rsidP="00977BD2"/>
    <w:tbl>
      <w:tblPr>
        <w:tblStyle w:val="TableGrid"/>
        <w:tblW w:w="9514" w:type="dxa"/>
        <w:tblLayout w:type="fixed"/>
        <w:tblCellMar>
          <w:top w:w="57" w:type="dxa"/>
          <w:bottom w:w="57" w:type="dxa"/>
        </w:tblCellMar>
        <w:tblLook w:val="04A0" w:firstRow="1" w:lastRow="0" w:firstColumn="1" w:lastColumn="0" w:noHBand="0" w:noVBand="1"/>
      </w:tblPr>
      <w:tblGrid>
        <w:gridCol w:w="1750"/>
        <w:gridCol w:w="2803"/>
        <w:gridCol w:w="4961"/>
      </w:tblGrid>
      <w:tr w:rsidR="00805C55" w14:paraId="217F7EDB" w14:textId="77777777" w:rsidTr="00E00397">
        <w:tc>
          <w:tcPr>
            <w:tcW w:w="1750" w:type="dxa"/>
            <w:shd w:val="clear" w:color="auto" w:fill="173F34" w:themeFill="accent1"/>
            <w:vAlign w:val="center"/>
          </w:tcPr>
          <w:p w14:paraId="74AA774D" w14:textId="77777777" w:rsidR="00805C55" w:rsidRPr="00AB78F5" w:rsidRDefault="00805C55" w:rsidP="0023213C">
            <w:pPr>
              <w:spacing w:after="40"/>
              <w:rPr>
                <w:sz w:val="16"/>
                <w:szCs w:val="16"/>
              </w:rPr>
            </w:pPr>
            <w:r w:rsidRPr="00AB78F5">
              <w:rPr>
                <w:b/>
                <w:sz w:val="16"/>
                <w:szCs w:val="16"/>
              </w:rPr>
              <w:t>Buyer / player</w:t>
            </w:r>
          </w:p>
        </w:tc>
        <w:tc>
          <w:tcPr>
            <w:tcW w:w="2803" w:type="dxa"/>
            <w:shd w:val="clear" w:color="auto" w:fill="173F34" w:themeFill="accent1"/>
            <w:vAlign w:val="center"/>
          </w:tcPr>
          <w:p w14:paraId="4AAFC207" w14:textId="77777777" w:rsidR="00805C55" w:rsidRPr="00AB78F5" w:rsidRDefault="00805C55" w:rsidP="0023213C">
            <w:pPr>
              <w:spacing w:after="40"/>
              <w:rPr>
                <w:sz w:val="16"/>
                <w:szCs w:val="16"/>
              </w:rPr>
            </w:pPr>
            <w:r w:rsidRPr="00AB78F5">
              <w:rPr>
                <w:b/>
                <w:sz w:val="16"/>
                <w:szCs w:val="16"/>
              </w:rPr>
              <w:t>Role / active assets</w:t>
            </w:r>
          </w:p>
        </w:tc>
        <w:tc>
          <w:tcPr>
            <w:tcW w:w="4961" w:type="dxa"/>
            <w:shd w:val="clear" w:color="auto" w:fill="173F34" w:themeFill="accent1"/>
            <w:vAlign w:val="center"/>
          </w:tcPr>
          <w:p w14:paraId="247116AC" w14:textId="41478C2E" w:rsidR="00805C55" w:rsidRPr="00AB78F5" w:rsidRDefault="00113A1A" w:rsidP="0023213C">
            <w:pPr>
              <w:spacing w:after="40"/>
              <w:rPr>
                <w:sz w:val="16"/>
                <w:szCs w:val="16"/>
              </w:rPr>
            </w:pPr>
            <w:r w:rsidRPr="00AB78F5">
              <w:rPr>
                <w:b/>
                <w:sz w:val="16"/>
                <w:szCs w:val="16"/>
              </w:rPr>
              <w:t>How to engage</w:t>
            </w:r>
          </w:p>
        </w:tc>
      </w:tr>
      <w:tr w:rsidR="003D7015" w14:paraId="006AB725" w14:textId="77777777" w:rsidTr="0023213C">
        <w:tc>
          <w:tcPr>
            <w:tcW w:w="1750" w:type="dxa"/>
          </w:tcPr>
          <w:p w14:paraId="33325E24" w14:textId="77777777" w:rsidR="003D7015" w:rsidRPr="00AB78F5" w:rsidRDefault="003D7015" w:rsidP="003D7015">
            <w:pPr>
              <w:spacing w:after="40"/>
              <w:rPr>
                <w:sz w:val="16"/>
                <w:szCs w:val="16"/>
              </w:rPr>
            </w:pPr>
            <w:r w:rsidRPr="00AB78F5">
              <w:rPr>
                <w:sz w:val="16"/>
                <w:szCs w:val="16"/>
              </w:rPr>
              <w:t>Eti Maden</w:t>
            </w:r>
          </w:p>
        </w:tc>
        <w:tc>
          <w:tcPr>
            <w:tcW w:w="2803" w:type="dxa"/>
          </w:tcPr>
          <w:p w14:paraId="2E5268F7" w14:textId="7F82A3AB" w:rsidR="003D7015" w:rsidRPr="00AB78F5" w:rsidRDefault="003D7015" w:rsidP="003D7015">
            <w:pPr>
              <w:spacing w:after="40"/>
              <w:rPr>
                <w:sz w:val="16"/>
                <w:szCs w:val="16"/>
              </w:rPr>
            </w:pPr>
            <w:r w:rsidRPr="00AB78F5">
              <w:rPr>
                <w:sz w:val="16"/>
                <w:szCs w:val="16"/>
              </w:rPr>
              <w:t>State-owned boron mining, processing and product facilities.</w:t>
            </w:r>
          </w:p>
        </w:tc>
        <w:tc>
          <w:tcPr>
            <w:tcW w:w="4961" w:type="dxa"/>
          </w:tcPr>
          <w:p w14:paraId="2E369E7C" w14:textId="604EC262" w:rsidR="003D7015" w:rsidRPr="00AB78F5" w:rsidRDefault="003D7015" w:rsidP="003D7015">
            <w:pPr>
              <w:spacing w:after="40"/>
              <w:rPr>
                <w:sz w:val="16"/>
                <w:szCs w:val="16"/>
              </w:rPr>
            </w:pPr>
            <w:r w:rsidRPr="00AB78F5">
              <w:rPr>
                <w:sz w:val="16"/>
                <w:szCs w:val="16"/>
              </w:rPr>
              <w:t>Monitor the Eti Maden tender system and exact technical specifications.</w:t>
            </w:r>
            <w:r w:rsidRPr="00AB78F5">
              <w:rPr>
                <w:sz w:val="16"/>
                <w:szCs w:val="16"/>
                <w:vertAlign w:val="superscript"/>
              </w:rPr>
              <w:t>[1][16]</w:t>
            </w:r>
          </w:p>
        </w:tc>
      </w:tr>
      <w:tr w:rsidR="003D7015" w14:paraId="6287EB73" w14:textId="77777777" w:rsidTr="0023213C">
        <w:tc>
          <w:tcPr>
            <w:tcW w:w="1750" w:type="dxa"/>
          </w:tcPr>
          <w:p w14:paraId="1900AD7B" w14:textId="77777777" w:rsidR="003D7015" w:rsidRPr="00AB78F5" w:rsidRDefault="003D7015" w:rsidP="003D7015">
            <w:pPr>
              <w:spacing w:after="40"/>
              <w:rPr>
                <w:sz w:val="16"/>
                <w:szCs w:val="16"/>
              </w:rPr>
            </w:pPr>
            <w:r w:rsidRPr="00AB78F5">
              <w:rPr>
                <w:sz w:val="16"/>
                <w:szCs w:val="16"/>
              </w:rPr>
              <w:t>Eldorado Gold / TÜPRAG</w:t>
            </w:r>
          </w:p>
        </w:tc>
        <w:tc>
          <w:tcPr>
            <w:tcW w:w="2803" w:type="dxa"/>
          </w:tcPr>
          <w:p w14:paraId="4A0C1383" w14:textId="0F02CF81" w:rsidR="003D7015" w:rsidRPr="00AB78F5" w:rsidRDefault="003D7015" w:rsidP="003D7015">
            <w:pPr>
              <w:spacing w:after="40"/>
              <w:rPr>
                <w:sz w:val="16"/>
                <w:szCs w:val="16"/>
              </w:rPr>
            </w:pPr>
            <w:r w:rsidRPr="00AB78F5">
              <w:rPr>
                <w:sz w:val="16"/>
                <w:szCs w:val="16"/>
              </w:rPr>
              <w:t>Kışladağ open-pit heap leach and Efemçukuru underground/flotation.</w:t>
            </w:r>
          </w:p>
        </w:tc>
        <w:tc>
          <w:tcPr>
            <w:tcW w:w="4961" w:type="dxa"/>
          </w:tcPr>
          <w:p w14:paraId="035EAFB9" w14:textId="074A03DF" w:rsidR="003D7015" w:rsidRPr="00AB78F5" w:rsidRDefault="003D7015" w:rsidP="003D7015">
            <w:pPr>
              <w:spacing w:after="40"/>
              <w:rPr>
                <w:sz w:val="16"/>
                <w:szCs w:val="16"/>
              </w:rPr>
            </w:pPr>
            <w:r w:rsidRPr="00AB78F5">
              <w:rPr>
                <w:sz w:val="16"/>
                <w:szCs w:val="16"/>
              </w:rPr>
              <w:t>Target site engineering and supply chain; distinguish sustaining from growth packages.</w:t>
            </w:r>
            <w:r w:rsidRPr="00AB78F5">
              <w:rPr>
                <w:sz w:val="16"/>
                <w:szCs w:val="16"/>
                <w:vertAlign w:val="superscript"/>
              </w:rPr>
              <w:t>[17][18]</w:t>
            </w:r>
          </w:p>
        </w:tc>
      </w:tr>
      <w:tr w:rsidR="003D7015" w14:paraId="51255D18" w14:textId="77777777" w:rsidTr="0023213C">
        <w:tc>
          <w:tcPr>
            <w:tcW w:w="1750" w:type="dxa"/>
          </w:tcPr>
          <w:p w14:paraId="1360912B" w14:textId="77777777" w:rsidR="003D7015" w:rsidRPr="00AB78F5" w:rsidRDefault="003D7015" w:rsidP="003D7015">
            <w:pPr>
              <w:spacing w:after="40"/>
              <w:rPr>
                <w:sz w:val="16"/>
                <w:szCs w:val="16"/>
              </w:rPr>
            </w:pPr>
            <w:r w:rsidRPr="00AB78F5">
              <w:rPr>
                <w:sz w:val="16"/>
                <w:szCs w:val="16"/>
              </w:rPr>
              <w:t>ACG Metals / Gediktepe operator</w:t>
            </w:r>
          </w:p>
        </w:tc>
        <w:tc>
          <w:tcPr>
            <w:tcW w:w="2803" w:type="dxa"/>
          </w:tcPr>
          <w:p w14:paraId="7AADD1CB" w14:textId="6E264864" w:rsidR="003D7015" w:rsidRPr="00AB78F5" w:rsidRDefault="003D7015" w:rsidP="003D7015">
            <w:pPr>
              <w:spacing w:after="40"/>
              <w:rPr>
                <w:sz w:val="16"/>
                <w:szCs w:val="16"/>
              </w:rPr>
            </w:pPr>
            <w:r w:rsidRPr="00AB78F5">
              <w:rPr>
                <w:sz w:val="16"/>
                <w:szCs w:val="16"/>
              </w:rPr>
              <w:t>Copper-concentrate ramp-up following the sulphide expansion.</w:t>
            </w:r>
          </w:p>
        </w:tc>
        <w:tc>
          <w:tcPr>
            <w:tcW w:w="4961" w:type="dxa"/>
          </w:tcPr>
          <w:p w14:paraId="00F85018" w14:textId="0EABB80B" w:rsidR="003D7015" w:rsidRPr="00AB78F5" w:rsidRDefault="003D7015" w:rsidP="003D7015">
            <w:pPr>
              <w:spacing w:after="40"/>
              <w:rPr>
                <w:sz w:val="16"/>
                <w:szCs w:val="16"/>
              </w:rPr>
            </w:pPr>
            <w:r w:rsidRPr="00AB78F5">
              <w:rPr>
                <w:sz w:val="16"/>
                <w:szCs w:val="16"/>
              </w:rPr>
              <w:t>Major sulphide equipment is delivered; focus on ramp-up, performance optimisation and next-phase scope.</w:t>
            </w:r>
            <w:r w:rsidRPr="00AB78F5">
              <w:rPr>
                <w:sz w:val="16"/>
                <w:szCs w:val="16"/>
                <w:vertAlign w:val="superscript"/>
              </w:rPr>
              <w:t>[19]</w:t>
            </w:r>
          </w:p>
        </w:tc>
      </w:tr>
      <w:tr w:rsidR="003D7015" w14:paraId="260A1932" w14:textId="77777777" w:rsidTr="0023213C">
        <w:tc>
          <w:tcPr>
            <w:tcW w:w="1750" w:type="dxa"/>
          </w:tcPr>
          <w:p w14:paraId="21713A4A" w14:textId="77777777" w:rsidR="003D7015" w:rsidRPr="00AB78F5" w:rsidRDefault="003D7015" w:rsidP="003D7015">
            <w:pPr>
              <w:spacing w:after="40"/>
              <w:rPr>
                <w:sz w:val="16"/>
                <w:szCs w:val="16"/>
              </w:rPr>
            </w:pPr>
            <w:r w:rsidRPr="00AB78F5">
              <w:rPr>
                <w:sz w:val="16"/>
                <w:szCs w:val="16"/>
              </w:rPr>
              <w:t>Centerra / Öksüt</w:t>
            </w:r>
          </w:p>
        </w:tc>
        <w:tc>
          <w:tcPr>
            <w:tcW w:w="2803" w:type="dxa"/>
          </w:tcPr>
          <w:p w14:paraId="0FD5DC49" w14:textId="22EC2F81" w:rsidR="003D7015" w:rsidRPr="00AB78F5" w:rsidRDefault="003D7015" w:rsidP="003D7015">
            <w:pPr>
              <w:spacing w:after="40"/>
              <w:rPr>
                <w:sz w:val="16"/>
                <w:szCs w:val="16"/>
              </w:rPr>
            </w:pPr>
            <w:r w:rsidRPr="00AB78F5">
              <w:rPr>
                <w:sz w:val="16"/>
                <w:szCs w:val="16"/>
              </w:rPr>
              <w:t>Operating heap-leach mine and life-of-mine optimisation study.</w:t>
            </w:r>
          </w:p>
        </w:tc>
        <w:tc>
          <w:tcPr>
            <w:tcW w:w="4961" w:type="dxa"/>
          </w:tcPr>
          <w:p w14:paraId="6ECC1337" w14:textId="140A9385" w:rsidR="003D7015" w:rsidRPr="00AB78F5" w:rsidRDefault="003D7015" w:rsidP="003D7015">
            <w:pPr>
              <w:spacing w:after="40"/>
              <w:rPr>
                <w:sz w:val="16"/>
                <w:szCs w:val="16"/>
              </w:rPr>
            </w:pPr>
            <w:r w:rsidRPr="00AB78F5">
              <w:rPr>
                <w:sz w:val="16"/>
                <w:szCs w:val="16"/>
              </w:rPr>
              <w:t>Qualify further opportunity after study scope, budget and revised plan are published.</w:t>
            </w:r>
            <w:r w:rsidRPr="00AB78F5">
              <w:rPr>
                <w:sz w:val="16"/>
                <w:szCs w:val="16"/>
                <w:vertAlign w:val="superscript"/>
              </w:rPr>
              <w:t>[20]</w:t>
            </w:r>
          </w:p>
        </w:tc>
      </w:tr>
      <w:tr w:rsidR="003D7015" w14:paraId="60479F81" w14:textId="77777777" w:rsidTr="0023213C">
        <w:tc>
          <w:tcPr>
            <w:tcW w:w="1750" w:type="dxa"/>
          </w:tcPr>
          <w:p w14:paraId="6C756283" w14:textId="77777777" w:rsidR="003D7015" w:rsidRPr="00AB78F5" w:rsidRDefault="003D7015" w:rsidP="003D7015">
            <w:pPr>
              <w:spacing w:after="40"/>
              <w:rPr>
                <w:sz w:val="16"/>
                <w:szCs w:val="16"/>
              </w:rPr>
            </w:pPr>
            <w:r w:rsidRPr="00AB78F5">
              <w:rPr>
                <w:sz w:val="16"/>
                <w:szCs w:val="16"/>
              </w:rPr>
              <w:t>TÜMAD</w:t>
            </w:r>
          </w:p>
        </w:tc>
        <w:tc>
          <w:tcPr>
            <w:tcW w:w="2803" w:type="dxa"/>
          </w:tcPr>
          <w:p w14:paraId="6E512323" w14:textId="0638DFFD" w:rsidR="003D7015" w:rsidRPr="00AB78F5" w:rsidRDefault="003D7015" w:rsidP="003D7015">
            <w:pPr>
              <w:spacing w:after="40"/>
              <w:rPr>
                <w:sz w:val="16"/>
                <w:szCs w:val="16"/>
              </w:rPr>
            </w:pPr>
            <w:r w:rsidRPr="00AB78F5">
              <w:rPr>
                <w:sz w:val="16"/>
                <w:szCs w:val="16"/>
              </w:rPr>
              <w:t>Operating İvrindi and Lapseki gold and silver mines.</w:t>
            </w:r>
          </w:p>
        </w:tc>
        <w:tc>
          <w:tcPr>
            <w:tcW w:w="4961" w:type="dxa"/>
          </w:tcPr>
          <w:p w14:paraId="47BE080C" w14:textId="42D42815" w:rsidR="003D7015" w:rsidRPr="00AB78F5" w:rsidRDefault="003D7015" w:rsidP="003D7015">
            <w:pPr>
              <w:spacing w:after="40"/>
              <w:rPr>
                <w:sz w:val="16"/>
                <w:szCs w:val="16"/>
              </w:rPr>
            </w:pPr>
            <w:r w:rsidRPr="00AB78F5">
              <w:rPr>
                <w:sz w:val="16"/>
                <w:szCs w:val="16"/>
              </w:rPr>
              <w:t>Engage the relevant operator’s technical and procurement teams. Confirm current expansion plans, purchasing requirements and supplier qualification for the proposed work.</w:t>
            </w:r>
            <w:r w:rsidRPr="00AB78F5">
              <w:rPr>
                <w:sz w:val="16"/>
                <w:szCs w:val="16"/>
                <w:vertAlign w:val="superscript"/>
              </w:rPr>
              <w:t>[8][9][10]</w:t>
            </w:r>
          </w:p>
        </w:tc>
      </w:tr>
      <w:tr w:rsidR="003D7015" w14:paraId="79F86D9B" w14:textId="77777777" w:rsidTr="0023213C">
        <w:tc>
          <w:tcPr>
            <w:tcW w:w="1750" w:type="dxa"/>
          </w:tcPr>
          <w:p w14:paraId="36BF0E53" w14:textId="721FE808" w:rsidR="003D7015" w:rsidRPr="00AB78F5" w:rsidRDefault="003D7015" w:rsidP="003D7015">
            <w:pPr>
              <w:spacing w:after="40"/>
              <w:rPr>
                <w:sz w:val="16"/>
                <w:szCs w:val="16"/>
              </w:rPr>
            </w:pPr>
            <w:r w:rsidRPr="00AB78F5">
              <w:rPr>
                <w:sz w:val="16"/>
                <w:szCs w:val="16"/>
              </w:rPr>
              <w:t>Cengiz / Çayeli Bakır</w:t>
            </w:r>
          </w:p>
        </w:tc>
        <w:tc>
          <w:tcPr>
            <w:tcW w:w="2803" w:type="dxa"/>
          </w:tcPr>
          <w:p w14:paraId="5A9566A9" w14:textId="409C2702" w:rsidR="003D7015" w:rsidRPr="00AB78F5" w:rsidRDefault="003D7015" w:rsidP="003D7015">
            <w:pPr>
              <w:spacing w:after="40"/>
              <w:rPr>
                <w:sz w:val="16"/>
                <w:szCs w:val="16"/>
              </w:rPr>
            </w:pPr>
            <w:r w:rsidRPr="00AB78F5">
              <w:rPr>
                <w:sz w:val="16"/>
                <w:szCs w:val="16"/>
              </w:rPr>
              <w:t>Current owner/operator pathway for an operating copper-zinc mine following transfer to Cengiz Holding on 30 April 2026.</w:t>
            </w:r>
            <w:r w:rsidRPr="00AB78F5">
              <w:rPr>
                <w:sz w:val="16"/>
                <w:szCs w:val="16"/>
                <w:vertAlign w:val="superscript"/>
              </w:rPr>
              <w:t>[27]</w:t>
            </w:r>
          </w:p>
        </w:tc>
        <w:tc>
          <w:tcPr>
            <w:tcW w:w="4961" w:type="dxa"/>
          </w:tcPr>
          <w:p w14:paraId="27F84193" w14:textId="004BE9D5" w:rsidR="003D7015" w:rsidRPr="00AB78F5" w:rsidRDefault="003D7015" w:rsidP="003D7015">
            <w:pPr>
              <w:spacing w:after="40"/>
              <w:rPr>
                <w:sz w:val="16"/>
                <w:szCs w:val="16"/>
              </w:rPr>
            </w:pPr>
            <w:r w:rsidRPr="00AB78F5">
              <w:rPr>
                <w:sz w:val="16"/>
                <w:szCs w:val="16"/>
              </w:rPr>
              <w:t>Confirm current supplier qualification, responsible procurement entity and approved-vendor pathway.</w:t>
            </w:r>
            <w:r w:rsidRPr="00AB78F5">
              <w:rPr>
                <w:sz w:val="16"/>
                <w:szCs w:val="16"/>
                <w:vertAlign w:val="superscript"/>
              </w:rPr>
              <w:t>[21][27]</w:t>
            </w:r>
          </w:p>
        </w:tc>
      </w:tr>
      <w:tr w:rsidR="003D7015" w14:paraId="08945740" w14:textId="77777777" w:rsidTr="0023213C">
        <w:tc>
          <w:tcPr>
            <w:tcW w:w="1750" w:type="dxa"/>
          </w:tcPr>
          <w:p w14:paraId="4A91BEE8" w14:textId="77777777" w:rsidR="003D7015" w:rsidRPr="00AB78F5" w:rsidRDefault="003D7015" w:rsidP="003D7015">
            <w:pPr>
              <w:spacing w:after="40"/>
              <w:rPr>
                <w:sz w:val="16"/>
                <w:szCs w:val="16"/>
              </w:rPr>
            </w:pPr>
            <w:r w:rsidRPr="00AB78F5">
              <w:rPr>
                <w:sz w:val="16"/>
                <w:szCs w:val="16"/>
              </w:rPr>
              <w:t>Turkish EPCs / distributors</w:t>
            </w:r>
          </w:p>
        </w:tc>
        <w:tc>
          <w:tcPr>
            <w:tcW w:w="2803" w:type="dxa"/>
          </w:tcPr>
          <w:p w14:paraId="54559DD3" w14:textId="3805B3C4" w:rsidR="003D7015" w:rsidRPr="00AB78F5" w:rsidRDefault="003D7015" w:rsidP="003D7015">
            <w:pPr>
              <w:spacing w:after="40"/>
              <w:rPr>
                <w:sz w:val="16"/>
                <w:szCs w:val="16"/>
              </w:rPr>
            </w:pPr>
            <w:r w:rsidRPr="00AB78F5">
              <w:rPr>
                <w:sz w:val="16"/>
                <w:szCs w:val="16"/>
              </w:rPr>
              <w:t>Project delivery, fabrication, import, service and buyer access.</w:t>
            </w:r>
          </w:p>
        </w:tc>
        <w:tc>
          <w:tcPr>
            <w:tcW w:w="4961" w:type="dxa"/>
          </w:tcPr>
          <w:p w14:paraId="26438D66" w14:textId="7C70382F" w:rsidR="003D7015" w:rsidRPr="00AB78F5" w:rsidRDefault="003D7015" w:rsidP="003D7015">
            <w:pPr>
              <w:spacing w:after="40"/>
              <w:rPr>
                <w:sz w:val="16"/>
                <w:szCs w:val="16"/>
              </w:rPr>
            </w:pPr>
            <w:r w:rsidRPr="00AB78F5">
              <w:rPr>
                <w:sz w:val="16"/>
                <w:szCs w:val="16"/>
              </w:rPr>
              <w:t xml:space="preserve">Choose partners with mining references and technical service. </w:t>
            </w:r>
          </w:p>
        </w:tc>
      </w:tr>
    </w:tbl>
    <w:p w14:paraId="0583FEA6" w14:textId="77777777" w:rsidR="005418B9" w:rsidRDefault="005418B9" w:rsidP="005418B9">
      <w:pPr>
        <w:rPr>
          <w:color w:val="404040"/>
        </w:rPr>
      </w:pPr>
    </w:p>
    <w:p w14:paraId="79FBAEA2" w14:textId="0E96E546" w:rsidR="00EA2825" w:rsidRPr="00E91368" w:rsidRDefault="00EA2825">
      <w:pPr>
        <w:spacing w:after="200" w:line="276" w:lineRule="auto"/>
        <w:rPr>
          <w:rFonts w:asciiTheme="majorHAnsi" w:hAnsiTheme="majorHAnsi" w:cstheme="majorHAnsi"/>
          <w:szCs w:val="20"/>
        </w:rPr>
      </w:pPr>
    </w:p>
    <w:p w14:paraId="01774224" w14:textId="77777777" w:rsidR="00CC1061" w:rsidRDefault="00CC1061">
      <w:pPr>
        <w:spacing w:after="200" w:line="276" w:lineRule="auto"/>
        <w:rPr>
          <w:b/>
          <w:color w:val="ED7D31"/>
          <w:sz w:val="17"/>
        </w:rPr>
      </w:pPr>
      <w:r>
        <w:br w:type="page"/>
      </w:r>
    </w:p>
    <w:p w14:paraId="35D114E2" w14:textId="1C597C12" w:rsidR="00CD646E" w:rsidRDefault="00CD646E" w:rsidP="00917767">
      <w:pPr>
        <w:pStyle w:val="Heading3"/>
      </w:pPr>
      <w:r>
        <w:lastRenderedPageBreak/>
        <w:t xml:space="preserve">METS </w:t>
      </w:r>
      <w:r w:rsidR="00236CA4">
        <w:t>Case Study</w:t>
      </w:r>
      <w:r>
        <w:t xml:space="preserve"> </w:t>
      </w:r>
    </w:p>
    <w:p w14:paraId="311AFB91" w14:textId="57D53AD7" w:rsidR="00CD646E" w:rsidRDefault="00CD646E" w:rsidP="00917767">
      <w:pPr>
        <w:pStyle w:val="Heading3"/>
      </w:pPr>
      <w:r>
        <w:t xml:space="preserve">Austin Engineering: </w:t>
      </w:r>
      <w:r w:rsidR="002A051B">
        <w:t>supporting improved product</w:t>
      </w:r>
      <w:r w:rsidR="00FA1485">
        <w:t xml:space="preserve">ivity </w:t>
      </w:r>
      <w:r w:rsidR="00AC57E7">
        <w:t>in Türkiye for a global gold leader</w:t>
      </w:r>
    </w:p>
    <w:p w14:paraId="09F1F323" w14:textId="7909AAFD" w:rsidR="00B52FFA" w:rsidRPr="004522F1" w:rsidRDefault="009D5566" w:rsidP="00917767">
      <w:r w:rsidRPr="004522F1">
        <w:t xml:space="preserve">A common route to emerging markets for Australian METS companies is </w:t>
      </w:r>
      <w:r w:rsidR="00007DA0" w:rsidRPr="004522F1">
        <w:t>engagement</w:t>
      </w:r>
      <w:r w:rsidRPr="004522F1">
        <w:t xml:space="preserve"> with multinational or global mining companies that </w:t>
      </w:r>
      <w:r w:rsidR="00007DA0" w:rsidRPr="004522F1">
        <w:t xml:space="preserve">have the </w:t>
      </w:r>
      <w:r w:rsidR="00D03D61" w:rsidRPr="004522F1">
        <w:t>experience, bandwidth and capital to leverage the latest technological advancements in mining. This was the case for Austin Engineering and its expansion into Türkiye.</w:t>
      </w:r>
    </w:p>
    <w:p w14:paraId="7331BEDE" w14:textId="34C8E5BB" w:rsidR="00CD646E" w:rsidRPr="004522F1" w:rsidRDefault="00CD646E" w:rsidP="00917767">
      <w:r w:rsidRPr="004522F1">
        <w:t>During the COVID period, Eldorado Gold’s Turkish operation</w:t>
      </w:r>
      <w:r w:rsidR="00DD1DC3" w:rsidRPr="004522F1">
        <w:t>, Tüprag, </w:t>
      </w:r>
      <w:r w:rsidRPr="004522F1">
        <w:t xml:space="preserve">contacted Austin Engineering seeking to improve haulage payload and address a production constraint. </w:t>
      </w:r>
      <w:r w:rsidR="007B53B2" w:rsidRPr="004522F1">
        <w:t>Austin engaged</w:t>
      </w:r>
      <w:r w:rsidR="007D3707" w:rsidRPr="004522F1">
        <w:t xml:space="preserve"> in technical discussions</w:t>
      </w:r>
      <w:r w:rsidR="007B53B2" w:rsidRPr="004522F1">
        <w:t xml:space="preserve"> with Tüprag remotely, </w:t>
      </w:r>
      <w:r w:rsidR="007D3707" w:rsidRPr="004522F1">
        <w:t>presenting materials</w:t>
      </w:r>
      <w:r w:rsidR="00034852" w:rsidRPr="004522F1">
        <w:t>, proposals</w:t>
      </w:r>
      <w:r w:rsidR="007D3707" w:rsidRPr="004522F1">
        <w:t xml:space="preserve"> and reference cases to a</w:t>
      </w:r>
      <w:r w:rsidRPr="004522F1">
        <w:t xml:space="preserve"> site committee </w:t>
      </w:r>
      <w:r w:rsidR="007D3707" w:rsidRPr="004522F1">
        <w:t xml:space="preserve">that </w:t>
      </w:r>
      <w:r w:rsidRPr="004522F1">
        <w:t>assessed the</w:t>
      </w:r>
      <w:r w:rsidR="007D3707" w:rsidRPr="004522F1">
        <w:t>ir</w:t>
      </w:r>
      <w:r w:rsidRPr="004522F1">
        <w:t xml:space="preserve"> proposed lightweight truck</w:t>
      </w:r>
      <w:r w:rsidR="007D3707" w:rsidRPr="004522F1">
        <w:t xml:space="preserve"> </w:t>
      </w:r>
      <w:r w:rsidRPr="004522F1">
        <w:t xml:space="preserve">body </w:t>
      </w:r>
      <w:r w:rsidR="007D3707" w:rsidRPr="004522F1">
        <w:t xml:space="preserve">design. </w:t>
      </w:r>
    </w:p>
    <w:p w14:paraId="5DA6C16F" w14:textId="77777777" w:rsidR="00503837" w:rsidRPr="004522F1" w:rsidRDefault="00C503F2" w:rsidP="00917767">
      <w:r w:rsidRPr="004522F1">
        <w:t>Following these engagements, Austin received t</w:t>
      </w:r>
      <w:r w:rsidR="00CD646E" w:rsidRPr="004522F1">
        <w:t xml:space="preserve">he first order </w:t>
      </w:r>
      <w:r w:rsidRPr="004522F1">
        <w:t xml:space="preserve">of 11 units for trial. These were tested, validated and accepted in Turkish operating conditions, </w:t>
      </w:r>
      <w:r w:rsidR="00DE2EDA" w:rsidRPr="004522F1">
        <w:t>and two additional orders soon followed</w:t>
      </w:r>
      <w:r w:rsidR="00CD646E" w:rsidRPr="004522F1">
        <w:t xml:space="preserve">. </w:t>
      </w:r>
    </w:p>
    <w:p w14:paraId="09EB99CD" w14:textId="77777777" w:rsidR="00A02B5F" w:rsidRPr="004522F1" w:rsidRDefault="00A02B5F" w:rsidP="00917767">
      <w:r w:rsidRPr="004522F1">
        <w:t>Austin reports that while it was challenged with pricing due to distance of delivery, the client was willing to invest in the long-term cost and efficiency benefits of adopting a specialist solution, backed by international references, technical experience and quantified payload benefit.</w:t>
      </w:r>
    </w:p>
    <w:p w14:paraId="675658E7" w14:textId="66594652" w:rsidR="00F83BEA" w:rsidRPr="004522F1" w:rsidRDefault="00CD646E" w:rsidP="00917767">
      <w:r w:rsidRPr="004522F1">
        <w:t>Delivery combined remote technical support with site visits, welding procedures, inspections, training tools and Austin’s AustIQ condition</w:t>
      </w:r>
      <w:r w:rsidR="009D7896" w:rsidRPr="004522F1">
        <w:t xml:space="preserve"> </w:t>
      </w:r>
      <w:r w:rsidRPr="004522F1">
        <w:t xml:space="preserve">monitoring platform. </w:t>
      </w:r>
      <w:r w:rsidR="00650011" w:rsidRPr="004522F1">
        <w:t xml:space="preserve">While </w:t>
      </w:r>
      <w:r w:rsidRPr="004522F1">
        <w:t xml:space="preserve">Austin </w:t>
      </w:r>
      <w:r w:rsidR="004D42A1" w:rsidRPr="004522F1">
        <w:t xml:space="preserve">has yet </w:t>
      </w:r>
      <w:r w:rsidR="00170E95" w:rsidRPr="004522F1">
        <w:t>to establish</w:t>
      </w:r>
      <w:r w:rsidRPr="004522F1">
        <w:t xml:space="preserve"> a Turkish entity</w:t>
      </w:r>
      <w:r w:rsidR="00650011" w:rsidRPr="004522F1">
        <w:t xml:space="preserve">, their delivery and follow-up support </w:t>
      </w:r>
      <w:r w:rsidRPr="004522F1">
        <w:t xml:space="preserve">enabled </w:t>
      </w:r>
      <w:r w:rsidR="00650011" w:rsidRPr="004522F1">
        <w:t>Tüprag’s operational team</w:t>
      </w:r>
      <w:r w:rsidRPr="004522F1">
        <w:t xml:space="preserve"> to inspect</w:t>
      </w:r>
      <w:r w:rsidR="00650011" w:rsidRPr="004522F1">
        <w:t>,</w:t>
      </w:r>
      <w:r w:rsidRPr="004522F1">
        <w:t xml:space="preserve"> maintain</w:t>
      </w:r>
      <w:r w:rsidR="00650011" w:rsidRPr="004522F1">
        <w:t xml:space="preserve"> and maximise</w:t>
      </w:r>
      <w:r w:rsidRPr="004522F1">
        <w:t xml:space="preserve"> the equipment. </w:t>
      </w:r>
    </w:p>
    <w:p w14:paraId="43ADDE4B" w14:textId="76F9D846" w:rsidR="00CD646E" w:rsidRPr="004522F1" w:rsidRDefault="00F83BEA" w:rsidP="00917767">
      <w:r w:rsidRPr="004522F1">
        <w:t xml:space="preserve">During this process, Austin undertook </w:t>
      </w:r>
      <w:r w:rsidR="0099710B" w:rsidRPr="004522F1">
        <w:t>careful risk assessment and best practice procedures from potential challenges of doing business in</w:t>
      </w:r>
      <w:r w:rsidR="009A6149" w:rsidRPr="004522F1">
        <w:t xml:space="preserve"> Türkiye</w:t>
      </w:r>
      <w:r w:rsidR="0099710B" w:rsidRPr="004522F1">
        <w:t xml:space="preserve">, such as transacting </w:t>
      </w:r>
      <w:r w:rsidR="00170E95" w:rsidRPr="004522F1">
        <w:t>in multiple currencies</w:t>
      </w:r>
      <w:r w:rsidR="00CD646E" w:rsidRPr="004522F1">
        <w:t xml:space="preserve">, </w:t>
      </w:r>
      <w:r w:rsidR="007643B0" w:rsidRPr="004522F1">
        <w:t>contractual</w:t>
      </w:r>
      <w:r w:rsidR="00CD646E" w:rsidRPr="004522F1">
        <w:t xml:space="preserve"> milestone payments</w:t>
      </w:r>
      <w:r w:rsidR="007643B0" w:rsidRPr="004522F1">
        <w:t xml:space="preserve">, and collaborating with their partners on logistics. </w:t>
      </w:r>
    </w:p>
    <w:p w14:paraId="0035C09C" w14:textId="4793CF06" w:rsidR="007C3826" w:rsidRDefault="00B47FF8" w:rsidP="007C3826">
      <w:r w:rsidRPr="004522F1">
        <w:t xml:space="preserve">Austin’s experience demonstrates that </w:t>
      </w:r>
      <w:r w:rsidR="008C559C" w:rsidRPr="004522F1">
        <w:t xml:space="preserve">Australian METS businesses should identify the strategic accounts that are seeking </w:t>
      </w:r>
      <w:r w:rsidR="007D797D" w:rsidRPr="004522F1">
        <w:t xml:space="preserve">to raise technical standards through </w:t>
      </w:r>
      <w:r w:rsidR="008C559C" w:rsidRPr="004522F1">
        <w:t xml:space="preserve">exposure to </w:t>
      </w:r>
      <w:r w:rsidR="007D797D" w:rsidRPr="004522F1">
        <w:t>international solution providers</w:t>
      </w:r>
      <w:r w:rsidR="00CD646E" w:rsidRPr="004522F1">
        <w:t xml:space="preserve">. </w:t>
      </w:r>
      <w:r w:rsidR="006C2D22" w:rsidRPr="004522F1">
        <w:t xml:space="preserve">While the broader Turkish market may be more price sensitive, this case study </w:t>
      </w:r>
      <w:r w:rsidR="00897F9F" w:rsidRPr="004522F1">
        <w:t>highlights the</w:t>
      </w:r>
      <w:r w:rsidR="004E765B" w:rsidRPr="004522F1">
        <w:t xml:space="preserve"> successful</w:t>
      </w:r>
      <w:r w:rsidR="00897F9F" w:rsidRPr="004522F1">
        <w:t xml:space="preserve"> application of Australian technology in </w:t>
      </w:r>
      <w:r w:rsidR="004E765B" w:rsidRPr="004522F1">
        <w:t xml:space="preserve">local operating conditions. </w:t>
      </w:r>
    </w:p>
    <w:p w14:paraId="5DB9F678" w14:textId="26F3BD09" w:rsidR="007C3826" w:rsidRDefault="007C3826" w:rsidP="007C3826"/>
    <w:p w14:paraId="42313070" w14:textId="03FD4C53" w:rsidR="001366C8" w:rsidRDefault="001366C8" w:rsidP="007C3826">
      <w:pPr>
        <w:pStyle w:val="Quote1"/>
      </w:pPr>
      <w:r>
        <w:t>“</w:t>
      </w:r>
      <w:r w:rsidR="008374B1" w:rsidRPr="008374B1">
        <w:t>It wasn’t about being local. It was about us partnering with them and provid</w:t>
      </w:r>
      <w:r w:rsidR="003E274D">
        <w:t>ing</w:t>
      </w:r>
      <w:r w:rsidR="008374B1" w:rsidRPr="008374B1">
        <w:t xml:space="preserve"> the tools to train their people</w:t>
      </w:r>
      <w:r>
        <w:t>.”</w:t>
      </w:r>
    </w:p>
    <w:p w14:paraId="741C002B" w14:textId="08F7AFF8" w:rsidR="001366C8" w:rsidRDefault="001366C8" w:rsidP="007C3826">
      <w:pPr>
        <w:pStyle w:val="quotename"/>
      </w:pPr>
      <w:r>
        <w:t xml:space="preserve">- Brad Higgins, Austin Engineering </w:t>
      </w:r>
    </w:p>
    <w:p w14:paraId="113D81D8" w14:textId="77777777" w:rsidR="00F84875" w:rsidRDefault="00F84875">
      <w:pPr>
        <w:spacing w:after="200" w:line="276" w:lineRule="auto"/>
      </w:pPr>
      <w:r>
        <w:br w:type="page"/>
      </w:r>
    </w:p>
    <w:p w14:paraId="79647ACA" w14:textId="77777777" w:rsidR="00D47555" w:rsidRDefault="00D47555" w:rsidP="007C3826">
      <w:pPr>
        <w:pStyle w:val="Heading3"/>
      </w:pPr>
      <w:r>
        <w:lastRenderedPageBreak/>
        <w:t>Market entry and delivery expectations</w:t>
      </w:r>
    </w:p>
    <w:p w14:paraId="2DE2EA9B" w14:textId="77777777" w:rsidR="00320EDC" w:rsidRPr="00320EDC" w:rsidRDefault="00320EDC" w:rsidP="00320EDC">
      <w:pPr>
        <w:spacing w:after="60" w:line="240" w:lineRule="auto"/>
        <w:rPr>
          <w:color w:val="404040"/>
        </w:rPr>
      </w:pPr>
      <w:r w:rsidRPr="00320EDC">
        <w:rPr>
          <w:color w:val="404040"/>
        </w:rPr>
        <w:t>Türkiye’s investment framework provides equal treatment for international and domestic investors. This does not mean every procurement is commercially neutral, and it does not remove tax, customs, work-permit, certification or contracting requirements.</w:t>
      </w:r>
      <w:r w:rsidRPr="00CE6EE6">
        <w:rPr>
          <w:color w:val="404040"/>
          <w:vertAlign w:val="superscript"/>
        </w:rPr>
        <w:t>[25]</w:t>
      </w:r>
    </w:p>
    <w:p w14:paraId="754F1253" w14:textId="77777777" w:rsidR="00320EDC" w:rsidRPr="00320EDC" w:rsidRDefault="00320EDC" w:rsidP="00320EDC">
      <w:pPr>
        <w:spacing w:after="60" w:line="240" w:lineRule="auto"/>
        <w:rPr>
          <w:color w:val="404040"/>
        </w:rPr>
      </w:pPr>
      <w:r w:rsidRPr="00320EDC">
        <w:rPr>
          <w:color w:val="404040"/>
        </w:rPr>
        <w:t>For machinery within the relevant scope, the Ministry of Trade’s Product Rules Database identifies CE marking and conformity-assessment requirements. Requirements differ by product and use, so suppliers should confirm the applicable Turkish regulation, declaration, standards, importer responsibility and Turkish-language documentation before shipment.</w:t>
      </w:r>
      <w:r w:rsidRPr="00CE6EE6">
        <w:rPr>
          <w:color w:val="404040"/>
          <w:vertAlign w:val="superscript"/>
        </w:rPr>
        <w:t>[26]</w:t>
      </w:r>
    </w:p>
    <w:p w14:paraId="757EE812" w14:textId="77777777" w:rsidR="00320EDC" w:rsidRPr="00320EDC" w:rsidRDefault="00320EDC" w:rsidP="00320EDC">
      <w:pPr>
        <w:spacing w:after="60" w:line="240" w:lineRule="auto"/>
        <w:rPr>
          <w:color w:val="404040"/>
        </w:rPr>
      </w:pPr>
      <w:r w:rsidRPr="00320EDC">
        <w:rPr>
          <w:color w:val="404040"/>
        </w:rPr>
        <w:t>Currency movements and bid-validity periods can affect the competitiveness of imported equipment and services, particularly for longer procurement processes. The relevance of these factors will depend on the customer, contract structure and transaction currency.</w:t>
      </w:r>
    </w:p>
    <w:p w14:paraId="2099E65D" w14:textId="77777777" w:rsidR="00320EDC" w:rsidRPr="00320EDC" w:rsidRDefault="00320EDC" w:rsidP="00320EDC">
      <w:pPr>
        <w:spacing w:after="60" w:line="240" w:lineRule="auto"/>
        <w:rPr>
          <w:color w:val="404040"/>
        </w:rPr>
      </w:pPr>
      <w:r w:rsidRPr="00320EDC">
        <w:rPr>
          <w:color w:val="404040"/>
        </w:rPr>
        <w:t>Commercial arrangements need to address currency, bid validity, indexation, tax and duty, warranty, acceptance and payment terms. For partner-supported delivery, service levels, territory, customer ownership and anti-bribery responsibilities also matter. Open-ended Turkish-lira exposure and unclear commissioning-acceptance criteria can weaken an otherwise sound commercial proposition. Inventory, repair or engineering investment is most relevant where recurring demand and response-time requirements justify the cost.</w:t>
      </w:r>
    </w:p>
    <w:p w14:paraId="77A0555B" w14:textId="4B273FF2" w:rsidR="000812A3" w:rsidRDefault="00320EDC" w:rsidP="00320EDC">
      <w:pPr>
        <w:spacing w:after="60" w:line="240" w:lineRule="auto"/>
      </w:pPr>
      <w:r w:rsidRPr="00320EDC">
        <w:rPr>
          <w:color w:val="404040"/>
        </w:rPr>
        <w:t>The Mining Türkiye expo held every two years in Istanbul serves as a strong starting point for market intelligence and customer and partner engagement. This event brings together around 800 international companies, industry representatives, and engineering solution providers. The Australian Turkish Chamber of Commerce is also well positioned to help companies understand operating complexities, key networks and market entry pathways.</w:t>
      </w:r>
      <w:r w:rsidR="00250091">
        <w:rPr>
          <w:rFonts w:asciiTheme="majorHAnsi" w:hAnsiTheme="majorHAnsi" w:cstheme="majorHAnsi"/>
          <w:szCs w:val="20"/>
        </w:rPr>
        <w:br/>
      </w:r>
    </w:p>
    <w:p w14:paraId="6EB7608C" w14:textId="77777777" w:rsidR="007C3826" w:rsidRDefault="000812A3" w:rsidP="007C3826">
      <w:pPr>
        <w:pStyle w:val="Quote1"/>
      </w:pPr>
      <w:r>
        <w:t>“</w:t>
      </w:r>
      <w:r w:rsidRPr="00B34B19">
        <w:t>For Australian companies, they definitely need very good, reliable local partners.</w:t>
      </w:r>
      <w:r>
        <w:t xml:space="preserve">” </w:t>
      </w:r>
    </w:p>
    <w:p w14:paraId="40B2A1A7" w14:textId="6FA381CC" w:rsidR="00BB68D3" w:rsidRDefault="007C3826" w:rsidP="007C3826">
      <w:pPr>
        <w:pStyle w:val="quotename"/>
      </w:pPr>
      <w:r w:rsidRPr="007C3826">
        <w:rPr>
          <w:b/>
          <w:i/>
          <w:color w:val="1F4E79"/>
          <w:sz w:val="25"/>
        </w:rPr>
        <w:t>-</w:t>
      </w:r>
      <w:r>
        <w:t xml:space="preserve"> </w:t>
      </w:r>
      <w:r w:rsidR="000812A3" w:rsidRPr="003F5E8E">
        <w:t>Fevzi Durunesil,</w:t>
      </w:r>
      <w:r w:rsidR="00A13D45">
        <w:t xml:space="preserve"> General Manager,</w:t>
      </w:r>
      <w:r w:rsidR="000812A3" w:rsidRPr="003F5E8E">
        <w:t xml:space="preserve"> FESA</w:t>
      </w:r>
      <w:r w:rsidR="000812A3">
        <w:t xml:space="preserve"> </w:t>
      </w:r>
    </w:p>
    <w:p w14:paraId="4A05F001" w14:textId="0AA5DFB3" w:rsidR="003306A2" w:rsidRDefault="003306A2" w:rsidP="007C3826">
      <w:pPr>
        <w:pStyle w:val="Heading3"/>
      </w:pPr>
      <w:r>
        <w:t xml:space="preserve">Gekko Systems: </w:t>
      </w:r>
      <w:r w:rsidR="00A239BE">
        <w:t>Entering Türkiye with Specialised Solutions and Local Partnerships</w:t>
      </w:r>
    </w:p>
    <w:p w14:paraId="2BDE5DE4" w14:textId="5EC85010" w:rsidR="0044321B" w:rsidRDefault="00545A99" w:rsidP="007C3826">
      <w:r>
        <w:t>Gekko Systems</w:t>
      </w:r>
      <w:r w:rsidR="005F3941">
        <w:t>, an Australian leader i</w:t>
      </w:r>
      <w:r w:rsidR="005F3941" w:rsidRPr="00545A99">
        <w:t>n gold processing and low-energy mining solutions</w:t>
      </w:r>
      <w:r w:rsidR="005F3941">
        <w:t>,</w:t>
      </w:r>
      <w:r w:rsidR="00C445A3">
        <w:t xml:space="preserve"> were first approached by FESA</w:t>
      </w:r>
      <w:r w:rsidR="005F3941">
        <w:t xml:space="preserve">, </w:t>
      </w:r>
      <w:r w:rsidR="00ED5C77" w:rsidRPr="00ED5C77">
        <w:t>an industrial engineering and equipment company</w:t>
      </w:r>
      <w:r w:rsidR="007E0D5D">
        <w:t xml:space="preserve"> based in Ankara, </w:t>
      </w:r>
      <w:r w:rsidR="00477192">
        <w:t>to support projects in Ghana and Liberia with their highly specialised</w:t>
      </w:r>
      <w:r w:rsidR="00CA4BDC">
        <w:t xml:space="preserve"> </w:t>
      </w:r>
      <w:r w:rsidR="00BA1B30">
        <w:t xml:space="preserve">processing technologies. </w:t>
      </w:r>
      <w:r w:rsidR="00036952">
        <w:t xml:space="preserve">Following three years of </w:t>
      </w:r>
      <w:r w:rsidR="0044321B">
        <w:t xml:space="preserve">building a strong track record in the region, Gekko </w:t>
      </w:r>
      <w:r w:rsidR="008562F7" w:rsidRPr="008562F7">
        <w:t>sign</w:t>
      </w:r>
      <w:r w:rsidR="0044321B">
        <w:t>ed</w:t>
      </w:r>
      <w:r w:rsidR="008562F7" w:rsidRPr="008562F7">
        <w:t xml:space="preserve"> an agency agreement with</w:t>
      </w:r>
      <w:r w:rsidR="008562F7">
        <w:t xml:space="preserve"> </w:t>
      </w:r>
      <w:r w:rsidR="00353B01">
        <w:t xml:space="preserve">FESA in 2024. </w:t>
      </w:r>
    </w:p>
    <w:p w14:paraId="303FFF9F" w14:textId="789E9562" w:rsidR="005A5827" w:rsidRDefault="00257B9E" w:rsidP="007C3826">
      <w:pPr>
        <w:rPr>
          <w:color w:val="404040"/>
        </w:rPr>
      </w:pPr>
      <w:r w:rsidRPr="00BD1EA8">
        <w:t xml:space="preserve">Fevzi Durunesil, General Manager, FESA describes </w:t>
      </w:r>
      <w:r w:rsidRPr="00BD1EA8">
        <w:rPr>
          <w:color w:val="404040"/>
        </w:rPr>
        <w:t xml:space="preserve">Türkiye as </w:t>
      </w:r>
      <w:r w:rsidR="00BD1EA8" w:rsidRPr="00BD1EA8">
        <w:rPr>
          <w:color w:val="404040"/>
        </w:rPr>
        <w:t>a</w:t>
      </w:r>
      <w:r w:rsidR="00D679AE">
        <w:rPr>
          <w:color w:val="404040"/>
        </w:rPr>
        <w:t>n</w:t>
      </w:r>
      <w:r w:rsidR="00BD1EA8" w:rsidRPr="00BD1EA8">
        <w:rPr>
          <w:color w:val="404040"/>
        </w:rPr>
        <w:t xml:space="preserve"> i</w:t>
      </w:r>
      <w:r w:rsidR="00BD1EA8">
        <w:rPr>
          <w:color w:val="404040"/>
        </w:rPr>
        <w:t>ncreasingly price sensitive market</w:t>
      </w:r>
      <w:r w:rsidR="005A5827">
        <w:rPr>
          <w:color w:val="404040"/>
        </w:rPr>
        <w:t xml:space="preserve">, especially </w:t>
      </w:r>
      <w:r w:rsidR="00FA600A">
        <w:rPr>
          <w:color w:val="404040"/>
        </w:rPr>
        <w:t>for government pr</w:t>
      </w:r>
      <w:r w:rsidR="00953E4B">
        <w:rPr>
          <w:color w:val="404040"/>
        </w:rPr>
        <w:t xml:space="preserve">ocurement opportunities in the mining industry. </w:t>
      </w:r>
      <w:r w:rsidR="008F6983">
        <w:rPr>
          <w:color w:val="404040"/>
        </w:rPr>
        <w:t xml:space="preserve">For many </w:t>
      </w:r>
      <w:r w:rsidR="00DD6E57">
        <w:rPr>
          <w:color w:val="404040"/>
        </w:rPr>
        <w:t xml:space="preserve">suppliers, this has </w:t>
      </w:r>
      <w:r w:rsidR="00E36F9E">
        <w:rPr>
          <w:color w:val="404040"/>
        </w:rPr>
        <w:t xml:space="preserve">reduced competitiveness, especially </w:t>
      </w:r>
      <w:r w:rsidR="00AE1D3F">
        <w:rPr>
          <w:color w:val="404040"/>
        </w:rPr>
        <w:t xml:space="preserve">with a growing presence of Chinese manufacturers </w:t>
      </w:r>
      <w:r w:rsidR="00953724">
        <w:rPr>
          <w:color w:val="404040"/>
        </w:rPr>
        <w:t xml:space="preserve">often </w:t>
      </w:r>
      <w:r w:rsidR="00AE1D3F">
        <w:rPr>
          <w:color w:val="404040"/>
        </w:rPr>
        <w:t>offering lower price</w:t>
      </w:r>
      <w:r w:rsidR="00282567">
        <w:rPr>
          <w:color w:val="404040"/>
        </w:rPr>
        <w:t xml:space="preserve">s, faster delivery and more flexible payment terms. </w:t>
      </w:r>
      <w:r w:rsidR="00953E4B">
        <w:rPr>
          <w:color w:val="404040"/>
        </w:rPr>
        <w:t xml:space="preserve"> </w:t>
      </w:r>
    </w:p>
    <w:p w14:paraId="5EEB77DE" w14:textId="77777777" w:rsidR="002A3BD1" w:rsidRDefault="002A3BD1" w:rsidP="007C3826">
      <w:pPr>
        <w:rPr>
          <w:color w:val="404040"/>
        </w:rPr>
      </w:pPr>
      <w:r w:rsidRPr="002A3BD1">
        <w:rPr>
          <w:color w:val="404040"/>
        </w:rPr>
        <w:t>FESA saw an opportunity for Gekko’s specialist equipment and technical knowledge in applications where local alternatives did not meet the same need. It also valued Gekko’s willingness to adapt to local regulatory and commercial requirements.</w:t>
      </w:r>
    </w:p>
    <w:p w14:paraId="1A3A755C" w14:textId="0464D471" w:rsidR="00715238" w:rsidRDefault="00715238" w:rsidP="007C3826">
      <w:pPr>
        <w:rPr>
          <w:color w:val="404040"/>
        </w:rPr>
      </w:pPr>
      <w:r>
        <w:rPr>
          <w:color w:val="404040"/>
        </w:rPr>
        <w:t xml:space="preserve">With increasing activity in the gold mining sector and </w:t>
      </w:r>
      <w:r w:rsidR="00EC51E3">
        <w:rPr>
          <w:color w:val="404040"/>
        </w:rPr>
        <w:t xml:space="preserve">operators starting to </w:t>
      </w:r>
      <w:r w:rsidR="00637084">
        <w:rPr>
          <w:color w:val="404040"/>
        </w:rPr>
        <w:t xml:space="preserve">look at </w:t>
      </w:r>
      <w:r w:rsidR="00C27FCF">
        <w:rPr>
          <w:color w:val="404040"/>
        </w:rPr>
        <w:t>highly complex</w:t>
      </w:r>
      <w:r w:rsidR="00754AAE">
        <w:rPr>
          <w:color w:val="404040"/>
        </w:rPr>
        <w:t xml:space="preserve"> processing applications</w:t>
      </w:r>
      <w:r w:rsidR="00C27FCF">
        <w:rPr>
          <w:color w:val="404040"/>
        </w:rPr>
        <w:t>,</w:t>
      </w:r>
      <w:r w:rsidR="00754AAE">
        <w:rPr>
          <w:color w:val="404040"/>
        </w:rPr>
        <w:t xml:space="preserve"> such as re-processing tailings, Fevzi believes that Gekko has </w:t>
      </w:r>
      <w:r w:rsidR="00D057D7">
        <w:rPr>
          <w:color w:val="404040"/>
        </w:rPr>
        <w:t xml:space="preserve">strong future potential in the region. </w:t>
      </w:r>
    </w:p>
    <w:p w14:paraId="4441A0FE" w14:textId="10355152" w:rsidR="00D057D7" w:rsidRDefault="00EF4B9C" w:rsidP="007C3826">
      <w:pPr>
        <w:rPr>
          <w:color w:val="404040"/>
        </w:rPr>
      </w:pPr>
      <w:r>
        <w:rPr>
          <w:color w:val="404040"/>
        </w:rPr>
        <w:t xml:space="preserve">Despite this, Fevzi cautions that Australian companies </w:t>
      </w:r>
      <w:r w:rsidR="007D559C">
        <w:rPr>
          <w:color w:val="404040"/>
        </w:rPr>
        <w:t xml:space="preserve">must conduct significant due diligence to find that right local partner </w:t>
      </w:r>
      <w:r w:rsidR="00F1131E">
        <w:rPr>
          <w:color w:val="404040"/>
        </w:rPr>
        <w:t xml:space="preserve">that offers reliable, </w:t>
      </w:r>
      <w:r w:rsidR="00F16991">
        <w:rPr>
          <w:color w:val="404040"/>
        </w:rPr>
        <w:t xml:space="preserve">wide coverage without </w:t>
      </w:r>
      <w:r w:rsidR="00463716">
        <w:rPr>
          <w:color w:val="404040"/>
        </w:rPr>
        <w:t xml:space="preserve">many competing product lines. </w:t>
      </w:r>
      <w:r w:rsidR="00EE0C49">
        <w:rPr>
          <w:color w:val="404040"/>
        </w:rPr>
        <w:t xml:space="preserve">This will support in </w:t>
      </w:r>
      <w:r w:rsidR="002C5842">
        <w:rPr>
          <w:color w:val="404040"/>
        </w:rPr>
        <w:t>developing the market, screening potential customers</w:t>
      </w:r>
      <w:r w:rsidR="00B42554">
        <w:rPr>
          <w:color w:val="404040"/>
        </w:rPr>
        <w:t>, managing language a</w:t>
      </w:r>
      <w:r w:rsidR="00BE79AB">
        <w:rPr>
          <w:color w:val="404040"/>
        </w:rPr>
        <w:t>nd time</w:t>
      </w:r>
      <w:r w:rsidR="00D26B8B">
        <w:rPr>
          <w:color w:val="404040"/>
        </w:rPr>
        <w:t xml:space="preserve"> </w:t>
      </w:r>
      <w:r w:rsidR="00BE79AB">
        <w:rPr>
          <w:color w:val="404040"/>
        </w:rPr>
        <w:t xml:space="preserve">zone risk, and </w:t>
      </w:r>
      <w:r w:rsidR="002D6EEA">
        <w:rPr>
          <w:color w:val="404040"/>
        </w:rPr>
        <w:t xml:space="preserve">taking care of importation and payments. </w:t>
      </w:r>
    </w:p>
    <w:p w14:paraId="0291413C" w14:textId="5A548E10" w:rsidR="002F048D" w:rsidRDefault="00A12F24" w:rsidP="007C3826">
      <w:r>
        <w:rPr>
          <w:color w:val="404040"/>
        </w:rPr>
        <w:lastRenderedPageBreak/>
        <w:t>This case study demonstrates the value of a</w:t>
      </w:r>
      <w:r w:rsidR="007A72D8">
        <w:rPr>
          <w:color w:val="404040"/>
        </w:rPr>
        <w:t xml:space="preserve"> well-</w:t>
      </w:r>
      <w:r w:rsidR="00D24C0C">
        <w:rPr>
          <w:color w:val="404040"/>
        </w:rPr>
        <w:t xml:space="preserve">researched local partner in </w:t>
      </w:r>
      <w:r w:rsidR="00967108">
        <w:rPr>
          <w:color w:val="404040"/>
        </w:rPr>
        <w:t xml:space="preserve">accessing the Turkish market, along with neighbouring mining jurisdictions. </w:t>
      </w:r>
      <w:r w:rsidR="005D7BD7">
        <w:rPr>
          <w:color w:val="404040"/>
        </w:rPr>
        <w:t xml:space="preserve"> </w:t>
      </w:r>
    </w:p>
    <w:p w14:paraId="2B2E508D" w14:textId="77777777" w:rsidR="00256CCB" w:rsidRDefault="00256CCB" w:rsidP="00256CCB">
      <w:pPr>
        <w:rPr>
          <w:rFonts w:asciiTheme="majorHAnsi" w:eastAsiaTheme="majorEastAsia" w:hAnsiTheme="majorHAnsi" w:cstheme="majorHAnsi"/>
          <w:b/>
          <w:bCs/>
          <w:color w:val="1F4E79"/>
          <w:szCs w:val="20"/>
        </w:rPr>
      </w:pPr>
    </w:p>
    <w:p w14:paraId="03491FF7" w14:textId="72D301F3" w:rsidR="00EA6308" w:rsidRPr="00E91368" w:rsidRDefault="00EA6308" w:rsidP="00C116F5">
      <w:pPr>
        <w:pStyle w:val="ListBullet"/>
        <w:rPr>
          <w:rFonts w:asciiTheme="majorHAnsi" w:eastAsiaTheme="majorEastAsia" w:hAnsiTheme="majorHAnsi" w:cstheme="majorHAnsi"/>
          <w:b/>
          <w:bCs/>
          <w:color w:val="1F4E79"/>
          <w:szCs w:val="20"/>
        </w:rPr>
      </w:pPr>
      <w:r w:rsidRPr="00E91368">
        <w:rPr>
          <w:rFonts w:asciiTheme="majorHAnsi" w:hAnsiTheme="majorHAnsi" w:cstheme="majorHAnsi"/>
          <w:szCs w:val="20"/>
        </w:rPr>
        <w:br w:type="page"/>
      </w:r>
    </w:p>
    <w:p w14:paraId="06C78F48" w14:textId="698EB012" w:rsidR="00535585" w:rsidRDefault="00535585" w:rsidP="00C21C1F">
      <w:pPr>
        <w:pStyle w:val="Heading3"/>
      </w:pPr>
      <w:r w:rsidRPr="00535585">
        <w:lastRenderedPageBreak/>
        <w:t>Comparative outlook for Australian METS</w:t>
      </w:r>
    </w:p>
    <w:p w14:paraId="110D71DC" w14:textId="7516CD1C" w:rsidR="003D0D06" w:rsidRPr="00C21C1F" w:rsidRDefault="003D0D06" w:rsidP="00693425">
      <w:pPr>
        <w:rPr>
          <w:rFonts w:cstheme="majorHAnsi"/>
          <w:b/>
          <w:bCs/>
          <w:i/>
          <w:iCs/>
          <w:szCs w:val="20"/>
        </w:rPr>
      </w:pPr>
      <w:r w:rsidRPr="00C21C1F">
        <w:rPr>
          <w:rFonts w:cstheme="majorHAnsi"/>
          <w:b/>
          <w:bCs/>
          <w:i/>
          <w:iCs/>
          <w:szCs w:val="20"/>
        </w:rPr>
        <w:t>Balancing opportunity scale, capability alignment and commercial accessibility</w:t>
      </w:r>
    </w:p>
    <w:p w14:paraId="1DB92F99" w14:textId="77777777" w:rsidR="009C39B2" w:rsidRDefault="004B05B4" w:rsidP="002A3454">
      <w:pPr>
        <w:spacing w:after="60" w:line="240" w:lineRule="auto"/>
        <w:rPr>
          <w:color w:val="404040"/>
        </w:rPr>
      </w:pPr>
      <w:r w:rsidRPr="004B05B4">
        <w:rPr>
          <w:color w:val="404040"/>
        </w:rPr>
        <w:t>The table below compares current opportunities, commercial constraints and practical engagement routes across the five marke</w:t>
      </w:r>
      <w:r>
        <w:rPr>
          <w:color w:val="404040"/>
        </w:rPr>
        <w:t xml:space="preserve">ts. </w:t>
      </w:r>
    </w:p>
    <w:p w14:paraId="21CB58C6" w14:textId="77777777" w:rsidR="002A3454" w:rsidRPr="002A3454" w:rsidRDefault="002A3454" w:rsidP="002A3454"/>
    <w:tbl>
      <w:tblPr>
        <w:tblStyle w:val="TableGrid"/>
        <w:tblW w:w="9918" w:type="dxa"/>
        <w:tblLayout w:type="fixed"/>
        <w:tblCellMar>
          <w:top w:w="57" w:type="dxa"/>
          <w:bottom w:w="57" w:type="dxa"/>
        </w:tblCellMar>
        <w:tblLook w:val="04A0" w:firstRow="1" w:lastRow="0" w:firstColumn="1" w:lastColumn="0" w:noHBand="0" w:noVBand="1"/>
      </w:tblPr>
      <w:tblGrid>
        <w:gridCol w:w="1271"/>
        <w:gridCol w:w="2835"/>
        <w:gridCol w:w="2964"/>
        <w:gridCol w:w="2848"/>
      </w:tblGrid>
      <w:tr w:rsidR="00675130" w:rsidRPr="002A3454" w14:paraId="75EF0634" w14:textId="77777777" w:rsidTr="00E00397">
        <w:tc>
          <w:tcPr>
            <w:tcW w:w="1271" w:type="dxa"/>
            <w:shd w:val="clear" w:color="auto" w:fill="173F34" w:themeFill="accent1"/>
            <w:vAlign w:val="center"/>
          </w:tcPr>
          <w:p w14:paraId="76019F57" w14:textId="77777777" w:rsidR="00675130" w:rsidRPr="00E00397" w:rsidRDefault="00675130" w:rsidP="00E00397">
            <w:pPr>
              <w:spacing w:after="60" w:line="240" w:lineRule="auto"/>
              <w:rPr>
                <w:b/>
                <w:bCs/>
                <w:color w:val="FFFFFF" w:themeColor="background1"/>
                <w:sz w:val="16"/>
                <w:szCs w:val="18"/>
              </w:rPr>
            </w:pPr>
            <w:r w:rsidRPr="00E00397">
              <w:rPr>
                <w:b/>
                <w:bCs/>
                <w:color w:val="FFFFFF" w:themeColor="background1"/>
                <w:sz w:val="16"/>
                <w:szCs w:val="18"/>
              </w:rPr>
              <w:t>Market</w:t>
            </w:r>
          </w:p>
        </w:tc>
        <w:tc>
          <w:tcPr>
            <w:tcW w:w="2835" w:type="dxa"/>
            <w:shd w:val="clear" w:color="auto" w:fill="173F34" w:themeFill="accent1"/>
            <w:vAlign w:val="center"/>
          </w:tcPr>
          <w:p w14:paraId="374AB61B" w14:textId="77777777" w:rsidR="00675130" w:rsidRPr="00E00397" w:rsidRDefault="00675130" w:rsidP="00E00397">
            <w:pPr>
              <w:spacing w:after="60" w:line="240" w:lineRule="auto"/>
              <w:rPr>
                <w:b/>
                <w:bCs/>
                <w:color w:val="FFFFFF" w:themeColor="background1"/>
                <w:sz w:val="16"/>
                <w:szCs w:val="18"/>
              </w:rPr>
            </w:pPr>
            <w:r w:rsidRPr="00E00397">
              <w:rPr>
                <w:b/>
                <w:bCs/>
                <w:color w:val="FFFFFF" w:themeColor="background1"/>
                <w:sz w:val="16"/>
                <w:szCs w:val="18"/>
              </w:rPr>
              <w:t>Current opportunity</w:t>
            </w:r>
          </w:p>
        </w:tc>
        <w:tc>
          <w:tcPr>
            <w:tcW w:w="2964" w:type="dxa"/>
            <w:shd w:val="clear" w:color="auto" w:fill="173F34" w:themeFill="accent1"/>
            <w:vAlign w:val="center"/>
          </w:tcPr>
          <w:p w14:paraId="4838FA0E" w14:textId="153297A0" w:rsidR="00675130" w:rsidRPr="00E00397" w:rsidRDefault="00675130" w:rsidP="00E00397">
            <w:pPr>
              <w:spacing w:after="60" w:line="240" w:lineRule="auto"/>
              <w:rPr>
                <w:b/>
                <w:bCs/>
                <w:color w:val="FFFFFF" w:themeColor="background1"/>
                <w:sz w:val="16"/>
                <w:szCs w:val="18"/>
              </w:rPr>
            </w:pPr>
            <w:r w:rsidRPr="00E00397">
              <w:rPr>
                <w:b/>
                <w:bCs/>
                <w:color w:val="FFFFFF" w:themeColor="background1"/>
                <w:sz w:val="16"/>
                <w:szCs w:val="18"/>
              </w:rPr>
              <w:t>Main commercial cons</w:t>
            </w:r>
            <w:r w:rsidR="005132DE" w:rsidRPr="00E00397">
              <w:rPr>
                <w:b/>
                <w:bCs/>
                <w:color w:val="FFFFFF" w:themeColor="background1"/>
                <w:sz w:val="16"/>
                <w:szCs w:val="18"/>
              </w:rPr>
              <w:t>ideration</w:t>
            </w:r>
          </w:p>
        </w:tc>
        <w:tc>
          <w:tcPr>
            <w:tcW w:w="2848" w:type="dxa"/>
            <w:shd w:val="clear" w:color="auto" w:fill="173F34" w:themeFill="accent1"/>
            <w:vAlign w:val="center"/>
          </w:tcPr>
          <w:p w14:paraId="4CDDD988" w14:textId="77777777" w:rsidR="00675130" w:rsidRPr="00E00397" w:rsidRDefault="00675130" w:rsidP="00E00397">
            <w:pPr>
              <w:spacing w:after="60" w:line="240" w:lineRule="auto"/>
              <w:rPr>
                <w:b/>
                <w:bCs/>
                <w:color w:val="FFFFFF" w:themeColor="background1"/>
                <w:sz w:val="16"/>
                <w:szCs w:val="18"/>
              </w:rPr>
            </w:pPr>
            <w:r w:rsidRPr="00E00397">
              <w:rPr>
                <w:b/>
                <w:bCs/>
                <w:color w:val="FFFFFF" w:themeColor="background1"/>
                <w:sz w:val="16"/>
                <w:szCs w:val="18"/>
              </w:rPr>
              <w:t>Practical engagement approach</w:t>
            </w:r>
          </w:p>
        </w:tc>
      </w:tr>
      <w:tr w:rsidR="00675130" w:rsidRPr="002A3454" w14:paraId="2E2DA7C2" w14:textId="77777777" w:rsidTr="00E00397">
        <w:tc>
          <w:tcPr>
            <w:tcW w:w="1271" w:type="dxa"/>
          </w:tcPr>
          <w:p w14:paraId="6DCDE3E3" w14:textId="77777777" w:rsidR="00675130" w:rsidRPr="004522F1" w:rsidRDefault="00675130" w:rsidP="002A3454">
            <w:pPr>
              <w:spacing w:after="60" w:line="240" w:lineRule="auto"/>
              <w:rPr>
                <w:color w:val="404040"/>
                <w:sz w:val="16"/>
                <w:szCs w:val="18"/>
              </w:rPr>
            </w:pPr>
            <w:r w:rsidRPr="004522F1">
              <w:rPr>
                <w:color w:val="404040"/>
                <w:sz w:val="16"/>
                <w:szCs w:val="18"/>
              </w:rPr>
              <w:t>Saudi Arabia</w:t>
            </w:r>
          </w:p>
        </w:tc>
        <w:tc>
          <w:tcPr>
            <w:tcW w:w="2835" w:type="dxa"/>
          </w:tcPr>
          <w:p w14:paraId="0EAC63FE" w14:textId="45D2633C" w:rsidR="00675130" w:rsidRPr="004522F1" w:rsidRDefault="00675130" w:rsidP="002A3454">
            <w:pPr>
              <w:spacing w:after="60" w:line="240" w:lineRule="auto"/>
              <w:rPr>
                <w:color w:val="404040"/>
                <w:sz w:val="16"/>
                <w:szCs w:val="18"/>
              </w:rPr>
            </w:pPr>
            <w:r w:rsidRPr="004522F1">
              <w:rPr>
                <w:color w:val="404040"/>
                <w:sz w:val="16"/>
                <w:szCs w:val="18"/>
              </w:rPr>
              <w:t xml:space="preserve">The broadest combination of </w:t>
            </w:r>
            <w:r w:rsidR="0031490D" w:rsidRPr="004522F1">
              <w:rPr>
                <w:color w:val="404040"/>
                <w:sz w:val="16"/>
                <w:szCs w:val="18"/>
              </w:rPr>
              <w:t xml:space="preserve">investment, </w:t>
            </w:r>
            <w:r w:rsidRPr="004522F1">
              <w:rPr>
                <w:color w:val="404040"/>
                <w:sz w:val="16"/>
                <w:szCs w:val="18"/>
              </w:rPr>
              <w:t>exploration, mine development, operating assets and downstream processing demand.</w:t>
            </w:r>
          </w:p>
        </w:tc>
        <w:tc>
          <w:tcPr>
            <w:tcW w:w="2964" w:type="dxa"/>
          </w:tcPr>
          <w:p w14:paraId="0684C9BD" w14:textId="55352342" w:rsidR="00675130" w:rsidRPr="004522F1" w:rsidRDefault="00672FD1" w:rsidP="002A3454">
            <w:pPr>
              <w:spacing w:after="60" w:line="240" w:lineRule="auto"/>
              <w:rPr>
                <w:color w:val="404040"/>
                <w:sz w:val="16"/>
                <w:szCs w:val="18"/>
              </w:rPr>
            </w:pPr>
            <w:r w:rsidRPr="004522F1">
              <w:rPr>
                <w:color w:val="404040"/>
                <w:sz w:val="16"/>
                <w:szCs w:val="18"/>
              </w:rPr>
              <w:t xml:space="preserve">Access to Maaden procurement of technical </w:t>
            </w:r>
            <w:r w:rsidR="00EE3464" w:rsidRPr="004522F1">
              <w:rPr>
                <w:color w:val="404040"/>
                <w:sz w:val="16"/>
                <w:szCs w:val="18"/>
              </w:rPr>
              <w:t>units, increasing</w:t>
            </w:r>
            <w:r w:rsidR="006E2EAC" w:rsidRPr="004522F1">
              <w:rPr>
                <w:color w:val="404040"/>
                <w:sz w:val="16"/>
                <w:szCs w:val="18"/>
              </w:rPr>
              <w:t xml:space="preserve"> </w:t>
            </w:r>
            <w:r w:rsidR="00675130" w:rsidRPr="004522F1">
              <w:rPr>
                <w:color w:val="404040"/>
                <w:sz w:val="16"/>
                <w:szCs w:val="18"/>
              </w:rPr>
              <w:t>localisation</w:t>
            </w:r>
            <w:r w:rsidR="006E2EAC" w:rsidRPr="004522F1">
              <w:rPr>
                <w:color w:val="404040"/>
                <w:sz w:val="16"/>
                <w:szCs w:val="18"/>
              </w:rPr>
              <w:t xml:space="preserve"> commitments</w:t>
            </w:r>
            <w:r w:rsidR="00675130" w:rsidRPr="004522F1">
              <w:rPr>
                <w:color w:val="404040"/>
                <w:sz w:val="16"/>
                <w:szCs w:val="18"/>
              </w:rPr>
              <w:t xml:space="preserve"> and in-country service expectations</w:t>
            </w:r>
            <w:r w:rsidR="006E2EAC" w:rsidRPr="004522F1">
              <w:rPr>
                <w:color w:val="404040"/>
                <w:sz w:val="16"/>
                <w:szCs w:val="18"/>
              </w:rPr>
              <w:t>.</w:t>
            </w:r>
          </w:p>
        </w:tc>
        <w:tc>
          <w:tcPr>
            <w:tcW w:w="2848" w:type="dxa"/>
          </w:tcPr>
          <w:p w14:paraId="2F3C0F8F" w14:textId="77777777" w:rsidR="00675130" w:rsidRPr="004522F1" w:rsidRDefault="00675130" w:rsidP="002A3454">
            <w:pPr>
              <w:spacing w:after="60" w:line="240" w:lineRule="auto"/>
              <w:rPr>
                <w:color w:val="404040"/>
                <w:sz w:val="16"/>
                <w:szCs w:val="18"/>
              </w:rPr>
            </w:pPr>
            <w:r w:rsidRPr="004522F1">
              <w:rPr>
                <w:color w:val="404040"/>
                <w:sz w:val="16"/>
                <w:szCs w:val="18"/>
              </w:rPr>
              <w:t>Engage now where there is a defined customer need. Build technical sponsorship and determine the required Saudi partner or presence before scaling investment.</w:t>
            </w:r>
          </w:p>
        </w:tc>
      </w:tr>
      <w:tr w:rsidR="00675130" w:rsidRPr="002A3454" w14:paraId="1CB3D7C7" w14:textId="77777777" w:rsidTr="00E00397">
        <w:tc>
          <w:tcPr>
            <w:tcW w:w="1271" w:type="dxa"/>
          </w:tcPr>
          <w:p w14:paraId="288989E8" w14:textId="77777777" w:rsidR="00675130" w:rsidRPr="004522F1" w:rsidRDefault="00675130" w:rsidP="002A3454">
            <w:pPr>
              <w:spacing w:after="60" w:line="240" w:lineRule="auto"/>
              <w:rPr>
                <w:color w:val="404040"/>
                <w:sz w:val="16"/>
                <w:szCs w:val="18"/>
              </w:rPr>
            </w:pPr>
            <w:r w:rsidRPr="004522F1">
              <w:rPr>
                <w:color w:val="404040"/>
                <w:sz w:val="16"/>
                <w:szCs w:val="18"/>
              </w:rPr>
              <w:t>United Arab Emirates</w:t>
            </w:r>
          </w:p>
        </w:tc>
        <w:tc>
          <w:tcPr>
            <w:tcW w:w="2835" w:type="dxa"/>
          </w:tcPr>
          <w:p w14:paraId="3F7C473F" w14:textId="77777777" w:rsidR="00675130" w:rsidRPr="004522F1" w:rsidRDefault="00675130" w:rsidP="002A3454">
            <w:pPr>
              <w:spacing w:after="60" w:line="240" w:lineRule="auto"/>
              <w:rPr>
                <w:color w:val="404040"/>
                <w:sz w:val="16"/>
                <w:szCs w:val="18"/>
              </w:rPr>
            </w:pPr>
            <w:r w:rsidRPr="004522F1">
              <w:rPr>
                <w:color w:val="404040"/>
                <w:sz w:val="16"/>
                <w:szCs w:val="18"/>
              </w:rPr>
              <w:t>Targeted demand in aluminium, steel, quarrying and industrial services, together with access to regional logistics and resources investors.</w:t>
            </w:r>
          </w:p>
        </w:tc>
        <w:tc>
          <w:tcPr>
            <w:tcW w:w="2964" w:type="dxa"/>
          </w:tcPr>
          <w:p w14:paraId="1DC61E0C" w14:textId="77777777" w:rsidR="00675130" w:rsidRPr="004522F1" w:rsidRDefault="00675130" w:rsidP="002A3454">
            <w:pPr>
              <w:spacing w:after="60" w:line="240" w:lineRule="auto"/>
              <w:rPr>
                <w:color w:val="404040"/>
                <w:sz w:val="16"/>
                <w:szCs w:val="18"/>
              </w:rPr>
            </w:pPr>
            <w:r w:rsidRPr="004522F1">
              <w:rPr>
                <w:color w:val="404040"/>
                <w:sz w:val="16"/>
                <w:szCs w:val="18"/>
              </w:rPr>
              <w:t>Domestic industrial sales and the case for a regional base are separate decisions. A UAE office does not replace country-specific customer and delivery arrangements.</w:t>
            </w:r>
          </w:p>
        </w:tc>
        <w:tc>
          <w:tcPr>
            <w:tcW w:w="2848" w:type="dxa"/>
          </w:tcPr>
          <w:p w14:paraId="547B63E3" w14:textId="77777777" w:rsidR="00675130" w:rsidRPr="004522F1" w:rsidRDefault="00675130" w:rsidP="002A3454">
            <w:pPr>
              <w:spacing w:after="60" w:line="240" w:lineRule="auto"/>
              <w:rPr>
                <w:color w:val="404040"/>
                <w:sz w:val="16"/>
                <w:szCs w:val="18"/>
              </w:rPr>
            </w:pPr>
            <w:r w:rsidRPr="004522F1">
              <w:rPr>
                <w:color w:val="404040"/>
                <w:sz w:val="16"/>
                <w:szCs w:val="18"/>
              </w:rPr>
              <w:t>Target identifiable industrial accounts first. Consider a regional service base only when repeat demand across more than one market justifies it.</w:t>
            </w:r>
          </w:p>
        </w:tc>
      </w:tr>
      <w:tr w:rsidR="00675130" w:rsidRPr="002A3454" w14:paraId="1EB05621" w14:textId="77777777" w:rsidTr="00E00397">
        <w:tc>
          <w:tcPr>
            <w:tcW w:w="1271" w:type="dxa"/>
          </w:tcPr>
          <w:p w14:paraId="3A69BEBE" w14:textId="77777777" w:rsidR="00675130" w:rsidRPr="004522F1" w:rsidRDefault="00675130" w:rsidP="002A3454">
            <w:pPr>
              <w:spacing w:after="60" w:line="240" w:lineRule="auto"/>
              <w:rPr>
                <w:color w:val="404040"/>
                <w:sz w:val="16"/>
                <w:szCs w:val="18"/>
              </w:rPr>
            </w:pPr>
            <w:r w:rsidRPr="004522F1">
              <w:rPr>
                <w:color w:val="404040"/>
                <w:sz w:val="16"/>
                <w:szCs w:val="18"/>
              </w:rPr>
              <w:t>Morocco</w:t>
            </w:r>
          </w:p>
        </w:tc>
        <w:tc>
          <w:tcPr>
            <w:tcW w:w="2835" w:type="dxa"/>
          </w:tcPr>
          <w:p w14:paraId="05C74383" w14:textId="77777777" w:rsidR="00675130" w:rsidRPr="004522F1" w:rsidRDefault="00675130" w:rsidP="002A3454">
            <w:pPr>
              <w:spacing w:after="60" w:line="240" w:lineRule="auto"/>
              <w:rPr>
                <w:color w:val="404040"/>
                <w:sz w:val="16"/>
                <w:szCs w:val="18"/>
              </w:rPr>
            </w:pPr>
            <w:r w:rsidRPr="004522F1">
              <w:rPr>
                <w:color w:val="404040"/>
                <w:sz w:val="16"/>
                <w:szCs w:val="18"/>
              </w:rPr>
              <w:t>Concentrated opportunities in phosphate and fertiliser processing, operating metals assets and selected new developments.</w:t>
            </w:r>
          </w:p>
        </w:tc>
        <w:tc>
          <w:tcPr>
            <w:tcW w:w="2964" w:type="dxa"/>
          </w:tcPr>
          <w:p w14:paraId="4875ACD1" w14:textId="77777777" w:rsidR="00675130" w:rsidRPr="004522F1" w:rsidRDefault="00675130" w:rsidP="002A3454">
            <w:pPr>
              <w:spacing w:after="60" w:line="240" w:lineRule="auto"/>
              <w:rPr>
                <w:color w:val="404040"/>
                <w:sz w:val="16"/>
                <w:szCs w:val="18"/>
              </w:rPr>
            </w:pPr>
            <w:r w:rsidRPr="004522F1">
              <w:rPr>
                <w:color w:val="404040"/>
                <w:sz w:val="16"/>
                <w:szCs w:val="18"/>
              </w:rPr>
              <w:t>Access is centred on a small number of major operators and project partners. Relationships, French-language capability and continuing service matter.</w:t>
            </w:r>
          </w:p>
        </w:tc>
        <w:tc>
          <w:tcPr>
            <w:tcW w:w="2848" w:type="dxa"/>
          </w:tcPr>
          <w:p w14:paraId="6573988D" w14:textId="77777777" w:rsidR="00675130" w:rsidRPr="004522F1" w:rsidRDefault="00675130" w:rsidP="002A3454">
            <w:pPr>
              <w:spacing w:after="60" w:line="240" w:lineRule="auto"/>
              <w:rPr>
                <w:color w:val="404040"/>
                <w:sz w:val="16"/>
                <w:szCs w:val="18"/>
              </w:rPr>
            </w:pPr>
            <w:r w:rsidRPr="004522F1">
              <w:rPr>
                <w:color w:val="404040"/>
                <w:sz w:val="16"/>
                <w:szCs w:val="18"/>
              </w:rPr>
              <w:t>Use a strategic-account approach focused on OCP Group, Managem and selected project owners. Invest in local relationships and service arrangements over time.</w:t>
            </w:r>
          </w:p>
        </w:tc>
      </w:tr>
      <w:tr w:rsidR="00675130" w:rsidRPr="002A3454" w14:paraId="3A13B4EC" w14:textId="77777777" w:rsidTr="00E00397">
        <w:tc>
          <w:tcPr>
            <w:tcW w:w="1271" w:type="dxa"/>
          </w:tcPr>
          <w:p w14:paraId="6DE501F5" w14:textId="77777777" w:rsidR="00675130" w:rsidRPr="004522F1" w:rsidRDefault="00675130" w:rsidP="002A3454">
            <w:pPr>
              <w:spacing w:after="60" w:line="240" w:lineRule="auto"/>
              <w:rPr>
                <w:color w:val="404040"/>
                <w:sz w:val="16"/>
                <w:szCs w:val="18"/>
              </w:rPr>
            </w:pPr>
            <w:r w:rsidRPr="004522F1">
              <w:rPr>
                <w:color w:val="404040"/>
                <w:sz w:val="16"/>
                <w:szCs w:val="18"/>
              </w:rPr>
              <w:t>Egypt</w:t>
            </w:r>
          </w:p>
        </w:tc>
        <w:tc>
          <w:tcPr>
            <w:tcW w:w="2835" w:type="dxa"/>
          </w:tcPr>
          <w:p w14:paraId="05890945" w14:textId="77777777" w:rsidR="00675130" w:rsidRPr="004522F1" w:rsidRDefault="00675130" w:rsidP="002A3454">
            <w:pPr>
              <w:spacing w:after="60" w:line="240" w:lineRule="auto"/>
              <w:rPr>
                <w:color w:val="404040"/>
                <w:sz w:val="16"/>
                <w:szCs w:val="18"/>
              </w:rPr>
            </w:pPr>
            <w:r w:rsidRPr="004522F1">
              <w:rPr>
                <w:color w:val="404040"/>
                <w:sz w:val="16"/>
                <w:szCs w:val="18"/>
              </w:rPr>
              <w:t>Current demand around Sukari, exploration, geological information and selected developments, with broader potential if reform produces funded activity.</w:t>
            </w:r>
          </w:p>
        </w:tc>
        <w:tc>
          <w:tcPr>
            <w:tcW w:w="2964" w:type="dxa"/>
          </w:tcPr>
          <w:p w14:paraId="753559E1" w14:textId="77777777" w:rsidR="00675130" w:rsidRPr="004522F1" w:rsidRDefault="00675130" w:rsidP="002A3454">
            <w:pPr>
              <w:spacing w:after="60" w:line="240" w:lineRule="auto"/>
              <w:rPr>
                <w:color w:val="404040"/>
                <w:sz w:val="16"/>
                <w:szCs w:val="18"/>
              </w:rPr>
            </w:pPr>
            <w:r w:rsidRPr="004522F1">
              <w:rPr>
                <w:color w:val="404040"/>
                <w:sz w:val="16"/>
                <w:szCs w:val="18"/>
              </w:rPr>
              <w:t>The development pipeline remains less proven. Funding, importation, mobilisation and customer-specific procurement affect the timing of work.</w:t>
            </w:r>
          </w:p>
        </w:tc>
        <w:tc>
          <w:tcPr>
            <w:tcW w:w="2848" w:type="dxa"/>
          </w:tcPr>
          <w:p w14:paraId="1AC60753" w14:textId="77777777" w:rsidR="00675130" w:rsidRPr="004522F1" w:rsidRDefault="00675130" w:rsidP="002A3454">
            <w:pPr>
              <w:spacing w:after="60" w:line="240" w:lineRule="auto"/>
              <w:rPr>
                <w:color w:val="404040"/>
                <w:sz w:val="16"/>
                <w:szCs w:val="18"/>
              </w:rPr>
            </w:pPr>
            <w:r w:rsidRPr="004522F1">
              <w:rPr>
                <w:color w:val="404040"/>
                <w:sz w:val="16"/>
                <w:szCs w:val="18"/>
              </w:rPr>
              <w:t>Pursue specific operating or exploration opportunities selectively while monitoring whether licences convert into funded programs and development decisions.</w:t>
            </w:r>
          </w:p>
        </w:tc>
      </w:tr>
      <w:tr w:rsidR="00675130" w:rsidRPr="002A3454" w14:paraId="69CED032" w14:textId="77777777" w:rsidTr="00E00397">
        <w:tc>
          <w:tcPr>
            <w:tcW w:w="1271" w:type="dxa"/>
          </w:tcPr>
          <w:p w14:paraId="21109D4D" w14:textId="77777777" w:rsidR="00675130" w:rsidRPr="004522F1" w:rsidRDefault="00675130" w:rsidP="002A3454">
            <w:pPr>
              <w:spacing w:after="60" w:line="240" w:lineRule="auto"/>
              <w:rPr>
                <w:color w:val="404040"/>
                <w:sz w:val="16"/>
                <w:szCs w:val="18"/>
              </w:rPr>
            </w:pPr>
            <w:r w:rsidRPr="004522F1">
              <w:rPr>
                <w:color w:val="404040"/>
                <w:sz w:val="16"/>
                <w:szCs w:val="18"/>
              </w:rPr>
              <w:t>Türkiye</w:t>
            </w:r>
          </w:p>
        </w:tc>
        <w:tc>
          <w:tcPr>
            <w:tcW w:w="2835" w:type="dxa"/>
          </w:tcPr>
          <w:p w14:paraId="156F451A" w14:textId="77777777" w:rsidR="00675130" w:rsidRPr="004522F1" w:rsidRDefault="00675130" w:rsidP="002A3454">
            <w:pPr>
              <w:spacing w:after="60" w:line="240" w:lineRule="auto"/>
              <w:rPr>
                <w:color w:val="404040"/>
                <w:sz w:val="16"/>
                <w:szCs w:val="18"/>
              </w:rPr>
            </w:pPr>
            <w:r w:rsidRPr="004522F1">
              <w:rPr>
                <w:color w:val="404040"/>
                <w:sz w:val="16"/>
                <w:szCs w:val="18"/>
              </w:rPr>
              <w:t>An established market for specialist equipment and services across boron, gold and other mining and industrial operations.</w:t>
            </w:r>
          </w:p>
        </w:tc>
        <w:tc>
          <w:tcPr>
            <w:tcW w:w="2964" w:type="dxa"/>
          </w:tcPr>
          <w:p w14:paraId="68BABDC6" w14:textId="77777777" w:rsidR="00675130" w:rsidRPr="004522F1" w:rsidRDefault="00675130" w:rsidP="002A3454">
            <w:pPr>
              <w:spacing w:after="60" w:line="240" w:lineRule="auto"/>
              <w:rPr>
                <w:color w:val="404040"/>
                <w:sz w:val="16"/>
                <w:szCs w:val="18"/>
              </w:rPr>
            </w:pPr>
            <w:r w:rsidRPr="004522F1">
              <w:rPr>
                <w:color w:val="404040"/>
                <w:sz w:val="16"/>
                <w:szCs w:val="18"/>
              </w:rPr>
              <w:t>Strong domestic, European and Chinese competition places a premium on differentiation, Turkish-language support and responsive technical service.</w:t>
            </w:r>
          </w:p>
        </w:tc>
        <w:tc>
          <w:tcPr>
            <w:tcW w:w="2848" w:type="dxa"/>
          </w:tcPr>
          <w:p w14:paraId="5F0F5222" w14:textId="77777777" w:rsidR="00675130" w:rsidRPr="004522F1" w:rsidRDefault="00675130" w:rsidP="002A3454">
            <w:pPr>
              <w:spacing w:after="60" w:line="240" w:lineRule="auto"/>
              <w:rPr>
                <w:color w:val="404040"/>
                <w:sz w:val="16"/>
                <w:szCs w:val="18"/>
              </w:rPr>
            </w:pPr>
            <w:r w:rsidRPr="004522F1">
              <w:rPr>
                <w:color w:val="404040"/>
                <w:sz w:val="16"/>
                <w:szCs w:val="18"/>
              </w:rPr>
              <w:t>Engage selectively now where the solution offers measurable technical or lifecycle value that local and international competitors do not provide.</w:t>
            </w:r>
          </w:p>
        </w:tc>
      </w:tr>
    </w:tbl>
    <w:p w14:paraId="3E15F2F1" w14:textId="77777777" w:rsidR="00675130" w:rsidRPr="002A3454" w:rsidRDefault="00675130" w:rsidP="002A3454">
      <w:pPr>
        <w:spacing w:after="60" w:line="240" w:lineRule="auto"/>
        <w:rPr>
          <w:color w:val="404040"/>
        </w:rPr>
      </w:pPr>
    </w:p>
    <w:p w14:paraId="04ABEE38" w14:textId="07582C84" w:rsidR="002A3454" w:rsidRDefault="002A3454">
      <w:pPr>
        <w:spacing w:after="200" w:line="276" w:lineRule="auto"/>
        <w:rPr>
          <w:rFonts w:asciiTheme="majorHAnsi" w:eastAsiaTheme="majorEastAsia" w:hAnsiTheme="majorHAnsi" w:cstheme="majorBidi"/>
          <w:b/>
          <w:bCs/>
          <w:i/>
          <w:iCs/>
          <w:color w:val="173F34" w:themeColor="accent1"/>
        </w:rPr>
      </w:pPr>
      <w:r>
        <w:br w:type="page"/>
      </w:r>
    </w:p>
    <w:p w14:paraId="666C4DC8" w14:textId="4E4A32A8" w:rsidR="009057AC" w:rsidRDefault="00712984" w:rsidP="000D3904">
      <w:pPr>
        <w:pStyle w:val="Heading3"/>
      </w:pPr>
      <w:r>
        <w:lastRenderedPageBreak/>
        <w:t>The longer-term outlook</w:t>
      </w:r>
    </w:p>
    <w:p w14:paraId="2F73EE8E" w14:textId="316CDECD" w:rsidR="000D3904" w:rsidRDefault="00E66C91" w:rsidP="000D3904">
      <w:r w:rsidRPr="00C21C1F">
        <w:t xml:space="preserve">Across the five-to-ten-year outlook, existing operations remain the firmest starting point. Saudi Arabia combines operating mines with the broadest announced expansion agenda, but each project needs its own funding and package check. The UAE offers industrial accounts and a regional service base where a defined customer portfolio supports the cost. Morocco’s phosphate and metals operations provide current demand alongside further development. Egypt’s wider prospects depend on exploration commitments, finance and project decisions beyond Sukari. Türkiye offers an established, competitive market for replacement equipment, recovery improvements and technical services. </w:t>
      </w:r>
    </w:p>
    <w:p w14:paraId="42DE3B7D" w14:textId="3115765A" w:rsidR="000510EB" w:rsidRDefault="00A24E1B" w:rsidP="000D3904">
      <w:r w:rsidRPr="00C21C1F">
        <w:t xml:space="preserve">Regardless of how immediate the opportunity, Australian METS companies should begin engaging in </w:t>
      </w:r>
      <w:r w:rsidR="007B00B9" w:rsidRPr="00C21C1F">
        <w:t>markets with aligned capability requirements</w:t>
      </w:r>
      <w:r w:rsidRPr="00C21C1F">
        <w:t xml:space="preserve"> now rather than waiting for projects to reach a bankable stage. Relationships, local registrations and in-country credibility typically take years to establish, and companies that only arrive once a package is tendered are competing against suppliers who have already built the trust and local presence the customer expects.</w:t>
      </w:r>
    </w:p>
    <w:p w14:paraId="0FAE5B2A" w14:textId="08FBB84B" w:rsidR="00DB6594" w:rsidRDefault="00A820CD" w:rsidP="000D3904">
      <w:pPr>
        <w:pStyle w:val="Heading3"/>
      </w:pPr>
      <w:r>
        <w:t xml:space="preserve">Australian METS </w:t>
      </w:r>
      <w:r w:rsidR="00D54F2C">
        <w:t>Views</w:t>
      </w:r>
      <w:r w:rsidR="00611687">
        <w:t xml:space="preserve">: </w:t>
      </w:r>
      <w:r w:rsidR="00611687" w:rsidRPr="000D3904">
        <w:t>Priority</w:t>
      </w:r>
      <w:r w:rsidR="00611687">
        <w:t xml:space="preserve"> Markets </w:t>
      </w:r>
    </w:p>
    <w:p w14:paraId="26E0C195" w14:textId="77777777" w:rsidR="00344720" w:rsidRDefault="00B63BB2" w:rsidP="00B63BB2">
      <w:r>
        <w:t xml:space="preserve">Austmine's survey </w:t>
      </w:r>
      <w:r w:rsidR="00F558B5">
        <w:t xml:space="preserve">of 29 Australian METS companies found that </w:t>
      </w:r>
      <w:r>
        <w:t xml:space="preserve">Saudi Arabia was the most frequently selected priority market for the next one to three years, at 37.9%, followed by Türkiye at 24.1% and the UAE at 20.7%. </w:t>
      </w:r>
    </w:p>
    <w:p w14:paraId="50EFEF2F" w14:textId="03A3576A" w:rsidR="00B63BB2" w:rsidRDefault="00344720" w:rsidP="00B63BB2">
      <w:r>
        <w:t>Longer-term choices were less settled, with 24.1% unsure of their priority and 6.9% selecting no market at that stage</w:t>
      </w:r>
      <w:r w:rsidR="0094135F">
        <w:t xml:space="preserve">, an understandable </w:t>
      </w:r>
      <w:r w:rsidR="00905955">
        <w:t xml:space="preserve">outlook in such a </w:t>
      </w:r>
      <w:r w:rsidR="00FD582F">
        <w:t>rapidly changing</w:t>
      </w:r>
      <w:r w:rsidR="00905955">
        <w:t xml:space="preserve"> region</w:t>
      </w:r>
      <w:r>
        <w:t xml:space="preserve">. </w:t>
      </w:r>
      <w:r w:rsidR="00B63BB2">
        <w:t>Türkiye retained the same share over five to ten years. Interest in the UAE fell over the longer period, while Morocco attracted 6.9% of longer-term selections. No respondent selected Egypt as its highest</w:t>
      </w:r>
      <w:r w:rsidR="00B67C3F">
        <w:t>-</w:t>
      </w:r>
      <w:r w:rsidR="00B63BB2">
        <w:t>priority market in either timeframe.</w:t>
      </w:r>
      <w:r w:rsidR="00617FDE">
        <w:t xml:space="preserve"> However, this does not </w:t>
      </w:r>
      <w:r w:rsidR="00AA69D9">
        <w:t xml:space="preserve">indicate </w:t>
      </w:r>
      <w:r w:rsidR="00014403" w:rsidRPr="00014403">
        <w:t xml:space="preserve">there are no export opportunities as reforms proceed.  </w:t>
      </w:r>
    </w:p>
    <w:p w14:paraId="4395CFF1" w14:textId="68C48B7D" w:rsidR="00EF1DAD" w:rsidRPr="000D3904" w:rsidRDefault="008A0C78" w:rsidP="00FC23E0">
      <w:pPr>
        <w:rPr>
          <w:rFonts w:eastAsiaTheme="majorEastAsia" w:cstheme="majorBidi"/>
          <w:b/>
          <w:i/>
          <w:color w:val="173F34" w:themeColor="accent1"/>
        </w:rPr>
      </w:pPr>
      <w:r w:rsidRPr="000D3904">
        <w:rPr>
          <w:rFonts w:eastAsiaTheme="majorEastAsia" w:cstheme="majorBidi"/>
          <w:b/>
          <w:bCs/>
          <w:i/>
          <w:iCs/>
          <w:color w:val="173F34" w:themeColor="accent1"/>
        </w:rPr>
        <w:t>One</w:t>
      </w:r>
      <w:r w:rsidR="00F3354A" w:rsidRPr="000D3904">
        <w:rPr>
          <w:rFonts w:eastAsiaTheme="majorEastAsia" w:cstheme="majorBidi"/>
          <w:b/>
          <w:i/>
          <w:color w:val="173F34" w:themeColor="accent1"/>
        </w:rPr>
        <w:t xml:space="preserve"> highest-priority market</w:t>
      </w:r>
      <w:r w:rsidRPr="000D3904">
        <w:rPr>
          <w:rFonts w:eastAsiaTheme="majorEastAsia" w:cstheme="majorBidi"/>
          <w:b/>
          <w:bCs/>
          <w:i/>
          <w:iCs/>
          <w:color w:val="173F34" w:themeColor="accent1"/>
        </w:rPr>
        <w:t xml:space="preserve"> selected by each respondent (n=29)</w:t>
      </w:r>
      <w:r w:rsidR="00800139" w:rsidRPr="000D3904">
        <w:rPr>
          <w:rFonts w:eastAsiaTheme="majorEastAsia" w:cstheme="majorBidi"/>
          <w:b/>
          <w:bCs/>
          <w:i/>
          <w:iCs/>
          <w:color w:val="173F34" w:themeColor="accent1"/>
        </w:rPr>
        <w:t>*</w:t>
      </w:r>
    </w:p>
    <w:tbl>
      <w:tblPr>
        <w:tblStyle w:val="TableGrid"/>
        <w:tblW w:w="10080" w:type="dxa"/>
        <w:tblLayout w:type="fixed"/>
        <w:tblCellMar>
          <w:top w:w="57" w:type="dxa"/>
          <w:bottom w:w="57" w:type="dxa"/>
        </w:tblCellMar>
        <w:tblLook w:val="04A0" w:firstRow="1" w:lastRow="0" w:firstColumn="1" w:lastColumn="0" w:noHBand="0" w:noVBand="1"/>
      </w:tblPr>
      <w:tblGrid>
        <w:gridCol w:w="4560"/>
        <w:gridCol w:w="2760"/>
        <w:gridCol w:w="2760"/>
      </w:tblGrid>
      <w:tr w:rsidR="00FC23E0" w14:paraId="3FB6FF2C" w14:textId="77777777" w:rsidTr="00E00397">
        <w:tc>
          <w:tcPr>
            <w:tcW w:w="4560" w:type="dxa"/>
            <w:shd w:val="clear" w:color="auto" w:fill="173F34" w:themeFill="accent1"/>
            <w:vAlign w:val="center"/>
          </w:tcPr>
          <w:p w14:paraId="5D143E16" w14:textId="77777777" w:rsidR="00FC23E0" w:rsidRPr="00E00397" w:rsidRDefault="00FC23E0" w:rsidP="00E00397">
            <w:pPr>
              <w:pStyle w:val="SynthesisTable"/>
              <w:keepNext/>
              <w:rPr>
                <w:color w:val="FFFFFF" w:themeColor="background1"/>
                <w:sz w:val="16"/>
                <w:szCs w:val="20"/>
              </w:rPr>
            </w:pPr>
            <w:r w:rsidRPr="00E00397">
              <w:rPr>
                <w:b/>
                <w:color w:val="FFFFFF" w:themeColor="background1"/>
                <w:sz w:val="16"/>
                <w:szCs w:val="20"/>
              </w:rPr>
              <w:t>Market or response</w:t>
            </w:r>
          </w:p>
        </w:tc>
        <w:tc>
          <w:tcPr>
            <w:tcW w:w="2760" w:type="dxa"/>
            <w:shd w:val="clear" w:color="auto" w:fill="173F34" w:themeFill="accent1"/>
            <w:vAlign w:val="center"/>
          </w:tcPr>
          <w:p w14:paraId="6C9EAB28" w14:textId="77777777" w:rsidR="00FC23E0" w:rsidRPr="00E00397" w:rsidRDefault="00FC23E0" w:rsidP="00E00397">
            <w:pPr>
              <w:pStyle w:val="SynthesisTable"/>
              <w:keepNext/>
              <w:rPr>
                <w:color w:val="FFFFFF" w:themeColor="background1"/>
                <w:sz w:val="16"/>
                <w:szCs w:val="20"/>
              </w:rPr>
            </w:pPr>
            <w:r w:rsidRPr="00E00397">
              <w:rPr>
                <w:b/>
                <w:color w:val="FFFFFF" w:themeColor="background1"/>
                <w:sz w:val="16"/>
                <w:szCs w:val="20"/>
              </w:rPr>
              <w:t>Next 1–3 years</w:t>
            </w:r>
          </w:p>
        </w:tc>
        <w:tc>
          <w:tcPr>
            <w:tcW w:w="2760" w:type="dxa"/>
            <w:shd w:val="clear" w:color="auto" w:fill="173F34" w:themeFill="accent1"/>
            <w:vAlign w:val="center"/>
          </w:tcPr>
          <w:p w14:paraId="1E18FD38" w14:textId="77777777" w:rsidR="00FC23E0" w:rsidRPr="00E00397" w:rsidRDefault="00FC23E0" w:rsidP="00E00397">
            <w:pPr>
              <w:pStyle w:val="SynthesisTable"/>
              <w:keepNext/>
              <w:rPr>
                <w:color w:val="FFFFFF" w:themeColor="background1"/>
                <w:sz w:val="16"/>
                <w:szCs w:val="20"/>
              </w:rPr>
            </w:pPr>
            <w:r w:rsidRPr="00E00397">
              <w:rPr>
                <w:b/>
                <w:color w:val="FFFFFF" w:themeColor="background1"/>
                <w:sz w:val="16"/>
                <w:szCs w:val="20"/>
              </w:rPr>
              <w:t>Next 5–10 years</w:t>
            </w:r>
          </w:p>
        </w:tc>
      </w:tr>
      <w:tr w:rsidR="00FC23E0" w14:paraId="677DF606" w14:textId="77777777" w:rsidTr="00E00397">
        <w:tc>
          <w:tcPr>
            <w:tcW w:w="4560" w:type="dxa"/>
            <w:vAlign w:val="center"/>
          </w:tcPr>
          <w:p w14:paraId="6A680CCE" w14:textId="77777777" w:rsidR="00FC23E0" w:rsidRPr="004522F1" w:rsidRDefault="00FC23E0" w:rsidP="00E00397">
            <w:pPr>
              <w:pStyle w:val="SynthesisTable"/>
              <w:rPr>
                <w:sz w:val="16"/>
                <w:szCs w:val="20"/>
              </w:rPr>
            </w:pPr>
            <w:r w:rsidRPr="004522F1">
              <w:rPr>
                <w:sz w:val="16"/>
                <w:szCs w:val="20"/>
              </w:rPr>
              <w:t>Saudi Arabia</w:t>
            </w:r>
          </w:p>
        </w:tc>
        <w:tc>
          <w:tcPr>
            <w:tcW w:w="2760" w:type="dxa"/>
            <w:vAlign w:val="center"/>
          </w:tcPr>
          <w:p w14:paraId="34C0222A" w14:textId="77777777" w:rsidR="00FC23E0" w:rsidRPr="004522F1" w:rsidRDefault="00FC23E0" w:rsidP="00E00397">
            <w:pPr>
              <w:pStyle w:val="SynthesisTable"/>
              <w:rPr>
                <w:sz w:val="16"/>
                <w:szCs w:val="20"/>
              </w:rPr>
            </w:pPr>
            <w:r w:rsidRPr="004522F1">
              <w:rPr>
                <w:sz w:val="16"/>
                <w:szCs w:val="20"/>
              </w:rPr>
              <w:t>37.9%</w:t>
            </w:r>
          </w:p>
        </w:tc>
        <w:tc>
          <w:tcPr>
            <w:tcW w:w="2760" w:type="dxa"/>
            <w:vAlign w:val="center"/>
          </w:tcPr>
          <w:p w14:paraId="49EB6B3E" w14:textId="77777777" w:rsidR="00FC23E0" w:rsidRPr="004522F1" w:rsidRDefault="00FC23E0" w:rsidP="00E00397">
            <w:pPr>
              <w:pStyle w:val="SynthesisTable"/>
              <w:rPr>
                <w:sz w:val="16"/>
                <w:szCs w:val="20"/>
              </w:rPr>
            </w:pPr>
            <w:r w:rsidRPr="004522F1">
              <w:rPr>
                <w:sz w:val="16"/>
                <w:szCs w:val="20"/>
              </w:rPr>
              <w:t>27.6%</w:t>
            </w:r>
          </w:p>
        </w:tc>
      </w:tr>
      <w:tr w:rsidR="00FC23E0" w14:paraId="07D9B8F2" w14:textId="77777777" w:rsidTr="00E00397">
        <w:tc>
          <w:tcPr>
            <w:tcW w:w="4560" w:type="dxa"/>
            <w:vAlign w:val="center"/>
          </w:tcPr>
          <w:p w14:paraId="66542F7A" w14:textId="77777777" w:rsidR="00FC23E0" w:rsidRPr="004522F1" w:rsidRDefault="00FC23E0" w:rsidP="00E00397">
            <w:pPr>
              <w:pStyle w:val="SynthesisTable"/>
              <w:rPr>
                <w:sz w:val="16"/>
                <w:szCs w:val="20"/>
              </w:rPr>
            </w:pPr>
            <w:r w:rsidRPr="004522F1">
              <w:rPr>
                <w:sz w:val="16"/>
                <w:szCs w:val="20"/>
              </w:rPr>
              <w:t>Türkiye</w:t>
            </w:r>
          </w:p>
        </w:tc>
        <w:tc>
          <w:tcPr>
            <w:tcW w:w="2760" w:type="dxa"/>
            <w:vAlign w:val="center"/>
          </w:tcPr>
          <w:p w14:paraId="46AE395B" w14:textId="77777777" w:rsidR="00FC23E0" w:rsidRPr="004522F1" w:rsidRDefault="00FC23E0" w:rsidP="00E00397">
            <w:pPr>
              <w:pStyle w:val="SynthesisTable"/>
              <w:rPr>
                <w:sz w:val="16"/>
                <w:szCs w:val="20"/>
              </w:rPr>
            </w:pPr>
            <w:r w:rsidRPr="004522F1">
              <w:rPr>
                <w:sz w:val="16"/>
                <w:szCs w:val="20"/>
              </w:rPr>
              <w:t>24.1%</w:t>
            </w:r>
          </w:p>
        </w:tc>
        <w:tc>
          <w:tcPr>
            <w:tcW w:w="2760" w:type="dxa"/>
            <w:vAlign w:val="center"/>
          </w:tcPr>
          <w:p w14:paraId="24DB3053" w14:textId="77777777" w:rsidR="00FC23E0" w:rsidRPr="004522F1" w:rsidRDefault="00FC23E0" w:rsidP="00E00397">
            <w:pPr>
              <w:pStyle w:val="SynthesisTable"/>
              <w:rPr>
                <w:sz w:val="16"/>
                <w:szCs w:val="20"/>
              </w:rPr>
            </w:pPr>
            <w:r w:rsidRPr="004522F1">
              <w:rPr>
                <w:sz w:val="16"/>
                <w:szCs w:val="20"/>
              </w:rPr>
              <w:t>24.1%</w:t>
            </w:r>
          </w:p>
        </w:tc>
      </w:tr>
      <w:tr w:rsidR="00FC23E0" w14:paraId="54DE920C" w14:textId="77777777" w:rsidTr="00E00397">
        <w:tc>
          <w:tcPr>
            <w:tcW w:w="4560" w:type="dxa"/>
            <w:vAlign w:val="center"/>
          </w:tcPr>
          <w:p w14:paraId="4698D8C1" w14:textId="77777777" w:rsidR="00FC23E0" w:rsidRPr="004522F1" w:rsidRDefault="00FC23E0" w:rsidP="00E00397">
            <w:pPr>
              <w:pStyle w:val="SynthesisTable"/>
              <w:rPr>
                <w:sz w:val="16"/>
                <w:szCs w:val="20"/>
              </w:rPr>
            </w:pPr>
            <w:r w:rsidRPr="004522F1">
              <w:rPr>
                <w:sz w:val="16"/>
                <w:szCs w:val="20"/>
              </w:rPr>
              <w:t>United Arab Emirates</w:t>
            </w:r>
          </w:p>
        </w:tc>
        <w:tc>
          <w:tcPr>
            <w:tcW w:w="2760" w:type="dxa"/>
            <w:vAlign w:val="center"/>
          </w:tcPr>
          <w:p w14:paraId="70C050D5" w14:textId="77777777" w:rsidR="00FC23E0" w:rsidRPr="004522F1" w:rsidRDefault="00FC23E0" w:rsidP="00E00397">
            <w:pPr>
              <w:pStyle w:val="SynthesisTable"/>
              <w:rPr>
                <w:sz w:val="16"/>
                <w:szCs w:val="20"/>
              </w:rPr>
            </w:pPr>
            <w:r w:rsidRPr="004522F1">
              <w:rPr>
                <w:sz w:val="16"/>
                <w:szCs w:val="20"/>
              </w:rPr>
              <w:t>20.7%</w:t>
            </w:r>
          </w:p>
        </w:tc>
        <w:tc>
          <w:tcPr>
            <w:tcW w:w="2760" w:type="dxa"/>
            <w:vAlign w:val="center"/>
          </w:tcPr>
          <w:p w14:paraId="1CE9EABA" w14:textId="77777777" w:rsidR="00FC23E0" w:rsidRPr="004522F1" w:rsidRDefault="00FC23E0" w:rsidP="00E00397">
            <w:pPr>
              <w:pStyle w:val="SynthesisTable"/>
              <w:rPr>
                <w:sz w:val="16"/>
                <w:szCs w:val="20"/>
              </w:rPr>
            </w:pPr>
            <w:r w:rsidRPr="004522F1">
              <w:rPr>
                <w:sz w:val="16"/>
                <w:szCs w:val="20"/>
              </w:rPr>
              <w:t>10.3%</w:t>
            </w:r>
          </w:p>
        </w:tc>
      </w:tr>
      <w:tr w:rsidR="00FC23E0" w14:paraId="36650A9C" w14:textId="77777777" w:rsidTr="00E00397">
        <w:tc>
          <w:tcPr>
            <w:tcW w:w="4560" w:type="dxa"/>
            <w:vAlign w:val="center"/>
          </w:tcPr>
          <w:p w14:paraId="7995C433" w14:textId="77777777" w:rsidR="00FC23E0" w:rsidRPr="004522F1" w:rsidRDefault="00FC23E0" w:rsidP="00E00397">
            <w:pPr>
              <w:pStyle w:val="SynthesisTable"/>
              <w:rPr>
                <w:sz w:val="16"/>
                <w:szCs w:val="20"/>
              </w:rPr>
            </w:pPr>
            <w:r w:rsidRPr="004522F1">
              <w:rPr>
                <w:sz w:val="16"/>
                <w:szCs w:val="20"/>
              </w:rPr>
              <w:t>Morocco</w:t>
            </w:r>
          </w:p>
        </w:tc>
        <w:tc>
          <w:tcPr>
            <w:tcW w:w="2760" w:type="dxa"/>
            <w:vAlign w:val="center"/>
          </w:tcPr>
          <w:p w14:paraId="0194E3AC" w14:textId="77777777" w:rsidR="00FC23E0" w:rsidRPr="004522F1" w:rsidRDefault="00FC23E0" w:rsidP="00E00397">
            <w:pPr>
              <w:pStyle w:val="SynthesisTable"/>
              <w:rPr>
                <w:sz w:val="16"/>
                <w:szCs w:val="20"/>
              </w:rPr>
            </w:pPr>
            <w:r w:rsidRPr="004522F1">
              <w:rPr>
                <w:sz w:val="16"/>
                <w:szCs w:val="20"/>
              </w:rPr>
              <w:t>0.0%</w:t>
            </w:r>
          </w:p>
        </w:tc>
        <w:tc>
          <w:tcPr>
            <w:tcW w:w="2760" w:type="dxa"/>
            <w:vAlign w:val="center"/>
          </w:tcPr>
          <w:p w14:paraId="47EEFCCC" w14:textId="77777777" w:rsidR="00FC23E0" w:rsidRPr="004522F1" w:rsidRDefault="00FC23E0" w:rsidP="00E00397">
            <w:pPr>
              <w:pStyle w:val="SynthesisTable"/>
              <w:rPr>
                <w:sz w:val="16"/>
                <w:szCs w:val="20"/>
              </w:rPr>
            </w:pPr>
            <w:r w:rsidRPr="004522F1">
              <w:rPr>
                <w:sz w:val="16"/>
                <w:szCs w:val="20"/>
              </w:rPr>
              <w:t>6.9%</w:t>
            </w:r>
          </w:p>
        </w:tc>
      </w:tr>
      <w:tr w:rsidR="00FC23E0" w14:paraId="5372EAFD" w14:textId="77777777" w:rsidTr="00E00397">
        <w:tc>
          <w:tcPr>
            <w:tcW w:w="4560" w:type="dxa"/>
            <w:vAlign w:val="center"/>
          </w:tcPr>
          <w:p w14:paraId="5D54C236" w14:textId="77777777" w:rsidR="00FC23E0" w:rsidRPr="004522F1" w:rsidRDefault="00FC23E0" w:rsidP="00E00397">
            <w:pPr>
              <w:pStyle w:val="SynthesisTable"/>
              <w:rPr>
                <w:sz w:val="16"/>
                <w:szCs w:val="20"/>
              </w:rPr>
            </w:pPr>
            <w:r w:rsidRPr="004522F1">
              <w:rPr>
                <w:sz w:val="16"/>
                <w:szCs w:val="20"/>
              </w:rPr>
              <w:t>Egypt</w:t>
            </w:r>
          </w:p>
        </w:tc>
        <w:tc>
          <w:tcPr>
            <w:tcW w:w="2760" w:type="dxa"/>
            <w:vAlign w:val="center"/>
          </w:tcPr>
          <w:p w14:paraId="17AB6CA8" w14:textId="77777777" w:rsidR="00FC23E0" w:rsidRPr="004522F1" w:rsidRDefault="00FC23E0" w:rsidP="00E00397">
            <w:pPr>
              <w:pStyle w:val="SynthesisTable"/>
              <w:rPr>
                <w:sz w:val="16"/>
                <w:szCs w:val="20"/>
              </w:rPr>
            </w:pPr>
            <w:r w:rsidRPr="004522F1">
              <w:rPr>
                <w:sz w:val="16"/>
                <w:szCs w:val="20"/>
              </w:rPr>
              <w:t>0.0%</w:t>
            </w:r>
          </w:p>
        </w:tc>
        <w:tc>
          <w:tcPr>
            <w:tcW w:w="2760" w:type="dxa"/>
            <w:vAlign w:val="center"/>
          </w:tcPr>
          <w:p w14:paraId="2674371C" w14:textId="77777777" w:rsidR="00FC23E0" w:rsidRPr="004522F1" w:rsidRDefault="00FC23E0" w:rsidP="00E00397">
            <w:pPr>
              <w:pStyle w:val="SynthesisTable"/>
              <w:rPr>
                <w:sz w:val="16"/>
                <w:szCs w:val="20"/>
              </w:rPr>
            </w:pPr>
            <w:r w:rsidRPr="004522F1">
              <w:rPr>
                <w:sz w:val="16"/>
                <w:szCs w:val="20"/>
              </w:rPr>
              <w:t>0.0%</w:t>
            </w:r>
          </w:p>
        </w:tc>
      </w:tr>
      <w:tr w:rsidR="00FC23E0" w14:paraId="03F77918" w14:textId="77777777" w:rsidTr="00E00397">
        <w:tc>
          <w:tcPr>
            <w:tcW w:w="4560" w:type="dxa"/>
            <w:vAlign w:val="center"/>
          </w:tcPr>
          <w:p w14:paraId="7AADC020" w14:textId="77777777" w:rsidR="00FC23E0" w:rsidRPr="004522F1" w:rsidRDefault="00FC23E0" w:rsidP="00E00397">
            <w:pPr>
              <w:pStyle w:val="SynthesisTable"/>
              <w:rPr>
                <w:sz w:val="16"/>
                <w:szCs w:val="20"/>
              </w:rPr>
            </w:pPr>
            <w:r w:rsidRPr="004522F1">
              <w:rPr>
                <w:sz w:val="16"/>
                <w:szCs w:val="20"/>
              </w:rPr>
              <w:t>Unsure</w:t>
            </w:r>
          </w:p>
        </w:tc>
        <w:tc>
          <w:tcPr>
            <w:tcW w:w="2760" w:type="dxa"/>
            <w:vAlign w:val="center"/>
          </w:tcPr>
          <w:p w14:paraId="76B0921E" w14:textId="77777777" w:rsidR="00FC23E0" w:rsidRPr="004522F1" w:rsidRDefault="00FC23E0" w:rsidP="00E00397">
            <w:pPr>
              <w:pStyle w:val="SynthesisTable"/>
              <w:rPr>
                <w:sz w:val="16"/>
                <w:szCs w:val="20"/>
              </w:rPr>
            </w:pPr>
            <w:r w:rsidRPr="004522F1">
              <w:rPr>
                <w:sz w:val="16"/>
                <w:szCs w:val="20"/>
              </w:rPr>
              <w:t>13.8%</w:t>
            </w:r>
          </w:p>
        </w:tc>
        <w:tc>
          <w:tcPr>
            <w:tcW w:w="2760" w:type="dxa"/>
            <w:vAlign w:val="center"/>
          </w:tcPr>
          <w:p w14:paraId="6EE28AE6" w14:textId="77777777" w:rsidR="00FC23E0" w:rsidRPr="004522F1" w:rsidRDefault="00FC23E0" w:rsidP="00E00397">
            <w:pPr>
              <w:pStyle w:val="SynthesisTable"/>
              <w:rPr>
                <w:sz w:val="16"/>
                <w:szCs w:val="20"/>
              </w:rPr>
            </w:pPr>
            <w:r w:rsidRPr="004522F1">
              <w:rPr>
                <w:sz w:val="16"/>
                <w:szCs w:val="20"/>
              </w:rPr>
              <w:t>24.1%</w:t>
            </w:r>
          </w:p>
        </w:tc>
      </w:tr>
      <w:tr w:rsidR="00FC23E0" w14:paraId="7EF36779" w14:textId="77777777" w:rsidTr="00E00397">
        <w:tc>
          <w:tcPr>
            <w:tcW w:w="4560" w:type="dxa"/>
            <w:vAlign w:val="center"/>
          </w:tcPr>
          <w:p w14:paraId="47ED319C" w14:textId="77777777" w:rsidR="00FC23E0" w:rsidRPr="004522F1" w:rsidRDefault="00FC23E0" w:rsidP="00E00397">
            <w:pPr>
              <w:pStyle w:val="SynthesisTable"/>
              <w:rPr>
                <w:sz w:val="16"/>
                <w:szCs w:val="20"/>
              </w:rPr>
            </w:pPr>
            <w:r w:rsidRPr="004522F1">
              <w:rPr>
                <w:sz w:val="16"/>
                <w:szCs w:val="20"/>
              </w:rPr>
              <w:t>None at this stage</w:t>
            </w:r>
          </w:p>
        </w:tc>
        <w:tc>
          <w:tcPr>
            <w:tcW w:w="2760" w:type="dxa"/>
            <w:vAlign w:val="center"/>
          </w:tcPr>
          <w:p w14:paraId="719507BC" w14:textId="77777777" w:rsidR="00FC23E0" w:rsidRPr="004522F1" w:rsidRDefault="00FC23E0" w:rsidP="00E00397">
            <w:pPr>
              <w:pStyle w:val="SynthesisTable"/>
              <w:rPr>
                <w:sz w:val="16"/>
                <w:szCs w:val="20"/>
              </w:rPr>
            </w:pPr>
            <w:r w:rsidRPr="004522F1">
              <w:rPr>
                <w:sz w:val="16"/>
                <w:szCs w:val="20"/>
              </w:rPr>
              <w:t>3.4%</w:t>
            </w:r>
          </w:p>
        </w:tc>
        <w:tc>
          <w:tcPr>
            <w:tcW w:w="2760" w:type="dxa"/>
            <w:vAlign w:val="center"/>
          </w:tcPr>
          <w:p w14:paraId="7D569DDF" w14:textId="77777777" w:rsidR="00FC23E0" w:rsidRPr="004522F1" w:rsidRDefault="00FC23E0" w:rsidP="00E00397">
            <w:pPr>
              <w:pStyle w:val="SynthesisTable"/>
              <w:rPr>
                <w:sz w:val="16"/>
                <w:szCs w:val="20"/>
              </w:rPr>
            </w:pPr>
            <w:r w:rsidRPr="004522F1">
              <w:rPr>
                <w:sz w:val="16"/>
                <w:szCs w:val="20"/>
              </w:rPr>
              <w:t>6.9%</w:t>
            </w:r>
          </w:p>
        </w:tc>
      </w:tr>
    </w:tbl>
    <w:p w14:paraId="73A2F48B" w14:textId="69024B27" w:rsidR="00D72134" w:rsidRPr="001F1CA6" w:rsidRDefault="00800139" w:rsidP="00FC23E0">
      <w:pPr>
        <w:rPr>
          <w:i/>
          <w:iCs/>
          <w:sz w:val="16"/>
          <w:szCs w:val="16"/>
        </w:rPr>
      </w:pPr>
      <w:r w:rsidRPr="001F1CA6">
        <w:rPr>
          <w:i/>
          <w:iCs/>
          <w:sz w:val="16"/>
          <w:szCs w:val="16"/>
        </w:rPr>
        <w:t>* The survey received 29 responses between 9 June and 23 July 2026. It is a snapshot, not a representative sector estimate. Each respondent selected one highest-priority market, so zero selections do not imply no other interest or demand.</w:t>
      </w:r>
    </w:p>
    <w:p w14:paraId="7AE23D3A" w14:textId="42B02628" w:rsidR="00396106" w:rsidRDefault="005B07D0" w:rsidP="000D3904">
      <w:pPr>
        <w:pStyle w:val="Heading3"/>
      </w:pPr>
      <w:r>
        <w:t>Australian METS Views: C</w:t>
      </w:r>
      <w:r w:rsidR="00396106">
        <w:t>ustomer access</w:t>
      </w:r>
    </w:p>
    <w:p w14:paraId="05F0B843" w14:textId="6D140405" w:rsidR="00B70A93" w:rsidRPr="00EE4541" w:rsidRDefault="00264A6A" w:rsidP="00EE4541">
      <w:r>
        <w:t xml:space="preserve">Respondents provided their </w:t>
      </w:r>
      <w:r w:rsidR="00904ED2">
        <w:t xml:space="preserve">feedback on the </w:t>
      </w:r>
      <w:r w:rsidR="00FE1F24">
        <w:t>greatest challenges to growth in the region, with f</w:t>
      </w:r>
      <w:r w:rsidR="00B70A93">
        <w:t>inding the right customer or decision-maker selected by 6</w:t>
      </w:r>
      <w:r w:rsidR="00602601">
        <w:t>6</w:t>
      </w:r>
      <w:r w:rsidR="00B70A93">
        <w:t>% of respondents</w:t>
      </w:r>
      <w:r w:rsidR="00DF4E25">
        <w:t>. Similarly,</w:t>
      </w:r>
      <w:r w:rsidR="00B70A93">
        <w:t xml:space="preserve"> 72.4% identified introductions to customers, operators and project owners as a valuable form of support. Promotion to international customers and participation in trade events or missions were also prominent, at 51.7% and 44.8% respectively. </w:t>
      </w:r>
    </w:p>
    <w:p w14:paraId="082DEE5F" w14:textId="60EA9CD0" w:rsidR="001041B4" w:rsidRPr="000D3904" w:rsidRDefault="001041B4" w:rsidP="001041B4">
      <w:pPr>
        <w:pStyle w:val="Heading4"/>
        <w:rPr>
          <w:rFonts w:ascii="Verdana" w:hAnsi="Verdana"/>
        </w:rPr>
      </w:pPr>
      <w:r w:rsidRPr="000D3904">
        <w:rPr>
          <w:rFonts w:ascii="Verdana" w:hAnsi="Verdana"/>
        </w:rPr>
        <w:lastRenderedPageBreak/>
        <w:t>Support respondents considered valuable for international growth</w:t>
      </w:r>
      <w:r w:rsidR="00E70665" w:rsidRPr="000D3904">
        <w:rPr>
          <w:rFonts w:ascii="Verdana" w:hAnsi="Verdana"/>
        </w:rPr>
        <w:t xml:space="preserve"> (n=29)</w:t>
      </w:r>
    </w:p>
    <w:p w14:paraId="766BE633" w14:textId="77777777" w:rsidR="00A73F5C" w:rsidRDefault="00A73F5C" w:rsidP="00A73F5C">
      <w:pPr>
        <w:pStyle w:val="SynthesisBody"/>
        <w:keepNext/>
      </w:pPr>
    </w:p>
    <w:p w14:paraId="62A08318" w14:textId="1533A321" w:rsidR="00E14321" w:rsidRDefault="00232F83" w:rsidP="00EA21A6">
      <w:r>
        <w:rPr>
          <w:noProof/>
        </w:rPr>
        <w:drawing>
          <wp:inline distT="0" distB="0" distL="0" distR="0" wp14:anchorId="3ACA2D76" wp14:editId="30F3A8E8">
            <wp:extent cx="5486400" cy="3314755"/>
            <wp:effectExtent l="0" t="0" r="0" b="0"/>
            <wp:docPr id="1678991340" name="Picture 9" descr="Horizontal bar chart shows respondent priorities across customer, operator, and project-owner introductions, international promotion, trade events, market intelligence, case studies, partner support, export readiness, and procurement guidance. Blue bars rank customer/operator/project-owner introductions highest at 72.4% (21 of 29) and procurement, contracting, and payment guidance lowest at 27.6% (8), with remaining categories ranging from 31.0% to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991340" name="Picture 9" descr="Horizontal bar chart shows respondent priorities across customer, operator, and project-owner introductions, international promotion, trade events, market intelligence, case studies, partner support, export readiness, and procurement guidance. Blue bars rank customer/operator/project-owner introductions highest at 72.4% (21 of 29) and procurement, contracting, and payment guidance lowest at 27.6% (8), with remaining categories ranging from 31.0% to 51.7%."/>
                    <pic:cNvPicPr>
                      <a:picLocks noChangeAspect="1" noChangeArrowheads="1"/>
                    </pic:cNvPicPr>
                  </pic:nvPicPr>
                  <pic:blipFill rotWithShape="1">
                    <a:blip r:embed="rId30">
                      <a:extLst>
                        <a:ext uri="{28A0092B-C50C-407E-A947-70E740481C1C}">
                          <a14:useLocalDpi xmlns:a14="http://schemas.microsoft.com/office/drawing/2010/main" val="0"/>
                        </a:ext>
                      </a:extLst>
                    </a:blip>
                    <a:srcRect l="53795" t="16642" r="5049" b="48204"/>
                    <a:stretch>
                      <a:fillRect/>
                    </a:stretch>
                  </pic:blipFill>
                  <pic:spPr bwMode="auto">
                    <a:xfrm>
                      <a:off x="0" y="0"/>
                      <a:ext cx="5499610" cy="3322736"/>
                    </a:xfrm>
                    <a:prstGeom prst="rect">
                      <a:avLst/>
                    </a:prstGeom>
                    <a:noFill/>
                    <a:ln>
                      <a:noFill/>
                    </a:ln>
                    <a:extLst>
                      <a:ext uri="{53640926-AAD7-44D8-BBD7-CCE9431645EC}">
                        <a14:shadowObscured xmlns:a14="http://schemas.microsoft.com/office/drawing/2010/main"/>
                      </a:ext>
                    </a:extLst>
                  </pic:spPr>
                </pic:pic>
              </a:graphicData>
            </a:graphic>
          </wp:inline>
        </w:drawing>
      </w:r>
    </w:p>
    <w:p w14:paraId="0DE07B93" w14:textId="637034A5" w:rsidR="009B22A6" w:rsidRDefault="002E1AAD" w:rsidP="00EA21A6">
      <w:r w:rsidRPr="002E1AAD">
        <w:t xml:space="preserve">Australian METS companies should prioritise industry events and outreach </w:t>
      </w:r>
      <w:r w:rsidR="002E15AC">
        <w:t xml:space="preserve">targeted </w:t>
      </w:r>
      <w:r w:rsidR="00DD142A">
        <w:t xml:space="preserve">to </w:t>
      </w:r>
      <w:r w:rsidR="000E3A23">
        <w:t xml:space="preserve">technical decision-makers </w:t>
      </w:r>
      <w:r w:rsidR="00F652B8">
        <w:t xml:space="preserve">who </w:t>
      </w:r>
      <w:r w:rsidR="00B97FDF">
        <w:t xml:space="preserve">understand </w:t>
      </w:r>
      <w:r w:rsidR="00F652B8">
        <w:t>operational requirements and</w:t>
      </w:r>
      <w:r w:rsidR="00790803">
        <w:t xml:space="preserve"> </w:t>
      </w:r>
      <w:r w:rsidR="00B97FDF">
        <w:t xml:space="preserve">will </w:t>
      </w:r>
      <w:r w:rsidR="00987C4D">
        <w:t>better engage</w:t>
      </w:r>
      <w:r w:rsidR="002C3355">
        <w:t xml:space="preserve"> around specialised solutions. </w:t>
      </w:r>
      <w:r w:rsidR="00B97FDF">
        <w:t xml:space="preserve"> </w:t>
      </w:r>
      <w:r w:rsidR="00B34F3D" w:rsidRPr="00B34F3D">
        <w:t xml:space="preserve">Supplier registration may be </w:t>
      </w:r>
      <w:r w:rsidR="001C6F9C">
        <w:t xml:space="preserve">a pre-requisite to </w:t>
      </w:r>
      <w:r w:rsidR="00F605B1">
        <w:t>work</w:t>
      </w:r>
      <w:r w:rsidR="00B34F3D" w:rsidRPr="00B34F3D">
        <w:t xml:space="preserve">, but it is not a substitute for </w:t>
      </w:r>
      <w:r w:rsidR="00F605B1">
        <w:t xml:space="preserve">developing relationships </w:t>
      </w:r>
      <w:r w:rsidR="00D210CC">
        <w:t xml:space="preserve">with users of the technology. </w:t>
      </w:r>
    </w:p>
    <w:p w14:paraId="519E84C3" w14:textId="28A4C19D" w:rsidR="00FC7EE9" w:rsidRDefault="00EA21A6" w:rsidP="00444CEA">
      <w:r>
        <w:t xml:space="preserve">Abed Hakmi of Austrade Riyadh </w:t>
      </w:r>
      <w:r w:rsidR="007D6CEA">
        <w:t xml:space="preserve">emphasises the need to </w:t>
      </w:r>
      <w:r w:rsidR="004A02A5">
        <w:t>understand solution demand and alignment with the relevant technical department.</w:t>
      </w:r>
    </w:p>
    <w:p w14:paraId="1CAB8A0A" w14:textId="77777777" w:rsidR="000D3904" w:rsidRPr="00444CEA" w:rsidRDefault="000D3904" w:rsidP="00444CEA"/>
    <w:p w14:paraId="52190677" w14:textId="53A46333" w:rsidR="00FC7EE9" w:rsidRDefault="00FC7EE9" w:rsidP="000D3904">
      <w:pPr>
        <w:pStyle w:val="Quote1"/>
      </w:pPr>
      <w:r>
        <w:t>“</w:t>
      </w:r>
      <w:r w:rsidR="008F077B" w:rsidRPr="008F077B">
        <w:t>Before committing to the supplier approval process, speak with the technical team and understand what they need. You need to know whether your product solves a problem they are willing to pay to fix. Then work through the purchasing requirements and how you will support the customer locally</w:t>
      </w:r>
      <w:r w:rsidRPr="00DD5629">
        <w:t>?</w:t>
      </w:r>
      <w:r>
        <w:t>”</w:t>
      </w:r>
    </w:p>
    <w:p w14:paraId="2B1173F1" w14:textId="6828EB83" w:rsidR="002C4C01" w:rsidRDefault="000D3904" w:rsidP="000D3904">
      <w:pPr>
        <w:pStyle w:val="quotename"/>
      </w:pPr>
      <w:r w:rsidRPr="000D3904">
        <w:t>-</w:t>
      </w:r>
      <w:r>
        <w:t xml:space="preserve"> </w:t>
      </w:r>
      <w:r w:rsidR="002C4C01" w:rsidRPr="002C4C01">
        <w:t>Abed Hakmi, Director of Energy and Mineral Resources, Infrastructure and Defence, Australian Trade and Investment Commission (Austrade), Riyadh</w:t>
      </w:r>
    </w:p>
    <w:p w14:paraId="6186FDA4" w14:textId="591FF2AF" w:rsidR="00767DF0" w:rsidRPr="000D3904" w:rsidRDefault="00031CC2" w:rsidP="000D3904">
      <w:r>
        <w:t>Customer access is only one element of commercial considerations, and Australian METS companies provided their perspectives of other critical barriers</w:t>
      </w:r>
      <w:r w:rsidR="00D81388">
        <w:t>. Local partner requirements were selected by 58.6% of respondents, limited market intelligence by 44.8%, contract risk by 41.4% and local</w:t>
      </w:r>
      <w:r w:rsidR="005318D8">
        <w:t xml:space="preserve"> </w:t>
      </w:r>
      <w:r w:rsidR="00D81388">
        <w:t xml:space="preserve">content expectations by 37.9%. </w:t>
      </w:r>
      <w:r w:rsidR="00407090">
        <w:t xml:space="preserve">These responses indicate that companies recognise the </w:t>
      </w:r>
      <w:r w:rsidR="009A07C7">
        <w:t>complexity of the operating environment</w:t>
      </w:r>
      <w:r w:rsidR="00F926E2">
        <w:t xml:space="preserve"> across the region</w:t>
      </w:r>
      <w:r w:rsidR="00FB2AD8">
        <w:t xml:space="preserve"> and the need to invest in </w:t>
      </w:r>
      <w:r w:rsidR="00557AB5">
        <w:t xml:space="preserve">local relationships and value-add. </w:t>
      </w:r>
    </w:p>
    <w:p w14:paraId="0E2FA9F3" w14:textId="6507069D" w:rsidR="00221449" w:rsidRPr="00B87BE4" w:rsidRDefault="00221449" w:rsidP="000D3904">
      <w:pPr>
        <w:pStyle w:val="Heading3"/>
      </w:pPr>
      <w:r w:rsidRPr="00B87BE4">
        <w:t>Delivery and support</w:t>
      </w:r>
    </w:p>
    <w:p w14:paraId="36D2FFA0" w14:textId="77777777" w:rsidR="00CE4521" w:rsidRDefault="00C71FEB" w:rsidP="00221449">
      <w:r>
        <w:t xml:space="preserve">For Australian METS companies with limited scale and resources, </w:t>
      </w:r>
      <w:r w:rsidR="009D356A">
        <w:t xml:space="preserve">one of the most common challenges can be the </w:t>
      </w:r>
      <w:r w:rsidR="00221449">
        <w:t xml:space="preserve">ability to install, maintain and support a solution </w:t>
      </w:r>
      <w:r w:rsidR="003156E6">
        <w:t>following the contract award</w:t>
      </w:r>
      <w:r w:rsidR="00221449">
        <w:t xml:space="preserve">. </w:t>
      </w:r>
    </w:p>
    <w:p w14:paraId="55979290" w14:textId="43FEC776" w:rsidR="00221449" w:rsidRDefault="00150D2C" w:rsidP="002172AE">
      <w:r>
        <w:lastRenderedPageBreak/>
        <w:t xml:space="preserve">The companies interviewed </w:t>
      </w:r>
      <w:r w:rsidR="00CE4521">
        <w:t xml:space="preserve">for this report each </w:t>
      </w:r>
      <w:r w:rsidR="00BF71E8">
        <w:t xml:space="preserve">utilised </w:t>
      </w:r>
      <w:r w:rsidR="005A45CE">
        <w:t xml:space="preserve">different approaches that reflect the </w:t>
      </w:r>
      <w:r w:rsidR="00DD222B">
        <w:t>unique requirements of their customer</w:t>
      </w:r>
      <w:r w:rsidR="00FD78BA">
        <w:t xml:space="preserve"> and</w:t>
      </w:r>
      <w:r w:rsidR="006B7904">
        <w:t xml:space="preserve"> level of engagement in the region</w:t>
      </w:r>
      <w:r w:rsidR="00FD78BA">
        <w:t xml:space="preserve">. </w:t>
      </w:r>
      <w:r w:rsidR="00221449">
        <w:t xml:space="preserve">Austin Engineering </w:t>
      </w:r>
      <w:r w:rsidR="00FD78BA">
        <w:t>engaged remotely</w:t>
      </w:r>
      <w:r w:rsidR="00780CEB">
        <w:t xml:space="preserve"> during negotiations</w:t>
      </w:r>
      <w:r w:rsidR="00E048C9">
        <w:t xml:space="preserve"> with their Turkish customer</w:t>
      </w:r>
      <w:r w:rsidR="00780CEB">
        <w:t xml:space="preserve"> and then supported their product through </w:t>
      </w:r>
      <w:r w:rsidR="00221449">
        <w:t xml:space="preserve">site visits, documented procedures, remote tools and customer training. </w:t>
      </w:r>
      <w:r w:rsidR="003B150D">
        <w:t xml:space="preserve">Gekko and </w:t>
      </w:r>
      <w:r w:rsidR="00CD7441">
        <w:t xml:space="preserve">Fleet Space </w:t>
      </w:r>
      <w:r w:rsidR="00C70F5B">
        <w:t xml:space="preserve">established </w:t>
      </w:r>
      <w:r w:rsidR="003B150D">
        <w:t xml:space="preserve">partnerships with local representatives only once significant customer demand was </w:t>
      </w:r>
      <w:r w:rsidR="0078432D">
        <w:t>identified</w:t>
      </w:r>
      <w:r w:rsidR="00B159C8">
        <w:t xml:space="preserve">. </w:t>
      </w:r>
      <w:r w:rsidR="002172AE">
        <w:t>The experience of Capital Limited</w:t>
      </w:r>
      <w:r w:rsidR="000F4F71">
        <w:t xml:space="preserve"> in Egypt</w:t>
      </w:r>
      <w:r w:rsidR="002172AE">
        <w:t xml:space="preserve"> and JORD </w:t>
      </w:r>
      <w:r w:rsidR="000F4F71">
        <w:t xml:space="preserve">in Morocco </w:t>
      </w:r>
      <w:r w:rsidR="00347E1C">
        <w:t xml:space="preserve">shows that </w:t>
      </w:r>
      <w:r w:rsidR="002C289D">
        <w:t>providing on-site services and maintaining equipment</w:t>
      </w:r>
      <w:r w:rsidR="00221449">
        <w:t xml:space="preserve"> may eventually require a </w:t>
      </w:r>
      <w:r w:rsidR="00BC1D0C">
        <w:t xml:space="preserve">larger </w:t>
      </w:r>
      <w:r w:rsidR="00221449">
        <w:t>regional or local presence.</w:t>
      </w:r>
    </w:p>
    <w:p w14:paraId="41AF6097" w14:textId="5CA28748" w:rsidR="005A726F" w:rsidRDefault="005A726F" w:rsidP="0020036E">
      <w:pPr>
        <w:pStyle w:val="Quote1"/>
      </w:pPr>
      <w:r>
        <w:t>“</w:t>
      </w:r>
      <w:r w:rsidR="00B95F7D" w:rsidRPr="00B95F7D">
        <w:t>Customers expect ongoing equipment support and long-term relationships, making an established regional presence essential for effective after-sales service and sustainable growth.</w:t>
      </w:r>
      <w:r>
        <w:t>”</w:t>
      </w:r>
    </w:p>
    <w:p w14:paraId="765B243E" w14:textId="1FC39202" w:rsidR="005024EE" w:rsidRPr="00FC23E0" w:rsidRDefault="005A726F" w:rsidP="00225D70">
      <w:pPr>
        <w:pStyle w:val="quotename"/>
      </w:pPr>
      <w:r>
        <w:t xml:space="preserve">- </w:t>
      </w:r>
      <w:r w:rsidR="00712984">
        <w:t>Shane Freeman, Senior Sales Manager, JORD International</w:t>
      </w:r>
    </w:p>
    <w:p w14:paraId="72B611E9" w14:textId="49BA8530" w:rsidR="0086025A" w:rsidRDefault="00B94C19" w:rsidP="00767DF0">
      <w:r>
        <w:t xml:space="preserve">Finding the right partner does not </w:t>
      </w:r>
      <w:r w:rsidR="002E35A4">
        <w:t>automatically equal success either</w:t>
      </w:r>
      <w:r w:rsidR="00767DF0">
        <w:t xml:space="preserve">. Appointing a representative will have limited value if that business cannot explain the technology or obtain timely technical input from the Australian supplier. </w:t>
      </w:r>
      <w:r w:rsidR="009505B5">
        <w:t>Ex</w:t>
      </w:r>
      <w:r w:rsidR="0065644B">
        <w:t xml:space="preserve">pert interviews </w:t>
      </w:r>
      <w:r w:rsidR="007B77DD">
        <w:t>carried out for this report</w:t>
      </w:r>
      <w:r w:rsidR="009505B5">
        <w:t xml:space="preserve"> emphasised</w:t>
      </w:r>
      <w:r w:rsidR="007B77DD">
        <w:t xml:space="preserve"> that building</w:t>
      </w:r>
      <w:r w:rsidR="009505B5">
        <w:t xml:space="preserve"> product knowledge and </w:t>
      </w:r>
      <w:r w:rsidR="007B77DD">
        <w:t xml:space="preserve">undertaking </w:t>
      </w:r>
      <w:r w:rsidR="009505B5">
        <w:t xml:space="preserve">joint customer engagement </w:t>
      </w:r>
      <w:r w:rsidR="009941DE">
        <w:t xml:space="preserve">is critical in markets with </w:t>
      </w:r>
      <w:r w:rsidR="00DA1CE2">
        <w:t>mining sectors that are still in development</w:t>
      </w:r>
      <w:r w:rsidR="009505B5">
        <w:t>.</w:t>
      </w:r>
    </w:p>
    <w:p w14:paraId="574EC17F" w14:textId="77777777" w:rsidR="00B87BE4" w:rsidRDefault="000645C9" w:rsidP="00C140DD">
      <w:pPr>
        <w:pStyle w:val="Heading3"/>
      </w:pPr>
      <w:r>
        <w:t>I</w:t>
      </w:r>
      <w:r w:rsidR="00B87BE4">
        <w:t>mplications for Australian engagement</w:t>
      </w:r>
    </w:p>
    <w:p w14:paraId="0361FD08" w14:textId="671AE568" w:rsidR="00B87BE4" w:rsidRPr="004522F1" w:rsidRDefault="00B87BE4" w:rsidP="004522F1">
      <w:r w:rsidRPr="004522F1">
        <w:t xml:space="preserve">The </w:t>
      </w:r>
      <w:r w:rsidR="00201BE2" w:rsidRPr="004522F1">
        <w:t xml:space="preserve">report </w:t>
      </w:r>
      <w:r w:rsidRPr="004522F1">
        <w:t xml:space="preserve">findings favour focused market development, with Australian capability matched to specific customers and purchasing requirements. For Austmine and Austrade, this means keeping market intelligence close to operating needs and project progress. </w:t>
      </w:r>
      <w:r w:rsidR="00DA7EBB" w:rsidRPr="004522F1">
        <w:t xml:space="preserve">This requirement </w:t>
      </w:r>
      <w:r w:rsidR="000A08AC" w:rsidRPr="004522F1">
        <w:t xml:space="preserve">is not uniform across the markets. </w:t>
      </w:r>
      <w:r w:rsidRPr="004522F1">
        <w:t>In Morocco this calls for sustained engagement with a small number of strategic accounts; in Egypt it requires close attention to exploration commitments and project approvals.</w:t>
      </w:r>
    </w:p>
    <w:p w14:paraId="6134D1DA" w14:textId="05644134" w:rsidR="00B87BE4" w:rsidRPr="004522F1" w:rsidRDefault="00B87BE4" w:rsidP="004522F1">
      <w:r w:rsidRPr="004522F1">
        <w:t xml:space="preserve">The survey also provides a basis for tailoring assistance. Twenty-three of the 29 respondents, or 79.3%, were already exporting internationally. Their needs may include assessing an unfamiliar partner, understanding a buyer’s qualification process or establishing a workable service arrangement. This supports building on existing export experience, while recognising that experience elsewhere does not establish readiness for every market covered here. </w:t>
      </w:r>
    </w:p>
    <w:p w14:paraId="42639001" w14:textId="088BD20C" w:rsidR="00B87BE4" w:rsidRPr="004522F1" w:rsidRDefault="00B87BE4" w:rsidP="004522F1">
      <w:r w:rsidRPr="004522F1">
        <w:t xml:space="preserve">Industry events and missions can help establish the relationships needed for this work. Fleet Space’s experience shows the value of identifying target customers before an event and continuing the technical discussion afterwards. Follow-up should establish who will assess the solution, what </w:t>
      </w:r>
      <w:r w:rsidR="004C480C" w:rsidRPr="004522F1">
        <w:t>references are</w:t>
      </w:r>
      <w:r w:rsidRPr="004522F1">
        <w:t xml:space="preserve"> needed and the next commercial step. Progress can be judged through substantive customer discussions, requests for technical information, trials, supplier qualification and subsequent work. </w:t>
      </w:r>
    </w:p>
    <w:p w14:paraId="26D877DC" w14:textId="5C350909" w:rsidR="00F13DFE" w:rsidRPr="004522F1" w:rsidRDefault="00B87BE4" w:rsidP="004522F1">
      <w:r w:rsidRPr="004522F1">
        <w:t>Continuity matters because project development and customer qualification can extend beyond a single mission or program. Australian engagement should retain a longer-term view while helping companies make proportionate commitments. A supplier with current operating customers may be able to support a regional presence; another may be better served through direct technical support or a capable partner. Assistance with these decisions, including training and after-sales arrangements, deserves attention alongside promotion.</w:t>
      </w:r>
    </w:p>
    <w:p w14:paraId="4C9FDA99" w14:textId="77777777" w:rsidR="003733A2" w:rsidRDefault="003733A2">
      <w:pPr>
        <w:spacing w:after="200" w:line="276" w:lineRule="auto"/>
        <w:rPr>
          <w:rFonts w:asciiTheme="majorHAnsi" w:eastAsiaTheme="majorEastAsia" w:hAnsiTheme="majorHAnsi" w:cstheme="majorBidi"/>
          <w:b/>
          <w:bCs/>
          <w:color w:val="1F4E79"/>
          <w:sz w:val="32"/>
          <w:szCs w:val="28"/>
        </w:rPr>
      </w:pPr>
      <w:r>
        <w:br w:type="page"/>
      </w:r>
    </w:p>
    <w:p w14:paraId="597AEFFD" w14:textId="2908AB49" w:rsidR="00F029FA" w:rsidRPr="00E91368" w:rsidRDefault="00F029FA" w:rsidP="00C140DD">
      <w:pPr>
        <w:pStyle w:val="Heading1"/>
      </w:pPr>
      <w:r w:rsidRPr="00E91368">
        <w:lastRenderedPageBreak/>
        <w:t>Conclusion</w:t>
      </w:r>
    </w:p>
    <w:p w14:paraId="5C55982C" w14:textId="77777777" w:rsidR="000202EC" w:rsidRPr="00C140DD" w:rsidRDefault="000202EC" w:rsidP="000202EC">
      <w:pPr>
        <w:rPr>
          <w:rFonts w:cstheme="majorHAnsi"/>
          <w:b/>
          <w:bCs/>
          <w:i/>
          <w:iCs/>
          <w:szCs w:val="20"/>
        </w:rPr>
      </w:pPr>
      <w:r w:rsidRPr="00C140DD">
        <w:rPr>
          <w:rFonts w:cstheme="majorHAnsi"/>
          <w:b/>
          <w:bCs/>
          <w:i/>
          <w:iCs/>
          <w:szCs w:val="20"/>
        </w:rPr>
        <w:t>A differentiated opportunity for Australian METS</w:t>
      </w:r>
    </w:p>
    <w:p w14:paraId="1A3F5BD7" w14:textId="41D702BD" w:rsidR="009E309D" w:rsidRDefault="009E309D" w:rsidP="002B00CF">
      <w:r>
        <w:t>The Middle East, North Africa and Türkiye provide a credible diversification opportunity for Australian METS companies</w:t>
      </w:r>
      <w:r w:rsidR="002B00CF">
        <w:t>.</w:t>
      </w:r>
      <w:r>
        <w:t xml:space="preserve"> </w:t>
      </w:r>
      <w:r w:rsidR="002B00CF" w:rsidRPr="002B00CF">
        <w:t>The five markets provide different pathways</w:t>
      </w:r>
      <w:r w:rsidR="00B12C51">
        <w:t xml:space="preserve"> </w:t>
      </w:r>
      <w:r w:rsidR="002B00CF" w:rsidRPr="002B00CF">
        <w:t>with substantial differences in customer demand, market maturity and commercial accessibility. Saudi Arabia has the broadest combination of operating demand, exploration and announced development activity. Türkiye provides established demand where suppliers can demonstrate a technical and service advantage. Opportunities in the UAE, Morocco and Egypt are more concentrated around particular customers, assets and funded programs.</w:t>
      </w:r>
    </w:p>
    <w:p w14:paraId="0ABF002C" w14:textId="04B7298F" w:rsidR="009E309D" w:rsidRDefault="009E309D" w:rsidP="009E309D">
      <w:r>
        <w:t>The</w:t>
      </w:r>
      <w:r w:rsidR="00871871">
        <w:t xml:space="preserve"> Australian METS</w:t>
      </w:r>
      <w:r>
        <w:t xml:space="preserve"> survey points to practical difficulties in reaching decision-makers, assessing partners and obtaining market intelligence, including among companies already exporting. The interviews</w:t>
      </w:r>
      <w:r w:rsidR="00331172">
        <w:t xml:space="preserve"> conducted</w:t>
      </w:r>
      <w:r>
        <w:t xml:space="preserve"> add </w:t>
      </w:r>
      <w:r w:rsidR="00331172">
        <w:t xml:space="preserve">practical evidence </w:t>
      </w:r>
      <w:r>
        <w:t>about proving technical value and maintaining support after a sale. Together, they indicate where assistance can be useful, without establishing that market entry will be straightforward or that the same approach will suit every company.</w:t>
      </w:r>
    </w:p>
    <w:p w14:paraId="6BEDBBAE" w14:textId="77777777" w:rsidR="009E309D" w:rsidRDefault="009E309D" w:rsidP="00C140DD">
      <w:pPr>
        <w:pStyle w:val="Heading2"/>
      </w:pPr>
      <w:r>
        <w:t>Where to start</w:t>
      </w:r>
    </w:p>
    <w:p w14:paraId="43E02105" w14:textId="15A20CD5" w:rsidR="009E309D" w:rsidRDefault="009E309D" w:rsidP="009E309D">
      <w:r>
        <w:t>Companies with limited resources should begin with the market and customer where their capability addresses a recognised need and where they can support the solution after sale. For many suppliers, Saudi Arabia will warrant the earliest investigation because of the breadth of operating and development activity. Türkiye may provide nearer-term opportunities for specialist suppliers able to demonstrate an advantage over established competitors. The UAE should be separated into two decisions: pursuing domestic industrial customers and establishing a regional base. Morocco requires sustained strategic-account development, while activity in Egypt should remain tied to specific customers, funded exploration and confirmed project progress.</w:t>
      </w:r>
    </w:p>
    <w:p w14:paraId="064E2282" w14:textId="77777777" w:rsidR="009E309D" w:rsidRDefault="009E309D" w:rsidP="00C140DD">
      <w:pPr>
        <w:pStyle w:val="Heading2"/>
      </w:pPr>
      <w:r>
        <w:t>What to watch</w:t>
      </w:r>
    </w:p>
    <w:p w14:paraId="58C9C7DC" w14:textId="77777777" w:rsidR="00033689" w:rsidRDefault="00B75406" w:rsidP="00033689">
      <w:r>
        <w:t>Over the next 12 to 24 months, the following milestones may indicate where more defined demand is emerging:</w:t>
      </w:r>
    </w:p>
    <w:p w14:paraId="7F9B272D" w14:textId="64BE0690" w:rsidR="00D266F8" w:rsidRDefault="00D266F8" w:rsidP="00D266F8">
      <w:pPr>
        <w:pStyle w:val="ListParagraph"/>
        <w:numPr>
          <w:ilvl w:val="0"/>
          <w:numId w:val="23"/>
        </w:numPr>
      </w:pPr>
      <w:r w:rsidRPr="00AB78F5">
        <w:rPr>
          <w:b/>
          <w:bCs/>
        </w:rPr>
        <w:t>Saudi Arabia:</w:t>
      </w:r>
      <w:r>
        <w:t xml:space="preserve"> procurement and construction progress at Maaden projects, including Phosphate 3 commissioning and Ar Rjum development.</w:t>
      </w:r>
    </w:p>
    <w:p w14:paraId="7E3ADDDC" w14:textId="6BBB2EF2" w:rsidR="00D266F8" w:rsidRDefault="00D266F8" w:rsidP="00D266F8">
      <w:pPr>
        <w:pStyle w:val="ListParagraph"/>
        <w:numPr>
          <w:ilvl w:val="0"/>
          <w:numId w:val="23"/>
        </w:numPr>
      </w:pPr>
      <w:r w:rsidRPr="00AB78F5">
        <w:rPr>
          <w:b/>
          <w:bCs/>
        </w:rPr>
        <w:t>United Arab Emirates:</w:t>
      </w:r>
      <w:r>
        <w:t xml:space="preserve"> restoration and recycling activity at EGA, and funded procurement by other industrial and quarrying accounts.</w:t>
      </w:r>
    </w:p>
    <w:p w14:paraId="335E2C25" w14:textId="11B763D1" w:rsidR="00D266F8" w:rsidRDefault="00D266F8" w:rsidP="00D266F8">
      <w:pPr>
        <w:pStyle w:val="ListParagraph"/>
        <w:numPr>
          <w:ilvl w:val="0"/>
          <w:numId w:val="23"/>
        </w:numPr>
      </w:pPr>
      <w:r w:rsidRPr="00AB78F5">
        <w:rPr>
          <w:b/>
          <w:bCs/>
        </w:rPr>
        <w:t>Morocco:</w:t>
      </w:r>
      <w:r>
        <w:t xml:space="preserve"> OCP Group’s operating and investment program, and further study, funding and procurement decisions at</w:t>
      </w:r>
      <w:r w:rsidR="00053957">
        <w:t xml:space="preserve"> Aya</w:t>
      </w:r>
      <w:r w:rsidR="008C64C1">
        <w:t xml:space="preserve"> Gold &amp; Silver’s</w:t>
      </w:r>
      <w:r>
        <w:t xml:space="preserve"> Boumadine</w:t>
      </w:r>
      <w:r w:rsidR="00281BF2">
        <w:t xml:space="preserve"> project</w:t>
      </w:r>
      <w:r>
        <w:t>.</w:t>
      </w:r>
    </w:p>
    <w:p w14:paraId="3ED05E95" w14:textId="231376B5" w:rsidR="00D266F8" w:rsidRDefault="00D266F8" w:rsidP="00D266F8">
      <w:pPr>
        <w:pStyle w:val="ListParagraph"/>
        <w:numPr>
          <w:ilvl w:val="0"/>
          <w:numId w:val="23"/>
        </w:numPr>
      </w:pPr>
      <w:r w:rsidRPr="00AB78F5">
        <w:rPr>
          <w:b/>
          <w:bCs/>
        </w:rPr>
        <w:t>Egypt:</w:t>
      </w:r>
      <w:r>
        <w:t xml:space="preserve"> exploration licences converting into funded field programs, and project decisions beyond Sukari.</w:t>
      </w:r>
    </w:p>
    <w:p w14:paraId="44B90B7D" w14:textId="70F35C69" w:rsidR="00D266F8" w:rsidRDefault="00D266F8" w:rsidP="00D266F8">
      <w:pPr>
        <w:pStyle w:val="ListParagraph"/>
        <w:numPr>
          <w:ilvl w:val="0"/>
          <w:numId w:val="23"/>
        </w:numPr>
      </w:pPr>
      <w:r w:rsidRPr="00AB78F5">
        <w:rPr>
          <w:b/>
          <w:bCs/>
        </w:rPr>
        <w:t>Türkiye:</w:t>
      </w:r>
      <w:r>
        <w:t xml:space="preserve"> Öksüt study results, Çayeli’s purchasing arrangements following the ownership change, Hod Maden financing and any formal decision on Çöpler’s restart.</w:t>
      </w:r>
    </w:p>
    <w:p w14:paraId="4021F699" w14:textId="19F3077B" w:rsidR="00FE315F" w:rsidRDefault="009E309D" w:rsidP="009E309D">
      <w:r>
        <w:t>Over the next five to</w:t>
      </w:r>
      <w:r w:rsidDel="003A5D60">
        <w:t xml:space="preserve"> </w:t>
      </w:r>
      <w:r w:rsidR="003A5D60">
        <w:t xml:space="preserve">ten </w:t>
      </w:r>
      <w:r>
        <w:t>years, new investment could broaden the customer base available to Australian METS. Existing mines and industrial plants provide a foundation for engagement while that pipeline develops. Companies should use the country chapters to identify customers whose requirements match their capability, confirm the purchasing and service arrangements, and assess the resources needed to pursue the work. Companies considering the opportunities in this report are encouraged to contact their Austmine or Austrade representative to discuss the most appropriate next step.</w:t>
      </w:r>
    </w:p>
    <w:p w14:paraId="438C8B9C" w14:textId="77777777" w:rsidR="00FE315F" w:rsidRDefault="00FE315F" w:rsidP="009E309D"/>
    <w:p w14:paraId="1D1B8505" w14:textId="77777777" w:rsidR="001B622C" w:rsidRDefault="001B622C" w:rsidP="009E309D"/>
    <w:p w14:paraId="2DB272C3" w14:textId="77777777" w:rsidR="0058588F" w:rsidRPr="0058588F" w:rsidRDefault="0058588F" w:rsidP="00147F25">
      <w:pPr>
        <w:pStyle w:val="Heading2"/>
      </w:pPr>
      <w:r w:rsidRPr="0058588F">
        <w:t>Taking the next step</w:t>
      </w:r>
    </w:p>
    <w:p w14:paraId="31E9653A" w14:textId="77777777" w:rsidR="0058588F" w:rsidRPr="0058588F" w:rsidRDefault="0058588F" w:rsidP="0058588F">
      <w:pPr>
        <w:rPr>
          <w:b/>
          <w:bCs/>
        </w:rPr>
      </w:pPr>
      <w:r w:rsidRPr="0058588F">
        <w:rPr>
          <w:b/>
          <w:bCs/>
          <w:i/>
        </w:rPr>
        <w:t>Using the report to investigate a specific opportunity</w:t>
      </w:r>
    </w:p>
    <w:p w14:paraId="61DD395C" w14:textId="77777777" w:rsidR="0058588F" w:rsidRDefault="0058588F" w:rsidP="0058588F">
      <w:r w:rsidRPr="0058588F">
        <w:t>The country chapters identify areas where Australian capability may be relevant. They are intended to support further investigation rather than provide a general recommendation to enter a market. For most suppliers, the useful starting point will be a specific customer, operating requirement or funded project rather than the market in isolation.</w:t>
      </w:r>
    </w:p>
    <w:p w14:paraId="77FB8E70" w14:textId="77777777" w:rsidR="0058588F" w:rsidRPr="0058588F" w:rsidRDefault="0058588F" w:rsidP="0058588F"/>
    <w:p w14:paraId="7EEE6FB6" w14:textId="77777777" w:rsidR="0058588F" w:rsidRDefault="0058588F" w:rsidP="00147F25">
      <w:pPr>
        <w:pStyle w:val="Heading2"/>
      </w:pPr>
      <w:r w:rsidRPr="0058588F">
        <w:t>Information that can strengthen an opportunity assessment</w:t>
      </w:r>
    </w:p>
    <w:p w14:paraId="3C37A2F6" w14:textId="77777777" w:rsidR="0058588F" w:rsidRPr="0058588F" w:rsidRDefault="0058588F" w:rsidP="0058588F"/>
    <w:tbl>
      <w:tblPr>
        <w:tblStyle w:val="TableGrid"/>
        <w:tblW w:w="10201" w:type="dxa"/>
        <w:tblLayout w:type="fixed"/>
        <w:tblCellMar>
          <w:top w:w="57" w:type="dxa"/>
          <w:bottom w:w="57" w:type="dxa"/>
        </w:tblCellMar>
        <w:tblLook w:val="04A0" w:firstRow="1" w:lastRow="0" w:firstColumn="1" w:lastColumn="0" w:noHBand="0" w:noVBand="1"/>
      </w:tblPr>
      <w:tblGrid>
        <w:gridCol w:w="1980"/>
        <w:gridCol w:w="4367"/>
        <w:gridCol w:w="3854"/>
      </w:tblGrid>
      <w:tr w:rsidR="0058588F" w:rsidRPr="0058588F" w14:paraId="213B0EEF" w14:textId="77777777" w:rsidTr="001F1CA6">
        <w:tc>
          <w:tcPr>
            <w:tcW w:w="1980" w:type="dxa"/>
            <w:shd w:val="clear" w:color="auto" w:fill="173F34" w:themeFill="accent1"/>
            <w:vAlign w:val="center"/>
          </w:tcPr>
          <w:p w14:paraId="1C408B89" w14:textId="77777777" w:rsidR="0058588F" w:rsidRPr="004522F1" w:rsidRDefault="0058588F" w:rsidP="001F1CA6">
            <w:pPr>
              <w:rPr>
                <w:sz w:val="16"/>
                <w:szCs w:val="16"/>
              </w:rPr>
            </w:pPr>
            <w:r w:rsidRPr="004522F1">
              <w:rPr>
                <w:b/>
                <w:sz w:val="16"/>
                <w:szCs w:val="16"/>
              </w:rPr>
              <w:t>Area to establish</w:t>
            </w:r>
          </w:p>
        </w:tc>
        <w:tc>
          <w:tcPr>
            <w:tcW w:w="4367" w:type="dxa"/>
            <w:shd w:val="clear" w:color="auto" w:fill="173F34" w:themeFill="accent1"/>
            <w:vAlign w:val="center"/>
          </w:tcPr>
          <w:p w14:paraId="7335C854" w14:textId="77777777" w:rsidR="0058588F" w:rsidRPr="004522F1" w:rsidRDefault="0058588F" w:rsidP="001F1CA6">
            <w:pPr>
              <w:rPr>
                <w:sz w:val="16"/>
                <w:szCs w:val="16"/>
              </w:rPr>
            </w:pPr>
            <w:r w:rsidRPr="004522F1">
              <w:rPr>
                <w:b/>
                <w:sz w:val="16"/>
                <w:szCs w:val="16"/>
              </w:rPr>
              <w:t>Questions for further investigation</w:t>
            </w:r>
          </w:p>
        </w:tc>
        <w:tc>
          <w:tcPr>
            <w:tcW w:w="3854" w:type="dxa"/>
            <w:shd w:val="clear" w:color="auto" w:fill="173F34" w:themeFill="accent1"/>
            <w:vAlign w:val="center"/>
          </w:tcPr>
          <w:p w14:paraId="71533C3E" w14:textId="77777777" w:rsidR="0058588F" w:rsidRPr="004522F1" w:rsidRDefault="0058588F" w:rsidP="001F1CA6">
            <w:pPr>
              <w:rPr>
                <w:sz w:val="16"/>
                <w:szCs w:val="16"/>
              </w:rPr>
            </w:pPr>
            <w:r w:rsidRPr="004522F1">
              <w:rPr>
                <w:b/>
                <w:sz w:val="16"/>
                <w:szCs w:val="16"/>
              </w:rPr>
              <w:t>Useful evidence</w:t>
            </w:r>
          </w:p>
        </w:tc>
      </w:tr>
      <w:tr w:rsidR="0058588F" w:rsidRPr="0058588F" w14:paraId="7DF1441D" w14:textId="77777777" w:rsidTr="001F1CA6">
        <w:tc>
          <w:tcPr>
            <w:tcW w:w="1980" w:type="dxa"/>
          </w:tcPr>
          <w:p w14:paraId="71B8BCC4" w14:textId="77777777" w:rsidR="0058588F" w:rsidRPr="004522F1" w:rsidRDefault="0058588F">
            <w:pPr>
              <w:spacing w:after="0"/>
              <w:rPr>
                <w:sz w:val="16"/>
                <w:szCs w:val="16"/>
              </w:rPr>
            </w:pPr>
            <w:r w:rsidRPr="004522F1">
              <w:rPr>
                <w:sz w:val="16"/>
                <w:szCs w:val="16"/>
              </w:rPr>
              <w:t>Customer requirement</w:t>
            </w:r>
          </w:p>
        </w:tc>
        <w:tc>
          <w:tcPr>
            <w:tcW w:w="4367" w:type="dxa"/>
          </w:tcPr>
          <w:p w14:paraId="572E9227" w14:textId="77777777" w:rsidR="0058588F" w:rsidRPr="004522F1" w:rsidRDefault="0058588F">
            <w:pPr>
              <w:spacing w:after="0"/>
              <w:rPr>
                <w:sz w:val="16"/>
                <w:szCs w:val="16"/>
              </w:rPr>
            </w:pPr>
            <w:r w:rsidRPr="004522F1">
              <w:rPr>
                <w:sz w:val="16"/>
                <w:szCs w:val="16"/>
              </w:rPr>
              <w:t>What operating, project or service requirement is the customer seeking to address, and who is responsible for it?</w:t>
            </w:r>
          </w:p>
        </w:tc>
        <w:tc>
          <w:tcPr>
            <w:tcW w:w="3854" w:type="dxa"/>
          </w:tcPr>
          <w:p w14:paraId="30A9D230" w14:textId="77777777" w:rsidR="0058588F" w:rsidRPr="004522F1" w:rsidRDefault="0058588F">
            <w:pPr>
              <w:spacing w:after="0"/>
              <w:rPr>
                <w:sz w:val="16"/>
                <w:szCs w:val="16"/>
              </w:rPr>
            </w:pPr>
            <w:r w:rsidRPr="004522F1">
              <w:rPr>
                <w:sz w:val="16"/>
                <w:szCs w:val="16"/>
              </w:rPr>
              <w:t>Site or project discussion, published operating priority, technical brief or defined work package.</w:t>
            </w:r>
          </w:p>
        </w:tc>
      </w:tr>
      <w:tr w:rsidR="0058588F" w:rsidRPr="0058588F" w14:paraId="0070410F" w14:textId="77777777" w:rsidTr="001F1CA6">
        <w:tc>
          <w:tcPr>
            <w:tcW w:w="1980" w:type="dxa"/>
          </w:tcPr>
          <w:p w14:paraId="2BCF1415" w14:textId="77777777" w:rsidR="0058588F" w:rsidRPr="004522F1" w:rsidRDefault="0058588F">
            <w:pPr>
              <w:spacing w:after="0"/>
              <w:rPr>
                <w:sz w:val="16"/>
                <w:szCs w:val="16"/>
              </w:rPr>
            </w:pPr>
            <w:r w:rsidRPr="004522F1">
              <w:rPr>
                <w:sz w:val="16"/>
                <w:szCs w:val="16"/>
              </w:rPr>
              <w:t>Purchasing pathway</w:t>
            </w:r>
          </w:p>
        </w:tc>
        <w:tc>
          <w:tcPr>
            <w:tcW w:w="4367" w:type="dxa"/>
          </w:tcPr>
          <w:p w14:paraId="424233BC" w14:textId="77777777" w:rsidR="0058588F" w:rsidRPr="004522F1" w:rsidRDefault="0058588F">
            <w:pPr>
              <w:spacing w:after="0"/>
              <w:rPr>
                <w:sz w:val="16"/>
                <w:szCs w:val="16"/>
              </w:rPr>
            </w:pPr>
            <w:r w:rsidRPr="004522F1">
              <w:rPr>
                <w:sz w:val="16"/>
                <w:szCs w:val="16"/>
              </w:rPr>
              <w:t>Does the operator, project owner, EPC or distributor specify and purchase the solution? Is supplier qualification required?</w:t>
            </w:r>
          </w:p>
        </w:tc>
        <w:tc>
          <w:tcPr>
            <w:tcW w:w="3854" w:type="dxa"/>
          </w:tcPr>
          <w:p w14:paraId="00C77F6E" w14:textId="77777777" w:rsidR="0058588F" w:rsidRPr="004522F1" w:rsidRDefault="0058588F">
            <w:pPr>
              <w:spacing w:after="0"/>
              <w:rPr>
                <w:sz w:val="16"/>
                <w:szCs w:val="16"/>
              </w:rPr>
            </w:pPr>
            <w:r w:rsidRPr="004522F1">
              <w:rPr>
                <w:sz w:val="16"/>
                <w:szCs w:val="16"/>
              </w:rPr>
              <w:t>Named technical contact, procurement owner, qualification requirements and indicative timing.</w:t>
            </w:r>
          </w:p>
        </w:tc>
      </w:tr>
      <w:tr w:rsidR="0058588F" w:rsidRPr="0058588F" w14:paraId="4D36F462" w14:textId="77777777" w:rsidTr="001F1CA6">
        <w:tc>
          <w:tcPr>
            <w:tcW w:w="1980" w:type="dxa"/>
          </w:tcPr>
          <w:p w14:paraId="6D7C825D" w14:textId="77777777" w:rsidR="0058588F" w:rsidRPr="004522F1" w:rsidRDefault="0058588F">
            <w:pPr>
              <w:spacing w:after="0"/>
              <w:rPr>
                <w:sz w:val="16"/>
                <w:szCs w:val="16"/>
              </w:rPr>
            </w:pPr>
            <w:r w:rsidRPr="004522F1">
              <w:rPr>
                <w:sz w:val="16"/>
                <w:szCs w:val="16"/>
              </w:rPr>
              <w:t>Technical case</w:t>
            </w:r>
          </w:p>
        </w:tc>
        <w:tc>
          <w:tcPr>
            <w:tcW w:w="4367" w:type="dxa"/>
          </w:tcPr>
          <w:p w14:paraId="5CA20BAD" w14:textId="77777777" w:rsidR="0058588F" w:rsidRPr="004522F1" w:rsidRDefault="0058588F">
            <w:pPr>
              <w:spacing w:after="0"/>
              <w:rPr>
                <w:sz w:val="16"/>
                <w:szCs w:val="16"/>
              </w:rPr>
            </w:pPr>
            <w:r w:rsidRPr="004522F1">
              <w:rPr>
                <w:sz w:val="16"/>
                <w:szCs w:val="16"/>
              </w:rPr>
              <w:t>What will the customer need to assess performance and risk?</w:t>
            </w:r>
          </w:p>
        </w:tc>
        <w:tc>
          <w:tcPr>
            <w:tcW w:w="3854" w:type="dxa"/>
          </w:tcPr>
          <w:p w14:paraId="4FA6CDEE" w14:textId="77777777" w:rsidR="0058588F" w:rsidRPr="004522F1" w:rsidRDefault="0058588F">
            <w:pPr>
              <w:spacing w:after="0"/>
              <w:rPr>
                <w:sz w:val="16"/>
                <w:szCs w:val="16"/>
              </w:rPr>
            </w:pPr>
            <w:r w:rsidRPr="004522F1">
              <w:rPr>
                <w:sz w:val="16"/>
                <w:szCs w:val="16"/>
              </w:rPr>
              <w:t>Comparable operating reference, quantified benefit, test work, pilot results or an agreed trial pathway.</w:t>
            </w:r>
          </w:p>
        </w:tc>
      </w:tr>
      <w:tr w:rsidR="0058588F" w:rsidRPr="0058588F" w14:paraId="3D7EF8A7" w14:textId="77777777" w:rsidTr="001F1CA6">
        <w:tc>
          <w:tcPr>
            <w:tcW w:w="1980" w:type="dxa"/>
          </w:tcPr>
          <w:p w14:paraId="504A3409" w14:textId="77777777" w:rsidR="0058588F" w:rsidRPr="004522F1" w:rsidRDefault="0058588F">
            <w:pPr>
              <w:spacing w:after="0"/>
              <w:rPr>
                <w:sz w:val="16"/>
                <w:szCs w:val="16"/>
              </w:rPr>
            </w:pPr>
            <w:r w:rsidRPr="004522F1">
              <w:rPr>
                <w:sz w:val="16"/>
                <w:szCs w:val="16"/>
              </w:rPr>
              <w:t>Delivery and support</w:t>
            </w:r>
          </w:p>
        </w:tc>
        <w:tc>
          <w:tcPr>
            <w:tcW w:w="4367" w:type="dxa"/>
          </w:tcPr>
          <w:p w14:paraId="49BB0E57" w14:textId="77777777" w:rsidR="0058588F" w:rsidRPr="004522F1" w:rsidRDefault="0058588F">
            <w:pPr>
              <w:spacing w:after="0"/>
              <w:rPr>
                <w:sz w:val="16"/>
                <w:szCs w:val="16"/>
              </w:rPr>
            </w:pPr>
            <w:r w:rsidRPr="004522F1">
              <w:rPr>
                <w:sz w:val="16"/>
                <w:szCs w:val="16"/>
              </w:rPr>
              <w:t>What installation, commissioning, training, maintenance, language and response capability will be expected?</w:t>
            </w:r>
          </w:p>
        </w:tc>
        <w:tc>
          <w:tcPr>
            <w:tcW w:w="3854" w:type="dxa"/>
          </w:tcPr>
          <w:p w14:paraId="28220DFA" w14:textId="77777777" w:rsidR="0058588F" w:rsidRPr="004522F1" w:rsidRDefault="0058588F">
            <w:pPr>
              <w:spacing w:after="0"/>
              <w:rPr>
                <w:sz w:val="16"/>
                <w:szCs w:val="16"/>
              </w:rPr>
            </w:pPr>
            <w:r w:rsidRPr="004522F1">
              <w:rPr>
                <w:sz w:val="16"/>
                <w:szCs w:val="16"/>
              </w:rPr>
              <w:t>Defined responsibilities, service model, partner capability and support costs.</w:t>
            </w:r>
          </w:p>
        </w:tc>
      </w:tr>
      <w:tr w:rsidR="0058588F" w:rsidRPr="0058588F" w14:paraId="72EF37E8" w14:textId="77777777" w:rsidTr="001F1CA6">
        <w:tc>
          <w:tcPr>
            <w:tcW w:w="1980" w:type="dxa"/>
          </w:tcPr>
          <w:p w14:paraId="4B15E76C" w14:textId="77777777" w:rsidR="0058588F" w:rsidRPr="004522F1" w:rsidRDefault="0058588F">
            <w:pPr>
              <w:spacing w:after="0"/>
              <w:rPr>
                <w:sz w:val="16"/>
                <w:szCs w:val="16"/>
              </w:rPr>
            </w:pPr>
            <w:r w:rsidRPr="004522F1">
              <w:rPr>
                <w:sz w:val="16"/>
                <w:szCs w:val="16"/>
              </w:rPr>
              <w:t>Commercial basis</w:t>
            </w:r>
          </w:p>
        </w:tc>
        <w:tc>
          <w:tcPr>
            <w:tcW w:w="4367" w:type="dxa"/>
          </w:tcPr>
          <w:p w14:paraId="225C0263" w14:textId="77777777" w:rsidR="0058588F" w:rsidRPr="004522F1" w:rsidRDefault="0058588F">
            <w:pPr>
              <w:spacing w:after="0"/>
              <w:rPr>
                <w:sz w:val="16"/>
                <w:szCs w:val="16"/>
              </w:rPr>
            </w:pPr>
            <w:r w:rsidRPr="004522F1">
              <w:rPr>
                <w:sz w:val="16"/>
                <w:szCs w:val="16"/>
              </w:rPr>
              <w:t>Are the likely order value, sales cycle and ongoing service requirements proportionate to the resources needed to pursue the work?</w:t>
            </w:r>
          </w:p>
        </w:tc>
        <w:tc>
          <w:tcPr>
            <w:tcW w:w="3854" w:type="dxa"/>
          </w:tcPr>
          <w:p w14:paraId="3ED455E0" w14:textId="77777777" w:rsidR="0058588F" w:rsidRPr="004522F1" w:rsidRDefault="0058588F">
            <w:pPr>
              <w:spacing w:after="0"/>
              <w:rPr>
                <w:sz w:val="16"/>
                <w:szCs w:val="16"/>
              </w:rPr>
            </w:pPr>
            <w:r w:rsidRPr="004522F1">
              <w:rPr>
                <w:sz w:val="16"/>
                <w:szCs w:val="16"/>
              </w:rPr>
              <w:t>Indicative scope, budget status, payment and acceptance terms, import responsibility and internal resourcing decision.</w:t>
            </w:r>
          </w:p>
        </w:tc>
      </w:tr>
    </w:tbl>
    <w:p w14:paraId="5E40AEB3" w14:textId="77777777" w:rsidR="0058588F" w:rsidRPr="0058588F" w:rsidRDefault="0058588F" w:rsidP="0058588F">
      <w:pPr>
        <w:spacing w:after="40"/>
      </w:pPr>
    </w:p>
    <w:p w14:paraId="6F9DDA9F" w14:textId="77777777" w:rsidR="0058588F" w:rsidRDefault="0058588F">
      <w:pPr>
        <w:spacing w:after="200" w:line="276" w:lineRule="auto"/>
      </w:pPr>
      <w:r>
        <w:br w:type="page"/>
      </w:r>
    </w:p>
    <w:p w14:paraId="747EFEA8" w14:textId="77777777" w:rsidR="000370E6" w:rsidRPr="00954959" w:rsidRDefault="000370E6" w:rsidP="00147F25">
      <w:pPr>
        <w:pStyle w:val="Heading1"/>
      </w:pPr>
      <w:r w:rsidRPr="00954959">
        <w:lastRenderedPageBreak/>
        <w:t xml:space="preserve">Accessing </w:t>
      </w:r>
      <w:r w:rsidRPr="00147F25">
        <w:t>current</w:t>
      </w:r>
      <w:r w:rsidRPr="00954959">
        <w:t xml:space="preserve"> support and information</w:t>
      </w:r>
    </w:p>
    <w:p w14:paraId="46FC782E" w14:textId="77777777" w:rsidR="000370E6" w:rsidRPr="000370E6" w:rsidRDefault="000370E6" w:rsidP="000370E6">
      <w:pPr>
        <w:rPr>
          <w:b/>
          <w:bCs/>
        </w:rPr>
      </w:pPr>
      <w:r w:rsidRPr="000370E6">
        <w:rPr>
          <w:b/>
          <w:bCs/>
          <w:i/>
        </w:rPr>
        <w:t>Contacts and services for Australian METS companies</w:t>
      </w:r>
    </w:p>
    <w:p w14:paraId="5E9B4E02" w14:textId="07507F0F" w:rsidR="000370E6" w:rsidRPr="000370E6" w:rsidRDefault="000370E6" w:rsidP="000370E6">
      <w:r w:rsidRPr="000370E6">
        <w:t xml:space="preserve">Market conditions, project timing and office coverage may change after publication. The channels below provide current information on Austrade and Austmine services, international offices, events and market activity. </w:t>
      </w:r>
    </w:p>
    <w:p w14:paraId="070C7FA4" w14:textId="77777777" w:rsidR="000370E6" w:rsidRPr="000370E6" w:rsidRDefault="000370E6" w:rsidP="000370E6">
      <w:pPr>
        <w:pStyle w:val="Heading2"/>
      </w:pPr>
      <w:r w:rsidRPr="000370E6">
        <w:t>Austmine</w:t>
      </w:r>
    </w:p>
    <w:p w14:paraId="0589730D" w14:textId="1767701C" w:rsidR="000370E6" w:rsidRPr="000370E6" w:rsidRDefault="000370E6" w:rsidP="000370E6">
      <w:r w:rsidRPr="000370E6">
        <w:t xml:space="preserve">Austmine’s international programs connect Australian METS companies with market </w:t>
      </w:r>
      <w:r w:rsidR="00283990">
        <w:t>intelligence</w:t>
      </w:r>
      <w:r w:rsidRPr="000370E6">
        <w:t xml:space="preserve">, </w:t>
      </w:r>
      <w:r w:rsidR="00AD6A46">
        <w:t xml:space="preserve">major events, </w:t>
      </w:r>
      <w:r w:rsidRPr="000370E6">
        <w:t xml:space="preserve">missions and </w:t>
      </w:r>
      <w:r w:rsidR="00262B72">
        <w:t>technical decision-makers</w:t>
      </w:r>
      <w:r w:rsidRPr="000370E6">
        <w:t>. Companies can use the current international and events pages to identify relevant activity and contact the International Business team.</w:t>
      </w:r>
    </w:p>
    <w:p w14:paraId="050F5D3E" w14:textId="77777777" w:rsidR="000370E6" w:rsidRPr="000370E6" w:rsidRDefault="000370E6" w:rsidP="000370E6">
      <w:pPr>
        <w:spacing w:after="100"/>
      </w:pPr>
      <w:r w:rsidRPr="000370E6">
        <w:rPr>
          <w:b/>
        </w:rPr>
        <w:t xml:space="preserve">International programs: </w:t>
      </w:r>
      <w:r w:rsidRPr="000370E6">
        <w:t xml:space="preserve">current market activity and team contacts. </w:t>
      </w:r>
      <w:hyperlink r:id="rId31">
        <w:r w:rsidRPr="000370E6">
          <w:rPr>
            <w:u w:val="single"/>
          </w:rPr>
          <w:t>View current details</w:t>
        </w:r>
      </w:hyperlink>
    </w:p>
    <w:p w14:paraId="3978CABF" w14:textId="77777777" w:rsidR="000370E6" w:rsidRPr="000370E6" w:rsidRDefault="000370E6" w:rsidP="000370E6">
      <w:pPr>
        <w:spacing w:after="100"/>
      </w:pPr>
      <w:r w:rsidRPr="000370E6">
        <w:rPr>
          <w:b/>
        </w:rPr>
        <w:t xml:space="preserve">Events and webinars: </w:t>
      </w:r>
      <w:r w:rsidRPr="000370E6">
        <w:t xml:space="preserve">current Austmine events and registration details. </w:t>
      </w:r>
      <w:hyperlink r:id="rId32">
        <w:r w:rsidRPr="000370E6">
          <w:rPr>
            <w:u w:val="single"/>
          </w:rPr>
          <w:t>View current details</w:t>
        </w:r>
      </w:hyperlink>
    </w:p>
    <w:p w14:paraId="50AA0EE1" w14:textId="77777777" w:rsidR="00234F5B" w:rsidRPr="000370E6" w:rsidRDefault="00234F5B" w:rsidP="000370E6">
      <w:pPr>
        <w:spacing w:after="100"/>
      </w:pPr>
    </w:p>
    <w:p w14:paraId="23547A69" w14:textId="77777777" w:rsidR="000370E6" w:rsidRPr="000370E6" w:rsidRDefault="000370E6" w:rsidP="000370E6">
      <w:pPr>
        <w:pStyle w:val="Heading2"/>
      </w:pPr>
      <w:r w:rsidRPr="000370E6">
        <w:t>Austrade</w:t>
      </w:r>
    </w:p>
    <w:p w14:paraId="7AE8C8BC" w14:textId="77777777" w:rsidR="000370E6" w:rsidRPr="000370E6" w:rsidRDefault="000370E6" w:rsidP="000370E6">
      <w:r w:rsidRPr="000370E6">
        <w:t>Austrade provides eligible Australian businesses with market information, advice and connections through its Australian and international network. The level and form of assistance will depend on the company, market and opportunity. Current office and service pages should be used because staff and regional coverage can change.</w:t>
      </w:r>
    </w:p>
    <w:p w14:paraId="4F69D626" w14:textId="6C83B888" w:rsidR="000370E6" w:rsidRPr="000370E6" w:rsidRDefault="000370E6" w:rsidP="000370E6">
      <w:pPr>
        <w:spacing w:after="100"/>
      </w:pPr>
      <w:r w:rsidRPr="000370E6">
        <w:rPr>
          <w:b/>
        </w:rPr>
        <w:t xml:space="preserve">METS enquiries: </w:t>
      </w:r>
      <w:r w:rsidR="00DF4872">
        <w:t>METS</w:t>
      </w:r>
      <w:r w:rsidRPr="000370E6">
        <w:t xml:space="preserve">manager@austrade.gov.au. </w:t>
      </w:r>
      <w:hyperlink r:id="rId33">
        <w:r w:rsidRPr="000370E6">
          <w:rPr>
            <w:u w:val="single"/>
          </w:rPr>
          <w:t>View current details</w:t>
        </w:r>
      </w:hyperlink>
    </w:p>
    <w:p w14:paraId="2A494167" w14:textId="77777777" w:rsidR="000370E6" w:rsidRPr="000370E6" w:rsidRDefault="000370E6" w:rsidP="000370E6">
      <w:pPr>
        <w:spacing w:after="100"/>
      </w:pPr>
      <w:r w:rsidRPr="000370E6">
        <w:rPr>
          <w:b/>
        </w:rPr>
        <w:t xml:space="preserve">Saudi Arabia: </w:t>
      </w:r>
      <w:r w:rsidRPr="000370E6">
        <w:t xml:space="preserve">Austrade Riyadh office and current contact details. </w:t>
      </w:r>
      <w:hyperlink r:id="rId34">
        <w:r w:rsidRPr="000370E6">
          <w:rPr>
            <w:u w:val="single"/>
          </w:rPr>
          <w:t>View current details</w:t>
        </w:r>
      </w:hyperlink>
    </w:p>
    <w:p w14:paraId="575EDED7" w14:textId="77777777" w:rsidR="000370E6" w:rsidRPr="000370E6" w:rsidRDefault="000370E6" w:rsidP="000370E6">
      <w:pPr>
        <w:spacing w:after="100"/>
      </w:pPr>
      <w:r w:rsidRPr="000370E6">
        <w:rPr>
          <w:b/>
        </w:rPr>
        <w:t xml:space="preserve">United Arab Emirates: </w:t>
      </w:r>
      <w:r w:rsidRPr="000370E6">
        <w:t xml:space="preserve">Austrade Dubai and Abu Dhabi offices and current contact details. </w:t>
      </w:r>
      <w:hyperlink r:id="rId35">
        <w:r w:rsidRPr="000370E6">
          <w:rPr>
            <w:u w:val="single"/>
          </w:rPr>
          <w:t>View current details</w:t>
        </w:r>
      </w:hyperlink>
    </w:p>
    <w:p w14:paraId="6D97B073" w14:textId="77777777" w:rsidR="000370E6" w:rsidRPr="000370E6" w:rsidRDefault="000370E6" w:rsidP="000370E6">
      <w:pPr>
        <w:spacing w:after="100"/>
      </w:pPr>
      <w:r w:rsidRPr="000370E6">
        <w:rPr>
          <w:b/>
        </w:rPr>
        <w:t xml:space="preserve">Other markets: </w:t>
      </w:r>
      <w:r w:rsidRPr="000370E6">
        <w:t xml:space="preserve">use Austrade’s international office directory or exporter enquiry service to confirm the post currently responsible for Morocco, Egypt and Türkiye. </w:t>
      </w:r>
      <w:hyperlink r:id="rId36">
        <w:r w:rsidRPr="000370E6">
          <w:rPr>
            <w:u w:val="single"/>
          </w:rPr>
          <w:t>View current details</w:t>
        </w:r>
      </w:hyperlink>
    </w:p>
    <w:p w14:paraId="6F591D84" w14:textId="77777777" w:rsidR="000370E6" w:rsidRPr="000370E6" w:rsidRDefault="000370E6" w:rsidP="000370E6">
      <w:pPr>
        <w:spacing w:after="100"/>
      </w:pPr>
      <w:r w:rsidRPr="000370E6">
        <w:rPr>
          <w:b/>
        </w:rPr>
        <w:t xml:space="preserve">Exporter services: </w:t>
      </w:r>
      <w:r w:rsidRPr="000370E6">
        <w:t xml:space="preserve">information on market assessment, export strategy and overseas contacts. </w:t>
      </w:r>
      <w:hyperlink r:id="rId37">
        <w:r w:rsidRPr="000370E6">
          <w:rPr>
            <w:u w:val="single"/>
          </w:rPr>
          <w:t>View current details</w:t>
        </w:r>
      </w:hyperlink>
    </w:p>
    <w:p w14:paraId="48CE46F7" w14:textId="77777777" w:rsidR="000370E6" w:rsidRPr="000370E6" w:rsidRDefault="000370E6" w:rsidP="000370E6">
      <w:pPr>
        <w:spacing w:after="100"/>
      </w:pPr>
      <w:r w:rsidRPr="000370E6">
        <w:rPr>
          <w:b/>
        </w:rPr>
        <w:t xml:space="preserve">TradeStart: </w:t>
      </w:r>
      <w:r w:rsidRPr="000370E6">
        <w:t xml:space="preserve">local export advice for Australian small and medium-sized businesses. </w:t>
      </w:r>
      <w:hyperlink r:id="rId38">
        <w:r w:rsidRPr="000370E6">
          <w:rPr>
            <w:u w:val="single"/>
          </w:rPr>
          <w:t>View current details</w:t>
        </w:r>
      </w:hyperlink>
    </w:p>
    <w:p w14:paraId="2C854EDE" w14:textId="77777777" w:rsidR="000370E6" w:rsidRDefault="000370E6" w:rsidP="000370E6">
      <w:pPr>
        <w:spacing w:after="100"/>
      </w:pPr>
      <w:r w:rsidRPr="000370E6">
        <w:rPr>
          <w:b/>
        </w:rPr>
        <w:t xml:space="preserve">Austrade events: </w:t>
      </w:r>
      <w:r w:rsidRPr="000370E6">
        <w:t xml:space="preserve">current webinars, trade shows and international events. </w:t>
      </w:r>
      <w:hyperlink r:id="rId39">
        <w:r w:rsidRPr="000370E6">
          <w:rPr>
            <w:u w:val="single"/>
          </w:rPr>
          <w:t>View current details</w:t>
        </w:r>
      </w:hyperlink>
    </w:p>
    <w:p w14:paraId="3C0C40CC" w14:textId="77777777" w:rsidR="00234F5B" w:rsidRPr="000370E6" w:rsidRDefault="00234F5B" w:rsidP="000370E6">
      <w:pPr>
        <w:spacing w:after="100"/>
      </w:pPr>
    </w:p>
    <w:p w14:paraId="112F6C06" w14:textId="77777777" w:rsidR="000370E6" w:rsidRPr="00234F5B" w:rsidRDefault="000370E6" w:rsidP="000370E6">
      <w:pPr>
        <w:pStyle w:val="Heading2"/>
      </w:pPr>
      <w:r w:rsidRPr="00234F5B">
        <w:t>Information that can assist an initial discussion</w:t>
      </w:r>
    </w:p>
    <w:p w14:paraId="634FDFB2" w14:textId="77777777" w:rsidR="000370E6" w:rsidRPr="000370E6" w:rsidRDefault="000370E6" w:rsidP="000370E6">
      <w:r w:rsidRPr="000370E6">
        <w:t>A brief description of the solution, the operating problem it addresses, relevant customer references and the target account or project will help Austmine or Austrade direct an enquiry. Where a company is considering a partner or local presence, it is also useful to identify the service, import, language or customer-access requirement that the arrangement is intended to address.</w:t>
      </w:r>
    </w:p>
    <w:p w14:paraId="0A458E61" w14:textId="77777777" w:rsidR="000370E6" w:rsidRPr="000370E6" w:rsidRDefault="000370E6" w:rsidP="000370E6">
      <w:r w:rsidRPr="000370E6">
        <w:t>Austmine and Austrade can assist companies to interpret current market conditions and identify appropriate avenues for further engagement. Commercial, legal, tax, customs and partner decisions remain the responsibility of the company and should be supported by transaction-specific advice.</w:t>
      </w:r>
    </w:p>
    <w:p w14:paraId="70D1B700" w14:textId="77777777" w:rsidR="00147F25" w:rsidRDefault="00147F25">
      <w:pPr>
        <w:spacing w:after="200" w:line="276" w:lineRule="auto"/>
      </w:pPr>
      <w:r>
        <w:br w:type="page"/>
      </w:r>
    </w:p>
    <w:p w14:paraId="52B2B33A" w14:textId="0F635572" w:rsidR="00195FF3" w:rsidRPr="00147F25" w:rsidRDefault="00195FF3" w:rsidP="00262F4B">
      <w:pPr>
        <w:pStyle w:val="Heading1"/>
        <w:rPr>
          <w:rFonts w:asciiTheme="majorHAnsi" w:hAnsiTheme="majorHAnsi"/>
          <w:color w:val="1F4E79"/>
          <w:spacing w:val="5"/>
          <w:kern w:val="28"/>
          <w:sz w:val="48"/>
          <w:szCs w:val="52"/>
        </w:rPr>
      </w:pPr>
      <w:r w:rsidRPr="00195FF3">
        <w:lastRenderedPageBreak/>
        <w:t>References</w:t>
      </w:r>
    </w:p>
    <w:p w14:paraId="28D5F352" w14:textId="77777777" w:rsidR="00C0333B" w:rsidRPr="00C0333B" w:rsidRDefault="00C0333B" w:rsidP="00147F25">
      <w:pPr>
        <w:pStyle w:val="Heading2"/>
      </w:pPr>
      <w:r w:rsidRPr="00C0333B">
        <w:t>Executive Summary</w:t>
      </w:r>
    </w:p>
    <w:p w14:paraId="69A71A5E" w14:textId="77777777" w:rsidR="008B6A55" w:rsidRPr="003B2F5B" w:rsidRDefault="008B6A55" w:rsidP="008B6A55">
      <w:pPr>
        <w:keepLines/>
      </w:pPr>
      <w:r w:rsidRPr="003B2F5B">
        <w:rPr>
          <w:b/>
        </w:rPr>
        <w:t>1. Saudi Ministry of Industry and Mineral Resources,</w:t>
      </w:r>
      <w:r w:rsidRPr="003B2F5B">
        <w:t xml:space="preserve"> </w:t>
      </w:r>
      <w:r w:rsidRPr="003B2F5B">
        <w:rPr>
          <w:i/>
        </w:rPr>
        <w:t>Saudi Ministry Qualifies 24 Local and International Bidders for Round 10 Exploration Licenses</w:t>
      </w:r>
      <w:r w:rsidRPr="003B2F5B">
        <w:t xml:space="preserve">, 9 June 2026. </w:t>
      </w:r>
      <w:hyperlink r:id="rId40">
        <w:r w:rsidRPr="003B2F5B">
          <w:rPr>
            <w:u w:val="single"/>
          </w:rPr>
          <w:t>Source link</w:t>
        </w:r>
      </w:hyperlink>
    </w:p>
    <w:p w14:paraId="4AAB82E1" w14:textId="77777777" w:rsidR="008B6A55" w:rsidRPr="003B2F5B" w:rsidRDefault="008B6A55" w:rsidP="008B6A55">
      <w:pPr>
        <w:keepLines/>
      </w:pPr>
      <w:r w:rsidRPr="003B2F5B">
        <w:rPr>
          <w:b/>
        </w:rPr>
        <w:t xml:space="preserve">2. </w:t>
      </w:r>
      <w:r>
        <w:rPr>
          <w:b/>
        </w:rPr>
        <w:t>Maaden</w:t>
      </w:r>
      <w:r w:rsidRPr="003B2F5B">
        <w:rPr>
          <w:b/>
        </w:rPr>
        <w:t>,</w:t>
      </w:r>
      <w:r w:rsidRPr="003B2F5B">
        <w:t xml:space="preserve"> </w:t>
      </w:r>
      <w:r>
        <w:rPr>
          <w:i/>
        </w:rPr>
        <w:t>Maaden</w:t>
      </w:r>
      <w:r w:rsidRPr="003B2F5B">
        <w:rPr>
          <w:i/>
        </w:rPr>
        <w:t xml:space="preserve"> Adds More Than 7 Million Ounces of New Gold Resources Through Discovery and Resource Development</w:t>
      </w:r>
      <w:r w:rsidRPr="003B2F5B">
        <w:t xml:space="preserve">, 12 January 2026. </w:t>
      </w:r>
      <w:hyperlink r:id="rId41">
        <w:r w:rsidRPr="003B2F5B">
          <w:rPr>
            <w:u w:val="single"/>
          </w:rPr>
          <w:t>Source link</w:t>
        </w:r>
      </w:hyperlink>
    </w:p>
    <w:p w14:paraId="30C8DFCF" w14:textId="77777777" w:rsidR="008B6A55" w:rsidRPr="003B2F5B" w:rsidRDefault="008B6A55" w:rsidP="008B6A55">
      <w:pPr>
        <w:keepLines/>
      </w:pPr>
      <w:r w:rsidRPr="003B2F5B">
        <w:rPr>
          <w:b/>
        </w:rPr>
        <w:t>3. Australian Department of Foreign Affairs and Trade,</w:t>
      </w:r>
      <w:r w:rsidRPr="003B2F5B">
        <w:t xml:space="preserve"> </w:t>
      </w:r>
      <w:r w:rsidRPr="003B2F5B">
        <w:rPr>
          <w:i/>
        </w:rPr>
        <w:t>Australia–UAE Comprehensive Economic Partnership Agreement</w:t>
      </w:r>
      <w:r w:rsidRPr="003B2F5B">
        <w:t xml:space="preserve">, updated 2026. </w:t>
      </w:r>
      <w:hyperlink r:id="rId42">
        <w:r w:rsidRPr="003B2F5B">
          <w:rPr>
            <w:u w:val="single"/>
          </w:rPr>
          <w:t>Source link</w:t>
        </w:r>
      </w:hyperlink>
    </w:p>
    <w:p w14:paraId="253EDB85" w14:textId="77777777" w:rsidR="008B6A55" w:rsidRPr="003B2F5B" w:rsidRDefault="008B6A55" w:rsidP="008B6A55">
      <w:pPr>
        <w:keepLines/>
      </w:pPr>
      <w:r w:rsidRPr="003B2F5B">
        <w:rPr>
          <w:b/>
        </w:rPr>
        <w:t>4. Emirates Global Aluminium,</w:t>
      </w:r>
      <w:r w:rsidRPr="003B2F5B">
        <w:t xml:space="preserve"> </w:t>
      </w:r>
      <w:r w:rsidRPr="003B2F5B">
        <w:rPr>
          <w:i/>
        </w:rPr>
        <w:t>EGA Delivers Strong Underlying Financial Performance and Record Sales in 2025</w:t>
      </w:r>
      <w:r w:rsidRPr="003B2F5B">
        <w:t xml:space="preserve">, 25 February 2026. </w:t>
      </w:r>
      <w:hyperlink r:id="rId43">
        <w:r w:rsidRPr="003B2F5B">
          <w:rPr>
            <w:u w:val="single"/>
          </w:rPr>
          <w:t>Source link</w:t>
        </w:r>
      </w:hyperlink>
    </w:p>
    <w:p w14:paraId="7778568E" w14:textId="77777777" w:rsidR="008B6A55" w:rsidRPr="003B2F5B" w:rsidRDefault="008B6A55" w:rsidP="008B6A55">
      <w:pPr>
        <w:keepLines/>
      </w:pPr>
      <w:r w:rsidRPr="003B2F5B">
        <w:rPr>
          <w:b/>
        </w:rPr>
        <w:t>5. EMSTEEL,</w:t>
      </w:r>
      <w:r w:rsidRPr="003B2F5B">
        <w:t xml:space="preserve"> </w:t>
      </w:r>
      <w:r w:rsidRPr="003B2F5B">
        <w:rPr>
          <w:i/>
        </w:rPr>
        <w:t>Annual Report 2025</w:t>
      </w:r>
      <w:r w:rsidRPr="003B2F5B">
        <w:t xml:space="preserve">, 2026. </w:t>
      </w:r>
      <w:hyperlink r:id="rId44">
        <w:r w:rsidRPr="003B2F5B">
          <w:rPr>
            <w:u w:val="single"/>
          </w:rPr>
          <w:t>Source link</w:t>
        </w:r>
      </w:hyperlink>
    </w:p>
    <w:p w14:paraId="5E9D6C3C" w14:textId="77777777" w:rsidR="008B6A55" w:rsidRPr="003B2F5B" w:rsidRDefault="008B6A55" w:rsidP="008B6A55">
      <w:pPr>
        <w:keepLines/>
      </w:pPr>
      <w:r w:rsidRPr="003B2F5B">
        <w:rPr>
          <w:b/>
        </w:rPr>
        <w:t>6. OCP Group,</w:t>
      </w:r>
      <w:r w:rsidRPr="003B2F5B">
        <w:t xml:space="preserve"> </w:t>
      </w:r>
      <w:r w:rsidRPr="003B2F5B">
        <w:rPr>
          <w:i/>
        </w:rPr>
        <w:t>Investment Plan 2023–2027</w:t>
      </w:r>
      <w:r w:rsidRPr="003B2F5B">
        <w:t xml:space="preserve">, undated. </w:t>
      </w:r>
      <w:hyperlink r:id="rId45">
        <w:r w:rsidRPr="003B2F5B">
          <w:rPr>
            <w:u w:val="single"/>
          </w:rPr>
          <w:t>Source link</w:t>
        </w:r>
      </w:hyperlink>
    </w:p>
    <w:p w14:paraId="584E344E" w14:textId="77777777" w:rsidR="008B6A55" w:rsidRPr="003B2F5B" w:rsidRDefault="008B6A55" w:rsidP="008B6A55">
      <w:pPr>
        <w:keepLines/>
      </w:pPr>
      <w:r w:rsidRPr="003B2F5B">
        <w:rPr>
          <w:b/>
        </w:rPr>
        <w:t>7. OCP Group,</w:t>
      </w:r>
      <w:r w:rsidRPr="003B2F5B">
        <w:t xml:space="preserve"> </w:t>
      </w:r>
      <w:r w:rsidRPr="003B2F5B">
        <w:rPr>
          <w:i/>
        </w:rPr>
        <w:t>Sustainability Report 2024</w:t>
      </w:r>
      <w:r w:rsidRPr="003B2F5B">
        <w:t xml:space="preserve">, 2025. </w:t>
      </w:r>
      <w:hyperlink r:id="rId46">
        <w:r w:rsidRPr="003B2F5B">
          <w:rPr>
            <w:u w:val="single"/>
          </w:rPr>
          <w:t>Source link</w:t>
        </w:r>
      </w:hyperlink>
    </w:p>
    <w:p w14:paraId="4B396D80" w14:textId="77777777" w:rsidR="008B6A55" w:rsidRPr="003B2F5B" w:rsidRDefault="008B6A55" w:rsidP="008B6A55">
      <w:pPr>
        <w:keepLines/>
      </w:pPr>
      <w:r w:rsidRPr="003B2F5B">
        <w:rPr>
          <w:b/>
        </w:rPr>
        <w:t>8. Egyptian Ministry of Petroleum and Mineral Resources,</w:t>
      </w:r>
      <w:r w:rsidRPr="003B2F5B">
        <w:t xml:space="preserve"> </w:t>
      </w:r>
      <w:r w:rsidRPr="003B2F5B">
        <w:rPr>
          <w:i/>
        </w:rPr>
        <w:t>Issuance of 53 Mining Licences</w:t>
      </w:r>
      <w:r w:rsidRPr="003B2F5B">
        <w:t xml:space="preserve">, 11 January 2026. </w:t>
      </w:r>
      <w:hyperlink r:id="rId47">
        <w:r w:rsidRPr="003B2F5B">
          <w:rPr>
            <w:u w:val="single"/>
          </w:rPr>
          <w:t>Source link</w:t>
        </w:r>
      </w:hyperlink>
    </w:p>
    <w:p w14:paraId="752AA72E" w14:textId="77777777" w:rsidR="008B6A55" w:rsidRPr="003B2F5B" w:rsidRDefault="008B6A55" w:rsidP="008B6A55">
      <w:pPr>
        <w:keepLines/>
      </w:pPr>
      <w:r w:rsidRPr="003B2F5B">
        <w:rPr>
          <w:b/>
        </w:rPr>
        <w:t>9. AngloGold Ashanti,</w:t>
      </w:r>
      <w:r w:rsidRPr="003B2F5B">
        <w:t xml:space="preserve"> </w:t>
      </w:r>
      <w:r w:rsidRPr="003B2F5B">
        <w:rPr>
          <w:i/>
        </w:rPr>
        <w:t>Sukari, Egypt</w:t>
      </w:r>
      <w:r w:rsidRPr="003B2F5B">
        <w:t xml:space="preserve">, updated 2026. </w:t>
      </w:r>
      <w:hyperlink r:id="rId48">
        <w:r w:rsidRPr="003B2F5B">
          <w:rPr>
            <w:u w:val="single"/>
          </w:rPr>
          <w:t>Source link</w:t>
        </w:r>
      </w:hyperlink>
    </w:p>
    <w:p w14:paraId="005C8E32" w14:textId="77777777" w:rsidR="008B6A55" w:rsidRPr="003B2F5B" w:rsidRDefault="008B6A55" w:rsidP="008B6A55">
      <w:pPr>
        <w:keepLines/>
      </w:pPr>
      <w:r w:rsidRPr="003B2F5B">
        <w:rPr>
          <w:b/>
        </w:rPr>
        <w:t>10. Eti Maden,</w:t>
      </w:r>
      <w:r w:rsidRPr="003B2F5B">
        <w:t xml:space="preserve"> </w:t>
      </w:r>
      <w:r w:rsidRPr="003B2F5B">
        <w:rPr>
          <w:i/>
        </w:rPr>
        <w:t>Boron in Türkiye</w:t>
      </w:r>
      <w:r w:rsidRPr="003B2F5B">
        <w:t xml:space="preserve">, undated. </w:t>
      </w:r>
      <w:hyperlink r:id="rId49">
        <w:r w:rsidRPr="003B2F5B">
          <w:rPr>
            <w:u w:val="single"/>
          </w:rPr>
          <w:t>Source link</w:t>
        </w:r>
      </w:hyperlink>
    </w:p>
    <w:p w14:paraId="79C7B8A7" w14:textId="77777777" w:rsidR="008B6A55" w:rsidRPr="003B2F5B" w:rsidRDefault="008B6A55" w:rsidP="008B6A55">
      <w:pPr>
        <w:keepLines/>
      </w:pPr>
      <w:r w:rsidRPr="003B2F5B">
        <w:rPr>
          <w:b/>
        </w:rPr>
        <w:t>11. Eldorado Gold,</w:t>
      </w:r>
      <w:r w:rsidRPr="003B2F5B">
        <w:t xml:space="preserve"> </w:t>
      </w:r>
      <w:r w:rsidRPr="003B2F5B">
        <w:rPr>
          <w:i/>
        </w:rPr>
        <w:t>Kışladağ</w:t>
      </w:r>
      <w:r w:rsidRPr="003B2F5B">
        <w:t xml:space="preserve">, updated 2026. </w:t>
      </w:r>
      <w:hyperlink r:id="rId50">
        <w:r w:rsidRPr="003B2F5B">
          <w:rPr>
            <w:u w:val="single"/>
          </w:rPr>
          <w:t>Source link</w:t>
        </w:r>
      </w:hyperlink>
    </w:p>
    <w:p w14:paraId="7E03CA1D" w14:textId="77777777" w:rsidR="008B6A55" w:rsidRDefault="008B6A55" w:rsidP="008B6A55">
      <w:pPr>
        <w:keepLines/>
      </w:pPr>
      <w:r w:rsidRPr="003B2F5B">
        <w:rPr>
          <w:b/>
        </w:rPr>
        <w:t>12. Eldorado Gold,</w:t>
      </w:r>
      <w:r w:rsidRPr="003B2F5B">
        <w:t xml:space="preserve"> </w:t>
      </w:r>
      <w:r w:rsidRPr="003B2F5B">
        <w:rPr>
          <w:i/>
        </w:rPr>
        <w:t>Efemçukuru</w:t>
      </w:r>
      <w:r w:rsidRPr="003B2F5B">
        <w:t xml:space="preserve">, updated 2026. </w:t>
      </w:r>
      <w:hyperlink r:id="rId51">
        <w:r w:rsidRPr="003B2F5B">
          <w:rPr>
            <w:u w:val="single"/>
          </w:rPr>
          <w:t>Source link</w:t>
        </w:r>
      </w:hyperlink>
    </w:p>
    <w:p w14:paraId="6F2C7036" w14:textId="7ADBD7DF" w:rsidR="00F2397A" w:rsidRPr="00F2397A" w:rsidRDefault="008B6A55" w:rsidP="00F2397A">
      <w:pPr>
        <w:keepLines/>
        <w:rPr>
          <w:b/>
        </w:rPr>
      </w:pPr>
      <w:r w:rsidRPr="00E259EE">
        <w:rPr>
          <w:b/>
        </w:rPr>
        <w:t xml:space="preserve">13. Egyptian Ministry of Petroleum and Mineral Resources, </w:t>
      </w:r>
      <w:r w:rsidRPr="008B6B01">
        <w:t>Presentation at Australia-Africa Minerals &amp; Energy Group (AAMEG) event. Perth, 22 July 2026.</w:t>
      </w:r>
      <w:r w:rsidRPr="00E259EE">
        <w:rPr>
          <w:b/>
        </w:rPr>
        <w:t xml:space="preserve"> </w:t>
      </w:r>
    </w:p>
    <w:p w14:paraId="09C39968" w14:textId="77777777" w:rsidR="00147F25" w:rsidRDefault="00147F25" w:rsidP="00147F25">
      <w:pPr>
        <w:pStyle w:val="Heading2"/>
      </w:pPr>
    </w:p>
    <w:p w14:paraId="6A4F836D" w14:textId="5EF5762E" w:rsidR="00C0333B" w:rsidRPr="00C0333B" w:rsidRDefault="00195FF3" w:rsidP="00147F25">
      <w:pPr>
        <w:pStyle w:val="Heading2"/>
        <w:rPr>
          <w:rFonts w:cstheme="majorHAnsi"/>
        </w:rPr>
      </w:pPr>
      <w:r w:rsidRPr="00195FF3">
        <w:t>Regional Market Context</w:t>
      </w:r>
    </w:p>
    <w:p w14:paraId="5F429449" w14:textId="77777777" w:rsidR="000A60DD" w:rsidRPr="003B2F5B" w:rsidRDefault="000A60DD" w:rsidP="000A60DD">
      <w:pPr>
        <w:keepLines/>
      </w:pPr>
      <w:r w:rsidRPr="003B2F5B">
        <w:rPr>
          <w:b/>
        </w:rPr>
        <w:t>1. Saudi Ministry of Industry and Mineral Resources,</w:t>
      </w:r>
      <w:r w:rsidRPr="003B2F5B">
        <w:t xml:space="preserve"> </w:t>
      </w:r>
      <w:r w:rsidRPr="003B2F5B">
        <w:rPr>
          <w:i/>
        </w:rPr>
        <w:t>Saudi Ministry Qualifies 24 Local and International Bidders for Round 10 Exploration Licenses</w:t>
      </w:r>
      <w:r w:rsidRPr="003B2F5B">
        <w:t xml:space="preserve">, 9 June 2026. </w:t>
      </w:r>
      <w:hyperlink r:id="rId52">
        <w:r w:rsidRPr="003B2F5B">
          <w:rPr>
            <w:u w:val="single"/>
          </w:rPr>
          <w:t>Source link</w:t>
        </w:r>
      </w:hyperlink>
    </w:p>
    <w:p w14:paraId="183FA763" w14:textId="77777777" w:rsidR="000A60DD" w:rsidRPr="003B2F5B" w:rsidRDefault="000A60DD" w:rsidP="000A60DD">
      <w:pPr>
        <w:keepLines/>
      </w:pPr>
      <w:r w:rsidRPr="003B2F5B">
        <w:rPr>
          <w:b/>
        </w:rPr>
        <w:t>2. Australian Department of Foreign Affairs and Trade,</w:t>
      </w:r>
      <w:r w:rsidRPr="003B2F5B">
        <w:t xml:space="preserve"> </w:t>
      </w:r>
      <w:r w:rsidRPr="003B2F5B">
        <w:rPr>
          <w:i/>
        </w:rPr>
        <w:t>Australia–UAE Comprehensive Economic Partnership Agreement</w:t>
      </w:r>
      <w:r w:rsidRPr="003B2F5B">
        <w:t xml:space="preserve">, updated 2026. </w:t>
      </w:r>
      <w:hyperlink r:id="rId53">
        <w:r w:rsidRPr="003B2F5B">
          <w:rPr>
            <w:u w:val="single"/>
          </w:rPr>
          <w:t>Source link</w:t>
        </w:r>
      </w:hyperlink>
    </w:p>
    <w:p w14:paraId="5D0545E6" w14:textId="77777777" w:rsidR="000A60DD" w:rsidRPr="003B2F5B" w:rsidRDefault="000A60DD" w:rsidP="000A60DD">
      <w:pPr>
        <w:keepLines/>
      </w:pPr>
      <w:r w:rsidRPr="003B2F5B">
        <w:rPr>
          <w:b/>
        </w:rPr>
        <w:t>3. OCP Group,</w:t>
      </w:r>
      <w:r w:rsidRPr="003B2F5B">
        <w:t xml:space="preserve"> </w:t>
      </w:r>
      <w:r w:rsidRPr="003B2F5B">
        <w:rPr>
          <w:i/>
        </w:rPr>
        <w:t>Investment Plan 2023–2027</w:t>
      </w:r>
      <w:r w:rsidRPr="003B2F5B">
        <w:t xml:space="preserve">, undated. </w:t>
      </w:r>
      <w:hyperlink r:id="rId54">
        <w:r w:rsidRPr="003B2F5B">
          <w:rPr>
            <w:u w:val="single"/>
          </w:rPr>
          <w:t>Source link</w:t>
        </w:r>
      </w:hyperlink>
    </w:p>
    <w:p w14:paraId="2E576697" w14:textId="77777777" w:rsidR="000A60DD" w:rsidRPr="003B2F5B" w:rsidRDefault="000A60DD" w:rsidP="000A60DD">
      <w:pPr>
        <w:keepLines/>
      </w:pPr>
      <w:r w:rsidRPr="003B2F5B">
        <w:rPr>
          <w:b/>
        </w:rPr>
        <w:t>4. Egyptian Ministry of Petroleum and Mineral Resources,</w:t>
      </w:r>
      <w:r w:rsidRPr="003B2F5B">
        <w:t xml:space="preserve"> </w:t>
      </w:r>
      <w:r w:rsidRPr="003B2F5B">
        <w:rPr>
          <w:i/>
        </w:rPr>
        <w:t>Egypt Mining Forum Inauguration: Mining-Sector Reform Pillars</w:t>
      </w:r>
      <w:r w:rsidRPr="003B2F5B">
        <w:t xml:space="preserve">, 18 July 2023. </w:t>
      </w:r>
      <w:hyperlink r:id="rId55">
        <w:r w:rsidRPr="003B2F5B">
          <w:rPr>
            <w:u w:val="single"/>
          </w:rPr>
          <w:t>Source link</w:t>
        </w:r>
      </w:hyperlink>
    </w:p>
    <w:p w14:paraId="6A07871E" w14:textId="77777777" w:rsidR="000A60DD" w:rsidRPr="003B2F5B" w:rsidRDefault="000A60DD" w:rsidP="000A60DD">
      <w:pPr>
        <w:keepLines/>
      </w:pPr>
      <w:r w:rsidRPr="003B2F5B">
        <w:rPr>
          <w:b/>
        </w:rPr>
        <w:t>5. Eti Maden,</w:t>
      </w:r>
      <w:r w:rsidRPr="003B2F5B">
        <w:t xml:space="preserve"> </w:t>
      </w:r>
      <w:r w:rsidRPr="003B2F5B">
        <w:rPr>
          <w:i/>
        </w:rPr>
        <w:t>Boron in Türkiye</w:t>
      </w:r>
      <w:r w:rsidRPr="003B2F5B">
        <w:t xml:space="preserve">, undated. </w:t>
      </w:r>
      <w:hyperlink r:id="rId56">
        <w:r w:rsidRPr="003B2F5B">
          <w:rPr>
            <w:u w:val="single"/>
          </w:rPr>
          <w:t>Source link</w:t>
        </w:r>
      </w:hyperlink>
    </w:p>
    <w:p w14:paraId="3DD7890D" w14:textId="77777777" w:rsidR="000A60DD" w:rsidRPr="000A60DD" w:rsidRDefault="000A60DD" w:rsidP="000A60DD">
      <w:pPr>
        <w:keepLines/>
        <w:rPr>
          <w:b/>
        </w:rPr>
      </w:pPr>
      <w:r w:rsidRPr="000A60DD">
        <w:rPr>
          <w:b/>
        </w:rPr>
        <w:t>6. World Bank</w:t>
      </w:r>
      <w:r w:rsidRPr="000A60DD">
        <w:rPr>
          <w:bCs/>
        </w:rPr>
        <w:t>, Saudi Arabia | Data, updated 2026.</w:t>
      </w:r>
      <w:r w:rsidRPr="003D0540">
        <w:rPr>
          <w:bCs/>
          <w:u w:val="single"/>
        </w:rPr>
        <w:t xml:space="preserve"> </w:t>
      </w:r>
      <w:hyperlink r:id="rId57">
        <w:r w:rsidRPr="003D0540">
          <w:rPr>
            <w:bCs/>
            <w:u w:val="single"/>
          </w:rPr>
          <w:t>Source link</w:t>
        </w:r>
      </w:hyperlink>
    </w:p>
    <w:p w14:paraId="10B19AEE" w14:textId="77777777" w:rsidR="000A60DD" w:rsidRPr="000A60DD" w:rsidRDefault="000A60DD" w:rsidP="000A60DD">
      <w:pPr>
        <w:keepLines/>
        <w:rPr>
          <w:b/>
        </w:rPr>
      </w:pPr>
      <w:r w:rsidRPr="000A60DD">
        <w:rPr>
          <w:b/>
        </w:rPr>
        <w:t xml:space="preserve">7. World Bank, </w:t>
      </w:r>
      <w:r w:rsidRPr="000A60DD">
        <w:rPr>
          <w:bCs/>
        </w:rPr>
        <w:t xml:space="preserve">Türkiye | Data, updated 2026. </w:t>
      </w:r>
      <w:hyperlink r:id="rId58">
        <w:r w:rsidRPr="003D0540">
          <w:rPr>
            <w:bCs/>
            <w:u w:val="single"/>
          </w:rPr>
          <w:t>Source link</w:t>
        </w:r>
      </w:hyperlink>
    </w:p>
    <w:p w14:paraId="089162D3" w14:textId="77777777" w:rsidR="000A60DD" w:rsidRPr="000A60DD" w:rsidRDefault="000A60DD" w:rsidP="000A60DD">
      <w:pPr>
        <w:keepLines/>
        <w:rPr>
          <w:b/>
        </w:rPr>
      </w:pPr>
      <w:r w:rsidRPr="000A60DD">
        <w:rPr>
          <w:b/>
        </w:rPr>
        <w:t xml:space="preserve">8. World Bank, </w:t>
      </w:r>
      <w:r w:rsidRPr="000A60DD">
        <w:rPr>
          <w:bCs/>
        </w:rPr>
        <w:t xml:space="preserve">Morocco | Data, updated 2026. </w:t>
      </w:r>
      <w:hyperlink r:id="rId59">
        <w:r w:rsidRPr="003D0540">
          <w:rPr>
            <w:bCs/>
            <w:u w:val="single"/>
          </w:rPr>
          <w:t>Source link</w:t>
        </w:r>
      </w:hyperlink>
    </w:p>
    <w:p w14:paraId="4C88DB45" w14:textId="77777777" w:rsidR="000A60DD" w:rsidRPr="000A60DD" w:rsidRDefault="000A60DD" w:rsidP="000A60DD">
      <w:pPr>
        <w:keepLines/>
        <w:rPr>
          <w:b/>
        </w:rPr>
      </w:pPr>
      <w:r w:rsidRPr="000A60DD">
        <w:rPr>
          <w:b/>
        </w:rPr>
        <w:t xml:space="preserve">9. World Bank, </w:t>
      </w:r>
      <w:r w:rsidRPr="000A60DD">
        <w:rPr>
          <w:bCs/>
        </w:rPr>
        <w:t xml:space="preserve">Egypt, Arab Rep. | Data, updated 2026. </w:t>
      </w:r>
      <w:hyperlink r:id="rId60">
        <w:r w:rsidRPr="003D0540">
          <w:rPr>
            <w:bCs/>
            <w:u w:val="single"/>
          </w:rPr>
          <w:t>Source link</w:t>
        </w:r>
      </w:hyperlink>
    </w:p>
    <w:p w14:paraId="3950BCC2" w14:textId="77777777" w:rsidR="000A60DD" w:rsidRPr="000A60DD" w:rsidRDefault="000A60DD" w:rsidP="000A60DD">
      <w:pPr>
        <w:keepLines/>
        <w:rPr>
          <w:b/>
        </w:rPr>
      </w:pPr>
      <w:r w:rsidRPr="000A60DD">
        <w:rPr>
          <w:b/>
        </w:rPr>
        <w:t xml:space="preserve">10. World Bank, </w:t>
      </w:r>
      <w:r w:rsidRPr="000A60DD">
        <w:rPr>
          <w:bCs/>
        </w:rPr>
        <w:t xml:space="preserve">United Arab Emirates | Data, updated 2026. </w:t>
      </w:r>
      <w:hyperlink r:id="rId61">
        <w:r w:rsidRPr="000A60DD">
          <w:rPr>
            <w:bCs/>
          </w:rPr>
          <w:t>Source link</w:t>
        </w:r>
      </w:hyperlink>
    </w:p>
    <w:p w14:paraId="4AA0EB8D" w14:textId="77777777" w:rsidR="008A6035" w:rsidRDefault="008A6035" w:rsidP="00F2397A">
      <w:pPr>
        <w:keepLines/>
        <w:rPr>
          <w:b/>
        </w:rPr>
      </w:pPr>
    </w:p>
    <w:p w14:paraId="39B25131" w14:textId="77777777" w:rsidR="00195FF3" w:rsidRPr="00195FF3" w:rsidRDefault="00195FF3" w:rsidP="00195FF3">
      <w:pPr>
        <w:keepLines/>
      </w:pPr>
    </w:p>
    <w:p w14:paraId="1B0F6510" w14:textId="77777777" w:rsidR="00147F25" w:rsidRDefault="00147F25" w:rsidP="00147F25">
      <w:pPr>
        <w:pStyle w:val="Heading2"/>
      </w:pPr>
    </w:p>
    <w:p w14:paraId="08E1919B" w14:textId="3450CE84" w:rsidR="00195FF3" w:rsidRPr="00195FF3" w:rsidRDefault="00195FF3" w:rsidP="00147F25">
      <w:pPr>
        <w:pStyle w:val="Heading2"/>
      </w:pPr>
      <w:r w:rsidRPr="00195FF3">
        <w:t>Saudi Arabia</w:t>
      </w:r>
    </w:p>
    <w:p w14:paraId="509BA1C1" w14:textId="77777777" w:rsidR="00195FF3" w:rsidRPr="00195FF3" w:rsidRDefault="00195FF3" w:rsidP="00195FF3">
      <w:pPr>
        <w:keepLines/>
      </w:pPr>
      <w:r w:rsidRPr="00195FF3">
        <w:rPr>
          <w:b/>
        </w:rPr>
        <w:t>1. Saudi Vision 2030,</w:t>
      </w:r>
      <w:r w:rsidRPr="00195FF3">
        <w:t xml:space="preserve"> </w:t>
      </w:r>
      <w:r w:rsidRPr="00195FF3">
        <w:rPr>
          <w:i/>
        </w:rPr>
        <w:t>Strategy for the Mining Sector</w:t>
      </w:r>
      <w:r w:rsidRPr="00195FF3">
        <w:t xml:space="preserve">, undated. </w:t>
      </w:r>
      <w:hyperlink r:id="rId62">
        <w:r w:rsidRPr="00195FF3">
          <w:rPr>
            <w:u w:val="single"/>
          </w:rPr>
          <w:t>Source link</w:t>
        </w:r>
      </w:hyperlink>
    </w:p>
    <w:p w14:paraId="7D9936A9" w14:textId="77777777" w:rsidR="00195FF3" w:rsidRPr="00195FF3" w:rsidRDefault="00195FF3" w:rsidP="00195FF3">
      <w:pPr>
        <w:keepLines/>
      </w:pPr>
      <w:r w:rsidRPr="00195FF3">
        <w:rPr>
          <w:b/>
        </w:rPr>
        <w:t>2. Semafor,</w:t>
      </w:r>
      <w:r w:rsidRPr="00195FF3">
        <w:t xml:space="preserve"> </w:t>
      </w:r>
      <w:r w:rsidRPr="00195FF3">
        <w:rPr>
          <w:i/>
        </w:rPr>
        <w:t>Saudi mining giant Maaden outlines $110 billion investment plan</w:t>
      </w:r>
      <w:r w:rsidRPr="00195FF3">
        <w:t xml:space="preserve">, 15 January 2026. </w:t>
      </w:r>
      <w:hyperlink r:id="rId63">
        <w:r w:rsidRPr="00195FF3">
          <w:rPr>
            <w:u w:val="single"/>
          </w:rPr>
          <w:t>Source link</w:t>
        </w:r>
      </w:hyperlink>
    </w:p>
    <w:p w14:paraId="79D2F185" w14:textId="77777777" w:rsidR="00195FF3" w:rsidRPr="00195FF3" w:rsidRDefault="00195FF3" w:rsidP="00195FF3">
      <w:pPr>
        <w:keepLines/>
      </w:pPr>
      <w:r w:rsidRPr="00195FF3">
        <w:rPr>
          <w:b/>
        </w:rPr>
        <w:t>3. Mines and Money,</w:t>
      </w:r>
      <w:r w:rsidRPr="00195FF3">
        <w:t xml:space="preserve"> </w:t>
      </w:r>
      <w:r w:rsidRPr="00195FF3">
        <w:rPr>
          <w:i/>
        </w:rPr>
        <w:t>New Discoveries Reinforce Scale of Saudi Mining Vision</w:t>
      </w:r>
      <w:r w:rsidRPr="00195FF3">
        <w:t xml:space="preserve">, 2 August 2026. </w:t>
      </w:r>
      <w:hyperlink r:id="rId64">
        <w:r w:rsidRPr="00195FF3">
          <w:rPr>
            <w:u w:val="single"/>
          </w:rPr>
          <w:t>Source link</w:t>
        </w:r>
      </w:hyperlink>
    </w:p>
    <w:p w14:paraId="2C886C89" w14:textId="77777777" w:rsidR="00195FF3" w:rsidRPr="00195FF3" w:rsidRDefault="00195FF3" w:rsidP="00195FF3">
      <w:pPr>
        <w:keepLines/>
      </w:pPr>
      <w:r w:rsidRPr="00195FF3">
        <w:rPr>
          <w:b/>
        </w:rPr>
        <w:t>4. Aramco,</w:t>
      </w:r>
      <w:r w:rsidRPr="00195FF3">
        <w:t xml:space="preserve"> </w:t>
      </w:r>
      <w:r w:rsidRPr="00195FF3">
        <w:rPr>
          <w:i/>
        </w:rPr>
        <w:t>Aramco and Maaden sign shareholders’ agreement to form joint venture to unlock new frontier for mineral exploration and hard-rock mining in Saudi Arabia</w:t>
      </w:r>
      <w:r w:rsidRPr="00195FF3">
        <w:t xml:space="preserve">, 18 August 2026. </w:t>
      </w:r>
      <w:hyperlink r:id="rId65">
        <w:r w:rsidRPr="00195FF3">
          <w:rPr>
            <w:u w:val="single"/>
          </w:rPr>
          <w:t>Source link</w:t>
        </w:r>
      </w:hyperlink>
    </w:p>
    <w:p w14:paraId="08B888EF" w14:textId="77777777" w:rsidR="00195FF3" w:rsidRPr="00195FF3" w:rsidRDefault="00195FF3" w:rsidP="00195FF3">
      <w:pPr>
        <w:keepLines/>
      </w:pPr>
      <w:r w:rsidRPr="00195FF3">
        <w:rPr>
          <w:b/>
        </w:rPr>
        <w:t>5. Ivanhoe Electric Inc.,</w:t>
      </w:r>
      <w:r w:rsidRPr="00195FF3">
        <w:t xml:space="preserve"> </w:t>
      </w:r>
      <w:r w:rsidRPr="00195FF3">
        <w:rPr>
          <w:i/>
        </w:rPr>
        <w:t>Maaden and Ivanhoe Electric to Establish a 50/50 Joint Venture to Explore for Copper, Gold, Silver and Electric Metals in Saudi Arabia</w:t>
      </w:r>
      <w:r w:rsidRPr="00195FF3">
        <w:t xml:space="preserve">, 11 January 2023. </w:t>
      </w:r>
      <w:hyperlink r:id="rId66">
        <w:r w:rsidRPr="00195FF3">
          <w:rPr>
            <w:u w:val="single"/>
          </w:rPr>
          <w:t>Source link</w:t>
        </w:r>
      </w:hyperlink>
    </w:p>
    <w:p w14:paraId="298DDA69" w14:textId="6AC41382" w:rsidR="007C5F91" w:rsidRDefault="00195FF3" w:rsidP="00F86FCF">
      <w:pPr>
        <w:keepLines/>
      </w:pPr>
      <w:r w:rsidRPr="00195FF3">
        <w:rPr>
          <w:b/>
        </w:rPr>
        <w:t xml:space="preserve">6. </w:t>
      </w:r>
      <w:r w:rsidR="007B57B4" w:rsidRPr="001F1CA6">
        <w:rPr>
          <w:b/>
          <w:bCs/>
        </w:rPr>
        <w:t>Mining Weekly / Bloomberg,</w:t>
      </w:r>
      <w:r w:rsidR="007B57B4" w:rsidRPr="007B57B4">
        <w:t xml:space="preserve"> </w:t>
      </w:r>
      <w:r w:rsidR="007B57B4" w:rsidRPr="001F1CA6">
        <w:rPr>
          <w:i/>
          <w:iCs/>
        </w:rPr>
        <w:t xml:space="preserve">Saudi Arabia awards exploration leases to some major miners, </w:t>
      </w:r>
      <w:r w:rsidR="007B57B4" w:rsidRPr="007B57B4">
        <w:t>20 March 2025.</w:t>
      </w:r>
      <w:r w:rsidR="007B57B4">
        <w:t xml:space="preserve"> </w:t>
      </w:r>
      <w:hyperlink r:id="rId67" w:history="1">
        <w:r w:rsidR="001F1CA6" w:rsidRPr="001F1CA6">
          <w:rPr>
            <w:rStyle w:val="Hyperlink"/>
            <w:color w:val="auto"/>
          </w:rPr>
          <w:t>Source link</w:t>
        </w:r>
      </w:hyperlink>
    </w:p>
    <w:p w14:paraId="3A9E4E89" w14:textId="196DEF9B" w:rsidR="00195FF3" w:rsidRPr="00BF1FDB" w:rsidRDefault="00195FF3" w:rsidP="00F86FCF">
      <w:pPr>
        <w:keepLines/>
        <w:rPr>
          <w:i/>
        </w:rPr>
      </w:pPr>
      <w:r w:rsidRPr="00195FF3">
        <w:rPr>
          <w:b/>
        </w:rPr>
        <w:t>7. Bloomberg,</w:t>
      </w:r>
      <w:r w:rsidRPr="00195FF3">
        <w:t xml:space="preserve"> </w:t>
      </w:r>
      <w:r w:rsidRPr="00195FF3">
        <w:rPr>
          <w:i/>
        </w:rPr>
        <w:t>Vedanta Plans Saudi Spending Boost in Push for Copper, Gold</w:t>
      </w:r>
      <w:r w:rsidRPr="00195FF3">
        <w:t xml:space="preserve">, 19 November 2025. </w:t>
      </w:r>
      <w:hyperlink r:id="rId68">
        <w:r w:rsidRPr="00195FF3">
          <w:rPr>
            <w:u w:val="single"/>
          </w:rPr>
          <w:t>Source link</w:t>
        </w:r>
      </w:hyperlink>
    </w:p>
    <w:p w14:paraId="6637B7AE" w14:textId="77777777" w:rsidR="00195FF3" w:rsidRPr="00195FF3" w:rsidRDefault="00195FF3" w:rsidP="00195FF3">
      <w:pPr>
        <w:keepLines/>
      </w:pPr>
      <w:r w:rsidRPr="00195FF3">
        <w:rPr>
          <w:b/>
        </w:rPr>
        <w:t>8. Maaden,</w:t>
      </w:r>
      <w:r w:rsidRPr="00195FF3">
        <w:t xml:space="preserve"> </w:t>
      </w:r>
      <w:r w:rsidRPr="00195FF3">
        <w:rPr>
          <w:i/>
        </w:rPr>
        <w:t>Core Business Units</w:t>
      </w:r>
      <w:r w:rsidRPr="00195FF3">
        <w:t xml:space="preserve">, undated. </w:t>
      </w:r>
      <w:hyperlink r:id="rId69">
        <w:r w:rsidRPr="00195FF3">
          <w:rPr>
            <w:u w:val="single"/>
          </w:rPr>
          <w:t>Source link</w:t>
        </w:r>
      </w:hyperlink>
    </w:p>
    <w:p w14:paraId="028E8D38" w14:textId="77777777" w:rsidR="00195FF3" w:rsidRPr="00195FF3" w:rsidRDefault="00195FF3" w:rsidP="00195FF3">
      <w:pPr>
        <w:keepLines/>
      </w:pPr>
      <w:r w:rsidRPr="00195FF3">
        <w:rPr>
          <w:b/>
        </w:rPr>
        <w:t>9. Taaden,</w:t>
      </w:r>
      <w:r w:rsidRPr="00195FF3">
        <w:t xml:space="preserve"> </w:t>
      </w:r>
      <w:r w:rsidRPr="00195FF3">
        <w:rPr>
          <w:i/>
        </w:rPr>
        <w:t>About Taaden</w:t>
      </w:r>
      <w:r w:rsidRPr="00195FF3">
        <w:t xml:space="preserve">, undated. </w:t>
      </w:r>
      <w:hyperlink r:id="rId70">
        <w:r w:rsidRPr="00195FF3">
          <w:rPr>
            <w:u w:val="single"/>
          </w:rPr>
          <w:t>Source link</w:t>
        </w:r>
      </w:hyperlink>
    </w:p>
    <w:p w14:paraId="31CC4C40" w14:textId="77777777" w:rsidR="00195FF3" w:rsidRPr="00195FF3" w:rsidRDefault="00195FF3" w:rsidP="00195FF3">
      <w:pPr>
        <w:keepLines/>
      </w:pPr>
      <w:r w:rsidRPr="00195FF3">
        <w:rPr>
          <w:b/>
        </w:rPr>
        <w:t>10. Byrnecut Group,</w:t>
      </w:r>
      <w:r w:rsidRPr="00195FF3">
        <w:t xml:space="preserve"> </w:t>
      </w:r>
      <w:r w:rsidRPr="00195FF3">
        <w:rPr>
          <w:i/>
        </w:rPr>
        <w:t>Jabal Sayid Project in Saudi Arabia</w:t>
      </w:r>
      <w:r w:rsidRPr="00195FF3">
        <w:t xml:space="preserve">, August 2022. </w:t>
      </w:r>
      <w:hyperlink r:id="rId71">
        <w:r w:rsidRPr="00195FF3">
          <w:rPr>
            <w:u w:val="single"/>
          </w:rPr>
          <w:t>Source link</w:t>
        </w:r>
      </w:hyperlink>
    </w:p>
    <w:p w14:paraId="059601DB" w14:textId="77777777" w:rsidR="00195FF3" w:rsidRPr="00195FF3" w:rsidRDefault="00195FF3" w:rsidP="00195FF3">
      <w:pPr>
        <w:keepLines/>
      </w:pPr>
      <w:r w:rsidRPr="00195FF3">
        <w:rPr>
          <w:b/>
        </w:rPr>
        <w:t>11. Gulf News,</w:t>
      </w:r>
      <w:r w:rsidRPr="00195FF3">
        <w:t xml:space="preserve"> </w:t>
      </w:r>
      <w:r w:rsidRPr="00195FF3">
        <w:rPr>
          <w:i/>
        </w:rPr>
        <w:t>Saudi mining company Maaden finds new gold deposits</w:t>
      </w:r>
      <w:r w:rsidRPr="00195FF3">
        <w:t xml:space="preserve">, 28 December 2023. </w:t>
      </w:r>
      <w:hyperlink r:id="rId72">
        <w:r w:rsidRPr="00195FF3">
          <w:rPr>
            <w:u w:val="single"/>
          </w:rPr>
          <w:t>Source link</w:t>
        </w:r>
      </w:hyperlink>
    </w:p>
    <w:p w14:paraId="66D1E76D" w14:textId="77777777" w:rsidR="00195FF3" w:rsidRPr="00195FF3" w:rsidRDefault="00195FF3" w:rsidP="00195FF3">
      <w:pPr>
        <w:keepLines/>
      </w:pPr>
      <w:r w:rsidRPr="00195FF3">
        <w:rPr>
          <w:b/>
        </w:rPr>
        <w:t>12. FLSmidth,</w:t>
      </w:r>
      <w:r w:rsidRPr="00195FF3">
        <w:t xml:space="preserve"> </w:t>
      </w:r>
      <w:r w:rsidRPr="00195FF3">
        <w:rPr>
          <w:i/>
        </w:rPr>
        <w:t>FLSmidth to Deliver Key Beneficiation Equipment to a Saudi Arabian Phosphate Mine</w:t>
      </w:r>
      <w:r w:rsidRPr="00195FF3">
        <w:t xml:space="preserve">, 7 August 2023. </w:t>
      </w:r>
      <w:hyperlink r:id="rId73">
        <w:r w:rsidRPr="00195FF3">
          <w:rPr>
            <w:u w:val="single"/>
          </w:rPr>
          <w:t>Source link</w:t>
        </w:r>
      </w:hyperlink>
    </w:p>
    <w:p w14:paraId="1DA83BA2" w14:textId="77777777" w:rsidR="00195FF3" w:rsidRPr="00195FF3" w:rsidRDefault="00195FF3" w:rsidP="00195FF3">
      <w:pPr>
        <w:keepLines/>
      </w:pPr>
      <w:r w:rsidRPr="00195FF3">
        <w:rPr>
          <w:b/>
        </w:rPr>
        <w:t>13. Maaden,</w:t>
      </w:r>
      <w:r w:rsidRPr="00195FF3">
        <w:t xml:space="preserve"> </w:t>
      </w:r>
      <w:r w:rsidRPr="00195FF3">
        <w:rPr>
          <w:i/>
        </w:rPr>
        <w:t>Maaden Furthers Commitment with MP Materials to Establish Rare Earth Refinery Joint Venture in the Kingdom</w:t>
      </w:r>
      <w:r w:rsidRPr="00195FF3">
        <w:t xml:space="preserve">, 19 November 2025. </w:t>
      </w:r>
      <w:hyperlink r:id="rId74">
        <w:r w:rsidRPr="00195FF3">
          <w:rPr>
            <w:u w:val="single"/>
          </w:rPr>
          <w:t>Source link</w:t>
        </w:r>
      </w:hyperlink>
    </w:p>
    <w:p w14:paraId="5A047311" w14:textId="77777777" w:rsidR="00195FF3" w:rsidRPr="00195FF3" w:rsidRDefault="00195FF3" w:rsidP="00195FF3">
      <w:pPr>
        <w:keepLines/>
      </w:pPr>
      <w:r w:rsidRPr="00195FF3">
        <w:rPr>
          <w:b/>
        </w:rPr>
        <w:t>14. IMARC Group,</w:t>
      </w:r>
      <w:r w:rsidRPr="00195FF3">
        <w:t xml:space="preserve"> </w:t>
      </w:r>
      <w:r w:rsidRPr="00195FF3">
        <w:rPr>
          <w:i/>
        </w:rPr>
        <w:t>Saudi Arabia Mineral Exploration Equipment Market Size, Share, Trends and Forecast by Equipment Type, Mineral Type, End User, and Region, 2026-2034</w:t>
      </w:r>
      <w:r w:rsidRPr="00195FF3">
        <w:t xml:space="preserve">, 2025. </w:t>
      </w:r>
      <w:hyperlink r:id="rId75">
        <w:r w:rsidRPr="00195FF3">
          <w:rPr>
            <w:u w:val="single"/>
          </w:rPr>
          <w:t>Source link</w:t>
        </w:r>
      </w:hyperlink>
    </w:p>
    <w:p w14:paraId="77BF3C5F" w14:textId="77777777" w:rsidR="00195FF3" w:rsidRPr="00195FF3" w:rsidRDefault="00195FF3" w:rsidP="00195FF3">
      <w:pPr>
        <w:keepLines/>
      </w:pPr>
      <w:r w:rsidRPr="00195FF3">
        <w:rPr>
          <w:b/>
        </w:rPr>
        <w:t>15. Maaden,</w:t>
      </w:r>
      <w:r w:rsidRPr="00195FF3">
        <w:t xml:space="preserve"> </w:t>
      </w:r>
      <w:r w:rsidRPr="00195FF3">
        <w:rPr>
          <w:i/>
        </w:rPr>
        <w:t>Maaden and Hexagon Partner to Launch Region’s First Digital Mine</w:t>
      </w:r>
      <w:r w:rsidRPr="00195FF3">
        <w:t xml:space="preserve">, 16 January 2024. </w:t>
      </w:r>
      <w:hyperlink r:id="rId76">
        <w:r w:rsidRPr="00195FF3">
          <w:rPr>
            <w:u w:val="single"/>
          </w:rPr>
          <w:t>Source link</w:t>
        </w:r>
      </w:hyperlink>
    </w:p>
    <w:p w14:paraId="7E7C099C" w14:textId="77777777" w:rsidR="00195FF3" w:rsidRPr="00195FF3" w:rsidRDefault="00195FF3" w:rsidP="00195FF3">
      <w:pPr>
        <w:keepLines/>
      </w:pPr>
      <w:r w:rsidRPr="00195FF3">
        <w:rPr>
          <w:b/>
        </w:rPr>
        <w:t>16. Saudi Ministry of Human Resources and Social Development,</w:t>
      </w:r>
      <w:r w:rsidRPr="00195FF3">
        <w:t xml:space="preserve"> </w:t>
      </w:r>
      <w:r w:rsidRPr="00195FF3">
        <w:rPr>
          <w:i/>
        </w:rPr>
        <w:t>The Ministry Issues Two Decisions to Raise Localization Rates in Engineering and Procurement Professions</w:t>
      </w:r>
      <w:r w:rsidRPr="00195FF3">
        <w:t xml:space="preserve">, 31 December 2025. </w:t>
      </w:r>
      <w:hyperlink r:id="rId77">
        <w:r w:rsidRPr="00195FF3">
          <w:rPr>
            <w:u w:val="single"/>
          </w:rPr>
          <w:t>Source link</w:t>
        </w:r>
      </w:hyperlink>
    </w:p>
    <w:p w14:paraId="7789A4AC" w14:textId="77777777" w:rsidR="00195FF3" w:rsidRPr="00195FF3" w:rsidRDefault="00195FF3" w:rsidP="00195FF3">
      <w:pPr>
        <w:keepLines/>
      </w:pPr>
      <w:r w:rsidRPr="00195FF3">
        <w:rPr>
          <w:b/>
        </w:rPr>
        <w:t>17. Altios,</w:t>
      </w:r>
      <w:r w:rsidRPr="00195FF3">
        <w:t xml:space="preserve"> </w:t>
      </w:r>
      <w:r w:rsidRPr="00195FF3">
        <w:rPr>
          <w:i/>
        </w:rPr>
        <w:t>Saudisation in KSA: What International Companies Must Get Right in 2026</w:t>
      </w:r>
      <w:r w:rsidRPr="00195FF3">
        <w:t xml:space="preserve">, 29 December 2025. </w:t>
      </w:r>
      <w:hyperlink r:id="rId78">
        <w:r w:rsidRPr="00195FF3">
          <w:rPr>
            <w:u w:val="single"/>
          </w:rPr>
          <w:t>Source link</w:t>
        </w:r>
      </w:hyperlink>
    </w:p>
    <w:p w14:paraId="767F5630" w14:textId="77777777" w:rsidR="00195FF3" w:rsidRPr="00195FF3" w:rsidRDefault="00195FF3" w:rsidP="00195FF3">
      <w:pPr>
        <w:keepLines/>
      </w:pPr>
      <w:r w:rsidRPr="00195FF3">
        <w:rPr>
          <w:b/>
        </w:rPr>
        <w:t>18. Maaden,</w:t>
      </w:r>
      <w:r w:rsidRPr="00195FF3">
        <w:t xml:space="preserve"> </w:t>
      </w:r>
      <w:r w:rsidRPr="00195FF3">
        <w:rPr>
          <w:i/>
        </w:rPr>
        <w:t>Tharwah Local Content Program</w:t>
      </w:r>
      <w:r w:rsidRPr="00195FF3">
        <w:t xml:space="preserve">, undated. </w:t>
      </w:r>
      <w:hyperlink r:id="rId79">
        <w:r w:rsidRPr="00195FF3">
          <w:rPr>
            <w:u w:val="single"/>
          </w:rPr>
          <w:t>Source link</w:t>
        </w:r>
      </w:hyperlink>
    </w:p>
    <w:p w14:paraId="0E1A6B72" w14:textId="77777777" w:rsidR="00195FF3" w:rsidRPr="00195FF3" w:rsidRDefault="00195FF3" w:rsidP="00195FF3">
      <w:pPr>
        <w:keepLines/>
      </w:pPr>
      <w:r w:rsidRPr="00195FF3">
        <w:rPr>
          <w:b/>
        </w:rPr>
        <w:t>19. TASC,</w:t>
      </w:r>
      <w:r w:rsidRPr="00195FF3">
        <w:t xml:space="preserve"> </w:t>
      </w:r>
      <w:r w:rsidRPr="00195FF3">
        <w:rPr>
          <w:i/>
        </w:rPr>
        <w:t>The Human Infrastructure Behind Vision 2030: A Strategic Guide to Workforce Readiness in Saudi Arabia</w:t>
      </w:r>
      <w:r w:rsidRPr="00195FF3">
        <w:t xml:space="preserve">, 2026. </w:t>
      </w:r>
      <w:hyperlink r:id="rId80">
        <w:r w:rsidRPr="00195FF3">
          <w:rPr>
            <w:u w:val="single"/>
          </w:rPr>
          <w:t>Source link</w:t>
        </w:r>
      </w:hyperlink>
    </w:p>
    <w:p w14:paraId="2698BF92" w14:textId="77777777" w:rsidR="00195FF3" w:rsidRPr="00195FF3" w:rsidRDefault="00195FF3" w:rsidP="00195FF3">
      <w:pPr>
        <w:keepLines/>
      </w:pPr>
      <w:r w:rsidRPr="00195FF3">
        <w:rPr>
          <w:b/>
        </w:rPr>
        <w:t>20. Saudi Press Agency,</w:t>
      </w:r>
      <w:r w:rsidRPr="00195FF3">
        <w:t xml:space="preserve"> </w:t>
      </w:r>
      <w:r w:rsidRPr="00195FF3">
        <w:rPr>
          <w:i/>
        </w:rPr>
        <w:t>Saudi Arabia Strengthens Industrial Ties with China in Industry and Mining</w:t>
      </w:r>
      <w:r w:rsidRPr="00195FF3">
        <w:t xml:space="preserve">, undated. </w:t>
      </w:r>
      <w:hyperlink r:id="rId81">
        <w:r w:rsidRPr="00195FF3">
          <w:rPr>
            <w:u w:val="single"/>
          </w:rPr>
          <w:t>Source link</w:t>
        </w:r>
      </w:hyperlink>
    </w:p>
    <w:p w14:paraId="4CF9FEA2" w14:textId="77777777" w:rsidR="00195FF3" w:rsidRPr="00195FF3" w:rsidRDefault="00195FF3" w:rsidP="00195FF3">
      <w:pPr>
        <w:keepLines/>
      </w:pPr>
      <w:r w:rsidRPr="00195FF3">
        <w:rPr>
          <w:b/>
        </w:rPr>
        <w:lastRenderedPageBreak/>
        <w:t>21. Maaden,</w:t>
      </w:r>
      <w:r w:rsidRPr="00195FF3">
        <w:t xml:space="preserve"> </w:t>
      </w:r>
      <w:r w:rsidRPr="00195FF3">
        <w:rPr>
          <w:i/>
        </w:rPr>
        <w:t>Maaden’s Ar Rjum Gold Mine Moves Forward with Award of First Development Contract</w:t>
      </w:r>
      <w:r w:rsidRPr="00195FF3">
        <w:t xml:space="preserve">, 23 October 2025. </w:t>
      </w:r>
      <w:hyperlink r:id="rId82">
        <w:r w:rsidRPr="00195FF3">
          <w:rPr>
            <w:u w:val="single"/>
          </w:rPr>
          <w:t>Source link</w:t>
        </w:r>
      </w:hyperlink>
    </w:p>
    <w:p w14:paraId="2DAA6857" w14:textId="77777777" w:rsidR="00195FF3" w:rsidRPr="00195FF3" w:rsidRDefault="00195FF3" w:rsidP="00195FF3">
      <w:pPr>
        <w:keepLines/>
      </w:pPr>
      <w:r w:rsidRPr="00195FF3">
        <w:rPr>
          <w:b/>
        </w:rPr>
        <w:t>22. Maaden,</w:t>
      </w:r>
      <w:r w:rsidRPr="00195FF3">
        <w:t xml:space="preserve"> </w:t>
      </w:r>
      <w:r w:rsidRPr="00195FF3">
        <w:rPr>
          <w:i/>
        </w:rPr>
        <w:t>Why Feeding the World Is the Kingdom’s Next Growth Story</w:t>
      </w:r>
      <w:r w:rsidRPr="00195FF3">
        <w:t xml:space="preserve">, 16 October 2025. </w:t>
      </w:r>
      <w:hyperlink r:id="rId83">
        <w:r w:rsidRPr="00195FF3">
          <w:rPr>
            <w:u w:val="single"/>
          </w:rPr>
          <w:t>Source link</w:t>
        </w:r>
      </w:hyperlink>
    </w:p>
    <w:p w14:paraId="7D71A320" w14:textId="77777777" w:rsidR="00195FF3" w:rsidRPr="00195FF3" w:rsidRDefault="00195FF3" w:rsidP="00195FF3">
      <w:pPr>
        <w:keepLines/>
      </w:pPr>
      <w:r w:rsidRPr="00195FF3">
        <w:rPr>
          <w:b/>
        </w:rPr>
        <w:t>23. Maaden,</w:t>
      </w:r>
      <w:r w:rsidRPr="00195FF3">
        <w:t xml:space="preserve"> </w:t>
      </w:r>
      <w:r w:rsidRPr="00195FF3">
        <w:rPr>
          <w:i/>
        </w:rPr>
        <w:t>About Maaden</w:t>
      </w:r>
      <w:r w:rsidRPr="00195FF3">
        <w:t xml:space="preserve">, undated. </w:t>
      </w:r>
      <w:hyperlink r:id="rId84">
        <w:r w:rsidRPr="00195FF3">
          <w:rPr>
            <w:u w:val="single"/>
          </w:rPr>
          <w:t>Source link</w:t>
        </w:r>
      </w:hyperlink>
    </w:p>
    <w:p w14:paraId="0B8BF472" w14:textId="77777777" w:rsidR="00195FF3" w:rsidRPr="00195FF3" w:rsidRDefault="00195FF3" w:rsidP="00195FF3">
      <w:pPr>
        <w:keepLines/>
      </w:pPr>
      <w:r w:rsidRPr="00195FF3">
        <w:rPr>
          <w:b/>
          <w:bCs/>
        </w:rPr>
        <w:t>24.</w:t>
      </w:r>
      <w:r w:rsidRPr="00195FF3">
        <w:t xml:space="preserve"> </w:t>
      </w:r>
      <w:r w:rsidRPr="00195FF3">
        <w:rPr>
          <w:b/>
          <w:bCs/>
        </w:rPr>
        <w:t>Maaden,</w:t>
      </w:r>
      <w:r w:rsidRPr="00195FF3">
        <w:t xml:space="preserve"> </w:t>
      </w:r>
      <w:r w:rsidRPr="00195FF3">
        <w:rPr>
          <w:i/>
          <w:iCs/>
        </w:rPr>
        <w:t>Maaden Releases Second Quarter 2026 Results</w:t>
      </w:r>
      <w:r w:rsidRPr="00195FF3">
        <w:t xml:space="preserve">, 9 August 2026. </w:t>
      </w:r>
      <w:hyperlink r:id="rId85" w:history="1">
        <w:r w:rsidRPr="00195FF3">
          <w:rPr>
            <w:rStyle w:val="Hyperlink"/>
            <w:color w:val="auto"/>
          </w:rPr>
          <w:t>Source link</w:t>
        </w:r>
      </w:hyperlink>
    </w:p>
    <w:p w14:paraId="132D6999" w14:textId="77777777" w:rsidR="00195FF3" w:rsidRPr="00195FF3" w:rsidRDefault="00195FF3" w:rsidP="00195FF3">
      <w:pPr>
        <w:keepLines/>
      </w:pPr>
      <w:r w:rsidRPr="00195FF3">
        <w:rPr>
          <w:b/>
          <w:bCs/>
        </w:rPr>
        <w:t>25.</w:t>
      </w:r>
      <w:r w:rsidRPr="00195FF3">
        <w:t xml:space="preserve"> </w:t>
      </w:r>
      <w:r w:rsidRPr="00195FF3">
        <w:rPr>
          <w:b/>
          <w:bCs/>
        </w:rPr>
        <w:t>Barrick Mining Corporation</w:t>
      </w:r>
      <w:r w:rsidRPr="00195FF3">
        <w:t xml:space="preserve">, </w:t>
      </w:r>
      <w:r w:rsidRPr="00195FF3">
        <w:rPr>
          <w:i/>
          <w:iCs/>
        </w:rPr>
        <w:t>2025 Full Year Results</w:t>
      </w:r>
      <w:r w:rsidRPr="00195FF3">
        <w:t xml:space="preserve">, 5 March 2026. </w:t>
      </w:r>
      <w:hyperlink r:id="rId86" w:history="1">
        <w:r w:rsidRPr="00195FF3">
          <w:rPr>
            <w:rStyle w:val="Hyperlink"/>
            <w:color w:val="auto"/>
          </w:rPr>
          <w:t>Source link</w:t>
        </w:r>
      </w:hyperlink>
    </w:p>
    <w:p w14:paraId="5038BE31" w14:textId="77777777" w:rsidR="00195FF3" w:rsidRPr="00195FF3" w:rsidRDefault="00195FF3" w:rsidP="00195FF3">
      <w:pPr>
        <w:keepLines/>
      </w:pPr>
      <w:r w:rsidRPr="00195FF3">
        <w:rPr>
          <w:b/>
          <w:bCs/>
        </w:rPr>
        <w:t>26. Maaden</w:t>
      </w:r>
      <w:r w:rsidRPr="00195FF3">
        <w:t xml:space="preserve">, </w:t>
      </w:r>
      <w:r w:rsidRPr="00195FF3">
        <w:rPr>
          <w:i/>
          <w:iCs/>
        </w:rPr>
        <w:t>Sustainability at Maaden: Reducing Groundwater Usage</w:t>
      </w:r>
      <w:r w:rsidRPr="00195FF3">
        <w:t xml:space="preserve">, undated. </w:t>
      </w:r>
      <w:hyperlink r:id="rId87" w:history="1">
        <w:r w:rsidRPr="00195FF3">
          <w:rPr>
            <w:rStyle w:val="Hyperlink"/>
            <w:color w:val="auto"/>
          </w:rPr>
          <w:t>Source link</w:t>
        </w:r>
      </w:hyperlink>
    </w:p>
    <w:p w14:paraId="2BE52CB4" w14:textId="77777777" w:rsidR="00195FF3" w:rsidRPr="00195FF3" w:rsidRDefault="00195FF3" w:rsidP="00195FF3">
      <w:pPr>
        <w:keepLines/>
      </w:pPr>
      <w:r w:rsidRPr="00195FF3">
        <w:rPr>
          <w:b/>
          <w:bCs/>
        </w:rPr>
        <w:t>27. ZAWYA Projects</w:t>
      </w:r>
      <w:r w:rsidRPr="00195FF3">
        <w:t xml:space="preserve">, </w:t>
      </w:r>
      <w:r w:rsidRPr="00195FF3">
        <w:rPr>
          <w:i/>
          <w:iCs/>
        </w:rPr>
        <w:t>Saudi’s Maaden awards $104mln EPCM contract for Ar Rjum goldmine</w:t>
      </w:r>
      <w:r w:rsidRPr="00195FF3">
        <w:t xml:space="preserve">, undated. </w:t>
      </w:r>
      <w:hyperlink r:id="rId88" w:history="1">
        <w:r w:rsidRPr="00195FF3">
          <w:rPr>
            <w:rStyle w:val="Hyperlink"/>
            <w:color w:val="auto"/>
          </w:rPr>
          <w:t>Source link</w:t>
        </w:r>
      </w:hyperlink>
    </w:p>
    <w:p w14:paraId="11F0B322" w14:textId="77777777" w:rsidR="00195FF3" w:rsidRPr="00195FF3" w:rsidRDefault="00195FF3" w:rsidP="00195FF3">
      <w:pPr>
        <w:keepLines/>
      </w:pPr>
      <w:r w:rsidRPr="008A30DF">
        <w:rPr>
          <w:b/>
        </w:rPr>
        <w:t>28. Maaden</w:t>
      </w:r>
      <w:r w:rsidRPr="00195FF3">
        <w:t xml:space="preserve">, Supplier Portal, undated. </w:t>
      </w:r>
      <w:hyperlink r:id="rId89">
        <w:r w:rsidRPr="00195FF3">
          <w:t>Source link</w:t>
        </w:r>
      </w:hyperlink>
    </w:p>
    <w:p w14:paraId="5A14EC9A" w14:textId="77777777" w:rsidR="00195FF3" w:rsidRPr="00195FF3" w:rsidRDefault="00195FF3" w:rsidP="00195FF3">
      <w:pPr>
        <w:keepLines/>
      </w:pPr>
      <w:r w:rsidRPr="008A30DF">
        <w:rPr>
          <w:b/>
        </w:rPr>
        <w:t>29. SABER</w:t>
      </w:r>
      <w:r w:rsidRPr="00195FF3">
        <w:t xml:space="preserve">, Saudi Product Safety Program Platform, undated. </w:t>
      </w:r>
      <w:hyperlink r:id="rId90">
        <w:r w:rsidRPr="00195FF3">
          <w:t>Source link</w:t>
        </w:r>
      </w:hyperlink>
    </w:p>
    <w:p w14:paraId="6FC5B432" w14:textId="77777777" w:rsidR="00195FF3" w:rsidRDefault="00195FF3" w:rsidP="00195FF3">
      <w:pPr>
        <w:keepLines/>
      </w:pPr>
      <w:r w:rsidRPr="008A30DF">
        <w:rPr>
          <w:b/>
        </w:rPr>
        <w:t>30. Zakat</w:t>
      </w:r>
      <w:r w:rsidRPr="00195FF3">
        <w:t xml:space="preserve">, Tax and Customs Authority, Import Instructions, undated. </w:t>
      </w:r>
      <w:hyperlink r:id="rId91">
        <w:r w:rsidRPr="00195FF3">
          <w:t>Source link</w:t>
        </w:r>
      </w:hyperlink>
    </w:p>
    <w:p w14:paraId="063B44DB" w14:textId="31FC218F" w:rsidR="00A9170B" w:rsidRPr="00195FF3" w:rsidRDefault="00A9170B" w:rsidP="00E55124">
      <w:pPr>
        <w:keepLines/>
      </w:pPr>
      <w:r>
        <w:t>31.</w:t>
      </w:r>
      <w:r w:rsidR="001B33E6">
        <w:t xml:space="preserve"> </w:t>
      </w:r>
      <w:r w:rsidR="00E55124" w:rsidRPr="001F1CA6">
        <w:rPr>
          <w:b/>
          <w:bCs/>
        </w:rPr>
        <w:t>Aramco,</w:t>
      </w:r>
      <w:r w:rsidR="00E55124" w:rsidRPr="00E55124">
        <w:t xml:space="preserve"> </w:t>
      </w:r>
      <w:r w:rsidR="00E55124" w:rsidRPr="001F1CA6">
        <w:rPr>
          <w:i/>
          <w:iCs/>
        </w:rPr>
        <w:t>Aramco and Maaden sign shareholders’ agreement to form joint venture to unlock new frontier for mineral exploration and hard-rock mining in Saudi Arabia,</w:t>
      </w:r>
      <w:r w:rsidR="00E55124" w:rsidRPr="00E55124">
        <w:t xml:space="preserve"> 18 August 2026.</w:t>
      </w:r>
      <w:r w:rsidR="00053B9B">
        <w:t xml:space="preserve"> </w:t>
      </w:r>
      <w:hyperlink r:id="rId92" w:history="1">
        <w:r w:rsidR="001F1CA6" w:rsidRPr="001F1CA6">
          <w:rPr>
            <w:rStyle w:val="Hyperlink"/>
            <w:color w:val="auto"/>
          </w:rPr>
          <w:t>Source link</w:t>
        </w:r>
      </w:hyperlink>
    </w:p>
    <w:p w14:paraId="18FDAB22" w14:textId="4E619CAB" w:rsidR="00EF62C0" w:rsidRPr="001F1CA6" w:rsidRDefault="00EF62C0" w:rsidP="00147F25">
      <w:pPr>
        <w:tabs>
          <w:tab w:val="left" w:pos="6549"/>
        </w:tabs>
        <w:spacing w:after="80" w:line="245" w:lineRule="auto"/>
      </w:pPr>
      <w:r>
        <w:t>32</w:t>
      </w:r>
      <w:r w:rsidR="001C3873">
        <w:t xml:space="preserve">.  </w:t>
      </w:r>
      <w:r w:rsidR="001C3873" w:rsidRPr="001F1CA6">
        <w:rPr>
          <w:b/>
          <w:bCs/>
        </w:rPr>
        <w:t>Maaden / Saudi Exchange,</w:t>
      </w:r>
      <w:r w:rsidR="001C3873">
        <w:t xml:space="preserve"> </w:t>
      </w:r>
      <w:r w:rsidR="001F1CA6" w:rsidRPr="001F1CA6">
        <w:rPr>
          <w:i/>
          <w:iCs/>
        </w:rPr>
        <w:t>Announcement Details Saudi Arabian Mining Company (Maaden) Announces the completion of the signing of the EPCM Contract with Saudi Arabian Bechtel Company (SABCO) and Bechtel Australia PTY LTD,</w:t>
      </w:r>
      <w:r w:rsidR="001F1CA6">
        <w:t xml:space="preserve"> </w:t>
      </w:r>
      <w:r w:rsidR="001C3873">
        <w:t>23 October 2025</w:t>
      </w:r>
      <w:r w:rsidR="001F1CA6">
        <w:t>.</w:t>
      </w:r>
      <w:r w:rsidR="001C3873">
        <w:t xml:space="preserve"> </w:t>
      </w:r>
      <w:hyperlink r:id="rId93" w:history="1">
        <w:r w:rsidR="001F1CA6" w:rsidRPr="001F1CA6">
          <w:rPr>
            <w:rStyle w:val="Hyperlink"/>
            <w:color w:val="auto"/>
          </w:rPr>
          <w:t>Source link</w:t>
        </w:r>
      </w:hyperlink>
    </w:p>
    <w:p w14:paraId="7A0BDE01" w14:textId="77777777" w:rsidR="00147F25" w:rsidRDefault="00147F25" w:rsidP="00147F25">
      <w:pPr>
        <w:pStyle w:val="Heading2"/>
      </w:pPr>
    </w:p>
    <w:p w14:paraId="0E9EE3B8" w14:textId="36912A2D" w:rsidR="00195FF3" w:rsidRPr="00195FF3" w:rsidRDefault="00195FF3" w:rsidP="00147F25">
      <w:pPr>
        <w:pStyle w:val="Heading2"/>
      </w:pPr>
      <w:r w:rsidRPr="00195FF3">
        <w:t>United Arab Emirates</w:t>
      </w:r>
    </w:p>
    <w:p w14:paraId="0092BF92" w14:textId="77777777" w:rsidR="00195FF3" w:rsidRPr="00195FF3" w:rsidRDefault="00195FF3" w:rsidP="00195FF3">
      <w:pPr>
        <w:keepLines/>
      </w:pPr>
      <w:r w:rsidRPr="00195FF3">
        <w:rPr>
          <w:b/>
        </w:rPr>
        <w:t>1. Australian Department of Foreign Affairs and Trade,</w:t>
      </w:r>
      <w:r w:rsidRPr="00195FF3">
        <w:t xml:space="preserve"> </w:t>
      </w:r>
      <w:r w:rsidRPr="00195FF3">
        <w:rPr>
          <w:i/>
        </w:rPr>
        <w:t>Australia–UAE Comprehensive Economic Partnership Agreement</w:t>
      </w:r>
      <w:r w:rsidRPr="00195FF3">
        <w:t xml:space="preserve">, updated 2026. </w:t>
      </w:r>
      <w:hyperlink r:id="rId94">
        <w:r w:rsidRPr="00195FF3">
          <w:rPr>
            <w:u w:val="single"/>
          </w:rPr>
          <w:t>Source link</w:t>
        </w:r>
      </w:hyperlink>
    </w:p>
    <w:p w14:paraId="18CC0095" w14:textId="77777777" w:rsidR="00195FF3" w:rsidRPr="00195FF3" w:rsidRDefault="00195FF3" w:rsidP="00195FF3">
      <w:pPr>
        <w:keepLines/>
      </w:pPr>
      <w:r w:rsidRPr="00195FF3">
        <w:rPr>
          <w:b/>
        </w:rPr>
        <w:t>2. Australian Department of Foreign Affairs and Trade,</w:t>
      </w:r>
      <w:r w:rsidRPr="00195FF3">
        <w:t xml:space="preserve"> </w:t>
      </w:r>
      <w:r w:rsidRPr="00195FF3">
        <w:rPr>
          <w:i/>
        </w:rPr>
        <w:t>Australia–UAE CEPA: Outcomes at a Glance</w:t>
      </w:r>
      <w:r w:rsidRPr="00195FF3">
        <w:t xml:space="preserve">, undated. </w:t>
      </w:r>
      <w:hyperlink r:id="rId95">
        <w:r w:rsidRPr="00195FF3">
          <w:rPr>
            <w:u w:val="single"/>
          </w:rPr>
          <w:t>Source link</w:t>
        </w:r>
      </w:hyperlink>
    </w:p>
    <w:p w14:paraId="653F24FA" w14:textId="77777777" w:rsidR="00195FF3" w:rsidRPr="00195FF3" w:rsidRDefault="00195FF3" w:rsidP="00195FF3">
      <w:pPr>
        <w:keepLines/>
      </w:pPr>
      <w:r w:rsidRPr="00195FF3">
        <w:rPr>
          <w:b/>
        </w:rPr>
        <w:t>3. Australian Department of Foreign Affairs and Trade,</w:t>
      </w:r>
      <w:r w:rsidRPr="00195FF3">
        <w:t xml:space="preserve"> </w:t>
      </w:r>
      <w:r w:rsidRPr="00195FF3">
        <w:rPr>
          <w:i/>
        </w:rPr>
        <w:t>Using UAE CEPA to Do Business with the United Arab Emirates</w:t>
      </w:r>
      <w:r w:rsidRPr="00195FF3">
        <w:t xml:space="preserve">, undated. </w:t>
      </w:r>
      <w:hyperlink r:id="rId96">
        <w:r w:rsidRPr="00195FF3">
          <w:rPr>
            <w:u w:val="single"/>
          </w:rPr>
          <w:t>Source link</w:t>
        </w:r>
      </w:hyperlink>
    </w:p>
    <w:p w14:paraId="427A6FC9" w14:textId="77777777" w:rsidR="00195FF3" w:rsidRPr="00195FF3" w:rsidRDefault="00195FF3" w:rsidP="00195FF3">
      <w:pPr>
        <w:keepLines/>
      </w:pPr>
      <w:r w:rsidRPr="00195FF3">
        <w:rPr>
          <w:b/>
        </w:rPr>
        <w:t>4. Emirates Global Aluminium,</w:t>
      </w:r>
      <w:r w:rsidRPr="00195FF3">
        <w:t xml:space="preserve"> </w:t>
      </w:r>
      <w:r w:rsidRPr="00195FF3">
        <w:rPr>
          <w:i/>
        </w:rPr>
        <w:t>EGA Delivers Strong Underlying Financial Performance and Record Sales in 2025</w:t>
      </w:r>
      <w:r w:rsidRPr="00195FF3">
        <w:t xml:space="preserve">, 25 February 2026. </w:t>
      </w:r>
      <w:hyperlink r:id="rId97">
        <w:r w:rsidRPr="00195FF3">
          <w:rPr>
            <w:u w:val="single"/>
          </w:rPr>
          <w:t>Source link</w:t>
        </w:r>
      </w:hyperlink>
    </w:p>
    <w:p w14:paraId="6E1F55D2" w14:textId="77777777" w:rsidR="00195FF3" w:rsidRPr="00195FF3" w:rsidRDefault="00195FF3" w:rsidP="00195FF3">
      <w:pPr>
        <w:keepLines/>
      </w:pPr>
      <w:r w:rsidRPr="00195FF3">
        <w:rPr>
          <w:b/>
        </w:rPr>
        <w:t>5. Emirates Global Aluminium,</w:t>
      </w:r>
      <w:r w:rsidRPr="00195FF3">
        <w:t xml:space="preserve"> </w:t>
      </w:r>
      <w:r w:rsidRPr="00195FF3">
        <w:rPr>
          <w:i/>
        </w:rPr>
        <w:t>Sustainability Reports</w:t>
      </w:r>
      <w:r w:rsidRPr="00195FF3">
        <w:t xml:space="preserve">, 2026. </w:t>
      </w:r>
      <w:hyperlink r:id="rId98">
        <w:r w:rsidRPr="00195FF3">
          <w:rPr>
            <w:u w:val="single"/>
          </w:rPr>
          <w:t>Source link</w:t>
        </w:r>
      </w:hyperlink>
    </w:p>
    <w:p w14:paraId="432C5765" w14:textId="77777777" w:rsidR="00195FF3" w:rsidRPr="00195FF3" w:rsidRDefault="00195FF3" w:rsidP="00195FF3">
      <w:pPr>
        <w:keepLines/>
      </w:pPr>
      <w:r w:rsidRPr="00195FF3">
        <w:rPr>
          <w:b/>
        </w:rPr>
        <w:t>6. Emirates Global Aluminium,</w:t>
      </w:r>
      <w:r w:rsidRPr="00195FF3">
        <w:t xml:space="preserve"> </w:t>
      </w:r>
      <w:r w:rsidRPr="00195FF3">
        <w:rPr>
          <w:i/>
        </w:rPr>
        <w:t>Our Commercial Success and Local Procurement</w:t>
      </w:r>
      <w:r w:rsidRPr="00195FF3">
        <w:t xml:space="preserve">, undated. </w:t>
      </w:r>
      <w:hyperlink r:id="rId99">
        <w:r w:rsidRPr="00195FF3">
          <w:rPr>
            <w:u w:val="single"/>
          </w:rPr>
          <w:t>Source link</w:t>
        </w:r>
      </w:hyperlink>
    </w:p>
    <w:p w14:paraId="17218C25" w14:textId="77777777" w:rsidR="00195FF3" w:rsidRPr="00195FF3" w:rsidRDefault="00195FF3" w:rsidP="00195FF3">
      <w:pPr>
        <w:keepLines/>
      </w:pPr>
      <w:r w:rsidRPr="00195FF3">
        <w:rPr>
          <w:b/>
        </w:rPr>
        <w:t>7. EMSTEEL,</w:t>
      </w:r>
      <w:r w:rsidRPr="00195FF3">
        <w:t xml:space="preserve"> </w:t>
      </w:r>
      <w:r w:rsidRPr="00195FF3">
        <w:rPr>
          <w:i/>
        </w:rPr>
        <w:t>Annual Report 2025</w:t>
      </w:r>
      <w:r w:rsidRPr="00195FF3">
        <w:t xml:space="preserve">, 2026. </w:t>
      </w:r>
      <w:hyperlink r:id="rId100">
        <w:r w:rsidRPr="00195FF3">
          <w:rPr>
            <w:u w:val="single"/>
          </w:rPr>
          <w:t>Source link</w:t>
        </w:r>
      </w:hyperlink>
    </w:p>
    <w:p w14:paraId="7D0A21BB" w14:textId="77777777" w:rsidR="00195FF3" w:rsidRPr="00195FF3" w:rsidRDefault="00195FF3" w:rsidP="00195FF3">
      <w:pPr>
        <w:keepLines/>
      </w:pPr>
      <w:r w:rsidRPr="00195FF3">
        <w:rPr>
          <w:b/>
        </w:rPr>
        <w:t>8. UAE Ministry of Finance,</w:t>
      </w:r>
      <w:r w:rsidRPr="00195FF3">
        <w:t xml:space="preserve"> </w:t>
      </w:r>
      <w:r w:rsidRPr="00195FF3">
        <w:rPr>
          <w:i/>
        </w:rPr>
        <w:t>Federal Supplier Register</w:t>
      </w:r>
      <w:r w:rsidRPr="00195FF3">
        <w:t xml:space="preserve">, undated. </w:t>
      </w:r>
      <w:hyperlink r:id="rId101">
        <w:r w:rsidRPr="00195FF3">
          <w:rPr>
            <w:u w:val="single"/>
          </w:rPr>
          <w:t>Source link</w:t>
        </w:r>
      </w:hyperlink>
    </w:p>
    <w:p w14:paraId="08BD0F47" w14:textId="77777777" w:rsidR="00195FF3" w:rsidRPr="00195FF3" w:rsidRDefault="00195FF3" w:rsidP="00195FF3">
      <w:pPr>
        <w:keepLines/>
      </w:pPr>
      <w:r w:rsidRPr="00195FF3">
        <w:rPr>
          <w:b/>
        </w:rPr>
        <w:t>9. UAE Ministry of Industry and Advanced Technology,</w:t>
      </w:r>
      <w:r w:rsidRPr="00195FF3">
        <w:t xml:space="preserve"> </w:t>
      </w:r>
      <w:r w:rsidRPr="00195FF3">
        <w:rPr>
          <w:i/>
        </w:rPr>
        <w:t>National In-Country Value Program</w:t>
      </w:r>
      <w:r w:rsidRPr="00195FF3">
        <w:t xml:space="preserve">, undated. </w:t>
      </w:r>
      <w:hyperlink r:id="rId102">
        <w:r w:rsidRPr="00195FF3">
          <w:rPr>
            <w:u w:val="single"/>
          </w:rPr>
          <w:t>Source link</w:t>
        </w:r>
      </w:hyperlink>
    </w:p>
    <w:p w14:paraId="57FFD282" w14:textId="77777777" w:rsidR="00195FF3" w:rsidRPr="00195FF3" w:rsidRDefault="00195FF3" w:rsidP="00195FF3">
      <w:pPr>
        <w:keepLines/>
      </w:pPr>
      <w:r w:rsidRPr="00195FF3">
        <w:rPr>
          <w:b/>
        </w:rPr>
        <w:t>10. International Resources Holding,</w:t>
      </w:r>
      <w:r w:rsidRPr="00195FF3">
        <w:t xml:space="preserve"> </w:t>
      </w:r>
      <w:r w:rsidRPr="00195FF3">
        <w:rPr>
          <w:i/>
        </w:rPr>
        <w:t>About IRH</w:t>
      </w:r>
      <w:r w:rsidRPr="00195FF3">
        <w:t xml:space="preserve">, undated. </w:t>
      </w:r>
      <w:hyperlink r:id="rId103">
        <w:r w:rsidRPr="00195FF3">
          <w:rPr>
            <w:u w:val="single"/>
          </w:rPr>
          <w:t>Source link</w:t>
        </w:r>
      </w:hyperlink>
    </w:p>
    <w:p w14:paraId="0C3BBC84" w14:textId="77777777" w:rsidR="00195FF3" w:rsidRPr="00195FF3" w:rsidRDefault="00195FF3" w:rsidP="00195FF3">
      <w:pPr>
        <w:keepLines/>
      </w:pPr>
      <w:r w:rsidRPr="00195FF3">
        <w:t xml:space="preserve">11. </w:t>
      </w:r>
      <w:r w:rsidRPr="00195FF3">
        <w:rPr>
          <w:b/>
        </w:rPr>
        <w:t>Australian Department of Foreign Affairs and Trade,</w:t>
      </w:r>
      <w:r w:rsidRPr="00195FF3">
        <w:t xml:space="preserve"> </w:t>
      </w:r>
      <w:r w:rsidRPr="00195FF3">
        <w:rPr>
          <w:i/>
        </w:rPr>
        <w:t>United Arab Emirates Country Brief</w:t>
      </w:r>
      <w:r w:rsidRPr="00195FF3">
        <w:t xml:space="preserve">, updated 2026. </w:t>
      </w:r>
      <w:hyperlink r:id="rId104">
        <w:r w:rsidRPr="00195FF3">
          <w:rPr>
            <w:u w:val="single"/>
          </w:rPr>
          <w:t>Source link</w:t>
        </w:r>
      </w:hyperlink>
    </w:p>
    <w:p w14:paraId="6ABBCE05" w14:textId="77777777" w:rsidR="00195FF3" w:rsidRPr="00195FF3" w:rsidRDefault="00195FF3" w:rsidP="00195FF3">
      <w:pPr>
        <w:keepLines/>
      </w:pPr>
      <w:r w:rsidRPr="00195FF3">
        <w:lastRenderedPageBreak/>
        <w:t xml:space="preserve">12. </w:t>
      </w:r>
      <w:r w:rsidRPr="00195FF3">
        <w:rPr>
          <w:b/>
        </w:rPr>
        <w:t>Emirates Global Aluminium,</w:t>
      </w:r>
      <w:r w:rsidRPr="00195FF3">
        <w:t xml:space="preserve"> </w:t>
      </w:r>
      <w:r w:rsidRPr="00195FF3">
        <w:rPr>
          <w:i/>
        </w:rPr>
        <w:t>Al Taweelah Smelter Restoration Reaches 25% Completion Milestone</w:t>
      </w:r>
      <w:r w:rsidRPr="00195FF3">
        <w:t xml:space="preserve">, 26 August 2026. </w:t>
      </w:r>
      <w:hyperlink r:id="rId105">
        <w:r w:rsidRPr="00195FF3">
          <w:rPr>
            <w:u w:val="single"/>
          </w:rPr>
          <w:t>Source link</w:t>
        </w:r>
      </w:hyperlink>
    </w:p>
    <w:p w14:paraId="41DB8D41" w14:textId="77777777" w:rsidR="00195FF3" w:rsidRPr="00195FF3" w:rsidRDefault="00195FF3" w:rsidP="00195FF3">
      <w:pPr>
        <w:keepLines/>
      </w:pPr>
      <w:r w:rsidRPr="00195FF3">
        <w:t xml:space="preserve">13. </w:t>
      </w:r>
      <w:r w:rsidRPr="00195FF3">
        <w:rPr>
          <w:b/>
        </w:rPr>
        <w:t>Emirates Global Aluminium,</w:t>
      </w:r>
      <w:r w:rsidRPr="00195FF3">
        <w:t xml:space="preserve"> </w:t>
      </w:r>
      <w:r w:rsidRPr="00195FF3">
        <w:rPr>
          <w:i/>
        </w:rPr>
        <w:t>EGA Delivers Resilient H1 2026 Performance, Maintaining Operational and Supply Chain Continuity amid Regional Disruption</w:t>
      </w:r>
      <w:r w:rsidRPr="00195FF3">
        <w:t xml:space="preserve">, 12 August 2026. </w:t>
      </w:r>
      <w:hyperlink r:id="rId106">
        <w:r w:rsidRPr="00195FF3">
          <w:rPr>
            <w:u w:val="single"/>
          </w:rPr>
          <w:t>Source link</w:t>
        </w:r>
      </w:hyperlink>
    </w:p>
    <w:p w14:paraId="1EC6BE9F" w14:textId="77777777" w:rsidR="00195FF3" w:rsidRPr="00195FF3" w:rsidRDefault="00195FF3" w:rsidP="00195FF3">
      <w:pPr>
        <w:keepLines/>
      </w:pPr>
      <w:r w:rsidRPr="00195FF3">
        <w:t xml:space="preserve">14. </w:t>
      </w:r>
      <w:r w:rsidRPr="00195FF3">
        <w:rPr>
          <w:b/>
        </w:rPr>
        <w:t>Emirates Global Aluminium,</w:t>
      </w:r>
      <w:r w:rsidRPr="00195FF3">
        <w:t xml:space="preserve"> </w:t>
      </w:r>
      <w:r w:rsidRPr="00195FF3">
        <w:rPr>
          <w:i/>
        </w:rPr>
        <w:t>EGA and Sunstone to Begin Construction of Anode Manufacturing Plant in UAE in 2026</w:t>
      </w:r>
      <w:r w:rsidRPr="00195FF3">
        <w:t xml:space="preserve">, 16 December 2025. </w:t>
      </w:r>
      <w:hyperlink r:id="rId107">
        <w:r w:rsidRPr="00195FF3">
          <w:rPr>
            <w:u w:val="single"/>
          </w:rPr>
          <w:t>Source link</w:t>
        </w:r>
      </w:hyperlink>
    </w:p>
    <w:p w14:paraId="498BA297" w14:textId="77777777" w:rsidR="00195FF3" w:rsidRPr="00195FF3" w:rsidRDefault="00195FF3" w:rsidP="00195FF3">
      <w:pPr>
        <w:keepLines/>
      </w:pPr>
      <w:r w:rsidRPr="00195FF3">
        <w:t xml:space="preserve">15. </w:t>
      </w:r>
      <w:r w:rsidRPr="00195FF3">
        <w:rPr>
          <w:b/>
        </w:rPr>
        <w:t>International Resources Holding,</w:t>
      </w:r>
      <w:r w:rsidRPr="00195FF3">
        <w:t xml:space="preserve"> </w:t>
      </w:r>
      <w:r w:rsidRPr="00195FF3">
        <w:rPr>
          <w:i/>
        </w:rPr>
        <w:t>UAE-Backed IRH Investment Drives Revival of Zambia’s Mopani Copper Mines</w:t>
      </w:r>
      <w:r w:rsidRPr="00195FF3">
        <w:t xml:space="preserve">, 21 July 2025. </w:t>
      </w:r>
      <w:hyperlink r:id="rId108">
        <w:r w:rsidRPr="00195FF3">
          <w:rPr>
            <w:u w:val="single"/>
          </w:rPr>
          <w:t>Source link</w:t>
        </w:r>
      </w:hyperlink>
    </w:p>
    <w:p w14:paraId="0CE969FA" w14:textId="77777777" w:rsidR="00195FF3" w:rsidRPr="00195FF3" w:rsidRDefault="00195FF3" w:rsidP="00195FF3">
      <w:pPr>
        <w:keepLines/>
      </w:pPr>
      <w:r w:rsidRPr="00195FF3">
        <w:t xml:space="preserve">16. </w:t>
      </w:r>
      <w:r w:rsidRPr="00195FF3">
        <w:rPr>
          <w:b/>
        </w:rPr>
        <w:t>Ras Al Khaimah Investment and Development Office,</w:t>
      </w:r>
      <w:r w:rsidRPr="00195FF3">
        <w:t xml:space="preserve"> </w:t>
      </w:r>
      <w:r w:rsidRPr="00195FF3">
        <w:rPr>
          <w:i/>
        </w:rPr>
        <w:t>Stevin Rock Portfolio Profile</w:t>
      </w:r>
      <w:r w:rsidRPr="00195FF3">
        <w:t xml:space="preserve">, undated. </w:t>
      </w:r>
      <w:hyperlink r:id="rId109">
        <w:r w:rsidRPr="00195FF3">
          <w:rPr>
            <w:u w:val="single"/>
          </w:rPr>
          <w:t>Source link</w:t>
        </w:r>
      </w:hyperlink>
    </w:p>
    <w:p w14:paraId="71935D9B" w14:textId="77777777" w:rsidR="00195FF3" w:rsidRPr="00195FF3" w:rsidRDefault="00195FF3" w:rsidP="00195FF3">
      <w:pPr>
        <w:keepLines/>
      </w:pPr>
      <w:r w:rsidRPr="00195FF3">
        <w:t xml:space="preserve">17. </w:t>
      </w:r>
      <w:r w:rsidRPr="00195FF3">
        <w:rPr>
          <w:b/>
        </w:rPr>
        <w:t>Emirates Global Aluminium,</w:t>
      </w:r>
      <w:r w:rsidRPr="00195FF3">
        <w:t xml:space="preserve"> </w:t>
      </w:r>
      <w:r w:rsidRPr="00195FF3">
        <w:rPr>
          <w:i/>
        </w:rPr>
        <w:t>Tawazun Council, RTX and EGA Sign MOU to Explore Gallium Production in Abu Dhabi</w:t>
      </w:r>
      <w:r w:rsidRPr="00195FF3">
        <w:t xml:space="preserve">, 16 May 2025. </w:t>
      </w:r>
      <w:hyperlink r:id="rId110">
        <w:r w:rsidRPr="00195FF3">
          <w:rPr>
            <w:u w:val="single"/>
          </w:rPr>
          <w:t>Source link</w:t>
        </w:r>
      </w:hyperlink>
    </w:p>
    <w:p w14:paraId="3D7AEF95" w14:textId="77777777" w:rsidR="00195FF3" w:rsidRPr="00195FF3" w:rsidRDefault="00195FF3" w:rsidP="00195FF3">
      <w:pPr>
        <w:keepLines/>
      </w:pPr>
      <w:r w:rsidRPr="00195FF3">
        <w:t xml:space="preserve">18. </w:t>
      </w:r>
      <w:r w:rsidRPr="00195FF3">
        <w:rPr>
          <w:b/>
        </w:rPr>
        <w:t>Worley,</w:t>
      </w:r>
      <w:r w:rsidRPr="00195FF3">
        <w:t xml:space="preserve"> </w:t>
      </w:r>
      <w:r w:rsidRPr="00195FF3">
        <w:rPr>
          <w:i/>
        </w:rPr>
        <w:t>Worley in the United Arab Emirates</w:t>
      </w:r>
      <w:r w:rsidRPr="00195FF3">
        <w:t xml:space="preserve">, undated. </w:t>
      </w:r>
      <w:hyperlink r:id="rId111">
        <w:r w:rsidRPr="00195FF3">
          <w:rPr>
            <w:u w:val="single"/>
          </w:rPr>
          <w:t>Source link</w:t>
        </w:r>
      </w:hyperlink>
    </w:p>
    <w:p w14:paraId="3045ECBD" w14:textId="77777777" w:rsidR="00195FF3" w:rsidRPr="00195FF3" w:rsidRDefault="00195FF3" w:rsidP="00195FF3">
      <w:pPr>
        <w:keepLines/>
      </w:pPr>
      <w:r w:rsidRPr="00195FF3">
        <w:t xml:space="preserve">19. </w:t>
      </w:r>
      <w:r w:rsidRPr="00195FF3">
        <w:rPr>
          <w:b/>
        </w:rPr>
        <w:t>DP World,</w:t>
      </w:r>
      <w:r w:rsidRPr="00195FF3">
        <w:t xml:space="preserve"> </w:t>
      </w:r>
      <w:r w:rsidRPr="00195FF3">
        <w:rPr>
          <w:i/>
        </w:rPr>
        <w:t>Jebel Ali Port</w:t>
      </w:r>
      <w:r w:rsidRPr="00195FF3">
        <w:t xml:space="preserve">, undated. </w:t>
      </w:r>
      <w:hyperlink r:id="rId112">
        <w:r w:rsidRPr="00195FF3">
          <w:rPr>
            <w:u w:val="single"/>
          </w:rPr>
          <w:t>Source link</w:t>
        </w:r>
      </w:hyperlink>
    </w:p>
    <w:p w14:paraId="0597DEB0" w14:textId="77777777" w:rsidR="00195FF3" w:rsidRPr="00195FF3" w:rsidRDefault="00195FF3" w:rsidP="00195FF3">
      <w:pPr>
        <w:keepLines/>
      </w:pPr>
      <w:r w:rsidRPr="00195FF3">
        <w:t xml:space="preserve">20. </w:t>
      </w:r>
      <w:r w:rsidRPr="00195FF3">
        <w:rPr>
          <w:b/>
        </w:rPr>
        <w:t>Gulf Cooperation Council Secretariat,</w:t>
      </w:r>
      <w:r w:rsidRPr="00195FF3">
        <w:t xml:space="preserve"> </w:t>
      </w:r>
      <w:r w:rsidRPr="00195FF3">
        <w:rPr>
          <w:i/>
        </w:rPr>
        <w:t>Finalising Customs Union and Common Market Requirements Remains a Top Priority</w:t>
      </w:r>
      <w:r w:rsidRPr="00195FF3">
        <w:t xml:space="preserve">, 11 February 2025. </w:t>
      </w:r>
      <w:hyperlink r:id="rId113">
        <w:r w:rsidRPr="00195FF3">
          <w:rPr>
            <w:u w:val="single"/>
          </w:rPr>
          <w:t>Source link</w:t>
        </w:r>
      </w:hyperlink>
    </w:p>
    <w:p w14:paraId="2E46B91D" w14:textId="77777777" w:rsidR="00195FF3" w:rsidRPr="00195FF3" w:rsidRDefault="00195FF3" w:rsidP="00195FF3">
      <w:pPr>
        <w:keepLines/>
      </w:pPr>
      <w:r w:rsidRPr="00195FF3">
        <w:t xml:space="preserve">21. </w:t>
      </w:r>
      <w:r w:rsidRPr="00195FF3">
        <w:rPr>
          <w:b/>
        </w:rPr>
        <w:t>Dubai Multi Commodities Centre,</w:t>
      </w:r>
      <w:r w:rsidRPr="00195FF3">
        <w:t xml:space="preserve"> </w:t>
      </w:r>
      <w:r w:rsidRPr="00195FF3">
        <w:rPr>
          <w:i/>
        </w:rPr>
        <w:t>The Differences Between Mainland and Free Zone Companies in Dubai</w:t>
      </w:r>
      <w:r w:rsidRPr="00195FF3">
        <w:t xml:space="preserve">, 25 August 2026. </w:t>
      </w:r>
      <w:hyperlink r:id="rId114">
        <w:r w:rsidRPr="00195FF3">
          <w:rPr>
            <w:u w:val="single"/>
          </w:rPr>
          <w:t>Source link</w:t>
        </w:r>
      </w:hyperlink>
    </w:p>
    <w:p w14:paraId="6A3869B2" w14:textId="77777777" w:rsidR="00195FF3" w:rsidRPr="00195FF3" w:rsidRDefault="00195FF3" w:rsidP="00195FF3">
      <w:pPr>
        <w:keepLines/>
      </w:pPr>
      <w:r w:rsidRPr="00195FF3">
        <w:t xml:space="preserve">22. </w:t>
      </w:r>
      <w:r w:rsidRPr="00195FF3">
        <w:rPr>
          <w:b/>
        </w:rPr>
        <w:t>United Arab Emirates Government,</w:t>
      </w:r>
      <w:r w:rsidRPr="00195FF3">
        <w:t xml:space="preserve"> </w:t>
      </w:r>
      <w:r w:rsidRPr="00195FF3">
        <w:rPr>
          <w:i/>
        </w:rPr>
        <w:t>Federal Law No. 3 of 2022 Regulating Commercial Agencies</w:t>
      </w:r>
      <w:r w:rsidRPr="00195FF3">
        <w:t xml:space="preserve">, undated. </w:t>
      </w:r>
      <w:hyperlink r:id="rId115">
        <w:r w:rsidRPr="00195FF3">
          <w:rPr>
            <w:u w:val="single"/>
          </w:rPr>
          <w:t>Source link</w:t>
        </w:r>
      </w:hyperlink>
    </w:p>
    <w:p w14:paraId="113BBB8A" w14:textId="77777777" w:rsidR="00195FF3" w:rsidRPr="00195FF3" w:rsidRDefault="00195FF3" w:rsidP="00195FF3">
      <w:pPr>
        <w:keepLines/>
      </w:pPr>
      <w:r w:rsidRPr="00195FF3">
        <w:t xml:space="preserve">23. </w:t>
      </w:r>
      <w:r w:rsidRPr="00195FF3">
        <w:rPr>
          <w:b/>
        </w:rPr>
        <w:t>Dubai Multi Commodities Centre,</w:t>
      </w:r>
      <w:r w:rsidRPr="00195FF3">
        <w:t xml:space="preserve"> </w:t>
      </w:r>
      <w:r w:rsidRPr="00195FF3">
        <w:rPr>
          <w:i/>
        </w:rPr>
        <w:t>How to Set Up a Business in Dubai Remotely with DMCC</w:t>
      </w:r>
      <w:r w:rsidRPr="00195FF3">
        <w:t xml:space="preserve">, undated. </w:t>
      </w:r>
      <w:hyperlink r:id="rId116">
        <w:r w:rsidRPr="00195FF3">
          <w:rPr>
            <w:u w:val="single"/>
          </w:rPr>
          <w:t>Source link</w:t>
        </w:r>
      </w:hyperlink>
    </w:p>
    <w:p w14:paraId="3B9669DC" w14:textId="77777777" w:rsidR="00195FF3" w:rsidRPr="00195FF3" w:rsidRDefault="00195FF3" w:rsidP="00195FF3">
      <w:pPr>
        <w:keepLines/>
      </w:pPr>
      <w:r w:rsidRPr="00195FF3">
        <w:t xml:space="preserve">24. </w:t>
      </w:r>
      <w:r w:rsidRPr="00195FF3">
        <w:rPr>
          <w:b/>
        </w:rPr>
        <w:t>Dubai Multi Commodities Centre,</w:t>
      </w:r>
      <w:r w:rsidRPr="00195FF3">
        <w:t xml:space="preserve"> </w:t>
      </w:r>
      <w:r w:rsidRPr="00195FF3">
        <w:rPr>
          <w:i/>
        </w:rPr>
        <w:t>How Much Does It Cost to Set Up a Company in Dubai?</w:t>
      </w:r>
      <w:r w:rsidRPr="00195FF3">
        <w:t xml:space="preserve">, 12 February 2026. </w:t>
      </w:r>
      <w:hyperlink r:id="rId117">
        <w:r w:rsidRPr="00195FF3">
          <w:rPr>
            <w:u w:val="single"/>
          </w:rPr>
          <w:t>Source link</w:t>
        </w:r>
      </w:hyperlink>
    </w:p>
    <w:p w14:paraId="1467F6C4" w14:textId="77777777" w:rsidR="00195FF3" w:rsidRPr="00195FF3" w:rsidRDefault="00195FF3" w:rsidP="00195FF3">
      <w:pPr>
        <w:keepLines/>
      </w:pPr>
      <w:r w:rsidRPr="00195FF3">
        <w:t xml:space="preserve">25. </w:t>
      </w:r>
      <w:r w:rsidRPr="00195FF3">
        <w:rPr>
          <w:b/>
        </w:rPr>
        <w:t>United Arab Emirates Ministry of Finance,</w:t>
      </w:r>
      <w:r w:rsidRPr="00195FF3">
        <w:t xml:space="preserve"> </w:t>
      </w:r>
      <w:r w:rsidRPr="00195FF3">
        <w:rPr>
          <w:i/>
        </w:rPr>
        <w:t>Corporate Tax</w:t>
      </w:r>
      <w:r w:rsidRPr="00195FF3">
        <w:t xml:space="preserve">, undated. </w:t>
      </w:r>
      <w:hyperlink r:id="rId118">
        <w:r w:rsidRPr="00195FF3">
          <w:rPr>
            <w:u w:val="single"/>
          </w:rPr>
          <w:t>Source link</w:t>
        </w:r>
      </w:hyperlink>
    </w:p>
    <w:p w14:paraId="73726882" w14:textId="77777777" w:rsidR="00195FF3" w:rsidRPr="00195FF3" w:rsidRDefault="00195FF3" w:rsidP="00195FF3">
      <w:pPr>
        <w:keepLines/>
      </w:pPr>
      <w:r w:rsidRPr="00195FF3">
        <w:t xml:space="preserve">26. </w:t>
      </w:r>
      <w:r w:rsidRPr="00195FF3">
        <w:rPr>
          <w:b/>
        </w:rPr>
        <w:t>United Arab Emirates Federal Tax Authority,</w:t>
      </w:r>
      <w:r w:rsidRPr="00195FF3">
        <w:t xml:space="preserve"> </w:t>
      </w:r>
      <w:r w:rsidRPr="00195FF3">
        <w:rPr>
          <w:i/>
        </w:rPr>
        <w:t>Registration for VAT</w:t>
      </w:r>
      <w:r w:rsidRPr="00195FF3">
        <w:t xml:space="preserve">, updated 6 April 2026. </w:t>
      </w:r>
      <w:hyperlink r:id="rId119">
        <w:r w:rsidRPr="00195FF3">
          <w:rPr>
            <w:u w:val="single"/>
          </w:rPr>
          <w:t>Source link</w:t>
        </w:r>
      </w:hyperlink>
    </w:p>
    <w:p w14:paraId="072042FC" w14:textId="77777777" w:rsidR="00195FF3" w:rsidRPr="00195FF3" w:rsidRDefault="00195FF3" w:rsidP="00195FF3">
      <w:pPr>
        <w:keepLines/>
      </w:pPr>
      <w:r w:rsidRPr="00195FF3">
        <w:t xml:space="preserve">27. </w:t>
      </w:r>
      <w:r w:rsidRPr="00195FF3">
        <w:rPr>
          <w:b/>
        </w:rPr>
        <w:t>United Arab Emirates Ministry of Industry and Advanced Technology,</w:t>
      </w:r>
      <w:r w:rsidRPr="00195FF3">
        <w:t xml:space="preserve"> </w:t>
      </w:r>
      <w:r w:rsidRPr="00195FF3">
        <w:rPr>
          <w:i/>
        </w:rPr>
        <w:t>National In-Country Value Program</w:t>
      </w:r>
      <w:r w:rsidRPr="00195FF3">
        <w:t xml:space="preserve">, undated. </w:t>
      </w:r>
      <w:hyperlink r:id="rId120">
        <w:r w:rsidRPr="00195FF3">
          <w:rPr>
            <w:u w:val="single"/>
          </w:rPr>
          <w:t>Source link</w:t>
        </w:r>
      </w:hyperlink>
    </w:p>
    <w:p w14:paraId="7BB6657B" w14:textId="77777777" w:rsidR="00195FF3" w:rsidRPr="00195FF3" w:rsidRDefault="00195FF3" w:rsidP="00195FF3">
      <w:pPr>
        <w:keepLines/>
      </w:pPr>
      <w:r w:rsidRPr="00195FF3">
        <w:t xml:space="preserve">28. </w:t>
      </w:r>
      <w:r w:rsidRPr="00195FF3">
        <w:rPr>
          <w:b/>
        </w:rPr>
        <w:t>Dubai World Trade Centre,</w:t>
      </w:r>
      <w:r w:rsidRPr="00195FF3">
        <w:t xml:space="preserve"> </w:t>
      </w:r>
      <w:r w:rsidRPr="00195FF3">
        <w:rPr>
          <w:i/>
        </w:rPr>
        <w:t>The Mining Show 2026</w:t>
      </w:r>
      <w:r w:rsidRPr="00195FF3">
        <w:t xml:space="preserve">, undated. </w:t>
      </w:r>
      <w:hyperlink r:id="rId121">
        <w:r w:rsidRPr="00195FF3">
          <w:rPr>
            <w:u w:val="single"/>
          </w:rPr>
          <w:t>Source link</w:t>
        </w:r>
      </w:hyperlink>
    </w:p>
    <w:p w14:paraId="1F6018C5" w14:textId="77777777" w:rsidR="00195FF3" w:rsidRPr="00195FF3" w:rsidRDefault="00195FF3" w:rsidP="00195FF3">
      <w:pPr>
        <w:keepLines/>
      </w:pPr>
      <w:r w:rsidRPr="00195FF3">
        <w:t xml:space="preserve">29. </w:t>
      </w:r>
      <w:r w:rsidRPr="00195FF3">
        <w:rPr>
          <w:b/>
        </w:rPr>
        <w:t>Dubai Chambers,</w:t>
      </w:r>
      <w:r w:rsidRPr="00195FF3">
        <w:t xml:space="preserve"> </w:t>
      </w:r>
      <w:r w:rsidRPr="00195FF3">
        <w:rPr>
          <w:i/>
        </w:rPr>
        <w:t>Services and Business Hub</w:t>
      </w:r>
      <w:r w:rsidRPr="00195FF3">
        <w:t xml:space="preserve">, undated. </w:t>
      </w:r>
      <w:hyperlink r:id="rId122">
        <w:r w:rsidRPr="00195FF3">
          <w:rPr>
            <w:u w:val="single"/>
          </w:rPr>
          <w:t>Source link</w:t>
        </w:r>
      </w:hyperlink>
    </w:p>
    <w:p w14:paraId="44A3056C" w14:textId="77777777" w:rsidR="00195FF3" w:rsidRPr="00195FF3" w:rsidRDefault="00195FF3" w:rsidP="00195FF3">
      <w:pPr>
        <w:keepLines/>
      </w:pPr>
      <w:r w:rsidRPr="00195FF3">
        <w:t xml:space="preserve">30. </w:t>
      </w:r>
      <w:r w:rsidRPr="00195FF3">
        <w:rPr>
          <w:b/>
        </w:rPr>
        <w:t>Australian Business Council Dubai,</w:t>
      </w:r>
      <w:r w:rsidRPr="00195FF3">
        <w:t xml:space="preserve"> </w:t>
      </w:r>
      <w:r w:rsidRPr="00195FF3">
        <w:rPr>
          <w:i/>
        </w:rPr>
        <w:t>Australian Business Council Dubai</w:t>
      </w:r>
      <w:r w:rsidRPr="00195FF3">
        <w:t xml:space="preserve">, undated. </w:t>
      </w:r>
      <w:hyperlink r:id="rId123">
        <w:r w:rsidRPr="00195FF3">
          <w:rPr>
            <w:u w:val="single"/>
          </w:rPr>
          <w:t>Source link</w:t>
        </w:r>
      </w:hyperlink>
    </w:p>
    <w:p w14:paraId="3D13E17E" w14:textId="77777777" w:rsidR="00195FF3" w:rsidRPr="00195FF3" w:rsidRDefault="00195FF3" w:rsidP="00195FF3">
      <w:pPr>
        <w:keepLines/>
      </w:pPr>
      <w:r w:rsidRPr="00195FF3">
        <w:t xml:space="preserve">31. </w:t>
      </w:r>
      <w:r w:rsidRPr="00195FF3">
        <w:rPr>
          <w:b/>
        </w:rPr>
        <w:t>Australia–UAE Business Council,</w:t>
      </w:r>
      <w:r w:rsidRPr="00195FF3">
        <w:t xml:space="preserve"> </w:t>
      </w:r>
      <w:r w:rsidRPr="00195FF3">
        <w:rPr>
          <w:i/>
        </w:rPr>
        <w:t>Australia–UAE Business Council</w:t>
      </w:r>
      <w:r w:rsidRPr="00195FF3">
        <w:t xml:space="preserve">, undated. </w:t>
      </w:r>
      <w:hyperlink r:id="rId124">
        <w:r w:rsidRPr="00195FF3">
          <w:rPr>
            <w:u w:val="single"/>
          </w:rPr>
          <w:t>Source link</w:t>
        </w:r>
      </w:hyperlink>
    </w:p>
    <w:p w14:paraId="3EBE6FC5" w14:textId="77777777" w:rsidR="00195FF3" w:rsidRPr="00195FF3" w:rsidRDefault="00195FF3" w:rsidP="00195FF3">
      <w:pPr>
        <w:keepLines/>
      </w:pPr>
      <w:r w:rsidRPr="00195FF3">
        <w:t xml:space="preserve">32. </w:t>
      </w:r>
      <w:r w:rsidRPr="00195FF3">
        <w:rPr>
          <w:b/>
        </w:rPr>
        <w:t>Altios,</w:t>
      </w:r>
      <w:r w:rsidRPr="00195FF3">
        <w:t xml:space="preserve"> </w:t>
      </w:r>
      <w:r w:rsidRPr="00195FF3">
        <w:rPr>
          <w:i/>
          <w:iCs/>
        </w:rPr>
        <w:t>personal communication and in-market guidance provided to Austmine by the Head of Corporate Services</w:t>
      </w:r>
      <w:r w:rsidRPr="00195FF3">
        <w:t>, September 2026.</w:t>
      </w:r>
    </w:p>
    <w:p w14:paraId="2AD2BFF8" w14:textId="77777777" w:rsidR="00195FF3" w:rsidRPr="00195FF3" w:rsidRDefault="00195FF3" w:rsidP="00195FF3">
      <w:pPr>
        <w:keepLines/>
      </w:pPr>
      <w:r w:rsidRPr="00195FF3">
        <w:t xml:space="preserve">33. </w:t>
      </w:r>
      <w:r w:rsidRPr="00195FF3">
        <w:rPr>
          <w:b/>
          <w:bCs/>
        </w:rPr>
        <w:t>CFlo</w:t>
      </w:r>
      <w:r w:rsidRPr="00195FF3">
        <w:t xml:space="preserve">, </w:t>
      </w:r>
      <w:r w:rsidRPr="00195FF3">
        <w:rPr>
          <w:i/>
          <w:iCs/>
        </w:rPr>
        <w:t>CFlo Secures Major Order from Stevin Rock in Ras Al Khaimah</w:t>
      </w:r>
      <w:r w:rsidRPr="00195FF3">
        <w:t xml:space="preserve">, 15 July 2026. </w:t>
      </w:r>
      <w:hyperlink r:id="rId125" w:history="1">
        <w:r w:rsidRPr="00195FF3">
          <w:rPr>
            <w:rStyle w:val="Hyperlink"/>
            <w:color w:val="auto"/>
          </w:rPr>
          <w:t>Source link</w:t>
        </w:r>
      </w:hyperlink>
    </w:p>
    <w:p w14:paraId="721B5A0B" w14:textId="77777777" w:rsidR="00195FF3" w:rsidRPr="00195FF3" w:rsidRDefault="00195FF3" w:rsidP="00195FF3">
      <w:pPr>
        <w:keepLines/>
      </w:pPr>
      <w:r w:rsidRPr="00195FF3">
        <w:t xml:space="preserve">34. </w:t>
      </w:r>
      <w:r w:rsidRPr="00195FF3">
        <w:rPr>
          <w:b/>
          <w:bCs/>
        </w:rPr>
        <w:t>Jebel Ali Free Zone</w:t>
      </w:r>
      <w:r w:rsidRPr="00195FF3">
        <w:t xml:space="preserve">, </w:t>
      </w:r>
      <w:r w:rsidRPr="00195FF3">
        <w:rPr>
          <w:i/>
          <w:iCs/>
        </w:rPr>
        <w:t>Warehouses to Suit Your Storage Needs</w:t>
      </w:r>
      <w:r w:rsidRPr="00195FF3">
        <w:t xml:space="preserve">, undated. </w:t>
      </w:r>
      <w:hyperlink r:id="rId126" w:history="1">
        <w:r w:rsidRPr="00195FF3">
          <w:rPr>
            <w:rStyle w:val="Hyperlink"/>
            <w:color w:val="auto"/>
          </w:rPr>
          <w:t>Source link</w:t>
        </w:r>
      </w:hyperlink>
    </w:p>
    <w:p w14:paraId="1E5A46BE" w14:textId="77777777" w:rsidR="00195FF3" w:rsidRPr="00195FF3" w:rsidRDefault="00195FF3" w:rsidP="00195FF3">
      <w:pPr>
        <w:keepLines/>
      </w:pPr>
      <w:r w:rsidRPr="00195FF3">
        <w:t xml:space="preserve">35. </w:t>
      </w:r>
      <w:r w:rsidRPr="00195FF3">
        <w:rPr>
          <w:b/>
          <w:bCs/>
        </w:rPr>
        <w:t xml:space="preserve">CDE, </w:t>
      </w:r>
      <w:r w:rsidRPr="00195FF3">
        <w:rPr>
          <w:i/>
          <w:iCs/>
        </w:rPr>
        <w:t>Stevin Rock Selects CDE Wash Plant for World’s Largest Limestone Quarry</w:t>
      </w:r>
      <w:r w:rsidRPr="00195FF3">
        <w:t xml:space="preserve">, 14 September 2026. </w:t>
      </w:r>
      <w:hyperlink r:id="rId127" w:history="1">
        <w:r w:rsidRPr="00195FF3">
          <w:rPr>
            <w:rStyle w:val="Hyperlink"/>
            <w:color w:val="auto"/>
          </w:rPr>
          <w:t>Source link</w:t>
        </w:r>
      </w:hyperlink>
    </w:p>
    <w:p w14:paraId="0858AC7C" w14:textId="77777777" w:rsidR="00195FF3" w:rsidRPr="00195FF3" w:rsidRDefault="00195FF3" w:rsidP="00195FF3">
      <w:pPr>
        <w:keepLines/>
      </w:pPr>
      <w:r w:rsidRPr="00195FF3">
        <w:t xml:space="preserve">36. Australian Department of Foreign Affairs and Trade, Australia–UAE CEPA Chapter 8 Technical Barriers to Trade, official text, 2024. </w:t>
      </w:r>
      <w:hyperlink r:id="rId128">
        <w:r w:rsidRPr="00195FF3">
          <w:t>Source link</w:t>
        </w:r>
      </w:hyperlink>
    </w:p>
    <w:p w14:paraId="7FAB756D" w14:textId="77777777" w:rsidR="00147F25" w:rsidRDefault="00147F25" w:rsidP="00147F25">
      <w:pPr>
        <w:pStyle w:val="Heading2"/>
      </w:pPr>
    </w:p>
    <w:p w14:paraId="4CDDD322" w14:textId="5A90CA3D" w:rsidR="00195FF3" w:rsidRPr="00195FF3" w:rsidRDefault="00195FF3" w:rsidP="00147F25">
      <w:pPr>
        <w:pStyle w:val="Heading2"/>
      </w:pPr>
      <w:r w:rsidRPr="00195FF3">
        <w:t>Morocco</w:t>
      </w:r>
    </w:p>
    <w:p w14:paraId="74F9A121" w14:textId="77777777" w:rsidR="00195FF3" w:rsidRPr="00195FF3" w:rsidRDefault="00195FF3" w:rsidP="00195FF3">
      <w:pPr>
        <w:keepLines/>
      </w:pPr>
      <w:r w:rsidRPr="00195FF3">
        <w:rPr>
          <w:b/>
        </w:rPr>
        <w:t>1. U.S. Geological Survey,</w:t>
      </w:r>
      <w:r w:rsidRPr="00195FF3">
        <w:t xml:space="preserve"> </w:t>
      </w:r>
      <w:r w:rsidRPr="00195FF3">
        <w:rPr>
          <w:i/>
        </w:rPr>
        <w:t>Mineral Commodity Summaries: Phosphate Rock</w:t>
      </w:r>
      <w:r w:rsidRPr="00195FF3">
        <w:t xml:space="preserve">, February 2026. </w:t>
      </w:r>
      <w:hyperlink r:id="rId129">
        <w:r w:rsidRPr="00195FF3">
          <w:rPr>
            <w:u w:val="single"/>
          </w:rPr>
          <w:t>Source link</w:t>
        </w:r>
      </w:hyperlink>
    </w:p>
    <w:p w14:paraId="27A770C4" w14:textId="77777777" w:rsidR="00195FF3" w:rsidRPr="00195FF3" w:rsidRDefault="00195FF3" w:rsidP="00195FF3">
      <w:pPr>
        <w:keepLines/>
      </w:pPr>
      <w:r w:rsidRPr="00195FF3">
        <w:rPr>
          <w:b/>
        </w:rPr>
        <w:t>2. OCP Group,</w:t>
      </w:r>
      <w:r w:rsidRPr="00195FF3">
        <w:t xml:space="preserve"> </w:t>
      </w:r>
      <w:r w:rsidRPr="00195FF3">
        <w:rPr>
          <w:i/>
        </w:rPr>
        <w:t>Our Strategy and Strategic Priorities</w:t>
      </w:r>
      <w:r w:rsidRPr="00195FF3">
        <w:t xml:space="preserve">, undated. </w:t>
      </w:r>
      <w:hyperlink r:id="rId130">
        <w:r w:rsidRPr="00195FF3">
          <w:rPr>
            <w:u w:val="single"/>
          </w:rPr>
          <w:t>Source link</w:t>
        </w:r>
      </w:hyperlink>
    </w:p>
    <w:p w14:paraId="5D9DD9C1" w14:textId="77777777" w:rsidR="00195FF3" w:rsidRPr="00195FF3" w:rsidRDefault="00195FF3" w:rsidP="00195FF3">
      <w:pPr>
        <w:keepLines/>
      </w:pPr>
      <w:r w:rsidRPr="00195FF3">
        <w:rPr>
          <w:b/>
        </w:rPr>
        <w:t>3. McKinsey and Company,</w:t>
      </w:r>
      <w:r w:rsidRPr="00195FF3">
        <w:t xml:space="preserve"> </w:t>
      </w:r>
      <w:r w:rsidRPr="00195FF3">
        <w:rPr>
          <w:i/>
        </w:rPr>
        <w:t>The 2040 fertilizer industry: How could industry trends affect demand?</w:t>
      </w:r>
      <w:r w:rsidRPr="00195FF3">
        <w:t xml:space="preserve">, 17 December 2024. </w:t>
      </w:r>
      <w:hyperlink r:id="rId131">
        <w:r w:rsidRPr="00195FF3">
          <w:rPr>
            <w:u w:val="single"/>
          </w:rPr>
          <w:t>Source link</w:t>
        </w:r>
      </w:hyperlink>
    </w:p>
    <w:p w14:paraId="0BB7B70E" w14:textId="77777777" w:rsidR="00195FF3" w:rsidRPr="00195FF3" w:rsidRDefault="00195FF3" w:rsidP="00195FF3">
      <w:pPr>
        <w:keepLines/>
      </w:pPr>
      <w:r w:rsidRPr="00195FF3">
        <w:rPr>
          <w:b/>
        </w:rPr>
        <w:t>4. Austrade,</w:t>
      </w:r>
      <w:r w:rsidRPr="00195FF3">
        <w:t xml:space="preserve"> </w:t>
      </w:r>
      <w:r w:rsidRPr="00195FF3">
        <w:rPr>
          <w:i/>
        </w:rPr>
        <w:t>Morocco’s mining transformation unearths METS opportunities</w:t>
      </w:r>
      <w:r w:rsidRPr="00195FF3">
        <w:t xml:space="preserve">, 13 June 2025. </w:t>
      </w:r>
      <w:hyperlink r:id="rId132">
        <w:r w:rsidRPr="00195FF3">
          <w:rPr>
            <w:u w:val="single"/>
          </w:rPr>
          <w:t>Source link</w:t>
        </w:r>
      </w:hyperlink>
    </w:p>
    <w:p w14:paraId="21F643D1" w14:textId="77777777" w:rsidR="00195FF3" w:rsidRPr="00195FF3" w:rsidRDefault="00195FF3" w:rsidP="00195FF3">
      <w:pPr>
        <w:keepLines/>
      </w:pPr>
      <w:r w:rsidRPr="00195FF3">
        <w:rPr>
          <w:b/>
        </w:rPr>
        <w:t>5. African Development Bank,</w:t>
      </w:r>
      <w:r w:rsidRPr="00195FF3">
        <w:t xml:space="preserve"> </w:t>
      </w:r>
      <w:r w:rsidRPr="00195FF3">
        <w:rPr>
          <w:i/>
        </w:rPr>
        <w:t>African Development Bank Approves €100 Million to Gotion Power Morocco to Develop Africa’s First Lithium Ion Phosphate Battery Gigafactory</w:t>
      </w:r>
      <w:r w:rsidRPr="00195FF3">
        <w:t xml:space="preserve">, 24 July 2026. </w:t>
      </w:r>
      <w:hyperlink r:id="rId133">
        <w:r w:rsidRPr="00195FF3">
          <w:rPr>
            <w:u w:val="single"/>
          </w:rPr>
          <w:t>Source link</w:t>
        </w:r>
      </w:hyperlink>
    </w:p>
    <w:p w14:paraId="7F947772" w14:textId="77777777" w:rsidR="00195FF3" w:rsidRPr="00195FF3" w:rsidRDefault="00195FF3" w:rsidP="00195FF3">
      <w:pPr>
        <w:keepLines/>
      </w:pPr>
      <w:r w:rsidRPr="00195FF3">
        <w:rPr>
          <w:b/>
        </w:rPr>
        <w:t>6. OCP Group,</w:t>
      </w:r>
      <w:r w:rsidRPr="00195FF3">
        <w:t xml:space="preserve"> </w:t>
      </w:r>
      <w:r w:rsidRPr="00195FF3">
        <w:rPr>
          <w:i/>
        </w:rPr>
        <w:t>Industrial Operations</w:t>
      </w:r>
      <w:r w:rsidRPr="00195FF3">
        <w:t xml:space="preserve">, undated. </w:t>
      </w:r>
      <w:hyperlink r:id="rId134">
        <w:r w:rsidRPr="00195FF3">
          <w:rPr>
            <w:u w:val="single"/>
          </w:rPr>
          <w:t>Source link</w:t>
        </w:r>
      </w:hyperlink>
    </w:p>
    <w:p w14:paraId="7DB75E66" w14:textId="77777777" w:rsidR="00195FF3" w:rsidRPr="00195FF3" w:rsidRDefault="00195FF3" w:rsidP="00195FF3">
      <w:pPr>
        <w:keepLines/>
      </w:pPr>
      <w:r w:rsidRPr="00195FF3">
        <w:rPr>
          <w:b/>
        </w:rPr>
        <w:t>7. Morocco World News,</w:t>
      </w:r>
      <w:r w:rsidRPr="00195FF3">
        <w:t xml:space="preserve"> </w:t>
      </w:r>
      <w:r w:rsidRPr="00195FF3">
        <w:rPr>
          <w:i/>
        </w:rPr>
        <w:t>Managem Reports MAD 13.694 Billion Revenue in 2025, as Q4 Surges 170%</w:t>
      </w:r>
      <w:r w:rsidRPr="00195FF3">
        <w:t xml:space="preserve">, 27 February 2026. </w:t>
      </w:r>
      <w:hyperlink r:id="rId135">
        <w:r w:rsidRPr="00195FF3">
          <w:rPr>
            <w:u w:val="single"/>
          </w:rPr>
          <w:t>Source link</w:t>
        </w:r>
      </w:hyperlink>
    </w:p>
    <w:p w14:paraId="7EAD7759" w14:textId="77777777" w:rsidR="00195FF3" w:rsidRPr="00195FF3" w:rsidRDefault="00195FF3" w:rsidP="00195FF3">
      <w:pPr>
        <w:keepLines/>
      </w:pPr>
      <w:r w:rsidRPr="00195FF3">
        <w:rPr>
          <w:b/>
        </w:rPr>
        <w:t>8. Fraser Institute,</w:t>
      </w:r>
      <w:r w:rsidRPr="00195FF3">
        <w:t xml:space="preserve"> </w:t>
      </w:r>
      <w:r w:rsidRPr="00195FF3">
        <w:rPr>
          <w:i/>
        </w:rPr>
        <w:t>Annual Survey of Mining Companies 2025</w:t>
      </w:r>
      <w:r w:rsidRPr="00195FF3">
        <w:t xml:space="preserve">, February 2026. </w:t>
      </w:r>
      <w:hyperlink r:id="rId136">
        <w:r w:rsidRPr="00195FF3">
          <w:rPr>
            <w:u w:val="single"/>
          </w:rPr>
          <w:t>Source link</w:t>
        </w:r>
      </w:hyperlink>
    </w:p>
    <w:p w14:paraId="5FC87AC1" w14:textId="77777777" w:rsidR="00195FF3" w:rsidRPr="00195FF3" w:rsidRDefault="00195FF3" w:rsidP="00195FF3">
      <w:pPr>
        <w:keepLines/>
      </w:pPr>
      <w:r w:rsidRPr="00195FF3">
        <w:rPr>
          <w:b/>
        </w:rPr>
        <w:t>9. Aya Gold and Silver,</w:t>
      </w:r>
      <w:r w:rsidRPr="00195FF3">
        <w:t xml:space="preserve"> </w:t>
      </w:r>
      <w:r w:rsidRPr="00195FF3">
        <w:rPr>
          <w:i/>
        </w:rPr>
        <w:t>Aya Gold and Silver Provides 2026 Outlook and Strategic Priorities</w:t>
      </w:r>
      <w:r w:rsidRPr="00195FF3">
        <w:t xml:space="preserve">, 27 January 2026. </w:t>
      </w:r>
      <w:hyperlink r:id="rId137">
        <w:r w:rsidRPr="00195FF3">
          <w:rPr>
            <w:u w:val="single"/>
          </w:rPr>
          <w:t>Source link</w:t>
        </w:r>
      </w:hyperlink>
    </w:p>
    <w:p w14:paraId="291A2DD5" w14:textId="77777777" w:rsidR="00195FF3" w:rsidRPr="00195FF3" w:rsidRDefault="00195FF3" w:rsidP="00195FF3">
      <w:pPr>
        <w:keepLines/>
      </w:pPr>
      <w:r w:rsidRPr="00195FF3">
        <w:rPr>
          <w:b/>
        </w:rPr>
        <w:t>10. Fastmarkets,</w:t>
      </w:r>
      <w:r w:rsidRPr="00195FF3">
        <w:t xml:space="preserve"> </w:t>
      </w:r>
      <w:r w:rsidRPr="00195FF3">
        <w:rPr>
          <w:i/>
        </w:rPr>
        <w:t>Miner Managem to Switch to Cobalt Sulfate Production Instead of Metal</w:t>
      </w:r>
      <w:r w:rsidRPr="00195FF3">
        <w:t xml:space="preserve">, 8 January 2026. </w:t>
      </w:r>
      <w:hyperlink r:id="rId138">
        <w:r w:rsidRPr="00195FF3">
          <w:rPr>
            <w:u w:val="single"/>
          </w:rPr>
          <w:t>Source link</w:t>
        </w:r>
      </w:hyperlink>
    </w:p>
    <w:p w14:paraId="6C5D178C" w14:textId="77777777" w:rsidR="00195FF3" w:rsidRPr="00195FF3" w:rsidRDefault="00195FF3" w:rsidP="00195FF3">
      <w:pPr>
        <w:keepLines/>
      </w:pPr>
      <w:r w:rsidRPr="00195FF3">
        <w:rPr>
          <w:b/>
        </w:rPr>
        <w:t>11. Epiroc,</w:t>
      </w:r>
      <w:r w:rsidRPr="00195FF3">
        <w:t xml:space="preserve"> </w:t>
      </w:r>
      <w:r w:rsidRPr="00195FF3">
        <w:rPr>
          <w:i/>
        </w:rPr>
        <w:t>Epiroc partners with Managem for digitalization of Tizert project in Morocco</w:t>
      </w:r>
      <w:r w:rsidRPr="00195FF3">
        <w:t xml:space="preserve">, 26 November 2024. </w:t>
      </w:r>
      <w:hyperlink r:id="rId139">
        <w:r w:rsidRPr="00195FF3">
          <w:rPr>
            <w:u w:val="single"/>
          </w:rPr>
          <w:t>Source link</w:t>
        </w:r>
      </w:hyperlink>
    </w:p>
    <w:p w14:paraId="4A5D4786" w14:textId="77777777" w:rsidR="00195FF3" w:rsidRPr="00195FF3" w:rsidRDefault="00195FF3" w:rsidP="00195FF3">
      <w:pPr>
        <w:keepLines/>
      </w:pPr>
      <w:r w:rsidRPr="00195FF3">
        <w:t xml:space="preserve">12. </w:t>
      </w:r>
      <w:r w:rsidRPr="00195FF3">
        <w:rPr>
          <w:b/>
        </w:rPr>
        <w:t>OCP Group,</w:t>
      </w:r>
      <w:r w:rsidRPr="00195FF3">
        <w:t xml:space="preserve"> </w:t>
      </w:r>
      <w:r w:rsidRPr="00195FF3">
        <w:rPr>
          <w:i/>
        </w:rPr>
        <w:t>Investment Plan</w:t>
      </w:r>
      <w:r w:rsidRPr="00195FF3">
        <w:t xml:space="preserve">, undated. </w:t>
      </w:r>
      <w:hyperlink r:id="rId140">
        <w:r w:rsidRPr="00195FF3">
          <w:rPr>
            <w:u w:val="single"/>
          </w:rPr>
          <w:t>Source link</w:t>
        </w:r>
      </w:hyperlink>
    </w:p>
    <w:p w14:paraId="778DCEA5" w14:textId="77777777" w:rsidR="00195FF3" w:rsidRPr="00195FF3" w:rsidRDefault="00195FF3" w:rsidP="00195FF3">
      <w:pPr>
        <w:keepLines/>
      </w:pPr>
      <w:r w:rsidRPr="00195FF3">
        <w:t xml:space="preserve">13. </w:t>
      </w:r>
      <w:r w:rsidRPr="00195FF3">
        <w:rPr>
          <w:b/>
        </w:rPr>
        <w:t>OCP Group,</w:t>
      </w:r>
      <w:r w:rsidRPr="00195FF3">
        <w:t xml:space="preserve"> </w:t>
      </w:r>
      <w:r w:rsidRPr="00195FF3">
        <w:rPr>
          <w:i/>
        </w:rPr>
        <w:t>A decisive step by OCP Green Water toward the water autonomy of the Group</w:t>
      </w:r>
      <w:r w:rsidRPr="00195FF3">
        <w:t xml:space="preserve">, 14 July 2025. </w:t>
      </w:r>
      <w:hyperlink r:id="rId141">
        <w:r w:rsidRPr="00195FF3">
          <w:rPr>
            <w:u w:val="single"/>
          </w:rPr>
          <w:t>Source link</w:t>
        </w:r>
      </w:hyperlink>
    </w:p>
    <w:p w14:paraId="163D9085" w14:textId="77777777" w:rsidR="00195FF3" w:rsidRPr="00195FF3" w:rsidRDefault="00195FF3" w:rsidP="00195FF3">
      <w:pPr>
        <w:keepLines/>
      </w:pPr>
      <w:r w:rsidRPr="00195FF3">
        <w:t xml:space="preserve">14. </w:t>
      </w:r>
      <w:r w:rsidRPr="00195FF3">
        <w:rPr>
          <w:b/>
        </w:rPr>
        <w:t>Kingdom of Morocco, Ministry of Energy Transition and Sustainable Development,</w:t>
      </w:r>
      <w:r w:rsidRPr="00195FF3">
        <w:t xml:space="preserve"> </w:t>
      </w:r>
      <w:r w:rsidRPr="00195FF3">
        <w:rPr>
          <w:i/>
        </w:rPr>
        <w:t>Morocco Strengthens the Attractiveness of Its Mining Sector through the Tafilalet–Figuig Public Competition</w:t>
      </w:r>
      <w:r w:rsidRPr="00195FF3">
        <w:t xml:space="preserve">, 6 May 2026. </w:t>
      </w:r>
      <w:hyperlink r:id="rId142">
        <w:r w:rsidRPr="00195FF3">
          <w:rPr>
            <w:u w:val="single"/>
          </w:rPr>
          <w:t>Source link</w:t>
        </w:r>
      </w:hyperlink>
    </w:p>
    <w:p w14:paraId="52DE0C77" w14:textId="77777777" w:rsidR="00195FF3" w:rsidRPr="00195FF3" w:rsidRDefault="00195FF3" w:rsidP="00195FF3">
      <w:pPr>
        <w:keepLines/>
      </w:pPr>
      <w:r w:rsidRPr="00195FF3">
        <w:t xml:space="preserve">15. </w:t>
      </w:r>
      <w:r w:rsidRPr="00195FF3">
        <w:rPr>
          <w:b/>
        </w:rPr>
        <w:t>Aya Gold and Silver,</w:t>
      </w:r>
      <w:r w:rsidRPr="00195FF3">
        <w:t xml:space="preserve"> </w:t>
      </w:r>
      <w:r w:rsidRPr="00195FF3">
        <w:rPr>
          <w:i/>
        </w:rPr>
        <w:t>Aya Gold and Silver Announces Updated PEA for Boumadine: After-Tax NPV Doubles to $3.5B with 93% IRR</w:t>
      </w:r>
      <w:r w:rsidRPr="00195FF3">
        <w:t xml:space="preserve">, 9 September 2026. </w:t>
      </w:r>
      <w:hyperlink r:id="rId143">
        <w:r w:rsidRPr="00195FF3">
          <w:rPr>
            <w:u w:val="single"/>
          </w:rPr>
          <w:t>Source link</w:t>
        </w:r>
      </w:hyperlink>
    </w:p>
    <w:p w14:paraId="2B911C61" w14:textId="77777777" w:rsidR="00195FF3" w:rsidRPr="00195FF3" w:rsidRDefault="00195FF3" w:rsidP="00195FF3">
      <w:r w:rsidRPr="00195FF3">
        <w:t xml:space="preserve">16. </w:t>
      </w:r>
      <w:r w:rsidRPr="00195FF3">
        <w:rPr>
          <w:b/>
          <w:bCs/>
        </w:rPr>
        <w:t>Bird &amp; Bird</w:t>
      </w:r>
      <w:r w:rsidRPr="00195FF3">
        <w:t xml:space="preserve">, </w:t>
      </w:r>
      <w:r w:rsidRPr="00195FF3">
        <w:rPr>
          <w:i/>
          <w:iCs/>
        </w:rPr>
        <w:t>Mining in Morocco: An Overview of the Mining Regulatory Framework and Ongoing Reforms</w:t>
      </w:r>
      <w:r w:rsidRPr="00195FF3">
        <w:t xml:space="preserve">, 4 June 2026. </w:t>
      </w:r>
      <w:hyperlink r:id="rId144" w:history="1">
        <w:r w:rsidRPr="00195FF3">
          <w:rPr>
            <w:rStyle w:val="Hyperlink"/>
            <w:color w:val="auto"/>
          </w:rPr>
          <w:t>Source link</w:t>
        </w:r>
      </w:hyperlink>
    </w:p>
    <w:p w14:paraId="78FA8555" w14:textId="77777777" w:rsidR="00195FF3" w:rsidRPr="00195FF3" w:rsidRDefault="00195FF3" w:rsidP="00195FF3">
      <w:r w:rsidRPr="00195FF3">
        <w:t xml:space="preserve">17. </w:t>
      </w:r>
      <w:r w:rsidRPr="00195FF3">
        <w:rPr>
          <w:b/>
          <w:bCs/>
        </w:rPr>
        <w:t>WTO</w:t>
      </w:r>
      <w:r w:rsidRPr="00195FF3">
        <w:t xml:space="preserve">, </w:t>
      </w:r>
      <w:r w:rsidRPr="00195FF3">
        <w:rPr>
          <w:i/>
          <w:iCs/>
        </w:rPr>
        <w:t>Morocco: Trade Policy Review</w:t>
      </w:r>
      <w:r w:rsidRPr="00195FF3">
        <w:t xml:space="preserve">, 18 March 2025. </w:t>
      </w:r>
      <w:hyperlink r:id="rId145" w:history="1">
        <w:r w:rsidRPr="00195FF3">
          <w:rPr>
            <w:rStyle w:val="Hyperlink"/>
            <w:color w:val="auto"/>
          </w:rPr>
          <w:t>Source link</w:t>
        </w:r>
      </w:hyperlink>
    </w:p>
    <w:p w14:paraId="3DDA14C0" w14:textId="77777777" w:rsidR="00195FF3" w:rsidRPr="00195FF3" w:rsidRDefault="00195FF3" w:rsidP="00195FF3">
      <w:r w:rsidRPr="00195FF3">
        <w:t xml:space="preserve">18. OCP Group, Contact OCP and e-Supply Access, undated. </w:t>
      </w:r>
      <w:hyperlink r:id="rId146">
        <w:r w:rsidRPr="00195FF3">
          <w:t>Source link</w:t>
        </w:r>
      </w:hyperlink>
    </w:p>
    <w:p w14:paraId="4D29E05A" w14:textId="77777777" w:rsidR="00147F25" w:rsidRDefault="00147F25" w:rsidP="00147F25">
      <w:pPr>
        <w:pStyle w:val="Heading2"/>
      </w:pPr>
    </w:p>
    <w:p w14:paraId="725AE1CA" w14:textId="4F7B6DA3" w:rsidR="00195FF3" w:rsidRPr="00195FF3" w:rsidRDefault="00195FF3" w:rsidP="00147F25">
      <w:pPr>
        <w:pStyle w:val="Heading2"/>
      </w:pPr>
      <w:r w:rsidRPr="00195FF3">
        <w:t>Egypt</w:t>
      </w:r>
    </w:p>
    <w:p w14:paraId="2394ECA2" w14:textId="77777777" w:rsidR="00195FF3" w:rsidRPr="00195FF3" w:rsidRDefault="00195FF3" w:rsidP="00195FF3">
      <w:pPr>
        <w:keepLines/>
      </w:pPr>
      <w:r w:rsidRPr="00195FF3">
        <w:rPr>
          <w:b/>
        </w:rPr>
        <w:t>1. Egyptian Ministry of Petroleum and Mineral Resources,</w:t>
      </w:r>
      <w:r w:rsidRPr="00195FF3">
        <w:t xml:space="preserve"> </w:t>
      </w:r>
      <w:r w:rsidRPr="00195FF3">
        <w:rPr>
          <w:i/>
        </w:rPr>
        <w:t>Minister of Petroleum and Mineral Resources Discusses with World Bank Strengthening Cooperation in the Mining Sector</w:t>
      </w:r>
      <w:r w:rsidRPr="00195FF3">
        <w:t xml:space="preserve">, 14 January 2026. </w:t>
      </w:r>
      <w:hyperlink r:id="rId147">
        <w:r w:rsidRPr="00195FF3">
          <w:rPr>
            <w:u w:val="single"/>
          </w:rPr>
          <w:t>Source link</w:t>
        </w:r>
      </w:hyperlink>
    </w:p>
    <w:p w14:paraId="2346CC35" w14:textId="77777777" w:rsidR="00195FF3" w:rsidRPr="00195FF3" w:rsidRDefault="00195FF3" w:rsidP="00195FF3">
      <w:pPr>
        <w:keepLines/>
      </w:pPr>
      <w:r w:rsidRPr="00195FF3">
        <w:rPr>
          <w:b/>
        </w:rPr>
        <w:lastRenderedPageBreak/>
        <w:t>2. Xcalibur Smart Mapping,</w:t>
      </w:r>
      <w:r w:rsidRPr="00195FF3">
        <w:t xml:space="preserve"> </w:t>
      </w:r>
      <w:r w:rsidRPr="00195FF3">
        <w:rPr>
          <w:i/>
        </w:rPr>
        <w:t>Egypt Launches First Nationwide Airborne Mineral Survey in 42 Years with Xcalibur Smart Mapping</w:t>
      </w:r>
      <w:r w:rsidRPr="00195FF3">
        <w:t xml:space="preserve">, 29 April 2026. </w:t>
      </w:r>
      <w:hyperlink r:id="rId148">
        <w:r w:rsidRPr="00195FF3">
          <w:rPr>
            <w:u w:val="single"/>
          </w:rPr>
          <w:t>Source link</w:t>
        </w:r>
      </w:hyperlink>
    </w:p>
    <w:p w14:paraId="6E14E06C" w14:textId="77777777" w:rsidR="00195FF3" w:rsidRPr="00195FF3" w:rsidRDefault="00195FF3" w:rsidP="00195FF3">
      <w:pPr>
        <w:keepLines/>
      </w:pPr>
      <w:r w:rsidRPr="00195FF3">
        <w:rPr>
          <w:b/>
        </w:rPr>
        <w:t>3. AngloGold Ashanti,</w:t>
      </w:r>
      <w:r w:rsidRPr="00195FF3">
        <w:t xml:space="preserve"> </w:t>
      </w:r>
      <w:r w:rsidRPr="00195FF3">
        <w:rPr>
          <w:i/>
        </w:rPr>
        <w:t>Sukari, Egypt</w:t>
      </w:r>
      <w:r w:rsidRPr="00195FF3">
        <w:t xml:space="preserve">, updated 2026. </w:t>
      </w:r>
      <w:hyperlink r:id="rId149">
        <w:r w:rsidRPr="00195FF3">
          <w:rPr>
            <w:u w:val="single"/>
          </w:rPr>
          <w:t>Source link</w:t>
        </w:r>
      </w:hyperlink>
    </w:p>
    <w:p w14:paraId="4CB07FD8" w14:textId="068A2674" w:rsidR="006667A1" w:rsidRDefault="00195FF3" w:rsidP="00E71385">
      <w:pPr>
        <w:keepLines/>
      </w:pPr>
      <w:r w:rsidRPr="00195FF3">
        <w:rPr>
          <w:b/>
        </w:rPr>
        <w:t xml:space="preserve">4. </w:t>
      </w:r>
      <w:r w:rsidR="00E71385" w:rsidRPr="00E71385">
        <w:rPr>
          <w:b/>
        </w:rPr>
        <w:t>Egyptian Ministry of Petroleum and Mineral Resources, The Mineral Resources and Mining Industries Authority: Issuance and Renewal of 53 Licenses for Mineral Exploration and Exploitation, 11 January 2026.</w:t>
      </w:r>
      <w:r w:rsidR="00E71385">
        <w:rPr>
          <w:b/>
        </w:rPr>
        <w:t xml:space="preserve"> </w:t>
      </w:r>
    </w:p>
    <w:p w14:paraId="3F47E686" w14:textId="5796BBD3" w:rsidR="00195FF3" w:rsidRPr="00195FF3" w:rsidRDefault="00195FF3" w:rsidP="00195FF3">
      <w:pPr>
        <w:keepLines/>
      </w:pPr>
      <w:r>
        <w:t xml:space="preserve"> </w:t>
      </w:r>
      <w:r w:rsidRPr="00195FF3">
        <w:rPr>
          <w:b/>
        </w:rPr>
        <w:t>5. Ministry of Petroleum and Mineral Resources,</w:t>
      </w:r>
      <w:r w:rsidRPr="00195FF3">
        <w:t xml:space="preserve"> </w:t>
      </w:r>
      <w:r w:rsidRPr="00195FF3">
        <w:rPr>
          <w:i/>
        </w:rPr>
        <w:t>Minister of Petroleum and Mineral Resources Discusses with Cyprus's FMC Resuming Its Gold and Mineral Exploration Activities and Pumping $20-million Investments</w:t>
      </w:r>
      <w:r w:rsidRPr="00195FF3">
        <w:t xml:space="preserve">, 16 June 2026. </w:t>
      </w:r>
      <w:hyperlink r:id="rId150">
        <w:r w:rsidRPr="00195FF3">
          <w:rPr>
            <w:u w:val="single"/>
          </w:rPr>
          <w:t>Source link</w:t>
        </w:r>
      </w:hyperlink>
    </w:p>
    <w:p w14:paraId="44637CE5" w14:textId="77777777" w:rsidR="00195FF3" w:rsidRPr="00195FF3" w:rsidRDefault="00195FF3" w:rsidP="00195FF3">
      <w:pPr>
        <w:keepLines/>
      </w:pPr>
      <w:r w:rsidRPr="00195FF3">
        <w:rPr>
          <w:b/>
        </w:rPr>
        <w:t>6. Egypt Oil and Gas Group,</w:t>
      </w:r>
      <w:r w:rsidRPr="00195FF3">
        <w:t xml:space="preserve"> </w:t>
      </w:r>
      <w:r w:rsidRPr="00195FF3">
        <w:rPr>
          <w:i/>
        </w:rPr>
        <w:t>AngloGold Expands Gold Exploration in Egypt’s Eastern Desert</w:t>
      </w:r>
      <w:r w:rsidRPr="00195FF3">
        <w:t xml:space="preserve">, 6 August 2026. </w:t>
      </w:r>
      <w:hyperlink r:id="rId151">
        <w:r w:rsidRPr="00195FF3">
          <w:rPr>
            <w:u w:val="single"/>
          </w:rPr>
          <w:t>Source link</w:t>
        </w:r>
      </w:hyperlink>
    </w:p>
    <w:p w14:paraId="37BB2B58" w14:textId="77777777" w:rsidR="00195FF3" w:rsidRPr="00195FF3" w:rsidRDefault="00195FF3" w:rsidP="00195FF3">
      <w:pPr>
        <w:keepLines/>
      </w:pPr>
      <w:r w:rsidRPr="00195FF3">
        <w:rPr>
          <w:b/>
        </w:rPr>
        <w:t>7. Aton Resources Inc.,</w:t>
      </w:r>
      <w:r w:rsidRPr="00195FF3">
        <w:t xml:space="preserve"> </w:t>
      </w:r>
      <w:r w:rsidRPr="00195FF3">
        <w:rPr>
          <w:i/>
        </w:rPr>
        <w:t>Aton closes CAD$4 million private placement</w:t>
      </w:r>
      <w:r w:rsidRPr="00195FF3">
        <w:t xml:space="preserve">, 12 August 2026. </w:t>
      </w:r>
      <w:hyperlink r:id="rId152">
        <w:r w:rsidRPr="00195FF3">
          <w:rPr>
            <w:u w:val="single"/>
          </w:rPr>
          <w:t>Source link</w:t>
        </w:r>
      </w:hyperlink>
    </w:p>
    <w:p w14:paraId="227A93C1" w14:textId="77777777" w:rsidR="00195FF3" w:rsidRPr="00195FF3" w:rsidRDefault="00195FF3" w:rsidP="00195FF3">
      <w:pPr>
        <w:keepLines/>
      </w:pPr>
      <w:r w:rsidRPr="00195FF3">
        <w:rPr>
          <w:b/>
        </w:rPr>
        <w:t>8. Egyptian Ministry of Petroleum and Mineral Resources,</w:t>
      </w:r>
      <w:r w:rsidRPr="00195FF3">
        <w:t xml:space="preserve"> </w:t>
      </w:r>
      <w:r w:rsidRPr="00195FF3">
        <w:rPr>
          <w:i/>
        </w:rPr>
        <w:t>Minister of Petroleum and Mineral Resources Reviews Mining Reforms and Investor Incentives at Mining Indaba 2026</w:t>
      </w:r>
      <w:r w:rsidRPr="00195FF3">
        <w:t xml:space="preserve">, 9 February 2026. </w:t>
      </w:r>
      <w:hyperlink r:id="rId153">
        <w:r w:rsidRPr="00195FF3">
          <w:rPr>
            <w:u w:val="single"/>
          </w:rPr>
          <w:t>Source link</w:t>
        </w:r>
      </w:hyperlink>
    </w:p>
    <w:p w14:paraId="53832336" w14:textId="77777777" w:rsidR="00195FF3" w:rsidRPr="00195FF3" w:rsidRDefault="00195FF3" w:rsidP="00195FF3">
      <w:pPr>
        <w:keepLines/>
      </w:pPr>
      <w:r w:rsidRPr="00195FF3">
        <w:rPr>
          <w:b/>
          <w:bCs/>
        </w:rPr>
        <w:t>9. Nafeza</w:t>
      </w:r>
      <w:r w:rsidRPr="00195FF3">
        <w:t xml:space="preserve">, </w:t>
      </w:r>
      <w:r w:rsidRPr="00195FF3">
        <w:rPr>
          <w:i/>
          <w:iCs/>
        </w:rPr>
        <w:t>Advance Cargo Information System</w:t>
      </w:r>
      <w:r w:rsidRPr="00195FF3">
        <w:t xml:space="preserve">, undated. </w:t>
      </w:r>
      <w:hyperlink r:id="rId154">
        <w:r w:rsidRPr="00195FF3">
          <w:t>Source link</w:t>
        </w:r>
      </w:hyperlink>
    </w:p>
    <w:p w14:paraId="68EAAF1F" w14:textId="77777777" w:rsidR="00195FF3" w:rsidRPr="00195FF3" w:rsidRDefault="00195FF3" w:rsidP="00195FF3">
      <w:pPr>
        <w:keepLines/>
      </w:pPr>
      <w:r w:rsidRPr="00195FF3">
        <w:t xml:space="preserve">10. </w:t>
      </w:r>
      <w:r w:rsidRPr="00195FF3">
        <w:rPr>
          <w:b/>
          <w:bCs/>
        </w:rPr>
        <w:t>Aton Resources</w:t>
      </w:r>
      <w:r w:rsidRPr="00195FF3">
        <w:t xml:space="preserve">, </w:t>
      </w:r>
      <w:r w:rsidRPr="00195FF3">
        <w:rPr>
          <w:i/>
          <w:iCs/>
        </w:rPr>
        <w:t>Aton Announces Strategic Cooperation Relationship and Board Nominee</w:t>
      </w:r>
      <w:r w:rsidRPr="00195FF3">
        <w:t xml:space="preserve">, 29 July 2026. </w:t>
      </w:r>
      <w:hyperlink r:id="rId155" w:history="1">
        <w:r w:rsidRPr="00195FF3">
          <w:rPr>
            <w:rStyle w:val="Hyperlink"/>
            <w:color w:val="auto"/>
          </w:rPr>
          <w:t>Source link</w:t>
        </w:r>
      </w:hyperlink>
    </w:p>
    <w:p w14:paraId="0E4D36AB" w14:textId="77777777" w:rsidR="00195FF3" w:rsidRPr="00195FF3" w:rsidRDefault="00195FF3" w:rsidP="00195FF3">
      <w:pPr>
        <w:keepLines/>
      </w:pPr>
      <w:r w:rsidRPr="00195FF3">
        <w:t xml:space="preserve">11. </w:t>
      </w:r>
      <w:r w:rsidRPr="00195FF3">
        <w:rPr>
          <w:b/>
          <w:bCs/>
        </w:rPr>
        <w:t>AngloGold Ashanti</w:t>
      </w:r>
      <w:r w:rsidRPr="00195FF3">
        <w:t xml:space="preserve">, </w:t>
      </w:r>
      <w:r w:rsidRPr="00195FF3">
        <w:rPr>
          <w:i/>
          <w:iCs/>
        </w:rPr>
        <w:t>Greenfield Exploration</w:t>
      </w:r>
      <w:r w:rsidRPr="00195FF3">
        <w:t xml:space="preserve">, Egypt, undated. </w:t>
      </w:r>
      <w:hyperlink r:id="rId156" w:history="1">
        <w:r w:rsidRPr="00195FF3">
          <w:rPr>
            <w:rStyle w:val="Hyperlink"/>
            <w:color w:val="auto"/>
          </w:rPr>
          <w:t>Source link</w:t>
        </w:r>
      </w:hyperlink>
    </w:p>
    <w:p w14:paraId="43370202" w14:textId="77777777" w:rsidR="00195FF3" w:rsidRPr="00195FF3" w:rsidRDefault="00195FF3" w:rsidP="00195FF3">
      <w:pPr>
        <w:keepLines/>
      </w:pPr>
      <w:r w:rsidRPr="00195FF3">
        <w:t xml:space="preserve">12. </w:t>
      </w:r>
      <w:r w:rsidRPr="00195FF3">
        <w:rPr>
          <w:b/>
          <w:bCs/>
        </w:rPr>
        <w:t>Aton Resources</w:t>
      </w:r>
      <w:r w:rsidRPr="00195FF3">
        <w:t xml:space="preserve">, </w:t>
      </w:r>
      <w:r w:rsidRPr="00195FF3">
        <w:rPr>
          <w:i/>
          <w:iCs/>
        </w:rPr>
        <w:t>Aton Announces US$30 Million Credit Facility with OU Moonrider</w:t>
      </w:r>
      <w:r w:rsidRPr="00195FF3">
        <w:t xml:space="preserve">, 1 September 2026. </w:t>
      </w:r>
      <w:hyperlink r:id="rId157" w:history="1">
        <w:r w:rsidRPr="00195FF3">
          <w:rPr>
            <w:rStyle w:val="Hyperlink"/>
            <w:color w:val="auto"/>
          </w:rPr>
          <w:t>Source link</w:t>
        </w:r>
      </w:hyperlink>
    </w:p>
    <w:p w14:paraId="3054CFEF" w14:textId="77777777" w:rsidR="00195FF3" w:rsidRDefault="00195FF3" w:rsidP="00195FF3">
      <w:pPr>
        <w:keepLines/>
      </w:pPr>
      <w:r w:rsidRPr="00195FF3">
        <w:t xml:space="preserve">13. </w:t>
      </w:r>
      <w:r w:rsidRPr="00195FF3">
        <w:rPr>
          <w:b/>
          <w:bCs/>
        </w:rPr>
        <w:t>Egypt Oil &amp; Gas Group</w:t>
      </w:r>
      <w:r w:rsidRPr="00195FF3">
        <w:t xml:space="preserve">, </w:t>
      </w:r>
      <w:r w:rsidRPr="00195FF3">
        <w:rPr>
          <w:i/>
          <w:iCs/>
        </w:rPr>
        <w:t>MRMIA, Genesis Mining Egypt Sign Phosphate Project MoU</w:t>
      </w:r>
      <w:r w:rsidRPr="00195FF3">
        <w:t xml:space="preserve">, 23 July 2026. </w:t>
      </w:r>
      <w:hyperlink r:id="rId158" w:history="1">
        <w:r w:rsidRPr="00195FF3">
          <w:rPr>
            <w:rStyle w:val="Hyperlink"/>
            <w:color w:val="auto"/>
          </w:rPr>
          <w:t>Source link</w:t>
        </w:r>
      </w:hyperlink>
    </w:p>
    <w:p w14:paraId="05C49367" w14:textId="563956B3" w:rsidR="009A74AE" w:rsidRDefault="00AF4A55" w:rsidP="003929B0">
      <w:pPr>
        <w:spacing w:after="80" w:line="245" w:lineRule="auto"/>
      </w:pPr>
      <w:r>
        <w:t>14.</w:t>
      </w:r>
      <w:r w:rsidR="009A74AE" w:rsidRPr="009A74AE">
        <w:t xml:space="preserve"> </w:t>
      </w:r>
      <w:r w:rsidR="00C25375" w:rsidRPr="00C25375">
        <w:t>AngloGold Ashanti, Sukari, Egypt, undated.</w:t>
      </w:r>
      <w:r w:rsidR="00C25375">
        <w:t xml:space="preserve"> </w:t>
      </w:r>
      <w:r w:rsidR="003929B0">
        <w:t xml:space="preserve"> </w:t>
      </w:r>
      <w:hyperlink r:id="rId159" w:history="1">
        <w:r w:rsidR="003929B0" w:rsidRPr="003929B0">
          <w:rPr>
            <w:rStyle w:val="Hyperlink"/>
          </w:rPr>
          <w:t>Sukari, Egypt - AngloGold Ashanti</w:t>
        </w:r>
      </w:hyperlink>
    </w:p>
    <w:p w14:paraId="31A7DEDC" w14:textId="330E39FB" w:rsidR="00AF4A55" w:rsidRPr="00195FF3" w:rsidRDefault="004E6DD4" w:rsidP="00120F89">
      <w:pPr>
        <w:spacing w:after="80" w:line="245" w:lineRule="auto"/>
      </w:pPr>
      <w:r>
        <w:t>15.</w:t>
      </w:r>
      <w:r w:rsidR="00A23344" w:rsidRPr="00A23344">
        <w:t xml:space="preserve"> </w:t>
      </w:r>
      <w:r w:rsidR="00120F89" w:rsidRPr="00120F89">
        <w:t>General Organization for Export and Import Control (GOEIC), Registration and re-registration in the importers register; laws directory; implementing-decisions directory, undated</w:t>
      </w:r>
      <w:r w:rsidR="00120F89">
        <w:t xml:space="preserve"> </w:t>
      </w:r>
    </w:p>
    <w:p w14:paraId="3339E7B9" w14:textId="77777777" w:rsidR="00147F25" w:rsidRDefault="00147F25" w:rsidP="00147F25">
      <w:pPr>
        <w:pStyle w:val="Heading2"/>
      </w:pPr>
    </w:p>
    <w:p w14:paraId="40B9C90F" w14:textId="65B6DC9A" w:rsidR="00195FF3" w:rsidRPr="00195FF3" w:rsidRDefault="00195FF3" w:rsidP="00147F25">
      <w:pPr>
        <w:pStyle w:val="Heading2"/>
      </w:pPr>
      <w:r w:rsidRPr="00195FF3">
        <w:t>Türkiye</w:t>
      </w:r>
    </w:p>
    <w:p w14:paraId="326317FF" w14:textId="77777777" w:rsidR="00195FF3" w:rsidRPr="00195FF3" w:rsidRDefault="00195FF3" w:rsidP="00195FF3">
      <w:pPr>
        <w:keepLines/>
      </w:pPr>
      <w:r w:rsidRPr="00195FF3">
        <w:rPr>
          <w:b/>
        </w:rPr>
        <w:t>1. Eti Maden,</w:t>
      </w:r>
      <w:r w:rsidRPr="00195FF3">
        <w:t xml:space="preserve"> </w:t>
      </w:r>
      <w:r w:rsidRPr="00195FF3">
        <w:rPr>
          <w:i/>
        </w:rPr>
        <w:t>Boron in Türkiye</w:t>
      </w:r>
      <w:r w:rsidRPr="00195FF3">
        <w:t xml:space="preserve">, undated. </w:t>
      </w:r>
      <w:hyperlink r:id="rId160">
        <w:r w:rsidRPr="00195FF3">
          <w:rPr>
            <w:u w:val="single"/>
          </w:rPr>
          <w:t>Source link</w:t>
        </w:r>
      </w:hyperlink>
    </w:p>
    <w:p w14:paraId="1E9C596C" w14:textId="77777777" w:rsidR="00195FF3" w:rsidRPr="00195FF3" w:rsidRDefault="00195FF3" w:rsidP="00195FF3">
      <w:pPr>
        <w:keepLines/>
      </w:pPr>
      <w:r w:rsidRPr="00BF1FDB">
        <w:rPr>
          <w:b/>
          <w:lang w:val="de-DE"/>
        </w:rPr>
        <w:t>2. Eti Maden,</w:t>
      </w:r>
      <w:r w:rsidRPr="00BF1FDB">
        <w:rPr>
          <w:lang w:val="de-DE"/>
        </w:rPr>
        <w:t xml:space="preserve"> </w:t>
      </w:r>
      <w:r w:rsidRPr="00BF1FDB">
        <w:rPr>
          <w:i/>
          <w:lang w:val="de-DE"/>
        </w:rPr>
        <w:t>Eti Maden</w:t>
      </w:r>
      <w:r w:rsidRPr="00BF1FDB">
        <w:rPr>
          <w:lang w:val="de-DE"/>
        </w:rPr>
        <w:t xml:space="preserve">, undated. </w:t>
      </w:r>
      <w:hyperlink r:id="rId161">
        <w:r w:rsidRPr="00195FF3">
          <w:rPr>
            <w:u w:val="single"/>
          </w:rPr>
          <w:t>Source link</w:t>
        </w:r>
      </w:hyperlink>
    </w:p>
    <w:p w14:paraId="6F1F3828" w14:textId="77777777" w:rsidR="00195FF3" w:rsidRPr="00195FF3" w:rsidRDefault="00195FF3" w:rsidP="00195FF3">
      <w:pPr>
        <w:keepLines/>
      </w:pPr>
      <w:r w:rsidRPr="00195FF3">
        <w:rPr>
          <w:b/>
        </w:rPr>
        <w:t>3. Eti Maden,</w:t>
      </w:r>
      <w:r w:rsidRPr="00195FF3">
        <w:t xml:space="preserve"> </w:t>
      </w:r>
      <w:r w:rsidRPr="00195FF3">
        <w:rPr>
          <w:i/>
        </w:rPr>
        <w:t>Projects</w:t>
      </w:r>
      <w:r w:rsidRPr="00195FF3">
        <w:t xml:space="preserve">, undated. </w:t>
      </w:r>
      <w:hyperlink r:id="rId162">
        <w:r w:rsidRPr="00195FF3">
          <w:rPr>
            <w:u w:val="single"/>
          </w:rPr>
          <w:t>Source link</w:t>
        </w:r>
      </w:hyperlink>
    </w:p>
    <w:p w14:paraId="1BBA5204" w14:textId="77777777" w:rsidR="00195FF3" w:rsidRPr="00195FF3" w:rsidRDefault="00195FF3" w:rsidP="00195FF3">
      <w:pPr>
        <w:keepLines/>
      </w:pPr>
      <w:r w:rsidRPr="00195FF3">
        <w:rPr>
          <w:b/>
        </w:rPr>
        <w:t>4. Eti Maden,</w:t>
      </w:r>
      <w:r w:rsidRPr="00195FF3">
        <w:t xml:space="preserve"> </w:t>
      </w:r>
      <w:r w:rsidRPr="00195FF3">
        <w:rPr>
          <w:i/>
        </w:rPr>
        <w:t>Sustainability Report 2024</w:t>
      </w:r>
      <w:r w:rsidRPr="00195FF3">
        <w:t xml:space="preserve">, 2025. </w:t>
      </w:r>
      <w:hyperlink r:id="rId163">
        <w:r w:rsidRPr="00195FF3">
          <w:rPr>
            <w:u w:val="single"/>
          </w:rPr>
          <w:t>Source link</w:t>
        </w:r>
      </w:hyperlink>
    </w:p>
    <w:p w14:paraId="55E9241D" w14:textId="77777777" w:rsidR="00195FF3" w:rsidRPr="00195FF3" w:rsidRDefault="00195FF3" w:rsidP="00195FF3">
      <w:pPr>
        <w:keepLines/>
      </w:pPr>
      <w:r w:rsidRPr="00195FF3">
        <w:rPr>
          <w:b/>
        </w:rPr>
        <w:t>5. Eldorado Gold,</w:t>
      </w:r>
      <w:r w:rsidRPr="00195FF3">
        <w:t xml:space="preserve"> </w:t>
      </w:r>
      <w:r w:rsidRPr="00195FF3">
        <w:rPr>
          <w:i/>
        </w:rPr>
        <w:t>Kışladağ</w:t>
      </w:r>
      <w:r w:rsidRPr="00195FF3">
        <w:t xml:space="preserve">, updated 2026. </w:t>
      </w:r>
      <w:hyperlink r:id="rId164">
        <w:r w:rsidRPr="00195FF3">
          <w:rPr>
            <w:u w:val="single"/>
          </w:rPr>
          <w:t>Source link</w:t>
        </w:r>
      </w:hyperlink>
    </w:p>
    <w:p w14:paraId="6C1B635E" w14:textId="77777777" w:rsidR="00195FF3" w:rsidRPr="00195FF3" w:rsidRDefault="00195FF3" w:rsidP="00195FF3">
      <w:pPr>
        <w:keepLines/>
      </w:pPr>
      <w:r w:rsidRPr="00195FF3">
        <w:rPr>
          <w:b/>
        </w:rPr>
        <w:t>6. Eldorado Gold,</w:t>
      </w:r>
      <w:r w:rsidRPr="00195FF3">
        <w:t xml:space="preserve"> </w:t>
      </w:r>
      <w:r w:rsidRPr="00195FF3">
        <w:rPr>
          <w:i/>
        </w:rPr>
        <w:t>Efemçukuru</w:t>
      </w:r>
      <w:r w:rsidRPr="00195FF3">
        <w:t xml:space="preserve">, updated 2026. </w:t>
      </w:r>
      <w:hyperlink r:id="rId165">
        <w:r w:rsidRPr="00195FF3">
          <w:rPr>
            <w:u w:val="single"/>
          </w:rPr>
          <w:t>Source link</w:t>
        </w:r>
      </w:hyperlink>
    </w:p>
    <w:p w14:paraId="71C0107F" w14:textId="77777777" w:rsidR="00195FF3" w:rsidRPr="00195FF3" w:rsidRDefault="00195FF3" w:rsidP="00195FF3">
      <w:pPr>
        <w:keepLines/>
      </w:pPr>
      <w:r w:rsidRPr="00195FF3">
        <w:t xml:space="preserve">7. </w:t>
      </w:r>
      <w:r w:rsidRPr="00195FF3">
        <w:rPr>
          <w:b/>
        </w:rPr>
        <w:t>Public Procurement Authority of Türkiye,</w:t>
      </w:r>
      <w:r w:rsidRPr="00195FF3">
        <w:t xml:space="preserve"> </w:t>
      </w:r>
      <w:r w:rsidRPr="00195FF3">
        <w:rPr>
          <w:i/>
        </w:rPr>
        <w:t>EKAP Registration for Foreign Natural and Legal Persons</w:t>
      </w:r>
      <w:r w:rsidRPr="00195FF3">
        <w:t xml:space="preserve">, undated. </w:t>
      </w:r>
      <w:hyperlink r:id="rId166">
        <w:r w:rsidRPr="00195FF3">
          <w:rPr>
            <w:u w:val="single"/>
          </w:rPr>
          <w:t>Source link</w:t>
        </w:r>
      </w:hyperlink>
    </w:p>
    <w:p w14:paraId="7045C202" w14:textId="77777777" w:rsidR="00195FF3" w:rsidRPr="00195FF3" w:rsidRDefault="00195FF3" w:rsidP="00195FF3">
      <w:pPr>
        <w:keepLines/>
      </w:pPr>
      <w:r w:rsidRPr="00195FF3">
        <w:t xml:space="preserve">8. </w:t>
      </w:r>
      <w:r w:rsidRPr="00195FF3">
        <w:rPr>
          <w:b/>
        </w:rPr>
        <w:t>TÜMAD Mining,</w:t>
      </w:r>
      <w:r w:rsidRPr="00195FF3">
        <w:t xml:space="preserve"> </w:t>
      </w:r>
      <w:r w:rsidRPr="00195FF3">
        <w:rPr>
          <w:i/>
        </w:rPr>
        <w:t>About TÜMAD Mining</w:t>
      </w:r>
      <w:r w:rsidRPr="00195FF3">
        <w:t xml:space="preserve">, undated. </w:t>
      </w:r>
      <w:hyperlink r:id="rId167">
        <w:r w:rsidRPr="00195FF3">
          <w:rPr>
            <w:u w:val="single"/>
          </w:rPr>
          <w:t>Source link</w:t>
        </w:r>
      </w:hyperlink>
    </w:p>
    <w:p w14:paraId="3F30B9E4" w14:textId="77777777" w:rsidR="00195FF3" w:rsidRPr="00195FF3" w:rsidRDefault="00195FF3" w:rsidP="00195FF3">
      <w:pPr>
        <w:keepLines/>
      </w:pPr>
      <w:r w:rsidRPr="00195FF3">
        <w:t xml:space="preserve">9. </w:t>
      </w:r>
      <w:r w:rsidRPr="00195FF3">
        <w:rPr>
          <w:b/>
        </w:rPr>
        <w:t>TÜMAD Mining,</w:t>
      </w:r>
      <w:r w:rsidRPr="00195FF3">
        <w:t xml:space="preserve"> </w:t>
      </w:r>
      <w:r w:rsidRPr="00195FF3">
        <w:rPr>
          <w:i/>
        </w:rPr>
        <w:t>İvrindi Gold and Silver Operation</w:t>
      </w:r>
      <w:r w:rsidRPr="00195FF3">
        <w:t xml:space="preserve">, undated. </w:t>
      </w:r>
      <w:hyperlink r:id="rId168">
        <w:r w:rsidRPr="00195FF3">
          <w:rPr>
            <w:u w:val="single"/>
          </w:rPr>
          <w:t>Source link</w:t>
        </w:r>
      </w:hyperlink>
    </w:p>
    <w:p w14:paraId="4B5840B6" w14:textId="77777777" w:rsidR="00195FF3" w:rsidRPr="00195FF3" w:rsidRDefault="00195FF3" w:rsidP="00195FF3">
      <w:pPr>
        <w:keepLines/>
      </w:pPr>
      <w:r w:rsidRPr="00195FF3">
        <w:t xml:space="preserve">10. </w:t>
      </w:r>
      <w:r w:rsidRPr="00195FF3">
        <w:rPr>
          <w:b/>
        </w:rPr>
        <w:t>TÜMAD Mining,</w:t>
      </w:r>
      <w:r w:rsidRPr="00195FF3">
        <w:t xml:space="preserve"> </w:t>
      </w:r>
      <w:r w:rsidRPr="00195FF3">
        <w:rPr>
          <w:i/>
        </w:rPr>
        <w:t>Lapseki Gold and Silver Operation</w:t>
      </w:r>
      <w:r w:rsidRPr="00195FF3">
        <w:t xml:space="preserve">, undated. </w:t>
      </w:r>
      <w:hyperlink r:id="rId169">
        <w:r w:rsidRPr="00195FF3">
          <w:rPr>
            <w:u w:val="single"/>
          </w:rPr>
          <w:t>Source link</w:t>
        </w:r>
      </w:hyperlink>
    </w:p>
    <w:p w14:paraId="13B75AA4" w14:textId="77777777" w:rsidR="00195FF3" w:rsidRPr="00195FF3" w:rsidRDefault="00195FF3" w:rsidP="00195FF3">
      <w:pPr>
        <w:keepLines/>
      </w:pPr>
      <w:r w:rsidRPr="00195FF3">
        <w:lastRenderedPageBreak/>
        <w:t xml:space="preserve">11. </w:t>
      </w:r>
      <w:r w:rsidRPr="00195FF3">
        <w:rPr>
          <w:b/>
        </w:rPr>
        <w:t>Australian Department of Foreign Affairs and Trade,</w:t>
      </w:r>
      <w:r w:rsidRPr="00195FF3">
        <w:t xml:space="preserve"> </w:t>
      </w:r>
      <w:r w:rsidRPr="00195FF3">
        <w:rPr>
          <w:i/>
        </w:rPr>
        <w:t>Türkiye Country Brief</w:t>
      </w:r>
      <w:r w:rsidRPr="00195FF3">
        <w:t xml:space="preserve">, updated 2026. </w:t>
      </w:r>
      <w:hyperlink r:id="rId170">
        <w:r w:rsidRPr="00195FF3">
          <w:rPr>
            <w:u w:val="single"/>
          </w:rPr>
          <w:t>Source link</w:t>
        </w:r>
      </w:hyperlink>
    </w:p>
    <w:p w14:paraId="7C1CF4DB" w14:textId="77777777" w:rsidR="00195FF3" w:rsidRPr="00195FF3" w:rsidRDefault="00195FF3" w:rsidP="00195FF3">
      <w:pPr>
        <w:keepLines/>
      </w:pPr>
      <w:r w:rsidRPr="00195FF3">
        <w:t xml:space="preserve">12. </w:t>
      </w:r>
      <w:r w:rsidRPr="00195FF3">
        <w:rPr>
          <w:b/>
        </w:rPr>
        <w:t>Australian Department of Foreign Affairs and Trade,</w:t>
      </w:r>
      <w:r w:rsidRPr="00195FF3">
        <w:t xml:space="preserve"> </w:t>
      </w:r>
      <w:r w:rsidRPr="00195FF3">
        <w:rPr>
          <w:i/>
        </w:rPr>
        <w:t>Türkiye Country/Economy Fact Sheet</w:t>
      </w:r>
      <w:r w:rsidRPr="00195FF3">
        <w:t xml:space="preserve">, 2026. </w:t>
      </w:r>
      <w:hyperlink r:id="rId171">
        <w:r w:rsidRPr="00195FF3">
          <w:rPr>
            <w:u w:val="single"/>
          </w:rPr>
          <w:t>Source link</w:t>
        </w:r>
      </w:hyperlink>
    </w:p>
    <w:p w14:paraId="7DEA66FF" w14:textId="77777777" w:rsidR="00195FF3" w:rsidRPr="00195FF3" w:rsidRDefault="00195FF3" w:rsidP="00195FF3">
      <w:pPr>
        <w:keepLines/>
      </w:pPr>
      <w:r w:rsidRPr="00195FF3">
        <w:t xml:space="preserve">13. </w:t>
      </w:r>
      <w:r w:rsidRPr="00195FF3">
        <w:rPr>
          <w:b/>
        </w:rPr>
        <w:t>Invest in Türkiye,</w:t>
      </w:r>
      <w:r w:rsidRPr="00195FF3">
        <w:t xml:space="preserve"> </w:t>
      </w:r>
      <w:r w:rsidRPr="00195FF3">
        <w:rPr>
          <w:i/>
        </w:rPr>
        <w:t>Mining and Metals</w:t>
      </w:r>
      <w:r w:rsidRPr="00195FF3">
        <w:t xml:space="preserve">, updated 2026; data years stated. </w:t>
      </w:r>
      <w:hyperlink r:id="rId172">
        <w:r w:rsidRPr="00195FF3">
          <w:rPr>
            <w:u w:val="single"/>
          </w:rPr>
          <w:t>Source link</w:t>
        </w:r>
      </w:hyperlink>
    </w:p>
    <w:p w14:paraId="247E4524" w14:textId="77777777" w:rsidR="00195FF3" w:rsidRPr="00195FF3" w:rsidRDefault="00195FF3" w:rsidP="00195FF3">
      <w:pPr>
        <w:keepLines/>
      </w:pPr>
      <w:r w:rsidRPr="00195FF3">
        <w:t xml:space="preserve">14. </w:t>
      </w:r>
      <w:r w:rsidRPr="00195FF3">
        <w:rPr>
          <w:b/>
        </w:rPr>
        <w:t>Invest in Türkiye,</w:t>
      </w:r>
      <w:r w:rsidRPr="00195FF3">
        <w:t xml:space="preserve"> </w:t>
      </w:r>
      <w:r w:rsidRPr="00195FF3">
        <w:rPr>
          <w:i/>
        </w:rPr>
        <w:t>Machinery</w:t>
      </w:r>
      <w:r w:rsidRPr="00195FF3">
        <w:t xml:space="preserve">, updated 2026; data years stated. </w:t>
      </w:r>
      <w:hyperlink r:id="rId173">
        <w:r w:rsidRPr="00195FF3">
          <w:rPr>
            <w:u w:val="single"/>
          </w:rPr>
          <w:t>Source link</w:t>
        </w:r>
      </w:hyperlink>
    </w:p>
    <w:p w14:paraId="1B2F3D56" w14:textId="77777777" w:rsidR="00195FF3" w:rsidRPr="00195FF3" w:rsidRDefault="00195FF3" w:rsidP="00195FF3">
      <w:pPr>
        <w:keepLines/>
      </w:pPr>
      <w:r w:rsidRPr="00195FF3">
        <w:t xml:space="preserve">15. </w:t>
      </w:r>
      <w:r w:rsidRPr="00195FF3">
        <w:rPr>
          <w:b/>
        </w:rPr>
        <w:t>Republic of Türkiye Official Gazette,</w:t>
      </w:r>
      <w:r w:rsidRPr="00195FF3">
        <w:t xml:space="preserve"> </w:t>
      </w:r>
      <w:r w:rsidRPr="00195FF3">
        <w:rPr>
          <w:i/>
        </w:rPr>
        <w:t>Law No. 7554 Amending Certain Laws</w:t>
      </w:r>
      <w:r w:rsidRPr="00195FF3">
        <w:t xml:space="preserve">, 24 July 2025. </w:t>
      </w:r>
      <w:hyperlink r:id="rId174">
        <w:r w:rsidRPr="00195FF3">
          <w:rPr>
            <w:u w:val="single"/>
          </w:rPr>
          <w:t>Source link</w:t>
        </w:r>
      </w:hyperlink>
    </w:p>
    <w:p w14:paraId="7E50DC1D" w14:textId="77777777" w:rsidR="00195FF3" w:rsidRPr="00195FF3" w:rsidRDefault="00195FF3" w:rsidP="00195FF3">
      <w:pPr>
        <w:keepLines/>
      </w:pPr>
      <w:r w:rsidRPr="00195FF3">
        <w:t xml:space="preserve">16. </w:t>
      </w:r>
      <w:r w:rsidRPr="00195FF3">
        <w:rPr>
          <w:b/>
        </w:rPr>
        <w:t>Eti Maden,</w:t>
      </w:r>
      <w:r w:rsidRPr="00195FF3">
        <w:t xml:space="preserve"> </w:t>
      </w:r>
      <w:r w:rsidRPr="00195FF3">
        <w:rPr>
          <w:i/>
        </w:rPr>
        <w:t>Tender Announcements</w:t>
      </w:r>
      <w:r w:rsidRPr="00195FF3">
        <w:t xml:space="preserve">, undated. </w:t>
      </w:r>
      <w:hyperlink r:id="rId175">
        <w:r w:rsidRPr="00195FF3">
          <w:rPr>
            <w:u w:val="single"/>
          </w:rPr>
          <w:t>Source link</w:t>
        </w:r>
      </w:hyperlink>
    </w:p>
    <w:p w14:paraId="7F19367F" w14:textId="77777777" w:rsidR="00195FF3" w:rsidRPr="00195FF3" w:rsidRDefault="00195FF3" w:rsidP="00195FF3">
      <w:pPr>
        <w:keepLines/>
      </w:pPr>
      <w:r w:rsidRPr="00195FF3">
        <w:t xml:space="preserve">17. </w:t>
      </w:r>
      <w:r w:rsidRPr="00195FF3">
        <w:rPr>
          <w:b/>
        </w:rPr>
        <w:t>Eldorado Gold,</w:t>
      </w:r>
      <w:r w:rsidRPr="00195FF3">
        <w:t xml:space="preserve"> </w:t>
      </w:r>
      <w:r w:rsidRPr="00195FF3">
        <w:rPr>
          <w:i/>
        </w:rPr>
        <w:t>Updated Mineral Reserve and Mineral Resource Statement</w:t>
      </w:r>
      <w:r w:rsidRPr="00195FF3">
        <w:t xml:space="preserve">, 26 November 2025. </w:t>
      </w:r>
      <w:hyperlink r:id="rId176">
        <w:r w:rsidRPr="00195FF3">
          <w:rPr>
            <w:u w:val="single"/>
          </w:rPr>
          <w:t>Source link</w:t>
        </w:r>
      </w:hyperlink>
    </w:p>
    <w:p w14:paraId="054CB0FC" w14:textId="77777777" w:rsidR="00195FF3" w:rsidRPr="00195FF3" w:rsidRDefault="00195FF3" w:rsidP="00195FF3">
      <w:pPr>
        <w:keepLines/>
      </w:pPr>
      <w:r w:rsidRPr="00195FF3">
        <w:t xml:space="preserve">18. </w:t>
      </w:r>
      <w:r w:rsidRPr="00195FF3">
        <w:rPr>
          <w:b/>
        </w:rPr>
        <w:t>Eldorado Gold,</w:t>
      </w:r>
      <w:r w:rsidRPr="00195FF3">
        <w:t xml:space="preserve"> </w:t>
      </w:r>
      <w:r w:rsidRPr="00195FF3">
        <w:rPr>
          <w:i/>
        </w:rPr>
        <w:t>2026 Guidance and Three-Year Outlook</w:t>
      </w:r>
      <w:r w:rsidRPr="00195FF3">
        <w:t xml:space="preserve">, 19 February 2026. </w:t>
      </w:r>
      <w:hyperlink r:id="rId177">
        <w:r w:rsidRPr="00195FF3">
          <w:rPr>
            <w:u w:val="single"/>
          </w:rPr>
          <w:t>Source link</w:t>
        </w:r>
      </w:hyperlink>
    </w:p>
    <w:p w14:paraId="6A2E56FC" w14:textId="77777777" w:rsidR="00195FF3" w:rsidRPr="00195FF3" w:rsidRDefault="00195FF3" w:rsidP="00195FF3">
      <w:pPr>
        <w:keepLines/>
      </w:pPr>
      <w:r w:rsidRPr="00195FF3">
        <w:t xml:space="preserve">19. </w:t>
      </w:r>
      <w:r w:rsidRPr="00195FF3">
        <w:rPr>
          <w:b/>
        </w:rPr>
        <w:t>ACG Metals,</w:t>
      </w:r>
      <w:r w:rsidRPr="00195FF3">
        <w:t xml:space="preserve"> </w:t>
      </w:r>
      <w:r w:rsidRPr="00195FF3">
        <w:rPr>
          <w:i/>
        </w:rPr>
        <w:t>First Copper Concentrate Production at Gediktepe</w:t>
      </w:r>
      <w:r w:rsidRPr="00195FF3">
        <w:t xml:space="preserve">, 1 September 2026. </w:t>
      </w:r>
      <w:hyperlink r:id="rId178">
        <w:r w:rsidRPr="00195FF3">
          <w:rPr>
            <w:u w:val="single"/>
          </w:rPr>
          <w:t>Source link</w:t>
        </w:r>
      </w:hyperlink>
    </w:p>
    <w:p w14:paraId="0ECBFE88" w14:textId="77777777" w:rsidR="00195FF3" w:rsidRPr="00195FF3" w:rsidRDefault="00195FF3" w:rsidP="00195FF3">
      <w:pPr>
        <w:keepLines/>
      </w:pPr>
      <w:r w:rsidRPr="00195FF3">
        <w:t xml:space="preserve">20. </w:t>
      </w:r>
      <w:r w:rsidRPr="00195FF3">
        <w:rPr>
          <w:b/>
        </w:rPr>
        <w:t>Centerra Gold,</w:t>
      </w:r>
      <w:r w:rsidRPr="00195FF3">
        <w:t xml:space="preserve"> </w:t>
      </w:r>
      <w:r w:rsidRPr="00195FF3">
        <w:rPr>
          <w:i/>
        </w:rPr>
        <w:t>Second Quarter 2026 Results and Increased Öksüt Production Guidance</w:t>
      </w:r>
      <w:r w:rsidRPr="00195FF3">
        <w:t xml:space="preserve">, 28 July 2026. </w:t>
      </w:r>
      <w:hyperlink r:id="rId179">
        <w:r w:rsidRPr="00195FF3">
          <w:rPr>
            <w:u w:val="single"/>
          </w:rPr>
          <w:t>Source link</w:t>
        </w:r>
      </w:hyperlink>
    </w:p>
    <w:p w14:paraId="42F059FC" w14:textId="77777777" w:rsidR="00195FF3" w:rsidRPr="00195FF3" w:rsidRDefault="00195FF3" w:rsidP="00195FF3">
      <w:pPr>
        <w:keepLines/>
      </w:pPr>
      <w:r w:rsidRPr="00195FF3">
        <w:t xml:space="preserve">21. </w:t>
      </w:r>
      <w:r w:rsidRPr="00195FF3">
        <w:rPr>
          <w:b/>
        </w:rPr>
        <w:t>First Quantum Minerals,</w:t>
      </w:r>
      <w:r w:rsidRPr="00195FF3">
        <w:t xml:space="preserve"> </w:t>
      </w:r>
      <w:r w:rsidRPr="00195FF3">
        <w:rPr>
          <w:i/>
        </w:rPr>
        <w:t>First Quantum Minerals Announces Sale of Çayeli Mine</w:t>
      </w:r>
      <w:r w:rsidRPr="00195FF3">
        <w:t xml:space="preserve">, 12 March 2026. </w:t>
      </w:r>
      <w:hyperlink r:id="rId180">
        <w:r w:rsidRPr="00195FF3">
          <w:rPr>
            <w:u w:val="single"/>
          </w:rPr>
          <w:t>Source link</w:t>
        </w:r>
      </w:hyperlink>
    </w:p>
    <w:p w14:paraId="19B8E354" w14:textId="77777777" w:rsidR="00195FF3" w:rsidRPr="00195FF3" w:rsidRDefault="00195FF3" w:rsidP="00195FF3">
      <w:pPr>
        <w:keepLines/>
      </w:pPr>
      <w:r w:rsidRPr="00195FF3">
        <w:t xml:space="preserve">22. </w:t>
      </w:r>
      <w:r w:rsidRPr="00195FF3">
        <w:rPr>
          <w:b/>
        </w:rPr>
        <w:t>SSR Mining,</w:t>
      </w:r>
      <w:r w:rsidRPr="00195FF3">
        <w:t xml:space="preserve"> </w:t>
      </w:r>
      <w:r w:rsidRPr="00195FF3">
        <w:rPr>
          <w:i/>
        </w:rPr>
        <w:t>2024 Çöpler Incident: Remediation and Operating-Status Updates</w:t>
      </w:r>
      <w:r w:rsidRPr="00195FF3">
        <w:t xml:space="preserve">, updated 17 February 2026. </w:t>
      </w:r>
      <w:hyperlink r:id="rId181">
        <w:r w:rsidRPr="00195FF3">
          <w:rPr>
            <w:u w:val="single"/>
          </w:rPr>
          <w:t>Source link</w:t>
        </w:r>
      </w:hyperlink>
    </w:p>
    <w:p w14:paraId="64F5CBA1" w14:textId="77777777" w:rsidR="00195FF3" w:rsidRPr="00195FF3" w:rsidRDefault="00195FF3" w:rsidP="00195FF3">
      <w:pPr>
        <w:keepLines/>
      </w:pPr>
      <w:r w:rsidRPr="00195FF3">
        <w:t xml:space="preserve">23. </w:t>
      </w:r>
      <w:r w:rsidRPr="00195FF3">
        <w:rPr>
          <w:b/>
        </w:rPr>
        <w:t>SSR Mining,</w:t>
      </w:r>
      <w:r w:rsidRPr="00195FF3">
        <w:t xml:space="preserve"> </w:t>
      </w:r>
      <w:r w:rsidRPr="00195FF3">
        <w:rPr>
          <w:i/>
        </w:rPr>
        <w:t>SSR Mining Completes the Sale of its 20% Equity Interest in Hod Maden</w:t>
      </w:r>
      <w:r w:rsidRPr="00195FF3">
        <w:t xml:space="preserve">, 17 July 2026. </w:t>
      </w:r>
      <w:hyperlink r:id="rId182">
        <w:r w:rsidRPr="00195FF3">
          <w:rPr>
            <w:u w:val="single"/>
          </w:rPr>
          <w:t>Source link</w:t>
        </w:r>
      </w:hyperlink>
    </w:p>
    <w:p w14:paraId="4491CF95" w14:textId="77777777" w:rsidR="00195FF3" w:rsidRPr="00195FF3" w:rsidRDefault="00195FF3" w:rsidP="00195FF3">
      <w:pPr>
        <w:keepLines/>
      </w:pPr>
      <w:r w:rsidRPr="00195FF3">
        <w:t xml:space="preserve">24. </w:t>
      </w:r>
      <w:r w:rsidRPr="00195FF3">
        <w:rPr>
          <w:b/>
        </w:rPr>
        <w:t>Republic of Türkiye Ministry of Energy and Natural Resources,</w:t>
      </w:r>
      <w:r w:rsidRPr="00195FF3">
        <w:t xml:space="preserve"> </w:t>
      </w:r>
      <w:r w:rsidRPr="00195FF3">
        <w:rPr>
          <w:i/>
        </w:rPr>
        <w:t>2026 Will Be a New Record Year in Renewables: Beylikova Update</w:t>
      </w:r>
      <w:r w:rsidRPr="00195FF3">
        <w:t xml:space="preserve">, 26 December 2025. </w:t>
      </w:r>
      <w:hyperlink r:id="rId183">
        <w:r w:rsidRPr="00195FF3">
          <w:rPr>
            <w:u w:val="single"/>
          </w:rPr>
          <w:t>Source link</w:t>
        </w:r>
      </w:hyperlink>
    </w:p>
    <w:p w14:paraId="28D556C8" w14:textId="77777777" w:rsidR="00195FF3" w:rsidRPr="00195FF3" w:rsidRDefault="00195FF3" w:rsidP="00195FF3">
      <w:pPr>
        <w:keepLines/>
      </w:pPr>
      <w:r w:rsidRPr="00195FF3">
        <w:t xml:space="preserve">25. </w:t>
      </w:r>
      <w:r w:rsidRPr="00195FF3">
        <w:rPr>
          <w:b/>
        </w:rPr>
        <w:t>Invest in Türkiye,</w:t>
      </w:r>
      <w:r w:rsidRPr="00195FF3">
        <w:t xml:space="preserve"> </w:t>
      </w:r>
      <w:r w:rsidRPr="00195FF3">
        <w:rPr>
          <w:i/>
        </w:rPr>
        <w:t>Why Türkiye?</w:t>
      </w:r>
      <w:r w:rsidRPr="00195FF3">
        <w:t xml:space="preserve">, undated. </w:t>
      </w:r>
      <w:hyperlink r:id="rId184">
        <w:r w:rsidRPr="00195FF3">
          <w:rPr>
            <w:u w:val="single"/>
          </w:rPr>
          <w:t>Source link</w:t>
        </w:r>
      </w:hyperlink>
    </w:p>
    <w:p w14:paraId="1B6EED5B" w14:textId="77777777" w:rsidR="00195FF3" w:rsidRPr="00195FF3" w:rsidRDefault="00195FF3" w:rsidP="00195FF3">
      <w:pPr>
        <w:keepLines/>
      </w:pPr>
      <w:r w:rsidRPr="00195FF3">
        <w:t xml:space="preserve">26. </w:t>
      </w:r>
      <w:r w:rsidRPr="00195FF3">
        <w:rPr>
          <w:b/>
        </w:rPr>
        <w:t>Republic of Türkiye Ministry of Trade,</w:t>
      </w:r>
      <w:r w:rsidRPr="00195FF3">
        <w:t xml:space="preserve"> </w:t>
      </w:r>
      <w:r w:rsidRPr="00195FF3">
        <w:rPr>
          <w:i/>
        </w:rPr>
        <w:t>Product Rules Database</w:t>
      </w:r>
      <w:r w:rsidRPr="00195FF3">
        <w:t xml:space="preserve">, undated. </w:t>
      </w:r>
      <w:hyperlink r:id="rId185">
        <w:r w:rsidRPr="00195FF3">
          <w:rPr>
            <w:u w:val="single"/>
          </w:rPr>
          <w:t>Source link</w:t>
        </w:r>
      </w:hyperlink>
    </w:p>
    <w:p w14:paraId="09948677" w14:textId="77777777" w:rsidR="00195FF3" w:rsidRPr="00195FF3" w:rsidRDefault="00195FF3" w:rsidP="00195FF3">
      <w:pPr>
        <w:keepLines/>
      </w:pPr>
      <w:r w:rsidRPr="00195FF3">
        <w:t xml:space="preserve">27. </w:t>
      </w:r>
      <w:r w:rsidRPr="00195FF3">
        <w:rPr>
          <w:b/>
        </w:rPr>
        <w:t>Çayeli Bakır İşletmeleri A.Ş.,</w:t>
      </w:r>
      <w:r w:rsidRPr="00195FF3">
        <w:t xml:space="preserve"> </w:t>
      </w:r>
      <w:r w:rsidRPr="00195FF3">
        <w:rPr>
          <w:i/>
        </w:rPr>
        <w:t>About Us: Cengiz Holding Transition</w:t>
      </w:r>
      <w:r w:rsidRPr="00195FF3">
        <w:t xml:space="preserve">, updated 2026. </w:t>
      </w:r>
      <w:hyperlink r:id="rId186">
        <w:r w:rsidRPr="00195FF3">
          <w:rPr>
            <w:u w:val="single"/>
          </w:rPr>
          <w:t>Source link</w:t>
        </w:r>
      </w:hyperlink>
    </w:p>
    <w:p w14:paraId="21F744DF" w14:textId="77777777" w:rsidR="00195FF3" w:rsidRPr="00195FF3" w:rsidRDefault="00195FF3" w:rsidP="00195FF3">
      <w:pPr>
        <w:keepLines/>
      </w:pPr>
      <w:r w:rsidRPr="00195FF3">
        <w:t>28</w:t>
      </w:r>
      <w:r w:rsidRPr="00164C28">
        <w:rPr>
          <w:b/>
        </w:rPr>
        <w:t>. SSR Mining,</w:t>
      </w:r>
      <w:r w:rsidRPr="00195FF3">
        <w:t xml:space="preserve"> </w:t>
      </w:r>
      <w:r w:rsidRPr="00C74B64">
        <w:rPr>
          <w:i/>
        </w:rPr>
        <w:t>SSR Mining Completes the Sale of the Çöpler Mine</w:t>
      </w:r>
      <w:r w:rsidRPr="00195FF3">
        <w:t xml:space="preserve">, 24 June 2026. </w:t>
      </w:r>
      <w:hyperlink r:id="rId187">
        <w:r w:rsidRPr="00195FF3">
          <w:t>Source link</w:t>
        </w:r>
      </w:hyperlink>
    </w:p>
    <w:p w14:paraId="0428E024" w14:textId="5965D80F" w:rsidR="00606334" w:rsidRPr="003B2F5B" w:rsidRDefault="00606334" w:rsidP="00606334">
      <w:pPr>
        <w:keepLines/>
      </w:pPr>
      <w:r w:rsidRPr="003B2F5B">
        <w:rPr>
          <w:b/>
        </w:rPr>
        <w:t>29. Republic of Türkiye Ministry of Trade,</w:t>
      </w:r>
      <w:r w:rsidRPr="003B2F5B">
        <w:t xml:space="preserve"> </w:t>
      </w:r>
      <w:r w:rsidRPr="003B2F5B">
        <w:rPr>
          <w:i/>
        </w:rPr>
        <w:t>Product Rules Database</w:t>
      </w:r>
      <w:r w:rsidRPr="003B2F5B">
        <w:t xml:space="preserve">, undated. </w:t>
      </w:r>
      <w:hyperlink r:id="rId188">
        <w:r w:rsidRPr="003B2F5B">
          <w:rPr>
            <w:u w:val="single"/>
          </w:rPr>
          <w:t>Source link</w:t>
        </w:r>
      </w:hyperlink>
    </w:p>
    <w:p w14:paraId="2619D6FC" w14:textId="77777777" w:rsidR="00195FF3" w:rsidRDefault="00195FF3" w:rsidP="00195FF3"/>
    <w:sectPr w:rsidR="00195FF3" w:rsidSect="00034616">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74B73" w14:textId="77777777" w:rsidR="005161CC" w:rsidRPr="00E91368" w:rsidRDefault="005161CC">
      <w:pPr>
        <w:spacing w:after="0" w:line="240" w:lineRule="auto"/>
      </w:pPr>
      <w:r w:rsidRPr="00E91368">
        <w:separator/>
      </w:r>
    </w:p>
  </w:endnote>
  <w:endnote w:type="continuationSeparator" w:id="0">
    <w:p w14:paraId="4A29D4B8" w14:textId="77777777" w:rsidR="005161CC" w:rsidRPr="00E91368" w:rsidRDefault="005161CC">
      <w:pPr>
        <w:spacing w:after="0" w:line="240" w:lineRule="auto"/>
      </w:pPr>
      <w:r w:rsidRPr="00E913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F5B22" w14:textId="027DD35A" w:rsidR="006B25F5" w:rsidRDefault="006B25F5">
    <w:pPr>
      <w:pStyle w:val="Footer"/>
    </w:pPr>
    <w:r>
      <w:rPr>
        <w:noProof/>
      </w:rPr>
      <mc:AlternateContent>
        <mc:Choice Requires="wps">
          <w:drawing>
            <wp:anchor distT="0" distB="0" distL="0" distR="0" simplePos="0" relativeHeight="251662336" behindDoc="0" locked="0" layoutInCell="1" allowOverlap="1" wp14:anchorId="3021D021" wp14:editId="259DE08B">
              <wp:simplePos x="635" y="635"/>
              <wp:positionH relativeFrom="page">
                <wp:align>center</wp:align>
              </wp:positionH>
              <wp:positionV relativeFrom="page">
                <wp:align>bottom</wp:align>
              </wp:positionV>
              <wp:extent cx="622300" cy="386080"/>
              <wp:effectExtent l="0" t="0" r="6350" b="0"/>
              <wp:wrapNone/>
              <wp:docPr id="92855469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86080"/>
                      </a:xfrm>
                      <a:prstGeom prst="rect">
                        <a:avLst/>
                      </a:prstGeom>
                      <a:noFill/>
                      <a:ln>
                        <a:noFill/>
                      </a:ln>
                    </wps:spPr>
                    <wps:txbx>
                      <w:txbxContent>
                        <w:p w14:paraId="6DA1D4B2" w14:textId="7469955D" w:rsidR="006B25F5" w:rsidRPr="006B25F5" w:rsidRDefault="006B25F5" w:rsidP="006B25F5">
                          <w:pPr>
                            <w:spacing w:after="0"/>
                            <w:rPr>
                              <w:rFonts w:ascii="Aptos" w:hAnsi="Aptos" w:cs="Aptos"/>
                              <w:noProof/>
                              <w:color w:val="FF0000"/>
                              <w:sz w:val="24"/>
                              <w:szCs w:val="24"/>
                            </w:rPr>
                          </w:pPr>
                          <w:r w:rsidRPr="006B25F5">
                            <w:rPr>
                              <w:rFonts w:ascii="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21D021" id="_x0000_t202" coordsize="21600,21600" o:spt="202" path="m,l,21600r21600,l21600,xe">
              <v:stroke joinstyle="miter"/>
              <v:path gradientshapeok="t" o:connecttype="rect"/>
            </v:shapetype>
            <v:shape id="Text Box 5" o:spid="_x0000_s1028" type="#_x0000_t202" alt="OFFICIAL" style="position:absolute;margin-left:0;margin-top:0;width:49pt;height:30.4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" filled="f" stroked="f">
              <v:fill o:detectmouseclick="t"/>
              <v:textbox style="mso-fit-shape-to-text:t" inset="0,0,0,15pt">
                <w:txbxContent>
                  <w:p w14:paraId="6DA1D4B2" w14:textId="7469955D" w:rsidR="006B25F5" w:rsidRPr="006B25F5" w:rsidRDefault="006B25F5" w:rsidP="006B25F5">
                    <w:pPr>
                      <w:spacing w:after="0"/>
                      <w:rPr>
                        <w:rFonts w:ascii="Aptos" w:hAnsi="Aptos" w:cs="Aptos"/>
                        <w:noProof/>
                        <w:color w:val="FF0000"/>
                        <w:sz w:val="24"/>
                        <w:szCs w:val="24"/>
                      </w:rPr>
                    </w:pPr>
                    <w:r w:rsidRPr="006B25F5">
                      <w:rPr>
                        <w:rFonts w:ascii="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A0E57" w14:textId="28A222EA" w:rsidR="002F5C26" w:rsidRPr="00E91368" w:rsidRDefault="006B25F5">
    <w:pPr>
      <w:pStyle w:val="Footer"/>
      <w:jc w:val="right"/>
    </w:pPr>
    <w:r>
      <w:rPr>
        <w:noProof/>
      </w:rPr>
      <mc:AlternateContent>
        <mc:Choice Requires="wps">
          <w:drawing>
            <wp:anchor distT="0" distB="0" distL="0" distR="0" simplePos="0" relativeHeight="251663360" behindDoc="0" locked="0" layoutInCell="1" allowOverlap="1" wp14:anchorId="6F2231BD" wp14:editId="61A793DA">
              <wp:simplePos x="685800" y="9290050"/>
              <wp:positionH relativeFrom="page">
                <wp:align>center</wp:align>
              </wp:positionH>
              <wp:positionV relativeFrom="page">
                <wp:align>bottom</wp:align>
              </wp:positionV>
              <wp:extent cx="622300" cy="386080"/>
              <wp:effectExtent l="0" t="0" r="6350" b="0"/>
              <wp:wrapNone/>
              <wp:docPr id="50111105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86080"/>
                      </a:xfrm>
                      <a:prstGeom prst="rect">
                        <a:avLst/>
                      </a:prstGeom>
                      <a:noFill/>
                      <a:ln>
                        <a:noFill/>
                      </a:ln>
                    </wps:spPr>
                    <wps:txbx>
                      <w:txbxContent>
                        <w:p w14:paraId="697C1800" w14:textId="58B1B5A7" w:rsidR="006B25F5" w:rsidRPr="006B25F5" w:rsidRDefault="006B25F5" w:rsidP="006B25F5">
                          <w:pPr>
                            <w:spacing w:after="0"/>
                            <w:rPr>
                              <w:rFonts w:ascii="Aptos" w:hAnsi="Aptos" w:cs="Aptos"/>
                              <w:noProof/>
                              <w:color w:val="FF0000"/>
                              <w:sz w:val="24"/>
                              <w:szCs w:val="24"/>
                            </w:rPr>
                          </w:pPr>
                          <w:r w:rsidRPr="006B25F5">
                            <w:rPr>
                              <w:rFonts w:ascii="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2231BD" id="_x0000_t202" coordsize="21600,21600" o:spt="202" path="m,l,21600r21600,l21600,xe">
              <v:stroke joinstyle="miter"/>
              <v:path gradientshapeok="t" o:connecttype="rect"/>
            </v:shapetype>
            <v:shape id="Text Box 6" o:spid="_x0000_s1029" type="#_x0000_t202" alt="OFFICIAL" style="position:absolute;left:0;text-align:left;margin-left:0;margin-top:0;width:49pt;height:30.4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" filled="f" stroked="f">
              <v:fill o:detectmouseclick="t"/>
              <v:textbox style="mso-fit-shape-to-text:t" inset="0,0,0,15pt">
                <w:txbxContent>
                  <w:p w14:paraId="697C1800" w14:textId="58B1B5A7" w:rsidR="006B25F5" w:rsidRPr="006B25F5" w:rsidRDefault="006B25F5" w:rsidP="006B25F5">
                    <w:pPr>
                      <w:spacing w:after="0"/>
                      <w:rPr>
                        <w:rFonts w:ascii="Aptos" w:hAnsi="Aptos" w:cs="Aptos"/>
                        <w:noProof/>
                        <w:color w:val="FF0000"/>
                        <w:sz w:val="24"/>
                        <w:szCs w:val="24"/>
                      </w:rPr>
                    </w:pPr>
                    <w:r w:rsidRPr="006B25F5">
                      <w:rPr>
                        <w:rFonts w:ascii="Aptos" w:hAnsi="Aptos" w:cs="Aptos"/>
                        <w:noProof/>
                        <w:color w:val="FF0000"/>
                        <w:sz w:val="24"/>
                        <w:szCs w:val="24"/>
                      </w:rPr>
                      <w:t>OFFICIAL</w:t>
                    </w:r>
                  </w:p>
                </w:txbxContent>
              </v:textbox>
              <w10:wrap anchorx="page" anchory="page"/>
            </v:shape>
          </w:pict>
        </mc:Fallback>
      </mc:AlternateContent>
    </w:r>
    <w:sdt>
      <w:sdtPr>
        <w:id w:val="-1408994270"/>
        <w:docPartObj>
          <w:docPartGallery w:val="Page Numbers (Bottom of Page)"/>
          <w:docPartUnique/>
        </w:docPartObj>
      </w:sdtPr>
      <w:sdtContent>
        <w:r w:rsidR="002F5C26" w:rsidRPr="00E91368">
          <w:fldChar w:fldCharType="begin"/>
        </w:r>
        <w:r w:rsidR="002F5C26" w:rsidRPr="00E91368">
          <w:instrText xml:space="preserve"> PAGE   \* MERGEFORMAT </w:instrText>
        </w:r>
        <w:r w:rsidR="002F5C26" w:rsidRPr="00E91368">
          <w:fldChar w:fldCharType="separate"/>
        </w:r>
        <w:r w:rsidR="002F5C26" w:rsidRPr="00E91368">
          <w:t>2</w:t>
        </w:r>
        <w:r w:rsidR="002F5C26" w:rsidRPr="00E91368">
          <w:fldChar w:fldCharType="end"/>
        </w:r>
      </w:sdtContent>
    </w:sdt>
  </w:p>
  <w:p w14:paraId="03C5012B" w14:textId="77777777" w:rsidR="00341857" w:rsidRPr="00E91368" w:rsidRDefault="0034185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59D54" w14:textId="0DC72136" w:rsidR="006B25F5" w:rsidRDefault="006B25F5">
    <w:pPr>
      <w:pStyle w:val="Footer"/>
    </w:pPr>
    <w:r>
      <w:rPr>
        <w:noProof/>
      </w:rPr>
      <mc:AlternateContent>
        <mc:Choice Requires="wps">
          <w:drawing>
            <wp:anchor distT="0" distB="0" distL="0" distR="0" simplePos="0" relativeHeight="251661312" behindDoc="0" locked="0" layoutInCell="1" allowOverlap="1" wp14:anchorId="2B51BB48" wp14:editId="2FFC905E">
              <wp:simplePos x="635" y="635"/>
              <wp:positionH relativeFrom="page">
                <wp:align>center</wp:align>
              </wp:positionH>
              <wp:positionV relativeFrom="page">
                <wp:align>bottom</wp:align>
              </wp:positionV>
              <wp:extent cx="622300" cy="386080"/>
              <wp:effectExtent l="0" t="0" r="6350" b="0"/>
              <wp:wrapNone/>
              <wp:docPr id="134365323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86080"/>
                      </a:xfrm>
                      <a:prstGeom prst="rect">
                        <a:avLst/>
                      </a:prstGeom>
                      <a:noFill/>
                      <a:ln>
                        <a:noFill/>
                      </a:ln>
                    </wps:spPr>
                    <wps:txbx>
                      <w:txbxContent>
                        <w:p w14:paraId="6AE7518B" w14:textId="473035EF" w:rsidR="006B25F5" w:rsidRPr="006B25F5" w:rsidRDefault="006B25F5" w:rsidP="006B25F5">
                          <w:pPr>
                            <w:spacing w:after="0"/>
                            <w:rPr>
                              <w:rFonts w:ascii="Aptos" w:hAnsi="Aptos" w:cs="Aptos"/>
                              <w:noProof/>
                              <w:color w:val="FF0000"/>
                              <w:sz w:val="24"/>
                              <w:szCs w:val="24"/>
                            </w:rPr>
                          </w:pPr>
                          <w:r w:rsidRPr="006B25F5">
                            <w:rPr>
                              <w:rFonts w:ascii="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51BB48" id="_x0000_t202" coordsize="21600,21600" o:spt="202" path="m,l,21600r21600,l21600,xe">
              <v:stroke joinstyle="miter"/>
              <v:path gradientshapeok="t" o:connecttype="rect"/>
            </v:shapetype>
            <v:shape id="Text Box 4" o:spid="_x0000_s1031" type="#_x0000_t202" alt="OFFICIAL" style="position:absolute;margin-left:0;margin-top:0;width:49pt;height:30.4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" filled="f" stroked="f">
              <v:fill o:detectmouseclick="t"/>
              <v:textbox style="mso-fit-shape-to-text:t" inset="0,0,0,15pt">
                <w:txbxContent>
                  <w:p w14:paraId="6AE7518B" w14:textId="473035EF" w:rsidR="006B25F5" w:rsidRPr="006B25F5" w:rsidRDefault="006B25F5" w:rsidP="006B25F5">
                    <w:pPr>
                      <w:spacing w:after="0"/>
                      <w:rPr>
                        <w:rFonts w:ascii="Aptos" w:hAnsi="Aptos" w:cs="Aptos"/>
                        <w:noProof/>
                        <w:color w:val="FF0000"/>
                        <w:sz w:val="24"/>
                        <w:szCs w:val="24"/>
                      </w:rPr>
                    </w:pPr>
                    <w:r w:rsidRPr="006B25F5">
                      <w:rPr>
                        <w:rFonts w:ascii="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82C1E" w14:textId="503AA6BD" w:rsidR="004D2F60" w:rsidRPr="00E91368" w:rsidRDefault="006B25F5">
    <w:pPr>
      <w:pStyle w:val="Footer"/>
      <w:jc w:val="right"/>
    </w:pPr>
    <w:r>
      <w:rPr>
        <w:noProof/>
      </w:rPr>
      <mc:AlternateContent>
        <mc:Choice Requires="wps">
          <w:drawing>
            <wp:anchor distT="0" distB="0" distL="0" distR="0" simplePos="0" relativeHeight="251664384" behindDoc="0" locked="0" layoutInCell="1" allowOverlap="1" wp14:anchorId="751B83CA" wp14:editId="63C8F1B1">
              <wp:simplePos x="635" y="635"/>
              <wp:positionH relativeFrom="page">
                <wp:align>center</wp:align>
              </wp:positionH>
              <wp:positionV relativeFrom="page">
                <wp:align>bottom</wp:align>
              </wp:positionV>
              <wp:extent cx="622300" cy="386080"/>
              <wp:effectExtent l="0" t="0" r="6350" b="0"/>
              <wp:wrapNone/>
              <wp:docPr id="208280942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86080"/>
                      </a:xfrm>
                      <a:prstGeom prst="rect">
                        <a:avLst/>
                      </a:prstGeom>
                      <a:noFill/>
                      <a:ln>
                        <a:noFill/>
                      </a:ln>
                    </wps:spPr>
                    <wps:txbx>
                      <w:txbxContent>
                        <w:p w14:paraId="27E738FC" w14:textId="6C81F6BB" w:rsidR="006B25F5" w:rsidRPr="006B25F5" w:rsidRDefault="006B25F5" w:rsidP="006B25F5">
                          <w:pPr>
                            <w:spacing w:after="0"/>
                            <w:rPr>
                              <w:rFonts w:ascii="Aptos" w:hAnsi="Aptos" w:cs="Aptos"/>
                              <w:noProof/>
                              <w:color w:val="FF0000"/>
                              <w:sz w:val="24"/>
                              <w:szCs w:val="24"/>
                            </w:rPr>
                          </w:pPr>
                          <w:r w:rsidRPr="006B25F5">
                            <w:rPr>
                              <w:rFonts w:ascii="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1B83CA" id="_x0000_t202" coordsize="21600,21600" o:spt="202" path="m,l,21600r21600,l21600,xe">
              <v:stroke joinstyle="miter"/>
              <v:path gradientshapeok="t" o:connecttype="rect"/>
            </v:shapetype>
            <v:shape id="Text Box 7" o:spid="_x0000_s1032" type="#_x0000_t202" alt="OFFICIAL" style="position:absolute;left:0;text-align:left;margin-left:0;margin-top:0;width:49pt;height:30.4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" filled="f" stroked="f">
              <v:fill o:detectmouseclick="t"/>
              <v:textbox style="mso-fit-shape-to-text:t" inset="0,0,0,15pt">
                <w:txbxContent>
                  <w:p w14:paraId="27E738FC" w14:textId="6C81F6BB" w:rsidR="006B25F5" w:rsidRPr="006B25F5" w:rsidRDefault="006B25F5" w:rsidP="006B25F5">
                    <w:pPr>
                      <w:spacing w:after="0"/>
                      <w:rPr>
                        <w:rFonts w:ascii="Aptos" w:hAnsi="Aptos" w:cs="Aptos"/>
                        <w:noProof/>
                        <w:color w:val="FF0000"/>
                        <w:sz w:val="24"/>
                        <w:szCs w:val="24"/>
                      </w:rPr>
                    </w:pPr>
                    <w:r w:rsidRPr="006B25F5">
                      <w:rPr>
                        <w:rFonts w:ascii="Aptos" w:hAnsi="Aptos" w:cs="Aptos"/>
                        <w:noProof/>
                        <w:color w:val="FF0000"/>
                        <w:sz w:val="24"/>
                        <w:szCs w:val="24"/>
                      </w:rPr>
                      <w:t>OFFICIAL</w:t>
                    </w:r>
                  </w:p>
                </w:txbxContent>
              </v:textbox>
              <w10:wrap anchorx="page" anchory="page"/>
            </v:shape>
          </w:pict>
        </mc:Fallback>
      </mc:AlternateContent>
    </w:r>
    <w:sdt>
      <w:sdtPr>
        <w:id w:val="863941879"/>
        <w:docPartObj>
          <w:docPartGallery w:val="Page Numbers (Bottom of Page)"/>
          <w:docPartUnique/>
        </w:docPartObj>
      </w:sdtPr>
      <w:sdtContent>
        <w:r w:rsidR="004D2F60" w:rsidRPr="00E91368">
          <w:fldChar w:fldCharType="begin"/>
        </w:r>
        <w:r w:rsidR="004D2F60" w:rsidRPr="00E91368">
          <w:instrText xml:space="preserve"> PAGE   \* MERGEFORMAT </w:instrText>
        </w:r>
        <w:r w:rsidR="004D2F60" w:rsidRPr="00E91368">
          <w:fldChar w:fldCharType="separate"/>
        </w:r>
        <w:r w:rsidR="004D2F60" w:rsidRPr="00E91368">
          <w:t>2</w:t>
        </w:r>
        <w:r w:rsidR="004D2F60" w:rsidRPr="00E91368">
          <w:fldChar w:fldCharType="end"/>
        </w:r>
      </w:sdtContent>
    </w:sdt>
  </w:p>
  <w:p w14:paraId="10916FB7" w14:textId="77777777" w:rsidR="004D2F60" w:rsidRPr="00E91368" w:rsidRDefault="004D2F6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C4258" w14:textId="77777777" w:rsidR="005161CC" w:rsidRPr="00E91368" w:rsidRDefault="005161CC">
      <w:pPr>
        <w:spacing w:after="0" w:line="240" w:lineRule="auto"/>
      </w:pPr>
      <w:r w:rsidRPr="00E91368">
        <w:separator/>
      </w:r>
    </w:p>
  </w:footnote>
  <w:footnote w:type="continuationSeparator" w:id="0">
    <w:p w14:paraId="5EFCA96A" w14:textId="77777777" w:rsidR="005161CC" w:rsidRPr="00E91368" w:rsidRDefault="005161CC">
      <w:pPr>
        <w:spacing w:after="0" w:line="240" w:lineRule="auto"/>
      </w:pPr>
      <w:r w:rsidRPr="00E9136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0C963" w14:textId="2B48A57A" w:rsidR="006B25F5" w:rsidRDefault="006B25F5">
    <w:pPr>
      <w:pStyle w:val="Header"/>
    </w:pPr>
    <w:r>
      <w:rPr>
        <w:noProof/>
      </w:rPr>
      <mc:AlternateContent>
        <mc:Choice Requires="wps">
          <w:drawing>
            <wp:anchor distT="0" distB="0" distL="0" distR="0" simplePos="0" relativeHeight="251659264" behindDoc="0" locked="0" layoutInCell="1" allowOverlap="1" wp14:anchorId="1D010813" wp14:editId="4CEC9CBE">
              <wp:simplePos x="635" y="635"/>
              <wp:positionH relativeFrom="page">
                <wp:align>center</wp:align>
              </wp:positionH>
              <wp:positionV relativeFrom="page">
                <wp:align>top</wp:align>
              </wp:positionV>
              <wp:extent cx="622300" cy="386080"/>
              <wp:effectExtent l="0" t="0" r="6350" b="13970"/>
              <wp:wrapNone/>
              <wp:docPr id="199240217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6080"/>
                      </a:xfrm>
                      <a:prstGeom prst="rect">
                        <a:avLst/>
                      </a:prstGeom>
                      <a:noFill/>
                      <a:ln>
                        <a:noFill/>
                      </a:ln>
                    </wps:spPr>
                    <wps:txbx>
                      <w:txbxContent>
                        <w:p w14:paraId="0CD74565" w14:textId="398DEF8F" w:rsidR="006B25F5" w:rsidRPr="006B25F5" w:rsidRDefault="006B25F5" w:rsidP="006B25F5">
                          <w:pPr>
                            <w:spacing w:after="0"/>
                            <w:rPr>
                              <w:rFonts w:ascii="Aptos" w:hAnsi="Aptos" w:cs="Aptos"/>
                              <w:noProof/>
                              <w:color w:val="FF0000"/>
                              <w:sz w:val="24"/>
                              <w:szCs w:val="24"/>
                            </w:rPr>
                          </w:pPr>
                          <w:r w:rsidRPr="006B25F5">
                            <w:rPr>
                              <w:rFonts w:ascii="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010813" id="_x0000_t202" coordsize="21600,21600" o:spt="202" path="m,l,21600r21600,l21600,xe">
              <v:stroke joinstyle="miter"/>
              <v:path gradientshapeok="t" o:connecttype="rect"/>
            </v:shapetype>
            <v:shape id="Text Box 2" o:spid="_x0000_s1026" type="#_x0000_t202" alt="OFFICIAL" style="position:absolute;margin-left:0;margin-top:0;width:49pt;height:30.4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" filled="f" stroked="f">
              <v:fill o:detectmouseclick="t"/>
              <v:textbox style="mso-fit-shape-to-text:t" inset="0,15pt,0,0">
                <w:txbxContent>
                  <w:p w14:paraId="0CD74565" w14:textId="398DEF8F" w:rsidR="006B25F5" w:rsidRPr="006B25F5" w:rsidRDefault="006B25F5" w:rsidP="006B25F5">
                    <w:pPr>
                      <w:spacing w:after="0"/>
                      <w:rPr>
                        <w:rFonts w:ascii="Aptos" w:hAnsi="Aptos" w:cs="Aptos"/>
                        <w:noProof/>
                        <w:color w:val="FF0000"/>
                        <w:sz w:val="24"/>
                        <w:szCs w:val="24"/>
                      </w:rPr>
                    </w:pPr>
                    <w:r w:rsidRPr="006B25F5">
                      <w:rPr>
                        <w:rFonts w:ascii="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D38DD" w14:textId="70A408A8" w:rsidR="006B25F5" w:rsidRDefault="006B25F5">
    <w:pPr>
      <w:pStyle w:val="Header"/>
    </w:pPr>
    <w:r>
      <w:rPr>
        <w:noProof/>
      </w:rPr>
      <mc:AlternateContent>
        <mc:Choice Requires="wps">
          <w:drawing>
            <wp:anchor distT="0" distB="0" distL="0" distR="0" simplePos="0" relativeHeight="251660288" behindDoc="0" locked="0" layoutInCell="1" allowOverlap="1" wp14:anchorId="1BEC31EC" wp14:editId="3679B986">
              <wp:simplePos x="685800" y="457200"/>
              <wp:positionH relativeFrom="page">
                <wp:align>center</wp:align>
              </wp:positionH>
              <wp:positionV relativeFrom="page">
                <wp:align>top</wp:align>
              </wp:positionV>
              <wp:extent cx="622300" cy="386080"/>
              <wp:effectExtent l="0" t="0" r="6350" b="13970"/>
              <wp:wrapNone/>
              <wp:docPr id="97550098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6080"/>
                      </a:xfrm>
                      <a:prstGeom prst="rect">
                        <a:avLst/>
                      </a:prstGeom>
                      <a:noFill/>
                      <a:ln>
                        <a:noFill/>
                      </a:ln>
                    </wps:spPr>
                    <wps:txbx>
                      <w:txbxContent>
                        <w:p w14:paraId="7D9C18CD" w14:textId="68705FE4" w:rsidR="006B25F5" w:rsidRPr="006B25F5" w:rsidRDefault="006B25F5" w:rsidP="006B25F5">
                          <w:pPr>
                            <w:spacing w:after="0"/>
                            <w:rPr>
                              <w:rFonts w:ascii="Aptos" w:hAnsi="Aptos" w:cs="Aptos"/>
                              <w:noProof/>
                              <w:color w:val="FF0000"/>
                              <w:sz w:val="24"/>
                              <w:szCs w:val="24"/>
                            </w:rPr>
                          </w:pPr>
                          <w:r w:rsidRPr="006B25F5">
                            <w:rPr>
                              <w:rFonts w:ascii="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EC31EC" id="_x0000_t202" coordsize="21600,21600" o:spt="202" path="m,l,21600r21600,l21600,xe">
              <v:stroke joinstyle="miter"/>
              <v:path gradientshapeok="t" o:connecttype="rect"/>
            </v:shapetype>
            <v:shape id="Text Box 3" o:spid="_x0000_s1027" type="#_x0000_t202" alt="OFFICIAL" style="position:absolute;margin-left:0;margin-top:0;width:49pt;height:30.4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" filled="f" stroked="f">
              <v:fill o:detectmouseclick="t"/>
              <v:textbox style="mso-fit-shape-to-text:t" inset="0,15pt,0,0">
                <w:txbxContent>
                  <w:p w14:paraId="7D9C18CD" w14:textId="68705FE4" w:rsidR="006B25F5" w:rsidRPr="006B25F5" w:rsidRDefault="006B25F5" w:rsidP="006B25F5">
                    <w:pPr>
                      <w:spacing w:after="0"/>
                      <w:rPr>
                        <w:rFonts w:ascii="Aptos" w:hAnsi="Aptos" w:cs="Aptos"/>
                        <w:noProof/>
                        <w:color w:val="FF0000"/>
                        <w:sz w:val="24"/>
                        <w:szCs w:val="24"/>
                      </w:rPr>
                    </w:pPr>
                    <w:r w:rsidRPr="006B25F5">
                      <w:rPr>
                        <w:rFonts w:ascii="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C527B" w14:textId="291E8A96" w:rsidR="006B25F5" w:rsidRDefault="006B25F5">
    <w:pPr>
      <w:pStyle w:val="Header"/>
    </w:pPr>
    <w:r>
      <w:rPr>
        <w:noProof/>
      </w:rPr>
      <mc:AlternateContent>
        <mc:Choice Requires="wps">
          <w:drawing>
            <wp:anchor distT="0" distB="0" distL="0" distR="0" simplePos="0" relativeHeight="251658240" behindDoc="0" locked="0" layoutInCell="1" allowOverlap="1" wp14:anchorId="13B76C4B" wp14:editId="6C3307B1">
              <wp:simplePos x="635" y="635"/>
              <wp:positionH relativeFrom="page">
                <wp:align>center</wp:align>
              </wp:positionH>
              <wp:positionV relativeFrom="page">
                <wp:align>top</wp:align>
              </wp:positionV>
              <wp:extent cx="622300" cy="386080"/>
              <wp:effectExtent l="0" t="0" r="6350" b="13970"/>
              <wp:wrapNone/>
              <wp:docPr id="101940926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6080"/>
                      </a:xfrm>
                      <a:prstGeom prst="rect">
                        <a:avLst/>
                      </a:prstGeom>
                      <a:noFill/>
                      <a:ln>
                        <a:noFill/>
                      </a:ln>
                    </wps:spPr>
                    <wps:txbx>
                      <w:txbxContent>
                        <w:p w14:paraId="5751F82A" w14:textId="7EAA4197" w:rsidR="006B25F5" w:rsidRPr="006B25F5" w:rsidRDefault="006B25F5" w:rsidP="006B25F5">
                          <w:pPr>
                            <w:spacing w:after="0"/>
                            <w:rPr>
                              <w:rFonts w:ascii="Aptos" w:hAnsi="Aptos" w:cs="Aptos"/>
                              <w:noProof/>
                              <w:color w:val="FF0000"/>
                              <w:sz w:val="24"/>
                              <w:szCs w:val="24"/>
                            </w:rPr>
                          </w:pPr>
                          <w:r w:rsidRPr="006B25F5">
                            <w:rPr>
                              <w:rFonts w:ascii="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B76C4B" id="_x0000_t202" coordsize="21600,21600" o:spt="202" path="m,l,21600r21600,l21600,xe">
              <v:stroke joinstyle="miter"/>
              <v:path gradientshapeok="t" o:connecttype="rect"/>
            </v:shapetype>
            <v:shape id="Text Box 1" o:spid="_x0000_s1030" type="#_x0000_t202" alt="OFFICIAL" style="position:absolute;margin-left:0;margin-top:0;width:49pt;height:30.4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" filled="f" stroked="f">
              <v:fill o:detectmouseclick="t"/>
              <v:textbox style="mso-fit-shape-to-text:t" inset="0,15pt,0,0">
                <w:txbxContent>
                  <w:p w14:paraId="5751F82A" w14:textId="7EAA4197" w:rsidR="006B25F5" w:rsidRPr="006B25F5" w:rsidRDefault="006B25F5" w:rsidP="006B25F5">
                    <w:pPr>
                      <w:spacing w:after="0"/>
                      <w:rPr>
                        <w:rFonts w:ascii="Aptos" w:hAnsi="Aptos" w:cs="Aptos"/>
                        <w:noProof/>
                        <w:color w:val="FF0000"/>
                        <w:sz w:val="24"/>
                        <w:szCs w:val="24"/>
                      </w:rPr>
                    </w:pPr>
                    <w:r w:rsidRPr="006B25F5">
                      <w:rPr>
                        <w:rFonts w:ascii="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CAA0DAA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2C44F1"/>
    <w:multiLevelType w:val="hybridMultilevel"/>
    <w:tmpl w:val="CFBAC8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6453771"/>
    <w:multiLevelType w:val="hybridMultilevel"/>
    <w:tmpl w:val="4D123C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0672B0"/>
    <w:multiLevelType w:val="hybridMultilevel"/>
    <w:tmpl w:val="18A61524"/>
    <w:lvl w:ilvl="0" w:tplc="B74EC3F4">
      <w:numFmt w:val="bullet"/>
      <w:lvlText w:val="-"/>
      <w:lvlJc w:val="left"/>
      <w:pPr>
        <w:ind w:left="1080" w:hanging="360"/>
      </w:pPr>
      <w:rPr>
        <w:rFonts w:ascii="Verdana" w:eastAsiaTheme="majorEastAsia" w:hAnsi="Verdana" w:cstheme="maj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1F4A017D"/>
    <w:multiLevelType w:val="hybridMultilevel"/>
    <w:tmpl w:val="BA1C4B04"/>
    <w:lvl w:ilvl="0" w:tplc="17EE4A16">
      <w:numFmt w:val="bullet"/>
      <w:lvlText w:val="•"/>
      <w:lvlJc w:val="left"/>
      <w:pPr>
        <w:ind w:left="720" w:hanging="360"/>
      </w:pPr>
      <w:rPr>
        <w:rFonts w:ascii="Verdana" w:eastAsia="Aptos" w:hAnsi="Verdana"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F65734"/>
    <w:multiLevelType w:val="hybridMultilevel"/>
    <w:tmpl w:val="4B0C9E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DC3768"/>
    <w:multiLevelType w:val="hybridMultilevel"/>
    <w:tmpl w:val="79B6C34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2E2459B6"/>
    <w:multiLevelType w:val="multilevel"/>
    <w:tmpl w:val="BAB42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5B6892"/>
    <w:multiLevelType w:val="hybridMultilevel"/>
    <w:tmpl w:val="5C0233E2"/>
    <w:lvl w:ilvl="0" w:tplc="8F50841A">
      <w:numFmt w:val="bullet"/>
      <w:lvlText w:val="-"/>
      <w:lvlJc w:val="left"/>
      <w:pPr>
        <w:ind w:left="1080" w:hanging="360"/>
      </w:pPr>
      <w:rPr>
        <w:rFonts w:ascii="Verdana" w:eastAsiaTheme="majorEastAsia" w:hAnsi="Verdana" w:cstheme="maj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37515716"/>
    <w:multiLevelType w:val="hybridMultilevel"/>
    <w:tmpl w:val="61986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CC2B78"/>
    <w:multiLevelType w:val="hybridMultilevel"/>
    <w:tmpl w:val="9F285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0C4B7D"/>
    <w:multiLevelType w:val="multilevel"/>
    <w:tmpl w:val="A358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22334D"/>
    <w:multiLevelType w:val="hybridMultilevel"/>
    <w:tmpl w:val="C1B277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B52EB3"/>
    <w:multiLevelType w:val="hybridMultilevel"/>
    <w:tmpl w:val="7B2E1342"/>
    <w:lvl w:ilvl="0" w:tplc="317E2F1A">
      <w:numFmt w:val="bullet"/>
      <w:lvlText w:val="-"/>
      <w:lvlJc w:val="left"/>
      <w:pPr>
        <w:ind w:left="720" w:hanging="360"/>
      </w:pPr>
      <w:rPr>
        <w:rFonts w:ascii="Verdana" w:eastAsia="Aptos" w:hAnsi="Verdan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412369C"/>
    <w:multiLevelType w:val="hybridMultilevel"/>
    <w:tmpl w:val="7FB268B6"/>
    <w:lvl w:ilvl="0" w:tplc="1390CB36">
      <w:numFmt w:val="bullet"/>
      <w:lvlText w:val="-"/>
      <w:lvlJc w:val="left"/>
      <w:pPr>
        <w:ind w:left="1080" w:hanging="360"/>
      </w:pPr>
      <w:rPr>
        <w:rFonts w:ascii="Verdana" w:eastAsiaTheme="majorEastAsia" w:hAnsi="Verdana" w:cstheme="maj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49FA514E"/>
    <w:multiLevelType w:val="hybridMultilevel"/>
    <w:tmpl w:val="CFDE2E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1FA1AA8"/>
    <w:multiLevelType w:val="hybridMultilevel"/>
    <w:tmpl w:val="0D2A81F4"/>
    <w:lvl w:ilvl="0" w:tplc="CC42B696">
      <w:numFmt w:val="bullet"/>
      <w:lvlText w:val="-"/>
      <w:lvlJc w:val="left"/>
      <w:pPr>
        <w:ind w:left="1080" w:hanging="360"/>
      </w:pPr>
      <w:rPr>
        <w:rFonts w:ascii="Verdana" w:eastAsiaTheme="majorEastAsia" w:hAnsi="Verdana" w:cstheme="maj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594A24FD"/>
    <w:multiLevelType w:val="hybridMultilevel"/>
    <w:tmpl w:val="539E2A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E371BAC"/>
    <w:multiLevelType w:val="hybridMultilevel"/>
    <w:tmpl w:val="8D66F190"/>
    <w:lvl w:ilvl="0" w:tplc="2BCC7B66">
      <w:numFmt w:val="bullet"/>
      <w:lvlText w:val="-"/>
      <w:lvlJc w:val="left"/>
      <w:pPr>
        <w:ind w:left="720" w:hanging="360"/>
      </w:pPr>
      <w:rPr>
        <w:rFonts w:ascii="Aptos" w:eastAsia="Aptos" w:hAnsi="Aptos"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2856219"/>
    <w:multiLevelType w:val="hybridMultilevel"/>
    <w:tmpl w:val="4F3298EA"/>
    <w:lvl w:ilvl="0" w:tplc="3AC87DB0">
      <w:numFmt w:val="bullet"/>
      <w:lvlText w:val="-"/>
      <w:lvlJc w:val="left"/>
      <w:pPr>
        <w:ind w:left="1080" w:hanging="360"/>
      </w:pPr>
      <w:rPr>
        <w:rFonts w:ascii="Verdana" w:eastAsiaTheme="majorEastAsia" w:hAnsi="Verdana" w:cstheme="maj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632311E8"/>
    <w:multiLevelType w:val="hybridMultilevel"/>
    <w:tmpl w:val="5A6652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53A1F5B"/>
    <w:multiLevelType w:val="hybridMultilevel"/>
    <w:tmpl w:val="4DD443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9065D33"/>
    <w:multiLevelType w:val="hybridMultilevel"/>
    <w:tmpl w:val="317A6D1E"/>
    <w:lvl w:ilvl="0" w:tplc="7486BA70">
      <w:start w:val="11"/>
      <w:numFmt w:val="bullet"/>
      <w:lvlText w:val=""/>
      <w:lvlJc w:val="left"/>
      <w:pPr>
        <w:ind w:left="720" w:hanging="360"/>
      </w:pPr>
      <w:rPr>
        <w:rFonts w:ascii="Symbol" w:eastAsia="Aptos"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791CE1"/>
    <w:multiLevelType w:val="hybridMultilevel"/>
    <w:tmpl w:val="188CF5FE"/>
    <w:lvl w:ilvl="0" w:tplc="E8EC61C4">
      <w:numFmt w:val="bullet"/>
      <w:lvlText w:val="-"/>
      <w:lvlJc w:val="left"/>
      <w:pPr>
        <w:ind w:left="720" w:hanging="360"/>
      </w:pPr>
      <w:rPr>
        <w:rFonts w:ascii="Aptos" w:eastAsia="Aptos" w:hAnsi="Aptos"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18A12EA"/>
    <w:multiLevelType w:val="hybridMultilevel"/>
    <w:tmpl w:val="D99013A0"/>
    <w:lvl w:ilvl="0" w:tplc="57F853A2">
      <w:numFmt w:val="bullet"/>
      <w:lvlText w:val="-"/>
      <w:lvlJc w:val="left"/>
      <w:pPr>
        <w:ind w:left="1080" w:hanging="360"/>
      </w:pPr>
      <w:rPr>
        <w:rFonts w:ascii="Verdana" w:eastAsiaTheme="majorEastAsia" w:hAnsi="Verdana" w:cstheme="maj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73293182"/>
    <w:multiLevelType w:val="hybridMultilevel"/>
    <w:tmpl w:val="6BD2C330"/>
    <w:lvl w:ilvl="0" w:tplc="08A2AAA0">
      <w:numFmt w:val="bullet"/>
      <w:lvlText w:val="•"/>
      <w:lvlJc w:val="left"/>
      <w:pPr>
        <w:ind w:left="720" w:hanging="720"/>
      </w:pPr>
      <w:rPr>
        <w:rFonts w:ascii="Aptos" w:eastAsia="Aptos"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98942AE"/>
    <w:multiLevelType w:val="hybridMultilevel"/>
    <w:tmpl w:val="944E01B4"/>
    <w:lvl w:ilvl="0" w:tplc="0C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DAF7606"/>
    <w:multiLevelType w:val="hybridMultilevel"/>
    <w:tmpl w:val="0CF6A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5465523">
    <w:abstractNumId w:val="1"/>
  </w:num>
  <w:num w:numId="2" w16cid:durableId="1317878305">
    <w:abstractNumId w:val="15"/>
  </w:num>
  <w:num w:numId="3" w16cid:durableId="1433087146">
    <w:abstractNumId w:val="2"/>
  </w:num>
  <w:num w:numId="4" w16cid:durableId="1484858199">
    <w:abstractNumId w:val="5"/>
  </w:num>
  <w:num w:numId="5" w16cid:durableId="1584949595">
    <w:abstractNumId w:val="4"/>
  </w:num>
  <w:num w:numId="6" w16cid:durableId="1960447957">
    <w:abstractNumId w:val="0"/>
  </w:num>
  <w:num w:numId="7" w16cid:durableId="2058311026">
    <w:abstractNumId w:val="3"/>
  </w:num>
  <w:num w:numId="8" w16cid:durableId="844324733">
    <w:abstractNumId w:val="12"/>
  </w:num>
  <w:num w:numId="9" w16cid:durableId="586351290">
    <w:abstractNumId w:val="14"/>
  </w:num>
  <w:num w:numId="10" w16cid:durableId="1770419325">
    <w:abstractNumId w:val="16"/>
  </w:num>
  <w:num w:numId="11" w16cid:durableId="1523588954">
    <w:abstractNumId w:val="32"/>
  </w:num>
  <w:num w:numId="12" w16cid:durableId="1810316317">
    <w:abstractNumId w:val="6"/>
  </w:num>
  <w:num w:numId="13" w16cid:durableId="206644137">
    <w:abstractNumId w:val="27"/>
  </w:num>
  <w:num w:numId="14" w16cid:durableId="1325859192">
    <w:abstractNumId w:val="31"/>
  </w:num>
  <w:num w:numId="15" w16cid:durableId="1341008844">
    <w:abstractNumId w:val="26"/>
  </w:num>
  <w:num w:numId="16" w16cid:durableId="733553257">
    <w:abstractNumId w:val="17"/>
  </w:num>
  <w:num w:numId="17" w16cid:durableId="1678923091">
    <w:abstractNumId w:val="7"/>
  </w:num>
  <w:num w:numId="18" w16cid:durableId="1381050293">
    <w:abstractNumId w:val="28"/>
  </w:num>
  <w:num w:numId="19" w16cid:durableId="748893527">
    <w:abstractNumId w:val="23"/>
  </w:num>
  <w:num w:numId="20" w16cid:durableId="312955194">
    <w:abstractNumId w:val="22"/>
  </w:num>
  <w:num w:numId="21" w16cid:durableId="172303684">
    <w:abstractNumId w:val="20"/>
  </w:num>
  <w:num w:numId="22" w16cid:durableId="401831010">
    <w:abstractNumId w:val="11"/>
  </w:num>
  <w:num w:numId="23" w16cid:durableId="878130392">
    <w:abstractNumId w:val="30"/>
  </w:num>
  <w:num w:numId="24" w16cid:durableId="313611495">
    <w:abstractNumId w:val="25"/>
  </w:num>
  <w:num w:numId="25" w16cid:durableId="1947541938">
    <w:abstractNumId w:val="8"/>
  </w:num>
  <w:num w:numId="26" w16cid:durableId="1519074691">
    <w:abstractNumId w:val="19"/>
  </w:num>
  <w:num w:numId="27" w16cid:durableId="1081021073">
    <w:abstractNumId w:val="21"/>
  </w:num>
  <w:num w:numId="28" w16cid:durableId="896208641">
    <w:abstractNumId w:val="13"/>
  </w:num>
  <w:num w:numId="29" w16cid:durableId="1195121889">
    <w:abstractNumId w:val="24"/>
  </w:num>
  <w:num w:numId="30" w16cid:durableId="1575553711">
    <w:abstractNumId w:val="18"/>
  </w:num>
  <w:num w:numId="31" w16cid:durableId="1143423064">
    <w:abstractNumId w:val="29"/>
  </w:num>
  <w:num w:numId="32" w16cid:durableId="716123075">
    <w:abstractNumId w:val="10"/>
  </w:num>
  <w:num w:numId="33" w16cid:durableId="2091150596">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474"/>
    <w:rsid w:val="000004A3"/>
    <w:rsid w:val="00000599"/>
    <w:rsid w:val="000009F4"/>
    <w:rsid w:val="00000CD3"/>
    <w:rsid w:val="00000D18"/>
    <w:rsid w:val="00001472"/>
    <w:rsid w:val="0000192D"/>
    <w:rsid w:val="00001ADE"/>
    <w:rsid w:val="0000231B"/>
    <w:rsid w:val="000024AC"/>
    <w:rsid w:val="000025EE"/>
    <w:rsid w:val="0000284F"/>
    <w:rsid w:val="0000290F"/>
    <w:rsid w:val="00002950"/>
    <w:rsid w:val="000036A0"/>
    <w:rsid w:val="00003D2E"/>
    <w:rsid w:val="00003FFC"/>
    <w:rsid w:val="000041B0"/>
    <w:rsid w:val="000041DB"/>
    <w:rsid w:val="00004439"/>
    <w:rsid w:val="0000457D"/>
    <w:rsid w:val="000049A0"/>
    <w:rsid w:val="000058DF"/>
    <w:rsid w:val="00005A90"/>
    <w:rsid w:val="00006167"/>
    <w:rsid w:val="00006194"/>
    <w:rsid w:val="0000646C"/>
    <w:rsid w:val="00006489"/>
    <w:rsid w:val="000064E1"/>
    <w:rsid w:val="000065AC"/>
    <w:rsid w:val="0000707E"/>
    <w:rsid w:val="000071ED"/>
    <w:rsid w:val="00007DA0"/>
    <w:rsid w:val="00010472"/>
    <w:rsid w:val="00010A7E"/>
    <w:rsid w:val="00010CBC"/>
    <w:rsid w:val="00011396"/>
    <w:rsid w:val="000113E3"/>
    <w:rsid w:val="000113FD"/>
    <w:rsid w:val="000114B8"/>
    <w:rsid w:val="000119E3"/>
    <w:rsid w:val="00011B64"/>
    <w:rsid w:val="00011DA9"/>
    <w:rsid w:val="0001251C"/>
    <w:rsid w:val="0001273A"/>
    <w:rsid w:val="00012C86"/>
    <w:rsid w:val="00012D75"/>
    <w:rsid w:val="00012F1A"/>
    <w:rsid w:val="00013044"/>
    <w:rsid w:val="00013344"/>
    <w:rsid w:val="000136A4"/>
    <w:rsid w:val="00013DCA"/>
    <w:rsid w:val="00013FA4"/>
    <w:rsid w:val="00014170"/>
    <w:rsid w:val="00014403"/>
    <w:rsid w:val="00014592"/>
    <w:rsid w:val="00014665"/>
    <w:rsid w:val="00014669"/>
    <w:rsid w:val="000146C1"/>
    <w:rsid w:val="00014AAE"/>
    <w:rsid w:val="00015035"/>
    <w:rsid w:val="000151CE"/>
    <w:rsid w:val="000152C0"/>
    <w:rsid w:val="00015D7B"/>
    <w:rsid w:val="0001630E"/>
    <w:rsid w:val="0001637B"/>
    <w:rsid w:val="000168C2"/>
    <w:rsid w:val="00017216"/>
    <w:rsid w:val="0001755D"/>
    <w:rsid w:val="00017873"/>
    <w:rsid w:val="00017A48"/>
    <w:rsid w:val="00017C80"/>
    <w:rsid w:val="00017FA7"/>
    <w:rsid w:val="00020292"/>
    <w:rsid w:val="000202EC"/>
    <w:rsid w:val="0002031D"/>
    <w:rsid w:val="00020984"/>
    <w:rsid w:val="000209ED"/>
    <w:rsid w:val="00020C8A"/>
    <w:rsid w:val="00020D1D"/>
    <w:rsid w:val="0002119C"/>
    <w:rsid w:val="0002137D"/>
    <w:rsid w:val="00021389"/>
    <w:rsid w:val="0002174B"/>
    <w:rsid w:val="00021A82"/>
    <w:rsid w:val="00022009"/>
    <w:rsid w:val="00022235"/>
    <w:rsid w:val="000223BF"/>
    <w:rsid w:val="0002248F"/>
    <w:rsid w:val="000224AB"/>
    <w:rsid w:val="00022726"/>
    <w:rsid w:val="00022AFF"/>
    <w:rsid w:val="00022C77"/>
    <w:rsid w:val="00023476"/>
    <w:rsid w:val="000239E8"/>
    <w:rsid w:val="00023B24"/>
    <w:rsid w:val="0002424C"/>
    <w:rsid w:val="00024558"/>
    <w:rsid w:val="00024693"/>
    <w:rsid w:val="0002470F"/>
    <w:rsid w:val="000247F2"/>
    <w:rsid w:val="00024879"/>
    <w:rsid w:val="000249C3"/>
    <w:rsid w:val="00024A8A"/>
    <w:rsid w:val="00025017"/>
    <w:rsid w:val="00025045"/>
    <w:rsid w:val="000253B4"/>
    <w:rsid w:val="000257A4"/>
    <w:rsid w:val="00025FAB"/>
    <w:rsid w:val="00026260"/>
    <w:rsid w:val="000263BF"/>
    <w:rsid w:val="00026473"/>
    <w:rsid w:val="0002688C"/>
    <w:rsid w:val="00026E79"/>
    <w:rsid w:val="000270E5"/>
    <w:rsid w:val="000271DA"/>
    <w:rsid w:val="000273C8"/>
    <w:rsid w:val="00027AB0"/>
    <w:rsid w:val="00027AD6"/>
    <w:rsid w:val="00027FC2"/>
    <w:rsid w:val="00030453"/>
    <w:rsid w:val="00030731"/>
    <w:rsid w:val="00030CF2"/>
    <w:rsid w:val="00031142"/>
    <w:rsid w:val="00031CC2"/>
    <w:rsid w:val="00031DEB"/>
    <w:rsid w:val="000325B9"/>
    <w:rsid w:val="0003298E"/>
    <w:rsid w:val="000329EB"/>
    <w:rsid w:val="00032A1A"/>
    <w:rsid w:val="00032A8E"/>
    <w:rsid w:val="00032BC0"/>
    <w:rsid w:val="0003319D"/>
    <w:rsid w:val="00033689"/>
    <w:rsid w:val="000337A8"/>
    <w:rsid w:val="00033829"/>
    <w:rsid w:val="00033C84"/>
    <w:rsid w:val="00033E70"/>
    <w:rsid w:val="000342A9"/>
    <w:rsid w:val="0003435F"/>
    <w:rsid w:val="00034616"/>
    <w:rsid w:val="00034852"/>
    <w:rsid w:val="00034960"/>
    <w:rsid w:val="00034F28"/>
    <w:rsid w:val="00035332"/>
    <w:rsid w:val="0003585B"/>
    <w:rsid w:val="00035A3C"/>
    <w:rsid w:val="00035B0F"/>
    <w:rsid w:val="00035E00"/>
    <w:rsid w:val="00035FA2"/>
    <w:rsid w:val="00035FB7"/>
    <w:rsid w:val="00036194"/>
    <w:rsid w:val="00036410"/>
    <w:rsid w:val="00036573"/>
    <w:rsid w:val="00036671"/>
    <w:rsid w:val="00036952"/>
    <w:rsid w:val="00036A13"/>
    <w:rsid w:val="00036E01"/>
    <w:rsid w:val="000370E6"/>
    <w:rsid w:val="00037227"/>
    <w:rsid w:val="00037917"/>
    <w:rsid w:val="00037A94"/>
    <w:rsid w:val="00037AB8"/>
    <w:rsid w:val="00037E77"/>
    <w:rsid w:val="00037F62"/>
    <w:rsid w:val="000403C0"/>
    <w:rsid w:val="00041000"/>
    <w:rsid w:val="00041700"/>
    <w:rsid w:val="00041B7D"/>
    <w:rsid w:val="00041F3B"/>
    <w:rsid w:val="00042209"/>
    <w:rsid w:val="00042506"/>
    <w:rsid w:val="000428AB"/>
    <w:rsid w:val="00042B0A"/>
    <w:rsid w:val="00042C39"/>
    <w:rsid w:val="000430C6"/>
    <w:rsid w:val="000433BC"/>
    <w:rsid w:val="00043417"/>
    <w:rsid w:val="000434B5"/>
    <w:rsid w:val="00043800"/>
    <w:rsid w:val="00043DAA"/>
    <w:rsid w:val="0004427F"/>
    <w:rsid w:val="0004449A"/>
    <w:rsid w:val="0004475B"/>
    <w:rsid w:val="00044A86"/>
    <w:rsid w:val="00044B23"/>
    <w:rsid w:val="00044C0D"/>
    <w:rsid w:val="00045190"/>
    <w:rsid w:val="000451B2"/>
    <w:rsid w:val="000458C2"/>
    <w:rsid w:val="0004664A"/>
    <w:rsid w:val="00046732"/>
    <w:rsid w:val="000468BF"/>
    <w:rsid w:val="00046CD6"/>
    <w:rsid w:val="00047129"/>
    <w:rsid w:val="00047230"/>
    <w:rsid w:val="0004736B"/>
    <w:rsid w:val="00047702"/>
    <w:rsid w:val="00047BEF"/>
    <w:rsid w:val="00047CD2"/>
    <w:rsid w:val="00050105"/>
    <w:rsid w:val="000503A7"/>
    <w:rsid w:val="0005047E"/>
    <w:rsid w:val="00050779"/>
    <w:rsid w:val="0005096C"/>
    <w:rsid w:val="00050AAA"/>
    <w:rsid w:val="00050C15"/>
    <w:rsid w:val="00050C4E"/>
    <w:rsid w:val="000510EB"/>
    <w:rsid w:val="000517D3"/>
    <w:rsid w:val="000518C1"/>
    <w:rsid w:val="00051C5E"/>
    <w:rsid w:val="00051E5E"/>
    <w:rsid w:val="000520B2"/>
    <w:rsid w:val="00052226"/>
    <w:rsid w:val="00052595"/>
    <w:rsid w:val="00052AF8"/>
    <w:rsid w:val="00052D46"/>
    <w:rsid w:val="00053271"/>
    <w:rsid w:val="0005364E"/>
    <w:rsid w:val="00053784"/>
    <w:rsid w:val="00053957"/>
    <w:rsid w:val="00053B41"/>
    <w:rsid w:val="00053B9B"/>
    <w:rsid w:val="00053C1C"/>
    <w:rsid w:val="00053E68"/>
    <w:rsid w:val="00054367"/>
    <w:rsid w:val="00054AEC"/>
    <w:rsid w:val="00054B11"/>
    <w:rsid w:val="0005517E"/>
    <w:rsid w:val="000552F8"/>
    <w:rsid w:val="000558F1"/>
    <w:rsid w:val="00055ABC"/>
    <w:rsid w:val="00055D9C"/>
    <w:rsid w:val="00055DC5"/>
    <w:rsid w:val="00055E5B"/>
    <w:rsid w:val="0005610E"/>
    <w:rsid w:val="0005611D"/>
    <w:rsid w:val="00056654"/>
    <w:rsid w:val="000568BF"/>
    <w:rsid w:val="00056A1B"/>
    <w:rsid w:val="00056ADF"/>
    <w:rsid w:val="00056E63"/>
    <w:rsid w:val="00056FCA"/>
    <w:rsid w:val="00057640"/>
    <w:rsid w:val="00057BDB"/>
    <w:rsid w:val="00057CCB"/>
    <w:rsid w:val="00057CF6"/>
    <w:rsid w:val="00057D6D"/>
    <w:rsid w:val="00057DBF"/>
    <w:rsid w:val="000603F8"/>
    <w:rsid w:val="00060468"/>
    <w:rsid w:val="000605C1"/>
    <w:rsid w:val="00060638"/>
    <w:rsid w:val="0006063C"/>
    <w:rsid w:val="00060F54"/>
    <w:rsid w:val="0006207F"/>
    <w:rsid w:val="0006379C"/>
    <w:rsid w:val="00063840"/>
    <w:rsid w:val="00063A68"/>
    <w:rsid w:val="00063D8D"/>
    <w:rsid w:val="000644D4"/>
    <w:rsid w:val="000645C9"/>
    <w:rsid w:val="00064833"/>
    <w:rsid w:val="000649FA"/>
    <w:rsid w:val="00064AFD"/>
    <w:rsid w:val="00064F97"/>
    <w:rsid w:val="00065220"/>
    <w:rsid w:val="00065581"/>
    <w:rsid w:val="00065F1B"/>
    <w:rsid w:val="0006616E"/>
    <w:rsid w:val="0006637B"/>
    <w:rsid w:val="000665D3"/>
    <w:rsid w:val="00066893"/>
    <w:rsid w:val="0006697E"/>
    <w:rsid w:val="00066AE3"/>
    <w:rsid w:val="00066C93"/>
    <w:rsid w:val="0006704D"/>
    <w:rsid w:val="000670B1"/>
    <w:rsid w:val="00067170"/>
    <w:rsid w:val="000676BB"/>
    <w:rsid w:val="0006784F"/>
    <w:rsid w:val="00067B34"/>
    <w:rsid w:val="00067B69"/>
    <w:rsid w:val="00067C34"/>
    <w:rsid w:val="00067D01"/>
    <w:rsid w:val="00067D23"/>
    <w:rsid w:val="00067E39"/>
    <w:rsid w:val="00071403"/>
    <w:rsid w:val="00071474"/>
    <w:rsid w:val="00071B17"/>
    <w:rsid w:val="00071E92"/>
    <w:rsid w:val="000721B2"/>
    <w:rsid w:val="00072233"/>
    <w:rsid w:val="00072290"/>
    <w:rsid w:val="00072EF1"/>
    <w:rsid w:val="00073789"/>
    <w:rsid w:val="00073D05"/>
    <w:rsid w:val="00074039"/>
    <w:rsid w:val="000743F0"/>
    <w:rsid w:val="00074611"/>
    <w:rsid w:val="000747D0"/>
    <w:rsid w:val="00074FDA"/>
    <w:rsid w:val="0007572E"/>
    <w:rsid w:val="00075A3F"/>
    <w:rsid w:val="000763E5"/>
    <w:rsid w:val="00076427"/>
    <w:rsid w:val="000767F2"/>
    <w:rsid w:val="0007692A"/>
    <w:rsid w:val="00076B5D"/>
    <w:rsid w:val="00076CDF"/>
    <w:rsid w:val="00076E28"/>
    <w:rsid w:val="000772C1"/>
    <w:rsid w:val="0007746F"/>
    <w:rsid w:val="00077899"/>
    <w:rsid w:val="00077BF4"/>
    <w:rsid w:val="00077EA5"/>
    <w:rsid w:val="000807F6"/>
    <w:rsid w:val="00080868"/>
    <w:rsid w:val="00080FC9"/>
    <w:rsid w:val="000810BE"/>
    <w:rsid w:val="000812A3"/>
    <w:rsid w:val="000812CB"/>
    <w:rsid w:val="000814C7"/>
    <w:rsid w:val="00081C7F"/>
    <w:rsid w:val="00081D64"/>
    <w:rsid w:val="00081DD2"/>
    <w:rsid w:val="000821F0"/>
    <w:rsid w:val="0008223C"/>
    <w:rsid w:val="000822A7"/>
    <w:rsid w:val="00082621"/>
    <w:rsid w:val="00082BB7"/>
    <w:rsid w:val="00082EC7"/>
    <w:rsid w:val="00082EF7"/>
    <w:rsid w:val="00083351"/>
    <w:rsid w:val="00083860"/>
    <w:rsid w:val="00083D9C"/>
    <w:rsid w:val="000844C8"/>
    <w:rsid w:val="000846D8"/>
    <w:rsid w:val="00084B00"/>
    <w:rsid w:val="00084E8D"/>
    <w:rsid w:val="00085039"/>
    <w:rsid w:val="0008519B"/>
    <w:rsid w:val="000854A7"/>
    <w:rsid w:val="00085673"/>
    <w:rsid w:val="000858F9"/>
    <w:rsid w:val="00085923"/>
    <w:rsid w:val="00085C14"/>
    <w:rsid w:val="00086330"/>
    <w:rsid w:val="00086446"/>
    <w:rsid w:val="00086665"/>
    <w:rsid w:val="00086C34"/>
    <w:rsid w:val="000871E0"/>
    <w:rsid w:val="00087289"/>
    <w:rsid w:val="00087534"/>
    <w:rsid w:val="0008760A"/>
    <w:rsid w:val="00087887"/>
    <w:rsid w:val="000879B0"/>
    <w:rsid w:val="000879DF"/>
    <w:rsid w:val="00090461"/>
    <w:rsid w:val="0009054A"/>
    <w:rsid w:val="00090658"/>
    <w:rsid w:val="000907E3"/>
    <w:rsid w:val="000907FA"/>
    <w:rsid w:val="0009084B"/>
    <w:rsid w:val="000908E5"/>
    <w:rsid w:val="00090A52"/>
    <w:rsid w:val="00090DA0"/>
    <w:rsid w:val="00090EAE"/>
    <w:rsid w:val="00090F12"/>
    <w:rsid w:val="00091012"/>
    <w:rsid w:val="00091217"/>
    <w:rsid w:val="00091F06"/>
    <w:rsid w:val="00093001"/>
    <w:rsid w:val="000931F2"/>
    <w:rsid w:val="00093208"/>
    <w:rsid w:val="000934EC"/>
    <w:rsid w:val="00093507"/>
    <w:rsid w:val="0009478A"/>
    <w:rsid w:val="00094ADD"/>
    <w:rsid w:val="00094B2E"/>
    <w:rsid w:val="00094BF2"/>
    <w:rsid w:val="00094C7F"/>
    <w:rsid w:val="00094E90"/>
    <w:rsid w:val="0009560D"/>
    <w:rsid w:val="00095634"/>
    <w:rsid w:val="00095A2B"/>
    <w:rsid w:val="00095DBA"/>
    <w:rsid w:val="00095FF4"/>
    <w:rsid w:val="000960B3"/>
    <w:rsid w:val="000961A9"/>
    <w:rsid w:val="000962B3"/>
    <w:rsid w:val="00096471"/>
    <w:rsid w:val="00096503"/>
    <w:rsid w:val="00096AC7"/>
    <w:rsid w:val="00096EA3"/>
    <w:rsid w:val="00097135"/>
    <w:rsid w:val="000973FB"/>
    <w:rsid w:val="0009760B"/>
    <w:rsid w:val="00097BFC"/>
    <w:rsid w:val="00097C0C"/>
    <w:rsid w:val="00097E1E"/>
    <w:rsid w:val="00097F13"/>
    <w:rsid w:val="000A05F1"/>
    <w:rsid w:val="000A08AC"/>
    <w:rsid w:val="000A0E1B"/>
    <w:rsid w:val="000A0E2E"/>
    <w:rsid w:val="000A1859"/>
    <w:rsid w:val="000A1972"/>
    <w:rsid w:val="000A1AAE"/>
    <w:rsid w:val="000A1E14"/>
    <w:rsid w:val="000A1EB9"/>
    <w:rsid w:val="000A205F"/>
    <w:rsid w:val="000A2FF7"/>
    <w:rsid w:val="000A381E"/>
    <w:rsid w:val="000A383F"/>
    <w:rsid w:val="000A3A77"/>
    <w:rsid w:val="000A3B21"/>
    <w:rsid w:val="000A3CA0"/>
    <w:rsid w:val="000A3CCD"/>
    <w:rsid w:val="000A3DAB"/>
    <w:rsid w:val="000A3F15"/>
    <w:rsid w:val="000A4006"/>
    <w:rsid w:val="000A4163"/>
    <w:rsid w:val="000A48E2"/>
    <w:rsid w:val="000A4AE9"/>
    <w:rsid w:val="000A5009"/>
    <w:rsid w:val="000A528F"/>
    <w:rsid w:val="000A5388"/>
    <w:rsid w:val="000A5A4C"/>
    <w:rsid w:val="000A5B53"/>
    <w:rsid w:val="000A5F07"/>
    <w:rsid w:val="000A60DD"/>
    <w:rsid w:val="000A61C4"/>
    <w:rsid w:val="000A6833"/>
    <w:rsid w:val="000A6CF7"/>
    <w:rsid w:val="000A741F"/>
    <w:rsid w:val="000A78A4"/>
    <w:rsid w:val="000A7AFB"/>
    <w:rsid w:val="000A7CC5"/>
    <w:rsid w:val="000B0574"/>
    <w:rsid w:val="000B0ADA"/>
    <w:rsid w:val="000B0BB5"/>
    <w:rsid w:val="000B0C00"/>
    <w:rsid w:val="000B0D3D"/>
    <w:rsid w:val="000B0EB7"/>
    <w:rsid w:val="000B11C5"/>
    <w:rsid w:val="000B15B7"/>
    <w:rsid w:val="000B19B1"/>
    <w:rsid w:val="000B1C57"/>
    <w:rsid w:val="000B1EC1"/>
    <w:rsid w:val="000B206B"/>
    <w:rsid w:val="000B21B5"/>
    <w:rsid w:val="000B22FF"/>
    <w:rsid w:val="000B2957"/>
    <w:rsid w:val="000B326D"/>
    <w:rsid w:val="000B343D"/>
    <w:rsid w:val="000B35B7"/>
    <w:rsid w:val="000B3820"/>
    <w:rsid w:val="000B39C4"/>
    <w:rsid w:val="000B3A1B"/>
    <w:rsid w:val="000B3EA3"/>
    <w:rsid w:val="000B445E"/>
    <w:rsid w:val="000B452A"/>
    <w:rsid w:val="000B45AC"/>
    <w:rsid w:val="000B4D9B"/>
    <w:rsid w:val="000B51AB"/>
    <w:rsid w:val="000B58CE"/>
    <w:rsid w:val="000B5967"/>
    <w:rsid w:val="000B5BF9"/>
    <w:rsid w:val="000B5F53"/>
    <w:rsid w:val="000B628A"/>
    <w:rsid w:val="000B6428"/>
    <w:rsid w:val="000B6DD8"/>
    <w:rsid w:val="000B7653"/>
    <w:rsid w:val="000B7FC9"/>
    <w:rsid w:val="000C0201"/>
    <w:rsid w:val="000C0871"/>
    <w:rsid w:val="000C0FA9"/>
    <w:rsid w:val="000C10E8"/>
    <w:rsid w:val="000C159C"/>
    <w:rsid w:val="000C184B"/>
    <w:rsid w:val="000C1929"/>
    <w:rsid w:val="000C1933"/>
    <w:rsid w:val="000C1B2F"/>
    <w:rsid w:val="000C2258"/>
    <w:rsid w:val="000C2643"/>
    <w:rsid w:val="000C27B9"/>
    <w:rsid w:val="000C28D7"/>
    <w:rsid w:val="000C2C3A"/>
    <w:rsid w:val="000C2D4D"/>
    <w:rsid w:val="000C31CF"/>
    <w:rsid w:val="000C3597"/>
    <w:rsid w:val="000C38C7"/>
    <w:rsid w:val="000C3D67"/>
    <w:rsid w:val="000C3F03"/>
    <w:rsid w:val="000C4CED"/>
    <w:rsid w:val="000C4D52"/>
    <w:rsid w:val="000C4EF1"/>
    <w:rsid w:val="000C4FFD"/>
    <w:rsid w:val="000C5028"/>
    <w:rsid w:val="000C50EE"/>
    <w:rsid w:val="000C5711"/>
    <w:rsid w:val="000C5A56"/>
    <w:rsid w:val="000C5FB7"/>
    <w:rsid w:val="000C6156"/>
    <w:rsid w:val="000C6A8A"/>
    <w:rsid w:val="000C7239"/>
    <w:rsid w:val="000C767D"/>
    <w:rsid w:val="000C7712"/>
    <w:rsid w:val="000C7AA5"/>
    <w:rsid w:val="000C7CFA"/>
    <w:rsid w:val="000D00B6"/>
    <w:rsid w:val="000D0724"/>
    <w:rsid w:val="000D0C4B"/>
    <w:rsid w:val="000D0CC4"/>
    <w:rsid w:val="000D0EE0"/>
    <w:rsid w:val="000D125E"/>
    <w:rsid w:val="000D12AA"/>
    <w:rsid w:val="000D17DD"/>
    <w:rsid w:val="000D1A8A"/>
    <w:rsid w:val="000D2031"/>
    <w:rsid w:val="000D22F6"/>
    <w:rsid w:val="000D24A6"/>
    <w:rsid w:val="000D2568"/>
    <w:rsid w:val="000D28BA"/>
    <w:rsid w:val="000D2B81"/>
    <w:rsid w:val="000D2D6A"/>
    <w:rsid w:val="000D3904"/>
    <w:rsid w:val="000D498B"/>
    <w:rsid w:val="000D4B09"/>
    <w:rsid w:val="000D4BFA"/>
    <w:rsid w:val="000D52CF"/>
    <w:rsid w:val="000D6405"/>
    <w:rsid w:val="000D68CE"/>
    <w:rsid w:val="000D6A80"/>
    <w:rsid w:val="000D6E47"/>
    <w:rsid w:val="000D6F43"/>
    <w:rsid w:val="000D6F4F"/>
    <w:rsid w:val="000D7176"/>
    <w:rsid w:val="000D7456"/>
    <w:rsid w:val="000D75E5"/>
    <w:rsid w:val="000D7629"/>
    <w:rsid w:val="000D781D"/>
    <w:rsid w:val="000D79FF"/>
    <w:rsid w:val="000D7BDE"/>
    <w:rsid w:val="000E0203"/>
    <w:rsid w:val="000E0516"/>
    <w:rsid w:val="000E090F"/>
    <w:rsid w:val="000E104A"/>
    <w:rsid w:val="000E14E7"/>
    <w:rsid w:val="000E1552"/>
    <w:rsid w:val="000E1E77"/>
    <w:rsid w:val="000E1ECE"/>
    <w:rsid w:val="000E211E"/>
    <w:rsid w:val="000E252C"/>
    <w:rsid w:val="000E2D34"/>
    <w:rsid w:val="000E2DE9"/>
    <w:rsid w:val="000E3899"/>
    <w:rsid w:val="000E3A23"/>
    <w:rsid w:val="000E3B4C"/>
    <w:rsid w:val="000E3E13"/>
    <w:rsid w:val="000E43D3"/>
    <w:rsid w:val="000E4719"/>
    <w:rsid w:val="000E488B"/>
    <w:rsid w:val="000E4942"/>
    <w:rsid w:val="000E4FF8"/>
    <w:rsid w:val="000E5213"/>
    <w:rsid w:val="000E53B6"/>
    <w:rsid w:val="000E53C9"/>
    <w:rsid w:val="000E558B"/>
    <w:rsid w:val="000E561A"/>
    <w:rsid w:val="000E57A5"/>
    <w:rsid w:val="000E59AD"/>
    <w:rsid w:val="000E5D46"/>
    <w:rsid w:val="000E63B2"/>
    <w:rsid w:val="000E648A"/>
    <w:rsid w:val="000E6875"/>
    <w:rsid w:val="000E6C55"/>
    <w:rsid w:val="000E7379"/>
    <w:rsid w:val="000E74C9"/>
    <w:rsid w:val="000E7849"/>
    <w:rsid w:val="000E7B1F"/>
    <w:rsid w:val="000E7ECC"/>
    <w:rsid w:val="000F00FE"/>
    <w:rsid w:val="000F01C4"/>
    <w:rsid w:val="000F0295"/>
    <w:rsid w:val="000F0693"/>
    <w:rsid w:val="000F0A1C"/>
    <w:rsid w:val="000F108C"/>
    <w:rsid w:val="000F1192"/>
    <w:rsid w:val="000F17BC"/>
    <w:rsid w:val="000F1BCF"/>
    <w:rsid w:val="000F2289"/>
    <w:rsid w:val="000F2534"/>
    <w:rsid w:val="000F25BD"/>
    <w:rsid w:val="000F2AB9"/>
    <w:rsid w:val="000F2CCD"/>
    <w:rsid w:val="000F2D82"/>
    <w:rsid w:val="000F2FC2"/>
    <w:rsid w:val="000F2FE2"/>
    <w:rsid w:val="000F3275"/>
    <w:rsid w:val="000F32C4"/>
    <w:rsid w:val="000F37A5"/>
    <w:rsid w:val="000F3D66"/>
    <w:rsid w:val="000F41A4"/>
    <w:rsid w:val="000F41F8"/>
    <w:rsid w:val="000F42B0"/>
    <w:rsid w:val="000F453C"/>
    <w:rsid w:val="000F4641"/>
    <w:rsid w:val="000F465F"/>
    <w:rsid w:val="000F4BBA"/>
    <w:rsid w:val="000F4D9A"/>
    <w:rsid w:val="000F4E53"/>
    <w:rsid w:val="000F4F55"/>
    <w:rsid w:val="000F4F71"/>
    <w:rsid w:val="000F517D"/>
    <w:rsid w:val="000F5A6F"/>
    <w:rsid w:val="000F5C39"/>
    <w:rsid w:val="000F5EB4"/>
    <w:rsid w:val="000F60F2"/>
    <w:rsid w:val="000F6133"/>
    <w:rsid w:val="000F61A7"/>
    <w:rsid w:val="000F65A0"/>
    <w:rsid w:val="000F685B"/>
    <w:rsid w:val="000F758F"/>
    <w:rsid w:val="000F7773"/>
    <w:rsid w:val="000F7B0A"/>
    <w:rsid w:val="000F7B2C"/>
    <w:rsid w:val="000F7C21"/>
    <w:rsid w:val="00100204"/>
    <w:rsid w:val="001009CD"/>
    <w:rsid w:val="00100A35"/>
    <w:rsid w:val="00100D6F"/>
    <w:rsid w:val="00100E3F"/>
    <w:rsid w:val="00100EBA"/>
    <w:rsid w:val="00100F1F"/>
    <w:rsid w:val="001010C8"/>
    <w:rsid w:val="00101B7B"/>
    <w:rsid w:val="00101C75"/>
    <w:rsid w:val="00101F8C"/>
    <w:rsid w:val="00102073"/>
    <w:rsid w:val="00102517"/>
    <w:rsid w:val="0010267B"/>
    <w:rsid w:val="00102F8D"/>
    <w:rsid w:val="00103403"/>
    <w:rsid w:val="0010374B"/>
    <w:rsid w:val="001037E7"/>
    <w:rsid w:val="00103C9C"/>
    <w:rsid w:val="00103EAA"/>
    <w:rsid w:val="00104142"/>
    <w:rsid w:val="001041B4"/>
    <w:rsid w:val="00104662"/>
    <w:rsid w:val="001049D4"/>
    <w:rsid w:val="00104A42"/>
    <w:rsid w:val="00104AAF"/>
    <w:rsid w:val="00104B39"/>
    <w:rsid w:val="00104C60"/>
    <w:rsid w:val="0010504C"/>
    <w:rsid w:val="00105083"/>
    <w:rsid w:val="001051A2"/>
    <w:rsid w:val="00105371"/>
    <w:rsid w:val="001056DE"/>
    <w:rsid w:val="00105B4F"/>
    <w:rsid w:val="00105EF9"/>
    <w:rsid w:val="001061B3"/>
    <w:rsid w:val="00106376"/>
    <w:rsid w:val="0010662E"/>
    <w:rsid w:val="001069A7"/>
    <w:rsid w:val="00106B8B"/>
    <w:rsid w:val="001075B4"/>
    <w:rsid w:val="00107767"/>
    <w:rsid w:val="0011083F"/>
    <w:rsid w:val="00110F44"/>
    <w:rsid w:val="0011106E"/>
    <w:rsid w:val="00111419"/>
    <w:rsid w:val="00111438"/>
    <w:rsid w:val="0011145F"/>
    <w:rsid w:val="001114F8"/>
    <w:rsid w:val="001116EE"/>
    <w:rsid w:val="00111A92"/>
    <w:rsid w:val="00111AD5"/>
    <w:rsid w:val="00111B4E"/>
    <w:rsid w:val="00111C54"/>
    <w:rsid w:val="00111CFC"/>
    <w:rsid w:val="00112081"/>
    <w:rsid w:val="00112420"/>
    <w:rsid w:val="001125F6"/>
    <w:rsid w:val="00112B75"/>
    <w:rsid w:val="00112B9C"/>
    <w:rsid w:val="00112CC2"/>
    <w:rsid w:val="00113A08"/>
    <w:rsid w:val="00113A1A"/>
    <w:rsid w:val="00114017"/>
    <w:rsid w:val="00114201"/>
    <w:rsid w:val="00114901"/>
    <w:rsid w:val="00114E7D"/>
    <w:rsid w:val="00115006"/>
    <w:rsid w:val="00115344"/>
    <w:rsid w:val="0011551C"/>
    <w:rsid w:val="00115912"/>
    <w:rsid w:val="00115A4D"/>
    <w:rsid w:val="00115C80"/>
    <w:rsid w:val="00115EFB"/>
    <w:rsid w:val="00116A0B"/>
    <w:rsid w:val="00116C8B"/>
    <w:rsid w:val="0011701A"/>
    <w:rsid w:val="00117247"/>
    <w:rsid w:val="0011753A"/>
    <w:rsid w:val="00117B49"/>
    <w:rsid w:val="00117BC4"/>
    <w:rsid w:val="00117DE5"/>
    <w:rsid w:val="00117E2D"/>
    <w:rsid w:val="0012029B"/>
    <w:rsid w:val="0012064D"/>
    <w:rsid w:val="00120861"/>
    <w:rsid w:val="0012086A"/>
    <w:rsid w:val="00120BAB"/>
    <w:rsid w:val="00120D47"/>
    <w:rsid w:val="00120F89"/>
    <w:rsid w:val="00121175"/>
    <w:rsid w:val="001216BF"/>
    <w:rsid w:val="001218F3"/>
    <w:rsid w:val="00121A44"/>
    <w:rsid w:val="00121B61"/>
    <w:rsid w:val="00121B97"/>
    <w:rsid w:val="00121C9B"/>
    <w:rsid w:val="00121D5B"/>
    <w:rsid w:val="00122066"/>
    <w:rsid w:val="00122485"/>
    <w:rsid w:val="00122508"/>
    <w:rsid w:val="0012281F"/>
    <w:rsid w:val="0012298B"/>
    <w:rsid w:val="00122B8A"/>
    <w:rsid w:val="00122D6D"/>
    <w:rsid w:val="00123107"/>
    <w:rsid w:val="001233C0"/>
    <w:rsid w:val="001234A2"/>
    <w:rsid w:val="001235FD"/>
    <w:rsid w:val="00123F63"/>
    <w:rsid w:val="001240BA"/>
    <w:rsid w:val="001243CA"/>
    <w:rsid w:val="001243FC"/>
    <w:rsid w:val="0012498E"/>
    <w:rsid w:val="00124ABD"/>
    <w:rsid w:val="00124D6D"/>
    <w:rsid w:val="00124D76"/>
    <w:rsid w:val="00125131"/>
    <w:rsid w:val="001251D7"/>
    <w:rsid w:val="001254F8"/>
    <w:rsid w:val="00125A6B"/>
    <w:rsid w:val="00126009"/>
    <w:rsid w:val="0012617F"/>
    <w:rsid w:val="001261DA"/>
    <w:rsid w:val="001264C2"/>
    <w:rsid w:val="00126533"/>
    <w:rsid w:val="001265BE"/>
    <w:rsid w:val="00126623"/>
    <w:rsid w:val="001266FF"/>
    <w:rsid w:val="00126F30"/>
    <w:rsid w:val="00126F33"/>
    <w:rsid w:val="00127028"/>
    <w:rsid w:val="00127080"/>
    <w:rsid w:val="0012718F"/>
    <w:rsid w:val="0012740D"/>
    <w:rsid w:val="00127A08"/>
    <w:rsid w:val="00127AE3"/>
    <w:rsid w:val="00127FDF"/>
    <w:rsid w:val="001302E1"/>
    <w:rsid w:val="001308F6"/>
    <w:rsid w:val="00130EDD"/>
    <w:rsid w:val="001310B4"/>
    <w:rsid w:val="001314FB"/>
    <w:rsid w:val="0013164C"/>
    <w:rsid w:val="0013166F"/>
    <w:rsid w:val="00132442"/>
    <w:rsid w:val="00132828"/>
    <w:rsid w:val="00132BB8"/>
    <w:rsid w:val="00133473"/>
    <w:rsid w:val="00133D2E"/>
    <w:rsid w:val="00133EAB"/>
    <w:rsid w:val="001345B9"/>
    <w:rsid w:val="00134633"/>
    <w:rsid w:val="001347BF"/>
    <w:rsid w:val="001347DB"/>
    <w:rsid w:val="00134BB6"/>
    <w:rsid w:val="00134EC6"/>
    <w:rsid w:val="001350BB"/>
    <w:rsid w:val="00135E37"/>
    <w:rsid w:val="00135EB4"/>
    <w:rsid w:val="0013666D"/>
    <w:rsid w:val="001366C8"/>
    <w:rsid w:val="00136BCA"/>
    <w:rsid w:val="00136EF5"/>
    <w:rsid w:val="001375CC"/>
    <w:rsid w:val="0014063E"/>
    <w:rsid w:val="001413EA"/>
    <w:rsid w:val="00141F37"/>
    <w:rsid w:val="0014225F"/>
    <w:rsid w:val="001424C7"/>
    <w:rsid w:val="00142508"/>
    <w:rsid w:val="0014257A"/>
    <w:rsid w:val="00142811"/>
    <w:rsid w:val="00142845"/>
    <w:rsid w:val="0014292F"/>
    <w:rsid w:val="00142C15"/>
    <w:rsid w:val="0014306F"/>
    <w:rsid w:val="0014362C"/>
    <w:rsid w:val="001439CE"/>
    <w:rsid w:val="001439DF"/>
    <w:rsid w:val="00143AC0"/>
    <w:rsid w:val="00144054"/>
    <w:rsid w:val="0014473D"/>
    <w:rsid w:val="00144921"/>
    <w:rsid w:val="001454F7"/>
    <w:rsid w:val="001457BE"/>
    <w:rsid w:val="00145824"/>
    <w:rsid w:val="00145862"/>
    <w:rsid w:val="00145977"/>
    <w:rsid w:val="00145AC0"/>
    <w:rsid w:val="00145B8B"/>
    <w:rsid w:val="00146121"/>
    <w:rsid w:val="00146692"/>
    <w:rsid w:val="001469A1"/>
    <w:rsid w:val="00147762"/>
    <w:rsid w:val="00147ACD"/>
    <w:rsid w:val="00147C90"/>
    <w:rsid w:val="00147F25"/>
    <w:rsid w:val="001502F3"/>
    <w:rsid w:val="001503CD"/>
    <w:rsid w:val="00150610"/>
    <w:rsid w:val="001506DA"/>
    <w:rsid w:val="0015074B"/>
    <w:rsid w:val="001508C9"/>
    <w:rsid w:val="00150919"/>
    <w:rsid w:val="00150D2C"/>
    <w:rsid w:val="00151003"/>
    <w:rsid w:val="00151E14"/>
    <w:rsid w:val="00151F1A"/>
    <w:rsid w:val="00151F6A"/>
    <w:rsid w:val="0015237D"/>
    <w:rsid w:val="0015289E"/>
    <w:rsid w:val="00152ABA"/>
    <w:rsid w:val="00152C7F"/>
    <w:rsid w:val="00152FB3"/>
    <w:rsid w:val="00153536"/>
    <w:rsid w:val="00153B14"/>
    <w:rsid w:val="00153C3B"/>
    <w:rsid w:val="00153E66"/>
    <w:rsid w:val="00153F4A"/>
    <w:rsid w:val="00154037"/>
    <w:rsid w:val="00154310"/>
    <w:rsid w:val="0015433A"/>
    <w:rsid w:val="0015435D"/>
    <w:rsid w:val="00154717"/>
    <w:rsid w:val="00154773"/>
    <w:rsid w:val="0015484E"/>
    <w:rsid w:val="00154EAD"/>
    <w:rsid w:val="001551A8"/>
    <w:rsid w:val="00155632"/>
    <w:rsid w:val="001557C5"/>
    <w:rsid w:val="001557E4"/>
    <w:rsid w:val="00155D91"/>
    <w:rsid w:val="00155EA1"/>
    <w:rsid w:val="00155EBA"/>
    <w:rsid w:val="001561D9"/>
    <w:rsid w:val="00156469"/>
    <w:rsid w:val="00156D7C"/>
    <w:rsid w:val="00156E31"/>
    <w:rsid w:val="00156EE1"/>
    <w:rsid w:val="001575DB"/>
    <w:rsid w:val="00157AA6"/>
    <w:rsid w:val="00160311"/>
    <w:rsid w:val="00160507"/>
    <w:rsid w:val="00160858"/>
    <w:rsid w:val="00160C54"/>
    <w:rsid w:val="00160E2B"/>
    <w:rsid w:val="00160ED5"/>
    <w:rsid w:val="00161394"/>
    <w:rsid w:val="001614DB"/>
    <w:rsid w:val="001615E3"/>
    <w:rsid w:val="00161796"/>
    <w:rsid w:val="00161CC6"/>
    <w:rsid w:val="00161F3C"/>
    <w:rsid w:val="001621B1"/>
    <w:rsid w:val="00162470"/>
    <w:rsid w:val="001625BA"/>
    <w:rsid w:val="0016285D"/>
    <w:rsid w:val="00162886"/>
    <w:rsid w:val="001629DC"/>
    <w:rsid w:val="001629E2"/>
    <w:rsid w:val="00162A3F"/>
    <w:rsid w:val="00162DCA"/>
    <w:rsid w:val="00162F24"/>
    <w:rsid w:val="00162FF3"/>
    <w:rsid w:val="001630CF"/>
    <w:rsid w:val="00163190"/>
    <w:rsid w:val="00163595"/>
    <w:rsid w:val="001636C1"/>
    <w:rsid w:val="0016371F"/>
    <w:rsid w:val="00163C8A"/>
    <w:rsid w:val="00163F23"/>
    <w:rsid w:val="00164C28"/>
    <w:rsid w:val="00164F5D"/>
    <w:rsid w:val="00165442"/>
    <w:rsid w:val="00165D89"/>
    <w:rsid w:val="00165F97"/>
    <w:rsid w:val="001660C8"/>
    <w:rsid w:val="001660F3"/>
    <w:rsid w:val="00166499"/>
    <w:rsid w:val="001665D6"/>
    <w:rsid w:val="0016661D"/>
    <w:rsid w:val="001668FD"/>
    <w:rsid w:val="00166A2D"/>
    <w:rsid w:val="00166A7B"/>
    <w:rsid w:val="00166AC3"/>
    <w:rsid w:val="00166E23"/>
    <w:rsid w:val="001671FC"/>
    <w:rsid w:val="0016720C"/>
    <w:rsid w:val="001675AD"/>
    <w:rsid w:val="001676EE"/>
    <w:rsid w:val="00167840"/>
    <w:rsid w:val="0016785C"/>
    <w:rsid w:val="001705B8"/>
    <w:rsid w:val="00170631"/>
    <w:rsid w:val="00170A2A"/>
    <w:rsid w:val="00170BB2"/>
    <w:rsid w:val="00170D01"/>
    <w:rsid w:val="00170E95"/>
    <w:rsid w:val="00170EF5"/>
    <w:rsid w:val="00170FFF"/>
    <w:rsid w:val="00171293"/>
    <w:rsid w:val="001714D9"/>
    <w:rsid w:val="0017179A"/>
    <w:rsid w:val="001717A4"/>
    <w:rsid w:val="00171C43"/>
    <w:rsid w:val="00171D60"/>
    <w:rsid w:val="00171D9F"/>
    <w:rsid w:val="00172111"/>
    <w:rsid w:val="001723B6"/>
    <w:rsid w:val="00172C41"/>
    <w:rsid w:val="00172D00"/>
    <w:rsid w:val="001730B9"/>
    <w:rsid w:val="0017313E"/>
    <w:rsid w:val="001731C1"/>
    <w:rsid w:val="001733A6"/>
    <w:rsid w:val="0017357C"/>
    <w:rsid w:val="0017373A"/>
    <w:rsid w:val="00173FE9"/>
    <w:rsid w:val="001740E3"/>
    <w:rsid w:val="00174831"/>
    <w:rsid w:val="001748F3"/>
    <w:rsid w:val="00174B20"/>
    <w:rsid w:val="00174DAE"/>
    <w:rsid w:val="0017517B"/>
    <w:rsid w:val="00175453"/>
    <w:rsid w:val="001754A2"/>
    <w:rsid w:val="00175863"/>
    <w:rsid w:val="00175DCA"/>
    <w:rsid w:val="0017617E"/>
    <w:rsid w:val="001763C6"/>
    <w:rsid w:val="00176683"/>
    <w:rsid w:val="0017672E"/>
    <w:rsid w:val="00176AFB"/>
    <w:rsid w:val="00176F9C"/>
    <w:rsid w:val="001771E5"/>
    <w:rsid w:val="0017774E"/>
    <w:rsid w:val="00177D0D"/>
    <w:rsid w:val="00177EDC"/>
    <w:rsid w:val="001802BE"/>
    <w:rsid w:val="0018061C"/>
    <w:rsid w:val="00180692"/>
    <w:rsid w:val="00180852"/>
    <w:rsid w:val="001809D8"/>
    <w:rsid w:val="00180BBA"/>
    <w:rsid w:val="00181019"/>
    <w:rsid w:val="00181D42"/>
    <w:rsid w:val="00181DBF"/>
    <w:rsid w:val="001821CB"/>
    <w:rsid w:val="001830FB"/>
    <w:rsid w:val="00183234"/>
    <w:rsid w:val="00183332"/>
    <w:rsid w:val="00183507"/>
    <w:rsid w:val="00183A84"/>
    <w:rsid w:val="0018408D"/>
    <w:rsid w:val="00184111"/>
    <w:rsid w:val="00184225"/>
    <w:rsid w:val="00184363"/>
    <w:rsid w:val="001845D5"/>
    <w:rsid w:val="001849B6"/>
    <w:rsid w:val="00185207"/>
    <w:rsid w:val="0018572C"/>
    <w:rsid w:val="00185E52"/>
    <w:rsid w:val="00185FE5"/>
    <w:rsid w:val="0018607B"/>
    <w:rsid w:val="00186360"/>
    <w:rsid w:val="001863C9"/>
    <w:rsid w:val="001864CE"/>
    <w:rsid w:val="00186810"/>
    <w:rsid w:val="00186A59"/>
    <w:rsid w:val="00186FE2"/>
    <w:rsid w:val="001875F1"/>
    <w:rsid w:val="001877AF"/>
    <w:rsid w:val="00187FC9"/>
    <w:rsid w:val="001907CA"/>
    <w:rsid w:val="0019080E"/>
    <w:rsid w:val="00190C91"/>
    <w:rsid w:val="00190D11"/>
    <w:rsid w:val="00190D8D"/>
    <w:rsid w:val="0019140D"/>
    <w:rsid w:val="00191773"/>
    <w:rsid w:val="001920FF"/>
    <w:rsid w:val="0019247F"/>
    <w:rsid w:val="001924FA"/>
    <w:rsid w:val="001928DC"/>
    <w:rsid w:val="00192EB8"/>
    <w:rsid w:val="00192FDA"/>
    <w:rsid w:val="001930C5"/>
    <w:rsid w:val="001933E2"/>
    <w:rsid w:val="0019361E"/>
    <w:rsid w:val="00193AF9"/>
    <w:rsid w:val="00194324"/>
    <w:rsid w:val="00194EF8"/>
    <w:rsid w:val="00194F03"/>
    <w:rsid w:val="00195357"/>
    <w:rsid w:val="00195D5B"/>
    <w:rsid w:val="00195E05"/>
    <w:rsid w:val="00195FF3"/>
    <w:rsid w:val="00196123"/>
    <w:rsid w:val="00196A29"/>
    <w:rsid w:val="00196EB2"/>
    <w:rsid w:val="00197089"/>
    <w:rsid w:val="001974E4"/>
    <w:rsid w:val="00197755"/>
    <w:rsid w:val="00197767"/>
    <w:rsid w:val="00197A3A"/>
    <w:rsid w:val="001A0206"/>
    <w:rsid w:val="001A0357"/>
    <w:rsid w:val="001A1268"/>
    <w:rsid w:val="001A14D6"/>
    <w:rsid w:val="001A155D"/>
    <w:rsid w:val="001A161A"/>
    <w:rsid w:val="001A16C5"/>
    <w:rsid w:val="001A19BB"/>
    <w:rsid w:val="001A2608"/>
    <w:rsid w:val="001A2BFC"/>
    <w:rsid w:val="001A2C9B"/>
    <w:rsid w:val="001A302B"/>
    <w:rsid w:val="001A30AE"/>
    <w:rsid w:val="001A33CA"/>
    <w:rsid w:val="001A3849"/>
    <w:rsid w:val="001A3935"/>
    <w:rsid w:val="001A3A3E"/>
    <w:rsid w:val="001A421D"/>
    <w:rsid w:val="001A446A"/>
    <w:rsid w:val="001A4472"/>
    <w:rsid w:val="001A4A36"/>
    <w:rsid w:val="001A50D7"/>
    <w:rsid w:val="001A534A"/>
    <w:rsid w:val="001A544E"/>
    <w:rsid w:val="001A5725"/>
    <w:rsid w:val="001A5F66"/>
    <w:rsid w:val="001A61A6"/>
    <w:rsid w:val="001A628C"/>
    <w:rsid w:val="001A65F5"/>
    <w:rsid w:val="001A6BCE"/>
    <w:rsid w:val="001A6D47"/>
    <w:rsid w:val="001A6E7D"/>
    <w:rsid w:val="001A733D"/>
    <w:rsid w:val="001A7969"/>
    <w:rsid w:val="001A79EE"/>
    <w:rsid w:val="001A7BD6"/>
    <w:rsid w:val="001B07CC"/>
    <w:rsid w:val="001B0CC6"/>
    <w:rsid w:val="001B109D"/>
    <w:rsid w:val="001B1138"/>
    <w:rsid w:val="001B1145"/>
    <w:rsid w:val="001B13A8"/>
    <w:rsid w:val="001B18BA"/>
    <w:rsid w:val="001B2354"/>
    <w:rsid w:val="001B25C9"/>
    <w:rsid w:val="001B2812"/>
    <w:rsid w:val="001B2820"/>
    <w:rsid w:val="001B2BBD"/>
    <w:rsid w:val="001B2D0E"/>
    <w:rsid w:val="001B33E6"/>
    <w:rsid w:val="001B3575"/>
    <w:rsid w:val="001B3A2B"/>
    <w:rsid w:val="001B4012"/>
    <w:rsid w:val="001B4090"/>
    <w:rsid w:val="001B40D2"/>
    <w:rsid w:val="001B40DF"/>
    <w:rsid w:val="001B428D"/>
    <w:rsid w:val="001B4BEE"/>
    <w:rsid w:val="001B4DDE"/>
    <w:rsid w:val="001B4F7C"/>
    <w:rsid w:val="001B5380"/>
    <w:rsid w:val="001B5822"/>
    <w:rsid w:val="001B5A9B"/>
    <w:rsid w:val="001B5EE0"/>
    <w:rsid w:val="001B5EE9"/>
    <w:rsid w:val="001B622C"/>
    <w:rsid w:val="001B6246"/>
    <w:rsid w:val="001B63A8"/>
    <w:rsid w:val="001B644B"/>
    <w:rsid w:val="001B6F5C"/>
    <w:rsid w:val="001B7097"/>
    <w:rsid w:val="001B7816"/>
    <w:rsid w:val="001B7FB5"/>
    <w:rsid w:val="001B7FE4"/>
    <w:rsid w:val="001B7FEB"/>
    <w:rsid w:val="001C0120"/>
    <w:rsid w:val="001C03BD"/>
    <w:rsid w:val="001C04EF"/>
    <w:rsid w:val="001C0A60"/>
    <w:rsid w:val="001C1065"/>
    <w:rsid w:val="001C1227"/>
    <w:rsid w:val="001C1547"/>
    <w:rsid w:val="001C17CA"/>
    <w:rsid w:val="001C1980"/>
    <w:rsid w:val="001C1F8F"/>
    <w:rsid w:val="001C2089"/>
    <w:rsid w:val="001C2171"/>
    <w:rsid w:val="001C2514"/>
    <w:rsid w:val="001C26F5"/>
    <w:rsid w:val="001C2740"/>
    <w:rsid w:val="001C281B"/>
    <w:rsid w:val="001C2D18"/>
    <w:rsid w:val="001C36E2"/>
    <w:rsid w:val="001C37C1"/>
    <w:rsid w:val="001C3873"/>
    <w:rsid w:val="001C3DC8"/>
    <w:rsid w:val="001C43CB"/>
    <w:rsid w:val="001C46EB"/>
    <w:rsid w:val="001C4E58"/>
    <w:rsid w:val="001C522C"/>
    <w:rsid w:val="001C5914"/>
    <w:rsid w:val="001C5F75"/>
    <w:rsid w:val="001C63FF"/>
    <w:rsid w:val="001C6892"/>
    <w:rsid w:val="001C6AFA"/>
    <w:rsid w:val="001C6CD0"/>
    <w:rsid w:val="001C6E38"/>
    <w:rsid w:val="001C6F9C"/>
    <w:rsid w:val="001C73A5"/>
    <w:rsid w:val="001C765B"/>
    <w:rsid w:val="001C7CF8"/>
    <w:rsid w:val="001D01B6"/>
    <w:rsid w:val="001D01E8"/>
    <w:rsid w:val="001D0355"/>
    <w:rsid w:val="001D068C"/>
    <w:rsid w:val="001D06B5"/>
    <w:rsid w:val="001D0708"/>
    <w:rsid w:val="001D0A7E"/>
    <w:rsid w:val="001D0C39"/>
    <w:rsid w:val="001D0F0C"/>
    <w:rsid w:val="001D11B4"/>
    <w:rsid w:val="001D131C"/>
    <w:rsid w:val="001D293D"/>
    <w:rsid w:val="001D3287"/>
    <w:rsid w:val="001D3942"/>
    <w:rsid w:val="001D3B7A"/>
    <w:rsid w:val="001D43A0"/>
    <w:rsid w:val="001D447C"/>
    <w:rsid w:val="001D46AB"/>
    <w:rsid w:val="001D4725"/>
    <w:rsid w:val="001D4AD2"/>
    <w:rsid w:val="001D4CF9"/>
    <w:rsid w:val="001D4F38"/>
    <w:rsid w:val="001D5B5A"/>
    <w:rsid w:val="001D5CA6"/>
    <w:rsid w:val="001D5DAB"/>
    <w:rsid w:val="001D605B"/>
    <w:rsid w:val="001D6623"/>
    <w:rsid w:val="001D67BD"/>
    <w:rsid w:val="001D6843"/>
    <w:rsid w:val="001D6995"/>
    <w:rsid w:val="001D6B20"/>
    <w:rsid w:val="001D6F49"/>
    <w:rsid w:val="001D7226"/>
    <w:rsid w:val="001D729F"/>
    <w:rsid w:val="001D7519"/>
    <w:rsid w:val="001D7706"/>
    <w:rsid w:val="001E0817"/>
    <w:rsid w:val="001E09BF"/>
    <w:rsid w:val="001E0F23"/>
    <w:rsid w:val="001E12C2"/>
    <w:rsid w:val="001E132A"/>
    <w:rsid w:val="001E13EC"/>
    <w:rsid w:val="001E1987"/>
    <w:rsid w:val="001E1EAE"/>
    <w:rsid w:val="001E21C9"/>
    <w:rsid w:val="001E2325"/>
    <w:rsid w:val="001E23E7"/>
    <w:rsid w:val="001E2E9A"/>
    <w:rsid w:val="001E2F89"/>
    <w:rsid w:val="001E3282"/>
    <w:rsid w:val="001E335B"/>
    <w:rsid w:val="001E3A51"/>
    <w:rsid w:val="001E3B0D"/>
    <w:rsid w:val="001E4007"/>
    <w:rsid w:val="001E443A"/>
    <w:rsid w:val="001E4C12"/>
    <w:rsid w:val="001E4C9F"/>
    <w:rsid w:val="001E4D81"/>
    <w:rsid w:val="001E5143"/>
    <w:rsid w:val="001E5216"/>
    <w:rsid w:val="001E53AF"/>
    <w:rsid w:val="001E583F"/>
    <w:rsid w:val="001E5881"/>
    <w:rsid w:val="001E5984"/>
    <w:rsid w:val="001E59FD"/>
    <w:rsid w:val="001E5B0F"/>
    <w:rsid w:val="001E5D0B"/>
    <w:rsid w:val="001E5E40"/>
    <w:rsid w:val="001E5EB4"/>
    <w:rsid w:val="001E628C"/>
    <w:rsid w:val="001E6777"/>
    <w:rsid w:val="001E679A"/>
    <w:rsid w:val="001E6D99"/>
    <w:rsid w:val="001E6ED6"/>
    <w:rsid w:val="001E73EE"/>
    <w:rsid w:val="001E7689"/>
    <w:rsid w:val="001E788B"/>
    <w:rsid w:val="001E7E11"/>
    <w:rsid w:val="001F01B3"/>
    <w:rsid w:val="001F03A1"/>
    <w:rsid w:val="001F0C92"/>
    <w:rsid w:val="001F103D"/>
    <w:rsid w:val="001F150B"/>
    <w:rsid w:val="001F1CA6"/>
    <w:rsid w:val="001F213E"/>
    <w:rsid w:val="001F2174"/>
    <w:rsid w:val="001F2411"/>
    <w:rsid w:val="001F2725"/>
    <w:rsid w:val="001F27B0"/>
    <w:rsid w:val="001F2C97"/>
    <w:rsid w:val="001F2E7F"/>
    <w:rsid w:val="001F3146"/>
    <w:rsid w:val="001F31F1"/>
    <w:rsid w:val="001F3612"/>
    <w:rsid w:val="001F3904"/>
    <w:rsid w:val="001F392E"/>
    <w:rsid w:val="001F3948"/>
    <w:rsid w:val="001F3977"/>
    <w:rsid w:val="001F3A3F"/>
    <w:rsid w:val="001F3A5C"/>
    <w:rsid w:val="001F3EC2"/>
    <w:rsid w:val="001F427F"/>
    <w:rsid w:val="001F4415"/>
    <w:rsid w:val="001F445B"/>
    <w:rsid w:val="001F4686"/>
    <w:rsid w:val="001F470C"/>
    <w:rsid w:val="001F472A"/>
    <w:rsid w:val="001F48CA"/>
    <w:rsid w:val="001F49D8"/>
    <w:rsid w:val="001F49E0"/>
    <w:rsid w:val="001F4FEF"/>
    <w:rsid w:val="001F50F9"/>
    <w:rsid w:val="001F5251"/>
    <w:rsid w:val="001F529F"/>
    <w:rsid w:val="001F57CE"/>
    <w:rsid w:val="001F5C4D"/>
    <w:rsid w:val="001F5CEA"/>
    <w:rsid w:val="001F5E47"/>
    <w:rsid w:val="001F6999"/>
    <w:rsid w:val="001F6A4C"/>
    <w:rsid w:val="001F74B2"/>
    <w:rsid w:val="001F7814"/>
    <w:rsid w:val="001F7EF6"/>
    <w:rsid w:val="0020018E"/>
    <w:rsid w:val="0020036E"/>
    <w:rsid w:val="00201BE2"/>
    <w:rsid w:val="00202112"/>
    <w:rsid w:val="002023AF"/>
    <w:rsid w:val="00202482"/>
    <w:rsid w:val="002026AB"/>
    <w:rsid w:val="00202C24"/>
    <w:rsid w:val="00202C25"/>
    <w:rsid w:val="0020379F"/>
    <w:rsid w:val="0020382E"/>
    <w:rsid w:val="002039B0"/>
    <w:rsid w:val="002039BA"/>
    <w:rsid w:val="00203E1A"/>
    <w:rsid w:val="002048A5"/>
    <w:rsid w:val="00204D8C"/>
    <w:rsid w:val="00204EE7"/>
    <w:rsid w:val="00204FB3"/>
    <w:rsid w:val="0020558D"/>
    <w:rsid w:val="002056FA"/>
    <w:rsid w:val="00205CEC"/>
    <w:rsid w:val="00206025"/>
    <w:rsid w:val="0020602C"/>
    <w:rsid w:val="002060E8"/>
    <w:rsid w:val="00206716"/>
    <w:rsid w:val="00206A25"/>
    <w:rsid w:val="00206E08"/>
    <w:rsid w:val="00206F26"/>
    <w:rsid w:val="002073E0"/>
    <w:rsid w:val="00207A53"/>
    <w:rsid w:val="00207AEE"/>
    <w:rsid w:val="00207CA6"/>
    <w:rsid w:val="00210289"/>
    <w:rsid w:val="00210525"/>
    <w:rsid w:val="00210F4A"/>
    <w:rsid w:val="002110B3"/>
    <w:rsid w:val="002111ED"/>
    <w:rsid w:val="002112E2"/>
    <w:rsid w:val="00211453"/>
    <w:rsid w:val="002117D2"/>
    <w:rsid w:val="00211D6A"/>
    <w:rsid w:val="00212292"/>
    <w:rsid w:val="00212785"/>
    <w:rsid w:val="002128A1"/>
    <w:rsid w:val="002128E2"/>
    <w:rsid w:val="002129D3"/>
    <w:rsid w:val="002129E2"/>
    <w:rsid w:val="00212F30"/>
    <w:rsid w:val="002134CE"/>
    <w:rsid w:val="002134E6"/>
    <w:rsid w:val="00213795"/>
    <w:rsid w:val="00213A7D"/>
    <w:rsid w:val="002140FF"/>
    <w:rsid w:val="00214117"/>
    <w:rsid w:val="002141BA"/>
    <w:rsid w:val="002143FD"/>
    <w:rsid w:val="002144F2"/>
    <w:rsid w:val="002149E5"/>
    <w:rsid w:val="00215081"/>
    <w:rsid w:val="002155A0"/>
    <w:rsid w:val="002155CF"/>
    <w:rsid w:val="00215987"/>
    <w:rsid w:val="00215AD0"/>
    <w:rsid w:val="00216312"/>
    <w:rsid w:val="00216340"/>
    <w:rsid w:val="002165C8"/>
    <w:rsid w:val="0021685B"/>
    <w:rsid w:val="002172AE"/>
    <w:rsid w:val="0021779E"/>
    <w:rsid w:val="00217A2D"/>
    <w:rsid w:val="00217D18"/>
    <w:rsid w:val="00217F8F"/>
    <w:rsid w:val="0022016C"/>
    <w:rsid w:val="002204CD"/>
    <w:rsid w:val="002207A1"/>
    <w:rsid w:val="00220897"/>
    <w:rsid w:val="00220B06"/>
    <w:rsid w:val="00221449"/>
    <w:rsid w:val="002216E6"/>
    <w:rsid w:val="00221AD5"/>
    <w:rsid w:val="00221B9C"/>
    <w:rsid w:val="00221F9D"/>
    <w:rsid w:val="00222480"/>
    <w:rsid w:val="00222703"/>
    <w:rsid w:val="0022273C"/>
    <w:rsid w:val="00222B47"/>
    <w:rsid w:val="00222D88"/>
    <w:rsid w:val="00223002"/>
    <w:rsid w:val="002230A5"/>
    <w:rsid w:val="00223137"/>
    <w:rsid w:val="0022320D"/>
    <w:rsid w:val="00223389"/>
    <w:rsid w:val="002233C5"/>
    <w:rsid w:val="002233F7"/>
    <w:rsid w:val="0022399C"/>
    <w:rsid w:val="00223FBF"/>
    <w:rsid w:val="00224192"/>
    <w:rsid w:val="002242A7"/>
    <w:rsid w:val="002245C9"/>
    <w:rsid w:val="00224978"/>
    <w:rsid w:val="00224A71"/>
    <w:rsid w:val="00224BB7"/>
    <w:rsid w:val="00224CCB"/>
    <w:rsid w:val="00224DF5"/>
    <w:rsid w:val="00224F99"/>
    <w:rsid w:val="002250C1"/>
    <w:rsid w:val="002251A1"/>
    <w:rsid w:val="0022549E"/>
    <w:rsid w:val="002254C2"/>
    <w:rsid w:val="00225560"/>
    <w:rsid w:val="00225877"/>
    <w:rsid w:val="00225D70"/>
    <w:rsid w:val="00225DEF"/>
    <w:rsid w:val="0022603E"/>
    <w:rsid w:val="00226228"/>
    <w:rsid w:val="00226C89"/>
    <w:rsid w:val="00226E06"/>
    <w:rsid w:val="00227C54"/>
    <w:rsid w:val="002308CE"/>
    <w:rsid w:val="00230947"/>
    <w:rsid w:val="00230C65"/>
    <w:rsid w:val="00230C85"/>
    <w:rsid w:val="002316DA"/>
    <w:rsid w:val="0023178C"/>
    <w:rsid w:val="00231897"/>
    <w:rsid w:val="00231A2D"/>
    <w:rsid w:val="00231A8D"/>
    <w:rsid w:val="00231DDE"/>
    <w:rsid w:val="0023213C"/>
    <w:rsid w:val="00232148"/>
    <w:rsid w:val="00232658"/>
    <w:rsid w:val="002327AB"/>
    <w:rsid w:val="00232F39"/>
    <w:rsid w:val="00232F83"/>
    <w:rsid w:val="002331B8"/>
    <w:rsid w:val="00233207"/>
    <w:rsid w:val="0023339A"/>
    <w:rsid w:val="0023345C"/>
    <w:rsid w:val="002338D3"/>
    <w:rsid w:val="00233B04"/>
    <w:rsid w:val="00233BC6"/>
    <w:rsid w:val="00233CA0"/>
    <w:rsid w:val="00233CD1"/>
    <w:rsid w:val="00233DEE"/>
    <w:rsid w:val="00233F2C"/>
    <w:rsid w:val="0023409E"/>
    <w:rsid w:val="002343C3"/>
    <w:rsid w:val="0023472E"/>
    <w:rsid w:val="00234CB1"/>
    <w:rsid w:val="00234DBF"/>
    <w:rsid w:val="00234F5B"/>
    <w:rsid w:val="002352C0"/>
    <w:rsid w:val="00235826"/>
    <w:rsid w:val="002359FA"/>
    <w:rsid w:val="00235EF9"/>
    <w:rsid w:val="00236266"/>
    <w:rsid w:val="002364EA"/>
    <w:rsid w:val="002366DF"/>
    <w:rsid w:val="00236CA4"/>
    <w:rsid w:val="00236D6C"/>
    <w:rsid w:val="00237488"/>
    <w:rsid w:val="002374FB"/>
    <w:rsid w:val="0023776D"/>
    <w:rsid w:val="002378E5"/>
    <w:rsid w:val="002379C2"/>
    <w:rsid w:val="00237A1C"/>
    <w:rsid w:val="00237C1C"/>
    <w:rsid w:val="00237D1E"/>
    <w:rsid w:val="00237EB7"/>
    <w:rsid w:val="00240461"/>
    <w:rsid w:val="0024093C"/>
    <w:rsid w:val="00240C22"/>
    <w:rsid w:val="00240FA0"/>
    <w:rsid w:val="0024146D"/>
    <w:rsid w:val="002414FE"/>
    <w:rsid w:val="00241926"/>
    <w:rsid w:val="00241947"/>
    <w:rsid w:val="00241DC5"/>
    <w:rsid w:val="00241EF1"/>
    <w:rsid w:val="002428DA"/>
    <w:rsid w:val="00242CAF"/>
    <w:rsid w:val="00242CFC"/>
    <w:rsid w:val="002430F9"/>
    <w:rsid w:val="00243239"/>
    <w:rsid w:val="00243397"/>
    <w:rsid w:val="00243483"/>
    <w:rsid w:val="00243C8C"/>
    <w:rsid w:val="0024406A"/>
    <w:rsid w:val="002440FE"/>
    <w:rsid w:val="00244563"/>
    <w:rsid w:val="00244652"/>
    <w:rsid w:val="002447D0"/>
    <w:rsid w:val="00244BE6"/>
    <w:rsid w:val="00244FA9"/>
    <w:rsid w:val="0024548F"/>
    <w:rsid w:val="00245843"/>
    <w:rsid w:val="00245AAD"/>
    <w:rsid w:val="00245BBA"/>
    <w:rsid w:val="00245C78"/>
    <w:rsid w:val="00245D3A"/>
    <w:rsid w:val="00245F84"/>
    <w:rsid w:val="00246689"/>
    <w:rsid w:val="00246775"/>
    <w:rsid w:val="002467E6"/>
    <w:rsid w:val="00246A49"/>
    <w:rsid w:val="00246DA1"/>
    <w:rsid w:val="00246DB1"/>
    <w:rsid w:val="00246FAC"/>
    <w:rsid w:val="00247114"/>
    <w:rsid w:val="00247144"/>
    <w:rsid w:val="002473F2"/>
    <w:rsid w:val="0024744B"/>
    <w:rsid w:val="00247475"/>
    <w:rsid w:val="00247A23"/>
    <w:rsid w:val="00250091"/>
    <w:rsid w:val="00250472"/>
    <w:rsid w:val="002505DA"/>
    <w:rsid w:val="002507E6"/>
    <w:rsid w:val="002511EA"/>
    <w:rsid w:val="00251777"/>
    <w:rsid w:val="00251CB3"/>
    <w:rsid w:val="00251EA2"/>
    <w:rsid w:val="002523A7"/>
    <w:rsid w:val="0025246D"/>
    <w:rsid w:val="002525B8"/>
    <w:rsid w:val="00252639"/>
    <w:rsid w:val="00252DB6"/>
    <w:rsid w:val="00252EAE"/>
    <w:rsid w:val="002531D0"/>
    <w:rsid w:val="00253352"/>
    <w:rsid w:val="0025355F"/>
    <w:rsid w:val="0025373D"/>
    <w:rsid w:val="0025377D"/>
    <w:rsid w:val="0025388C"/>
    <w:rsid w:val="00253D85"/>
    <w:rsid w:val="0025422A"/>
    <w:rsid w:val="002547F4"/>
    <w:rsid w:val="002549FE"/>
    <w:rsid w:val="00254DFF"/>
    <w:rsid w:val="00255044"/>
    <w:rsid w:val="0025535E"/>
    <w:rsid w:val="0025535F"/>
    <w:rsid w:val="00255548"/>
    <w:rsid w:val="0025559C"/>
    <w:rsid w:val="00255972"/>
    <w:rsid w:val="00255E48"/>
    <w:rsid w:val="00255F3C"/>
    <w:rsid w:val="00256077"/>
    <w:rsid w:val="00256259"/>
    <w:rsid w:val="00256306"/>
    <w:rsid w:val="00256458"/>
    <w:rsid w:val="002569E6"/>
    <w:rsid w:val="00256CCB"/>
    <w:rsid w:val="00257102"/>
    <w:rsid w:val="00257B9E"/>
    <w:rsid w:val="00260046"/>
    <w:rsid w:val="002606D4"/>
    <w:rsid w:val="002607B5"/>
    <w:rsid w:val="0026088C"/>
    <w:rsid w:val="002609EA"/>
    <w:rsid w:val="002609F0"/>
    <w:rsid w:val="00260E5F"/>
    <w:rsid w:val="00261409"/>
    <w:rsid w:val="0026155F"/>
    <w:rsid w:val="00261733"/>
    <w:rsid w:val="00261B0F"/>
    <w:rsid w:val="002620FB"/>
    <w:rsid w:val="00262121"/>
    <w:rsid w:val="00262189"/>
    <w:rsid w:val="0026224A"/>
    <w:rsid w:val="002623A2"/>
    <w:rsid w:val="002623AD"/>
    <w:rsid w:val="002624CD"/>
    <w:rsid w:val="00262614"/>
    <w:rsid w:val="00262B72"/>
    <w:rsid w:val="00262C33"/>
    <w:rsid w:val="00262CA6"/>
    <w:rsid w:val="00262D4C"/>
    <w:rsid w:val="00262F4B"/>
    <w:rsid w:val="002633BC"/>
    <w:rsid w:val="00263639"/>
    <w:rsid w:val="00263698"/>
    <w:rsid w:val="0026370C"/>
    <w:rsid w:val="002637C9"/>
    <w:rsid w:val="00263BCD"/>
    <w:rsid w:val="002642DA"/>
    <w:rsid w:val="0026450C"/>
    <w:rsid w:val="00264805"/>
    <w:rsid w:val="00264964"/>
    <w:rsid w:val="00264A6A"/>
    <w:rsid w:val="00264B85"/>
    <w:rsid w:val="002652C2"/>
    <w:rsid w:val="00265A0F"/>
    <w:rsid w:val="00265A85"/>
    <w:rsid w:val="002661EB"/>
    <w:rsid w:val="00266294"/>
    <w:rsid w:val="00266570"/>
    <w:rsid w:val="00266738"/>
    <w:rsid w:val="00266752"/>
    <w:rsid w:val="002669B0"/>
    <w:rsid w:val="00266AF5"/>
    <w:rsid w:val="00266B24"/>
    <w:rsid w:val="00266E5D"/>
    <w:rsid w:val="002677BF"/>
    <w:rsid w:val="00267A23"/>
    <w:rsid w:val="00267AED"/>
    <w:rsid w:val="0027021C"/>
    <w:rsid w:val="00270BAE"/>
    <w:rsid w:val="00270C9A"/>
    <w:rsid w:val="00270F1E"/>
    <w:rsid w:val="002712AB"/>
    <w:rsid w:val="0027168B"/>
    <w:rsid w:val="00271936"/>
    <w:rsid w:val="00272019"/>
    <w:rsid w:val="00272143"/>
    <w:rsid w:val="0027218F"/>
    <w:rsid w:val="00272340"/>
    <w:rsid w:val="00272EB5"/>
    <w:rsid w:val="00274624"/>
    <w:rsid w:val="0027485F"/>
    <w:rsid w:val="0027495A"/>
    <w:rsid w:val="00274C34"/>
    <w:rsid w:val="00274D46"/>
    <w:rsid w:val="00274DD1"/>
    <w:rsid w:val="00274E8A"/>
    <w:rsid w:val="00275297"/>
    <w:rsid w:val="0027545F"/>
    <w:rsid w:val="002756F0"/>
    <w:rsid w:val="00275962"/>
    <w:rsid w:val="00275B70"/>
    <w:rsid w:val="00275E0F"/>
    <w:rsid w:val="0027628B"/>
    <w:rsid w:val="0027664A"/>
    <w:rsid w:val="0027690A"/>
    <w:rsid w:val="00276D8D"/>
    <w:rsid w:val="002770AF"/>
    <w:rsid w:val="0027714D"/>
    <w:rsid w:val="002775E5"/>
    <w:rsid w:val="002776C4"/>
    <w:rsid w:val="00277B0F"/>
    <w:rsid w:val="00277B1E"/>
    <w:rsid w:val="00277D39"/>
    <w:rsid w:val="00277E6F"/>
    <w:rsid w:val="00277FE7"/>
    <w:rsid w:val="00280244"/>
    <w:rsid w:val="00280332"/>
    <w:rsid w:val="002807D5"/>
    <w:rsid w:val="00280CFA"/>
    <w:rsid w:val="00280DBD"/>
    <w:rsid w:val="00280EE2"/>
    <w:rsid w:val="00281BF2"/>
    <w:rsid w:val="00281D2B"/>
    <w:rsid w:val="00281D38"/>
    <w:rsid w:val="00281DDB"/>
    <w:rsid w:val="00282567"/>
    <w:rsid w:val="00282D3A"/>
    <w:rsid w:val="00282F2D"/>
    <w:rsid w:val="002832E7"/>
    <w:rsid w:val="002832F7"/>
    <w:rsid w:val="00283447"/>
    <w:rsid w:val="00283977"/>
    <w:rsid w:val="00283990"/>
    <w:rsid w:val="00283BB5"/>
    <w:rsid w:val="00283C35"/>
    <w:rsid w:val="00283CE0"/>
    <w:rsid w:val="0028499E"/>
    <w:rsid w:val="002849D9"/>
    <w:rsid w:val="00284B93"/>
    <w:rsid w:val="00284D0B"/>
    <w:rsid w:val="00284E38"/>
    <w:rsid w:val="002851AA"/>
    <w:rsid w:val="002854C2"/>
    <w:rsid w:val="00285AAA"/>
    <w:rsid w:val="00286135"/>
    <w:rsid w:val="00286CFD"/>
    <w:rsid w:val="00287241"/>
    <w:rsid w:val="00287BDE"/>
    <w:rsid w:val="002905F2"/>
    <w:rsid w:val="0029064D"/>
    <w:rsid w:val="00290B57"/>
    <w:rsid w:val="0029171D"/>
    <w:rsid w:val="002919FB"/>
    <w:rsid w:val="00291A97"/>
    <w:rsid w:val="0029256C"/>
    <w:rsid w:val="002925CA"/>
    <w:rsid w:val="00292CF2"/>
    <w:rsid w:val="00292FF5"/>
    <w:rsid w:val="00293170"/>
    <w:rsid w:val="0029319C"/>
    <w:rsid w:val="002933AB"/>
    <w:rsid w:val="0029343A"/>
    <w:rsid w:val="0029357B"/>
    <w:rsid w:val="00293858"/>
    <w:rsid w:val="002939A6"/>
    <w:rsid w:val="00293AE6"/>
    <w:rsid w:val="00293FE3"/>
    <w:rsid w:val="0029417B"/>
    <w:rsid w:val="00294217"/>
    <w:rsid w:val="0029424B"/>
    <w:rsid w:val="00294578"/>
    <w:rsid w:val="002945BF"/>
    <w:rsid w:val="00294965"/>
    <w:rsid w:val="00294E64"/>
    <w:rsid w:val="0029518C"/>
    <w:rsid w:val="002954D0"/>
    <w:rsid w:val="00295518"/>
    <w:rsid w:val="0029600B"/>
    <w:rsid w:val="0029604C"/>
    <w:rsid w:val="0029639D"/>
    <w:rsid w:val="00296401"/>
    <w:rsid w:val="002966F7"/>
    <w:rsid w:val="00296DBA"/>
    <w:rsid w:val="00296FE2"/>
    <w:rsid w:val="00297286"/>
    <w:rsid w:val="002975DD"/>
    <w:rsid w:val="00297EFA"/>
    <w:rsid w:val="00297FF8"/>
    <w:rsid w:val="002A03ED"/>
    <w:rsid w:val="002A051B"/>
    <w:rsid w:val="002A0559"/>
    <w:rsid w:val="002A05A8"/>
    <w:rsid w:val="002A0A85"/>
    <w:rsid w:val="002A0DEC"/>
    <w:rsid w:val="002A1036"/>
    <w:rsid w:val="002A175A"/>
    <w:rsid w:val="002A1A07"/>
    <w:rsid w:val="002A1BD1"/>
    <w:rsid w:val="002A2AF1"/>
    <w:rsid w:val="002A2B46"/>
    <w:rsid w:val="002A2BF9"/>
    <w:rsid w:val="002A2F7C"/>
    <w:rsid w:val="002A3454"/>
    <w:rsid w:val="002A34BF"/>
    <w:rsid w:val="002A362B"/>
    <w:rsid w:val="002A3BD1"/>
    <w:rsid w:val="002A4B35"/>
    <w:rsid w:val="002A53C9"/>
    <w:rsid w:val="002A5550"/>
    <w:rsid w:val="002A5F57"/>
    <w:rsid w:val="002A5FF5"/>
    <w:rsid w:val="002A6073"/>
    <w:rsid w:val="002A6992"/>
    <w:rsid w:val="002A70AF"/>
    <w:rsid w:val="002A710D"/>
    <w:rsid w:val="002A72D5"/>
    <w:rsid w:val="002A7F40"/>
    <w:rsid w:val="002B00CF"/>
    <w:rsid w:val="002B011C"/>
    <w:rsid w:val="002B0815"/>
    <w:rsid w:val="002B093C"/>
    <w:rsid w:val="002B0AC5"/>
    <w:rsid w:val="002B0B04"/>
    <w:rsid w:val="002B0D31"/>
    <w:rsid w:val="002B0DFD"/>
    <w:rsid w:val="002B0E90"/>
    <w:rsid w:val="002B1253"/>
    <w:rsid w:val="002B14C9"/>
    <w:rsid w:val="002B15B2"/>
    <w:rsid w:val="002B17AC"/>
    <w:rsid w:val="002B17CA"/>
    <w:rsid w:val="002B1A19"/>
    <w:rsid w:val="002B1BD5"/>
    <w:rsid w:val="002B1EB9"/>
    <w:rsid w:val="002B21BB"/>
    <w:rsid w:val="002B252B"/>
    <w:rsid w:val="002B2963"/>
    <w:rsid w:val="002B2E7D"/>
    <w:rsid w:val="002B303B"/>
    <w:rsid w:val="002B303C"/>
    <w:rsid w:val="002B30EA"/>
    <w:rsid w:val="002B3149"/>
    <w:rsid w:val="002B3281"/>
    <w:rsid w:val="002B3294"/>
    <w:rsid w:val="002B3C03"/>
    <w:rsid w:val="002B3F63"/>
    <w:rsid w:val="002B43F9"/>
    <w:rsid w:val="002B45DB"/>
    <w:rsid w:val="002B4668"/>
    <w:rsid w:val="002B4ABB"/>
    <w:rsid w:val="002B4D9B"/>
    <w:rsid w:val="002B4DAF"/>
    <w:rsid w:val="002B504F"/>
    <w:rsid w:val="002B54A2"/>
    <w:rsid w:val="002B55A7"/>
    <w:rsid w:val="002B5A54"/>
    <w:rsid w:val="002B5B85"/>
    <w:rsid w:val="002B5C15"/>
    <w:rsid w:val="002B61C6"/>
    <w:rsid w:val="002B646D"/>
    <w:rsid w:val="002B64E4"/>
    <w:rsid w:val="002B6CF6"/>
    <w:rsid w:val="002B7212"/>
    <w:rsid w:val="002B7316"/>
    <w:rsid w:val="002B7604"/>
    <w:rsid w:val="002B7669"/>
    <w:rsid w:val="002B7ABA"/>
    <w:rsid w:val="002B7E58"/>
    <w:rsid w:val="002B7E67"/>
    <w:rsid w:val="002C01A7"/>
    <w:rsid w:val="002C0B0C"/>
    <w:rsid w:val="002C0F62"/>
    <w:rsid w:val="002C11CE"/>
    <w:rsid w:val="002C1648"/>
    <w:rsid w:val="002C165F"/>
    <w:rsid w:val="002C1C14"/>
    <w:rsid w:val="002C289D"/>
    <w:rsid w:val="002C2D17"/>
    <w:rsid w:val="002C300A"/>
    <w:rsid w:val="002C3328"/>
    <w:rsid w:val="002C3355"/>
    <w:rsid w:val="002C377D"/>
    <w:rsid w:val="002C3983"/>
    <w:rsid w:val="002C3B5B"/>
    <w:rsid w:val="002C3C20"/>
    <w:rsid w:val="002C3C2E"/>
    <w:rsid w:val="002C4C01"/>
    <w:rsid w:val="002C4E6E"/>
    <w:rsid w:val="002C4FC1"/>
    <w:rsid w:val="002C50A6"/>
    <w:rsid w:val="002C5241"/>
    <w:rsid w:val="002C54B9"/>
    <w:rsid w:val="002C5842"/>
    <w:rsid w:val="002C5F1C"/>
    <w:rsid w:val="002C5F86"/>
    <w:rsid w:val="002C619C"/>
    <w:rsid w:val="002C65A2"/>
    <w:rsid w:val="002C6DD4"/>
    <w:rsid w:val="002C7E97"/>
    <w:rsid w:val="002D0039"/>
    <w:rsid w:val="002D03A3"/>
    <w:rsid w:val="002D052E"/>
    <w:rsid w:val="002D06AE"/>
    <w:rsid w:val="002D0BD5"/>
    <w:rsid w:val="002D0D1F"/>
    <w:rsid w:val="002D10BF"/>
    <w:rsid w:val="002D1186"/>
    <w:rsid w:val="002D1685"/>
    <w:rsid w:val="002D1A1D"/>
    <w:rsid w:val="002D21BC"/>
    <w:rsid w:val="002D23A1"/>
    <w:rsid w:val="002D257D"/>
    <w:rsid w:val="002D362A"/>
    <w:rsid w:val="002D3957"/>
    <w:rsid w:val="002D3EA2"/>
    <w:rsid w:val="002D4190"/>
    <w:rsid w:val="002D474E"/>
    <w:rsid w:val="002D4792"/>
    <w:rsid w:val="002D4D4F"/>
    <w:rsid w:val="002D5357"/>
    <w:rsid w:val="002D536B"/>
    <w:rsid w:val="002D5D14"/>
    <w:rsid w:val="002D6124"/>
    <w:rsid w:val="002D615E"/>
    <w:rsid w:val="002D6266"/>
    <w:rsid w:val="002D657D"/>
    <w:rsid w:val="002D65DE"/>
    <w:rsid w:val="002D6B4A"/>
    <w:rsid w:val="002D6B99"/>
    <w:rsid w:val="002D6EEA"/>
    <w:rsid w:val="002D790A"/>
    <w:rsid w:val="002D7925"/>
    <w:rsid w:val="002D7B2D"/>
    <w:rsid w:val="002E0313"/>
    <w:rsid w:val="002E074A"/>
    <w:rsid w:val="002E0A9A"/>
    <w:rsid w:val="002E0BB2"/>
    <w:rsid w:val="002E0BCE"/>
    <w:rsid w:val="002E15AC"/>
    <w:rsid w:val="002E1675"/>
    <w:rsid w:val="002E178B"/>
    <w:rsid w:val="002E194B"/>
    <w:rsid w:val="002E1AAD"/>
    <w:rsid w:val="002E1AC9"/>
    <w:rsid w:val="002E1EB0"/>
    <w:rsid w:val="002E2347"/>
    <w:rsid w:val="002E2AD1"/>
    <w:rsid w:val="002E3498"/>
    <w:rsid w:val="002E35A4"/>
    <w:rsid w:val="002E376F"/>
    <w:rsid w:val="002E3B92"/>
    <w:rsid w:val="002E3DD2"/>
    <w:rsid w:val="002E3E25"/>
    <w:rsid w:val="002E41A4"/>
    <w:rsid w:val="002E42B4"/>
    <w:rsid w:val="002E47DB"/>
    <w:rsid w:val="002E4934"/>
    <w:rsid w:val="002E4B63"/>
    <w:rsid w:val="002E538B"/>
    <w:rsid w:val="002E5471"/>
    <w:rsid w:val="002E55DC"/>
    <w:rsid w:val="002E564E"/>
    <w:rsid w:val="002E5753"/>
    <w:rsid w:val="002E5BD0"/>
    <w:rsid w:val="002E5F6D"/>
    <w:rsid w:val="002E609C"/>
    <w:rsid w:val="002E63E3"/>
    <w:rsid w:val="002E6A27"/>
    <w:rsid w:val="002E6D6E"/>
    <w:rsid w:val="002E6D72"/>
    <w:rsid w:val="002E6E15"/>
    <w:rsid w:val="002E72D3"/>
    <w:rsid w:val="002E7660"/>
    <w:rsid w:val="002E7974"/>
    <w:rsid w:val="002E7AE9"/>
    <w:rsid w:val="002E7BE7"/>
    <w:rsid w:val="002E7C57"/>
    <w:rsid w:val="002E7CE6"/>
    <w:rsid w:val="002E7D22"/>
    <w:rsid w:val="002F03E6"/>
    <w:rsid w:val="002F048D"/>
    <w:rsid w:val="002F0705"/>
    <w:rsid w:val="002F0C68"/>
    <w:rsid w:val="002F153D"/>
    <w:rsid w:val="002F23CB"/>
    <w:rsid w:val="002F24BC"/>
    <w:rsid w:val="002F2721"/>
    <w:rsid w:val="002F2BCE"/>
    <w:rsid w:val="002F2D60"/>
    <w:rsid w:val="002F2ECA"/>
    <w:rsid w:val="002F2FF1"/>
    <w:rsid w:val="002F3267"/>
    <w:rsid w:val="002F33C2"/>
    <w:rsid w:val="002F353B"/>
    <w:rsid w:val="002F38FD"/>
    <w:rsid w:val="002F41CE"/>
    <w:rsid w:val="002F4344"/>
    <w:rsid w:val="002F45B9"/>
    <w:rsid w:val="002F46CC"/>
    <w:rsid w:val="002F4949"/>
    <w:rsid w:val="002F4FED"/>
    <w:rsid w:val="002F5664"/>
    <w:rsid w:val="002F5C26"/>
    <w:rsid w:val="002F6144"/>
    <w:rsid w:val="002F63B9"/>
    <w:rsid w:val="002F65C9"/>
    <w:rsid w:val="002F67AE"/>
    <w:rsid w:val="002F6918"/>
    <w:rsid w:val="002F694A"/>
    <w:rsid w:val="002F6CB7"/>
    <w:rsid w:val="002F7084"/>
    <w:rsid w:val="002F73A4"/>
    <w:rsid w:val="002F7C74"/>
    <w:rsid w:val="002F7D8A"/>
    <w:rsid w:val="003003BE"/>
    <w:rsid w:val="0030073B"/>
    <w:rsid w:val="00300AF7"/>
    <w:rsid w:val="00300E87"/>
    <w:rsid w:val="00301567"/>
    <w:rsid w:val="00301BF4"/>
    <w:rsid w:val="00301FDA"/>
    <w:rsid w:val="00302219"/>
    <w:rsid w:val="0030264B"/>
    <w:rsid w:val="0030299D"/>
    <w:rsid w:val="00302B13"/>
    <w:rsid w:val="00302EA8"/>
    <w:rsid w:val="00303070"/>
    <w:rsid w:val="00303280"/>
    <w:rsid w:val="003036C9"/>
    <w:rsid w:val="00303AF6"/>
    <w:rsid w:val="00303FCC"/>
    <w:rsid w:val="00304353"/>
    <w:rsid w:val="00304B93"/>
    <w:rsid w:val="00304F54"/>
    <w:rsid w:val="0030505F"/>
    <w:rsid w:val="00305926"/>
    <w:rsid w:val="003059FA"/>
    <w:rsid w:val="00305B4E"/>
    <w:rsid w:val="0030602A"/>
    <w:rsid w:val="00306145"/>
    <w:rsid w:val="00306366"/>
    <w:rsid w:val="003063A4"/>
    <w:rsid w:val="0030678F"/>
    <w:rsid w:val="0030698F"/>
    <w:rsid w:val="00306B25"/>
    <w:rsid w:val="00306BB2"/>
    <w:rsid w:val="00306F27"/>
    <w:rsid w:val="003071AB"/>
    <w:rsid w:val="00307745"/>
    <w:rsid w:val="00307E66"/>
    <w:rsid w:val="00307FE9"/>
    <w:rsid w:val="00310EA0"/>
    <w:rsid w:val="003113B4"/>
    <w:rsid w:val="0031167A"/>
    <w:rsid w:val="00311C8C"/>
    <w:rsid w:val="00311CE8"/>
    <w:rsid w:val="00311D2C"/>
    <w:rsid w:val="00311E8E"/>
    <w:rsid w:val="0031216D"/>
    <w:rsid w:val="0031223A"/>
    <w:rsid w:val="003129B9"/>
    <w:rsid w:val="003130CD"/>
    <w:rsid w:val="003135CF"/>
    <w:rsid w:val="00313A22"/>
    <w:rsid w:val="00313CC3"/>
    <w:rsid w:val="00314001"/>
    <w:rsid w:val="0031469C"/>
    <w:rsid w:val="0031490D"/>
    <w:rsid w:val="00314B1E"/>
    <w:rsid w:val="00314D0F"/>
    <w:rsid w:val="00314E96"/>
    <w:rsid w:val="00314EEE"/>
    <w:rsid w:val="003151F6"/>
    <w:rsid w:val="003156E6"/>
    <w:rsid w:val="00315931"/>
    <w:rsid w:val="003165DF"/>
    <w:rsid w:val="00316B28"/>
    <w:rsid w:val="00316EDB"/>
    <w:rsid w:val="00317507"/>
    <w:rsid w:val="00317794"/>
    <w:rsid w:val="003177EC"/>
    <w:rsid w:val="00317A19"/>
    <w:rsid w:val="00317A6E"/>
    <w:rsid w:val="00317C0D"/>
    <w:rsid w:val="003201DF"/>
    <w:rsid w:val="00320E90"/>
    <w:rsid w:val="00320EAB"/>
    <w:rsid w:val="00320EDC"/>
    <w:rsid w:val="00321C6E"/>
    <w:rsid w:val="00321F25"/>
    <w:rsid w:val="003220CF"/>
    <w:rsid w:val="0032226D"/>
    <w:rsid w:val="003227D5"/>
    <w:rsid w:val="00322F40"/>
    <w:rsid w:val="00323045"/>
    <w:rsid w:val="00323497"/>
    <w:rsid w:val="00323AE8"/>
    <w:rsid w:val="00323BD7"/>
    <w:rsid w:val="00323DF9"/>
    <w:rsid w:val="00324345"/>
    <w:rsid w:val="00324497"/>
    <w:rsid w:val="0032453F"/>
    <w:rsid w:val="00324B07"/>
    <w:rsid w:val="00324C84"/>
    <w:rsid w:val="00324D61"/>
    <w:rsid w:val="00324DED"/>
    <w:rsid w:val="00324E09"/>
    <w:rsid w:val="00324E40"/>
    <w:rsid w:val="0032535B"/>
    <w:rsid w:val="0032543C"/>
    <w:rsid w:val="00325589"/>
    <w:rsid w:val="0032564A"/>
    <w:rsid w:val="003256D4"/>
    <w:rsid w:val="00325800"/>
    <w:rsid w:val="0032590D"/>
    <w:rsid w:val="00325EC6"/>
    <w:rsid w:val="00326AFB"/>
    <w:rsid w:val="00326BBF"/>
    <w:rsid w:val="00326F90"/>
    <w:rsid w:val="00327029"/>
    <w:rsid w:val="003300E8"/>
    <w:rsid w:val="003301A3"/>
    <w:rsid w:val="003306A2"/>
    <w:rsid w:val="003307E4"/>
    <w:rsid w:val="00330ADA"/>
    <w:rsid w:val="00330D2B"/>
    <w:rsid w:val="00330FCD"/>
    <w:rsid w:val="00331172"/>
    <w:rsid w:val="00331616"/>
    <w:rsid w:val="00331DA8"/>
    <w:rsid w:val="003321FD"/>
    <w:rsid w:val="003322D2"/>
    <w:rsid w:val="00332593"/>
    <w:rsid w:val="003326E3"/>
    <w:rsid w:val="00332F83"/>
    <w:rsid w:val="0033304D"/>
    <w:rsid w:val="0033308A"/>
    <w:rsid w:val="0033341D"/>
    <w:rsid w:val="00333976"/>
    <w:rsid w:val="00333FFA"/>
    <w:rsid w:val="003341A3"/>
    <w:rsid w:val="003342ED"/>
    <w:rsid w:val="00334939"/>
    <w:rsid w:val="00334EE8"/>
    <w:rsid w:val="00334F68"/>
    <w:rsid w:val="003356FE"/>
    <w:rsid w:val="0033571D"/>
    <w:rsid w:val="0033572E"/>
    <w:rsid w:val="003357AC"/>
    <w:rsid w:val="003357EA"/>
    <w:rsid w:val="00335A7F"/>
    <w:rsid w:val="00335D6B"/>
    <w:rsid w:val="0033639B"/>
    <w:rsid w:val="00336515"/>
    <w:rsid w:val="003366E4"/>
    <w:rsid w:val="00337344"/>
    <w:rsid w:val="0033765A"/>
    <w:rsid w:val="0033795E"/>
    <w:rsid w:val="00337AA1"/>
    <w:rsid w:val="00337AF2"/>
    <w:rsid w:val="00337EB3"/>
    <w:rsid w:val="003401F2"/>
    <w:rsid w:val="0034086E"/>
    <w:rsid w:val="00340B7E"/>
    <w:rsid w:val="00340C3E"/>
    <w:rsid w:val="00340D60"/>
    <w:rsid w:val="00341857"/>
    <w:rsid w:val="0034213E"/>
    <w:rsid w:val="003422C9"/>
    <w:rsid w:val="00342BC3"/>
    <w:rsid w:val="00342C89"/>
    <w:rsid w:val="00342F3D"/>
    <w:rsid w:val="003431BC"/>
    <w:rsid w:val="0034320B"/>
    <w:rsid w:val="0034379E"/>
    <w:rsid w:val="00343FEE"/>
    <w:rsid w:val="00344720"/>
    <w:rsid w:val="003452DC"/>
    <w:rsid w:val="00345529"/>
    <w:rsid w:val="0034577C"/>
    <w:rsid w:val="003458ED"/>
    <w:rsid w:val="0034625D"/>
    <w:rsid w:val="00346845"/>
    <w:rsid w:val="00346876"/>
    <w:rsid w:val="0034746F"/>
    <w:rsid w:val="00347940"/>
    <w:rsid w:val="00347CC2"/>
    <w:rsid w:val="00347E1C"/>
    <w:rsid w:val="00347EAA"/>
    <w:rsid w:val="00350175"/>
    <w:rsid w:val="00350364"/>
    <w:rsid w:val="0035098D"/>
    <w:rsid w:val="003514DE"/>
    <w:rsid w:val="00351854"/>
    <w:rsid w:val="00351864"/>
    <w:rsid w:val="003519C7"/>
    <w:rsid w:val="00351BF2"/>
    <w:rsid w:val="00352CD7"/>
    <w:rsid w:val="00352E1E"/>
    <w:rsid w:val="00352E36"/>
    <w:rsid w:val="00352F72"/>
    <w:rsid w:val="00353463"/>
    <w:rsid w:val="0035366B"/>
    <w:rsid w:val="003536A2"/>
    <w:rsid w:val="00353B01"/>
    <w:rsid w:val="0035427E"/>
    <w:rsid w:val="00354491"/>
    <w:rsid w:val="003544C4"/>
    <w:rsid w:val="003544F4"/>
    <w:rsid w:val="003545BD"/>
    <w:rsid w:val="00354A24"/>
    <w:rsid w:val="00354E98"/>
    <w:rsid w:val="00354F88"/>
    <w:rsid w:val="003551E0"/>
    <w:rsid w:val="00355338"/>
    <w:rsid w:val="0035561A"/>
    <w:rsid w:val="003559A8"/>
    <w:rsid w:val="00355DB8"/>
    <w:rsid w:val="00356021"/>
    <w:rsid w:val="00356266"/>
    <w:rsid w:val="0035627C"/>
    <w:rsid w:val="00356801"/>
    <w:rsid w:val="00356A29"/>
    <w:rsid w:val="00356C0D"/>
    <w:rsid w:val="003578D3"/>
    <w:rsid w:val="00357CB9"/>
    <w:rsid w:val="0036004C"/>
    <w:rsid w:val="00360777"/>
    <w:rsid w:val="00360E6C"/>
    <w:rsid w:val="00360F38"/>
    <w:rsid w:val="0036170B"/>
    <w:rsid w:val="00361A23"/>
    <w:rsid w:val="00361CFB"/>
    <w:rsid w:val="0036250A"/>
    <w:rsid w:val="003629CD"/>
    <w:rsid w:val="00362CA8"/>
    <w:rsid w:val="00362FA1"/>
    <w:rsid w:val="003632B0"/>
    <w:rsid w:val="0036354B"/>
    <w:rsid w:val="003638B1"/>
    <w:rsid w:val="0036399F"/>
    <w:rsid w:val="003641D8"/>
    <w:rsid w:val="00364314"/>
    <w:rsid w:val="003646B1"/>
    <w:rsid w:val="00364890"/>
    <w:rsid w:val="003649E4"/>
    <w:rsid w:val="0036508E"/>
    <w:rsid w:val="00365D38"/>
    <w:rsid w:val="00365EF7"/>
    <w:rsid w:val="00366097"/>
    <w:rsid w:val="003665BA"/>
    <w:rsid w:val="00366805"/>
    <w:rsid w:val="00366E4F"/>
    <w:rsid w:val="00366EFD"/>
    <w:rsid w:val="00367003"/>
    <w:rsid w:val="003673D6"/>
    <w:rsid w:val="003674CD"/>
    <w:rsid w:val="00367C71"/>
    <w:rsid w:val="003702BE"/>
    <w:rsid w:val="003703CB"/>
    <w:rsid w:val="00370454"/>
    <w:rsid w:val="00370579"/>
    <w:rsid w:val="003705FE"/>
    <w:rsid w:val="00370F40"/>
    <w:rsid w:val="00370FD7"/>
    <w:rsid w:val="003716DB"/>
    <w:rsid w:val="00371D95"/>
    <w:rsid w:val="003726C1"/>
    <w:rsid w:val="003728A4"/>
    <w:rsid w:val="0037294E"/>
    <w:rsid w:val="00372EE0"/>
    <w:rsid w:val="003731CA"/>
    <w:rsid w:val="003733A2"/>
    <w:rsid w:val="0037364E"/>
    <w:rsid w:val="003737A7"/>
    <w:rsid w:val="0037387B"/>
    <w:rsid w:val="00373C68"/>
    <w:rsid w:val="003744DF"/>
    <w:rsid w:val="00374729"/>
    <w:rsid w:val="00374A21"/>
    <w:rsid w:val="00374A6D"/>
    <w:rsid w:val="00374BDD"/>
    <w:rsid w:val="00374F4A"/>
    <w:rsid w:val="0037564D"/>
    <w:rsid w:val="00375901"/>
    <w:rsid w:val="00375DBD"/>
    <w:rsid w:val="00375DF7"/>
    <w:rsid w:val="00376019"/>
    <w:rsid w:val="00376CF4"/>
    <w:rsid w:val="00377692"/>
    <w:rsid w:val="00377837"/>
    <w:rsid w:val="00377D79"/>
    <w:rsid w:val="00377E10"/>
    <w:rsid w:val="00377ED4"/>
    <w:rsid w:val="0038030E"/>
    <w:rsid w:val="0038046D"/>
    <w:rsid w:val="0038084D"/>
    <w:rsid w:val="00380C41"/>
    <w:rsid w:val="00380D3D"/>
    <w:rsid w:val="00381B30"/>
    <w:rsid w:val="00381D38"/>
    <w:rsid w:val="00381D57"/>
    <w:rsid w:val="00381F78"/>
    <w:rsid w:val="00382017"/>
    <w:rsid w:val="003821E2"/>
    <w:rsid w:val="00382338"/>
    <w:rsid w:val="00382813"/>
    <w:rsid w:val="00382820"/>
    <w:rsid w:val="003828E2"/>
    <w:rsid w:val="00382C00"/>
    <w:rsid w:val="00382D7C"/>
    <w:rsid w:val="00382FC6"/>
    <w:rsid w:val="003830F9"/>
    <w:rsid w:val="003839AA"/>
    <w:rsid w:val="00383BCF"/>
    <w:rsid w:val="00383C22"/>
    <w:rsid w:val="00383F6D"/>
    <w:rsid w:val="0038419C"/>
    <w:rsid w:val="00384400"/>
    <w:rsid w:val="0038485C"/>
    <w:rsid w:val="00385639"/>
    <w:rsid w:val="00385791"/>
    <w:rsid w:val="00385D7C"/>
    <w:rsid w:val="00385FC8"/>
    <w:rsid w:val="003860CD"/>
    <w:rsid w:val="0038610D"/>
    <w:rsid w:val="00386B20"/>
    <w:rsid w:val="00386C58"/>
    <w:rsid w:val="00386E31"/>
    <w:rsid w:val="00387148"/>
    <w:rsid w:val="0039062E"/>
    <w:rsid w:val="00390704"/>
    <w:rsid w:val="00390D19"/>
    <w:rsid w:val="00390F18"/>
    <w:rsid w:val="00391184"/>
    <w:rsid w:val="00391664"/>
    <w:rsid w:val="00391690"/>
    <w:rsid w:val="00391D2E"/>
    <w:rsid w:val="0039207A"/>
    <w:rsid w:val="00392933"/>
    <w:rsid w:val="003929B0"/>
    <w:rsid w:val="00392A48"/>
    <w:rsid w:val="00392CF2"/>
    <w:rsid w:val="00392DBE"/>
    <w:rsid w:val="003936B7"/>
    <w:rsid w:val="00393808"/>
    <w:rsid w:val="0039389E"/>
    <w:rsid w:val="00393E6F"/>
    <w:rsid w:val="00393F96"/>
    <w:rsid w:val="00394197"/>
    <w:rsid w:val="00394620"/>
    <w:rsid w:val="00394878"/>
    <w:rsid w:val="00394D56"/>
    <w:rsid w:val="00394E18"/>
    <w:rsid w:val="003950D3"/>
    <w:rsid w:val="003951F1"/>
    <w:rsid w:val="003955D0"/>
    <w:rsid w:val="00395650"/>
    <w:rsid w:val="0039589B"/>
    <w:rsid w:val="00396106"/>
    <w:rsid w:val="0039651B"/>
    <w:rsid w:val="00396686"/>
    <w:rsid w:val="00396971"/>
    <w:rsid w:val="00396C3E"/>
    <w:rsid w:val="00396DF2"/>
    <w:rsid w:val="00397592"/>
    <w:rsid w:val="003976A7"/>
    <w:rsid w:val="003977EE"/>
    <w:rsid w:val="00397987"/>
    <w:rsid w:val="00397A49"/>
    <w:rsid w:val="00397B20"/>
    <w:rsid w:val="00397CD2"/>
    <w:rsid w:val="00397F4C"/>
    <w:rsid w:val="00397F62"/>
    <w:rsid w:val="003A00BF"/>
    <w:rsid w:val="003A078F"/>
    <w:rsid w:val="003A0A28"/>
    <w:rsid w:val="003A0A6F"/>
    <w:rsid w:val="003A0AAA"/>
    <w:rsid w:val="003A0FEE"/>
    <w:rsid w:val="003A14E6"/>
    <w:rsid w:val="003A191C"/>
    <w:rsid w:val="003A195F"/>
    <w:rsid w:val="003A1A65"/>
    <w:rsid w:val="003A1FF7"/>
    <w:rsid w:val="003A2019"/>
    <w:rsid w:val="003A2B7A"/>
    <w:rsid w:val="003A3362"/>
    <w:rsid w:val="003A37D2"/>
    <w:rsid w:val="003A3AB0"/>
    <w:rsid w:val="003A3C8D"/>
    <w:rsid w:val="003A444F"/>
    <w:rsid w:val="003A482F"/>
    <w:rsid w:val="003A498F"/>
    <w:rsid w:val="003A4CEE"/>
    <w:rsid w:val="003A4FC2"/>
    <w:rsid w:val="003A5124"/>
    <w:rsid w:val="003A518B"/>
    <w:rsid w:val="003A5237"/>
    <w:rsid w:val="003A5439"/>
    <w:rsid w:val="003A55C0"/>
    <w:rsid w:val="003A5712"/>
    <w:rsid w:val="003A5D60"/>
    <w:rsid w:val="003A5EB2"/>
    <w:rsid w:val="003A6096"/>
    <w:rsid w:val="003A6683"/>
    <w:rsid w:val="003A70AC"/>
    <w:rsid w:val="003A79A8"/>
    <w:rsid w:val="003B02D5"/>
    <w:rsid w:val="003B07BB"/>
    <w:rsid w:val="003B0A61"/>
    <w:rsid w:val="003B0B28"/>
    <w:rsid w:val="003B0BAB"/>
    <w:rsid w:val="003B1165"/>
    <w:rsid w:val="003B13BE"/>
    <w:rsid w:val="003B150D"/>
    <w:rsid w:val="003B16DD"/>
    <w:rsid w:val="003B1952"/>
    <w:rsid w:val="003B1C24"/>
    <w:rsid w:val="003B1EBD"/>
    <w:rsid w:val="003B219D"/>
    <w:rsid w:val="003B255B"/>
    <w:rsid w:val="003B25F4"/>
    <w:rsid w:val="003B266F"/>
    <w:rsid w:val="003B27FA"/>
    <w:rsid w:val="003B2F5B"/>
    <w:rsid w:val="003B3090"/>
    <w:rsid w:val="003B3213"/>
    <w:rsid w:val="003B3364"/>
    <w:rsid w:val="003B3416"/>
    <w:rsid w:val="003B36F3"/>
    <w:rsid w:val="003B3A2D"/>
    <w:rsid w:val="003B4211"/>
    <w:rsid w:val="003B4380"/>
    <w:rsid w:val="003B4AD4"/>
    <w:rsid w:val="003B4DE0"/>
    <w:rsid w:val="003B53AF"/>
    <w:rsid w:val="003B53C9"/>
    <w:rsid w:val="003B5446"/>
    <w:rsid w:val="003B59F1"/>
    <w:rsid w:val="003B5CC9"/>
    <w:rsid w:val="003B6039"/>
    <w:rsid w:val="003B61F4"/>
    <w:rsid w:val="003B62DF"/>
    <w:rsid w:val="003B6333"/>
    <w:rsid w:val="003B6409"/>
    <w:rsid w:val="003B68A1"/>
    <w:rsid w:val="003B6D10"/>
    <w:rsid w:val="003B6E20"/>
    <w:rsid w:val="003B7115"/>
    <w:rsid w:val="003B7382"/>
    <w:rsid w:val="003B757B"/>
    <w:rsid w:val="003B7AB5"/>
    <w:rsid w:val="003B7C80"/>
    <w:rsid w:val="003C041E"/>
    <w:rsid w:val="003C04D6"/>
    <w:rsid w:val="003C06DD"/>
    <w:rsid w:val="003C1280"/>
    <w:rsid w:val="003C1391"/>
    <w:rsid w:val="003C13C1"/>
    <w:rsid w:val="003C17F2"/>
    <w:rsid w:val="003C1B92"/>
    <w:rsid w:val="003C1FA3"/>
    <w:rsid w:val="003C2109"/>
    <w:rsid w:val="003C28C1"/>
    <w:rsid w:val="003C304F"/>
    <w:rsid w:val="003C32C4"/>
    <w:rsid w:val="003C346C"/>
    <w:rsid w:val="003C348A"/>
    <w:rsid w:val="003C360C"/>
    <w:rsid w:val="003C3D5A"/>
    <w:rsid w:val="003C48C0"/>
    <w:rsid w:val="003C4995"/>
    <w:rsid w:val="003C49D7"/>
    <w:rsid w:val="003C4A2A"/>
    <w:rsid w:val="003C5CC9"/>
    <w:rsid w:val="003C5CFD"/>
    <w:rsid w:val="003C5E40"/>
    <w:rsid w:val="003C5E80"/>
    <w:rsid w:val="003C60AB"/>
    <w:rsid w:val="003C6126"/>
    <w:rsid w:val="003C620F"/>
    <w:rsid w:val="003C6297"/>
    <w:rsid w:val="003C6A4E"/>
    <w:rsid w:val="003C6E49"/>
    <w:rsid w:val="003C74CB"/>
    <w:rsid w:val="003C75C9"/>
    <w:rsid w:val="003C7DF0"/>
    <w:rsid w:val="003D00E2"/>
    <w:rsid w:val="003D0186"/>
    <w:rsid w:val="003D0540"/>
    <w:rsid w:val="003D0D06"/>
    <w:rsid w:val="003D0DE9"/>
    <w:rsid w:val="003D0F45"/>
    <w:rsid w:val="003D10E2"/>
    <w:rsid w:val="003D1300"/>
    <w:rsid w:val="003D1721"/>
    <w:rsid w:val="003D1795"/>
    <w:rsid w:val="003D1FBD"/>
    <w:rsid w:val="003D21C8"/>
    <w:rsid w:val="003D21D2"/>
    <w:rsid w:val="003D2577"/>
    <w:rsid w:val="003D282A"/>
    <w:rsid w:val="003D2913"/>
    <w:rsid w:val="003D2DEC"/>
    <w:rsid w:val="003D311F"/>
    <w:rsid w:val="003D3323"/>
    <w:rsid w:val="003D34F5"/>
    <w:rsid w:val="003D397F"/>
    <w:rsid w:val="003D4175"/>
    <w:rsid w:val="003D4193"/>
    <w:rsid w:val="003D4408"/>
    <w:rsid w:val="003D4CED"/>
    <w:rsid w:val="003D51B3"/>
    <w:rsid w:val="003D5213"/>
    <w:rsid w:val="003D534A"/>
    <w:rsid w:val="003D5613"/>
    <w:rsid w:val="003D5765"/>
    <w:rsid w:val="003D58CB"/>
    <w:rsid w:val="003D5B95"/>
    <w:rsid w:val="003D671B"/>
    <w:rsid w:val="003D67CF"/>
    <w:rsid w:val="003D6814"/>
    <w:rsid w:val="003D695B"/>
    <w:rsid w:val="003D6D08"/>
    <w:rsid w:val="003D7015"/>
    <w:rsid w:val="003D76BC"/>
    <w:rsid w:val="003D77DA"/>
    <w:rsid w:val="003D7C2E"/>
    <w:rsid w:val="003D7E99"/>
    <w:rsid w:val="003E04AC"/>
    <w:rsid w:val="003E05A0"/>
    <w:rsid w:val="003E07E2"/>
    <w:rsid w:val="003E0FAB"/>
    <w:rsid w:val="003E124B"/>
    <w:rsid w:val="003E1F7F"/>
    <w:rsid w:val="003E208D"/>
    <w:rsid w:val="003E274D"/>
    <w:rsid w:val="003E2D2C"/>
    <w:rsid w:val="003E2F3C"/>
    <w:rsid w:val="003E314E"/>
    <w:rsid w:val="003E3D6D"/>
    <w:rsid w:val="003E4076"/>
    <w:rsid w:val="003E41F0"/>
    <w:rsid w:val="003E425D"/>
    <w:rsid w:val="003E45AB"/>
    <w:rsid w:val="003E45FA"/>
    <w:rsid w:val="003E49E3"/>
    <w:rsid w:val="003E4B55"/>
    <w:rsid w:val="003E4BCA"/>
    <w:rsid w:val="003E4F87"/>
    <w:rsid w:val="003E56F8"/>
    <w:rsid w:val="003E58A5"/>
    <w:rsid w:val="003E5E45"/>
    <w:rsid w:val="003E5FE9"/>
    <w:rsid w:val="003E651E"/>
    <w:rsid w:val="003E6558"/>
    <w:rsid w:val="003E6A05"/>
    <w:rsid w:val="003E6BEA"/>
    <w:rsid w:val="003E6CDE"/>
    <w:rsid w:val="003E70A8"/>
    <w:rsid w:val="003E7250"/>
    <w:rsid w:val="003E725A"/>
    <w:rsid w:val="003F007E"/>
    <w:rsid w:val="003F0DB3"/>
    <w:rsid w:val="003F1375"/>
    <w:rsid w:val="003F151B"/>
    <w:rsid w:val="003F1C76"/>
    <w:rsid w:val="003F1F6A"/>
    <w:rsid w:val="003F221F"/>
    <w:rsid w:val="003F27A2"/>
    <w:rsid w:val="003F2959"/>
    <w:rsid w:val="003F2E0B"/>
    <w:rsid w:val="003F304F"/>
    <w:rsid w:val="003F370D"/>
    <w:rsid w:val="003F373C"/>
    <w:rsid w:val="003F41E7"/>
    <w:rsid w:val="003F53A6"/>
    <w:rsid w:val="003F5677"/>
    <w:rsid w:val="003F5693"/>
    <w:rsid w:val="003F5ACD"/>
    <w:rsid w:val="003F5E8E"/>
    <w:rsid w:val="003F5EFD"/>
    <w:rsid w:val="003F6103"/>
    <w:rsid w:val="003F667B"/>
    <w:rsid w:val="003F66E2"/>
    <w:rsid w:val="003F6B61"/>
    <w:rsid w:val="003F6F49"/>
    <w:rsid w:val="003F7403"/>
    <w:rsid w:val="003F79BB"/>
    <w:rsid w:val="003F79DD"/>
    <w:rsid w:val="003F7F69"/>
    <w:rsid w:val="0040040D"/>
    <w:rsid w:val="00400804"/>
    <w:rsid w:val="0040101D"/>
    <w:rsid w:val="0040143B"/>
    <w:rsid w:val="004018A0"/>
    <w:rsid w:val="004018A1"/>
    <w:rsid w:val="00401AB5"/>
    <w:rsid w:val="00401DF4"/>
    <w:rsid w:val="00401F27"/>
    <w:rsid w:val="00402383"/>
    <w:rsid w:val="004025C0"/>
    <w:rsid w:val="00402B8B"/>
    <w:rsid w:val="00402BAD"/>
    <w:rsid w:val="00402D2E"/>
    <w:rsid w:val="00403729"/>
    <w:rsid w:val="004037C5"/>
    <w:rsid w:val="004040CE"/>
    <w:rsid w:val="004042FD"/>
    <w:rsid w:val="004043F3"/>
    <w:rsid w:val="00404504"/>
    <w:rsid w:val="00404DB8"/>
    <w:rsid w:val="00405231"/>
    <w:rsid w:val="00405509"/>
    <w:rsid w:val="00405545"/>
    <w:rsid w:val="00405963"/>
    <w:rsid w:val="00405DB1"/>
    <w:rsid w:val="00405E5A"/>
    <w:rsid w:val="00405FD6"/>
    <w:rsid w:val="00406592"/>
    <w:rsid w:val="00407090"/>
    <w:rsid w:val="00407455"/>
    <w:rsid w:val="0040787A"/>
    <w:rsid w:val="00407947"/>
    <w:rsid w:val="00407A06"/>
    <w:rsid w:val="00407AF3"/>
    <w:rsid w:val="00407DC7"/>
    <w:rsid w:val="004100C4"/>
    <w:rsid w:val="004112A0"/>
    <w:rsid w:val="004116BD"/>
    <w:rsid w:val="00411910"/>
    <w:rsid w:val="00411D9A"/>
    <w:rsid w:val="00411E04"/>
    <w:rsid w:val="00411F96"/>
    <w:rsid w:val="0041207B"/>
    <w:rsid w:val="0041253E"/>
    <w:rsid w:val="0041268B"/>
    <w:rsid w:val="00412BDA"/>
    <w:rsid w:val="00412D50"/>
    <w:rsid w:val="00412F03"/>
    <w:rsid w:val="004132E8"/>
    <w:rsid w:val="00413626"/>
    <w:rsid w:val="00413C93"/>
    <w:rsid w:val="0041477B"/>
    <w:rsid w:val="0041485D"/>
    <w:rsid w:val="004148C7"/>
    <w:rsid w:val="00414C38"/>
    <w:rsid w:val="00414D3E"/>
    <w:rsid w:val="00414DB2"/>
    <w:rsid w:val="00414E2A"/>
    <w:rsid w:val="004154D5"/>
    <w:rsid w:val="00415A3C"/>
    <w:rsid w:val="00415BD5"/>
    <w:rsid w:val="00415F66"/>
    <w:rsid w:val="00416032"/>
    <w:rsid w:val="004161EA"/>
    <w:rsid w:val="00416278"/>
    <w:rsid w:val="004167CE"/>
    <w:rsid w:val="00416F47"/>
    <w:rsid w:val="00417142"/>
    <w:rsid w:val="0041736B"/>
    <w:rsid w:val="00417475"/>
    <w:rsid w:val="00417715"/>
    <w:rsid w:val="00417759"/>
    <w:rsid w:val="004177C6"/>
    <w:rsid w:val="00417E86"/>
    <w:rsid w:val="00417F49"/>
    <w:rsid w:val="0042027A"/>
    <w:rsid w:val="004205AA"/>
    <w:rsid w:val="00420748"/>
    <w:rsid w:val="00420831"/>
    <w:rsid w:val="0042120E"/>
    <w:rsid w:val="004212A5"/>
    <w:rsid w:val="00421310"/>
    <w:rsid w:val="004215AD"/>
    <w:rsid w:val="0042164D"/>
    <w:rsid w:val="0042194C"/>
    <w:rsid w:val="00421981"/>
    <w:rsid w:val="00421BDC"/>
    <w:rsid w:val="00421CC1"/>
    <w:rsid w:val="00421F0D"/>
    <w:rsid w:val="00422019"/>
    <w:rsid w:val="0042221C"/>
    <w:rsid w:val="00422347"/>
    <w:rsid w:val="00422B45"/>
    <w:rsid w:val="004230DC"/>
    <w:rsid w:val="004232E9"/>
    <w:rsid w:val="0042342F"/>
    <w:rsid w:val="00423886"/>
    <w:rsid w:val="00423FAB"/>
    <w:rsid w:val="004241A0"/>
    <w:rsid w:val="004246FE"/>
    <w:rsid w:val="00424A56"/>
    <w:rsid w:val="00425105"/>
    <w:rsid w:val="00425481"/>
    <w:rsid w:val="00425976"/>
    <w:rsid w:val="00425A11"/>
    <w:rsid w:val="00425C0A"/>
    <w:rsid w:val="00425C3C"/>
    <w:rsid w:val="00426187"/>
    <w:rsid w:val="004262B7"/>
    <w:rsid w:val="00426D67"/>
    <w:rsid w:val="00426F77"/>
    <w:rsid w:val="0042770B"/>
    <w:rsid w:val="004278E9"/>
    <w:rsid w:val="00427B3C"/>
    <w:rsid w:val="00427E01"/>
    <w:rsid w:val="004303D4"/>
    <w:rsid w:val="0043050E"/>
    <w:rsid w:val="00430678"/>
    <w:rsid w:val="00430752"/>
    <w:rsid w:val="00430D0A"/>
    <w:rsid w:val="00430EB6"/>
    <w:rsid w:val="0043100E"/>
    <w:rsid w:val="00431029"/>
    <w:rsid w:val="00431123"/>
    <w:rsid w:val="004313F6"/>
    <w:rsid w:val="00431F02"/>
    <w:rsid w:val="0043212B"/>
    <w:rsid w:val="00432446"/>
    <w:rsid w:val="00432690"/>
    <w:rsid w:val="00432941"/>
    <w:rsid w:val="004339BC"/>
    <w:rsid w:val="00433A8C"/>
    <w:rsid w:val="00433C34"/>
    <w:rsid w:val="004340A2"/>
    <w:rsid w:val="00434ADE"/>
    <w:rsid w:val="00434C3A"/>
    <w:rsid w:val="004350ED"/>
    <w:rsid w:val="004351D1"/>
    <w:rsid w:val="0043579E"/>
    <w:rsid w:val="004367C2"/>
    <w:rsid w:val="00436BEF"/>
    <w:rsid w:val="00437B3E"/>
    <w:rsid w:val="00437EA9"/>
    <w:rsid w:val="00437F77"/>
    <w:rsid w:val="004402A5"/>
    <w:rsid w:val="004406F8"/>
    <w:rsid w:val="0044074C"/>
    <w:rsid w:val="00440B99"/>
    <w:rsid w:val="00440E22"/>
    <w:rsid w:val="00440FD6"/>
    <w:rsid w:val="00441328"/>
    <w:rsid w:val="00441330"/>
    <w:rsid w:val="004417AE"/>
    <w:rsid w:val="004418E3"/>
    <w:rsid w:val="00441D66"/>
    <w:rsid w:val="00441F22"/>
    <w:rsid w:val="004420C4"/>
    <w:rsid w:val="004420F8"/>
    <w:rsid w:val="00442379"/>
    <w:rsid w:val="004424DC"/>
    <w:rsid w:val="00442828"/>
    <w:rsid w:val="00442F31"/>
    <w:rsid w:val="0044321B"/>
    <w:rsid w:val="0044396C"/>
    <w:rsid w:val="00443D79"/>
    <w:rsid w:val="00444617"/>
    <w:rsid w:val="004448E7"/>
    <w:rsid w:val="00444C5F"/>
    <w:rsid w:val="00444CEA"/>
    <w:rsid w:val="00444EF2"/>
    <w:rsid w:val="00445087"/>
    <w:rsid w:val="00445BE1"/>
    <w:rsid w:val="00445FD6"/>
    <w:rsid w:val="00446191"/>
    <w:rsid w:val="00446212"/>
    <w:rsid w:val="00446499"/>
    <w:rsid w:val="00446C09"/>
    <w:rsid w:val="00446F94"/>
    <w:rsid w:val="00446FA7"/>
    <w:rsid w:val="004472A4"/>
    <w:rsid w:val="004475DB"/>
    <w:rsid w:val="004478B9"/>
    <w:rsid w:val="0045054D"/>
    <w:rsid w:val="00450607"/>
    <w:rsid w:val="004507D6"/>
    <w:rsid w:val="00450830"/>
    <w:rsid w:val="00450A77"/>
    <w:rsid w:val="00450B15"/>
    <w:rsid w:val="00450B8E"/>
    <w:rsid w:val="00450D38"/>
    <w:rsid w:val="0045171C"/>
    <w:rsid w:val="004518CF"/>
    <w:rsid w:val="004518EA"/>
    <w:rsid w:val="0045193C"/>
    <w:rsid w:val="00451A34"/>
    <w:rsid w:val="00451A44"/>
    <w:rsid w:val="00451EA1"/>
    <w:rsid w:val="004522F1"/>
    <w:rsid w:val="00452310"/>
    <w:rsid w:val="0045299D"/>
    <w:rsid w:val="00452B31"/>
    <w:rsid w:val="004530E7"/>
    <w:rsid w:val="004532B7"/>
    <w:rsid w:val="00453513"/>
    <w:rsid w:val="004538AF"/>
    <w:rsid w:val="00453B7D"/>
    <w:rsid w:val="00453E04"/>
    <w:rsid w:val="00453ED4"/>
    <w:rsid w:val="004549EF"/>
    <w:rsid w:val="00454A80"/>
    <w:rsid w:val="00454A82"/>
    <w:rsid w:val="00454CB0"/>
    <w:rsid w:val="00454DD7"/>
    <w:rsid w:val="00454E90"/>
    <w:rsid w:val="00454EF6"/>
    <w:rsid w:val="00455384"/>
    <w:rsid w:val="004555EA"/>
    <w:rsid w:val="00455B9C"/>
    <w:rsid w:val="00455C01"/>
    <w:rsid w:val="00455D22"/>
    <w:rsid w:val="00455F34"/>
    <w:rsid w:val="0045629C"/>
    <w:rsid w:val="004563B3"/>
    <w:rsid w:val="00456758"/>
    <w:rsid w:val="004567C4"/>
    <w:rsid w:val="0045692A"/>
    <w:rsid w:val="00456A53"/>
    <w:rsid w:val="00457291"/>
    <w:rsid w:val="00457F97"/>
    <w:rsid w:val="004603C7"/>
    <w:rsid w:val="00460614"/>
    <w:rsid w:val="00460A3B"/>
    <w:rsid w:val="00460A73"/>
    <w:rsid w:val="00460ADF"/>
    <w:rsid w:val="00460AF1"/>
    <w:rsid w:val="00460F14"/>
    <w:rsid w:val="00461163"/>
    <w:rsid w:val="00461BC9"/>
    <w:rsid w:val="00461DDC"/>
    <w:rsid w:val="00462355"/>
    <w:rsid w:val="00462523"/>
    <w:rsid w:val="00462791"/>
    <w:rsid w:val="00462829"/>
    <w:rsid w:val="00462C7C"/>
    <w:rsid w:val="004631CE"/>
    <w:rsid w:val="00463716"/>
    <w:rsid w:val="00463CCE"/>
    <w:rsid w:val="0046401F"/>
    <w:rsid w:val="004643AD"/>
    <w:rsid w:val="00464483"/>
    <w:rsid w:val="004646CA"/>
    <w:rsid w:val="00464D77"/>
    <w:rsid w:val="00464DE6"/>
    <w:rsid w:val="00465182"/>
    <w:rsid w:val="0046544B"/>
    <w:rsid w:val="0046567E"/>
    <w:rsid w:val="004669F6"/>
    <w:rsid w:val="00466BC8"/>
    <w:rsid w:val="00467453"/>
    <w:rsid w:val="00467498"/>
    <w:rsid w:val="00467B20"/>
    <w:rsid w:val="0047000A"/>
    <w:rsid w:val="0047038C"/>
    <w:rsid w:val="004703FC"/>
    <w:rsid w:val="004704D8"/>
    <w:rsid w:val="0047077B"/>
    <w:rsid w:val="0047098D"/>
    <w:rsid w:val="00470A18"/>
    <w:rsid w:val="00471740"/>
    <w:rsid w:val="00471CC2"/>
    <w:rsid w:val="00471EA8"/>
    <w:rsid w:val="0047248C"/>
    <w:rsid w:val="00472553"/>
    <w:rsid w:val="004727A7"/>
    <w:rsid w:val="00472CB5"/>
    <w:rsid w:val="00472D49"/>
    <w:rsid w:val="00473BB8"/>
    <w:rsid w:val="00473C20"/>
    <w:rsid w:val="00473D33"/>
    <w:rsid w:val="00473F87"/>
    <w:rsid w:val="004740CF"/>
    <w:rsid w:val="0047431C"/>
    <w:rsid w:val="0047435D"/>
    <w:rsid w:val="00474708"/>
    <w:rsid w:val="004753B7"/>
    <w:rsid w:val="0047558D"/>
    <w:rsid w:val="004757E8"/>
    <w:rsid w:val="00475853"/>
    <w:rsid w:val="00475A8B"/>
    <w:rsid w:val="00476453"/>
    <w:rsid w:val="004764A5"/>
    <w:rsid w:val="004765D4"/>
    <w:rsid w:val="0047666B"/>
    <w:rsid w:val="00476C7C"/>
    <w:rsid w:val="00476E5C"/>
    <w:rsid w:val="00477172"/>
    <w:rsid w:val="00477192"/>
    <w:rsid w:val="0047740A"/>
    <w:rsid w:val="00477472"/>
    <w:rsid w:val="0047747C"/>
    <w:rsid w:val="00477508"/>
    <w:rsid w:val="004800A3"/>
    <w:rsid w:val="004806FA"/>
    <w:rsid w:val="00480CE0"/>
    <w:rsid w:val="00480F5D"/>
    <w:rsid w:val="004813B8"/>
    <w:rsid w:val="0048278E"/>
    <w:rsid w:val="00482921"/>
    <w:rsid w:val="00482B3C"/>
    <w:rsid w:val="00482CBE"/>
    <w:rsid w:val="004831F3"/>
    <w:rsid w:val="00483594"/>
    <w:rsid w:val="004835BB"/>
    <w:rsid w:val="004835C9"/>
    <w:rsid w:val="004838B1"/>
    <w:rsid w:val="00483BDB"/>
    <w:rsid w:val="00483D5F"/>
    <w:rsid w:val="00483E5C"/>
    <w:rsid w:val="00484431"/>
    <w:rsid w:val="00484B74"/>
    <w:rsid w:val="00484D54"/>
    <w:rsid w:val="0048544B"/>
    <w:rsid w:val="00485988"/>
    <w:rsid w:val="004869E6"/>
    <w:rsid w:val="00486C0F"/>
    <w:rsid w:val="00486C6B"/>
    <w:rsid w:val="004870E7"/>
    <w:rsid w:val="00487207"/>
    <w:rsid w:val="00487A21"/>
    <w:rsid w:val="004900F6"/>
    <w:rsid w:val="0049019E"/>
    <w:rsid w:val="004908FD"/>
    <w:rsid w:val="00490D3A"/>
    <w:rsid w:val="00490DCC"/>
    <w:rsid w:val="00490DE1"/>
    <w:rsid w:val="00490F0B"/>
    <w:rsid w:val="00490F2B"/>
    <w:rsid w:val="004913E3"/>
    <w:rsid w:val="00491A69"/>
    <w:rsid w:val="00491D9E"/>
    <w:rsid w:val="00491F42"/>
    <w:rsid w:val="00491F8D"/>
    <w:rsid w:val="00492036"/>
    <w:rsid w:val="0049220D"/>
    <w:rsid w:val="0049240A"/>
    <w:rsid w:val="00492C6A"/>
    <w:rsid w:val="00492C81"/>
    <w:rsid w:val="00492EDC"/>
    <w:rsid w:val="004935CD"/>
    <w:rsid w:val="00493A09"/>
    <w:rsid w:val="00493D05"/>
    <w:rsid w:val="00493E24"/>
    <w:rsid w:val="004943A5"/>
    <w:rsid w:val="0049463A"/>
    <w:rsid w:val="00494CB4"/>
    <w:rsid w:val="00494E07"/>
    <w:rsid w:val="00495024"/>
    <w:rsid w:val="0049540C"/>
    <w:rsid w:val="00495476"/>
    <w:rsid w:val="00495C11"/>
    <w:rsid w:val="00495D71"/>
    <w:rsid w:val="00495FF7"/>
    <w:rsid w:val="00496384"/>
    <w:rsid w:val="00496734"/>
    <w:rsid w:val="00496E6F"/>
    <w:rsid w:val="00496E8A"/>
    <w:rsid w:val="00496F1C"/>
    <w:rsid w:val="004970DD"/>
    <w:rsid w:val="00497298"/>
    <w:rsid w:val="00497598"/>
    <w:rsid w:val="004976E3"/>
    <w:rsid w:val="00497747"/>
    <w:rsid w:val="0049797E"/>
    <w:rsid w:val="00497E39"/>
    <w:rsid w:val="004A02A5"/>
    <w:rsid w:val="004A03CA"/>
    <w:rsid w:val="004A07CF"/>
    <w:rsid w:val="004A08EF"/>
    <w:rsid w:val="004A09B0"/>
    <w:rsid w:val="004A0B51"/>
    <w:rsid w:val="004A135A"/>
    <w:rsid w:val="004A19AD"/>
    <w:rsid w:val="004A1A20"/>
    <w:rsid w:val="004A1AAD"/>
    <w:rsid w:val="004A1C6E"/>
    <w:rsid w:val="004A1D2B"/>
    <w:rsid w:val="004A2C6C"/>
    <w:rsid w:val="004A2EB2"/>
    <w:rsid w:val="004A3028"/>
    <w:rsid w:val="004A30F1"/>
    <w:rsid w:val="004A327D"/>
    <w:rsid w:val="004A345D"/>
    <w:rsid w:val="004A3688"/>
    <w:rsid w:val="004A38D7"/>
    <w:rsid w:val="004A3C54"/>
    <w:rsid w:val="004A3F9C"/>
    <w:rsid w:val="004A404C"/>
    <w:rsid w:val="004A488B"/>
    <w:rsid w:val="004A4C23"/>
    <w:rsid w:val="004A4E41"/>
    <w:rsid w:val="004A4E88"/>
    <w:rsid w:val="004A566D"/>
    <w:rsid w:val="004A590E"/>
    <w:rsid w:val="004A59B7"/>
    <w:rsid w:val="004A652D"/>
    <w:rsid w:val="004A6867"/>
    <w:rsid w:val="004A6875"/>
    <w:rsid w:val="004A6A4A"/>
    <w:rsid w:val="004A6EA5"/>
    <w:rsid w:val="004A72A2"/>
    <w:rsid w:val="004A7610"/>
    <w:rsid w:val="004A7829"/>
    <w:rsid w:val="004A78B1"/>
    <w:rsid w:val="004A78BF"/>
    <w:rsid w:val="004A7A56"/>
    <w:rsid w:val="004A7C28"/>
    <w:rsid w:val="004A7DA3"/>
    <w:rsid w:val="004B05B4"/>
    <w:rsid w:val="004B06CD"/>
    <w:rsid w:val="004B0734"/>
    <w:rsid w:val="004B0788"/>
    <w:rsid w:val="004B087A"/>
    <w:rsid w:val="004B095E"/>
    <w:rsid w:val="004B0B26"/>
    <w:rsid w:val="004B0C42"/>
    <w:rsid w:val="004B0F40"/>
    <w:rsid w:val="004B1E86"/>
    <w:rsid w:val="004B2CFE"/>
    <w:rsid w:val="004B2D3E"/>
    <w:rsid w:val="004B38F3"/>
    <w:rsid w:val="004B3915"/>
    <w:rsid w:val="004B3ADE"/>
    <w:rsid w:val="004B437B"/>
    <w:rsid w:val="004B455B"/>
    <w:rsid w:val="004B47A0"/>
    <w:rsid w:val="004B4824"/>
    <w:rsid w:val="004B48A0"/>
    <w:rsid w:val="004B4F88"/>
    <w:rsid w:val="004B5105"/>
    <w:rsid w:val="004B5256"/>
    <w:rsid w:val="004B5392"/>
    <w:rsid w:val="004B547D"/>
    <w:rsid w:val="004B593C"/>
    <w:rsid w:val="004B607A"/>
    <w:rsid w:val="004B614C"/>
    <w:rsid w:val="004B6228"/>
    <w:rsid w:val="004B646C"/>
    <w:rsid w:val="004B6508"/>
    <w:rsid w:val="004B6804"/>
    <w:rsid w:val="004B6C0F"/>
    <w:rsid w:val="004B76AE"/>
    <w:rsid w:val="004B7C77"/>
    <w:rsid w:val="004B7E57"/>
    <w:rsid w:val="004B7F42"/>
    <w:rsid w:val="004C009A"/>
    <w:rsid w:val="004C03A5"/>
    <w:rsid w:val="004C04A3"/>
    <w:rsid w:val="004C095C"/>
    <w:rsid w:val="004C0BFA"/>
    <w:rsid w:val="004C113F"/>
    <w:rsid w:val="004C15C6"/>
    <w:rsid w:val="004C1BB3"/>
    <w:rsid w:val="004C1D2C"/>
    <w:rsid w:val="004C22B8"/>
    <w:rsid w:val="004C2B92"/>
    <w:rsid w:val="004C31DD"/>
    <w:rsid w:val="004C363F"/>
    <w:rsid w:val="004C3ED4"/>
    <w:rsid w:val="004C4138"/>
    <w:rsid w:val="004C4573"/>
    <w:rsid w:val="004C480C"/>
    <w:rsid w:val="004C4D2D"/>
    <w:rsid w:val="004C52E1"/>
    <w:rsid w:val="004C55AB"/>
    <w:rsid w:val="004C5976"/>
    <w:rsid w:val="004C5998"/>
    <w:rsid w:val="004C5B12"/>
    <w:rsid w:val="004C5B7E"/>
    <w:rsid w:val="004C5B9C"/>
    <w:rsid w:val="004C5C6D"/>
    <w:rsid w:val="004C5D40"/>
    <w:rsid w:val="004C5E14"/>
    <w:rsid w:val="004C5E9C"/>
    <w:rsid w:val="004C662A"/>
    <w:rsid w:val="004C6AB2"/>
    <w:rsid w:val="004C6BB7"/>
    <w:rsid w:val="004C6ED6"/>
    <w:rsid w:val="004C7165"/>
    <w:rsid w:val="004C770F"/>
    <w:rsid w:val="004D026E"/>
    <w:rsid w:val="004D04FF"/>
    <w:rsid w:val="004D0E58"/>
    <w:rsid w:val="004D1CA6"/>
    <w:rsid w:val="004D1EEB"/>
    <w:rsid w:val="004D1FB0"/>
    <w:rsid w:val="004D20EA"/>
    <w:rsid w:val="004D2336"/>
    <w:rsid w:val="004D254E"/>
    <w:rsid w:val="004D2611"/>
    <w:rsid w:val="004D28F9"/>
    <w:rsid w:val="004D2952"/>
    <w:rsid w:val="004D2A30"/>
    <w:rsid w:val="004D2A55"/>
    <w:rsid w:val="004D2A8B"/>
    <w:rsid w:val="004D2BA0"/>
    <w:rsid w:val="004D2D09"/>
    <w:rsid w:val="004D2F60"/>
    <w:rsid w:val="004D31EC"/>
    <w:rsid w:val="004D35CF"/>
    <w:rsid w:val="004D38A9"/>
    <w:rsid w:val="004D3B40"/>
    <w:rsid w:val="004D3D45"/>
    <w:rsid w:val="004D3D47"/>
    <w:rsid w:val="004D3D9B"/>
    <w:rsid w:val="004D42A1"/>
    <w:rsid w:val="004D43EA"/>
    <w:rsid w:val="004D4B6C"/>
    <w:rsid w:val="004D50B9"/>
    <w:rsid w:val="004D611C"/>
    <w:rsid w:val="004D6511"/>
    <w:rsid w:val="004D680B"/>
    <w:rsid w:val="004D6A04"/>
    <w:rsid w:val="004D70D5"/>
    <w:rsid w:val="004D7735"/>
    <w:rsid w:val="004D79C6"/>
    <w:rsid w:val="004D7AD7"/>
    <w:rsid w:val="004D7B94"/>
    <w:rsid w:val="004E005C"/>
    <w:rsid w:val="004E0503"/>
    <w:rsid w:val="004E0532"/>
    <w:rsid w:val="004E0B83"/>
    <w:rsid w:val="004E120C"/>
    <w:rsid w:val="004E139C"/>
    <w:rsid w:val="004E1CF7"/>
    <w:rsid w:val="004E1E87"/>
    <w:rsid w:val="004E23AA"/>
    <w:rsid w:val="004E2DFF"/>
    <w:rsid w:val="004E2E63"/>
    <w:rsid w:val="004E2FDD"/>
    <w:rsid w:val="004E37DA"/>
    <w:rsid w:val="004E3839"/>
    <w:rsid w:val="004E39D6"/>
    <w:rsid w:val="004E3EA0"/>
    <w:rsid w:val="004E45E5"/>
    <w:rsid w:val="004E480D"/>
    <w:rsid w:val="004E4DD9"/>
    <w:rsid w:val="004E527A"/>
    <w:rsid w:val="004E54ED"/>
    <w:rsid w:val="004E5674"/>
    <w:rsid w:val="004E58B7"/>
    <w:rsid w:val="004E5A17"/>
    <w:rsid w:val="004E5C30"/>
    <w:rsid w:val="004E5CBD"/>
    <w:rsid w:val="004E6CFA"/>
    <w:rsid w:val="004E6DD4"/>
    <w:rsid w:val="004E705D"/>
    <w:rsid w:val="004E7090"/>
    <w:rsid w:val="004E70DE"/>
    <w:rsid w:val="004E70E2"/>
    <w:rsid w:val="004E765B"/>
    <w:rsid w:val="004E7A11"/>
    <w:rsid w:val="004F0103"/>
    <w:rsid w:val="004F0146"/>
    <w:rsid w:val="004F0467"/>
    <w:rsid w:val="004F0907"/>
    <w:rsid w:val="004F0ECD"/>
    <w:rsid w:val="004F142B"/>
    <w:rsid w:val="004F17D5"/>
    <w:rsid w:val="004F17DC"/>
    <w:rsid w:val="004F180F"/>
    <w:rsid w:val="004F1964"/>
    <w:rsid w:val="004F1DC3"/>
    <w:rsid w:val="004F2E39"/>
    <w:rsid w:val="004F315A"/>
    <w:rsid w:val="004F3246"/>
    <w:rsid w:val="004F34A4"/>
    <w:rsid w:val="004F35EA"/>
    <w:rsid w:val="004F36D2"/>
    <w:rsid w:val="004F3BF3"/>
    <w:rsid w:val="004F3C3C"/>
    <w:rsid w:val="004F3F51"/>
    <w:rsid w:val="004F4908"/>
    <w:rsid w:val="004F4F37"/>
    <w:rsid w:val="004F52E6"/>
    <w:rsid w:val="004F58E1"/>
    <w:rsid w:val="004F597D"/>
    <w:rsid w:val="004F5B24"/>
    <w:rsid w:val="004F5CF4"/>
    <w:rsid w:val="004F6481"/>
    <w:rsid w:val="004F6608"/>
    <w:rsid w:val="004F6619"/>
    <w:rsid w:val="004F69D7"/>
    <w:rsid w:val="004F6BBD"/>
    <w:rsid w:val="004F6BF5"/>
    <w:rsid w:val="004F6DBB"/>
    <w:rsid w:val="004F7072"/>
    <w:rsid w:val="004F718C"/>
    <w:rsid w:val="004F74E8"/>
    <w:rsid w:val="004F7586"/>
    <w:rsid w:val="004F77DD"/>
    <w:rsid w:val="004F7842"/>
    <w:rsid w:val="004F7B63"/>
    <w:rsid w:val="004F7EA6"/>
    <w:rsid w:val="004F7FB3"/>
    <w:rsid w:val="005000F0"/>
    <w:rsid w:val="005002F7"/>
    <w:rsid w:val="00500A9C"/>
    <w:rsid w:val="00500BBC"/>
    <w:rsid w:val="00500DC5"/>
    <w:rsid w:val="00500F28"/>
    <w:rsid w:val="00501482"/>
    <w:rsid w:val="00501DA0"/>
    <w:rsid w:val="00502019"/>
    <w:rsid w:val="005024EE"/>
    <w:rsid w:val="00502C9A"/>
    <w:rsid w:val="005031CA"/>
    <w:rsid w:val="00503388"/>
    <w:rsid w:val="0050353D"/>
    <w:rsid w:val="00503552"/>
    <w:rsid w:val="00503837"/>
    <w:rsid w:val="00503F0A"/>
    <w:rsid w:val="005042E1"/>
    <w:rsid w:val="0050434D"/>
    <w:rsid w:val="005045BC"/>
    <w:rsid w:val="005048B5"/>
    <w:rsid w:val="00504980"/>
    <w:rsid w:val="00504B26"/>
    <w:rsid w:val="00504BC4"/>
    <w:rsid w:val="00504EBA"/>
    <w:rsid w:val="00505438"/>
    <w:rsid w:val="00505604"/>
    <w:rsid w:val="00505672"/>
    <w:rsid w:val="00505EB3"/>
    <w:rsid w:val="005060FE"/>
    <w:rsid w:val="005067E7"/>
    <w:rsid w:val="00507164"/>
    <w:rsid w:val="0050767B"/>
    <w:rsid w:val="005077DE"/>
    <w:rsid w:val="005079CF"/>
    <w:rsid w:val="00507FEE"/>
    <w:rsid w:val="00507FF8"/>
    <w:rsid w:val="00510485"/>
    <w:rsid w:val="005108E4"/>
    <w:rsid w:val="00510C4C"/>
    <w:rsid w:val="00510CA5"/>
    <w:rsid w:val="00510DAE"/>
    <w:rsid w:val="0051180A"/>
    <w:rsid w:val="005118DA"/>
    <w:rsid w:val="005123CA"/>
    <w:rsid w:val="00512492"/>
    <w:rsid w:val="005128A8"/>
    <w:rsid w:val="00512B7F"/>
    <w:rsid w:val="00512E3C"/>
    <w:rsid w:val="00512FC8"/>
    <w:rsid w:val="005132B2"/>
    <w:rsid w:val="005132DE"/>
    <w:rsid w:val="005140FB"/>
    <w:rsid w:val="005141A4"/>
    <w:rsid w:val="005149C1"/>
    <w:rsid w:val="00515316"/>
    <w:rsid w:val="00515443"/>
    <w:rsid w:val="00515697"/>
    <w:rsid w:val="00515B0A"/>
    <w:rsid w:val="00515DB7"/>
    <w:rsid w:val="00515FE4"/>
    <w:rsid w:val="005160CA"/>
    <w:rsid w:val="005161CC"/>
    <w:rsid w:val="00516305"/>
    <w:rsid w:val="00516E7D"/>
    <w:rsid w:val="00517377"/>
    <w:rsid w:val="00517678"/>
    <w:rsid w:val="0051770F"/>
    <w:rsid w:val="00517923"/>
    <w:rsid w:val="00517D19"/>
    <w:rsid w:val="005206F6"/>
    <w:rsid w:val="0052085B"/>
    <w:rsid w:val="00520B94"/>
    <w:rsid w:val="00520B98"/>
    <w:rsid w:val="00520D97"/>
    <w:rsid w:val="00520E21"/>
    <w:rsid w:val="00520EB2"/>
    <w:rsid w:val="00521382"/>
    <w:rsid w:val="005213E4"/>
    <w:rsid w:val="005216C8"/>
    <w:rsid w:val="00521AAC"/>
    <w:rsid w:val="00521B47"/>
    <w:rsid w:val="00521EB3"/>
    <w:rsid w:val="005226B2"/>
    <w:rsid w:val="00522800"/>
    <w:rsid w:val="0052286C"/>
    <w:rsid w:val="00523080"/>
    <w:rsid w:val="00523359"/>
    <w:rsid w:val="00523502"/>
    <w:rsid w:val="00523778"/>
    <w:rsid w:val="00523AFB"/>
    <w:rsid w:val="00523E60"/>
    <w:rsid w:val="00523F36"/>
    <w:rsid w:val="00524272"/>
    <w:rsid w:val="00524511"/>
    <w:rsid w:val="005245CF"/>
    <w:rsid w:val="00524CDD"/>
    <w:rsid w:val="0052503F"/>
    <w:rsid w:val="0052504C"/>
    <w:rsid w:val="0052560F"/>
    <w:rsid w:val="00525B34"/>
    <w:rsid w:val="00526356"/>
    <w:rsid w:val="00526975"/>
    <w:rsid w:val="00526B29"/>
    <w:rsid w:val="00526C24"/>
    <w:rsid w:val="00527030"/>
    <w:rsid w:val="00527148"/>
    <w:rsid w:val="00527199"/>
    <w:rsid w:val="00527486"/>
    <w:rsid w:val="00527522"/>
    <w:rsid w:val="0052792C"/>
    <w:rsid w:val="0053018A"/>
    <w:rsid w:val="005306D3"/>
    <w:rsid w:val="00530BDB"/>
    <w:rsid w:val="005317BD"/>
    <w:rsid w:val="005318D8"/>
    <w:rsid w:val="00531942"/>
    <w:rsid w:val="00531B5C"/>
    <w:rsid w:val="0053294C"/>
    <w:rsid w:val="00532A89"/>
    <w:rsid w:val="00532C1E"/>
    <w:rsid w:val="00532D76"/>
    <w:rsid w:val="00533277"/>
    <w:rsid w:val="00533336"/>
    <w:rsid w:val="0053361A"/>
    <w:rsid w:val="0053364C"/>
    <w:rsid w:val="00533ECC"/>
    <w:rsid w:val="0053414D"/>
    <w:rsid w:val="00534157"/>
    <w:rsid w:val="0053432D"/>
    <w:rsid w:val="0053449A"/>
    <w:rsid w:val="005345DC"/>
    <w:rsid w:val="0053469C"/>
    <w:rsid w:val="0053489A"/>
    <w:rsid w:val="00534A62"/>
    <w:rsid w:val="005350CE"/>
    <w:rsid w:val="00535220"/>
    <w:rsid w:val="005352B4"/>
    <w:rsid w:val="0053538E"/>
    <w:rsid w:val="00535498"/>
    <w:rsid w:val="00535585"/>
    <w:rsid w:val="00535841"/>
    <w:rsid w:val="00535A3B"/>
    <w:rsid w:val="00535D0E"/>
    <w:rsid w:val="00535EC6"/>
    <w:rsid w:val="00535FC3"/>
    <w:rsid w:val="0053638C"/>
    <w:rsid w:val="005363C4"/>
    <w:rsid w:val="00536B82"/>
    <w:rsid w:val="00536F1E"/>
    <w:rsid w:val="00536FE7"/>
    <w:rsid w:val="0053703D"/>
    <w:rsid w:val="00537107"/>
    <w:rsid w:val="005373D9"/>
    <w:rsid w:val="00537E8A"/>
    <w:rsid w:val="00537F43"/>
    <w:rsid w:val="00540692"/>
    <w:rsid w:val="00540A5C"/>
    <w:rsid w:val="00540A65"/>
    <w:rsid w:val="005418B9"/>
    <w:rsid w:val="005426C5"/>
    <w:rsid w:val="00542848"/>
    <w:rsid w:val="0054287B"/>
    <w:rsid w:val="00542B33"/>
    <w:rsid w:val="00542C30"/>
    <w:rsid w:val="005442CC"/>
    <w:rsid w:val="00544476"/>
    <w:rsid w:val="00544986"/>
    <w:rsid w:val="00545152"/>
    <w:rsid w:val="005457F5"/>
    <w:rsid w:val="00545A99"/>
    <w:rsid w:val="0054607F"/>
    <w:rsid w:val="005478F3"/>
    <w:rsid w:val="00547B46"/>
    <w:rsid w:val="005500F5"/>
    <w:rsid w:val="0055044E"/>
    <w:rsid w:val="005507C6"/>
    <w:rsid w:val="00550FC0"/>
    <w:rsid w:val="00551986"/>
    <w:rsid w:val="00551A06"/>
    <w:rsid w:val="00551A65"/>
    <w:rsid w:val="00551E05"/>
    <w:rsid w:val="00551EF6"/>
    <w:rsid w:val="00552668"/>
    <w:rsid w:val="0055268D"/>
    <w:rsid w:val="00552744"/>
    <w:rsid w:val="00552887"/>
    <w:rsid w:val="0055304E"/>
    <w:rsid w:val="00553099"/>
    <w:rsid w:val="00553639"/>
    <w:rsid w:val="0055377C"/>
    <w:rsid w:val="00553AC9"/>
    <w:rsid w:val="00553B76"/>
    <w:rsid w:val="00554606"/>
    <w:rsid w:val="005546E4"/>
    <w:rsid w:val="00554806"/>
    <w:rsid w:val="005548B3"/>
    <w:rsid w:val="00554F12"/>
    <w:rsid w:val="0055501C"/>
    <w:rsid w:val="005550FA"/>
    <w:rsid w:val="00555695"/>
    <w:rsid w:val="0055577B"/>
    <w:rsid w:val="005557AA"/>
    <w:rsid w:val="0055586D"/>
    <w:rsid w:val="00555A56"/>
    <w:rsid w:val="00555EBE"/>
    <w:rsid w:val="0055605E"/>
    <w:rsid w:val="0055606D"/>
    <w:rsid w:val="005562A3"/>
    <w:rsid w:val="0055645A"/>
    <w:rsid w:val="00556493"/>
    <w:rsid w:val="005566B6"/>
    <w:rsid w:val="0055697F"/>
    <w:rsid w:val="005571BA"/>
    <w:rsid w:val="00557553"/>
    <w:rsid w:val="00557A34"/>
    <w:rsid w:val="00557AB5"/>
    <w:rsid w:val="00557CEE"/>
    <w:rsid w:val="00560316"/>
    <w:rsid w:val="00560734"/>
    <w:rsid w:val="00560C56"/>
    <w:rsid w:val="00560E5F"/>
    <w:rsid w:val="00561287"/>
    <w:rsid w:val="005612CA"/>
    <w:rsid w:val="005612DD"/>
    <w:rsid w:val="005618B9"/>
    <w:rsid w:val="00561AF7"/>
    <w:rsid w:val="00561DA2"/>
    <w:rsid w:val="00561F37"/>
    <w:rsid w:val="0056235F"/>
    <w:rsid w:val="00562378"/>
    <w:rsid w:val="00562EB0"/>
    <w:rsid w:val="0056307F"/>
    <w:rsid w:val="005638FF"/>
    <w:rsid w:val="00563911"/>
    <w:rsid w:val="00563BD5"/>
    <w:rsid w:val="00563CC0"/>
    <w:rsid w:val="00563FD5"/>
    <w:rsid w:val="00564205"/>
    <w:rsid w:val="00565365"/>
    <w:rsid w:val="00565C53"/>
    <w:rsid w:val="00565F06"/>
    <w:rsid w:val="005660F3"/>
    <w:rsid w:val="00566454"/>
    <w:rsid w:val="0056694F"/>
    <w:rsid w:val="00566B4E"/>
    <w:rsid w:val="00566C9F"/>
    <w:rsid w:val="00567175"/>
    <w:rsid w:val="00567614"/>
    <w:rsid w:val="00567EEA"/>
    <w:rsid w:val="00570740"/>
    <w:rsid w:val="00570A47"/>
    <w:rsid w:val="00570B2F"/>
    <w:rsid w:val="00570BCA"/>
    <w:rsid w:val="00571006"/>
    <w:rsid w:val="00571077"/>
    <w:rsid w:val="005710FD"/>
    <w:rsid w:val="00571441"/>
    <w:rsid w:val="00571555"/>
    <w:rsid w:val="00571A53"/>
    <w:rsid w:val="00571DAF"/>
    <w:rsid w:val="005725A5"/>
    <w:rsid w:val="0057306D"/>
    <w:rsid w:val="0057337D"/>
    <w:rsid w:val="005733F4"/>
    <w:rsid w:val="00573584"/>
    <w:rsid w:val="0057414F"/>
    <w:rsid w:val="005741D8"/>
    <w:rsid w:val="00574746"/>
    <w:rsid w:val="00574DD4"/>
    <w:rsid w:val="0057547E"/>
    <w:rsid w:val="00575DF1"/>
    <w:rsid w:val="005763AA"/>
    <w:rsid w:val="00576663"/>
    <w:rsid w:val="00576AA9"/>
    <w:rsid w:val="00576C18"/>
    <w:rsid w:val="00576C4C"/>
    <w:rsid w:val="00576C4D"/>
    <w:rsid w:val="00576DB0"/>
    <w:rsid w:val="00576E96"/>
    <w:rsid w:val="00577305"/>
    <w:rsid w:val="00577B68"/>
    <w:rsid w:val="00577CFC"/>
    <w:rsid w:val="00577F1F"/>
    <w:rsid w:val="00577F36"/>
    <w:rsid w:val="005801F9"/>
    <w:rsid w:val="00580367"/>
    <w:rsid w:val="0058053A"/>
    <w:rsid w:val="005807F8"/>
    <w:rsid w:val="00580CFE"/>
    <w:rsid w:val="005814F2"/>
    <w:rsid w:val="00581709"/>
    <w:rsid w:val="0058181E"/>
    <w:rsid w:val="005819D4"/>
    <w:rsid w:val="00581A11"/>
    <w:rsid w:val="00581AC8"/>
    <w:rsid w:val="00581B3E"/>
    <w:rsid w:val="00581F3D"/>
    <w:rsid w:val="005820E8"/>
    <w:rsid w:val="005825A6"/>
    <w:rsid w:val="00582670"/>
    <w:rsid w:val="00582822"/>
    <w:rsid w:val="00582EEC"/>
    <w:rsid w:val="0058325E"/>
    <w:rsid w:val="005833B8"/>
    <w:rsid w:val="00583C47"/>
    <w:rsid w:val="00583E92"/>
    <w:rsid w:val="00584190"/>
    <w:rsid w:val="0058425D"/>
    <w:rsid w:val="00584315"/>
    <w:rsid w:val="00584733"/>
    <w:rsid w:val="0058478A"/>
    <w:rsid w:val="00584CEB"/>
    <w:rsid w:val="00584E5E"/>
    <w:rsid w:val="00584F24"/>
    <w:rsid w:val="0058511F"/>
    <w:rsid w:val="00585197"/>
    <w:rsid w:val="0058588F"/>
    <w:rsid w:val="00585AB1"/>
    <w:rsid w:val="00585E25"/>
    <w:rsid w:val="00585F6D"/>
    <w:rsid w:val="005867EE"/>
    <w:rsid w:val="00586CA3"/>
    <w:rsid w:val="00586FE4"/>
    <w:rsid w:val="00587001"/>
    <w:rsid w:val="00587258"/>
    <w:rsid w:val="00587429"/>
    <w:rsid w:val="00587667"/>
    <w:rsid w:val="00587782"/>
    <w:rsid w:val="0058781A"/>
    <w:rsid w:val="00587C11"/>
    <w:rsid w:val="00587ED6"/>
    <w:rsid w:val="00587F7D"/>
    <w:rsid w:val="005907AB"/>
    <w:rsid w:val="00590A13"/>
    <w:rsid w:val="00590ABA"/>
    <w:rsid w:val="00590B67"/>
    <w:rsid w:val="00591148"/>
    <w:rsid w:val="005912EB"/>
    <w:rsid w:val="0059138A"/>
    <w:rsid w:val="00591459"/>
    <w:rsid w:val="00591548"/>
    <w:rsid w:val="0059170F"/>
    <w:rsid w:val="00591D7C"/>
    <w:rsid w:val="00591E26"/>
    <w:rsid w:val="00591FC8"/>
    <w:rsid w:val="005921A8"/>
    <w:rsid w:val="0059327D"/>
    <w:rsid w:val="00593487"/>
    <w:rsid w:val="005937CA"/>
    <w:rsid w:val="005937F5"/>
    <w:rsid w:val="00594327"/>
    <w:rsid w:val="00594D15"/>
    <w:rsid w:val="00594E0E"/>
    <w:rsid w:val="005951F8"/>
    <w:rsid w:val="00595DD0"/>
    <w:rsid w:val="005960AF"/>
    <w:rsid w:val="005960CF"/>
    <w:rsid w:val="00596583"/>
    <w:rsid w:val="00596719"/>
    <w:rsid w:val="005969EE"/>
    <w:rsid w:val="00596C28"/>
    <w:rsid w:val="00596DE3"/>
    <w:rsid w:val="00596EE9"/>
    <w:rsid w:val="00597368"/>
    <w:rsid w:val="005977DD"/>
    <w:rsid w:val="00597949"/>
    <w:rsid w:val="00597CD6"/>
    <w:rsid w:val="00597D12"/>
    <w:rsid w:val="00597FB1"/>
    <w:rsid w:val="00597FB3"/>
    <w:rsid w:val="00597FCE"/>
    <w:rsid w:val="005A002C"/>
    <w:rsid w:val="005A0542"/>
    <w:rsid w:val="005A06DE"/>
    <w:rsid w:val="005A0A8A"/>
    <w:rsid w:val="005A0BD9"/>
    <w:rsid w:val="005A0FF4"/>
    <w:rsid w:val="005A12D7"/>
    <w:rsid w:val="005A1362"/>
    <w:rsid w:val="005A13B9"/>
    <w:rsid w:val="005A1ACC"/>
    <w:rsid w:val="005A1DD5"/>
    <w:rsid w:val="005A21A5"/>
    <w:rsid w:val="005A29E2"/>
    <w:rsid w:val="005A2CD1"/>
    <w:rsid w:val="005A3123"/>
    <w:rsid w:val="005A3274"/>
    <w:rsid w:val="005A3427"/>
    <w:rsid w:val="005A349B"/>
    <w:rsid w:val="005A3E59"/>
    <w:rsid w:val="005A4136"/>
    <w:rsid w:val="005A450E"/>
    <w:rsid w:val="005A45CE"/>
    <w:rsid w:val="005A48A3"/>
    <w:rsid w:val="005A49E2"/>
    <w:rsid w:val="005A5827"/>
    <w:rsid w:val="005A59A2"/>
    <w:rsid w:val="005A5B81"/>
    <w:rsid w:val="005A5D22"/>
    <w:rsid w:val="005A619B"/>
    <w:rsid w:val="005A6E47"/>
    <w:rsid w:val="005A6FDB"/>
    <w:rsid w:val="005A726F"/>
    <w:rsid w:val="005A786F"/>
    <w:rsid w:val="005A79D9"/>
    <w:rsid w:val="005B0426"/>
    <w:rsid w:val="005B07D0"/>
    <w:rsid w:val="005B087B"/>
    <w:rsid w:val="005B0902"/>
    <w:rsid w:val="005B09ED"/>
    <w:rsid w:val="005B0CB1"/>
    <w:rsid w:val="005B0D84"/>
    <w:rsid w:val="005B0E89"/>
    <w:rsid w:val="005B11A4"/>
    <w:rsid w:val="005B12FB"/>
    <w:rsid w:val="005B1523"/>
    <w:rsid w:val="005B15DF"/>
    <w:rsid w:val="005B1659"/>
    <w:rsid w:val="005B16F7"/>
    <w:rsid w:val="005B1B1C"/>
    <w:rsid w:val="005B1BF3"/>
    <w:rsid w:val="005B1CD4"/>
    <w:rsid w:val="005B1D1F"/>
    <w:rsid w:val="005B281B"/>
    <w:rsid w:val="005B297E"/>
    <w:rsid w:val="005B29F4"/>
    <w:rsid w:val="005B34CC"/>
    <w:rsid w:val="005B357A"/>
    <w:rsid w:val="005B37F8"/>
    <w:rsid w:val="005B3C64"/>
    <w:rsid w:val="005B41D9"/>
    <w:rsid w:val="005B4D00"/>
    <w:rsid w:val="005B53A2"/>
    <w:rsid w:val="005B5644"/>
    <w:rsid w:val="005B57BB"/>
    <w:rsid w:val="005B63C8"/>
    <w:rsid w:val="005B680B"/>
    <w:rsid w:val="005B6B8F"/>
    <w:rsid w:val="005B731D"/>
    <w:rsid w:val="005B74A0"/>
    <w:rsid w:val="005B74BF"/>
    <w:rsid w:val="005B762E"/>
    <w:rsid w:val="005B7C53"/>
    <w:rsid w:val="005B7D6D"/>
    <w:rsid w:val="005C07D8"/>
    <w:rsid w:val="005C0CEA"/>
    <w:rsid w:val="005C0DA9"/>
    <w:rsid w:val="005C0F35"/>
    <w:rsid w:val="005C11F6"/>
    <w:rsid w:val="005C15D7"/>
    <w:rsid w:val="005C1621"/>
    <w:rsid w:val="005C22BC"/>
    <w:rsid w:val="005C24B4"/>
    <w:rsid w:val="005C3022"/>
    <w:rsid w:val="005C317A"/>
    <w:rsid w:val="005C33BC"/>
    <w:rsid w:val="005C39EC"/>
    <w:rsid w:val="005C3E49"/>
    <w:rsid w:val="005C4004"/>
    <w:rsid w:val="005C45CA"/>
    <w:rsid w:val="005C47B4"/>
    <w:rsid w:val="005C4A51"/>
    <w:rsid w:val="005C533B"/>
    <w:rsid w:val="005C57CC"/>
    <w:rsid w:val="005C5D6E"/>
    <w:rsid w:val="005C61C2"/>
    <w:rsid w:val="005C6397"/>
    <w:rsid w:val="005C65E3"/>
    <w:rsid w:val="005C68F6"/>
    <w:rsid w:val="005C6F32"/>
    <w:rsid w:val="005C7172"/>
    <w:rsid w:val="005C7B05"/>
    <w:rsid w:val="005C7F2D"/>
    <w:rsid w:val="005C7FE6"/>
    <w:rsid w:val="005D022E"/>
    <w:rsid w:val="005D02F2"/>
    <w:rsid w:val="005D0E42"/>
    <w:rsid w:val="005D1453"/>
    <w:rsid w:val="005D1F68"/>
    <w:rsid w:val="005D1F6E"/>
    <w:rsid w:val="005D1F78"/>
    <w:rsid w:val="005D2371"/>
    <w:rsid w:val="005D2894"/>
    <w:rsid w:val="005D28AD"/>
    <w:rsid w:val="005D328A"/>
    <w:rsid w:val="005D33CA"/>
    <w:rsid w:val="005D3550"/>
    <w:rsid w:val="005D36AB"/>
    <w:rsid w:val="005D378D"/>
    <w:rsid w:val="005D3BC0"/>
    <w:rsid w:val="005D3CDF"/>
    <w:rsid w:val="005D3F73"/>
    <w:rsid w:val="005D4376"/>
    <w:rsid w:val="005D4379"/>
    <w:rsid w:val="005D46F9"/>
    <w:rsid w:val="005D48CC"/>
    <w:rsid w:val="005D4911"/>
    <w:rsid w:val="005D4A79"/>
    <w:rsid w:val="005D4FF7"/>
    <w:rsid w:val="005D50F7"/>
    <w:rsid w:val="005D51F5"/>
    <w:rsid w:val="005D5650"/>
    <w:rsid w:val="005D56D4"/>
    <w:rsid w:val="005D5D8A"/>
    <w:rsid w:val="005D66F5"/>
    <w:rsid w:val="005D6A58"/>
    <w:rsid w:val="005D6E1F"/>
    <w:rsid w:val="005D7057"/>
    <w:rsid w:val="005D7435"/>
    <w:rsid w:val="005D76C2"/>
    <w:rsid w:val="005D7BD7"/>
    <w:rsid w:val="005D7E78"/>
    <w:rsid w:val="005D7E82"/>
    <w:rsid w:val="005D7F84"/>
    <w:rsid w:val="005E04C5"/>
    <w:rsid w:val="005E07B4"/>
    <w:rsid w:val="005E0BC2"/>
    <w:rsid w:val="005E1279"/>
    <w:rsid w:val="005E16EA"/>
    <w:rsid w:val="005E18E6"/>
    <w:rsid w:val="005E1B0B"/>
    <w:rsid w:val="005E1F95"/>
    <w:rsid w:val="005E2002"/>
    <w:rsid w:val="005E3165"/>
    <w:rsid w:val="005E32CF"/>
    <w:rsid w:val="005E33F1"/>
    <w:rsid w:val="005E3651"/>
    <w:rsid w:val="005E4022"/>
    <w:rsid w:val="005E41AE"/>
    <w:rsid w:val="005E42B5"/>
    <w:rsid w:val="005E468E"/>
    <w:rsid w:val="005E4736"/>
    <w:rsid w:val="005E496C"/>
    <w:rsid w:val="005E4DA0"/>
    <w:rsid w:val="005E50B1"/>
    <w:rsid w:val="005E5255"/>
    <w:rsid w:val="005E52F3"/>
    <w:rsid w:val="005E533F"/>
    <w:rsid w:val="005E54BE"/>
    <w:rsid w:val="005E5B98"/>
    <w:rsid w:val="005E5BAC"/>
    <w:rsid w:val="005E60BF"/>
    <w:rsid w:val="005E62B4"/>
    <w:rsid w:val="005E665A"/>
    <w:rsid w:val="005E6E3B"/>
    <w:rsid w:val="005E7508"/>
    <w:rsid w:val="005E7910"/>
    <w:rsid w:val="005E799B"/>
    <w:rsid w:val="005F048B"/>
    <w:rsid w:val="005F06D4"/>
    <w:rsid w:val="005F0D87"/>
    <w:rsid w:val="005F0FA1"/>
    <w:rsid w:val="005F12DD"/>
    <w:rsid w:val="005F183E"/>
    <w:rsid w:val="005F1B37"/>
    <w:rsid w:val="005F1F3C"/>
    <w:rsid w:val="005F27CE"/>
    <w:rsid w:val="005F2946"/>
    <w:rsid w:val="005F2A5F"/>
    <w:rsid w:val="005F2AFD"/>
    <w:rsid w:val="005F2B15"/>
    <w:rsid w:val="005F349E"/>
    <w:rsid w:val="005F3941"/>
    <w:rsid w:val="005F3A39"/>
    <w:rsid w:val="005F3BE3"/>
    <w:rsid w:val="005F45E6"/>
    <w:rsid w:val="005F49BF"/>
    <w:rsid w:val="005F4BFB"/>
    <w:rsid w:val="005F5272"/>
    <w:rsid w:val="005F528D"/>
    <w:rsid w:val="005F551F"/>
    <w:rsid w:val="005F5550"/>
    <w:rsid w:val="005F55A9"/>
    <w:rsid w:val="005F563D"/>
    <w:rsid w:val="005F56D8"/>
    <w:rsid w:val="005F58D1"/>
    <w:rsid w:val="005F5E54"/>
    <w:rsid w:val="005F5E6A"/>
    <w:rsid w:val="005F6C95"/>
    <w:rsid w:val="005F74FD"/>
    <w:rsid w:val="005F7E42"/>
    <w:rsid w:val="006002BE"/>
    <w:rsid w:val="006003E7"/>
    <w:rsid w:val="00600769"/>
    <w:rsid w:val="006008F9"/>
    <w:rsid w:val="00601375"/>
    <w:rsid w:val="006016D7"/>
    <w:rsid w:val="00601915"/>
    <w:rsid w:val="00601B78"/>
    <w:rsid w:val="006021BF"/>
    <w:rsid w:val="00602601"/>
    <w:rsid w:val="00602783"/>
    <w:rsid w:val="00602D37"/>
    <w:rsid w:val="00602E60"/>
    <w:rsid w:val="00602E7B"/>
    <w:rsid w:val="00602F94"/>
    <w:rsid w:val="00602FA9"/>
    <w:rsid w:val="006030C1"/>
    <w:rsid w:val="00603321"/>
    <w:rsid w:val="00603326"/>
    <w:rsid w:val="006036AD"/>
    <w:rsid w:val="00603B11"/>
    <w:rsid w:val="00603F9B"/>
    <w:rsid w:val="00604521"/>
    <w:rsid w:val="006049AD"/>
    <w:rsid w:val="00604BD0"/>
    <w:rsid w:val="00604CAA"/>
    <w:rsid w:val="0060526B"/>
    <w:rsid w:val="0060567F"/>
    <w:rsid w:val="006057B4"/>
    <w:rsid w:val="00605899"/>
    <w:rsid w:val="00605967"/>
    <w:rsid w:val="00605F41"/>
    <w:rsid w:val="00606098"/>
    <w:rsid w:val="00606319"/>
    <w:rsid w:val="00606334"/>
    <w:rsid w:val="006064A0"/>
    <w:rsid w:val="006066E7"/>
    <w:rsid w:val="00606869"/>
    <w:rsid w:val="00606966"/>
    <w:rsid w:val="006069F9"/>
    <w:rsid w:val="00606A61"/>
    <w:rsid w:val="00607268"/>
    <w:rsid w:val="006073A6"/>
    <w:rsid w:val="00607402"/>
    <w:rsid w:val="006075B7"/>
    <w:rsid w:val="00607EC9"/>
    <w:rsid w:val="00610110"/>
    <w:rsid w:val="006104BE"/>
    <w:rsid w:val="00610508"/>
    <w:rsid w:val="0061057A"/>
    <w:rsid w:val="00610D01"/>
    <w:rsid w:val="006111F0"/>
    <w:rsid w:val="00611319"/>
    <w:rsid w:val="00611622"/>
    <w:rsid w:val="00611687"/>
    <w:rsid w:val="00611722"/>
    <w:rsid w:val="006117C7"/>
    <w:rsid w:val="00611BBB"/>
    <w:rsid w:val="00611C72"/>
    <w:rsid w:val="0061298B"/>
    <w:rsid w:val="00612E0D"/>
    <w:rsid w:val="0061325E"/>
    <w:rsid w:val="006132F0"/>
    <w:rsid w:val="00613460"/>
    <w:rsid w:val="00613773"/>
    <w:rsid w:val="00613A5C"/>
    <w:rsid w:val="00613E49"/>
    <w:rsid w:val="0061438C"/>
    <w:rsid w:val="0061458F"/>
    <w:rsid w:val="00614664"/>
    <w:rsid w:val="0061522D"/>
    <w:rsid w:val="006152A0"/>
    <w:rsid w:val="00615368"/>
    <w:rsid w:val="006154EF"/>
    <w:rsid w:val="00615744"/>
    <w:rsid w:val="00615865"/>
    <w:rsid w:val="00615A0D"/>
    <w:rsid w:val="00615C26"/>
    <w:rsid w:val="00615EC2"/>
    <w:rsid w:val="00615EEE"/>
    <w:rsid w:val="00615FE8"/>
    <w:rsid w:val="00616511"/>
    <w:rsid w:val="0061655A"/>
    <w:rsid w:val="0061660D"/>
    <w:rsid w:val="00616A7D"/>
    <w:rsid w:val="00617577"/>
    <w:rsid w:val="00617FDE"/>
    <w:rsid w:val="0062078E"/>
    <w:rsid w:val="006207CB"/>
    <w:rsid w:val="00620A11"/>
    <w:rsid w:val="00620CA8"/>
    <w:rsid w:val="00620ECB"/>
    <w:rsid w:val="006210AC"/>
    <w:rsid w:val="006213D9"/>
    <w:rsid w:val="00621674"/>
    <w:rsid w:val="00621ABF"/>
    <w:rsid w:val="00621C85"/>
    <w:rsid w:val="00621D95"/>
    <w:rsid w:val="006220D5"/>
    <w:rsid w:val="00622143"/>
    <w:rsid w:val="0062235B"/>
    <w:rsid w:val="0062244D"/>
    <w:rsid w:val="006225DF"/>
    <w:rsid w:val="006229EE"/>
    <w:rsid w:val="00622FD0"/>
    <w:rsid w:val="0062335A"/>
    <w:rsid w:val="006233AF"/>
    <w:rsid w:val="006237E0"/>
    <w:rsid w:val="006238DA"/>
    <w:rsid w:val="006239F7"/>
    <w:rsid w:val="00623ACB"/>
    <w:rsid w:val="00623DB6"/>
    <w:rsid w:val="00624296"/>
    <w:rsid w:val="00624A2A"/>
    <w:rsid w:val="00624F2F"/>
    <w:rsid w:val="0062528D"/>
    <w:rsid w:val="00625AA3"/>
    <w:rsid w:val="00625AAD"/>
    <w:rsid w:val="00625FFF"/>
    <w:rsid w:val="006263AB"/>
    <w:rsid w:val="006264FE"/>
    <w:rsid w:val="00626552"/>
    <w:rsid w:val="00626CBA"/>
    <w:rsid w:val="00626FF8"/>
    <w:rsid w:val="0062716A"/>
    <w:rsid w:val="00627866"/>
    <w:rsid w:val="00627E70"/>
    <w:rsid w:val="006308FC"/>
    <w:rsid w:val="00630CE8"/>
    <w:rsid w:val="006312FB"/>
    <w:rsid w:val="006313C8"/>
    <w:rsid w:val="006317C8"/>
    <w:rsid w:val="006318EA"/>
    <w:rsid w:val="006319E6"/>
    <w:rsid w:val="00631B01"/>
    <w:rsid w:val="00631EF2"/>
    <w:rsid w:val="00631F1D"/>
    <w:rsid w:val="0063231E"/>
    <w:rsid w:val="0063245A"/>
    <w:rsid w:val="00632700"/>
    <w:rsid w:val="00632C92"/>
    <w:rsid w:val="00632D51"/>
    <w:rsid w:val="006331A4"/>
    <w:rsid w:val="00633402"/>
    <w:rsid w:val="006335D1"/>
    <w:rsid w:val="00633C3F"/>
    <w:rsid w:val="0063408B"/>
    <w:rsid w:val="006340F0"/>
    <w:rsid w:val="00634241"/>
    <w:rsid w:val="00634507"/>
    <w:rsid w:val="00634691"/>
    <w:rsid w:val="006346EF"/>
    <w:rsid w:val="0063491B"/>
    <w:rsid w:val="00635185"/>
    <w:rsid w:val="00635DCD"/>
    <w:rsid w:val="00635F0C"/>
    <w:rsid w:val="00635F5D"/>
    <w:rsid w:val="00636580"/>
    <w:rsid w:val="00636807"/>
    <w:rsid w:val="00636EAC"/>
    <w:rsid w:val="00636F25"/>
    <w:rsid w:val="0063700A"/>
    <w:rsid w:val="00637084"/>
    <w:rsid w:val="00637101"/>
    <w:rsid w:val="006371E9"/>
    <w:rsid w:val="006378E6"/>
    <w:rsid w:val="0063792D"/>
    <w:rsid w:val="00637BF7"/>
    <w:rsid w:val="00640B33"/>
    <w:rsid w:val="006412B3"/>
    <w:rsid w:val="00641321"/>
    <w:rsid w:val="0064134D"/>
    <w:rsid w:val="00641456"/>
    <w:rsid w:val="00641786"/>
    <w:rsid w:val="00641AE1"/>
    <w:rsid w:val="00641AE2"/>
    <w:rsid w:val="00641C9A"/>
    <w:rsid w:val="00641D1D"/>
    <w:rsid w:val="006420A0"/>
    <w:rsid w:val="006423F5"/>
    <w:rsid w:val="006425BF"/>
    <w:rsid w:val="00642661"/>
    <w:rsid w:val="00642991"/>
    <w:rsid w:val="00642C3F"/>
    <w:rsid w:val="0064325D"/>
    <w:rsid w:val="0064361A"/>
    <w:rsid w:val="00643DF1"/>
    <w:rsid w:val="0064426C"/>
    <w:rsid w:val="00644351"/>
    <w:rsid w:val="00644676"/>
    <w:rsid w:val="00644DED"/>
    <w:rsid w:val="006455EB"/>
    <w:rsid w:val="00645615"/>
    <w:rsid w:val="00645B36"/>
    <w:rsid w:val="00645CE2"/>
    <w:rsid w:val="00645F1F"/>
    <w:rsid w:val="00646019"/>
    <w:rsid w:val="0064602B"/>
    <w:rsid w:val="00646096"/>
    <w:rsid w:val="006466CF"/>
    <w:rsid w:val="00646723"/>
    <w:rsid w:val="00646799"/>
    <w:rsid w:val="00646B9F"/>
    <w:rsid w:val="00646C4A"/>
    <w:rsid w:val="00646E11"/>
    <w:rsid w:val="0064716E"/>
    <w:rsid w:val="006473E3"/>
    <w:rsid w:val="006474EC"/>
    <w:rsid w:val="006475F7"/>
    <w:rsid w:val="006479CF"/>
    <w:rsid w:val="00647A4A"/>
    <w:rsid w:val="00647B9B"/>
    <w:rsid w:val="00647C76"/>
    <w:rsid w:val="00650011"/>
    <w:rsid w:val="0065023E"/>
    <w:rsid w:val="00650389"/>
    <w:rsid w:val="0065060F"/>
    <w:rsid w:val="0065082E"/>
    <w:rsid w:val="006509F6"/>
    <w:rsid w:val="00650F5C"/>
    <w:rsid w:val="00651430"/>
    <w:rsid w:val="006517E6"/>
    <w:rsid w:val="006526C9"/>
    <w:rsid w:val="0065273A"/>
    <w:rsid w:val="00652C71"/>
    <w:rsid w:val="00652D28"/>
    <w:rsid w:val="00652E78"/>
    <w:rsid w:val="0065343F"/>
    <w:rsid w:val="006535AD"/>
    <w:rsid w:val="006538A6"/>
    <w:rsid w:val="00653A7D"/>
    <w:rsid w:val="00653C5C"/>
    <w:rsid w:val="00653E40"/>
    <w:rsid w:val="00654643"/>
    <w:rsid w:val="0065469F"/>
    <w:rsid w:val="00654793"/>
    <w:rsid w:val="00654A1C"/>
    <w:rsid w:val="00654CA8"/>
    <w:rsid w:val="00654DC1"/>
    <w:rsid w:val="00654F00"/>
    <w:rsid w:val="00654F47"/>
    <w:rsid w:val="0065565D"/>
    <w:rsid w:val="00655CDE"/>
    <w:rsid w:val="00655FBB"/>
    <w:rsid w:val="00655FE8"/>
    <w:rsid w:val="0065644B"/>
    <w:rsid w:val="006566B2"/>
    <w:rsid w:val="00656B06"/>
    <w:rsid w:val="00656B3E"/>
    <w:rsid w:val="00656F41"/>
    <w:rsid w:val="006571F9"/>
    <w:rsid w:val="0065733D"/>
    <w:rsid w:val="00657712"/>
    <w:rsid w:val="00657730"/>
    <w:rsid w:val="00657AAE"/>
    <w:rsid w:val="00657B28"/>
    <w:rsid w:val="00660069"/>
    <w:rsid w:val="00660406"/>
    <w:rsid w:val="00660935"/>
    <w:rsid w:val="00660AE8"/>
    <w:rsid w:val="00660D96"/>
    <w:rsid w:val="0066106F"/>
    <w:rsid w:val="00661121"/>
    <w:rsid w:val="00661410"/>
    <w:rsid w:val="00661605"/>
    <w:rsid w:val="0066177C"/>
    <w:rsid w:val="00661B48"/>
    <w:rsid w:val="0066204E"/>
    <w:rsid w:val="006623DB"/>
    <w:rsid w:val="0066249C"/>
    <w:rsid w:val="006624D4"/>
    <w:rsid w:val="0066264A"/>
    <w:rsid w:val="00662E4B"/>
    <w:rsid w:val="006632A5"/>
    <w:rsid w:val="00663483"/>
    <w:rsid w:val="006634BF"/>
    <w:rsid w:val="00663AC0"/>
    <w:rsid w:val="00664311"/>
    <w:rsid w:val="0066438C"/>
    <w:rsid w:val="00664661"/>
    <w:rsid w:val="006646FE"/>
    <w:rsid w:val="00665199"/>
    <w:rsid w:val="006651CA"/>
    <w:rsid w:val="00665378"/>
    <w:rsid w:val="00665A59"/>
    <w:rsid w:val="00665B6D"/>
    <w:rsid w:val="00665DA5"/>
    <w:rsid w:val="00665FAD"/>
    <w:rsid w:val="006660FE"/>
    <w:rsid w:val="006667A1"/>
    <w:rsid w:val="00666A75"/>
    <w:rsid w:val="00666D96"/>
    <w:rsid w:val="006678D3"/>
    <w:rsid w:val="00667977"/>
    <w:rsid w:val="00667BC4"/>
    <w:rsid w:val="00667C2E"/>
    <w:rsid w:val="00667E2B"/>
    <w:rsid w:val="0067033C"/>
    <w:rsid w:val="006705CB"/>
    <w:rsid w:val="00670632"/>
    <w:rsid w:val="0067074C"/>
    <w:rsid w:val="00670C8B"/>
    <w:rsid w:val="006711CE"/>
    <w:rsid w:val="00671574"/>
    <w:rsid w:val="00671578"/>
    <w:rsid w:val="00671B6C"/>
    <w:rsid w:val="00671E6E"/>
    <w:rsid w:val="006725FA"/>
    <w:rsid w:val="006727C5"/>
    <w:rsid w:val="006728CB"/>
    <w:rsid w:val="00672BB5"/>
    <w:rsid w:val="00672FD1"/>
    <w:rsid w:val="00673151"/>
    <w:rsid w:val="00673380"/>
    <w:rsid w:val="00673528"/>
    <w:rsid w:val="00673737"/>
    <w:rsid w:val="00673C45"/>
    <w:rsid w:val="00673D80"/>
    <w:rsid w:val="00673E5D"/>
    <w:rsid w:val="00674241"/>
    <w:rsid w:val="0067426F"/>
    <w:rsid w:val="00674905"/>
    <w:rsid w:val="00674B57"/>
    <w:rsid w:val="00674C7A"/>
    <w:rsid w:val="00675130"/>
    <w:rsid w:val="0067537D"/>
    <w:rsid w:val="00675525"/>
    <w:rsid w:val="0067555D"/>
    <w:rsid w:val="00675B0D"/>
    <w:rsid w:val="00675D94"/>
    <w:rsid w:val="00675E56"/>
    <w:rsid w:val="00676526"/>
    <w:rsid w:val="00676E6A"/>
    <w:rsid w:val="00676F0D"/>
    <w:rsid w:val="00676FB1"/>
    <w:rsid w:val="00676FF9"/>
    <w:rsid w:val="006775EF"/>
    <w:rsid w:val="006776E0"/>
    <w:rsid w:val="00677A04"/>
    <w:rsid w:val="00677A83"/>
    <w:rsid w:val="00677AF6"/>
    <w:rsid w:val="00677FD3"/>
    <w:rsid w:val="0068025E"/>
    <w:rsid w:val="00680939"/>
    <w:rsid w:val="00680B5F"/>
    <w:rsid w:val="00680DC6"/>
    <w:rsid w:val="00681126"/>
    <w:rsid w:val="00681410"/>
    <w:rsid w:val="00681571"/>
    <w:rsid w:val="00681922"/>
    <w:rsid w:val="0068237D"/>
    <w:rsid w:val="0068283F"/>
    <w:rsid w:val="006829C0"/>
    <w:rsid w:val="00682A54"/>
    <w:rsid w:val="00682CA8"/>
    <w:rsid w:val="00682DCF"/>
    <w:rsid w:val="00682ED9"/>
    <w:rsid w:val="0068307D"/>
    <w:rsid w:val="006830BB"/>
    <w:rsid w:val="0068315C"/>
    <w:rsid w:val="006831B7"/>
    <w:rsid w:val="006831C8"/>
    <w:rsid w:val="00683781"/>
    <w:rsid w:val="006839E7"/>
    <w:rsid w:val="00683B84"/>
    <w:rsid w:val="00683C5D"/>
    <w:rsid w:val="00683F32"/>
    <w:rsid w:val="00683F94"/>
    <w:rsid w:val="00683FFB"/>
    <w:rsid w:val="0068408D"/>
    <w:rsid w:val="006840C7"/>
    <w:rsid w:val="0068440B"/>
    <w:rsid w:val="00684704"/>
    <w:rsid w:val="00684BC1"/>
    <w:rsid w:val="00685071"/>
    <w:rsid w:val="0068513C"/>
    <w:rsid w:val="006854A9"/>
    <w:rsid w:val="0068576E"/>
    <w:rsid w:val="00685BE2"/>
    <w:rsid w:val="00685BE9"/>
    <w:rsid w:val="006863C1"/>
    <w:rsid w:val="0068687B"/>
    <w:rsid w:val="006871F8"/>
    <w:rsid w:val="00687348"/>
    <w:rsid w:val="006874DA"/>
    <w:rsid w:val="006876F0"/>
    <w:rsid w:val="0068773B"/>
    <w:rsid w:val="006878C2"/>
    <w:rsid w:val="006879A7"/>
    <w:rsid w:val="00687A3B"/>
    <w:rsid w:val="00687C5B"/>
    <w:rsid w:val="00687CD6"/>
    <w:rsid w:val="00687E0B"/>
    <w:rsid w:val="00690647"/>
    <w:rsid w:val="006906D0"/>
    <w:rsid w:val="00690A44"/>
    <w:rsid w:val="0069160A"/>
    <w:rsid w:val="006919AB"/>
    <w:rsid w:val="00691A4A"/>
    <w:rsid w:val="00691CE7"/>
    <w:rsid w:val="00691DF0"/>
    <w:rsid w:val="006923E2"/>
    <w:rsid w:val="006923EF"/>
    <w:rsid w:val="0069248C"/>
    <w:rsid w:val="00692511"/>
    <w:rsid w:val="00692A16"/>
    <w:rsid w:val="00692A1E"/>
    <w:rsid w:val="00692D18"/>
    <w:rsid w:val="006930F5"/>
    <w:rsid w:val="006933C5"/>
    <w:rsid w:val="00693425"/>
    <w:rsid w:val="00693852"/>
    <w:rsid w:val="00693C67"/>
    <w:rsid w:val="0069412C"/>
    <w:rsid w:val="006943A2"/>
    <w:rsid w:val="006945F5"/>
    <w:rsid w:val="0069492C"/>
    <w:rsid w:val="00694DAC"/>
    <w:rsid w:val="00694DD2"/>
    <w:rsid w:val="00694F6E"/>
    <w:rsid w:val="006952F5"/>
    <w:rsid w:val="0069698A"/>
    <w:rsid w:val="00696ACE"/>
    <w:rsid w:val="00696C2C"/>
    <w:rsid w:val="0069704C"/>
    <w:rsid w:val="0069738C"/>
    <w:rsid w:val="0069741F"/>
    <w:rsid w:val="006A001E"/>
    <w:rsid w:val="006A032C"/>
    <w:rsid w:val="006A060F"/>
    <w:rsid w:val="006A13C6"/>
    <w:rsid w:val="006A17A1"/>
    <w:rsid w:val="006A18F0"/>
    <w:rsid w:val="006A1B61"/>
    <w:rsid w:val="006A1C7B"/>
    <w:rsid w:val="006A1FE5"/>
    <w:rsid w:val="006A234A"/>
    <w:rsid w:val="006A26D8"/>
    <w:rsid w:val="006A2939"/>
    <w:rsid w:val="006A29C6"/>
    <w:rsid w:val="006A2D61"/>
    <w:rsid w:val="006A327B"/>
    <w:rsid w:val="006A331F"/>
    <w:rsid w:val="006A3685"/>
    <w:rsid w:val="006A3811"/>
    <w:rsid w:val="006A3AFB"/>
    <w:rsid w:val="006A3D47"/>
    <w:rsid w:val="006A3F27"/>
    <w:rsid w:val="006A3F36"/>
    <w:rsid w:val="006A4299"/>
    <w:rsid w:val="006A4EAC"/>
    <w:rsid w:val="006A4EE2"/>
    <w:rsid w:val="006A51B0"/>
    <w:rsid w:val="006A55EE"/>
    <w:rsid w:val="006A58CD"/>
    <w:rsid w:val="006A5A4C"/>
    <w:rsid w:val="006A5B44"/>
    <w:rsid w:val="006A5DE7"/>
    <w:rsid w:val="006A5DFC"/>
    <w:rsid w:val="006A5E0C"/>
    <w:rsid w:val="006A5FEB"/>
    <w:rsid w:val="006A6247"/>
    <w:rsid w:val="006A6638"/>
    <w:rsid w:val="006A6CD9"/>
    <w:rsid w:val="006A7023"/>
    <w:rsid w:val="006B01A0"/>
    <w:rsid w:val="006B03F3"/>
    <w:rsid w:val="006B11D9"/>
    <w:rsid w:val="006B1904"/>
    <w:rsid w:val="006B1A1A"/>
    <w:rsid w:val="006B1C7A"/>
    <w:rsid w:val="006B1CA0"/>
    <w:rsid w:val="006B1F00"/>
    <w:rsid w:val="006B227B"/>
    <w:rsid w:val="006B25F5"/>
    <w:rsid w:val="006B27D6"/>
    <w:rsid w:val="006B2AD2"/>
    <w:rsid w:val="006B2FCB"/>
    <w:rsid w:val="006B336F"/>
    <w:rsid w:val="006B34B6"/>
    <w:rsid w:val="006B36BB"/>
    <w:rsid w:val="006B37F2"/>
    <w:rsid w:val="006B3B9F"/>
    <w:rsid w:val="006B3CC6"/>
    <w:rsid w:val="006B3DF1"/>
    <w:rsid w:val="006B3FC8"/>
    <w:rsid w:val="006B4146"/>
    <w:rsid w:val="006B4180"/>
    <w:rsid w:val="006B47BE"/>
    <w:rsid w:val="006B50E8"/>
    <w:rsid w:val="006B5393"/>
    <w:rsid w:val="006B56D0"/>
    <w:rsid w:val="006B5B9A"/>
    <w:rsid w:val="006B5D00"/>
    <w:rsid w:val="006B5E6C"/>
    <w:rsid w:val="006B6564"/>
    <w:rsid w:val="006B68E6"/>
    <w:rsid w:val="006B6C27"/>
    <w:rsid w:val="006B6D8B"/>
    <w:rsid w:val="006B6DF6"/>
    <w:rsid w:val="006B7904"/>
    <w:rsid w:val="006C033A"/>
    <w:rsid w:val="006C0690"/>
    <w:rsid w:val="006C0CEA"/>
    <w:rsid w:val="006C0DE9"/>
    <w:rsid w:val="006C0F83"/>
    <w:rsid w:val="006C123B"/>
    <w:rsid w:val="006C127A"/>
    <w:rsid w:val="006C1353"/>
    <w:rsid w:val="006C1439"/>
    <w:rsid w:val="006C1C33"/>
    <w:rsid w:val="006C1C48"/>
    <w:rsid w:val="006C1CAD"/>
    <w:rsid w:val="006C206A"/>
    <w:rsid w:val="006C2707"/>
    <w:rsid w:val="006C2B7B"/>
    <w:rsid w:val="006C2C85"/>
    <w:rsid w:val="006C2D22"/>
    <w:rsid w:val="006C2F2A"/>
    <w:rsid w:val="006C3319"/>
    <w:rsid w:val="006C3347"/>
    <w:rsid w:val="006C34C1"/>
    <w:rsid w:val="006C38CD"/>
    <w:rsid w:val="006C3984"/>
    <w:rsid w:val="006C3C15"/>
    <w:rsid w:val="006C3C6C"/>
    <w:rsid w:val="006C416B"/>
    <w:rsid w:val="006C424F"/>
    <w:rsid w:val="006C4814"/>
    <w:rsid w:val="006C556B"/>
    <w:rsid w:val="006C55B2"/>
    <w:rsid w:val="006C5A0D"/>
    <w:rsid w:val="006C5AFF"/>
    <w:rsid w:val="006C641A"/>
    <w:rsid w:val="006C678A"/>
    <w:rsid w:val="006C6864"/>
    <w:rsid w:val="006C6C2B"/>
    <w:rsid w:val="006C71C5"/>
    <w:rsid w:val="006C71E6"/>
    <w:rsid w:val="006C7713"/>
    <w:rsid w:val="006C7ACD"/>
    <w:rsid w:val="006D0048"/>
    <w:rsid w:val="006D01A2"/>
    <w:rsid w:val="006D03FC"/>
    <w:rsid w:val="006D056D"/>
    <w:rsid w:val="006D0D7A"/>
    <w:rsid w:val="006D1016"/>
    <w:rsid w:val="006D13A6"/>
    <w:rsid w:val="006D16DE"/>
    <w:rsid w:val="006D1990"/>
    <w:rsid w:val="006D1A0F"/>
    <w:rsid w:val="006D200A"/>
    <w:rsid w:val="006D2AA8"/>
    <w:rsid w:val="006D2B41"/>
    <w:rsid w:val="006D2B95"/>
    <w:rsid w:val="006D2DCD"/>
    <w:rsid w:val="006D2DD7"/>
    <w:rsid w:val="006D2FF0"/>
    <w:rsid w:val="006D3728"/>
    <w:rsid w:val="006D3AF6"/>
    <w:rsid w:val="006D3C66"/>
    <w:rsid w:val="006D3D6E"/>
    <w:rsid w:val="006D3E72"/>
    <w:rsid w:val="006D3F3A"/>
    <w:rsid w:val="006D3FA1"/>
    <w:rsid w:val="006D3FE4"/>
    <w:rsid w:val="006D48C6"/>
    <w:rsid w:val="006D4B84"/>
    <w:rsid w:val="006D4D96"/>
    <w:rsid w:val="006D4E0C"/>
    <w:rsid w:val="006D503D"/>
    <w:rsid w:val="006D5612"/>
    <w:rsid w:val="006D5B8D"/>
    <w:rsid w:val="006D608E"/>
    <w:rsid w:val="006D60EC"/>
    <w:rsid w:val="006D62BF"/>
    <w:rsid w:val="006D65AF"/>
    <w:rsid w:val="006D6880"/>
    <w:rsid w:val="006D6947"/>
    <w:rsid w:val="006D6B6A"/>
    <w:rsid w:val="006D73B0"/>
    <w:rsid w:val="006D749C"/>
    <w:rsid w:val="006D773C"/>
    <w:rsid w:val="006D780F"/>
    <w:rsid w:val="006D79BA"/>
    <w:rsid w:val="006E01B4"/>
    <w:rsid w:val="006E033B"/>
    <w:rsid w:val="006E0392"/>
    <w:rsid w:val="006E0F54"/>
    <w:rsid w:val="006E11E6"/>
    <w:rsid w:val="006E17D9"/>
    <w:rsid w:val="006E1874"/>
    <w:rsid w:val="006E1B9E"/>
    <w:rsid w:val="006E1D20"/>
    <w:rsid w:val="006E1F04"/>
    <w:rsid w:val="006E25B7"/>
    <w:rsid w:val="006E2EAC"/>
    <w:rsid w:val="006E2FA1"/>
    <w:rsid w:val="006E3287"/>
    <w:rsid w:val="006E3850"/>
    <w:rsid w:val="006E39A0"/>
    <w:rsid w:val="006E3AB7"/>
    <w:rsid w:val="006E4420"/>
    <w:rsid w:val="006E4757"/>
    <w:rsid w:val="006E478F"/>
    <w:rsid w:val="006E4863"/>
    <w:rsid w:val="006E500E"/>
    <w:rsid w:val="006E5BEB"/>
    <w:rsid w:val="006E5F61"/>
    <w:rsid w:val="006E6143"/>
    <w:rsid w:val="006E63AB"/>
    <w:rsid w:val="006E6425"/>
    <w:rsid w:val="006E65EF"/>
    <w:rsid w:val="006E66FE"/>
    <w:rsid w:val="006E6A96"/>
    <w:rsid w:val="006E6ABA"/>
    <w:rsid w:val="006E72A0"/>
    <w:rsid w:val="006E74B8"/>
    <w:rsid w:val="006E75F9"/>
    <w:rsid w:val="006E763F"/>
    <w:rsid w:val="006E7758"/>
    <w:rsid w:val="006E7AB7"/>
    <w:rsid w:val="006E7E40"/>
    <w:rsid w:val="006E7F08"/>
    <w:rsid w:val="006F01A1"/>
    <w:rsid w:val="006F0357"/>
    <w:rsid w:val="006F0762"/>
    <w:rsid w:val="006F0943"/>
    <w:rsid w:val="006F0C98"/>
    <w:rsid w:val="006F0C9A"/>
    <w:rsid w:val="006F1140"/>
    <w:rsid w:val="006F11C7"/>
    <w:rsid w:val="006F1976"/>
    <w:rsid w:val="006F1AB1"/>
    <w:rsid w:val="006F1B9D"/>
    <w:rsid w:val="006F1D99"/>
    <w:rsid w:val="006F1E13"/>
    <w:rsid w:val="006F28C6"/>
    <w:rsid w:val="006F2BCF"/>
    <w:rsid w:val="006F3077"/>
    <w:rsid w:val="006F3094"/>
    <w:rsid w:val="006F330B"/>
    <w:rsid w:val="006F352E"/>
    <w:rsid w:val="006F36B4"/>
    <w:rsid w:val="006F38BA"/>
    <w:rsid w:val="006F3D84"/>
    <w:rsid w:val="006F3DBD"/>
    <w:rsid w:val="006F3E23"/>
    <w:rsid w:val="006F3E70"/>
    <w:rsid w:val="006F4262"/>
    <w:rsid w:val="006F4A51"/>
    <w:rsid w:val="006F4ED5"/>
    <w:rsid w:val="006F4F5E"/>
    <w:rsid w:val="006F571A"/>
    <w:rsid w:val="006F572D"/>
    <w:rsid w:val="006F5859"/>
    <w:rsid w:val="006F58CE"/>
    <w:rsid w:val="006F5A08"/>
    <w:rsid w:val="006F5CEA"/>
    <w:rsid w:val="006F654B"/>
    <w:rsid w:val="006F6C13"/>
    <w:rsid w:val="006F6CA6"/>
    <w:rsid w:val="006F6D8B"/>
    <w:rsid w:val="006F6ED7"/>
    <w:rsid w:val="006F791A"/>
    <w:rsid w:val="006F7BD4"/>
    <w:rsid w:val="006F7CA3"/>
    <w:rsid w:val="006F7D51"/>
    <w:rsid w:val="006F7F16"/>
    <w:rsid w:val="00700518"/>
    <w:rsid w:val="00701070"/>
    <w:rsid w:val="0070112A"/>
    <w:rsid w:val="007012DB"/>
    <w:rsid w:val="007016C8"/>
    <w:rsid w:val="00701ABA"/>
    <w:rsid w:val="007023EA"/>
    <w:rsid w:val="007024B2"/>
    <w:rsid w:val="007024C7"/>
    <w:rsid w:val="007024FE"/>
    <w:rsid w:val="007027A3"/>
    <w:rsid w:val="0070352D"/>
    <w:rsid w:val="00703947"/>
    <w:rsid w:val="00703C14"/>
    <w:rsid w:val="00703C6E"/>
    <w:rsid w:val="0070439F"/>
    <w:rsid w:val="007044F1"/>
    <w:rsid w:val="00704D4D"/>
    <w:rsid w:val="00704DA4"/>
    <w:rsid w:val="00704DD3"/>
    <w:rsid w:val="00705A9E"/>
    <w:rsid w:val="00705B37"/>
    <w:rsid w:val="00705D58"/>
    <w:rsid w:val="00705F93"/>
    <w:rsid w:val="00705FDC"/>
    <w:rsid w:val="00706179"/>
    <w:rsid w:val="007064BB"/>
    <w:rsid w:val="007064D2"/>
    <w:rsid w:val="00706527"/>
    <w:rsid w:val="00706919"/>
    <w:rsid w:val="00707297"/>
    <w:rsid w:val="007072AE"/>
    <w:rsid w:val="00707DD5"/>
    <w:rsid w:val="0071067C"/>
    <w:rsid w:val="007108D4"/>
    <w:rsid w:val="00710A73"/>
    <w:rsid w:val="00710ABE"/>
    <w:rsid w:val="00710AE3"/>
    <w:rsid w:val="00710F95"/>
    <w:rsid w:val="00711207"/>
    <w:rsid w:val="00711390"/>
    <w:rsid w:val="007113DC"/>
    <w:rsid w:val="007114BA"/>
    <w:rsid w:val="007114C4"/>
    <w:rsid w:val="00711739"/>
    <w:rsid w:val="007118D9"/>
    <w:rsid w:val="00711923"/>
    <w:rsid w:val="00711E38"/>
    <w:rsid w:val="00711FCC"/>
    <w:rsid w:val="00712058"/>
    <w:rsid w:val="00712171"/>
    <w:rsid w:val="0071236B"/>
    <w:rsid w:val="00712657"/>
    <w:rsid w:val="00712984"/>
    <w:rsid w:val="00712A58"/>
    <w:rsid w:val="00712DA5"/>
    <w:rsid w:val="0071339D"/>
    <w:rsid w:val="00713973"/>
    <w:rsid w:val="007143EA"/>
    <w:rsid w:val="00714402"/>
    <w:rsid w:val="0071471F"/>
    <w:rsid w:val="00714908"/>
    <w:rsid w:val="00715164"/>
    <w:rsid w:val="007151B9"/>
    <w:rsid w:val="00715238"/>
    <w:rsid w:val="0071551A"/>
    <w:rsid w:val="00715D7E"/>
    <w:rsid w:val="00716521"/>
    <w:rsid w:val="00717223"/>
    <w:rsid w:val="007172B7"/>
    <w:rsid w:val="007175CB"/>
    <w:rsid w:val="00717FC2"/>
    <w:rsid w:val="00717FE0"/>
    <w:rsid w:val="0072025E"/>
    <w:rsid w:val="007205B0"/>
    <w:rsid w:val="00720B33"/>
    <w:rsid w:val="00720C6A"/>
    <w:rsid w:val="00720C90"/>
    <w:rsid w:val="00720C94"/>
    <w:rsid w:val="00720D19"/>
    <w:rsid w:val="00720E74"/>
    <w:rsid w:val="00720EB2"/>
    <w:rsid w:val="00721078"/>
    <w:rsid w:val="007210AD"/>
    <w:rsid w:val="00721128"/>
    <w:rsid w:val="007216F4"/>
    <w:rsid w:val="007217E2"/>
    <w:rsid w:val="00721BEC"/>
    <w:rsid w:val="007220BD"/>
    <w:rsid w:val="00722230"/>
    <w:rsid w:val="007223E9"/>
    <w:rsid w:val="0072253A"/>
    <w:rsid w:val="00722671"/>
    <w:rsid w:val="00722757"/>
    <w:rsid w:val="007227BA"/>
    <w:rsid w:val="007227FB"/>
    <w:rsid w:val="00722EDC"/>
    <w:rsid w:val="0072338B"/>
    <w:rsid w:val="00723576"/>
    <w:rsid w:val="00723B11"/>
    <w:rsid w:val="00723C48"/>
    <w:rsid w:val="00723FC4"/>
    <w:rsid w:val="0072404C"/>
    <w:rsid w:val="00724096"/>
    <w:rsid w:val="00724159"/>
    <w:rsid w:val="00724A6E"/>
    <w:rsid w:val="00724FC7"/>
    <w:rsid w:val="0072580B"/>
    <w:rsid w:val="00726337"/>
    <w:rsid w:val="00726499"/>
    <w:rsid w:val="007264F0"/>
    <w:rsid w:val="007265AC"/>
    <w:rsid w:val="007267EA"/>
    <w:rsid w:val="007268D2"/>
    <w:rsid w:val="00726921"/>
    <w:rsid w:val="00726E39"/>
    <w:rsid w:val="00727537"/>
    <w:rsid w:val="007277DE"/>
    <w:rsid w:val="007279FF"/>
    <w:rsid w:val="00727A9A"/>
    <w:rsid w:val="00727C9C"/>
    <w:rsid w:val="00727D93"/>
    <w:rsid w:val="00727D9C"/>
    <w:rsid w:val="0073010D"/>
    <w:rsid w:val="00730296"/>
    <w:rsid w:val="007303C4"/>
    <w:rsid w:val="007315AE"/>
    <w:rsid w:val="00731F09"/>
    <w:rsid w:val="00732100"/>
    <w:rsid w:val="007321A5"/>
    <w:rsid w:val="00732368"/>
    <w:rsid w:val="0073256F"/>
    <w:rsid w:val="00732A35"/>
    <w:rsid w:val="00732C6B"/>
    <w:rsid w:val="00732EDA"/>
    <w:rsid w:val="00733452"/>
    <w:rsid w:val="007334BA"/>
    <w:rsid w:val="00733BF1"/>
    <w:rsid w:val="0073407E"/>
    <w:rsid w:val="0073496E"/>
    <w:rsid w:val="007353C0"/>
    <w:rsid w:val="007356F4"/>
    <w:rsid w:val="00735E43"/>
    <w:rsid w:val="007361F1"/>
    <w:rsid w:val="00736549"/>
    <w:rsid w:val="00736DBF"/>
    <w:rsid w:val="0073712F"/>
    <w:rsid w:val="00737189"/>
    <w:rsid w:val="00737461"/>
    <w:rsid w:val="0073793B"/>
    <w:rsid w:val="00737DE6"/>
    <w:rsid w:val="00737E90"/>
    <w:rsid w:val="0074008A"/>
    <w:rsid w:val="00740ACF"/>
    <w:rsid w:val="00740D91"/>
    <w:rsid w:val="00740F98"/>
    <w:rsid w:val="00741391"/>
    <w:rsid w:val="00741975"/>
    <w:rsid w:val="00741C42"/>
    <w:rsid w:val="00742322"/>
    <w:rsid w:val="00742733"/>
    <w:rsid w:val="007428D4"/>
    <w:rsid w:val="00743409"/>
    <w:rsid w:val="00743421"/>
    <w:rsid w:val="00743544"/>
    <w:rsid w:val="00743701"/>
    <w:rsid w:val="007438E5"/>
    <w:rsid w:val="00743E12"/>
    <w:rsid w:val="00743FEE"/>
    <w:rsid w:val="007445C2"/>
    <w:rsid w:val="007449BA"/>
    <w:rsid w:val="00744ECB"/>
    <w:rsid w:val="007450D9"/>
    <w:rsid w:val="007459AA"/>
    <w:rsid w:val="00745D9D"/>
    <w:rsid w:val="00745E96"/>
    <w:rsid w:val="00745F1B"/>
    <w:rsid w:val="007462AB"/>
    <w:rsid w:val="00746309"/>
    <w:rsid w:val="007467C1"/>
    <w:rsid w:val="00746825"/>
    <w:rsid w:val="00746D32"/>
    <w:rsid w:val="00746FE4"/>
    <w:rsid w:val="00750397"/>
    <w:rsid w:val="007504A8"/>
    <w:rsid w:val="00750522"/>
    <w:rsid w:val="0075069F"/>
    <w:rsid w:val="0075086D"/>
    <w:rsid w:val="00750C46"/>
    <w:rsid w:val="00750E89"/>
    <w:rsid w:val="007510FF"/>
    <w:rsid w:val="00751513"/>
    <w:rsid w:val="00751FA6"/>
    <w:rsid w:val="0075219E"/>
    <w:rsid w:val="0075244F"/>
    <w:rsid w:val="00752559"/>
    <w:rsid w:val="007527DF"/>
    <w:rsid w:val="00752C7B"/>
    <w:rsid w:val="00752FA9"/>
    <w:rsid w:val="007533C3"/>
    <w:rsid w:val="0075376F"/>
    <w:rsid w:val="007539D9"/>
    <w:rsid w:val="00753FCE"/>
    <w:rsid w:val="0075424B"/>
    <w:rsid w:val="007544F3"/>
    <w:rsid w:val="007546D7"/>
    <w:rsid w:val="007548C7"/>
    <w:rsid w:val="007549F2"/>
    <w:rsid w:val="00754AAE"/>
    <w:rsid w:val="00754FB2"/>
    <w:rsid w:val="0075505E"/>
    <w:rsid w:val="00755854"/>
    <w:rsid w:val="0075654F"/>
    <w:rsid w:val="007565E0"/>
    <w:rsid w:val="0075683C"/>
    <w:rsid w:val="00756A6C"/>
    <w:rsid w:val="00756DC0"/>
    <w:rsid w:val="00756EAA"/>
    <w:rsid w:val="007570E0"/>
    <w:rsid w:val="007574C9"/>
    <w:rsid w:val="007576C3"/>
    <w:rsid w:val="00760322"/>
    <w:rsid w:val="00760717"/>
    <w:rsid w:val="00760EE1"/>
    <w:rsid w:val="00761588"/>
    <w:rsid w:val="0076182E"/>
    <w:rsid w:val="00761C7D"/>
    <w:rsid w:val="00761D63"/>
    <w:rsid w:val="00761F06"/>
    <w:rsid w:val="007625B5"/>
    <w:rsid w:val="00762B16"/>
    <w:rsid w:val="00762BB4"/>
    <w:rsid w:val="0076334C"/>
    <w:rsid w:val="00763833"/>
    <w:rsid w:val="00763A57"/>
    <w:rsid w:val="00763D24"/>
    <w:rsid w:val="00763DAC"/>
    <w:rsid w:val="00763E2D"/>
    <w:rsid w:val="00763F09"/>
    <w:rsid w:val="00763F26"/>
    <w:rsid w:val="007640FE"/>
    <w:rsid w:val="0076411C"/>
    <w:rsid w:val="007641CC"/>
    <w:rsid w:val="007643B0"/>
    <w:rsid w:val="00764F98"/>
    <w:rsid w:val="00765960"/>
    <w:rsid w:val="007659F7"/>
    <w:rsid w:val="00765C67"/>
    <w:rsid w:val="007661A6"/>
    <w:rsid w:val="007662F1"/>
    <w:rsid w:val="00766E22"/>
    <w:rsid w:val="00766F80"/>
    <w:rsid w:val="0076729A"/>
    <w:rsid w:val="007672C4"/>
    <w:rsid w:val="007674CC"/>
    <w:rsid w:val="007675C5"/>
    <w:rsid w:val="007675FD"/>
    <w:rsid w:val="00767963"/>
    <w:rsid w:val="00767B35"/>
    <w:rsid w:val="00767B80"/>
    <w:rsid w:val="00767BCE"/>
    <w:rsid w:val="00767CA8"/>
    <w:rsid w:val="00767DF0"/>
    <w:rsid w:val="00767DF8"/>
    <w:rsid w:val="00767F0F"/>
    <w:rsid w:val="00770574"/>
    <w:rsid w:val="007707B1"/>
    <w:rsid w:val="00770865"/>
    <w:rsid w:val="00770952"/>
    <w:rsid w:val="00770A2B"/>
    <w:rsid w:val="00770F5B"/>
    <w:rsid w:val="0077134D"/>
    <w:rsid w:val="007719F8"/>
    <w:rsid w:val="00771BF7"/>
    <w:rsid w:val="00771CDF"/>
    <w:rsid w:val="00771F81"/>
    <w:rsid w:val="007727FA"/>
    <w:rsid w:val="0077309B"/>
    <w:rsid w:val="00773359"/>
    <w:rsid w:val="00773B79"/>
    <w:rsid w:val="00774252"/>
    <w:rsid w:val="007744C5"/>
    <w:rsid w:val="00774B0D"/>
    <w:rsid w:val="00774F37"/>
    <w:rsid w:val="00774F3D"/>
    <w:rsid w:val="00775468"/>
    <w:rsid w:val="007754D9"/>
    <w:rsid w:val="007755D2"/>
    <w:rsid w:val="00775940"/>
    <w:rsid w:val="00776111"/>
    <w:rsid w:val="00776337"/>
    <w:rsid w:val="00776418"/>
    <w:rsid w:val="007769F2"/>
    <w:rsid w:val="00776B7F"/>
    <w:rsid w:val="00776CD7"/>
    <w:rsid w:val="00776EE6"/>
    <w:rsid w:val="00776F35"/>
    <w:rsid w:val="00777D43"/>
    <w:rsid w:val="00777EF9"/>
    <w:rsid w:val="00777F1A"/>
    <w:rsid w:val="00780572"/>
    <w:rsid w:val="007809C5"/>
    <w:rsid w:val="00780A4C"/>
    <w:rsid w:val="00780CCD"/>
    <w:rsid w:val="00780CEB"/>
    <w:rsid w:val="00781179"/>
    <w:rsid w:val="007812D1"/>
    <w:rsid w:val="007818C3"/>
    <w:rsid w:val="00781D8D"/>
    <w:rsid w:val="00781E0E"/>
    <w:rsid w:val="00781FA6"/>
    <w:rsid w:val="00782044"/>
    <w:rsid w:val="007820B5"/>
    <w:rsid w:val="007829A3"/>
    <w:rsid w:val="00782DF5"/>
    <w:rsid w:val="00783037"/>
    <w:rsid w:val="0078304C"/>
    <w:rsid w:val="0078312E"/>
    <w:rsid w:val="007835D5"/>
    <w:rsid w:val="00783CD4"/>
    <w:rsid w:val="00783F88"/>
    <w:rsid w:val="0078432D"/>
    <w:rsid w:val="0078446E"/>
    <w:rsid w:val="007846C6"/>
    <w:rsid w:val="00784926"/>
    <w:rsid w:val="00784FC8"/>
    <w:rsid w:val="007852D7"/>
    <w:rsid w:val="0078646F"/>
    <w:rsid w:val="00786B51"/>
    <w:rsid w:val="00787023"/>
    <w:rsid w:val="00787346"/>
    <w:rsid w:val="007875D4"/>
    <w:rsid w:val="00787C38"/>
    <w:rsid w:val="007900F5"/>
    <w:rsid w:val="00790547"/>
    <w:rsid w:val="0079066F"/>
    <w:rsid w:val="00790803"/>
    <w:rsid w:val="00790A37"/>
    <w:rsid w:val="00791053"/>
    <w:rsid w:val="00791D73"/>
    <w:rsid w:val="00791F33"/>
    <w:rsid w:val="007928D8"/>
    <w:rsid w:val="00792987"/>
    <w:rsid w:val="00792BC6"/>
    <w:rsid w:val="00792E7E"/>
    <w:rsid w:val="00793045"/>
    <w:rsid w:val="007931BF"/>
    <w:rsid w:val="007935C8"/>
    <w:rsid w:val="007935CD"/>
    <w:rsid w:val="00793600"/>
    <w:rsid w:val="0079368C"/>
    <w:rsid w:val="007936E1"/>
    <w:rsid w:val="007936FF"/>
    <w:rsid w:val="00793AE3"/>
    <w:rsid w:val="00793B31"/>
    <w:rsid w:val="007942B3"/>
    <w:rsid w:val="00794789"/>
    <w:rsid w:val="007948CA"/>
    <w:rsid w:val="00794E3C"/>
    <w:rsid w:val="00794F21"/>
    <w:rsid w:val="00795072"/>
    <w:rsid w:val="00796601"/>
    <w:rsid w:val="007968DC"/>
    <w:rsid w:val="00796FEF"/>
    <w:rsid w:val="0079728D"/>
    <w:rsid w:val="007A0094"/>
    <w:rsid w:val="007A0353"/>
    <w:rsid w:val="007A0393"/>
    <w:rsid w:val="007A068B"/>
    <w:rsid w:val="007A07FE"/>
    <w:rsid w:val="007A0ACF"/>
    <w:rsid w:val="007A0F63"/>
    <w:rsid w:val="007A13D9"/>
    <w:rsid w:val="007A13FA"/>
    <w:rsid w:val="007A151E"/>
    <w:rsid w:val="007A16A4"/>
    <w:rsid w:val="007A19CB"/>
    <w:rsid w:val="007A1BC0"/>
    <w:rsid w:val="007A1DFC"/>
    <w:rsid w:val="007A2398"/>
    <w:rsid w:val="007A2DF1"/>
    <w:rsid w:val="007A33D2"/>
    <w:rsid w:val="007A35D6"/>
    <w:rsid w:val="007A38AF"/>
    <w:rsid w:val="007A45CE"/>
    <w:rsid w:val="007A4B44"/>
    <w:rsid w:val="007A4B8F"/>
    <w:rsid w:val="007A4F8F"/>
    <w:rsid w:val="007A4FB9"/>
    <w:rsid w:val="007A511E"/>
    <w:rsid w:val="007A5C5E"/>
    <w:rsid w:val="007A5D0D"/>
    <w:rsid w:val="007A65CA"/>
    <w:rsid w:val="007A6A13"/>
    <w:rsid w:val="007A6FED"/>
    <w:rsid w:val="007A71F9"/>
    <w:rsid w:val="007A72D8"/>
    <w:rsid w:val="007A762F"/>
    <w:rsid w:val="007A76FF"/>
    <w:rsid w:val="007A7879"/>
    <w:rsid w:val="007A792B"/>
    <w:rsid w:val="007A7AA3"/>
    <w:rsid w:val="007A7FA4"/>
    <w:rsid w:val="007B00B1"/>
    <w:rsid w:val="007B00B9"/>
    <w:rsid w:val="007B030A"/>
    <w:rsid w:val="007B07FC"/>
    <w:rsid w:val="007B0B0D"/>
    <w:rsid w:val="007B0BF8"/>
    <w:rsid w:val="007B0D1B"/>
    <w:rsid w:val="007B12F5"/>
    <w:rsid w:val="007B1911"/>
    <w:rsid w:val="007B1B39"/>
    <w:rsid w:val="007B1EB9"/>
    <w:rsid w:val="007B235C"/>
    <w:rsid w:val="007B23A5"/>
    <w:rsid w:val="007B24AD"/>
    <w:rsid w:val="007B2750"/>
    <w:rsid w:val="007B32CF"/>
    <w:rsid w:val="007B333B"/>
    <w:rsid w:val="007B374D"/>
    <w:rsid w:val="007B3DB9"/>
    <w:rsid w:val="007B441E"/>
    <w:rsid w:val="007B44F7"/>
    <w:rsid w:val="007B450F"/>
    <w:rsid w:val="007B4F42"/>
    <w:rsid w:val="007B53B2"/>
    <w:rsid w:val="007B55E8"/>
    <w:rsid w:val="007B57B4"/>
    <w:rsid w:val="007B5B46"/>
    <w:rsid w:val="007B5CA5"/>
    <w:rsid w:val="007B62FB"/>
    <w:rsid w:val="007B6BF9"/>
    <w:rsid w:val="007B6D45"/>
    <w:rsid w:val="007B6E8C"/>
    <w:rsid w:val="007B77DD"/>
    <w:rsid w:val="007B7A19"/>
    <w:rsid w:val="007C0491"/>
    <w:rsid w:val="007C0836"/>
    <w:rsid w:val="007C0A76"/>
    <w:rsid w:val="007C0C5F"/>
    <w:rsid w:val="007C167C"/>
    <w:rsid w:val="007C16BE"/>
    <w:rsid w:val="007C1822"/>
    <w:rsid w:val="007C26EE"/>
    <w:rsid w:val="007C2809"/>
    <w:rsid w:val="007C297C"/>
    <w:rsid w:val="007C2E4A"/>
    <w:rsid w:val="007C2EAB"/>
    <w:rsid w:val="007C305E"/>
    <w:rsid w:val="007C3618"/>
    <w:rsid w:val="007C37D5"/>
    <w:rsid w:val="007C3826"/>
    <w:rsid w:val="007C3952"/>
    <w:rsid w:val="007C3FE7"/>
    <w:rsid w:val="007C4062"/>
    <w:rsid w:val="007C4152"/>
    <w:rsid w:val="007C4167"/>
    <w:rsid w:val="007C4229"/>
    <w:rsid w:val="007C4B8D"/>
    <w:rsid w:val="007C4C0D"/>
    <w:rsid w:val="007C4EA5"/>
    <w:rsid w:val="007C577E"/>
    <w:rsid w:val="007C5C41"/>
    <w:rsid w:val="007C5D5B"/>
    <w:rsid w:val="007C5F91"/>
    <w:rsid w:val="007C65D5"/>
    <w:rsid w:val="007C683B"/>
    <w:rsid w:val="007C70EA"/>
    <w:rsid w:val="007C7264"/>
    <w:rsid w:val="007C7591"/>
    <w:rsid w:val="007C7937"/>
    <w:rsid w:val="007C7A62"/>
    <w:rsid w:val="007C7B37"/>
    <w:rsid w:val="007C7B97"/>
    <w:rsid w:val="007C7BCE"/>
    <w:rsid w:val="007C7C76"/>
    <w:rsid w:val="007C7F45"/>
    <w:rsid w:val="007D010D"/>
    <w:rsid w:val="007D041B"/>
    <w:rsid w:val="007D062F"/>
    <w:rsid w:val="007D06AB"/>
    <w:rsid w:val="007D155F"/>
    <w:rsid w:val="007D1848"/>
    <w:rsid w:val="007D19C3"/>
    <w:rsid w:val="007D1A09"/>
    <w:rsid w:val="007D1BA7"/>
    <w:rsid w:val="007D1CD4"/>
    <w:rsid w:val="007D1E2F"/>
    <w:rsid w:val="007D2055"/>
    <w:rsid w:val="007D2C6F"/>
    <w:rsid w:val="007D36D7"/>
    <w:rsid w:val="007D3707"/>
    <w:rsid w:val="007D406B"/>
    <w:rsid w:val="007D4480"/>
    <w:rsid w:val="007D4919"/>
    <w:rsid w:val="007D4E77"/>
    <w:rsid w:val="007D54AA"/>
    <w:rsid w:val="007D559C"/>
    <w:rsid w:val="007D5818"/>
    <w:rsid w:val="007D5931"/>
    <w:rsid w:val="007D5A38"/>
    <w:rsid w:val="007D5B99"/>
    <w:rsid w:val="007D5C05"/>
    <w:rsid w:val="007D6A9E"/>
    <w:rsid w:val="007D6AD2"/>
    <w:rsid w:val="007D6CEA"/>
    <w:rsid w:val="007D6F3D"/>
    <w:rsid w:val="007D6FC6"/>
    <w:rsid w:val="007D7678"/>
    <w:rsid w:val="007D797D"/>
    <w:rsid w:val="007E0D5D"/>
    <w:rsid w:val="007E0E66"/>
    <w:rsid w:val="007E0E83"/>
    <w:rsid w:val="007E183D"/>
    <w:rsid w:val="007E1849"/>
    <w:rsid w:val="007E1B46"/>
    <w:rsid w:val="007E1CA3"/>
    <w:rsid w:val="007E1EF7"/>
    <w:rsid w:val="007E260B"/>
    <w:rsid w:val="007E29A1"/>
    <w:rsid w:val="007E34B0"/>
    <w:rsid w:val="007E35FA"/>
    <w:rsid w:val="007E36A5"/>
    <w:rsid w:val="007E37B9"/>
    <w:rsid w:val="007E3835"/>
    <w:rsid w:val="007E3AD9"/>
    <w:rsid w:val="007E3DFC"/>
    <w:rsid w:val="007E3FC4"/>
    <w:rsid w:val="007E4000"/>
    <w:rsid w:val="007E404C"/>
    <w:rsid w:val="007E4734"/>
    <w:rsid w:val="007E4CBC"/>
    <w:rsid w:val="007E4D34"/>
    <w:rsid w:val="007E4F31"/>
    <w:rsid w:val="007E5714"/>
    <w:rsid w:val="007E5970"/>
    <w:rsid w:val="007E5C4C"/>
    <w:rsid w:val="007E6450"/>
    <w:rsid w:val="007E6683"/>
    <w:rsid w:val="007E68B0"/>
    <w:rsid w:val="007E694C"/>
    <w:rsid w:val="007E6D6C"/>
    <w:rsid w:val="007E6DC2"/>
    <w:rsid w:val="007E6EA0"/>
    <w:rsid w:val="007E7166"/>
    <w:rsid w:val="007E76A6"/>
    <w:rsid w:val="007E7F1D"/>
    <w:rsid w:val="007F02AA"/>
    <w:rsid w:val="007F02C1"/>
    <w:rsid w:val="007F03D5"/>
    <w:rsid w:val="007F0C5E"/>
    <w:rsid w:val="007F0EA2"/>
    <w:rsid w:val="007F0FA8"/>
    <w:rsid w:val="007F14B8"/>
    <w:rsid w:val="007F159F"/>
    <w:rsid w:val="007F17CB"/>
    <w:rsid w:val="007F2109"/>
    <w:rsid w:val="007F25A1"/>
    <w:rsid w:val="007F29E1"/>
    <w:rsid w:val="007F29F4"/>
    <w:rsid w:val="007F2B93"/>
    <w:rsid w:val="007F32A7"/>
    <w:rsid w:val="007F33FC"/>
    <w:rsid w:val="007F3603"/>
    <w:rsid w:val="007F3E85"/>
    <w:rsid w:val="007F3F18"/>
    <w:rsid w:val="007F4824"/>
    <w:rsid w:val="007F4EB4"/>
    <w:rsid w:val="007F4F00"/>
    <w:rsid w:val="007F5012"/>
    <w:rsid w:val="007F5877"/>
    <w:rsid w:val="007F5F69"/>
    <w:rsid w:val="007F60D0"/>
    <w:rsid w:val="007F611E"/>
    <w:rsid w:val="007F622E"/>
    <w:rsid w:val="007F6632"/>
    <w:rsid w:val="007F6B68"/>
    <w:rsid w:val="007F6C18"/>
    <w:rsid w:val="007F737B"/>
    <w:rsid w:val="007F7417"/>
    <w:rsid w:val="007F76C6"/>
    <w:rsid w:val="007F78D7"/>
    <w:rsid w:val="007F79CA"/>
    <w:rsid w:val="007F7AAB"/>
    <w:rsid w:val="007F7CFB"/>
    <w:rsid w:val="007F7DF8"/>
    <w:rsid w:val="00800139"/>
    <w:rsid w:val="00800152"/>
    <w:rsid w:val="00800425"/>
    <w:rsid w:val="00800B72"/>
    <w:rsid w:val="00801340"/>
    <w:rsid w:val="00801D77"/>
    <w:rsid w:val="00802097"/>
    <w:rsid w:val="008020B9"/>
    <w:rsid w:val="00802D27"/>
    <w:rsid w:val="00803390"/>
    <w:rsid w:val="00803A5E"/>
    <w:rsid w:val="00803D71"/>
    <w:rsid w:val="00804082"/>
    <w:rsid w:val="00804512"/>
    <w:rsid w:val="0080494A"/>
    <w:rsid w:val="00804CD2"/>
    <w:rsid w:val="00804D22"/>
    <w:rsid w:val="00804EBF"/>
    <w:rsid w:val="00805000"/>
    <w:rsid w:val="008051B3"/>
    <w:rsid w:val="00805370"/>
    <w:rsid w:val="00805530"/>
    <w:rsid w:val="00805C55"/>
    <w:rsid w:val="00805ED5"/>
    <w:rsid w:val="008065EF"/>
    <w:rsid w:val="00806907"/>
    <w:rsid w:val="00806BB3"/>
    <w:rsid w:val="00807138"/>
    <w:rsid w:val="00807A36"/>
    <w:rsid w:val="00807AA4"/>
    <w:rsid w:val="00807AF2"/>
    <w:rsid w:val="00807B96"/>
    <w:rsid w:val="00807D40"/>
    <w:rsid w:val="0081013A"/>
    <w:rsid w:val="0081027A"/>
    <w:rsid w:val="00810569"/>
    <w:rsid w:val="008106D9"/>
    <w:rsid w:val="008106EF"/>
    <w:rsid w:val="0081078C"/>
    <w:rsid w:val="00810823"/>
    <w:rsid w:val="00810A96"/>
    <w:rsid w:val="00810E6D"/>
    <w:rsid w:val="00810E74"/>
    <w:rsid w:val="00810F8D"/>
    <w:rsid w:val="0081155D"/>
    <w:rsid w:val="00811567"/>
    <w:rsid w:val="00811751"/>
    <w:rsid w:val="00811AC9"/>
    <w:rsid w:val="008120C6"/>
    <w:rsid w:val="008120EB"/>
    <w:rsid w:val="00812241"/>
    <w:rsid w:val="00812995"/>
    <w:rsid w:val="0081327F"/>
    <w:rsid w:val="008132F9"/>
    <w:rsid w:val="00813518"/>
    <w:rsid w:val="0081370F"/>
    <w:rsid w:val="00813A1F"/>
    <w:rsid w:val="00813D05"/>
    <w:rsid w:val="00814171"/>
    <w:rsid w:val="00814487"/>
    <w:rsid w:val="0081450F"/>
    <w:rsid w:val="008146BD"/>
    <w:rsid w:val="00814C1F"/>
    <w:rsid w:val="00814D5E"/>
    <w:rsid w:val="00814EB0"/>
    <w:rsid w:val="0081527D"/>
    <w:rsid w:val="008154D7"/>
    <w:rsid w:val="00815979"/>
    <w:rsid w:val="00815998"/>
    <w:rsid w:val="00815A97"/>
    <w:rsid w:val="00815B29"/>
    <w:rsid w:val="00816046"/>
    <w:rsid w:val="0081623A"/>
    <w:rsid w:val="0081741D"/>
    <w:rsid w:val="00817437"/>
    <w:rsid w:val="008176CE"/>
    <w:rsid w:val="00817A89"/>
    <w:rsid w:val="00817B4D"/>
    <w:rsid w:val="00817EA3"/>
    <w:rsid w:val="008201E9"/>
    <w:rsid w:val="0082044B"/>
    <w:rsid w:val="00821045"/>
    <w:rsid w:val="0082137F"/>
    <w:rsid w:val="00821996"/>
    <w:rsid w:val="00821A58"/>
    <w:rsid w:val="00821D8F"/>
    <w:rsid w:val="00821FCC"/>
    <w:rsid w:val="00822499"/>
    <w:rsid w:val="008225C6"/>
    <w:rsid w:val="0082266B"/>
    <w:rsid w:val="008228D0"/>
    <w:rsid w:val="00822A5E"/>
    <w:rsid w:val="0082357A"/>
    <w:rsid w:val="00823717"/>
    <w:rsid w:val="00823859"/>
    <w:rsid w:val="00823A33"/>
    <w:rsid w:val="00823B83"/>
    <w:rsid w:val="00823C90"/>
    <w:rsid w:val="00823CD8"/>
    <w:rsid w:val="00823DA9"/>
    <w:rsid w:val="0082457E"/>
    <w:rsid w:val="00824679"/>
    <w:rsid w:val="00824EAD"/>
    <w:rsid w:val="00824FA5"/>
    <w:rsid w:val="008253B8"/>
    <w:rsid w:val="00825961"/>
    <w:rsid w:val="00825A44"/>
    <w:rsid w:val="00825B41"/>
    <w:rsid w:val="00825DA3"/>
    <w:rsid w:val="00825E7D"/>
    <w:rsid w:val="0082622B"/>
    <w:rsid w:val="00826819"/>
    <w:rsid w:val="008278F6"/>
    <w:rsid w:val="00827E5F"/>
    <w:rsid w:val="00827E98"/>
    <w:rsid w:val="00827FE8"/>
    <w:rsid w:val="0083033B"/>
    <w:rsid w:val="008308EF"/>
    <w:rsid w:val="00830C23"/>
    <w:rsid w:val="008312A1"/>
    <w:rsid w:val="00831398"/>
    <w:rsid w:val="008325F5"/>
    <w:rsid w:val="0083260E"/>
    <w:rsid w:val="008329AD"/>
    <w:rsid w:val="00832A51"/>
    <w:rsid w:val="00832A9B"/>
    <w:rsid w:val="008332EC"/>
    <w:rsid w:val="008336C0"/>
    <w:rsid w:val="00833817"/>
    <w:rsid w:val="0083385E"/>
    <w:rsid w:val="0083390D"/>
    <w:rsid w:val="00833CD5"/>
    <w:rsid w:val="00833F45"/>
    <w:rsid w:val="00833F5C"/>
    <w:rsid w:val="00834326"/>
    <w:rsid w:val="00834613"/>
    <w:rsid w:val="008347F6"/>
    <w:rsid w:val="008348EF"/>
    <w:rsid w:val="00834958"/>
    <w:rsid w:val="00834A7A"/>
    <w:rsid w:val="00834E27"/>
    <w:rsid w:val="00834E2E"/>
    <w:rsid w:val="008352CA"/>
    <w:rsid w:val="0083579E"/>
    <w:rsid w:val="0083591C"/>
    <w:rsid w:val="00835F00"/>
    <w:rsid w:val="008364CE"/>
    <w:rsid w:val="0083656B"/>
    <w:rsid w:val="0083687E"/>
    <w:rsid w:val="00836914"/>
    <w:rsid w:val="00836A85"/>
    <w:rsid w:val="00837258"/>
    <w:rsid w:val="008374B1"/>
    <w:rsid w:val="008375DA"/>
    <w:rsid w:val="008378BE"/>
    <w:rsid w:val="00837941"/>
    <w:rsid w:val="00837C11"/>
    <w:rsid w:val="00840118"/>
    <w:rsid w:val="0084066C"/>
    <w:rsid w:val="00840D96"/>
    <w:rsid w:val="00840FA5"/>
    <w:rsid w:val="0084104F"/>
    <w:rsid w:val="008412C8"/>
    <w:rsid w:val="008414B9"/>
    <w:rsid w:val="008416F8"/>
    <w:rsid w:val="0084198E"/>
    <w:rsid w:val="00841D9D"/>
    <w:rsid w:val="00841DB8"/>
    <w:rsid w:val="00841E87"/>
    <w:rsid w:val="0084268F"/>
    <w:rsid w:val="00842AED"/>
    <w:rsid w:val="00842CDD"/>
    <w:rsid w:val="00843485"/>
    <w:rsid w:val="00843B04"/>
    <w:rsid w:val="0084436A"/>
    <w:rsid w:val="008447B5"/>
    <w:rsid w:val="008447F7"/>
    <w:rsid w:val="0084481E"/>
    <w:rsid w:val="0084536D"/>
    <w:rsid w:val="00845618"/>
    <w:rsid w:val="0084582A"/>
    <w:rsid w:val="00845871"/>
    <w:rsid w:val="0084596B"/>
    <w:rsid w:val="0084608C"/>
    <w:rsid w:val="008461CB"/>
    <w:rsid w:val="00846342"/>
    <w:rsid w:val="008464B7"/>
    <w:rsid w:val="00846858"/>
    <w:rsid w:val="008471EA"/>
    <w:rsid w:val="0084737C"/>
    <w:rsid w:val="00847705"/>
    <w:rsid w:val="008477B4"/>
    <w:rsid w:val="0085033C"/>
    <w:rsid w:val="00850809"/>
    <w:rsid w:val="00851121"/>
    <w:rsid w:val="0085122B"/>
    <w:rsid w:val="00851646"/>
    <w:rsid w:val="00851663"/>
    <w:rsid w:val="00851751"/>
    <w:rsid w:val="00851764"/>
    <w:rsid w:val="00851A74"/>
    <w:rsid w:val="00851A94"/>
    <w:rsid w:val="00852319"/>
    <w:rsid w:val="0085286A"/>
    <w:rsid w:val="0085303A"/>
    <w:rsid w:val="008532A7"/>
    <w:rsid w:val="008536BA"/>
    <w:rsid w:val="0085376C"/>
    <w:rsid w:val="00853A6F"/>
    <w:rsid w:val="00853E61"/>
    <w:rsid w:val="00854730"/>
    <w:rsid w:val="008548C3"/>
    <w:rsid w:val="008548EE"/>
    <w:rsid w:val="00854E66"/>
    <w:rsid w:val="00855272"/>
    <w:rsid w:val="0085533D"/>
    <w:rsid w:val="0085535F"/>
    <w:rsid w:val="00855409"/>
    <w:rsid w:val="00855AC4"/>
    <w:rsid w:val="008562F7"/>
    <w:rsid w:val="00856F47"/>
    <w:rsid w:val="0085704D"/>
    <w:rsid w:val="008575A1"/>
    <w:rsid w:val="00857A53"/>
    <w:rsid w:val="00857C77"/>
    <w:rsid w:val="008600DC"/>
    <w:rsid w:val="0086025A"/>
    <w:rsid w:val="00860296"/>
    <w:rsid w:val="008604A3"/>
    <w:rsid w:val="008604BF"/>
    <w:rsid w:val="00860750"/>
    <w:rsid w:val="00860E35"/>
    <w:rsid w:val="008611F7"/>
    <w:rsid w:val="008614E5"/>
    <w:rsid w:val="00861888"/>
    <w:rsid w:val="0086246A"/>
    <w:rsid w:val="0086285F"/>
    <w:rsid w:val="00862B58"/>
    <w:rsid w:val="00862D35"/>
    <w:rsid w:val="00862F8D"/>
    <w:rsid w:val="0086326C"/>
    <w:rsid w:val="008635D8"/>
    <w:rsid w:val="0086367E"/>
    <w:rsid w:val="00863C15"/>
    <w:rsid w:val="00863E28"/>
    <w:rsid w:val="0086427D"/>
    <w:rsid w:val="00864915"/>
    <w:rsid w:val="00864BA3"/>
    <w:rsid w:val="00864C58"/>
    <w:rsid w:val="008651F5"/>
    <w:rsid w:val="008654D3"/>
    <w:rsid w:val="00865706"/>
    <w:rsid w:val="00865836"/>
    <w:rsid w:val="00865D2C"/>
    <w:rsid w:val="00865D32"/>
    <w:rsid w:val="00865DC2"/>
    <w:rsid w:val="00865F4F"/>
    <w:rsid w:val="00866015"/>
    <w:rsid w:val="0086610B"/>
    <w:rsid w:val="00866465"/>
    <w:rsid w:val="00866AD7"/>
    <w:rsid w:val="00866DEC"/>
    <w:rsid w:val="00867002"/>
    <w:rsid w:val="00867359"/>
    <w:rsid w:val="008673E1"/>
    <w:rsid w:val="00867542"/>
    <w:rsid w:val="0086774D"/>
    <w:rsid w:val="008679E7"/>
    <w:rsid w:val="00867CAD"/>
    <w:rsid w:val="0087044F"/>
    <w:rsid w:val="00870470"/>
    <w:rsid w:val="008707F9"/>
    <w:rsid w:val="0087097A"/>
    <w:rsid w:val="00870FD8"/>
    <w:rsid w:val="008710E8"/>
    <w:rsid w:val="00871871"/>
    <w:rsid w:val="008719B8"/>
    <w:rsid w:val="00871D1D"/>
    <w:rsid w:val="00871E4B"/>
    <w:rsid w:val="0087207B"/>
    <w:rsid w:val="00872146"/>
    <w:rsid w:val="0087246C"/>
    <w:rsid w:val="00872558"/>
    <w:rsid w:val="00872811"/>
    <w:rsid w:val="00872952"/>
    <w:rsid w:val="00872D2D"/>
    <w:rsid w:val="00872FA8"/>
    <w:rsid w:val="00873096"/>
    <w:rsid w:val="0087367B"/>
    <w:rsid w:val="00873701"/>
    <w:rsid w:val="008738D3"/>
    <w:rsid w:val="008740E2"/>
    <w:rsid w:val="008741A0"/>
    <w:rsid w:val="00874444"/>
    <w:rsid w:val="00874657"/>
    <w:rsid w:val="00874D54"/>
    <w:rsid w:val="00874D96"/>
    <w:rsid w:val="00874FE3"/>
    <w:rsid w:val="0087529C"/>
    <w:rsid w:val="00875A9A"/>
    <w:rsid w:val="00875EF6"/>
    <w:rsid w:val="008760D4"/>
    <w:rsid w:val="0087630A"/>
    <w:rsid w:val="0087678B"/>
    <w:rsid w:val="00876A42"/>
    <w:rsid w:val="008770F5"/>
    <w:rsid w:val="008771BB"/>
    <w:rsid w:val="008772B7"/>
    <w:rsid w:val="00877725"/>
    <w:rsid w:val="00877CC4"/>
    <w:rsid w:val="008804A8"/>
    <w:rsid w:val="00880562"/>
    <w:rsid w:val="00880B98"/>
    <w:rsid w:val="00880BFC"/>
    <w:rsid w:val="00880CD7"/>
    <w:rsid w:val="00880F43"/>
    <w:rsid w:val="00880F45"/>
    <w:rsid w:val="0088171D"/>
    <w:rsid w:val="00881AE5"/>
    <w:rsid w:val="00882426"/>
    <w:rsid w:val="008828C4"/>
    <w:rsid w:val="00882BD8"/>
    <w:rsid w:val="00882F68"/>
    <w:rsid w:val="0088302F"/>
    <w:rsid w:val="00883DC7"/>
    <w:rsid w:val="00884139"/>
    <w:rsid w:val="00884271"/>
    <w:rsid w:val="00884487"/>
    <w:rsid w:val="00884547"/>
    <w:rsid w:val="008848CC"/>
    <w:rsid w:val="00884CCA"/>
    <w:rsid w:val="00884E27"/>
    <w:rsid w:val="00885364"/>
    <w:rsid w:val="00885367"/>
    <w:rsid w:val="00885670"/>
    <w:rsid w:val="00885EA4"/>
    <w:rsid w:val="00885F86"/>
    <w:rsid w:val="008862B0"/>
    <w:rsid w:val="008866EF"/>
    <w:rsid w:val="00886A0E"/>
    <w:rsid w:val="00886D76"/>
    <w:rsid w:val="00887B90"/>
    <w:rsid w:val="00887F2D"/>
    <w:rsid w:val="00890162"/>
    <w:rsid w:val="00890705"/>
    <w:rsid w:val="00890A1A"/>
    <w:rsid w:val="0089103F"/>
    <w:rsid w:val="008915FA"/>
    <w:rsid w:val="00891ECA"/>
    <w:rsid w:val="008922C0"/>
    <w:rsid w:val="008923F2"/>
    <w:rsid w:val="00892422"/>
    <w:rsid w:val="00892523"/>
    <w:rsid w:val="00892888"/>
    <w:rsid w:val="00892B2F"/>
    <w:rsid w:val="00892BF7"/>
    <w:rsid w:val="00892FFD"/>
    <w:rsid w:val="00893535"/>
    <w:rsid w:val="0089361F"/>
    <w:rsid w:val="00893906"/>
    <w:rsid w:val="0089445A"/>
    <w:rsid w:val="008944FA"/>
    <w:rsid w:val="00894C4B"/>
    <w:rsid w:val="00894CE0"/>
    <w:rsid w:val="00894D52"/>
    <w:rsid w:val="00894F7C"/>
    <w:rsid w:val="00894FC2"/>
    <w:rsid w:val="00894FD7"/>
    <w:rsid w:val="00895101"/>
    <w:rsid w:val="00895346"/>
    <w:rsid w:val="008954A8"/>
    <w:rsid w:val="00895762"/>
    <w:rsid w:val="00895A85"/>
    <w:rsid w:val="00895ADA"/>
    <w:rsid w:val="00895D1F"/>
    <w:rsid w:val="00896605"/>
    <w:rsid w:val="00896759"/>
    <w:rsid w:val="00896DF5"/>
    <w:rsid w:val="008971ED"/>
    <w:rsid w:val="00897461"/>
    <w:rsid w:val="008974F7"/>
    <w:rsid w:val="008974FA"/>
    <w:rsid w:val="008975DD"/>
    <w:rsid w:val="0089781C"/>
    <w:rsid w:val="00897F9F"/>
    <w:rsid w:val="008A00F7"/>
    <w:rsid w:val="008A0C78"/>
    <w:rsid w:val="008A0C80"/>
    <w:rsid w:val="008A0FE9"/>
    <w:rsid w:val="008A111F"/>
    <w:rsid w:val="008A1826"/>
    <w:rsid w:val="008A1F07"/>
    <w:rsid w:val="008A231A"/>
    <w:rsid w:val="008A2369"/>
    <w:rsid w:val="008A2381"/>
    <w:rsid w:val="008A23DE"/>
    <w:rsid w:val="008A244B"/>
    <w:rsid w:val="008A263C"/>
    <w:rsid w:val="008A297E"/>
    <w:rsid w:val="008A2B0A"/>
    <w:rsid w:val="008A2D46"/>
    <w:rsid w:val="008A2E62"/>
    <w:rsid w:val="008A2EDA"/>
    <w:rsid w:val="008A30DF"/>
    <w:rsid w:val="008A363F"/>
    <w:rsid w:val="008A3748"/>
    <w:rsid w:val="008A37C5"/>
    <w:rsid w:val="008A38FD"/>
    <w:rsid w:val="008A3921"/>
    <w:rsid w:val="008A3970"/>
    <w:rsid w:val="008A39F4"/>
    <w:rsid w:val="008A413A"/>
    <w:rsid w:val="008A41D4"/>
    <w:rsid w:val="008A447B"/>
    <w:rsid w:val="008A4ED5"/>
    <w:rsid w:val="008A5021"/>
    <w:rsid w:val="008A58A8"/>
    <w:rsid w:val="008A6026"/>
    <w:rsid w:val="008A6035"/>
    <w:rsid w:val="008A64CE"/>
    <w:rsid w:val="008A6558"/>
    <w:rsid w:val="008A65F8"/>
    <w:rsid w:val="008A66EF"/>
    <w:rsid w:val="008A689D"/>
    <w:rsid w:val="008A6A06"/>
    <w:rsid w:val="008A7059"/>
    <w:rsid w:val="008A70E2"/>
    <w:rsid w:val="008A7DE1"/>
    <w:rsid w:val="008A7F3E"/>
    <w:rsid w:val="008B011B"/>
    <w:rsid w:val="008B0471"/>
    <w:rsid w:val="008B05AC"/>
    <w:rsid w:val="008B06F9"/>
    <w:rsid w:val="008B08CA"/>
    <w:rsid w:val="008B0B7C"/>
    <w:rsid w:val="008B0CF1"/>
    <w:rsid w:val="008B12C8"/>
    <w:rsid w:val="008B15DB"/>
    <w:rsid w:val="008B17B9"/>
    <w:rsid w:val="008B1C15"/>
    <w:rsid w:val="008B1D15"/>
    <w:rsid w:val="008B1E17"/>
    <w:rsid w:val="008B2E03"/>
    <w:rsid w:val="008B3025"/>
    <w:rsid w:val="008B31B8"/>
    <w:rsid w:val="008B3510"/>
    <w:rsid w:val="008B39B4"/>
    <w:rsid w:val="008B3C96"/>
    <w:rsid w:val="008B4062"/>
    <w:rsid w:val="008B412E"/>
    <w:rsid w:val="008B4372"/>
    <w:rsid w:val="008B44CB"/>
    <w:rsid w:val="008B4AD6"/>
    <w:rsid w:val="008B543E"/>
    <w:rsid w:val="008B570A"/>
    <w:rsid w:val="008B5759"/>
    <w:rsid w:val="008B58C9"/>
    <w:rsid w:val="008B5A24"/>
    <w:rsid w:val="008B5A6F"/>
    <w:rsid w:val="008B5B56"/>
    <w:rsid w:val="008B5D39"/>
    <w:rsid w:val="008B63FE"/>
    <w:rsid w:val="008B643E"/>
    <w:rsid w:val="008B6568"/>
    <w:rsid w:val="008B65BE"/>
    <w:rsid w:val="008B6797"/>
    <w:rsid w:val="008B68BB"/>
    <w:rsid w:val="008B6972"/>
    <w:rsid w:val="008B6A55"/>
    <w:rsid w:val="008B6AD5"/>
    <w:rsid w:val="008B6B01"/>
    <w:rsid w:val="008B70C5"/>
    <w:rsid w:val="008B7462"/>
    <w:rsid w:val="008B77C3"/>
    <w:rsid w:val="008B7870"/>
    <w:rsid w:val="008B7EB7"/>
    <w:rsid w:val="008C0715"/>
    <w:rsid w:val="008C1292"/>
    <w:rsid w:val="008C15E2"/>
    <w:rsid w:val="008C15E9"/>
    <w:rsid w:val="008C1757"/>
    <w:rsid w:val="008C18B6"/>
    <w:rsid w:val="008C19B9"/>
    <w:rsid w:val="008C1C51"/>
    <w:rsid w:val="008C1D8B"/>
    <w:rsid w:val="008C1DEA"/>
    <w:rsid w:val="008C22B5"/>
    <w:rsid w:val="008C26B5"/>
    <w:rsid w:val="008C2930"/>
    <w:rsid w:val="008C2A26"/>
    <w:rsid w:val="008C2D71"/>
    <w:rsid w:val="008C339E"/>
    <w:rsid w:val="008C34F7"/>
    <w:rsid w:val="008C350D"/>
    <w:rsid w:val="008C3937"/>
    <w:rsid w:val="008C4129"/>
    <w:rsid w:val="008C416B"/>
    <w:rsid w:val="008C42F9"/>
    <w:rsid w:val="008C456F"/>
    <w:rsid w:val="008C48BD"/>
    <w:rsid w:val="008C49FD"/>
    <w:rsid w:val="008C4DAF"/>
    <w:rsid w:val="008C4DEA"/>
    <w:rsid w:val="008C4DEE"/>
    <w:rsid w:val="008C4E3B"/>
    <w:rsid w:val="008C50BC"/>
    <w:rsid w:val="008C5414"/>
    <w:rsid w:val="008C559C"/>
    <w:rsid w:val="008C5F7F"/>
    <w:rsid w:val="008C630D"/>
    <w:rsid w:val="008C64C1"/>
    <w:rsid w:val="008C657F"/>
    <w:rsid w:val="008C6AAD"/>
    <w:rsid w:val="008C6CC3"/>
    <w:rsid w:val="008C6F9B"/>
    <w:rsid w:val="008C72BC"/>
    <w:rsid w:val="008C74C7"/>
    <w:rsid w:val="008C762A"/>
    <w:rsid w:val="008C7A15"/>
    <w:rsid w:val="008C7B11"/>
    <w:rsid w:val="008C7B19"/>
    <w:rsid w:val="008C7B88"/>
    <w:rsid w:val="008D0395"/>
    <w:rsid w:val="008D048B"/>
    <w:rsid w:val="008D04AB"/>
    <w:rsid w:val="008D0776"/>
    <w:rsid w:val="008D0866"/>
    <w:rsid w:val="008D0991"/>
    <w:rsid w:val="008D0D20"/>
    <w:rsid w:val="008D0EC8"/>
    <w:rsid w:val="008D0F3B"/>
    <w:rsid w:val="008D12E2"/>
    <w:rsid w:val="008D1533"/>
    <w:rsid w:val="008D16D7"/>
    <w:rsid w:val="008D18D7"/>
    <w:rsid w:val="008D1D0A"/>
    <w:rsid w:val="008D1D62"/>
    <w:rsid w:val="008D2324"/>
    <w:rsid w:val="008D27D2"/>
    <w:rsid w:val="008D2FD9"/>
    <w:rsid w:val="008D3012"/>
    <w:rsid w:val="008D31C0"/>
    <w:rsid w:val="008D31CC"/>
    <w:rsid w:val="008D3A44"/>
    <w:rsid w:val="008D3A99"/>
    <w:rsid w:val="008D3DAE"/>
    <w:rsid w:val="008D407A"/>
    <w:rsid w:val="008D422C"/>
    <w:rsid w:val="008D449C"/>
    <w:rsid w:val="008D463F"/>
    <w:rsid w:val="008D47F2"/>
    <w:rsid w:val="008D4879"/>
    <w:rsid w:val="008D48CF"/>
    <w:rsid w:val="008D4A74"/>
    <w:rsid w:val="008D4BA6"/>
    <w:rsid w:val="008D4CCC"/>
    <w:rsid w:val="008D4D07"/>
    <w:rsid w:val="008D4E2B"/>
    <w:rsid w:val="008D4E7B"/>
    <w:rsid w:val="008D5302"/>
    <w:rsid w:val="008D531E"/>
    <w:rsid w:val="008D5BE1"/>
    <w:rsid w:val="008D5DAD"/>
    <w:rsid w:val="008D5DB5"/>
    <w:rsid w:val="008D622F"/>
    <w:rsid w:val="008D6888"/>
    <w:rsid w:val="008D6DAC"/>
    <w:rsid w:val="008D6E70"/>
    <w:rsid w:val="008D7369"/>
    <w:rsid w:val="008D7780"/>
    <w:rsid w:val="008E01E9"/>
    <w:rsid w:val="008E0544"/>
    <w:rsid w:val="008E0845"/>
    <w:rsid w:val="008E0CC5"/>
    <w:rsid w:val="008E109E"/>
    <w:rsid w:val="008E1541"/>
    <w:rsid w:val="008E16F9"/>
    <w:rsid w:val="008E185A"/>
    <w:rsid w:val="008E2102"/>
    <w:rsid w:val="008E2122"/>
    <w:rsid w:val="008E23E5"/>
    <w:rsid w:val="008E25AE"/>
    <w:rsid w:val="008E2673"/>
    <w:rsid w:val="008E2B6C"/>
    <w:rsid w:val="008E2E5C"/>
    <w:rsid w:val="008E315C"/>
    <w:rsid w:val="008E31E8"/>
    <w:rsid w:val="008E3306"/>
    <w:rsid w:val="008E3404"/>
    <w:rsid w:val="008E3638"/>
    <w:rsid w:val="008E3996"/>
    <w:rsid w:val="008E3D50"/>
    <w:rsid w:val="008E40EF"/>
    <w:rsid w:val="008E4920"/>
    <w:rsid w:val="008E49C9"/>
    <w:rsid w:val="008E4D03"/>
    <w:rsid w:val="008E4D08"/>
    <w:rsid w:val="008E4EDA"/>
    <w:rsid w:val="008E505F"/>
    <w:rsid w:val="008E506E"/>
    <w:rsid w:val="008E511C"/>
    <w:rsid w:val="008E5832"/>
    <w:rsid w:val="008E58FB"/>
    <w:rsid w:val="008E5BCF"/>
    <w:rsid w:val="008E5CB4"/>
    <w:rsid w:val="008E5D14"/>
    <w:rsid w:val="008E5FF8"/>
    <w:rsid w:val="008E61E2"/>
    <w:rsid w:val="008E6647"/>
    <w:rsid w:val="008E6CC1"/>
    <w:rsid w:val="008E6D6B"/>
    <w:rsid w:val="008E70B4"/>
    <w:rsid w:val="008E725A"/>
    <w:rsid w:val="008E74A6"/>
    <w:rsid w:val="008E7D7F"/>
    <w:rsid w:val="008F0508"/>
    <w:rsid w:val="008F05AB"/>
    <w:rsid w:val="008F077B"/>
    <w:rsid w:val="008F0798"/>
    <w:rsid w:val="008F09A5"/>
    <w:rsid w:val="008F0BE8"/>
    <w:rsid w:val="008F14DC"/>
    <w:rsid w:val="008F1610"/>
    <w:rsid w:val="008F16E7"/>
    <w:rsid w:val="008F2034"/>
    <w:rsid w:val="008F274E"/>
    <w:rsid w:val="008F2C19"/>
    <w:rsid w:val="008F2E45"/>
    <w:rsid w:val="008F30F8"/>
    <w:rsid w:val="008F3332"/>
    <w:rsid w:val="008F3510"/>
    <w:rsid w:val="008F3FF3"/>
    <w:rsid w:val="008F43EE"/>
    <w:rsid w:val="008F4613"/>
    <w:rsid w:val="008F4672"/>
    <w:rsid w:val="008F4DC6"/>
    <w:rsid w:val="008F4EF1"/>
    <w:rsid w:val="008F509A"/>
    <w:rsid w:val="008F518F"/>
    <w:rsid w:val="008F541F"/>
    <w:rsid w:val="008F556E"/>
    <w:rsid w:val="008F57E5"/>
    <w:rsid w:val="008F5909"/>
    <w:rsid w:val="008F5E49"/>
    <w:rsid w:val="008F5FE7"/>
    <w:rsid w:val="008F62D1"/>
    <w:rsid w:val="008F66C8"/>
    <w:rsid w:val="008F670D"/>
    <w:rsid w:val="008F67D8"/>
    <w:rsid w:val="008F6826"/>
    <w:rsid w:val="008F6983"/>
    <w:rsid w:val="008F6D06"/>
    <w:rsid w:val="008F7987"/>
    <w:rsid w:val="008F7E5F"/>
    <w:rsid w:val="00900203"/>
    <w:rsid w:val="00900554"/>
    <w:rsid w:val="00900838"/>
    <w:rsid w:val="00900884"/>
    <w:rsid w:val="00900CB1"/>
    <w:rsid w:val="00901117"/>
    <w:rsid w:val="00902182"/>
    <w:rsid w:val="009025F5"/>
    <w:rsid w:val="009029B4"/>
    <w:rsid w:val="00902A0C"/>
    <w:rsid w:val="00902B0F"/>
    <w:rsid w:val="00902E3E"/>
    <w:rsid w:val="00902E8B"/>
    <w:rsid w:val="00903176"/>
    <w:rsid w:val="009034E7"/>
    <w:rsid w:val="00903529"/>
    <w:rsid w:val="00903913"/>
    <w:rsid w:val="0090402F"/>
    <w:rsid w:val="00904172"/>
    <w:rsid w:val="009041EC"/>
    <w:rsid w:val="009043D4"/>
    <w:rsid w:val="00904471"/>
    <w:rsid w:val="00904519"/>
    <w:rsid w:val="00904843"/>
    <w:rsid w:val="00904AB3"/>
    <w:rsid w:val="00904ED2"/>
    <w:rsid w:val="00904FA6"/>
    <w:rsid w:val="00905463"/>
    <w:rsid w:val="009054B0"/>
    <w:rsid w:val="00905601"/>
    <w:rsid w:val="009057AC"/>
    <w:rsid w:val="00905801"/>
    <w:rsid w:val="00905955"/>
    <w:rsid w:val="00905EE7"/>
    <w:rsid w:val="00906159"/>
    <w:rsid w:val="00906B10"/>
    <w:rsid w:val="0090717A"/>
    <w:rsid w:val="0090740E"/>
    <w:rsid w:val="00907416"/>
    <w:rsid w:val="009074C2"/>
    <w:rsid w:val="00907E14"/>
    <w:rsid w:val="0091006D"/>
    <w:rsid w:val="00910298"/>
    <w:rsid w:val="00910564"/>
    <w:rsid w:val="009105E7"/>
    <w:rsid w:val="009108F4"/>
    <w:rsid w:val="00910E98"/>
    <w:rsid w:val="009113DC"/>
    <w:rsid w:val="009115FA"/>
    <w:rsid w:val="00911744"/>
    <w:rsid w:val="00911F11"/>
    <w:rsid w:val="0091263B"/>
    <w:rsid w:val="0091265F"/>
    <w:rsid w:val="009128C7"/>
    <w:rsid w:val="00912ADB"/>
    <w:rsid w:val="009133BD"/>
    <w:rsid w:val="00913897"/>
    <w:rsid w:val="00913D53"/>
    <w:rsid w:val="00913FEC"/>
    <w:rsid w:val="00914148"/>
    <w:rsid w:val="00914173"/>
    <w:rsid w:val="0091428C"/>
    <w:rsid w:val="009143C4"/>
    <w:rsid w:val="009145AD"/>
    <w:rsid w:val="0091476C"/>
    <w:rsid w:val="00915287"/>
    <w:rsid w:val="009152EA"/>
    <w:rsid w:val="00915E8C"/>
    <w:rsid w:val="00916B92"/>
    <w:rsid w:val="009170A9"/>
    <w:rsid w:val="00917220"/>
    <w:rsid w:val="0091724A"/>
    <w:rsid w:val="009175FF"/>
    <w:rsid w:val="00917767"/>
    <w:rsid w:val="00917B28"/>
    <w:rsid w:val="00920265"/>
    <w:rsid w:val="009209BD"/>
    <w:rsid w:val="00920F79"/>
    <w:rsid w:val="009214B4"/>
    <w:rsid w:val="0092160E"/>
    <w:rsid w:val="0092163E"/>
    <w:rsid w:val="00921C41"/>
    <w:rsid w:val="00921C46"/>
    <w:rsid w:val="00921FD6"/>
    <w:rsid w:val="009222FD"/>
    <w:rsid w:val="009225DE"/>
    <w:rsid w:val="009226D7"/>
    <w:rsid w:val="00922C46"/>
    <w:rsid w:val="00922D89"/>
    <w:rsid w:val="00923177"/>
    <w:rsid w:val="00923439"/>
    <w:rsid w:val="0092351D"/>
    <w:rsid w:val="0092386C"/>
    <w:rsid w:val="00923911"/>
    <w:rsid w:val="00923914"/>
    <w:rsid w:val="00923A28"/>
    <w:rsid w:val="00923EF0"/>
    <w:rsid w:val="00923FED"/>
    <w:rsid w:val="00924075"/>
    <w:rsid w:val="009240D4"/>
    <w:rsid w:val="00924102"/>
    <w:rsid w:val="00924442"/>
    <w:rsid w:val="009244C0"/>
    <w:rsid w:val="009247AB"/>
    <w:rsid w:val="009247B3"/>
    <w:rsid w:val="00924B63"/>
    <w:rsid w:val="00924EC7"/>
    <w:rsid w:val="00924F5E"/>
    <w:rsid w:val="00925089"/>
    <w:rsid w:val="009252E2"/>
    <w:rsid w:val="009253A3"/>
    <w:rsid w:val="009256F7"/>
    <w:rsid w:val="009258FB"/>
    <w:rsid w:val="00925A09"/>
    <w:rsid w:val="00925AED"/>
    <w:rsid w:val="00925C73"/>
    <w:rsid w:val="00925D15"/>
    <w:rsid w:val="0092660F"/>
    <w:rsid w:val="009266E1"/>
    <w:rsid w:val="0092683B"/>
    <w:rsid w:val="00926E03"/>
    <w:rsid w:val="009271E5"/>
    <w:rsid w:val="00927C12"/>
    <w:rsid w:val="00930078"/>
    <w:rsid w:val="009300F9"/>
    <w:rsid w:val="009303AF"/>
    <w:rsid w:val="00930924"/>
    <w:rsid w:val="00930DAA"/>
    <w:rsid w:val="00931020"/>
    <w:rsid w:val="00931156"/>
    <w:rsid w:val="009314F8"/>
    <w:rsid w:val="00931AA6"/>
    <w:rsid w:val="00931E56"/>
    <w:rsid w:val="00932360"/>
    <w:rsid w:val="009326F6"/>
    <w:rsid w:val="0093281F"/>
    <w:rsid w:val="00932961"/>
    <w:rsid w:val="00932AF2"/>
    <w:rsid w:val="00932B33"/>
    <w:rsid w:val="00933290"/>
    <w:rsid w:val="00933B58"/>
    <w:rsid w:val="00933C48"/>
    <w:rsid w:val="00934112"/>
    <w:rsid w:val="009342DE"/>
    <w:rsid w:val="009346BA"/>
    <w:rsid w:val="0093486C"/>
    <w:rsid w:val="00935003"/>
    <w:rsid w:val="009351FC"/>
    <w:rsid w:val="00935557"/>
    <w:rsid w:val="00935685"/>
    <w:rsid w:val="00935861"/>
    <w:rsid w:val="00935AA2"/>
    <w:rsid w:val="0093626E"/>
    <w:rsid w:val="009369FA"/>
    <w:rsid w:val="00936CAE"/>
    <w:rsid w:val="009374D7"/>
    <w:rsid w:val="009374F3"/>
    <w:rsid w:val="00937678"/>
    <w:rsid w:val="00937719"/>
    <w:rsid w:val="009379B9"/>
    <w:rsid w:val="00937E49"/>
    <w:rsid w:val="00940407"/>
    <w:rsid w:val="00940CC7"/>
    <w:rsid w:val="00940EEA"/>
    <w:rsid w:val="00941093"/>
    <w:rsid w:val="009411BB"/>
    <w:rsid w:val="0094135F"/>
    <w:rsid w:val="009413CC"/>
    <w:rsid w:val="00941B48"/>
    <w:rsid w:val="00942181"/>
    <w:rsid w:val="00942C29"/>
    <w:rsid w:val="00942D04"/>
    <w:rsid w:val="00943244"/>
    <w:rsid w:val="0094337A"/>
    <w:rsid w:val="00944100"/>
    <w:rsid w:val="0094430F"/>
    <w:rsid w:val="0094432F"/>
    <w:rsid w:val="00944C8E"/>
    <w:rsid w:val="00945356"/>
    <w:rsid w:val="009456EC"/>
    <w:rsid w:val="00945887"/>
    <w:rsid w:val="00945939"/>
    <w:rsid w:val="00945B20"/>
    <w:rsid w:val="00945F3A"/>
    <w:rsid w:val="009461B8"/>
    <w:rsid w:val="009463F8"/>
    <w:rsid w:val="0094643B"/>
    <w:rsid w:val="00946578"/>
    <w:rsid w:val="00946AC4"/>
    <w:rsid w:val="00946AD4"/>
    <w:rsid w:val="00946CF7"/>
    <w:rsid w:val="00946FC9"/>
    <w:rsid w:val="00947D04"/>
    <w:rsid w:val="00947D45"/>
    <w:rsid w:val="00950077"/>
    <w:rsid w:val="009505B5"/>
    <w:rsid w:val="00950CF4"/>
    <w:rsid w:val="00950CFF"/>
    <w:rsid w:val="0095108D"/>
    <w:rsid w:val="00951732"/>
    <w:rsid w:val="009518F6"/>
    <w:rsid w:val="00951A9B"/>
    <w:rsid w:val="00951ABA"/>
    <w:rsid w:val="00951F81"/>
    <w:rsid w:val="009525DC"/>
    <w:rsid w:val="00953724"/>
    <w:rsid w:val="00953895"/>
    <w:rsid w:val="00953E3C"/>
    <w:rsid w:val="00953E4B"/>
    <w:rsid w:val="00953FD9"/>
    <w:rsid w:val="0095463A"/>
    <w:rsid w:val="00954959"/>
    <w:rsid w:val="00954ACF"/>
    <w:rsid w:val="00954F60"/>
    <w:rsid w:val="0095502D"/>
    <w:rsid w:val="00955720"/>
    <w:rsid w:val="0095692C"/>
    <w:rsid w:val="009570BF"/>
    <w:rsid w:val="009570E1"/>
    <w:rsid w:val="009570F7"/>
    <w:rsid w:val="0095718A"/>
    <w:rsid w:val="00957470"/>
    <w:rsid w:val="00957975"/>
    <w:rsid w:val="009579A2"/>
    <w:rsid w:val="00957B5E"/>
    <w:rsid w:val="00957CB5"/>
    <w:rsid w:val="00957EAF"/>
    <w:rsid w:val="00957FB4"/>
    <w:rsid w:val="00960156"/>
    <w:rsid w:val="00960500"/>
    <w:rsid w:val="00960CDE"/>
    <w:rsid w:val="00960FA7"/>
    <w:rsid w:val="0096102C"/>
    <w:rsid w:val="0096121B"/>
    <w:rsid w:val="00961313"/>
    <w:rsid w:val="00961BA9"/>
    <w:rsid w:val="00962262"/>
    <w:rsid w:val="0096231E"/>
    <w:rsid w:val="00962338"/>
    <w:rsid w:val="0096254D"/>
    <w:rsid w:val="009626B0"/>
    <w:rsid w:val="009627A9"/>
    <w:rsid w:val="009628D2"/>
    <w:rsid w:val="009637CA"/>
    <w:rsid w:val="00963942"/>
    <w:rsid w:val="00963A7F"/>
    <w:rsid w:val="0096400C"/>
    <w:rsid w:val="00964496"/>
    <w:rsid w:val="00964695"/>
    <w:rsid w:val="00965B2D"/>
    <w:rsid w:val="00965E7C"/>
    <w:rsid w:val="0096638A"/>
    <w:rsid w:val="00966477"/>
    <w:rsid w:val="00966953"/>
    <w:rsid w:val="009670F9"/>
    <w:rsid w:val="00967108"/>
    <w:rsid w:val="0096778B"/>
    <w:rsid w:val="00967A8F"/>
    <w:rsid w:val="00967DF7"/>
    <w:rsid w:val="00967E58"/>
    <w:rsid w:val="00970025"/>
    <w:rsid w:val="00970353"/>
    <w:rsid w:val="009706E5"/>
    <w:rsid w:val="00971949"/>
    <w:rsid w:val="00971A18"/>
    <w:rsid w:val="00971ABC"/>
    <w:rsid w:val="00971BB1"/>
    <w:rsid w:val="00971FE5"/>
    <w:rsid w:val="00972066"/>
    <w:rsid w:val="009721F2"/>
    <w:rsid w:val="00972401"/>
    <w:rsid w:val="0097255B"/>
    <w:rsid w:val="00972A56"/>
    <w:rsid w:val="00972DC8"/>
    <w:rsid w:val="0097320A"/>
    <w:rsid w:val="0097331A"/>
    <w:rsid w:val="00973BB6"/>
    <w:rsid w:val="00973F3A"/>
    <w:rsid w:val="009740FE"/>
    <w:rsid w:val="009743EE"/>
    <w:rsid w:val="00975097"/>
    <w:rsid w:val="009756E2"/>
    <w:rsid w:val="00975764"/>
    <w:rsid w:val="00975D85"/>
    <w:rsid w:val="00975EAE"/>
    <w:rsid w:val="009761A1"/>
    <w:rsid w:val="00976366"/>
    <w:rsid w:val="009763FD"/>
    <w:rsid w:val="00976500"/>
    <w:rsid w:val="009766CF"/>
    <w:rsid w:val="00976A0C"/>
    <w:rsid w:val="00976A3D"/>
    <w:rsid w:val="00976A64"/>
    <w:rsid w:val="00976BC0"/>
    <w:rsid w:val="00976F19"/>
    <w:rsid w:val="00976F8E"/>
    <w:rsid w:val="0097716C"/>
    <w:rsid w:val="00977BD2"/>
    <w:rsid w:val="00977BF3"/>
    <w:rsid w:val="00980213"/>
    <w:rsid w:val="00980A90"/>
    <w:rsid w:val="00981321"/>
    <w:rsid w:val="009815B0"/>
    <w:rsid w:val="00981639"/>
    <w:rsid w:val="0098165B"/>
    <w:rsid w:val="00981B8D"/>
    <w:rsid w:val="00981ED6"/>
    <w:rsid w:val="00982059"/>
    <w:rsid w:val="0098217B"/>
    <w:rsid w:val="009821A1"/>
    <w:rsid w:val="00982BF0"/>
    <w:rsid w:val="00983165"/>
    <w:rsid w:val="0098341F"/>
    <w:rsid w:val="009835F0"/>
    <w:rsid w:val="00983C4F"/>
    <w:rsid w:val="00983E15"/>
    <w:rsid w:val="009842BD"/>
    <w:rsid w:val="009845CA"/>
    <w:rsid w:val="0098472F"/>
    <w:rsid w:val="00984AEC"/>
    <w:rsid w:val="009851FF"/>
    <w:rsid w:val="00985239"/>
    <w:rsid w:val="009854CB"/>
    <w:rsid w:val="00985656"/>
    <w:rsid w:val="00985933"/>
    <w:rsid w:val="00985D11"/>
    <w:rsid w:val="00986008"/>
    <w:rsid w:val="009860A2"/>
    <w:rsid w:val="0098619F"/>
    <w:rsid w:val="00986342"/>
    <w:rsid w:val="009863A7"/>
    <w:rsid w:val="0098652F"/>
    <w:rsid w:val="00986CEA"/>
    <w:rsid w:val="00986F52"/>
    <w:rsid w:val="00987AFB"/>
    <w:rsid w:val="00987C4D"/>
    <w:rsid w:val="00987D1A"/>
    <w:rsid w:val="00987E92"/>
    <w:rsid w:val="00987FC1"/>
    <w:rsid w:val="009900A8"/>
    <w:rsid w:val="00990153"/>
    <w:rsid w:val="009901D9"/>
    <w:rsid w:val="009905EC"/>
    <w:rsid w:val="009907E2"/>
    <w:rsid w:val="009909F5"/>
    <w:rsid w:val="00990BB0"/>
    <w:rsid w:val="00990CE3"/>
    <w:rsid w:val="00991A81"/>
    <w:rsid w:val="0099220F"/>
    <w:rsid w:val="009929E5"/>
    <w:rsid w:val="00992FCF"/>
    <w:rsid w:val="00993538"/>
    <w:rsid w:val="009940EF"/>
    <w:rsid w:val="009941DE"/>
    <w:rsid w:val="009942A7"/>
    <w:rsid w:val="00995332"/>
    <w:rsid w:val="009958F7"/>
    <w:rsid w:val="00995F56"/>
    <w:rsid w:val="00996038"/>
    <w:rsid w:val="0099679A"/>
    <w:rsid w:val="00996B8E"/>
    <w:rsid w:val="00996CF5"/>
    <w:rsid w:val="0099710B"/>
    <w:rsid w:val="00997168"/>
    <w:rsid w:val="0099719B"/>
    <w:rsid w:val="0099748B"/>
    <w:rsid w:val="00997617"/>
    <w:rsid w:val="00997795"/>
    <w:rsid w:val="00997947"/>
    <w:rsid w:val="009979D2"/>
    <w:rsid w:val="00997B19"/>
    <w:rsid w:val="00997E1F"/>
    <w:rsid w:val="009A07C7"/>
    <w:rsid w:val="009A12ED"/>
    <w:rsid w:val="009A1415"/>
    <w:rsid w:val="009A158C"/>
    <w:rsid w:val="009A1896"/>
    <w:rsid w:val="009A1EF6"/>
    <w:rsid w:val="009A237A"/>
    <w:rsid w:val="009A2432"/>
    <w:rsid w:val="009A261A"/>
    <w:rsid w:val="009A26CF"/>
    <w:rsid w:val="009A2741"/>
    <w:rsid w:val="009A27F7"/>
    <w:rsid w:val="009A28CF"/>
    <w:rsid w:val="009A4819"/>
    <w:rsid w:val="009A4BF8"/>
    <w:rsid w:val="009A4F6A"/>
    <w:rsid w:val="009A4F8F"/>
    <w:rsid w:val="009A53D2"/>
    <w:rsid w:val="009A578B"/>
    <w:rsid w:val="009A5BE3"/>
    <w:rsid w:val="009A5E7C"/>
    <w:rsid w:val="009A5F35"/>
    <w:rsid w:val="009A6149"/>
    <w:rsid w:val="009A61D2"/>
    <w:rsid w:val="009A6344"/>
    <w:rsid w:val="009A6371"/>
    <w:rsid w:val="009A65E9"/>
    <w:rsid w:val="009A661C"/>
    <w:rsid w:val="009A66AF"/>
    <w:rsid w:val="009A6840"/>
    <w:rsid w:val="009A6A0A"/>
    <w:rsid w:val="009A6B64"/>
    <w:rsid w:val="009A6BD6"/>
    <w:rsid w:val="009A720A"/>
    <w:rsid w:val="009A74AE"/>
    <w:rsid w:val="009A74DC"/>
    <w:rsid w:val="009A7BF0"/>
    <w:rsid w:val="009A7CE4"/>
    <w:rsid w:val="009B02E1"/>
    <w:rsid w:val="009B08C4"/>
    <w:rsid w:val="009B09E2"/>
    <w:rsid w:val="009B0A70"/>
    <w:rsid w:val="009B0C29"/>
    <w:rsid w:val="009B0EF5"/>
    <w:rsid w:val="009B1014"/>
    <w:rsid w:val="009B109F"/>
    <w:rsid w:val="009B165A"/>
    <w:rsid w:val="009B1E31"/>
    <w:rsid w:val="009B22A6"/>
    <w:rsid w:val="009B28D1"/>
    <w:rsid w:val="009B2C54"/>
    <w:rsid w:val="009B3142"/>
    <w:rsid w:val="009B3A8B"/>
    <w:rsid w:val="009B3B5F"/>
    <w:rsid w:val="009B3C39"/>
    <w:rsid w:val="009B3C73"/>
    <w:rsid w:val="009B3D7A"/>
    <w:rsid w:val="009B3DB0"/>
    <w:rsid w:val="009B3EF3"/>
    <w:rsid w:val="009B45A8"/>
    <w:rsid w:val="009B45FF"/>
    <w:rsid w:val="009B4914"/>
    <w:rsid w:val="009B4A53"/>
    <w:rsid w:val="009B50E5"/>
    <w:rsid w:val="009B52F0"/>
    <w:rsid w:val="009B552E"/>
    <w:rsid w:val="009B5756"/>
    <w:rsid w:val="009B5CE9"/>
    <w:rsid w:val="009B6103"/>
    <w:rsid w:val="009B619D"/>
    <w:rsid w:val="009B6CB1"/>
    <w:rsid w:val="009B7106"/>
    <w:rsid w:val="009B7115"/>
    <w:rsid w:val="009B7151"/>
    <w:rsid w:val="009B72DD"/>
    <w:rsid w:val="009B770F"/>
    <w:rsid w:val="009B783D"/>
    <w:rsid w:val="009B78DF"/>
    <w:rsid w:val="009B7D9A"/>
    <w:rsid w:val="009B7FCB"/>
    <w:rsid w:val="009C02DA"/>
    <w:rsid w:val="009C035C"/>
    <w:rsid w:val="009C05E0"/>
    <w:rsid w:val="009C0646"/>
    <w:rsid w:val="009C0D76"/>
    <w:rsid w:val="009C1068"/>
    <w:rsid w:val="009C10BC"/>
    <w:rsid w:val="009C122F"/>
    <w:rsid w:val="009C1309"/>
    <w:rsid w:val="009C14AA"/>
    <w:rsid w:val="009C1610"/>
    <w:rsid w:val="009C16DD"/>
    <w:rsid w:val="009C1790"/>
    <w:rsid w:val="009C19F5"/>
    <w:rsid w:val="009C1D16"/>
    <w:rsid w:val="009C20C2"/>
    <w:rsid w:val="009C21C9"/>
    <w:rsid w:val="009C312B"/>
    <w:rsid w:val="009C32C2"/>
    <w:rsid w:val="009C3496"/>
    <w:rsid w:val="009C36F9"/>
    <w:rsid w:val="009C39B2"/>
    <w:rsid w:val="009C3B32"/>
    <w:rsid w:val="009C3B91"/>
    <w:rsid w:val="009C41A4"/>
    <w:rsid w:val="009C47D4"/>
    <w:rsid w:val="009C4908"/>
    <w:rsid w:val="009C4EF1"/>
    <w:rsid w:val="009C5121"/>
    <w:rsid w:val="009C5379"/>
    <w:rsid w:val="009C547B"/>
    <w:rsid w:val="009C55CA"/>
    <w:rsid w:val="009C5612"/>
    <w:rsid w:val="009C561A"/>
    <w:rsid w:val="009C599E"/>
    <w:rsid w:val="009C59F0"/>
    <w:rsid w:val="009C5D87"/>
    <w:rsid w:val="009C5E6A"/>
    <w:rsid w:val="009C6D59"/>
    <w:rsid w:val="009C6F56"/>
    <w:rsid w:val="009C7119"/>
    <w:rsid w:val="009C718A"/>
    <w:rsid w:val="009C73D5"/>
    <w:rsid w:val="009C7668"/>
    <w:rsid w:val="009C76A3"/>
    <w:rsid w:val="009C7965"/>
    <w:rsid w:val="009C7A71"/>
    <w:rsid w:val="009C7D5C"/>
    <w:rsid w:val="009C7FE0"/>
    <w:rsid w:val="009D007B"/>
    <w:rsid w:val="009D0A77"/>
    <w:rsid w:val="009D0B1B"/>
    <w:rsid w:val="009D114A"/>
    <w:rsid w:val="009D1AE8"/>
    <w:rsid w:val="009D1BCA"/>
    <w:rsid w:val="009D1CE5"/>
    <w:rsid w:val="009D2260"/>
    <w:rsid w:val="009D23F1"/>
    <w:rsid w:val="009D2495"/>
    <w:rsid w:val="009D3066"/>
    <w:rsid w:val="009D30DF"/>
    <w:rsid w:val="009D33D3"/>
    <w:rsid w:val="009D356A"/>
    <w:rsid w:val="009D36DA"/>
    <w:rsid w:val="009D3B89"/>
    <w:rsid w:val="009D3BC8"/>
    <w:rsid w:val="009D3FA5"/>
    <w:rsid w:val="009D4177"/>
    <w:rsid w:val="009D4A32"/>
    <w:rsid w:val="009D4A34"/>
    <w:rsid w:val="009D4C74"/>
    <w:rsid w:val="009D4D47"/>
    <w:rsid w:val="009D4D99"/>
    <w:rsid w:val="009D50F8"/>
    <w:rsid w:val="009D5566"/>
    <w:rsid w:val="009D56A2"/>
    <w:rsid w:val="009D5809"/>
    <w:rsid w:val="009D5AF6"/>
    <w:rsid w:val="009D5C2A"/>
    <w:rsid w:val="009D60FA"/>
    <w:rsid w:val="009D6398"/>
    <w:rsid w:val="009D674D"/>
    <w:rsid w:val="009D68E3"/>
    <w:rsid w:val="009D6AEA"/>
    <w:rsid w:val="009D7263"/>
    <w:rsid w:val="009D73F1"/>
    <w:rsid w:val="009D75D6"/>
    <w:rsid w:val="009D7896"/>
    <w:rsid w:val="009D7ED1"/>
    <w:rsid w:val="009E0007"/>
    <w:rsid w:val="009E0148"/>
    <w:rsid w:val="009E0180"/>
    <w:rsid w:val="009E0AF3"/>
    <w:rsid w:val="009E0C20"/>
    <w:rsid w:val="009E1035"/>
    <w:rsid w:val="009E16A6"/>
    <w:rsid w:val="009E189B"/>
    <w:rsid w:val="009E1A0E"/>
    <w:rsid w:val="009E2A2E"/>
    <w:rsid w:val="009E2AB5"/>
    <w:rsid w:val="009E309D"/>
    <w:rsid w:val="009E32B0"/>
    <w:rsid w:val="009E3B12"/>
    <w:rsid w:val="009E405E"/>
    <w:rsid w:val="009E4B4D"/>
    <w:rsid w:val="009E50DC"/>
    <w:rsid w:val="009E5345"/>
    <w:rsid w:val="009E54FE"/>
    <w:rsid w:val="009E55D4"/>
    <w:rsid w:val="009E5E33"/>
    <w:rsid w:val="009E5F0C"/>
    <w:rsid w:val="009E5F68"/>
    <w:rsid w:val="009E67F1"/>
    <w:rsid w:val="009E781C"/>
    <w:rsid w:val="009E783E"/>
    <w:rsid w:val="009E7F58"/>
    <w:rsid w:val="009F01F4"/>
    <w:rsid w:val="009F02E5"/>
    <w:rsid w:val="009F05BB"/>
    <w:rsid w:val="009F0772"/>
    <w:rsid w:val="009F14F1"/>
    <w:rsid w:val="009F17C3"/>
    <w:rsid w:val="009F1AB9"/>
    <w:rsid w:val="009F2207"/>
    <w:rsid w:val="009F2338"/>
    <w:rsid w:val="009F24AC"/>
    <w:rsid w:val="009F2662"/>
    <w:rsid w:val="009F26E0"/>
    <w:rsid w:val="009F3247"/>
    <w:rsid w:val="009F386A"/>
    <w:rsid w:val="009F3F6A"/>
    <w:rsid w:val="009F4620"/>
    <w:rsid w:val="009F4641"/>
    <w:rsid w:val="009F4B76"/>
    <w:rsid w:val="009F4EAF"/>
    <w:rsid w:val="009F5137"/>
    <w:rsid w:val="009F5C04"/>
    <w:rsid w:val="009F5D23"/>
    <w:rsid w:val="009F5D31"/>
    <w:rsid w:val="009F5FB1"/>
    <w:rsid w:val="009F60BE"/>
    <w:rsid w:val="009F6409"/>
    <w:rsid w:val="009F645D"/>
    <w:rsid w:val="009F64D3"/>
    <w:rsid w:val="009F687B"/>
    <w:rsid w:val="009F6B1B"/>
    <w:rsid w:val="009F6FDE"/>
    <w:rsid w:val="009F7071"/>
    <w:rsid w:val="009F72AB"/>
    <w:rsid w:val="009F7374"/>
    <w:rsid w:val="009F7864"/>
    <w:rsid w:val="009F7A9F"/>
    <w:rsid w:val="009F7AB9"/>
    <w:rsid w:val="009F7F0B"/>
    <w:rsid w:val="00A002A4"/>
    <w:rsid w:val="00A007DF"/>
    <w:rsid w:val="00A008AD"/>
    <w:rsid w:val="00A00994"/>
    <w:rsid w:val="00A00E5D"/>
    <w:rsid w:val="00A015EC"/>
    <w:rsid w:val="00A0194A"/>
    <w:rsid w:val="00A01D47"/>
    <w:rsid w:val="00A01ED5"/>
    <w:rsid w:val="00A01F5C"/>
    <w:rsid w:val="00A01FE3"/>
    <w:rsid w:val="00A02229"/>
    <w:rsid w:val="00A02519"/>
    <w:rsid w:val="00A025C3"/>
    <w:rsid w:val="00A02913"/>
    <w:rsid w:val="00A02B5F"/>
    <w:rsid w:val="00A02D65"/>
    <w:rsid w:val="00A03319"/>
    <w:rsid w:val="00A03626"/>
    <w:rsid w:val="00A03AA5"/>
    <w:rsid w:val="00A03ECA"/>
    <w:rsid w:val="00A04239"/>
    <w:rsid w:val="00A0425B"/>
    <w:rsid w:val="00A04503"/>
    <w:rsid w:val="00A0476C"/>
    <w:rsid w:val="00A04D8C"/>
    <w:rsid w:val="00A050C0"/>
    <w:rsid w:val="00A0525D"/>
    <w:rsid w:val="00A05601"/>
    <w:rsid w:val="00A0563F"/>
    <w:rsid w:val="00A05705"/>
    <w:rsid w:val="00A06023"/>
    <w:rsid w:val="00A06146"/>
    <w:rsid w:val="00A06376"/>
    <w:rsid w:val="00A0638D"/>
    <w:rsid w:val="00A071E2"/>
    <w:rsid w:val="00A07CA4"/>
    <w:rsid w:val="00A07EF6"/>
    <w:rsid w:val="00A10074"/>
    <w:rsid w:val="00A10748"/>
    <w:rsid w:val="00A10964"/>
    <w:rsid w:val="00A10E83"/>
    <w:rsid w:val="00A1117D"/>
    <w:rsid w:val="00A115E5"/>
    <w:rsid w:val="00A11B6E"/>
    <w:rsid w:val="00A11EE1"/>
    <w:rsid w:val="00A11F0F"/>
    <w:rsid w:val="00A123D9"/>
    <w:rsid w:val="00A12B31"/>
    <w:rsid w:val="00A12D04"/>
    <w:rsid w:val="00A12D2C"/>
    <w:rsid w:val="00A12D5B"/>
    <w:rsid w:val="00A12F02"/>
    <w:rsid w:val="00A12F24"/>
    <w:rsid w:val="00A13343"/>
    <w:rsid w:val="00A13473"/>
    <w:rsid w:val="00A13485"/>
    <w:rsid w:val="00A13997"/>
    <w:rsid w:val="00A13AEF"/>
    <w:rsid w:val="00A13D45"/>
    <w:rsid w:val="00A14831"/>
    <w:rsid w:val="00A14834"/>
    <w:rsid w:val="00A14C30"/>
    <w:rsid w:val="00A150CA"/>
    <w:rsid w:val="00A15109"/>
    <w:rsid w:val="00A151CB"/>
    <w:rsid w:val="00A152E6"/>
    <w:rsid w:val="00A1560D"/>
    <w:rsid w:val="00A15A73"/>
    <w:rsid w:val="00A15CFB"/>
    <w:rsid w:val="00A164DD"/>
    <w:rsid w:val="00A16625"/>
    <w:rsid w:val="00A1677C"/>
    <w:rsid w:val="00A16CB7"/>
    <w:rsid w:val="00A16DC5"/>
    <w:rsid w:val="00A1731C"/>
    <w:rsid w:val="00A17324"/>
    <w:rsid w:val="00A17610"/>
    <w:rsid w:val="00A17BA7"/>
    <w:rsid w:val="00A17D9D"/>
    <w:rsid w:val="00A17DF1"/>
    <w:rsid w:val="00A17FD8"/>
    <w:rsid w:val="00A2075A"/>
    <w:rsid w:val="00A20B6A"/>
    <w:rsid w:val="00A216EC"/>
    <w:rsid w:val="00A217D6"/>
    <w:rsid w:val="00A219F3"/>
    <w:rsid w:val="00A21D98"/>
    <w:rsid w:val="00A21ED2"/>
    <w:rsid w:val="00A22312"/>
    <w:rsid w:val="00A2251B"/>
    <w:rsid w:val="00A22589"/>
    <w:rsid w:val="00A22C2C"/>
    <w:rsid w:val="00A23344"/>
    <w:rsid w:val="00A239BE"/>
    <w:rsid w:val="00A23E78"/>
    <w:rsid w:val="00A23F50"/>
    <w:rsid w:val="00A243E8"/>
    <w:rsid w:val="00A24C15"/>
    <w:rsid w:val="00A24C42"/>
    <w:rsid w:val="00A24E1B"/>
    <w:rsid w:val="00A26126"/>
    <w:rsid w:val="00A270BF"/>
    <w:rsid w:val="00A27577"/>
    <w:rsid w:val="00A278C0"/>
    <w:rsid w:val="00A27AB9"/>
    <w:rsid w:val="00A27B93"/>
    <w:rsid w:val="00A3037D"/>
    <w:rsid w:val="00A30E57"/>
    <w:rsid w:val="00A30EF4"/>
    <w:rsid w:val="00A315DD"/>
    <w:rsid w:val="00A3175D"/>
    <w:rsid w:val="00A319C0"/>
    <w:rsid w:val="00A31DBC"/>
    <w:rsid w:val="00A32638"/>
    <w:rsid w:val="00A32892"/>
    <w:rsid w:val="00A32A58"/>
    <w:rsid w:val="00A32B89"/>
    <w:rsid w:val="00A32C4F"/>
    <w:rsid w:val="00A32E5A"/>
    <w:rsid w:val="00A32F5D"/>
    <w:rsid w:val="00A33057"/>
    <w:rsid w:val="00A33092"/>
    <w:rsid w:val="00A3323A"/>
    <w:rsid w:val="00A33516"/>
    <w:rsid w:val="00A33571"/>
    <w:rsid w:val="00A3380E"/>
    <w:rsid w:val="00A33972"/>
    <w:rsid w:val="00A33A66"/>
    <w:rsid w:val="00A33CD3"/>
    <w:rsid w:val="00A341C0"/>
    <w:rsid w:val="00A343B2"/>
    <w:rsid w:val="00A3451D"/>
    <w:rsid w:val="00A346A0"/>
    <w:rsid w:val="00A346E1"/>
    <w:rsid w:val="00A34797"/>
    <w:rsid w:val="00A348FE"/>
    <w:rsid w:val="00A3490F"/>
    <w:rsid w:val="00A34A36"/>
    <w:rsid w:val="00A34D97"/>
    <w:rsid w:val="00A34EE8"/>
    <w:rsid w:val="00A35392"/>
    <w:rsid w:val="00A3579F"/>
    <w:rsid w:val="00A35DC6"/>
    <w:rsid w:val="00A35EC1"/>
    <w:rsid w:val="00A367E3"/>
    <w:rsid w:val="00A36D6D"/>
    <w:rsid w:val="00A376E5"/>
    <w:rsid w:val="00A3781F"/>
    <w:rsid w:val="00A37983"/>
    <w:rsid w:val="00A37C62"/>
    <w:rsid w:val="00A40621"/>
    <w:rsid w:val="00A40720"/>
    <w:rsid w:val="00A4084A"/>
    <w:rsid w:val="00A40F95"/>
    <w:rsid w:val="00A413DA"/>
    <w:rsid w:val="00A41468"/>
    <w:rsid w:val="00A4217E"/>
    <w:rsid w:val="00A426BF"/>
    <w:rsid w:val="00A42898"/>
    <w:rsid w:val="00A42EF4"/>
    <w:rsid w:val="00A43550"/>
    <w:rsid w:val="00A43682"/>
    <w:rsid w:val="00A43B7C"/>
    <w:rsid w:val="00A43E2F"/>
    <w:rsid w:val="00A445BA"/>
    <w:rsid w:val="00A4467B"/>
    <w:rsid w:val="00A44AF8"/>
    <w:rsid w:val="00A44F28"/>
    <w:rsid w:val="00A44FEC"/>
    <w:rsid w:val="00A45308"/>
    <w:rsid w:val="00A45581"/>
    <w:rsid w:val="00A458AE"/>
    <w:rsid w:val="00A458E0"/>
    <w:rsid w:val="00A45928"/>
    <w:rsid w:val="00A45D68"/>
    <w:rsid w:val="00A45DBA"/>
    <w:rsid w:val="00A45DEA"/>
    <w:rsid w:val="00A45E08"/>
    <w:rsid w:val="00A4634A"/>
    <w:rsid w:val="00A465E2"/>
    <w:rsid w:val="00A46EBA"/>
    <w:rsid w:val="00A46FA6"/>
    <w:rsid w:val="00A4717F"/>
    <w:rsid w:val="00A47519"/>
    <w:rsid w:val="00A475F1"/>
    <w:rsid w:val="00A478F0"/>
    <w:rsid w:val="00A47AA4"/>
    <w:rsid w:val="00A47DA5"/>
    <w:rsid w:val="00A47FB5"/>
    <w:rsid w:val="00A47FDB"/>
    <w:rsid w:val="00A5026F"/>
    <w:rsid w:val="00A502D0"/>
    <w:rsid w:val="00A5046B"/>
    <w:rsid w:val="00A508FF"/>
    <w:rsid w:val="00A509BB"/>
    <w:rsid w:val="00A51B7E"/>
    <w:rsid w:val="00A51BA4"/>
    <w:rsid w:val="00A51E16"/>
    <w:rsid w:val="00A520DF"/>
    <w:rsid w:val="00A52249"/>
    <w:rsid w:val="00A522CC"/>
    <w:rsid w:val="00A52754"/>
    <w:rsid w:val="00A52D66"/>
    <w:rsid w:val="00A53849"/>
    <w:rsid w:val="00A53AF8"/>
    <w:rsid w:val="00A53B2F"/>
    <w:rsid w:val="00A53C17"/>
    <w:rsid w:val="00A541F4"/>
    <w:rsid w:val="00A5420F"/>
    <w:rsid w:val="00A54775"/>
    <w:rsid w:val="00A548E2"/>
    <w:rsid w:val="00A5490E"/>
    <w:rsid w:val="00A54A65"/>
    <w:rsid w:val="00A54AEC"/>
    <w:rsid w:val="00A54F88"/>
    <w:rsid w:val="00A5503D"/>
    <w:rsid w:val="00A5512B"/>
    <w:rsid w:val="00A55323"/>
    <w:rsid w:val="00A5546E"/>
    <w:rsid w:val="00A55575"/>
    <w:rsid w:val="00A56237"/>
    <w:rsid w:val="00A56728"/>
    <w:rsid w:val="00A56AE2"/>
    <w:rsid w:val="00A56B50"/>
    <w:rsid w:val="00A572A6"/>
    <w:rsid w:val="00A572F5"/>
    <w:rsid w:val="00A57449"/>
    <w:rsid w:val="00A57690"/>
    <w:rsid w:val="00A60F86"/>
    <w:rsid w:val="00A61141"/>
    <w:rsid w:val="00A611FC"/>
    <w:rsid w:val="00A61354"/>
    <w:rsid w:val="00A616F9"/>
    <w:rsid w:val="00A6257F"/>
    <w:rsid w:val="00A62836"/>
    <w:rsid w:val="00A62B0C"/>
    <w:rsid w:val="00A63125"/>
    <w:rsid w:val="00A63AC3"/>
    <w:rsid w:val="00A644FA"/>
    <w:rsid w:val="00A646C8"/>
    <w:rsid w:val="00A6487D"/>
    <w:rsid w:val="00A64F30"/>
    <w:rsid w:val="00A64FC6"/>
    <w:rsid w:val="00A650B2"/>
    <w:rsid w:val="00A65485"/>
    <w:rsid w:val="00A65963"/>
    <w:rsid w:val="00A66055"/>
    <w:rsid w:val="00A664E8"/>
    <w:rsid w:val="00A6679B"/>
    <w:rsid w:val="00A6688D"/>
    <w:rsid w:val="00A66C00"/>
    <w:rsid w:val="00A67055"/>
    <w:rsid w:val="00A67330"/>
    <w:rsid w:val="00A6778A"/>
    <w:rsid w:val="00A67D6E"/>
    <w:rsid w:val="00A70175"/>
    <w:rsid w:val="00A701B0"/>
    <w:rsid w:val="00A702C0"/>
    <w:rsid w:val="00A70427"/>
    <w:rsid w:val="00A707E2"/>
    <w:rsid w:val="00A707EB"/>
    <w:rsid w:val="00A70AB1"/>
    <w:rsid w:val="00A70F71"/>
    <w:rsid w:val="00A7158A"/>
    <w:rsid w:val="00A71819"/>
    <w:rsid w:val="00A71A64"/>
    <w:rsid w:val="00A71A80"/>
    <w:rsid w:val="00A71A9C"/>
    <w:rsid w:val="00A71DD9"/>
    <w:rsid w:val="00A72145"/>
    <w:rsid w:val="00A729D1"/>
    <w:rsid w:val="00A72CAB"/>
    <w:rsid w:val="00A73224"/>
    <w:rsid w:val="00A73ACD"/>
    <w:rsid w:val="00A73BA4"/>
    <w:rsid w:val="00A73F4B"/>
    <w:rsid w:val="00A73F5C"/>
    <w:rsid w:val="00A746D1"/>
    <w:rsid w:val="00A74766"/>
    <w:rsid w:val="00A75128"/>
    <w:rsid w:val="00A75B23"/>
    <w:rsid w:val="00A75D85"/>
    <w:rsid w:val="00A75FF1"/>
    <w:rsid w:val="00A76261"/>
    <w:rsid w:val="00A76AF3"/>
    <w:rsid w:val="00A77044"/>
    <w:rsid w:val="00A770C2"/>
    <w:rsid w:val="00A772DF"/>
    <w:rsid w:val="00A77386"/>
    <w:rsid w:val="00A77E59"/>
    <w:rsid w:val="00A77EFE"/>
    <w:rsid w:val="00A80069"/>
    <w:rsid w:val="00A80844"/>
    <w:rsid w:val="00A80857"/>
    <w:rsid w:val="00A8089E"/>
    <w:rsid w:val="00A80C50"/>
    <w:rsid w:val="00A80DF0"/>
    <w:rsid w:val="00A80F4B"/>
    <w:rsid w:val="00A810C7"/>
    <w:rsid w:val="00A81209"/>
    <w:rsid w:val="00A817E8"/>
    <w:rsid w:val="00A81F75"/>
    <w:rsid w:val="00A820CD"/>
    <w:rsid w:val="00A8260E"/>
    <w:rsid w:val="00A82C02"/>
    <w:rsid w:val="00A82D78"/>
    <w:rsid w:val="00A82ED2"/>
    <w:rsid w:val="00A82EEF"/>
    <w:rsid w:val="00A82F8F"/>
    <w:rsid w:val="00A8353E"/>
    <w:rsid w:val="00A8383D"/>
    <w:rsid w:val="00A83990"/>
    <w:rsid w:val="00A83D7B"/>
    <w:rsid w:val="00A8428F"/>
    <w:rsid w:val="00A8446A"/>
    <w:rsid w:val="00A853C6"/>
    <w:rsid w:val="00A857D4"/>
    <w:rsid w:val="00A857DF"/>
    <w:rsid w:val="00A867C7"/>
    <w:rsid w:val="00A8703F"/>
    <w:rsid w:val="00A87EB0"/>
    <w:rsid w:val="00A87F8A"/>
    <w:rsid w:val="00A87F97"/>
    <w:rsid w:val="00A900F6"/>
    <w:rsid w:val="00A90518"/>
    <w:rsid w:val="00A90AD6"/>
    <w:rsid w:val="00A90C04"/>
    <w:rsid w:val="00A90D2F"/>
    <w:rsid w:val="00A91103"/>
    <w:rsid w:val="00A91618"/>
    <w:rsid w:val="00A9170B"/>
    <w:rsid w:val="00A91D78"/>
    <w:rsid w:val="00A91DA7"/>
    <w:rsid w:val="00A927EF"/>
    <w:rsid w:val="00A9298A"/>
    <w:rsid w:val="00A929C0"/>
    <w:rsid w:val="00A92BFD"/>
    <w:rsid w:val="00A92DCB"/>
    <w:rsid w:val="00A9304D"/>
    <w:rsid w:val="00A93080"/>
    <w:rsid w:val="00A93FF9"/>
    <w:rsid w:val="00A9446B"/>
    <w:rsid w:val="00A944C8"/>
    <w:rsid w:val="00A9483B"/>
    <w:rsid w:val="00A9494E"/>
    <w:rsid w:val="00A952F4"/>
    <w:rsid w:val="00A95461"/>
    <w:rsid w:val="00A95E04"/>
    <w:rsid w:val="00A95EAC"/>
    <w:rsid w:val="00A96044"/>
    <w:rsid w:val="00A960CE"/>
    <w:rsid w:val="00A96116"/>
    <w:rsid w:val="00A964F0"/>
    <w:rsid w:val="00A96656"/>
    <w:rsid w:val="00A96758"/>
    <w:rsid w:val="00A967CF"/>
    <w:rsid w:val="00A96B83"/>
    <w:rsid w:val="00A96F57"/>
    <w:rsid w:val="00A96F7B"/>
    <w:rsid w:val="00A96F81"/>
    <w:rsid w:val="00A9714D"/>
    <w:rsid w:val="00A97D0C"/>
    <w:rsid w:val="00A97F81"/>
    <w:rsid w:val="00AA07DB"/>
    <w:rsid w:val="00AA082B"/>
    <w:rsid w:val="00AA0D1B"/>
    <w:rsid w:val="00AA0FEF"/>
    <w:rsid w:val="00AA192D"/>
    <w:rsid w:val="00AA1D8D"/>
    <w:rsid w:val="00AA20B2"/>
    <w:rsid w:val="00AA233D"/>
    <w:rsid w:val="00AA2695"/>
    <w:rsid w:val="00AA2FE3"/>
    <w:rsid w:val="00AA326C"/>
    <w:rsid w:val="00AA3678"/>
    <w:rsid w:val="00AA3A59"/>
    <w:rsid w:val="00AA3D91"/>
    <w:rsid w:val="00AA45BF"/>
    <w:rsid w:val="00AA47F7"/>
    <w:rsid w:val="00AA4875"/>
    <w:rsid w:val="00AA488D"/>
    <w:rsid w:val="00AA4D6B"/>
    <w:rsid w:val="00AA5AC6"/>
    <w:rsid w:val="00AA6392"/>
    <w:rsid w:val="00AA6603"/>
    <w:rsid w:val="00AA6691"/>
    <w:rsid w:val="00AA69D9"/>
    <w:rsid w:val="00AA69F0"/>
    <w:rsid w:val="00AA6AB2"/>
    <w:rsid w:val="00AA6DC2"/>
    <w:rsid w:val="00AA70DB"/>
    <w:rsid w:val="00AA75B7"/>
    <w:rsid w:val="00AA75ED"/>
    <w:rsid w:val="00AA7881"/>
    <w:rsid w:val="00AA7A95"/>
    <w:rsid w:val="00AB0152"/>
    <w:rsid w:val="00AB04EB"/>
    <w:rsid w:val="00AB04FA"/>
    <w:rsid w:val="00AB08AE"/>
    <w:rsid w:val="00AB100D"/>
    <w:rsid w:val="00AB190C"/>
    <w:rsid w:val="00AB1A87"/>
    <w:rsid w:val="00AB1CDD"/>
    <w:rsid w:val="00AB285B"/>
    <w:rsid w:val="00AB2B58"/>
    <w:rsid w:val="00AB3364"/>
    <w:rsid w:val="00AB3547"/>
    <w:rsid w:val="00AB3A4D"/>
    <w:rsid w:val="00AB3D16"/>
    <w:rsid w:val="00AB40A6"/>
    <w:rsid w:val="00AB4152"/>
    <w:rsid w:val="00AB427A"/>
    <w:rsid w:val="00AB46BC"/>
    <w:rsid w:val="00AB47E0"/>
    <w:rsid w:val="00AB4E47"/>
    <w:rsid w:val="00AB5070"/>
    <w:rsid w:val="00AB54FA"/>
    <w:rsid w:val="00AB553A"/>
    <w:rsid w:val="00AB586E"/>
    <w:rsid w:val="00AB5942"/>
    <w:rsid w:val="00AB5A1A"/>
    <w:rsid w:val="00AB5AA0"/>
    <w:rsid w:val="00AB651B"/>
    <w:rsid w:val="00AB65AB"/>
    <w:rsid w:val="00AB6CF1"/>
    <w:rsid w:val="00AB7084"/>
    <w:rsid w:val="00AB7337"/>
    <w:rsid w:val="00AB78F5"/>
    <w:rsid w:val="00AB7C20"/>
    <w:rsid w:val="00AB7DAC"/>
    <w:rsid w:val="00AB7DE5"/>
    <w:rsid w:val="00AB7EFA"/>
    <w:rsid w:val="00AB7F02"/>
    <w:rsid w:val="00AC00D2"/>
    <w:rsid w:val="00AC00FA"/>
    <w:rsid w:val="00AC09D8"/>
    <w:rsid w:val="00AC1489"/>
    <w:rsid w:val="00AC1C49"/>
    <w:rsid w:val="00AC1FF7"/>
    <w:rsid w:val="00AC262B"/>
    <w:rsid w:val="00AC278D"/>
    <w:rsid w:val="00AC2C3C"/>
    <w:rsid w:val="00AC2D6E"/>
    <w:rsid w:val="00AC2F8F"/>
    <w:rsid w:val="00AC384E"/>
    <w:rsid w:val="00AC3A84"/>
    <w:rsid w:val="00AC3C4D"/>
    <w:rsid w:val="00AC3C78"/>
    <w:rsid w:val="00AC3D30"/>
    <w:rsid w:val="00AC3DB0"/>
    <w:rsid w:val="00AC3E34"/>
    <w:rsid w:val="00AC44EC"/>
    <w:rsid w:val="00AC505B"/>
    <w:rsid w:val="00AC5158"/>
    <w:rsid w:val="00AC52EE"/>
    <w:rsid w:val="00AC5669"/>
    <w:rsid w:val="00AC57E7"/>
    <w:rsid w:val="00AC586F"/>
    <w:rsid w:val="00AC5913"/>
    <w:rsid w:val="00AC5AE3"/>
    <w:rsid w:val="00AC60A6"/>
    <w:rsid w:val="00AC6335"/>
    <w:rsid w:val="00AC6423"/>
    <w:rsid w:val="00AC6580"/>
    <w:rsid w:val="00AC6729"/>
    <w:rsid w:val="00AC6973"/>
    <w:rsid w:val="00AC6AB6"/>
    <w:rsid w:val="00AC6CBB"/>
    <w:rsid w:val="00AC6E1C"/>
    <w:rsid w:val="00AC72FC"/>
    <w:rsid w:val="00AC74A9"/>
    <w:rsid w:val="00AC7A54"/>
    <w:rsid w:val="00AC7AF6"/>
    <w:rsid w:val="00AC7C6C"/>
    <w:rsid w:val="00AC7EC4"/>
    <w:rsid w:val="00AC7F20"/>
    <w:rsid w:val="00AD0317"/>
    <w:rsid w:val="00AD08F5"/>
    <w:rsid w:val="00AD12EA"/>
    <w:rsid w:val="00AD145C"/>
    <w:rsid w:val="00AD176C"/>
    <w:rsid w:val="00AD1947"/>
    <w:rsid w:val="00AD1D0C"/>
    <w:rsid w:val="00AD2A06"/>
    <w:rsid w:val="00AD2D89"/>
    <w:rsid w:val="00AD35DB"/>
    <w:rsid w:val="00AD3783"/>
    <w:rsid w:val="00AD3891"/>
    <w:rsid w:val="00AD3F33"/>
    <w:rsid w:val="00AD4094"/>
    <w:rsid w:val="00AD418A"/>
    <w:rsid w:val="00AD42B7"/>
    <w:rsid w:val="00AD42FC"/>
    <w:rsid w:val="00AD471B"/>
    <w:rsid w:val="00AD479B"/>
    <w:rsid w:val="00AD48BF"/>
    <w:rsid w:val="00AD51F8"/>
    <w:rsid w:val="00AD544A"/>
    <w:rsid w:val="00AD5584"/>
    <w:rsid w:val="00AD55B2"/>
    <w:rsid w:val="00AD562A"/>
    <w:rsid w:val="00AD5A25"/>
    <w:rsid w:val="00AD5E0D"/>
    <w:rsid w:val="00AD6A46"/>
    <w:rsid w:val="00AD723D"/>
    <w:rsid w:val="00AD7343"/>
    <w:rsid w:val="00AD7634"/>
    <w:rsid w:val="00AD7833"/>
    <w:rsid w:val="00AD78F2"/>
    <w:rsid w:val="00AD7C8B"/>
    <w:rsid w:val="00AE001F"/>
    <w:rsid w:val="00AE0126"/>
    <w:rsid w:val="00AE0329"/>
    <w:rsid w:val="00AE03C7"/>
    <w:rsid w:val="00AE04AA"/>
    <w:rsid w:val="00AE0DD7"/>
    <w:rsid w:val="00AE0E35"/>
    <w:rsid w:val="00AE0F85"/>
    <w:rsid w:val="00AE100A"/>
    <w:rsid w:val="00AE102A"/>
    <w:rsid w:val="00AE12E8"/>
    <w:rsid w:val="00AE142F"/>
    <w:rsid w:val="00AE1B3F"/>
    <w:rsid w:val="00AE1D3F"/>
    <w:rsid w:val="00AE1F5B"/>
    <w:rsid w:val="00AE2944"/>
    <w:rsid w:val="00AE368E"/>
    <w:rsid w:val="00AE3CD7"/>
    <w:rsid w:val="00AE432C"/>
    <w:rsid w:val="00AE4798"/>
    <w:rsid w:val="00AE480E"/>
    <w:rsid w:val="00AE4823"/>
    <w:rsid w:val="00AE4889"/>
    <w:rsid w:val="00AE4FDE"/>
    <w:rsid w:val="00AE5273"/>
    <w:rsid w:val="00AE52BD"/>
    <w:rsid w:val="00AE5BBD"/>
    <w:rsid w:val="00AE677A"/>
    <w:rsid w:val="00AE6C6B"/>
    <w:rsid w:val="00AE73B5"/>
    <w:rsid w:val="00AE7556"/>
    <w:rsid w:val="00AE7991"/>
    <w:rsid w:val="00AE7EC9"/>
    <w:rsid w:val="00AF0056"/>
    <w:rsid w:val="00AF01DF"/>
    <w:rsid w:val="00AF02EE"/>
    <w:rsid w:val="00AF1148"/>
    <w:rsid w:val="00AF18B4"/>
    <w:rsid w:val="00AF19A2"/>
    <w:rsid w:val="00AF1B45"/>
    <w:rsid w:val="00AF1E5A"/>
    <w:rsid w:val="00AF250E"/>
    <w:rsid w:val="00AF29E3"/>
    <w:rsid w:val="00AF2D19"/>
    <w:rsid w:val="00AF2E15"/>
    <w:rsid w:val="00AF3B26"/>
    <w:rsid w:val="00AF422F"/>
    <w:rsid w:val="00AF436E"/>
    <w:rsid w:val="00AF441D"/>
    <w:rsid w:val="00AF47B8"/>
    <w:rsid w:val="00AF489C"/>
    <w:rsid w:val="00AF4A55"/>
    <w:rsid w:val="00AF5073"/>
    <w:rsid w:val="00AF572F"/>
    <w:rsid w:val="00AF5735"/>
    <w:rsid w:val="00AF5846"/>
    <w:rsid w:val="00AF5BAF"/>
    <w:rsid w:val="00AF6074"/>
    <w:rsid w:val="00AF645E"/>
    <w:rsid w:val="00AF6518"/>
    <w:rsid w:val="00AF65F7"/>
    <w:rsid w:val="00AF67C7"/>
    <w:rsid w:val="00AF6FCD"/>
    <w:rsid w:val="00AF71EC"/>
    <w:rsid w:val="00AF720B"/>
    <w:rsid w:val="00AF7B78"/>
    <w:rsid w:val="00AF7C5C"/>
    <w:rsid w:val="00AF7F92"/>
    <w:rsid w:val="00AF7FD0"/>
    <w:rsid w:val="00B0055F"/>
    <w:rsid w:val="00B009A3"/>
    <w:rsid w:val="00B00CE7"/>
    <w:rsid w:val="00B01271"/>
    <w:rsid w:val="00B0127B"/>
    <w:rsid w:val="00B017D9"/>
    <w:rsid w:val="00B01CC1"/>
    <w:rsid w:val="00B01D9E"/>
    <w:rsid w:val="00B02221"/>
    <w:rsid w:val="00B023A8"/>
    <w:rsid w:val="00B02469"/>
    <w:rsid w:val="00B024A6"/>
    <w:rsid w:val="00B02598"/>
    <w:rsid w:val="00B026A0"/>
    <w:rsid w:val="00B029DD"/>
    <w:rsid w:val="00B02C45"/>
    <w:rsid w:val="00B02D68"/>
    <w:rsid w:val="00B02E27"/>
    <w:rsid w:val="00B03327"/>
    <w:rsid w:val="00B03906"/>
    <w:rsid w:val="00B0432A"/>
    <w:rsid w:val="00B04353"/>
    <w:rsid w:val="00B043B2"/>
    <w:rsid w:val="00B0458B"/>
    <w:rsid w:val="00B04E66"/>
    <w:rsid w:val="00B04EA3"/>
    <w:rsid w:val="00B04F29"/>
    <w:rsid w:val="00B05582"/>
    <w:rsid w:val="00B0584D"/>
    <w:rsid w:val="00B05971"/>
    <w:rsid w:val="00B05AEC"/>
    <w:rsid w:val="00B05FAE"/>
    <w:rsid w:val="00B060FC"/>
    <w:rsid w:val="00B06132"/>
    <w:rsid w:val="00B072B2"/>
    <w:rsid w:val="00B072EA"/>
    <w:rsid w:val="00B075D7"/>
    <w:rsid w:val="00B07761"/>
    <w:rsid w:val="00B07CBA"/>
    <w:rsid w:val="00B07EB2"/>
    <w:rsid w:val="00B1082A"/>
    <w:rsid w:val="00B108E3"/>
    <w:rsid w:val="00B10AD3"/>
    <w:rsid w:val="00B10DD5"/>
    <w:rsid w:val="00B10E97"/>
    <w:rsid w:val="00B11336"/>
    <w:rsid w:val="00B116ED"/>
    <w:rsid w:val="00B12624"/>
    <w:rsid w:val="00B12AF3"/>
    <w:rsid w:val="00B12C51"/>
    <w:rsid w:val="00B130C1"/>
    <w:rsid w:val="00B13367"/>
    <w:rsid w:val="00B1364C"/>
    <w:rsid w:val="00B13678"/>
    <w:rsid w:val="00B136D9"/>
    <w:rsid w:val="00B1390F"/>
    <w:rsid w:val="00B13C31"/>
    <w:rsid w:val="00B141B2"/>
    <w:rsid w:val="00B14405"/>
    <w:rsid w:val="00B149B5"/>
    <w:rsid w:val="00B14CC1"/>
    <w:rsid w:val="00B1500C"/>
    <w:rsid w:val="00B1545C"/>
    <w:rsid w:val="00B15843"/>
    <w:rsid w:val="00B159C8"/>
    <w:rsid w:val="00B164D1"/>
    <w:rsid w:val="00B168FD"/>
    <w:rsid w:val="00B16B59"/>
    <w:rsid w:val="00B16B7E"/>
    <w:rsid w:val="00B16C42"/>
    <w:rsid w:val="00B16D61"/>
    <w:rsid w:val="00B17020"/>
    <w:rsid w:val="00B17307"/>
    <w:rsid w:val="00B17802"/>
    <w:rsid w:val="00B178DC"/>
    <w:rsid w:val="00B17EF8"/>
    <w:rsid w:val="00B17FFC"/>
    <w:rsid w:val="00B204EE"/>
    <w:rsid w:val="00B209DD"/>
    <w:rsid w:val="00B21041"/>
    <w:rsid w:val="00B21801"/>
    <w:rsid w:val="00B22333"/>
    <w:rsid w:val="00B22459"/>
    <w:rsid w:val="00B2290C"/>
    <w:rsid w:val="00B22A9D"/>
    <w:rsid w:val="00B22AC2"/>
    <w:rsid w:val="00B22B19"/>
    <w:rsid w:val="00B22ED2"/>
    <w:rsid w:val="00B22F78"/>
    <w:rsid w:val="00B22F96"/>
    <w:rsid w:val="00B23480"/>
    <w:rsid w:val="00B23C90"/>
    <w:rsid w:val="00B23DE7"/>
    <w:rsid w:val="00B2417F"/>
    <w:rsid w:val="00B24355"/>
    <w:rsid w:val="00B24570"/>
    <w:rsid w:val="00B249CD"/>
    <w:rsid w:val="00B24DFD"/>
    <w:rsid w:val="00B24FE7"/>
    <w:rsid w:val="00B25563"/>
    <w:rsid w:val="00B25812"/>
    <w:rsid w:val="00B2584D"/>
    <w:rsid w:val="00B259BF"/>
    <w:rsid w:val="00B25B6F"/>
    <w:rsid w:val="00B264C2"/>
    <w:rsid w:val="00B26563"/>
    <w:rsid w:val="00B26809"/>
    <w:rsid w:val="00B27251"/>
    <w:rsid w:val="00B273C7"/>
    <w:rsid w:val="00B27AC3"/>
    <w:rsid w:val="00B27C89"/>
    <w:rsid w:val="00B3015D"/>
    <w:rsid w:val="00B302CC"/>
    <w:rsid w:val="00B3082E"/>
    <w:rsid w:val="00B30888"/>
    <w:rsid w:val="00B311E0"/>
    <w:rsid w:val="00B313F5"/>
    <w:rsid w:val="00B315FE"/>
    <w:rsid w:val="00B3161F"/>
    <w:rsid w:val="00B31833"/>
    <w:rsid w:val="00B318EA"/>
    <w:rsid w:val="00B31E9B"/>
    <w:rsid w:val="00B324C5"/>
    <w:rsid w:val="00B327A6"/>
    <w:rsid w:val="00B32EC2"/>
    <w:rsid w:val="00B33475"/>
    <w:rsid w:val="00B338FD"/>
    <w:rsid w:val="00B33992"/>
    <w:rsid w:val="00B3435B"/>
    <w:rsid w:val="00B343C7"/>
    <w:rsid w:val="00B34644"/>
    <w:rsid w:val="00B34B19"/>
    <w:rsid w:val="00B34B77"/>
    <w:rsid w:val="00B34DB1"/>
    <w:rsid w:val="00B34F3D"/>
    <w:rsid w:val="00B350D4"/>
    <w:rsid w:val="00B351B8"/>
    <w:rsid w:val="00B35287"/>
    <w:rsid w:val="00B352EE"/>
    <w:rsid w:val="00B35CE3"/>
    <w:rsid w:val="00B35DC3"/>
    <w:rsid w:val="00B36093"/>
    <w:rsid w:val="00B363C3"/>
    <w:rsid w:val="00B36B6C"/>
    <w:rsid w:val="00B36BBE"/>
    <w:rsid w:val="00B36C25"/>
    <w:rsid w:val="00B36CB4"/>
    <w:rsid w:val="00B3705F"/>
    <w:rsid w:val="00B37FC1"/>
    <w:rsid w:val="00B40291"/>
    <w:rsid w:val="00B408BD"/>
    <w:rsid w:val="00B40B35"/>
    <w:rsid w:val="00B41032"/>
    <w:rsid w:val="00B418AA"/>
    <w:rsid w:val="00B41A5A"/>
    <w:rsid w:val="00B41A76"/>
    <w:rsid w:val="00B41D08"/>
    <w:rsid w:val="00B422C4"/>
    <w:rsid w:val="00B42554"/>
    <w:rsid w:val="00B42804"/>
    <w:rsid w:val="00B4283A"/>
    <w:rsid w:val="00B428D0"/>
    <w:rsid w:val="00B42CF5"/>
    <w:rsid w:val="00B42EC6"/>
    <w:rsid w:val="00B43285"/>
    <w:rsid w:val="00B43E09"/>
    <w:rsid w:val="00B44194"/>
    <w:rsid w:val="00B44375"/>
    <w:rsid w:val="00B443B5"/>
    <w:rsid w:val="00B44441"/>
    <w:rsid w:val="00B447EF"/>
    <w:rsid w:val="00B4489B"/>
    <w:rsid w:val="00B44F57"/>
    <w:rsid w:val="00B45088"/>
    <w:rsid w:val="00B45AFF"/>
    <w:rsid w:val="00B45FA9"/>
    <w:rsid w:val="00B460DA"/>
    <w:rsid w:val="00B46434"/>
    <w:rsid w:val="00B471FF"/>
    <w:rsid w:val="00B475A6"/>
    <w:rsid w:val="00B47730"/>
    <w:rsid w:val="00B47BA2"/>
    <w:rsid w:val="00B47CAD"/>
    <w:rsid w:val="00B47FF8"/>
    <w:rsid w:val="00B50012"/>
    <w:rsid w:val="00B50076"/>
    <w:rsid w:val="00B501B5"/>
    <w:rsid w:val="00B503C6"/>
    <w:rsid w:val="00B50CA6"/>
    <w:rsid w:val="00B50E3D"/>
    <w:rsid w:val="00B51B48"/>
    <w:rsid w:val="00B51D2A"/>
    <w:rsid w:val="00B520C3"/>
    <w:rsid w:val="00B5230E"/>
    <w:rsid w:val="00B52572"/>
    <w:rsid w:val="00B526B1"/>
    <w:rsid w:val="00B5277C"/>
    <w:rsid w:val="00B52905"/>
    <w:rsid w:val="00B52B99"/>
    <w:rsid w:val="00B52D69"/>
    <w:rsid w:val="00B52FFA"/>
    <w:rsid w:val="00B533B9"/>
    <w:rsid w:val="00B533E4"/>
    <w:rsid w:val="00B53A95"/>
    <w:rsid w:val="00B53E24"/>
    <w:rsid w:val="00B54403"/>
    <w:rsid w:val="00B54557"/>
    <w:rsid w:val="00B547BA"/>
    <w:rsid w:val="00B548BC"/>
    <w:rsid w:val="00B54BD6"/>
    <w:rsid w:val="00B54C9C"/>
    <w:rsid w:val="00B55AEF"/>
    <w:rsid w:val="00B55BF6"/>
    <w:rsid w:val="00B567F5"/>
    <w:rsid w:val="00B56CE3"/>
    <w:rsid w:val="00B56FC5"/>
    <w:rsid w:val="00B575B5"/>
    <w:rsid w:val="00B576B5"/>
    <w:rsid w:val="00B57992"/>
    <w:rsid w:val="00B6020E"/>
    <w:rsid w:val="00B60302"/>
    <w:rsid w:val="00B608FC"/>
    <w:rsid w:val="00B610F9"/>
    <w:rsid w:val="00B618B4"/>
    <w:rsid w:val="00B6219B"/>
    <w:rsid w:val="00B6265B"/>
    <w:rsid w:val="00B62720"/>
    <w:rsid w:val="00B62BB7"/>
    <w:rsid w:val="00B62DCF"/>
    <w:rsid w:val="00B62DD9"/>
    <w:rsid w:val="00B62E40"/>
    <w:rsid w:val="00B62F24"/>
    <w:rsid w:val="00B6315E"/>
    <w:rsid w:val="00B6325F"/>
    <w:rsid w:val="00B6343A"/>
    <w:rsid w:val="00B63584"/>
    <w:rsid w:val="00B63B2D"/>
    <w:rsid w:val="00B63BB2"/>
    <w:rsid w:val="00B63CEE"/>
    <w:rsid w:val="00B63DB9"/>
    <w:rsid w:val="00B64A97"/>
    <w:rsid w:val="00B64B34"/>
    <w:rsid w:val="00B65126"/>
    <w:rsid w:val="00B651EA"/>
    <w:rsid w:val="00B651F1"/>
    <w:rsid w:val="00B655FE"/>
    <w:rsid w:val="00B6569D"/>
    <w:rsid w:val="00B66288"/>
    <w:rsid w:val="00B663B5"/>
    <w:rsid w:val="00B6667A"/>
    <w:rsid w:val="00B667BF"/>
    <w:rsid w:val="00B675A1"/>
    <w:rsid w:val="00B675D5"/>
    <w:rsid w:val="00B67B07"/>
    <w:rsid w:val="00B67C3F"/>
    <w:rsid w:val="00B70768"/>
    <w:rsid w:val="00B7093C"/>
    <w:rsid w:val="00B709DC"/>
    <w:rsid w:val="00B70A7A"/>
    <w:rsid w:val="00B70A93"/>
    <w:rsid w:val="00B70F36"/>
    <w:rsid w:val="00B715F9"/>
    <w:rsid w:val="00B71690"/>
    <w:rsid w:val="00B716A9"/>
    <w:rsid w:val="00B71AAF"/>
    <w:rsid w:val="00B71D77"/>
    <w:rsid w:val="00B71D97"/>
    <w:rsid w:val="00B71F3F"/>
    <w:rsid w:val="00B721E3"/>
    <w:rsid w:val="00B72789"/>
    <w:rsid w:val="00B7313F"/>
    <w:rsid w:val="00B73158"/>
    <w:rsid w:val="00B73668"/>
    <w:rsid w:val="00B73843"/>
    <w:rsid w:val="00B73C24"/>
    <w:rsid w:val="00B73D04"/>
    <w:rsid w:val="00B74130"/>
    <w:rsid w:val="00B741DF"/>
    <w:rsid w:val="00B743CD"/>
    <w:rsid w:val="00B74597"/>
    <w:rsid w:val="00B74CAD"/>
    <w:rsid w:val="00B74F65"/>
    <w:rsid w:val="00B74F8A"/>
    <w:rsid w:val="00B750D3"/>
    <w:rsid w:val="00B75176"/>
    <w:rsid w:val="00B7538F"/>
    <w:rsid w:val="00B753B4"/>
    <w:rsid w:val="00B75406"/>
    <w:rsid w:val="00B757C3"/>
    <w:rsid w:val="00B758E5"/>
    <w:rsid w:val="00B75A2E"/>
    <w:rsid w:val="00B75B11"/>
    <w:rsid w:val="00B75DE7"/>
    <w:rsid w:val="00B75E7F"/>
    <w:rsid w:val="00B768D8"/>
    <w:rsid w:val="00B76D10"/>
    <w:rsid w:val="00B76D5D"/>
    <w:rsid w:val="00B76DA1"/>
    <w:rsid w:val="00B770DA"/>
    <w:rsid w:val="00B771BA"/>
    <w:rsid w:val="00B7744A"/>
    <w:rsid w:val="00B7753F"/>
    <w:rsid w:val="00B775C9"/>
    <w:rsid w:val="00B776FB"/>
    <w:rsid w:val="00B777B0"/>
    <w:rsid w:val="00B77CD3"/>
    <w:rsid w:val="00B77D97"/>
    <w:rsid w:val="00B77F5E"/>
    <w:rsid w:val="00B80226"/>
    <w:rsid w:val="00B80316"/>
    <w:rsid w:val="00B8039F"/>
    <w:rsid w:val="00B812EF"/>
    <w:rsid w:val="00B81766"/>
    <w:rsid w:val="00B81ADF"/>
    <w:rsid w:val="00B81BCF"/>
    <w:rsid w:val="00B81F12"/>
    <w:rsid w:val="00B824D6"/>
    <w:rsid w:val="00B827DC"/>
    <w:rsid w:val="00B82A07"/>
    <w:rsid w:val="00B82A65"/>
    <w:rsid w:val="00B82C64"/>
    <w:rsid w:val="00B82C8C"/>
    <w:rsid w:val="00B82FAC"/>
    <w:rsid w:val="00B831C6"/>
    <w:rsid w:val="00B831DB"/>
    <w:rsid w:val="00B83254"/>
    <w:rsid w:val="00B8336A"/>
    <w:rsid w:val="00B83C98"/>
    <w:rsid w:val="00B83E66"/>
    <w:rsid w:val="00B84247"/>
    <w:rsid w:val="00B8467B"/>
    <w:rsid w:val="00B84944"/>
    <w:rsid w:val="00B84B65"/>
    <w:rsid w:val="00B850F7"/>
    <w:rsid w:val="00B85193"/>
    <w:rsid w:val="00B85ACC"/>
    <w:rsid w:val="00B85D10"/>
    <w:rsid w:val="00B85F8C"/>
    <w:rsid w:val="00B8629B"/>
    <w:rsid w:val="00B8652E"/>
    <w:rsid w:val="00B86F74"/>
    <w:rsid w:val="00B87052"/>
    <w:rsid w:val="00B870FC"/>
    <w:rsid w:val="00B87575"/>
    <w:rsid w:val="00B879E6"/>
    <w:rsid w:val="00B87BE4"/>
    <w:rsid w:val="00B91669"/>
    <w:rsid w:val="00B916FB"/>
    <w:rsid w:val="00B91927"/>
    <w:rsid w:val="00B91C2F"/>
    <w:rsid w:val="00B921AB"/>
    <w:rsid w:val="00B923DE"/>
    <w:rsid w:val="00B92458"/>
    <w:rsid w:val="00B926AB"/>
    <w:rsid w:val="00B92714"/>
    <w:rsid w:val="00B9280F"/>
    <w:rsid w:val="00B92A49"/>
    <w:rsid w:val="00B92A5D"/>
    <w:rsid w:val="00B92EB6"/>
    <w:rsid w:val="00B92F4B"/>
    <w:rsid w:val="00B93172"/>
    <w:rsid w:val="00B93327"/>
    <w:rsid w:val="00B938F4"/>
    <w:rsid w:val="00B93A43"/>
    <w:rsid w:val="00B93F55"/>
    <w:rsid w:val="00B941B1"/>
    <w:rsid w:val="00B94350"/>
    <w:rsid w:val="00B949B8"/>
    <w:rsid w:val="00B94BD1"/>
    <w:rsid w:val="00B94C19"/>
    <w:rsid w:val="00B94CBC"/>
    <w:rsid w:val="00B94F5B"/>
    <w:rsid w:val="00B94F92"/>
    <w:rsid w:val="00B95400"/>
    <w:rsid w:val="00B95587"/>
    <w:rsid w:val="00B95740"/>
    <w:rsid w:val="00B95F7D"/>
    <w:rsid w:val="00B961A6"/>
    <w:rsid w:val="00B96815"/>
    <w:rsid w:val="00B969A2"/>
    <w:rsid w:val="00B96E7C"/>
    <w:rsid w:val="00B974B3"/>
    <w:rsid w:val="00B9785C"/>
    <w:rsid w:val="00B97A45"/>
    <w:rsid w:val="00B97FDF"/>
    <w:rsid w:val="00BA003B"/>
    <w:rsid w:val="00BA03CF"/>
    <w:rsid w:val="00BA13F1"/>
    <w:rsid w:val="00BA140E"/>
    <w:rsid w:val="00BA166E"/>
    <w:rsid w:val="00BA1A14"/>
    <w:rsid w:val="00BA1B30"/>
    <w:rsid w:val="00BA1D04"/>
    <w:rsid w:val="00BA1DB2"/>
    <w:rsid w:val="00BA1DBB"/>
    <w:rsid w:val="00BA1E94"/>
    <w:rsid w:val="00BA1FB3"/>
    <w:rsid w:val="00BA201A"/>
    <w:rsid w:val="00BA2353"/>
    <w:rsid w:val="00BA2453"/>
    <w:rsid w:val="00BA260E"/>
    <w:rsid w:val="00BA277B"/>
    <w:rsid w:val="00BA2AC3"/>
    <w:rsid w:val="00BA2BCF"/>
    <w:rsid w:val="00BA2C60"/>
    <w:rsid w:val="00BA2F43"/>
    <w:rsid w:val="00BA2F5D"/>
    <w:rsid w:val="00BA33B6"/>
    <w:rsid w:val="00BA3453"/>
    <w:rsid w:val="00BA34A6"/>
    <w:rsid w:val="00BA3A39"/>
    <w:rsid w:val="00BA3C6E"/>
    <w:rsid w:val="00BA3CAD"/>
    <w:rsid w:val="00BA3F96"/>
    <w:rsid w:val="00BA4187"/>
    <w:rsid w:val="00BA41A3"/>
    <w:rsid w:val="00BA4390"/>
    <w:rsid w:val="00BA46F5"/>
    <w:rsid w:val="00BA4950"/>
    <w:rsid w:val="00BA49DB"/>
    <w:rsid w:val="00BA5119"/>
    <w:rsid w:val="00BA516E"/>
    <w:rsid w:val="00BA5713"/>
    <w:rsid w:val="00BA5E14"/>
    <w:rsid w:val="00BA5E3B"/>
    <w:rsid w:val="00BA6143"/>
    <w:rsid w:val="00BA62F8"/>
    <w:rsid w:val="00BA6A12"/>
    <w:rsid w:val="00BA6C0F"/>
    <w:rsid w:val="00BA6FA3"/>
    <w:rsid w:val="00BA6FCC"/>
    <w:rsid w:val="00BA7DB0"/>
    <w:rsid w:val="00BA7FFA"/>
    <w:rsid w:val="00BB083A"/>
    <w:rsid w:val="00BB0984"/>
    <w:rsid w:val="00BB0AE1"/>
    <w:rsid w:val="00BB0FB5"/>
    <w:rsid w:val="00BB1672"/>
    <w:rsid w:val="00BB17CE"/>
    <w:rsid w:val="00BB19AF"/>
    <w:rsid w:val="00BB1A98"/>
    <w:rsid w:val="00BB1ADE"/>
    <w:rsid w:val="00BB1B1E"/>
    <w:rsid w:val="00BB1E8D"/>
    <w:rsid w:val="00BB201B"/>
    <w:rsid w:val="00BB221F"/>
    <w:rsid w:val="00BB26D8"/>
    <w:rsid w:val="00BB29FB"/>
    <w:rsid w:val="00BB2D3D"/>
    <w:rsid w:val="00BB2E5D"/>
    <w:rsid w:val="00BB302B"/>
    <w:rsid w:val="00BB3399"/>
    <w:rsid w:val="00BB407E"/>
    <w:rsid w:val="00BB447B"/>
    <w:rsid w:val="00BB45D9"/>
    <w:rsid w:val="00BB47EE"/>
    <w:rsid w:val="00BB48E2"/>
    <w:rsid w:val="00BB4DFC"/>
    <w:rsid w:val="00BB5928"/>
    <w:rsid w:val="00BB5AEC"/>
    <w:rsid w:val="00BB5B4B"/>
    <w:rsid w:val="00BB68D3"/>
    <w:rsid w:val="00BB6DF9"/>
    <w:rsid w:val="00BB7106"/>
    <w:rsid w:val="00BB7646"/>
    <w:rsid w:val="00BB7842"/>
    <w:rsid w:val="00BB78D2"/>
    <w:rsid w:val="00BB7CF7"/>
    <w:rsid w:val="00BB7D0A"/>
    <w:rsid w:val="00BC021C"/>
    <w:rsid w:val="00BC03F3"/>
    <w:rsid w:val="00BC07D3"/>
    <w:rsid w:val="00BC0B47"/>
    <w:rsid w:val="00BC0DB9"/>
    <w:rsid w:val="00BC10B4"/>
    <w:rsid w:val="00BC18F3"/>
    <w:rsid w:val="00BC1940"/>
    <w:rsid w:val="00BC1D0C"/>
    <w:rsid w:val="00BC1D55"/>
    <w:rsid w:val="00BC228A"/>
    <w:rsid w:val="00BC2471"/>
    <w:rsid w:val="00BC24CE"/>
    <w:rsid w:val="00BC25F3"/>
    <w:rsid w:val="00BC2D18"/>
    <w:rsid w:val="00BC3055"/>
    <w:rsid w:val="00BC33BF"/>
    <w:rsid w:val="00BC344B"/>
    <w:rsid w:val="00BC35DF"/>
    <w:rsid w:val="00BC4730"/>
    <w:rsid w:val="00BC47AC"/>
    <w:rsid w:val="00BC4A1D"/>
    <w:rsid w:val="00BC4AC5"/>
    <w:rsid w:val="00BC50A0"/>
    <w:rsid w:val="00BC51E7"/>
    <w:rsid w:val="00BC5491"/>
    <w:rsid w:val="00BC54E2"/>
    <w:rsid w:val="00BC5615"/>
    <w:rsid w:val="00BC590F"/>
    <w:rsid w:val="00BC59DC"/>
    <w:rsid w:val="00BC640C"/>
    <w:rsid w:val="00BC64BF"/>
    <w:rsid w:val="00BC7041"/>
    <w:rsid w:val="00BC7724"/>
    <w:rsid w:val="00BC7A8D"/>
    <w:rsid w:val="00BD013A"/>
    <w:rsid w:val="00BD0887"/>
    <w:rsid w:val="00BD0A9B"/>
    <w:rsid w:val="00BD0B45"/>
    <w:rsid w:val="00BD0D0D"/>
    <w:rsid w:val="00BD0E98"/>
    <w:rsid w:val="00BD10E7"/>
    <w:rsid w:val="00BD1751"/>
    <w:rsid w:val="00BD1852"/>
    <w:rsid w:val="00BD18B5"/>
    <w:rsid w:val="00BD1B55"/>
    <w:rsid w:val="00BD1D0A"/>
    <w:rsid w:val="00BD1D4E"/>
    <w:rsid w:val="00BD1EA8"/>
    <w:rsid w:val="00BD286F"/>
    <w:rsid w:val="00BD2ADB"/>
    <w:rsid w:val="00BD2C17"/>
    <w:rsid w:val="00BD2D75"/>
    <w:rsid w:val="00BD2E93"/>
    <w:rsid w:val="00BD35C8"/>
    <w:rsid w:val="00BD36AC"/>
    <w:rsid w:val="00BD3E4E"/>
    <w:rsid w:val="00BD46CE"/>
    <w:rsid w:val="00BD4837"/>
    <w:rsid w:val="00BD4A2D"/>
    <w:rsid w:val="00BD4AD1"/>
    <w:rsid w:val="00BD52C6"/>
    <w:rsid w:val="00BD53A6"/>
    <w:rsid w:val="00BD5BCB"/>
    <w:rsid w:val="00BD5BFB"/>
    <w:rsid w:val="00BD5C95"/>
    <w:rsid w:val="00BD6DA7"/>
    <w:rsid w:val="00BD6E4E"/>
    <w:rsid w:val="00BD6E75"/>
    <w:rsid w:val="00BD78EB"/>
    <w:rsid w:val="00BE0447"/>
    <w:rsid w:val="00BE0A95"/>
    <w:rsid w:val="00BE0F22"/>
    <w:rsid w:val="00BE115A"/>
    <w:rsid w:val="00BE120B"/>
    <w:rsid w:val="00BE1674"/>
    <w:rsid w:val="00BE175C"/>
    <w:rsid w:val="00BE1831"/>
    <w:rsid w:val="00BE188E"/>
    <w:rsid w:val="00BE19AC"/>
    <w:rsid w:val="00BE1FBB"/>
    <w:rsid w:val="00BE206F"/>
    <w:rsid w:val="00BE2491"/>
    <w:rsid w:val="00BE2934"/>
    <w:rsid w:val="00BE2B14"/>
    <w:rsid w:val="00BE3199"/>
    <w:rsid w:val="00BE37C6"/>
    <w:rsid w:val="00BE39C4"/>
    <w:rsid w:val="00BE4513"/>
    <w:rsid w:val="00BE4BA1"/>
    <w:rsid w:val="00BE4BBD"/>
    <w:rsid w:val="00BE5554"/>
    <w:rsid w:val="00BE5569"/>
    <w:rsid w:val="00BE57F3"/>
    <w:rsid w:val="00BE5AD3"/>
    <w:rsid w:val="00BE5E68"/>
    <w:rsid w:val="00BE64B1"/>
    <w:rsid w:val="00BE6547"/>
    <w:rsid w:val="00BE67A8"/>
    <w:rsid w:val="00BE683F"/>
    <w:rsid w:val="00BE6A59"/>
    <w:rsid w:val="00BE73FF"/>
    <w:rsid w:val="00BE7815"/>
    <w:rsid w:val="00BE79AB"/>
    <w:rsid w:val="00BE7A29"/>
    <w:rsid w:val="00BE7D6F"/>
    <w:rsid w:val="00BF04A6"/>
    <w:rsid w:val="00BF07B9"/>
    <w:rsid w:val="00BF0C91"/>
    <w:rsid w:val="00BF0FE4"/>
    <w:rsid w:val="00BF18D1"/>
    <w:rsid w:val="00BF1E9B"/>
    <w:rsid w:val="00BF1FAA"/>
    <w:rsid w:val="00BF1FDB"/>
    <w:rsid w:val="00BF2448"/>
    <w:rsid w:val="00BF2829"/>
    <w:rsid w:val="00BF2DFC"/>
    <w:rsid w:val="00BF30CB"/>
    <w:rsid w:val="00BF3789"/>
    <w:rsid w:val="00BF37D8"/>
    <w:rsid w:val="00BF39C0"/>
    <w:rsid w:val="00BF3A19"/>
    <w:rsid w:val="00BF4173"/>
    <w:rsid w:val="00BF42F5"/>
    <w:rsid w:val="00BF44DE"/>
    <w:rsid w:val="00BF47CC"/>
    <w:rsid w:val="00BF48B5"/>
    <w:rsid w:val="00BF4A03"/>
    <w:rsid w:val="00BF4A9A"/>
    <w:rsid w:val="00BF4D20"/>
    <w:rsid w:val="00BF5BBF"/>
    <w:rsid w:val="00BF5C29"/>
    <w:rsid w:val="00BF5D9D"/>
    <w:rsid w:val="00BF6ED1"/>
    <w:rsid w:val="00BF6F9C"/>
    <w:rsid w:val="00BF702F"/>
    <w:rsid w:val="00BF71E8"/>
    <w:rsid w:val="00BF7382"/>
    <w:rsid w:val="00BF7497"/>
    <w:rsid w:val="00BF75D0"/>
    <w:rsid w:val="00BF7A18"/>
    <w:rsid w:val="00BF7A66"/>
    <w:rsid w:val="00BF7E78"/>
    <w:rsid w:val="00C000A1"/>
    <w:rsid w:val="00C004D1"/>
    <w:rsid w:val="00C00988"/>
    <w:rsid w:val="00C00D4E"/>
    <w:rsid w:val="00C00EBD"/>
    <w:rsid w:val="00C01312"/>
    <w:rsid w:val="00C01328"/>
    <w:rsid w:val="00C02092"/>
    <w:rsid w:val="00C02488"/>
    <w:rsid w:val="00C02550"/>
    <w:rsid w:val="00C027D6"/>
    <w:rsid w:val="00C028B5"/>
    <w:rsid w:val="00C0290C"/>
    <w:rsid w:val="00C02E23"/>
    <w:rsid w:val="00C02EB0"/>
    <w:rsid w:val="00C0329F"/>
    <w:rsid w:val="00C0333B"/>
    <w:rsid w:val="00C0344F"/>
    <w:rsid w:val="00C03769"/>
    <w:rsid w:val="00C03B1E"/>
    <w:rsid w:val="00C04117"/>
    <w:rsid w:val="00C04204"/>
    <w:rsid w:val="00C04380"/>
    <w:rsid w:val="00C048A1"/>
    <w:rsid w:val="00C04E8E"/>
    <w:rsid w:val="00C0527F"/>
    <w:rsid w:val="00C05805"/>
    <w:rsid w:val="00C059DD"/>
    <w:rsid w:val="00C059F6"/>
    <w:rsid w:val="00C064C7"/>
    <w:rsid w:val="00C065E6"/>
    <w:rsid w:val="00C069D3"/>
    <w:rsid w:val="00C06D53"/>
    <w:rsid w:val="00C06E47"/>
    <w:rsid w:val="00C06E5A"/>
    <w:rsid w:val="00C0700B"/>
    <w:rsid w:val="00C07181"/>
    <w:rsid w:val="00C075CB"/>
    <w:rsid w:val="00C077BD"/>
    <w:rsid w:val="00C07856"/>
    <w:rsid w:val="00C0788D"/>
    <w:rsid w:val="00C07CEB"/>
    <w:rsid w:val="00C10792"/>
    <w:rsid w:val="00C1093E"/>
    <w:rsid w:val="00C10C13"/>
    <w:rsid w:val="00C10F92"/>
    <w:rsid w:val="00C11257"/>
    <w:rsid w:val="00C114D4"/>
    <w:rsid w:val="00C1152F"/>
    <w:rsid w:val="00C116F5"/>
    <w:rsid w:val="00C11BD0"/>
    <w:rsid w:val="00C11E6B"/>
    <w:rsid w:val="00C12094"/>
    <w:rsid w:val="00C12985"/>
    <w:rsid w:val="00C12EFE"/>
    <w:rsid w:val="00C1353E"/>
    <w:rsid w:val="00C140DD"/>
    <w:rsid w:val="00C142C7"/>
    <w:rsid w:val="00C14369"/>
    <w:rsid w:val="00C1450D"/>
    <w:rsid w:val="00C14ABE"/>
    <w:rsid w:val="00C14C70"/>
    <w:rsid w:val="00C14DA2"/>
    <w:rsid w:val="00C15087"/>
    <w:rsid w:val="00C153A9"/>
    <w:rsid w:val="00C15464"/>
    <w:rsid w:val="00C15469"/>
    <w:rsid w:val="00C156AA"/>
    <w:rsid w:val="00C15849"/>
    <w:rsid w:val="00C158C9"/>
    <w:rsid w:val="00C15D0D"/>
    <w:rsid w:val="00C15FDF"/>
    <w:rsid w:val="00C161A8"/>
    <w:rsid w:val="00C161F6"/>
    <w:rsid w:val="00C1697E"/>
    <w:rsid w:val="00C16C34"/>
    <w:rsid w:val="00C16F92"/>
    <w:rsid w:val="00C17345"/>
    <w:rsid w:val="00C17358"/>
    <w:rsid w:val="00C175CC"/>
    <w:rsid w:val="00C17881"/>
    <w:rsid w:val="00C20021"/>
    <w:rsid w:val="00C2061C"/>
    <w:rsid w:val="00C20659"/>
    <w:rsid w:val="00C20A1F"/>
    <w:rsid w:val="00C20B0B"/>
    <w:rsid w:val="00C20E36"/>
    <w:rsid w:val="00C20F34"/>
    <w:rsid w:val="00C2150D"/>
    <w:rsid w:val="00C21C1F"/>
    <w:rsid w:val="00C22581"/>
    <w:rsid w:val="00C228C6"/>
    <w:rsid w:val="00C22CAD"/>
    <w:rsid w:val="00C230B0"/>
    <w:rsid w:val="00C234DB"/>
    <w:rsid w:val="00C239BA"/>
    <w:rsid w:val="00C23AE7"/>
    <w:rsid w:val="00C23DDD"/>
    <w:rsid w:val="00C23F8A"/>
    <w:rsid w:val="00C2431F"/>
    <w:rsid w:val="00C24457"/>
    <w:rsid w:val="00C2463F"/>
    <w:rsid w:val="00C24803"/>
    <w:rsid w:val="00C248CE"/>
    <w:rsid w:val="00C24C5F"/>
    <w:rsid w:val="00C24E14"/>
    <w:rsid w:val="00C24EAD"/>
    <w:rsid w:val="00C25057"/>
    <w:rsid w:val="00C2521C"/>
    <w:rsid w:val="00C25375"/>
    <w:rsid w:val="00C25438"/>
    <w:rsid w:val="00C25650"/>
    <w:rsid w:val="00C25720"/>
    <w:rsid w:val="00C25981"/>
    <w:rsid w:val="00C25CD7"/>
    <w:rsid w:val="00C26A51"/>
    <w:rsid w:val="00C26D46"/>
    <w:rsid w:val="00C26FE4"/>
    <w:rsid w:val="00C27427"/>
    <w:rsid w:val="00C27593"/>
    <w:rsid w:val="00C275AA"/>
    <w:rsid w:val="00C27709"/>
    <w:rsid w:val="00C27A09"/>
    <w:rsid w:val="00C27AD9"/>
    <w:rsid w:val="00C27FCF"/>
    <w:rsid w:val="00C30321"/>
    <w:rsid w:val="00C3035E"/>
    <w:rsid w:val="00C309C3"/>
    <w:rsid w:val="00C312CE"/>
    <w:rsid w:val="00C31724"/>
    <w:rsid w:val="00C31AD7"/>
    <w:rsid w:val="00C31AEA"/>
    <w:rsid w:val="00C31CF2"/>
    <w:rsid w:val="00C31EB2"/>
    <w:rsid w:val="00C3218D"/>
    <w:rsid w:val="00C32657"/>
    <w:rsid w:val="00C32AB1"/>
    <w:rsid w:val="00C32E3D"/>
    <w:rsid w:val="00C32EA5"/>
    <w:rsid w:val="00C3321E"/>
    <w:rsid w:val="00C336C6"/>
    <w:rsid w:val="00C3378C"/>
    <w:rsid w:val="00C341C4"/>
    <w:rsid w:val="00C343DE"/>
    <w:rsid w:val="00C34798"/>
    <w:rsid w:val="00C347DF"/>
    <w:rsid w:val="00C349A8"/>
    <w:rsid w:val="00C34F9E"/>
    <w:rsid w:val="00C354D6"/>
    <w:rsid w:val="00C35C32"/>
    <w:rsid w:val="00C363B3"/>
    <w:rsid w:val="00C366B3"/>
    <w:rsid w:val="00C36BA8"/>
    <w:rsid w:val="00C36C85"/>
    <w:rsid w:val="00C36FBE"/>
    <w:rsid w:val="00C37223"/>
    <w:rsid w:val="00C37250"/>
    <w:rsid w:val="00C37704"/>
    <w:rsid w:val="00C377FF"/>
    <w:rsid w:val="00C37997"/>
    <w:rsid w:val="00C37B79"/>
    <w:rsid w:val="00C37CA4"/>
    <w:rsid w:val="00C37F6C"/>
    <w:rsid w:val="00C407CE"/>
    <w:rsid w:val="00C40D40"/>
    <w:rsid w:val="00C40D95"/>
    <w:rsid w:val="00C41006"/>
    <w:rsid w:val="00C410E6"/>
    <w:rsid w:val="00C41A1E"/>
    <w:rsid w:val="00C41CD3"/>
    <w:rsid w:val="00C41D4C"/>
    <w:rsid w:val="00C41D60"/>
    <w:rsid w:val="00C42040"/>
    <w:rsid w:val="00C42759"/>
    <w:rsid w:val="00C428DB"/>
    <w:rsid w:val="00C43DFA"/>
    <w:rsid w:val="00C43F0C"/>
    <w:rsid w:val="00C445A3"/>
    <w:rsid w:val="00C44B97"/>
    <w:rsid w:val="00C45019"/>
    <w:rsid w:val="00C454D0"/>
    <w:rsid w:val="00C45890"/>
    <w:rsid w:val="00C459FB"/>
    <w:rsid w:val="00C45DE7"/>
    <w:rsid w:val="00C46031"/>
    <w:rsid w:val="00C46787"/>
    <w:rsid w:val="00C46C0D"/>
    <w:rsid w:val="00C47229"/>
    <w:rsid w:val="00C474B9"/>
    <w:rsid w:val="00C47516"/>
    <w:rsid w:val="00C476E8"/>
    <w:rsid w:val="00C47DE7"/>
    <w:rsid w:val="00C47E6A"/>
    <w:rsid w:val="00C50027"/>
    <w:rsid w:val="00C50072"/>
    <w:rsid w:val="00C50302"/>
    <w:rsid w:val="00C503F2"/>
    <w:rsid w:val="00C50C46"/>
    <w:rsid w:val="00C51240"/>
    <w:rsid w:val="00C512F9"/>
    <w:rsid w:val="00C5143C"/>
    <w:rsid w:val="00C51543"/>
    <w:rsid w:val="00C5295C"/>
    <w:rsid w:val="00C52A31"/>
    <w:rsid w:val="00C52B6E"/>
    <w:rsid w:val="00C52F59"/>
    <w:rsid w:val="00C53054"/>
    <w:rsid w:val="00C536C9"/>
    <w:rsid w:val="00C5377E"/>
    <w:rsid w:val="00C53D6A"/>
    <w:rsid w:val="00C53DF6"/>
    <w:rsid w:val="00C542B3"/>
    <w:rsid w:val="00C542BD"/>
    <w:rsid w:val="00C54307"/>
    <w:rsid w:val="00C547AE"/>
    <w:rsid w:val="00C54E03"/>
    <w:rsid w:val="00C55253"/>
    <w:rsid w:val="00C552CC"/>
    <w:rsid w:val="00C55439"/>
    <w:rsid w:val="00C55929"/>
    <w:rsid w:val="00C55C17"/>
    <w:rsid w:val="00C56030"/>
    <w:rsid w:val="00C562A4"/>
    <w:rsid w:val="00C562D3"/>
    <w:rsid w:val="00C567A0"/>
    <w:rsid w:val="00C56B7E"/>
    <w:rsid w:val="00C56D71"/>
    <w:rsid w:val="00C570B9"/>
    <w:rsid w:val="00C57237"/>
    <w:rsid w:val="00C5739C"/>
    <w:rsid w:val="00C575BF"/>
    <w:rsid w:val="00C57B7E"/>
    <w:rsid w:val="00C6032B"/>
    <w:rsid w:val="00C603D9"/>
    <w:rsid w:val="00C607AD"/>
    <w:rsid w:val="00C608A4"/>
    <w:rsid w:val="00C60E95"/>
    <w:rsid w:val="00C610A0"/>
    <w:rsid w:val="00C61416"/>
    <w:rsid w:val="00C61555"/>
    <w:rsid w:val="00C6165B"/>
    <w:rsid w:val="00C61687"/>
    <w:rsid w:val="00C6172C"/>
    <w:rsid w:val="00C61866"/>
    <w:rsid w:val="00C61A48"/>
    <w:rsid w:val="00C61B47"/>
    <w:rsid w:val="00C61C6B"/>
    <w:rsid w:val="00C6282B"/>
    <w:rsid w:val="00C630C3"/>
    <w:rsid w:val="00C634F5"/>
    <w:rsid w:val="00C63761"/>
    <w:rsid w:val="00C63955"/>
    <w:rsid w:val="00C63ACF"/>
    <w:rsid w:val="00C63BF6"/>
    <w:rsid w:val="00C642C9"/>
    <w:rsid w:val="00C6453B"/>
    <w:rsid w:val="00C647CE"/>
    <w:rsid w:val="00C648D4"/>
    <w:rsid w:val="00C651E7"/>
    <w:rsid w:val="00C657E6"/>
    <w:rsid w:val="00C659AA"/>
    <w:rsid w:val="00C65BF2"/>
    <w:rsid w:val="00C65BF7"/>
    <w:rsid w:val="00C65DF5"/>
    <w:rsid w:val="00C665FE"/>
    <w:rsid w:val="00C666E1"/>
    <w:rsid w:val="00C66A49"/>
    <w:rsid w:val="00C66ABB"/>
    <w:rsid w:val="00C66DBE"/>
    <w:rsid w:val="00C66F44"/>
    <w:rsid w:val="00C66FAD"/>
    <w:rsid w:val="00C67BA8"/>
    <w:rsid w:val="00C67F3B"/>
    <w:rsid w:val="00C70264"/>
    <w:rsid w:val="00C702DA"/>
    <w:rsid w:val="00C70380"/>
    <w:rsid w:val="00C706C8"/>
    <w:rsid w:val="00C70DA2"/>
    <w:rsid w:val="00C70F5B"/>
    <w:rsid w:val="00C71533"/>
    <w:rsid w:val="00C719B3"/>
    <w:rsid w:val="00C71BF5"/>
    <w:rsid w:val="00C71C60"/>
    <w:rsid w:val="00C71CA2"/>
    <w:rsid w:val="00C71D9B"/>
    <w:rsid w:val="00C71F3F"/>
    <w:rsid w:val="00C71F4D"/>
    <w:rsid w:val="00C71FEB"/>
    <w:rsid w:val="00C72237"/>
    <w:rsid w:val="00C7227D"/>
    <w:rsid w:val="00C722A5"/>
    <w:rsid w:val="00C72392"/>
    <w:rsid w:val="00C7266B"/>
    <w:rsid w:val="00C726D7"/>
    <w:rsid w:val="00C72714"/>
    <w:rsid w:val="00C727F2"/>
    <w:rsid w:val="00C729EE"/>
    <w:rsid w:val="00C72C03"/>
    <w:rsid w:val="00C731DF"/>
    <w:rsid w:val="00C7395E"/>
    <w:rsid w:val="00C746E3"/>
    <w:rsid w:val="00C74B64"/>
    <w:rsid w:val="00C74D40"/>
    <w:rsid w:val="00C750B5"/>
    <w:rsid w:val="00C752C4"/>
    <w:rsid w:val="00C75419"/>
    <w:rsid w:val="00C75509"/>
    <w:rsid w:val="00C757DF"/>
    <w:rsid w:val="00C758B0"/>
    <w:rsid w:val="00C759B8"/>
    <w:rsid w:val="00C75AC5"/>
    <w:rsid w:val="00C75ACC"/>
    <w:rsid w:val="00C75ADC"/>
    <w:rsid w:val="00C75CBE"/>
    <w:rsid w:val="00C75EB5"/>
    <w:rsid w:val="00C75FAA"/>
    <w:rsid w:val="00C7632A"/>
    <w:rsid w:val="00C7655F"/>
    <w:rsid w:val="00C766CF"/>
    <w:rsid w:val="00C768B9"/>
    <w:rsid w:val="00C76C19"/>
    <w:rsid w:val="00C76F1B"/>
    <w:rsid w:val="00C77841"/>
    <w:rsid w:val="00C77B8D"/>
    <w:rsid w:val="00C77E63"/>
    <w:rsid w:val="00C80221"/>
    <w:rsid w:val="00C80CDD"/>
    <w:rsid w:val="00C8170A"/>
    <w:rsid w:val="00C81AD9"/>
    <w:rsid w:val="00C81CD2"/>
    <w:rsid w:val="00C81F03"/>
    <w:rsid w:val="00C820E1"/>
    <w:rsid w:val="00C8212E"/>
    <w:rsid w:val="00C825B0"/>
    <w:rsid w:val="00C82BB2"/>
    <w:rsid w:val="00C82C27"/>
    <w:rsid w:val="00C82D12"/>
    <w:rsid w:val="00C82DCE"/>
    <w:rsid w:val="00C839E8"/>
    <w:rsid w:val="00C839FF"/>
    <w:rsid w:val="00C8404E"/>
    <w:rsid w:val="00C84107"/>
    <w:rsid w:val="00C841A9"/>
    <w:rsid w:val="00C8428A"/>
    <w:rsid w:val="00C8467B"/>
    <w:rsid w:val="00C846AD"/>
    <w:rsid w:val="00C8470B"/>
    <w:rsid w:val="00C84927"/>
    <w:rsid w:val="00C85502"/>
    <w:rsid w:val="00C85962"/>
    <w:rsid w:val="00C85978"/>
    <w:rsid w:val="00C86035"/>
    <w:rsid w:val="00C86B24"/>
    <w:rsid w:val="00C86BF0"/>
    <w:rsid w:val="00C86DCB"/>
    <w:rsid w:val="00C86E78"/>
    <w:rsid w:val="00C87026"/>
    <w:rsid w:val="00C873B1"/>
    <w:rsid w:val="00C87793"/>
    <w:rsid w:val="00C8779D"/>
    <w:rsid w:val="00C87CE0"/>
    <w:rsid w:val="00C87D41"/>
    <w:rsid w:val="00C87DCF"/>
    <w:rsid w:val="00C90078"/>
    <w:rsid w:val="00C90644"/>
    <w:rsid w:val="00C909A9"/>
    <w:rsid w:val="00C90AE5"/>
    <w:rsid w:val="00C90CAA"/>
    <w:rsid w:val="00C90CAF"/>
    <w:rsid w:val="00C90F52"/>
    <w:rsid w:val="00C91363"/>
    <w:rsid w:val="00C9188B"/>
    <w:rsid w:val="00C91945"/>
    <w:rsid w:val="00C91A3A"/>
    <w:rsid w:val="00C91AF5"/>
    <w:rsid w:val="00C91CEC"/>
    <w:rsid w:val="00C91E6D"/>
    <w:rsid w:val="00C925BC"/>
    <w:rsid w:val="00C9261B"/>
    <w:rsid w:val="00C9283E"/>
    <w:rsid w:val="00C92B43"/>
    <w:rsid w:val="00C92C60"/>
    <w:rsid w:val="00C92F4A"/>
    <w:rsid w:val="00C92F60"/>
    <w:rsid w:val="00C93178"/>
    <w:rsid w:val="00C933B4"/>
    <w:rsid w:val="00C9355C"/>
    <w:rsid w:val="00C935A8"/>
    <w:rsid w:val="00C93672"/>
    <w:rsid w:val="00C93FC6"/>
    <w:rsid w:val="00C9415F"/>
    <w:rsid w:val="00C94235"/>
    <w:rsid w:val="00C94584"/>
    <w:rsid w:val="00C9470E"/>
    <w:rsid w:val="00C9471E"/>
    <w:rsid w:val="00C94CA6"/>
    <w:rsid w:val="00C94E1B"/>
    <w:rsid w:val="00C94FAE"/>
    <w:rsid w:val="00C94FBC"/>
    <w:rsid w:val="00C95206"/>
    <w:rsid w:val="00C9531A"/>
    <w:rsid w:val="00C956F9"/>
    <w:rsid w:val="00C95739"/>
    <w:rsid w:val="00C95B95"/>
    <w:rsid w:val="00C95CAB"/>
    <w:rsid w:val="00C95E8C"/>
    <w:rsid w:val="00C9611A"/>
    <w:rsid w:val="00C96BD7"/>
    <w:rsid w:val="00C96D72"/>
    <w:rsid w:val="00C97525"/>
    <w:rsid w:val="00C975E7"/>
    <w:rsid w:val="00C976CA"/>
    <w:rsid w:val="00C976D2"/>
    <w:rsid w:val="00C979AC"/>
    <w:rsid w:val="00C979CE"/>
    <w:rsid w:val="00C97E36"/>
    <w:rsid w:val="00CA0968"/>
    <w:rsid w:val="00CA0C8F"/>
    <w:rsid w:val="00CA0FAC"/>
    <w:rsid w:val="00CA1054"/>
    <w:rsid w:val="00CA135E"/>
    <w:rsid w:val="00CA1516"/>
    <w:rsid w:val="00CA205B"/>
    <w:rsid w:val="00CA217F"/>
    <w:rsid w:val="00CA22DE"/>
    <w:rsid w:val="00CA28E8"/>
    <w:rsid w:val="00CA2A04"/>
    <w:rsid w:val="00CA2B33"/>
    <w:rsid w:val="00CA2DB0"/>
    <w:rsid w:val="00CA2DB3"/>
    <w:rsid w:val="00CA3166"/>
    <w:rsid w:val="00CA317F"/>
    <w:rsid w:val="00CA32F0"/>
    <w:rsid w:val="00CA3959"/>
    <w:rsid w:val="00CA39EE"/>
    <w:rsid w:val="00CA3C33"/>
    <w:rsid w:val="00CA3DFC"/>
    <w:rsid w:val="00CA4321"/>
    <w:rsid w:val="00CA4BDC"/>
    <w:rsid w:val="00CA4DC3"/>
    <w:rsid w:val="00CA5772"/>
    <w:rsid w:val="00CA57A8"/>
    <w:rsid w:val="00CA57D5"/>
    <w:rsid w:val="00CA5E1B"/>
    <w:rsid w:val="00CA6183"/>
    <w:rsid w:val="00CA64F0"/>
    <w:rsid w:val="00CA6C6F"/>
    <w:rsid w:val="00CA6D07"/>
    <w:rsid w:val="00CA6F23"/>
    <w:rsid w:val="00CA7516"/>
    <w:rsid w:val="00CB0083"/>
    <w:rsid w:val="00CB060D"/>
    <w:rsid w:val="00CB0664"/>
    <w:rsid w:val="00CB0789"/>
    <w:rsid w:val="00CB08B5"/>
    <w:rsid w:val="00CB0B87"/>
    <w:rsid w:val="00CB0C85"/>
    <w:rsid w:val="00CB0EFF"/>
    <w:rsid w:val="00CB0F06"/>
    <w:rsid w:val="00CB1006"/>
    <w:rsid w:val="00CB126D"/>
    <w:rsid w:val="00CB143F"/>
    <w:rsid w:val="00CB16A5"/>
    <w:rsid w:val="00CB1B37"/>
    <w:rsid w:val="00CB2076"/>
    <w:rsid w:val="00CB2540"/>
    <w:rsid w:val="00CB2A28"/>
    <w:rsid w:val="00CB2A85"/>
    <w:rsid w:val="00CB2D4E"/>
    <w:rsid w:val="00CB2DD1"/>
    <w:rsid w:val="00CB30F9"/>
    <w:rsid w:val="00CB33DA"/>
    <w:rsid w:val="00CB3407"/>
    <w:rsid w:val="00CB3703"/>
    <w:rsid w:val="00CB3ACE"/>
    <w:rsid w:val="00CB3CA2"/>
    <w:rsid w:val="00CB3EDE"/>
    <w:rsid w:val="00CB3F12"/>
    <w:rsid w:val="00CB4D01"/>
    <w:rsid w:val="00CB4E45"/>
    <w:rsid w:val="00CB5B68"/>
    <w:rsid w:val="00CB5C18"/>
    <w:rsid w:val="00CB5D6B"/>
    <w:rsid w:val="00CB5DEC"/>
    <w:rsid w:val="00CB5F1C"/>
    <w:rsid w:val="00CB66DD"/>
    <w:rsid w:val="00CB67B6"/>
    <w:rsid w:val="00CB6A9F"/>
    <w:rsid w:val="00CB72A2"/>
    <w:rsid w:val="00CB7374"/>
    <w:rsid w:val="00CB73FD"/>
    <w:rsid w:val="00CB7609"/>
    <w:rsid w:val="00CB798A"/>
    <w:rsid w:val="00CB7BC6"/>
    <w:rsid w:val="00CB7F73"/>
    <w:rsid w:val="00CC03CA"/>
    <w:rsid w:val="00CC0418"/>
    <w:rsid w:val="00CC0605"/>
    <w:rsid w:val="00CC0C08"/>
    <w:rsid w:val="00CC0D6E"/>
    <w:rsid w:val="00CC0EA4"/>
    <w:rsid w:val="00CC0F37"/>
    <w:rsid w:val="00CC0FE9"/>
    <w:rsid w:val="00CC1061"/>
    <w:rsid w:val="00CC14CA"/>
    <w:rsid w:val="00CC1B96"/>
    <w:rsid w:val="00CC2611"/>
    <w:rsid w:val="00CC2ECF"/>
    <w:rsid w:val="00CC3113"/>
    <w:rsid w:val="00CC3284"/>
    <w:rsid w:val="00CC3364"/>
    <w:rsid w:val="00CC359F"/>
    <w:rsid w:val="00CC372A"/>
    <w:rsid w:val="00CC3824"/>
    <w:rsid w:val="00CC3CB7"/>
    <w:rsid w:val="00CC46C7"/>
    <w:rsid w:val="00CC473E"/>
    <w:rsid w:val="00CC5343"/>
    <w:rsid w:val="00CC5437"/>
    <w:rsid w:val="00CC5755"/>
    <w:rsid w:val="00CC579E"/>
    <w:rsid w:val="00CC5969"/>
    <w:rsid w:val="00CC64D0"/>
    <w:rsid w:val="00CC6553"/>
    <w:rsid w:val="00CC66A9"/>
    <w:rsid w:val="00CC67B0"/>
    <w:rsid w:val="00CC6B43"/>
    <w:rsid w:val="00CC6DD6"/>
    <w:rsid w:val="00CC6EBD"/>
    <w:rsid w:val="00CC6F19"/>
    <w:rsid w:val="00CC6F70"/>
    <w:rsid w:val="00CC7511"/>
    <w:rsid w:val="00CC751B"/>
    <w:rsid w:val="00CC77EA"/>
    <w:rsid w:val="00CC7916"/>
    <w:rsid w:val="00CC7974"/>
    <w:rsid w:val="00CD00C6"/>
    <w:rsid w:val="00CD061F"/>
    <w:rsid w:val="00CD0788"/>
    <w:rsid w:val="00CD0909"/>
    <w:rsid w:val="00CD10AC"/>
    <w:rsid w:val="00CD10C6"/>
    <w:rsid w:val="00CD11DF"/>
    <w:rsid w:val="00CD120A"/>
    <w:rsid w:val="00CD18A9"/>
    <w:rsid w:val="00CD2330"/>
    <w:rsid w:val="00CD2507"/>
    <w:rsid w:val="00CD29A9"/>
    <w:rsid w:val="00CD2A57"/>
    <w:rsid w:val="00CD2D0D"/>
    <w:rsid w:val="00CD30F7"/>
    <w:rsid w:val="00CD437B"/>
    <w:rsid w:val="00CD43C7"/>
    <w:rsid w:val="00CD43D2"/>
    <w:rsid w:val="00CD4E75"/>
    <w:rsid w:val="00CD58E4"/>
    <w:rsid w:val="00CD5A6A"/>
    <w:rsid w:val="00CD5D2F"/>
    <w:rsid w:val="00CD5EE6"/>
    <w:rsid w:val="00CD616C"/>
    <w:rsid w:val="00CD6287"/>
    <w:rsid w:val="00CD62DA"/>
    <w:rsid w:val="00CD646E"/>
    <w:rsid w:val="00CD676D"/>
    <w:rsid w:val="00CD6A05"/>
    <w:rsid w:val="00CD72E7"/>
    <w:rsid w:val="00CD7441"/>
    <w:rsid w:val="00CD7488"/>
    <w:rsid w:val="00CD76C0"/>
    <w:rsid w:val="00CE0BF5"/>
    <w:rsid w:val="00CE0C57"/>
    <w:rsid w:val="00CE0F0A"/>
    <w:rsid w:val="00CE10FC"/>
    <w:rsid w:val="00CE11E7"/>
    <w:rsid w:val="00CE13B3"/>
    <w:rsid w:val="00CE15FB"/>
    <w:rsid w:val="00CE16BB"/>
    <w:rsid w:val="00CE1736"/>
    <w:rsid w:val="00CE1CEE"/>
    <w:rsid w:val="00CE23C3"/>
    <w:rsid w:val="00CE23D9"/>
    <w:rsid w:val="00CE271D"/>
    <w:rsid w:val="00CE28E3"/>
    <w:rsid w:val="00CE2914"/>
    <w:rsid w:val="00CE291F"/>
    <w:rsid w:val="00CE2998"/>
    <w:rsid w:val="00CE2A77"/>
    <w:rsid w:val="00CE3236"/>
    <w:rsid w:val="00CE3BA6"/>
    <w:rsid w:val="00CE3BF1"/>
    <w:rsid w:val="00CE42B9"/>
    <w:rsid w:val="00CE4311"/>
    <w:rsid w:val="00CE44A8"/>
    <w:rsid w:val="00CE4521"/>
    <w:rsid w:val="00CE486B"/>
    <w:rsid w:val="00CE4BA7"/>
    <w:rsid w:val="00CE5022"/>
    <w:rsid w:val="00CE50F6"/>
    <w:rsid w:val="00CE5EEC"/>
    <w:rsid w:val="00CE620D"/>
    <w:rsid w:val="00CE68BD"/>
    <w:rsid w:val="00CE6BAA"/>
    <w:rsid w:val="00CE6C0C"/>
    <w:rsid w:val="00CE6EE6"/>
    <w:rsid w:val="00CE7045"/>
    <w:rsid w:val="00CE7270"/>
    <w:rsid w:val="00CE742E"/>
    <w:rsid w:val="00CE7615"/>
    <w:rsid w:val="00CE786C"/>
    <w:rsid w:val="00CE7B2B"/>
    <w:rsid w:val="00CE7E0E"/>
    <w:rsid w:val="00CF02AC"/>
    <w:rsid w:val="00CF0935"/>
    <w:rsid w:val="00CF0BCA"/>
    <w:rsid w:val="00CF0C00"/>
    <w:rsid w:val="00CF0CB8"/>
    <w:rsid w:val="00CF11F3"/>
    <w:rsid w:val="00CF1B58"/>
    <w:rsid w:val="00CF1C91"/>
    <w:rsid w:val="00CF1E80"/>
    <w:rsid w:val="00CF208C"/>
    <w:rsid w:val="00CF25C7"/>
    <w:rsid w:val="00CF2843"/>
    <w:rsid w:val="00CF2876"/>
    <w:rsid w:val="00CF2981"/>
    <w:rsid w:val="00CF29F4"/>
    <w:rsid w:val="00CF29F5"/>
    <w:rsid w:val="00CF2AFD"/>
    <w:rsid w:val="00CF2DA5"/>
    <w:rsid w:val="00CF2EBC"/>
    <w:rsid w:val="00CF3135"/>
    <w:rsid w:val="00CF40E7"/>
    <w:rsid w:val="00CF4142"/>
    <w:rsid w:val="00CF42E2"/>
    <w:rsid w:val="00CF45A6"/>
    <w:rsid w:val="00CF47AE"/>
    <w:rsid w:val="00CF498F"/>
    <w:rsid w:val="00CF4BEB"/>
    <w:rsid w:val="00CF4D91"/>
    <w:rsid w:val="00CF4F41"/>
    <w:rsid w:val="00CF4F81"/>
    <w:rsid w:val="00CF52FB"/>
    <w:rsid w:val="00CF53B1"/>
    <w:rsid w:val="00CF5437"/>
    <w:rsid w:val="00CF5B3C"/>
    <w:rsid w:val="00CF6406"/>
    <w:rsid w:val="00CF6CA7"/>
    <w:rsid w:val="00CF6FCD"/>
    <w:rsid w:val="00CF714D"/>
    <w:rsid w:val="00CF77D3"/>
    <w:rsid w:val="00CF7998"/>
    <w:rsid w:val="00D004D9"/>
    <w:rsid w:val="00D006DC"/>
    <w:rsid w:val="00D00936"/>
    <w:rsid w:val="00D00A39"/>
    <w:rsid w:val="00D01066"/>
    <w:rsid w:val="00D01438"/>
    <w:rsid w:val="00D01B52"/>
    <w:rsid w:val="00D01F74"/>
    <w:rsid w:val="00D01FCA"/>
    <w:rsid w:val="00D023AA"/>
    <w:rsid w:val="00D02586"/>
    <w:rsid w:val="00D025DD"/>
    <w:rsid w:val="00D026D2"/>
    <w:rsid w:val="00D02973"/>
    <w:rsid w:val="00D02A14"/>
    <w:rsid w:val="00D033B0"/>
    <w:rsid w:val="00D0379D"/>
    <w:rsid w:val="00D03C1E"/>
    <w:rsid w:val="00D03D11"/>
    <w:rsid w:val="00D03D61"/>
    <w:rsid w:val="00D0493D"/>
    <w:rsid w:val="00D049AD"/>
    <w:rsid w:val="00D04A71"/>
    <w:rsid w:val="00D050BC"/>
    <w:rsid w:val="00D0521C"/>
    <w:rsid w:val="00D05638"/>
    <w:rsid w:val="00D057D7"/>
    <w:rsid w:val="00D0581F"/>
    <w:rsid w:val="00D0660A"/>
    <w:rsid w:val="00D0672A"/>
    <w:rsid w:val="00D06CFE"/>
    <w:rsid w:val="00D06F81"/>
    <w:rsid w:val="00D0736A"/>
    <w:rsid w:val="00D07566"/>
    <w:rsid w:val="00D07BBE"/>
    <w:rsid w:val="00D100B1"/>
    <w:rsid w:val="00D109B8"/>
    <w:rsid w:val="00D10C04"/>
    <w:rsid w:val="00D11000"/>
    <w:rsid w:val="00D1106C"/>
    <w:rsid w:val="00D1160F"/>
    <w:rsid w:val="00D11912"/>
    <w:rsid w:val="00D11AD7"/>
    <w:rsid w:val="00D11B4B"/>
    <w:rsid w:val="00D11FF3"/>
    <w:rsid w:val="00D12120"/>
    <w:rsid w:val="00D12985"/>
    <w:rsid w:val="00D12D0A"/>
    <w:rsid w:val="00D12DAC"/>
    <w:rsid w:val="00D12FB2"/>
    <w:rsid w:val="00D139C1"/>
    <w:rsid w:val="00D139C8"/>
    <w:rsid w:val="00D14198"/>
    <w:rsid w:val="00D14800"/>
    <w:rsid w:val="00D14881"/>
    <w:rsid w:val="00D149FA"/>
    <w:rsid w:val="00D14C67"/>
    <w:rsid w:val="00D14DFC"/>
    <w:rsid w:val="00D15531"/>
    <w:rsid w:val="00D15B49"/>
    <w:rsid w:val="00D15B75"/>
    <w:rsid w:val="00D15E2A"/>
    <w:rsid w:val="00D15FA7"/>
    <w:rsid w:val="00D16239"/>
    <w:rsid w:val="00D163A1"/>
    <w:rsid w:val="00D16528"/>
    <w:rsid w:val="00D167DA"/>
    <w:rsid w:val="00D16BB3"/>
    <w:rsid w:val="00D1724C"/>
    <w:rsid w:val="00D17330"/>
    <w:rsid w:val="00D17440"/>
    <w:rsid w:val="00D176D4"/>
    <w:rsid w:val="00D1787E"/>
    <w:rsid w:val="00D201BB"/>
    <w:rsid w:val="00D202AF"/>
    <w:rsid w:val="00D20583"/>
    <w:rsid w:val="00D207D0"/>
    <w:rsid w:val="00D207E9"/>
    <w:rsid w:val="00D20F67"/>
    <w:rsid w:val="00D210CC"/>
    <w:rsid w:val="00D21112"/>
    <w:rsid w:val="00D21A19"/>
    <w:rsid w:val="00D22159"/>
    <w:rsid w:val="00D22289"/>
    <w:rsid w:val="00D2326F"/>
    <w:rsid w:val="00D23362"/>
    <w:rsid w:val="00D2349E"/>
    <w:rsid w:val="00D23657"/>
    <w:rsid w:val="00D23905"/>
    <w:rsid w:val="00D23957"/>
    <w:rsid w:val="00D23EC0"/>
    <w:rsid w:val="00D23F31"/>
    <w:rsid w:val="00D24392"/>
    <w:rsid w:val="00D24598"/>
    <w:rsid w:val="00D24711"/>
    <w:rsid w:val="00D247CB"/>
    <w:rsid w:val="00D24BA4"/>
    <w:rsid w:val="00D24C0C"/>
    <w:rsid w:val="00D25005"/>
    <w:rsid w:val="00D2503D"/>
    <w:rsid w:val="00D25273"/>
    <w:rsid w:val="00D25312"/>
    <w:rsid w:val="00D25531"/>
    <w:rsid w:val="00D25A1F"/>
    <w:rsid w:val="00D25E6E"/>
    <w:rsid w:val="00D260AC"/>
    <w:rsid w:val="00D26331"/>
    <w:rsid w:val="00D26355"/>
    <w:rsid w:val="00D266F8"/>
    <w:rsid w:val="00D26B08"/>
    <w:rsid w:val="00D26B8B"/>
    <w:rsid w:val="00D26CE0"/>
    <w:rsid w:val="00D27D32"/>
    <w:rsid w:val="00D27D9D"/>
    <w:rsid w:val="00D303B4"/>
    <w:rsid w:val="00D304DD"/>
    <w:rsid w:val="00D3055A"/>
    <w:rsid w:val="00D30981"/>
    <w:rsid w:val="00D30AAC"/>
    <w:rsid w:val="00D30B70"/>
    <w:rsid w:val="00D30FA8"/>
    <w:rsid w:val="00D3146A"/>
    <w:rsid w:val="00D315E8"/>
    <w:rsid w:val="00D31937"/>
    <w:rsid w:val="00D320F9"/>
    <w:rsid w:val="00D32192"/>
    <w:rsid w:val="00D322E4"/>
    <w:rsid w:val="00D32339"/>
    <w:rsid w:val="00D32370"/>
    <w:rsid w:val="00D324E1"/>
    <w:rsid w:val="00D324F3"/>
    <w:rsid w:val="00D3256F"/>
    <w:rsid w:val="00D3276B"/>
    <w:rsid w:val="00D32A97"/>
    <w:rsid w:val="00D32CEF"/>
    <w:rsid w:val="00D33161"/>
    <w:rsid w:val="00D33290"/>
    <w:rsid w:val="00D333D0"/>
    <w:rsid w:val="00D33487"/>
    <w:rsid w:val="00D337F2"/>
    <w:rsid w:val="00D34769"/>
    <w:rsid w:val="00D351F8"/>
    <w:rsid w:val="00D3526B"/>
    <w:rsid w:val="00D3582D"/>
    <w:rsid w:val="00D361DF"/>
    <w:rsid w:val="00D3642A"/>
    <w:rsid w:val="00D3657A"/>
    <w:rsid w:val="00D36582"/>
    <w:rsid w:val="00D365E0"/>
    <w:rsid w:val="00D3699A"/>
    <w:rsid w:val="00D36CB7"/>
    <w:rsid w:val="00D374F1"/>
    <w:rsid w:val="00D37A7F"/>
    <w:rsid w:val="00D37BF4"/>
    <w:rsid w:val="00D40004"/>
    <w:rsid w:val="00D4012B"/>
    <w:rsid w:val="00D40217"/>
    <w:rsid w:val="00D40494"/>
    <w:rsid w:val="00D40769"/>
    <w:rsid w:val="00D407BB"/>
    <w:rsid w:val="00D4094F"/>
    <w:rsid w:val="00D40AF4"/>
    <w:rsid w:val="00D40E95"/>
    <w:rsid w:val="00D412A4"/>
    <w:rsid w:val="00D41517"/>
    <w:rsid w:val="00D425F4"/>
    <w:rsid w:val="00D42777"/>
    <w:rsid w:val="00D42CE6"/>
    <w:rsid w:val="00D43679"/>
    <w:rsid w:val="00D4371F"/>
    <w:rsid w:val="00D437AF"/>
    <w:rsid w:val="00D43EFF"/>
    <w:rsid w:val="00D445A3"/>
    <w:rsid w:val="00D446D6"/>
    <w:rsid w:val="00D44DD3"/>
    <w:rsid w:val="00D4531B"/>
    <w:rsid w:val="00D456EB"/>
    <w:rsid w:val="00D45EA3"/>
    <w:rsid w:val="00D460BB"/>
    <w:rsid w:val="00D46A65"/>
    <w:rsid w:val="00D46EA3"/>
    <w:rsid w:val="00D47080"/>
    <w:rsid w:val="00D47555"/>
    <w:rsid w:val="00D476F1"/>
    <w:rsid w:val="00D47749"/>
    <w:rsid w:val="00D478E8"/>
    <w:rsid w:val="00D4796D"/>
    <w:rsid w:val="00D47BE0"/>
    <w:rsid w:val="00D47F4D"/>
    <w:rsid w:val="00D5027A"/>
    <w:rsid w:val="00D50412"/>
    <w:rsid w:val="00D5056A"/>
    <w:rsid w:val="00D50694"/>
    <w:rsid w:val="00D50926"/>
    <w:rsid w:val="00D50D02"/>
    <w:rsid w:val="00D50DB9"/>
    <w:rsid w:val="00D51754"/>
    <w:rsid w:val="00D51766"/>
    <w:rsid w:val="00D51A6B"/>
    <w:rsid w:val="00D51D3D"/>
    <w:rsid w:val="00D51F1A"/>
    <w:rsid w:val="00D51FC6"/>
    <w:rsid w:val="00D51FE4"/>
    <w:rsid w:val="00D5227F"/>
    <w:rsid w:val="00D52307"/>
    <w:rsid w:val="00D5260A"/>
    <w:rsid w:val="00D529BD"/>
    <w:rsid w:val="00D532C0"/>
    <w:rsid w:val="00D533BE"/>
    <w:rsid w:val="00D53594"/>
    <w:rsid w:val="00D5394A"/>
    <w:rsid w:val="00D53D83"/>
    <w:rsid w:val="00D54114"/>
    <w:rsid w:val="00D54259"/>
    <w:rsid w:val="00D54942"/>
    <w:rsid w:val="00D54A80"/>
    <w:rsid w:val="00D54F2C"/>
    <w:rsid w:val="00D552C9"/>
    <w:rsid w:val="00D555AF"/>
    <w:rsid w:val="00D55697"/>
    <w:rsid w:val="00D55AB2"/>
    <w:rsid w:val="00D55D46"/>
    <w:rsid w:val="00D5630A"/>
    <w:rsid w:val="00D56391"/>
    <w:rsid w:val="00D566BA"/>
    <w:rsid w:val="00D569A4"/>
    <w:rsid w:val="00D56A25"/>
    <w:rsid w:val="00D56C07"/>
    <w:rsid w:val="00D56D18"/>
    <w:rsid w:val="00D57029"/>
    <w:rsid w:val="00D572E6"/>
    <w:rsid w:val="00D57549"/>
    <w:rsid w:val="00D578E0"/>
    <w:rsid w:val="00D57AA7"/>
    <w:rsid w:val="00D57BC8"/>
    <w:rsid w:val="00D57D94"/>
    <w:rsid w:val="00D57FA1"/>
    <w:rsid w:val="00D6047A"/>
    <w:rsid w:val="00D606C7"/>
    <w:rsid w:val="00D60AA6"/>
    <w:rsid w:val="00D60D93"/>
    <w:rsid w:val="00D6144A"/>
    <w:rsid w:val="00D61476"/>
    <w:rsid w:val="00D61626"/>
    <w:rsid w:val="00D61C48"/>
    <w:rsid w:val="00D61E6A"/>
    <w:rsid w:val="00D62025"/>
    <w:rsid w:val="00D622E0"/>
    <w:rsid w:val="00D62BAA"/>
    <w:rsid w:val="00D62CED"/>
    <w:rsid w:val="00D62DDD"/>
    <w:rsid w:val="00D632AE"/>
    <w:rsid w:val="00D63738"/>
    <w:rsid w:val="00D640F1"/>
    <w:rsid w:val="00D6420A"/>
    <w:rsid w:val="00D64451"/>
    <w:rsid w:val="00D6469E"/>
    <w:rsid w:val="00D646EB"/>
    <w:rsid w:val="00D64CF6"/>
    <w:rsid w:val="00D64F7F"/>
    <w:rsid w:val="00D654A8"/>
    <w:rsid w:val="00D6551A"/>
    <w:rsid w:val="00D65659"/>
    <w:rsid w:val="00D659EE"/>
    <w:rsid w:val="00D65C87"/>
    <w:rsid w:val="00D65EFB"/>
    <w:rsid w:val="00D65F10"/>
    <w:rsid w:val="00D66289"/>
    <w:rsid w:val="00D66434"/>
    <w:rsid w:val="00D66786"/>
    <w:rsid w:val="00D66E50"/>
    <w:rsid w:val="00D6765F"/>
    <w:rsid w:val="00D679AE"/>
    <w:rsid w:val="00D67D5C"/>
    <w:rsid w:val="00D70258"/>
    <w:rsid w:val="00D70A4D"/>
    <w:rsid w:val="00D70A56"/>
    <w:rsid w:val="00D70AE9"/>
    <w:rsid w:val="00D710F4"/>
    <w:rsid w:val="00D714F4"/>
    <w:rsid w:val="00D72047"/>
    <w:rsid w:val="00D72134"/>
    <w:rsid w:val="00D726D1"/>
    <w:rsid w:val="00D72A1E"/>
    <w:rsid w:val="00D72F99"/>
    <w:rsid w:val="00D7321A"/>
    <w:rsid w:val="00D7337B"/>
    <w:rsid w:val="00D7350A"/>
    <w:rsid w:val="00D7370E"/>
    <w:rsid w:val="00D7372C"/>
    <w:rsid w:val="00D737F8"/>
    <w:rsid w:val="00D73964"/>
    <w:rsid w:val="00D74450"/>
    <w:rsid w:val="00D74847"/>
    <w:rsid w:val="00D74DA1"/>
    <w:rsid w:val="00D752D8"/>
    <w:rsid w:val="00D75454"/>
    <w:rsid w:val="00D755A1"/>
    <w:rsid w:val="00D75778"/>
    <w:rsid w:val="00D758C5"/>
    <w:rsid w:val="00D75A05"/>
    <w:rsid w:val="00D75B1D"/>
    <w:rsid w:val="00D76000"/>
    <w:rsid w:val="00D760F4"/>
    <w:rsid w:val="00D7645A"/>
    <w:rsid w:val="00D765C5"/>
    <w:rsid w:val="00D76ABC"/>
    <w:rsid w:val="00D76ACD"/>
    <w:rsid w:val="00D76D52"/>
    <w:rsid w:val="00D7768C"/>
    <w:rsid w:val="00D800E6"/>
    <w:rsid w:val="00D804B1"/>
    <w:rsid w:val="00D8073B"/>
    <w:rsid w:val="00D807F8"/>
    <w:rsid w:val="00D80CCD"/>
    <w:rsid w:val="00D81252"/>
    <w:rsid w:val="00D81314"/>
    <w:rsid w:val="00D81388"/>
    <w:rsid w:val="00D81A0D"/>
    <w:rsid w:val="00D81AFC"/>
    <w:rsid w:val="00D8238C"/>
    <w:rsid w:val="00D82759"/>
    <w:rsid w:val="00D82E18"/>
    <w:rsid w:val="00D82E6A"/>
    <w:rsid w:val="00D82EA0"/>
    <w:rsid w:val="00D82EE8"/>
    <w:rsid w:val="00D831A6"/>
    <w:rsid w:val="00D832E1"/>
    <w:rsid w:val="00D837EC"/>
    <w:rsid w:val="00D8394E"/>
    <w:rsid w:val="00D8488C"/>
    <w:rsid w:val="00D849A7"/>
    <w:rsid w:val="00D84B09"/>
    <w:rsid w:val="00D850E4"/>
    <w:rsid w:val="00D85A65"/>
    <w:rsid w:val="00D85ACF"/>
    <w:rsid w:val="00D85B27"/>
    <w:rsid w:val="00D85E75"/>
    <w:rsid w:val="00D85FE3"/>
    <w:rsid w:val="00D866AB"/>
    <w:rsid w:val="00D86829"/>
    <w:rsid w:val="00D86BA6"/>
    <w:rsid w:val="00D87323"/>
    <w:rsid w:val="00D8741B"/>
    <w:rsid w:val="00D875FA"/>
    <w:rsid w:val="00D877B0"/>
    <w:rsid w:val="00D8796D"/>
    <w:rsid w:val="00D87DA2"/>
    <w:rsid w:val="00D87EC4"/>
    <w:rsid w:val="00D87FA6"/>
    <w:rsid w:val="00D87FF3"/>
    <w:rsid w:val="00D90557"/>
    <w:rsid w:val="00D90B79"/>
    <w:rsid w:val="00D90DA2"/>
    <w:rsid w:val="00D90F24"/>
    <w:rsid w:val="00D912E8"/>
    <w:rsid w:val="00D91382"/>
    <w:rsid w:val="00D918BC"/>
    <w:rsid w:val="00D919F8"/>
    <w:rsid w:val="00D91A18"/>
    <w:rsid w:val="00D91DEB"/>
    <w:rsid w:val="00D91F4E"/>
    <w:rsid w:val="00D920CE"/>
    <w:rsid w:val="00D928D4"/>
    <w:rsid w:val="00D92C21"/>
    <w:rsid w:val="00D92E26"/>
    <w:rsid w:val="00D92FA7"/>
    <w:rsid w:val="00D92FFF"/>
    <w:rsid w:val="00D936C4"/>
    <w:rsid w:val="00D93D31"/>
    <w:rsid w:val="00D93D57"/>
    <w:rsid w:val="00D94034"/>
    <w:rsid w:val="00D942D3"/>
    <w:rsid w:val="00D942D8"/>
    <w:rsid w:val="00D9433E"/>
    <w:rsid w:val="00D944F3"/>
    <w:rsid w:val="00D9450E"/>
    <w:rsid w:val="00D9493B"/>
    <w:rsid w:val="00D94FF4"/>
    <w:rsid w:val="00D9577D"/>
    <w:rsid w:val="00D957D3"/>
    <w:rsid w:val="00D95C3C"/>
    <w:rsid w:val="00D9635F"/>
    <w:rsid w:val="00D96943"/>
    <w:rsid w:val="00D96997"/>
    <w:rsid w:val="00D969DC"/>
    <w:rsid w:val="00D96A7D"/>
    <w:rsid w:val="00D96D66"/>
    <w:rsid w:val="00D96DE2"/>
    <w:rsid w:val="00D97585"/>
    <w:rsid w:val="00D977C6"/>
    <w:rsid w:val="00D977FE"/>
    <w:rsid w:val="00D978A7"/>
    <w:rsid w:val="00D9797A"/>
    <w:rsid w:val="00D97ABF"/>
    <w:rsid w:val="00D97D9A"/>
    <w:rsid w:val="00DA00D4"/>
    <w:rsid w:val="00DA01DE"/>
    <w:rsid w:val="00DA0284"/>
    <w:rsid w:val="00DA02E6"/>
    <w:rsid w:val="00DA0341"/>
    <w:rsid w:val="00DA07C1"/>
    <w:rsid w:val="00DA0A92"/>
    <w:rsid w:val="00DA0D06"/>
    <w:rsid w:val="00DA10B3"/>
    <w:rsid w:val="00DA12C4"/>
    <w:rsid w:val="00DA173F"/>
    <w:rsid w:val="00DA1CAE"/>
    <w:rsid w:val="00DA1CE2"/>
    <w:rsid w:val="00DA1F6B"/>
    <w:rsid w:val="00DA296B"/>
    <w:rsid w:val="00DA3113"/>
    <w:rsid w:val="00DA3A15"/>
    <w:rsid w:val="00DA3B08"/>
    <w:rsid w:val="00DA3E82"/>
    <w:rsid w:val="00DA3FAB"/>
    <w:rsid w:val="00DA434D"/>
    <w:rsid w:val="00DA466A"/>
    <w:rsid w:val="00DA4D00"/>
    <w:rsid w:val="00DA4D83"/>
    <w:rsid w:val="00DA58A2"/>
    <w:rsid w:val="00DA5CD6"/>
    <w:rsid w:val="00DA5CD8"/>
    <w:rsid w:val="00DA6492"/>
    <w:rsid w:val="00DA6654"/>
    <w:rsid w:val="00DA6BD4"/>
    <w:rsid w:val="00DA6C28"/>
    <w:rsid w:val="00DA6D33"/>
    <w:rsid w:val="00DA6E93"/>
    <w:rsid w:val="00DA7107"/>
    <w:rsid w:val="00DA730B"/>
    <w:rsid w:val="00DA746D"/>
    <w:rsid w:val="00DA7680"/>
    <w:rsid w:val="00DA7EBB"/>
    <w:rsid w:val="00DB0361"/>
    <w:rsid w:val="00DB12F1"/>
    <w:rsid w:val="00DB18FB"/>
    <w:rsid w:val="00DB2426"/>
    <w:rsid w:val="00DB2517"/>
    <w:rsid w:val="00DB29C1"/>
    <w:rsid w:val="00DB4041"/>
    <w:rsid w:val="00DB4297"/>
    <w:rsid w:val="00DB4359"/>
    <w:rsid w:val="00DB48BA"/>
    <w:rsid w:val="00DB50FB"/>
    <w:rsid w:val="00DB584D"/>
    <w:rsid w:val="00DB59EC"/>
    <w:rsid w:val="00DB5C9B"/>
    <w:rsid w:val="00DB5CD0"/>
    <w:rsid w:val="00DB60DD"/>
    <w:rsid w:val="00DB625C"/>
    <w:rsid w:val="00DB6594"/>
    <w:rsid w:val="00DB65B6"/>
    <w:rsid w:val="00DB6A5D"/>
    <w:rsid w:val="00DB6A5F"/>
    <w:rsid w:val="00DB6A92"/>
    <w:rsid w:val="00DB6C99"/>
    <w:rsid w:val="00DB6F74"/>
    <w:rsid w:val="00DB7608"/>
    <w:rsid w:val="00DB76DA"/>
    <w:rsid w:val="00DB772A"/>
    <w:rsid w:val="00DB7C13"/>
    <w:rsid w:val="00DB7E8A"/>
    <w:rsid w:val="00DB7F2E"/>
    <w:rsid w:val="00DC02CA"/>
    <w:rsid w:val="00DC0525"/>
    <w:rsid w:val="00DC061D"/>
    <w:rsid w:val="00DC0829"/>
    <w:rsid w:val="00DC08DE"/>
    <w:rsid w:val="00DC0BC2"/>
    <w:rsid w:val="00DC0E19"/>
    <w:rsid w:val="00DC11FA"/>
    <w:rsid w:val="00DC18D3"/>
    <w:rsid w:val="00DC22A8"/>
    <w:rsid w:val="00DC25CC"/>
    <w:rsid w:val="00DC2712"/>
    <w:rsid w:val="00DC29E3"/>
    <w:rsid w:val="00DC2BDC"/>
    <w:rsid w:val="00DC2C10"/>
    <w:rsid w:val="00DC2DD2"/>
    <w:rsid w:val="00DC2EB7"/>
    <w:rsid w:val="00DC2F93"/>
    <w:rsid w:val="00DC30FC"/>
    <w:rsid w:val="00DC40E9"/>
    <w:rsid w:val="00DC4301"/>
    <w:rsid w:val="00DC4409"/>
    <w:rsid w:val="00DC4981"/>
    <w:rsid w:val="00DC4C1C"/>
    <w:rsid w:val="00DC51B4"/>
    <w:rsid w:val="00DC542F"/>
    <w:rsid w:val="00DC556F"/>
    <w:rsid w:val="00DC5730"/>
    <w:rsid w:val="00DC5D4B"/>
    <w:rsid w:val="00DC5E41"/>
    <w:rsid w:val="00DC5E5A"/>
    <w:rsid w:val="00DC5FC5"/>
    <w:rsid w:val="00DC610E"/>
    <w:rsid w:val="00DC625E"/>
    <w:rsid w:val="00DC6380"/>
    <w:rsid w:val="00DC64DC"/>
    <w:rsid w:val="00DC667C"/>
    <w:rsid w:val="00DC67A7"/>
    <w:rsid w:val="00DC6A7B"/>
    <w:rsid w:val="00DC6AD4"/>
    <w:rsid w:val="00DC6DD0"/>
    <w:rsid w:val="00DC6E9C"/>
    <w:rsid w:val="00DC704E"/>
    <w:rsid w:val="00DC764A"/>
    <w:rsid w:val="00DC7BAA"/>
    <w:rsid w:val="00DC7E90"/>
    <w:rsid w:val="00DD0106"/>
    <w:rsid w:val="00DD0212"/>
    <w:rsid w:val="00DD04A5"/>
    <w:rsid w:val="00DD0762"/>
    <w:rsid w:val="00DD1101"/>
    <w:rsid w:val="00DD142A"/>
    <w:rsid w:val="00DD1513"/>
    <w:rsid w:val="00DD15B2"/>
    <w:rsid w:val="00DD18E9"/>
    <w:rsid w:val="00DD1DB3"/>
    <w:rsid w:val="00DD1DC3"/>
    <w:rsid w:val="00DD1F77"/>
    <w:rsid w:val="00DD222B"/>
    <w:rsid w:val="00DD27D4"/>
    <w:rsid w:val="00DD2ACA"/>
    <w:rsid w:val="00DD360B"/>
    <w:rsid w:val="00DD411A"/>
    <w:rsid w:val="00DD464C"/>
    <w:rsid w:val="00DD4777"/>
    <w:rsid w:val="00DD487D"/>
    <w:rsid w:val="00DD4932"/>
    <w:rsid w:val="00DD4D70"/>
    <w:rsid w:val="00DD4E5A"/>
    <w:rsid w:val="00DD4FC5"/>
    <w:rsid w:val="00DD52DF"/>
    <w:rsid w:val="00DD5313"/>
    <w:rsid w:val="00DD561E"/>
    <w:rsid w:val="00DD5629"/>
    <w:rsid w:val="00DD5955"/>
    <w:rsid w:val="00DD59CA"/>
    <w:rsid w:val="00DD5A9C"/>
    <w:rsid w:val="00DD5CFD"/>
    <w:rsid w:val="00DD5EFE"/>
    <w:rsid w:val="00DD60C0"/>
    <w:rsid w:val="00DD62E6"/>
    <w:rsid w:val="00DD6326"/>
    <w:rsid w:val="00DD6E57"/>
    <w:rsid w:val="00DD7200"/>
    <w:rsid w:val="00DD72C3"/>
    <w:rsid w:val="00DD765F"/>
    <w:rsid w:val="00DD7A8E"/>
    <w:rsid w:val="00DD7E30"/>
    <w:rsid w:val="00DE016C"/>
    <w:rsid w:val="00DE0257"/>
    <w:rsid w:val="00DE0403"/>
    <w:rsid w:val="00DE07DD"/>
    <w:rsid w:val="00DE07E4"/>
    <w:rsid w:val="00DE07FE"/>
    <w:rsid w:val="00DE0A8A"/>
    <w:rsid w:val="00DE0E9C"/>
    <w:rsid w:val="00DE105B"/>
    <w:rsid w:val="00DE106F"/>
    <w:rsid w:val="00DE10FE"/>
    <w:rsid w:val="00DE1214"/>
    <w:rsid w:val="00DE13E1"/>
    <w:rsid w:val="00DE13F5"/>
    <w:rsid w:val="00DE14CA"/>
    <w:rsid w:val="00DE1886"/>
    <w:rsid w:val="00DE1DB7"/>
    <w:rsid w:val="00DE23DE"/>
    <w:rsid w:val="00DE2455"/>
    <w:rsid w:val="00DE24A2"/>
    <w:rsid w:val="00DE2AA4"/>
    <w:rsid w:val="00DE2C52"/>
    <w:rsid w:val="00DE2EDA"/>
    <w:rsid w:val="00DE2F1E"/>
    <w:rsid w:val="00DE2FFE"/>
    <w:rsid w:val="00DE33EC"/>
    <w:rsid w:val="00DE3621"/>
    <w:rsid w:val="00DE3AA4"/>
    <w:rsid w:val="00DE3AFF"/>
    <w:rsid w:val="00DE3DE7"/>
    <w:rsid w:val="00DE3E59"/>
    <w:rsid w:val="00DE3EC8"/>
    <w:rsid w:val="00DE3F9B"/>
    <w:rsid w:val="00DE4138"/>
    <w:rsid w:val="00DE42FB"/>
    <w:rsid w:val="00DE4A1E"/>
    <w:rsid w:val="00DE4DCE"/>
    <w:rsid w:val="00DE4F84"/>
    <w:rsid w:val="00DE503E"/>
    <w:rsid w:val="00DE50B7"/>
    <w:rsid w:val="00DE560F"/>
    <w:rsid w:val="00DE5844"/>
    <w:rsid w:val="00DE58F9"/>
    <w:rsid w:val="00DE5D68"/>
    <w:rsid w:val="00DE63AE"/>
    <w:rsid w:val="00DE6408"/>
    <w:rsid w:val="00DE6550"/>
    <w:rsid w:val="00DE670D"/>
    <w:rsid w:val="00DE681F"/>
    <w:rsid w:val="00DE6AF8"/>
    <w:rsid w:val="00DE6EDF"/>
    <w:rsid w:val="00DE7263"/>
    <w:rsid w:val="00DE7451"/>
    <w:rsid w:val="00DE7BB0"/>
    <w:rsid w:val="00DE7BCF"/>
    <w:rsid w:val="00DE7CAE"/>
    <w:rsid w:val="00DE7FCA"/>
    <w:rsid w:val="00DF0220"/>
    <w:rsid w:val="00DF042E"/>
    <w:rsid w:val="00DF0752"/>
    <w:rsid w:val="00DF08EF"/>
    <w:rsid w:val="00DF0F5E"/>
    <w:rsid w:val="00DF112E"/>
    <w:rsid w:val="00DF1350"/>
    <w:rsid w:val="00DF1437"/>
    <w:rsid w:val="00DF15E0"/>
    <w:rsid w:val="00DF16AC"/>
    <w:rsid w:val="00DF177E"/>
    <w:rsid w:val="00DF1C02"/>
    <w:rsid w:val="00DF1E01"/>
    <w:rsid w:val="00DF1F09"/>
    <w:rsid w:val="00DF21E4"/>
    <w:rsid w:val="00DF21F4"/>
    <w:rsid w:val="00DF254F"/>
    <w:rsid w:val="00DF28EC"/>
    <w:rsid w:val="00DF29BC"/>
    <w:rsid w:val="00DF2BDA"/>
    <w:rsid w:val="00DF2D72"/>
    <w:rsid w:val="00DF3874"/>
    <w:rsid w:val="00DF38C4"/>
    <w:rsid w:val="00DF393B"/>
    <w:rsid w:val="00DF3C57"/>
    <w:rsid w:val="00DF47B9"/>
    <w:rsid w:val="00DF47E6"/>
    <w:rsid w:val="00DF4872"/>
    <w:rsid w:val="00DF4A08"/>
    <w:rsid w:val="00DF4C19"/>
    <w:rsid w:val="00DF4E25"/>
    <w:rsid w:val="00DF5084"/>
    <w:rsid w:val="00DF553B"/>
    <w:rsid w:val="00DF5BD5"/>
    <w:rsid w:val="00DF5FF9"/>
    <w:rsid w:val="00DF6097"/>
    <w:rsid w:val="00DF620C"/>
    <w:rsid w:val="00DF62CC"/>
    <w:rsid w:val="00DF65AC"/>
    <w:rsid w:val="00DF6804"/>
    <w:rsid w:val="00DF6AD1"/>
    <w:rsid w:val="00DF6C61"/>
    <w:rsid w:val="00DF7065"/>
    <w:rsid w:val="00DF729B"/>
    <w:rsid w:val="00DF7421"/>
    <w:rsid w:val="00DF7EF8"/>
    <w:rsid w:val="00E001E9"/>
    <w:rsid w:val="00E00397"/>
    <w:rsid w:val="00E00441"/>
    <w:rsid w:val="00E005B4"/>
    <w:rsid w:val="00E005C8"/>
    <w:rsid w:val="00E00798"/>
    <w:rsid w:val="00E0110C"/>
    <w:rsid w:val="00E01115"/>
    <w:rsid w:val="00E01252"/>
    <w:rsid w:val="00E01255"/>
    <w:rsid w:val="00E01929"/>
    <w:rsid w:val="00E01B00"/>
    <w:rsid w:val="00E01D0A"/>
    <w:rsid w:val="00E0214D"/>
    <w:rsid w:val="00E024D6"/>
    <w:rsid w:val="00E0277F"/>
    <w:rsid w:val="00E027AF"/>
    <w:rsid w:val="00E02A16"/>
    <w:rsid w:val="00E02B40"/>
    <w:rsid w:val="00E030E5"/>
    <w:rsid w:val="00E035B8"/>
    <w:rsid w:val="00E036DC"/>
    <w:rsid w:val="00E037A5"/>
    <w:rsid w:val="00E03BF4"/>
    <w:rsid w:val="00E03C93"/>
    <w:rsid w:val="00E03E3B"/>
    <w:rsid w:val="00E048C9"/>
    <w:rsid w:val="00E04913"/>
    <w:rsid w:val="00E05063"/>
    <w:rsid w:val="00E0549A"/>
    <w:rsid w:val="00E05697"/>
    <w:rsid w:val="00E05C4B"/>
    <w:rsid w:val="00E05DBD"/>
    <w:rsid w:val="00E05FD8"/>
    <w:rsid w:val="00E060E6"/>
    <w:rsid w:val="00E06160"/>
    <w:rsid w:val="00E061E0"/>
    <w:rsid w:val="00E06519"/>
    <w:rsid w:val="00E0657C"/>
    <w:rsid w:val="00E06A80"/>
    <w:rsid w:val="00E06C87"/>
    <w:rsid w:val="00E06FE2"/>
    <w:rsid w:val="00E07263"/>
    <w:rsid w:val="00E074BF"/>
    <w:rsid w:val="00E07611"/>
    <w:rsid w:val="00E07BAE"/>
    <w:rsid w:val="00E07E48"/>
    <w:rsid w:val="00E07F16"/>
    <w:rsid w:val="00E10B24"/>
    <w:rsid w:val="00E10DBA"/>
    <w:rsid w:val="00E110A7"/>
    <w:rsid w:val="00E1124D"/>
    <w:rsid w:val="00E115C8"/>
    <w:rsid w:val="00E11BB2"/>
    <w:rsid w:val="00E121E7"/>
    <w:rsid w:val="00E12623"/>
    <w:rsid w:val="00E12AE1"/>
    <w:rsid w:val="00E12FBE"/>
    <w:rsid w:val="00E1341C"/>
    <w:rsid w:val="00E13775"/>
    <w:rsid w:val="00E138B8"/>
    <w:rsid w:val="00E13A5A"/>
    <w:rsid w:val="00E13B98"/>
    <w:rsid w:val="00E1421A"/>
    <w:rsid w:val="00E14321"/>
    <w:rsid w:val="00E143ED"/>
    <w:rsid w:val="00E144A0"/>
    <w:rsid w:val="00E1450D"/>
    <w:rsid w:val="00E14CF9"/>
    <w:rsid w:val="00E14EBB"/>
    <w:rsid w:val="00E15734"/>
    <w:rsid w:val="00E15826"/>
    <w:rsid w:val="00E15AEF"/>
    <w:rsid w:val="00E15F7B"/>
    <w:rsid w:val="00E161C2"/>
    <w:rsid w:val="00E16352"/>
    <w:rsid w:val="00E166FD"/>
    <w:rsid w:val="00E16E47"/>
    <w:rsid w:val="00E1779F"/>
    <w:rsid w:val="00E17915"/>
    <w:rsid w:val="00E17DF0"/>
    <w:rsid w:val="00E200D5"/>
    <w:rsid w:val="00E2088F"/>
    <w:rsid w:val="00E20C1C"/>
    <w:rsid w:val="00E20F98"/>
    <w:rsid w:val="00E2141F"/>
    <w:rsid w:val="00E214FB"/>
    <w:rsid w:val="00E21650"/>
    <w:rsid w:val="00E2171C"/>
    <w:rsid w:val="00E2185E"/>
    <w:rsid w:val="00E21C22"/>
    <w:rsid w:val="00E22149"/>
    <w:rsid w:val="00E2277E"/>
    <w:rsid w:val="00E22C29"/>
    <w:rsid w:val="00E22D60"/>
    <w:rsid w:val="00E22E84"/>
    <w:rsid w:val="00E22F21"/>
    <w:rsid w:val="00E234FB"/>
    <w:rsid w:val="00E23563"/>
    <w:rsid w:val="00E238D9"/>
    <w:rsid w:val="00E23B0F"/>
    <w:rsid w:val="00E23CFC"/>
    <w:rsid w:val="00E2415A"/>
    <w:rsid w:val="00E24678"/>
    <w:rsid w:val="00E247A4"/>
    <w:rsid w:val="00E24CAE"/>
    <w:rsid w:val="00E24E6F"/>
    <w:rsid w:val="00E24E7A"/>
    <w:rsid w:val="00E2538C"/>
    <w:rsid w:val="00E253D3"/>
    <w:rsid w:val="00E25609"/>
    <w:rsid w:val="00E25691"/>
    <w:rsid w:val="00E259EE"/>
    <w:rsid w:val="00E26162"/>
    <w:rsid w:val="00E26471"/>
    <w:rsid w:val="00E26644"/>
    <w:rsid w:val="00E2675D"/>
    <w:rsid w:val="00E26A16"/>
    <w:rsid w:val="00E26DBB"/>
    <w:rsid w:val="00E272EF"/>
    <w:rsid w:val="00E273CE"/>
    <w:rsid w:val="00E273E9"/>
    <w:rsid w:val="00E27A3E"/>
    <w:rsid w:val="00E27C93"/>
    <w:rsid w:val="00E30326"/>
    <w:rsid w:val="00E3059F"/>
    <w:rsid w:val="00E30A94"/>
    <w:rsid w:val="00E311AC"/>
    <w:rsid w:val="00E31285"/>
    <w:rsid w:val="00E31549"/>
    <w:rsid w:val="00E31980"/>
    <w:rsid w:val="00E324EE"/>
    <w:rsid w:val="00E32869"/>
    <w:rsid w:val="00E32A19"/>
    <w:rsid w:val="00E32BA4"/>
    <w:rsid w:val="00E32F67"/>
    <w:rsid w:val="00E32F7D"/>
    <w:rsid w:val="00E332BE"/>
    <w:rsid w:val="00E33590"/>
    <w:rsid w:val="00E33687"/>
    <w:rsid w:val="00E3386D"/>
    <w:rsid w:val="00E338A9"/>
    <w:rsid w:val="00E33A06"/>
    <w:rsid w:val="00E33AB8"/>
    <w:rsid w:val="00E33CDF"/>
    <w:rsid w:val="00E34A45"/>
    <w:rsid w:val="00E34A66"/>
    <w:rsid w:val="00E34EBC"/>
    <w:rsid w:val="00E351A4"/>
    <w:rsid w:val="00E3536F"/>
    <w:rsid w:val="00E353C2"/>
    <w:rsid w:val="00E35714"/>
    <w:rsid w:val="00E35822"/>
    <w:rsid w:val="00E358D9"/>
    <w:rsid w:val="00E358EB"/>
    <w:rsid w:val="00E35F28"/>
    <w:rsid w:val="00E35FF0"/>
    <w:rsid w:val="00E36264"/>
    <w:rsid w:val="00E362E1"/>
    <w:rsid w:val="00E363AB"/>
    <w:rsid w:val="00E36996"/>
    <w:rsid w:val="00E36A9C"/>
    <w:rsid w:val="00E36F9E"/>
    <w:rsid w:val="00E372A8"/>
    <w:rsid w:val="00E372CD"/>
    <w:rsid w:val="00E373D4"/>
    <w:rsid w:val="00E37536"/>
    <w:rsid w:val="00E3760C"/>
    <w:rsid w:val="00E37FED"/>
    <w:rsid w:val="00E4003E"/>
    <w:rsid w:val="00E40443"/>
    <w:rsid w:val="00E408A9"/>
    <w:rsid w:val="00E40AAD"/>
    <w:rsid w:val="00E40B41"/>
    <w:rsid w:val="00E40B7D"/>
    <w:rsid w:val="00E4104E"/>
    <w:rsid w:val="00E41061"/>
    <w:rsid w:val="00E4118B"/>
    <w:rsid w:val="00E41911"/>
    <w:rsid w:val="00E4199E"/>
    <w:rsid w:val="00E41A5F"/>
    <w:rsid w:val="00E41B62"/>
    <w:rsid w:val="00E41B65"/>
    <w:rsid w:val="00E41F39"/>
    <w:rsid w:val="00E42305"/>
    <w:rsid w:val="00E4241D"/>
    <w:rsid w:val="00E42C1D"/>
    <w:rsid w:val="00E4304B"/>
    <w:rsid w:val="00E43128"/>
    <w:rsid w:val="00E4332F"/>
    <w:rsid w:val="00E4363D"/>
    <w:rsid w:val="00E43697"/>
    <w:rsid w:val="00E438E0"/>
    <w:rsid w:val="00E43CD6"/>
    <w:rsid w:val="00E43E1A"/>
    <w:rsid w:val="00E447F1"/>
    <w:rsid w:val="00E448D3"/>
    <w:rsid w:val="00E44A44"/>
    <w:rsid w:val="00E44CBA"/>
    <w:rsid w:val="00E44D8D"/>
    <w:rsid w:val="00E44DED"/>
    <w:rsid w:val="00E44DF7"/>
    <w:rsid w:val="00E44F1E"/>
    <w:rsid w:val="00E45119"/>
    <w:rsid w:val="00E45220"/>
    <w:rsid w:val="00E456C8"/>
    <w:rsid w:val="00E4584B"/>
    <w:rsid w:val="00E45982"/>
    <w:rsid w:val="00E45D71"/>
    <w:rsid w:val="00E45E94"/>
    <w:rsid w:val="00E462B3"/>
    <w:rsid w:val="00E46354"/>
    <w:rsid w:val="00E470C9"/>
    <w:rsid w:val="00E4742B"/>
    <w:rsid w:val="00E47846"/>
    <w:rsid w:val="00E47B86"/>
    <w:rsid w:val="00E47DB4"/>
    <w:rsid w:val="00E51239"/>
    <w:rsid w:val="00E5132A"/>
    <w:rsid w:val="00E516A7"/>
    <w:rsid w:val="00E52307"/>
    <w:rsid w:val="00E528A2"/>
    <w:rsid w:val="00E52A67"/>
    <w:rsid w:val="00E52EDF"/>
    <w:rsid w:val="00E53213"/>
    <w:rsid w:val="00E535A0"/>
    <w:rsid w:val="00E53793"/>
    <w:rsid w:val="00E53C30"/>
    <w:rsid w:val="00E53F1F"/>
    <w:rsid w:val="00E53FB6"/>
    <w:rsid w:val="00E54474"/>
    <w:rsid w:val="00E548AE"/>
    <w:rsid w:val="00E54BB2"/>
    <w:rsid w:val="00E54F46"/>
    <w:rsid w:val="00E55124"/>
    <w:rsid w:val="00E553CD"/>
    <w:rsid w:val="00E55D30"/>
    <w:rsid w:val="00E55EE6"/>
    <w:rsid w:val="00E56276"/>
    <w:rsid w:val="00E56784"/>
    <w:rsid w:val="00E569FA"/>
    <w:rsid w:val="00E56CEF"/>
    <w:rsid w:val="00E56D64"/>
    <w:rsid w:val="00E56D78"/>
    <w:rsid w:val="00E57310"/>
    <w:rsid w:val="00E57493"/>
    <w:rsid w:val="00E57979"/>
    <w:rsid w:val="00E579CC"/>
    <w:rsid w:val="00E57B5C"/>
    <w:rsid w:val="00E57DF1"/>
    <w:rsid w:val="00E60C95"/>
    <w:rsid w:val="00E610DB"/>
    <w:rsid w:val="00E61188"/>
    <w:rsid w:val="00E6144E"/>
    <w:rsid w:val="00E61ABE"/>
    <w:rsid w:val="00E61E99"/>
    <w:rsid w:val="00E62103"/>
    <w:rsid w:val="00E62614"/>
    <w:rsid w:val="00E627B0"/>
    <w:rsid w:val="00E63032"/>
    <w:rsid w:val="00E6338D"/>
    <w:rsid w:val="00E636BA"/>
    <w:rsid w:val="00E6386C"/>
    <w:rsid w:val="00E63C7B"/>
    <w:rsid w:val="00E63E56"/>
    <w:rsid w:val="00E64ACA"/>
    <w:rsid w:val="00E64D49"/>
    <w:rsid w:val="00E64F9A"/>
    <w:rsid w:val="00E650A1"/>
    <w:rsid w:val="00E65644"/>
    <w:rsid w:val="00E65989"/>
    <w:rsid w:val="00E65D9A"/>
    <w:rsid w:val="00E66036"/>
    <w:rsid w:val="00E667B9"/>
    <w:rsid w:val="00E6690A"/>
    <w:rsid w:val="00E66AE8"/>
    <w:rsid w:val="00E66C91"/>
    <w:rsid w:val="00E6705B"/>
    <w:rsid w:val="00E6717A"/>
    <w:rsid w:val="00E672A1"/>
    <w:rsid w:val="00E701A7"/>
    <w:rsid w:val="00E7033A"/>
    <w:rsid w:val="00E70665"/>
    <w:rsid w:val="00E70D87"/>
    <w:rsid w:val="00E70FF7"/>
    <w:rsid w:val="00E712CF"/>
    <w:rsid w:val="00E7133D"/>
    <w:rsid w:val="00E71341"/>
    <w:rsid w:val="00E71385"/>
    <w:rsid w:val="00E71674"/>
    <w:rsid w:val="00E71CB6"/>
    <w:rsid w:val="00E71EB7"/>
    <w:rsid w:val="00E72056"/>
    <w:rsid w:val="00E720D0"/>
    <w:rsid w:val="00E720D4"/>
    <w:rsid w:val="00E72180"/>
    <w:rsid w:val="00E7265A"/>
    <w:rsid w:val="00E7284C"/>
    <w:rsid w:val="00E72B0C"/>
    <w:rsid w:val="00E737E8"/>
    <w:rsid w:val="00E73D34"/>
    <w:rsid w:val="00E73E65"/>
    <w:rsid w:val="00E73E84"/>
    <w:rsid w:val="00E743AD"/>
    <w:rsid w:val="00E745EE"/>
    <w:rsid w:val="00E74607"/>
    <w:rsid w:val="00E74879"/>
    <w:rsid w:val="00E74ACC"/>
    <w:rsid w:val="00E74EAC"/>
    <w:rsid w:val="00E75867"/>
    <w:rsid w:val="00E75976"/>
    <w:rsid w:val="00E75ACA"/>
    <w:rsid w:val="00E75D43"/>
    <w:rsid w:val="00E75F20"/>
    <w:rsid w:val="00E760FC"/>
    <w:rsid w:val="00E76248"/>
    <w:rsid w:val="00E764D1"/>
    <w:rsid w:val="00E76AC4"/>
    <w:rsid w:val="00E76AF6"/>
    <w:rsid w:val="00E76EC4"/>
    <w:rsid w:val="00E770E9"/>
    <w:rsid w:val="00E7744C"/>
    <w:rsid w:val="00E774B7"/>
    <w:rsid w:val="00E77556"/>
    <w:rsid w:val="00E77AD4"/>
    <w:rsid w:val="00E77B5C"/>
    <w:rsid w:val="00E800E5"/>
    <w:rsid w:val="00E8038D"/>
    <w:rsid w:val="00E80BD0"/>
    <w:rsid w:val="00E81103"/>
    <w:rsid w:val="00E81260"/>
    <w:rsid w:val="00E81B99"/>
    <w:rsid w:val="00E82277"/>
    <w:rsid w:val="00E823BE"/>
    <w:rsid w:val="00E824A0"/>
    <w:rsid w:val="00E82628"/>
    <w:rsid w:val="00E826E2"/>
    <w:rsid w:val="00E82A81"/>
    <w:rsid w:val="00E82E68"/>
    <w:rsid w:val="00E835A6"/>
    <w:rsid w:val="00E83995"/>
    <w:rsid w:val="00E839B1"/>
    <w:rsid w:val="00E83C5E"/>
    <w:rsid w:val="00E83C9C"/>
    <w:rsid w:val="00E8478A"/>
    <w:rsid w:val="00E84944"/>
    <w:rsid w:val="00E8499B"/>
    <w:rsid w:val="00E84D1F"/>
    <w:rsid w:val="00E85147"/>
    <w:rsid w:val="00E8518B"/>
    <w:rsid w:val="00E8524B"/>
    <w:rsid w:val="00E8547B"/>
    <w:rsid w:val="00E85A96"/>
    <w:rsid w:val="00E86409"/>
    <w:rsid w:val="00E86767"/>
    <w:rsid w:val="00E8749F"/>
    <w:rsid w:val="00E8750F"/>
    <w:rsid w:val="00E87738"/>
    <w:rsid w:val="00E87762"/>
    <w:rsid w:val="00E87A90"/>
    <w:rsid w:val="00E87D0A"/>
    <w:rsid w:val="00E87D9C"/>
    <w:rsid w:val="00E903AE"/>
    <w:rsid w:val="00E90AA5"/>
    <w:rsid w:val="00E90B55"/>
    <w:rsid w:val="00E90C16"/>
    <w:rsid w:val="00E90D86"/>
    <w:rsid w:val="00E91368"/>
    <w:rsid w:val="00E9139D"/>
    <w:rsid w:val="00E91455"/>
    <w:rsid w:val="00E91A31"/>
    <w:rsid w:val="00E91AF1"/>
    <w:rsid w:val="00E921EF"/>
    <w:rsid w:val="00E9241A"/>
    <w:rsid w:val="00E92451"/>
    <w:rsid w:val="00E9290E"/>
    <w:rsid w:val="00E92A07"/>
    <w:rsid w:val="00E92F25"/>
    <w:rsid w:val="00E931FB"/>
    <w:rsid w:val="00E93C5C"/>
    <w:rsid w:val="00E93FC1"/>
    <w:rsid w:val="00E9416A"/>
    <w:rsid w:val="00E9420E"/>
    <w:rsid w:val="00E94818"/>
    <w:rsid w:val="00E94B3F"/>
    <w:rsid w:val="00E94E5F"/>
    <w:rsid w:val="00E951AA"/>
    <w:rsid w:val="00E952C8"/>
    <w:rsid w:val="00E954A3"/>
    <w:rsid w:val="00E9573B"/>
    <w:rsid w:val="00E95FC1"/>
    <w:rsid w:val="00E9631E"/>
    <w:rsid w:val="00E96593"/>
    <w:rsid w:val="00E96D4E"/>
    <w:rsid w:val="00E96FA5"/>
    <w:rsid w:val="00E97572"/>
    <w:rsid w:val="00E9779B"/>
    <w:rsid w:val="00E97957"/>
    <w:rsid w:val="00E97BBC"/>
    <w:rsid w:val="00EA066D"/>
    <w:rsid w:val="00EA06B4"/>
    <w:rsid w:val="00EA0AF8"/>
    <w:rsid w:val="00EA0E6C"/>
    <w:rsid w:val="00EA1B95"/>
    <w:rsid w:val="00EA1D7B"/>
    <w:rsid w:val="00EA21A6"/>
    <w:rsid w:val="00EA21C9"/>
    <w:rsid w:val="00EA25E0"/>
    <w:rsid w:val="00EA2673"/>
    <w:rsid w:val="00EA276F"/>
    <w:rsid w:val="00EA277E"/>
    <w:rsid w:val="00EA27D0"/>
    <w:rsid w:val="00EA2825"/>
    <w:rsid w:val="00EA29E4"/>
    <w:rsid w:val="00EA2AE2"/>
    <w:rsid w:val="00EA3125"/>
    <w:rsid w:val="00EA3361"/>
    <w:rsid w:val="00EA346D"/>
    <w:rsid w:val="00EA3BC6"/>
    <w:rsid w:val="00EA3D09"/>
    <w:rsid w:val="00EA3D25"/>
    <w:rsid w:val="00EA41E8"/>
    <w:rsid w:val="00EA42EE"/>
    <w:rsid w:val="00EA44EF"/>
    <w:rsid w:val="00EA4666"/>
    <w:rsid w:val="00EA5B6E"/>
    <w:rsid w:val="00EA5C5F"/>
    <w:rsid w:val="00EA5CBF"/>
    <w:rsid w:val="00EA5D15"/>
    <w:rsid w:val="00EA6191"/>
    <w:rsid w:val="00EA6308"/>
    <w:rsid w:val="00EA6C41"/>
    <w:rsid w:val="00EA702A"/>
    <w:rsid w:val="00EA70CC"/>
    <w:rsid w:val="00EA7858"/>
    <w:rsid w:val="00EA78B0"/>
    <w:rsid w:val="00EA790A"/>
    <w:rsid w:val="00EA7BA4"/>
    <w:rsid w:val="00EA7FFB"/>
    <w:rsid w:val="00EB00AA"/>
    <w:rsid w:val="00EB0427"/>
    <w:rsid w:val="00EB0974"/>
    <w:rsid w:val="00EB09BA"/>
    <w:rsid w:val="00EB0A21"/>
    <w:rsid w:val="00EB0D42"/>
    <w:rsid w:val="00EB11DA"/>
    <w:rsid w:val="00EB1908"/>
    <w:rsid w:val="00EB2089"/>
    <w:rsid w:val="00EB2428"/>
    <w:rsid w:val="00EB2B5E"/>
    <w:rsid w:val="00EB2C0D"/>
    <w:rsid w:val="00EB2DBD"/>
    <w:rsid w:val="00EB2EE7"/>
    <w:rsid w:val="00EB306E"/>
    <w:rsid w:val="00EB3333"/>
    <w:rsid w:val="00EB34A3"/>
    <w:rsid w:val="00EB3958"/>
    <w:rsid w:val="00EB3F55"/>
    <w:rsid w:val="00EB4093"/>
    <w:rsid w:val="00EB43A9"/>
    <w:rsid w:val="00EB4404"/>
    <w:rsid w:val="00EB4A0E"/>
    <w:rsid w:val="00EB5E22"/>
    <w:rsid w:val="00EB5EA1"/>
    <w:rsid w:val="00EB5EEC"/>
    <w:rsid w:val="00EB6018"/>
    <w:rsid w:val="00EB61F7"/>
    <w:rsid w:val="00EB6273"/>
    <w:rsid w:val="00EB64CD"/>
    <w:rsid w:val="00EB65DC"/>
    <w:rsid w:val="00EB66BE"/>
    <w:rsid w:val="00EB6777"/>
    <w:rsid w:val="00EB696C"/>
    <w:rsid w:val="00EB7312"/>
    <w:rsid w:val="00EB73BD"/>
    <w:rsid w:val="00EB751F"/>
    <w:rsid w:val="00EB7687"/>
    <w:rsid w:val="00EB76E1"/>
    <w:rsid w:val="00EB7D87"/>
    <w:rsid w:val="00EB7E20"/>
    <w:rsid w:val="00EC00E0"/>
    <w:rsid w:val="00EC04B7"/>
    <w:rsid w:val="00EC071C"/>
    <w:rsid w:val="00EC0808"/>
    <w:rsid w:val="00EC0C49"/>
    <w:rsid w:val="00EC0CE4"/>
    <w:rsid w:val="00EC100E"/>
    <w:rsid w:val="00EC1957"/>
    <w:rsid w:val="00EC197E"/>
    <w:rsid w:val="00EC19DD"/>
    <w:rsid w:val="00EC1E1F"/>
    <w:rsid w:val="00EC217C"/>
    <w:rsid w:val="00EC2191"/>
    <w:rsid w:val="00EC22A8"/>
    <w:rsid w:val="00EC2692"/>
    <w:rsid w:val="00EC31A3"/>
    <w:rsid w:val="00EC33D8"/>
    <w:rsid w:val="00EC3830"/>
    <w:rsid w:val="00EC39BF"/>
    <w:rsid w:val="00EC3D05"/>
    <w:rsid w:val="00EC43E8"/>
    <w:rsid w:val="00EC4561"/>
    <w:rsid w:val="00EC4FA1"/>
    <w:rsid w:val="00EC51E3"/>
    <w:rsid w:val="00EC5245"/>
    <w:rsid w:val="00EC55AA"/>
    <w:rsid w:val="00EC5938"/>
    <w:rsid w:val="00EC5F36"/>
    <w:rsid w:val="00EC6200"/>
    <w:rsid w:val="00EC65CE"/>
    <w:rsid w:val="00EC672E"/>
    <w:rsid w:val="00EC67A9"/>
    <w:rsid w:val="00EC6A12"/>
    <w:rsid w:val="00EC6A9C"/>
    <w:rsid w:val="00EC6AC2"/>
    <w:rsid w:val="00EC6F0C"/>
    <w:rsid w:val="00EC7425"/>
    <w:rsid w:val="00EC79DF"/>
    <w:rsid w:val="00EC7D6F"/>
    <w:rsid w:val="00ED0238"/>
    <w:rsid w:val="00ED06D6"/>
    <w:rsid w:val="00ED0784"/>
    <w:rsid w:val="00ED084E"/>
    <w:rsid w:val="00ED0D3A"/>
    <w:rsid w:val="00ED127F"/>
    <w:rsid w:val="00ED14BF"/>
    <w:rsid w:val="00ED16AC"/>
    <w:rsid w:val="00ED18F5"/>
    <w:rsid w:val="00ED1B9C"/>
    <w:rsid w:val="00ED1FD0"/>
    <w:rsid w:val="00ED233B"/>
    <w:rsid w:val="00ED246E"/>
    <w:rsid w:val="00ED2F6A"/>
    <w:rsid w:val="00ED2FD1"/>
    <w:rsid w:val="00ED30D1"/>
    <w:rsid w:val="00ED3502"/>
    <w:rsid w:val="00ED36C2"/>
    <w:rsid w:val="00ED37B7"/>
    <w:rsid w:val="00ED3B0E"/>
    <w:rsid w:val="00ED3B59"/>
    <w:rsid w:val="00ED3C1E"/>
    <w:rsid w:val="00ED3D07"/>
    <w:rsid w:val="00ED3FE3"/>
    <w:rsid w:val="00ED40BA"/>
    <w:rsid w:val="00ED4120"/>
    <w:rsid w:val="00ED4162"/>
    <w:rsid w:val="00ED45F4"/>
    <w:rsid w:val="00ED481E"/>
    <w:rsid w:val="00ED49AB"/>
    <w:rsid w:val="00ED4A39"/>
    <w:rsid w:val="00ED5455"/>
    <w:rsid w:val="00ED552C"/>
    <w:rsid w:val="00ED57A9"/>
    <w:rsid w:val="00ED5B11"/>
    <w:rsid w:val="00ED5C77"/>
    <w:rsid w:val="00ED5E46"/>
    <w:rsid w:val="00ED6019"/>
    <w:rsid w:val="00ED610A"/>
    <w:rsid w:val="00ED6673"/>
    <w:rsid w:val="00ED69F9"/>
    <w:rsid w:val="00ED6EE0"/>
    <w:rsid w:val="00ED6FF6"/>
    <w:rsid w:val="00ED70EF"/>
    <w:rsid w:val="00ED73BF"/>
    <w:rsid w:val="00ED7C59"/>
    <w:rsid w:val="00EE0174"/>
    <w:rsid w:val="00EE035A"/>
    <w:rsid w:val="00EE0686"/>
    <w:rsid w:val="00EE06EF"/>
    <w:rsid w:val="00EE07E7"/>
    <w:rsid w:val="00EE0C49"/>
    <w:rsid w:val="00EE0E59"/>
    <w:rsid w:val="00EE12B4"/>
    <w:rsid w:val="00EE1856"/>
    <w:rsid w:val="00EE1B29"/>
    <w:rsid w:val="00EE200D"/>
    <w:rsid w:val="00EE2B1F"/>
    <w:rsid w:val="00EE313B"/>
    <w:rsid w:val="00EE318F"/>
    <w:rsid w:val="00EE3206"/>
    <w:rsid w:val="00EE33E1"/>
    <w:rsid w:val="00EE3464"/>
    <w:rsid w:val="00EE3E3F"/>
    <w:rsid w:val="00EE43FE"/>
    <w:rsid w:val="00EE4541"/>
    <w:rsid w:val="00EE4735"/>
    <w:rsid w:val="00EE4793"/>
    <w:rsid w:val="00EE4A7B"/>
    <w:rsid w:val="00EE52A6"/>
    <w:rsid w:val="00EE53FA"/>
    <w:rsid w:val="00EE5509"/>
    <w:rsid w:val="00EE57D2"/>
    <w:rsid w:val="00EE584A"/>
    <w:rsid w:val="00EE65F7"/>
    <w:rsid w:val="00EE6630"/>
    <w:rsid w:val="00EE683F"/>
    <w:rsid w:val="00EE6BED"/>
    <w:rsid w:val="00EE756A"/>
    <w:rsid w:val="00EE7975"/>
    <w:rsid w:val="00EE7D4B"/>
    <w:rsid w:val="00EE7F47"/>
    <w:rsid w:val="00EF0556"/>
    <w:rsid w:val="00EF0692"/>
    <w:rsid w:val="00EF12D9"/>
    <w:rsid w:val="00EF16DC"/>
    <w:rsid w:val="00EF1DAD"/>
    <w:rsid w:val="00EF2603"/>
    <w:rsid w:val="00EF324B"/>
    <w:rsid w:val="00EF37F0"/>
    <w:rsid w:val="00EF37FC"/>
    <w:rsid w:val="00EF3889"/>
    <w:rsid w:val="00EF3AFB"/>
    <w:rsid w:val="00EF40E9"/>
    <w:rsid w:val="00EF41B4"/>
    <w:rsid w:val="00EF4311"/>
    <w:rsid w:val="00EF4B9C"/>
    <w:rsid w:val="00EF519A"/>
    <w:rsid w:val="00EF53CA"/>
    <w:rsid w:val="00EF5606"/>
    <w:rsid w:val="00EF5637"/>
    <w:rsid w:val="00EF5975"/>
    <w:rsid w:val="00EF5A23"/>
    <w:rsid w:val="00EF5D2B"/>
    <w:rsid w:val="00EF5F24"/>
    <w:rsid w:val="00EF614F"/>
    <w:rsid w:val="00EF62C0"/>
    <w:rsid w:val="00EF6764"/>
    <w:rsid w:val="00EF67B6"/>
    <w:rsid w:val="00EF67EC"/>
    <w:rsid w:val="00EF6B2A"/>
    <w:rsid w:val="00EF7002"/>
    <w:rsid w:val="00EF7441"/>
    <w:rsid w:val="00EF7598"/>
    <w:rsid w:val="00EF7945"/>
    <w:rsid w:val="00EF7BAC"/>
    <w:rsid w:val="00EF7C0B"/>
    <w:rsid w:val="00EF7D0D"/>
    <w:rsid w:val="00F0022B"/>
    <w:rsid w:val="00F0037B"/>
    <w:rsid w:val="00F00400"/>
    <w:rsid w:val="00F0047C"/>
    <w:rsid w:val="00F009D0"/>
    <w:rsid w:val="00F00A63"/>
    <w:rsid w:val="00F02426"/>
    <w:rsid w:val="00F029FA"/>
    <w:rsid w:val="00F02BBB"/>
    <w:rsid w:val="00F02BEC"/>
    <w:rsid w:val="00F02BF3"/>
    <w:rsid w:val="00F02CEF"/>
    <w:rsid w:val="00F02D81"/>
    <w:rsid w:val="00F02DF2"/>
    <w:rsid w:val="00F0323D"/>
    <w:rsid w:val="00F03269"/>
    <w:rsid w:val="00F037AA"/>
    <w:rsid w:val="00F039B0"/>
    <w:rsid w:val="00F03A5B"/>
    <w:rsid w:val="00F0407A"/>
    <w:rsid w:val="00F04B01"/>
    <w:rsid w:val="00F04B1C"/>
    <w:rsid w:val="00F04D28"/>
    <w:rsid w:val="00F0565F"/>
    <w:rsid w:val="00F05B92"/>
    <w:rsid w:val="00F0628B"/>
    <w:rsid w:val="00F06299"/>
    <w:rsid w:val="00F06300"/>
    <w:rsid w:val="00F063C1"/>
    <w:rsid w:val="00F065C3"/>
    <w:rsid w:val="00F0674D"/>
    <w:rsid w:val="00F06845"/>
    <w:rsid w:val="00F06C08"/>
    <w:rsid w:val="00F06CE9"/>
    <w:rsid w:val="00F06D59"/>
    <w:rsid w:val="00F06EE1"/>
    <w:rsid w:val="00F0719B"/>
    <w:rsid w:val="00F073CB"/>
    <w:rsid w:val="00F073CF"/>
    <w:rsid w:val="00F0747F"/>
    <w:rsid w:val="00F0768F"/>
    <w:rsid w:val="00F07C75"/>
    <w:rsid w:val="00F07D3D"/>
    <w:rsid w:val="00F100F8"/>
    <w:rsid w:val="00F10539"/>
    <w:rsid w:val="00F1067C"/>
    <w:rsid w:val="00F10953"/>
    <w:rsid w:val="00F10A07"/>
    <w:rsid w:val="00F111AB"/>
    <w:rsid w:val="00F11235"/>
    <w:rsid w:val="00F1131E"/>
    <w:rsid w:val="00F1139B"/>
    <w:rsid w:val="00F11981"/>
    <w:rsid w:val="00F11AFA"/>
    <w:rsid w:val="00F11C56"/>
    <w:rsid w:val="00F122FD"/>
    <w:rsid w:val="00F12442"/>
    <w:rsid w:val="00F12E6D"/>
    <w:rsid w:val="00F13768"/>
    <w:rsid w:val="00F13DA7"/>
    <w:rsid w:val="00F13DFE"/>
    <w:rsid w:val="00F14117"/>
    <w:rsid w:val="00F1457C"/>
    <w:rsid w:val="00F14759"/>
    <w:rsid w:val="00F14B99"/>
    <w:rsid w:val="00F14D44"/>
    <w:rsid w:val="00F158F2"/>
    <w:rsid w:val="00F15D8E"/>
    <w:rsid w:val="00F15F37"/>
    <w:rsid w:val="00F1631F"/>
    <w:rsid w:val="00F168BF"/>
    <w:rsid w:val="00F1691E"/>
    <w:rsid w:val="00F16991"/>
    <w:rsid w:val="00F16B8C"/>
    <w:rsid w:val="00F1717C"/>
    <w:rsid w:val="00F1747C"/>
    <w:rsid w:val="00F17C82"/>
    <w:rsid w:val="00F2029C"/>
    <w:rsid w:val="00F2044F"/>
    <w:rsid w:val="00F205B4"/>
    <w:rsid w:val="00F206C2"/>
    <w:rsid w:val="00F2074A"/>
    <w:rsid w:val="00F207C1"/>
    <w:rsid w:val="00F20C28"/>
    <w:rsid w:val="00F20DA2"/>
    <w:rsid w:val="00F20DF7"/>
    <w:rsid w:val="00F20EEF"/>
    <w:rsid w:val="00F219ED"/>
    <w:rsid w:val="00F21D2B"/>
    <w:rsid w:val="00F223D4"/>
    <w:rsid w:val="00F22700"/>
    <w:rsid w:val="00F22918"/>
    <w:rsid w:val="00F229A2"/>
    <w:rsid w:val="00F22A12"/>
    <w:rsid w:val="00F234DA"/>
    <w:rsid w:val="00F2377D"/>
    <w:rsid w:val="00F2397A"/>
    <w:rsid w:val="00F23B4F"/>
    <w:rsid w:val="00F23C78"/>
    <w:rsid w:val="00F23F5B"/>
    <w:rsid w:val="00F24168"/>
    <w:rsid w:val="00F2431A"/>
    <w:rsid w:val="00F24492"/>
    <w:rsid w:val="00F24D1C"/>
    <w:rsid w:val="00F256F4"/>
    <w:rsid w:val="00F25B89"/>
    <w:rsid w:val="00F25F30"/>
    <w:rsid w:val="00F25F41"/>
    <w:rsid w:val="00F26076"/>
    <w:rsid w:val="00F260CC"/>
    <w:rsid w:val="00F2619A"/>
    <w:rsid w:val="00F2660D"/>
    <w:rsid w:val="00F26AF3"/>
    <w:rsid w:val="00F27144"/>
    <w:rsid w:val="00F27449"/>
    <w:rsid w:val="00F2767C"/>
    <w:rsid w:val="00F27816"/>
    <w:rsid w:val="00F30762"/>
    <w:rsid w:val="00F30B04"/>
    <w:rsid w:val="00F30BEF"/>
    <w:rsid w:val="00F30C04"/>
    <w:rsid w:val="00F30D98"/>
    <w:rsid w:val="00F30ECC"/>
    <w:rsid w:val="00F30FEB"/>
    <w:rsid w:val="00F31316"/>
    <w:rsid w:val="00F318E5"/>
    <w:rsid w:val="00F31A3E"/>
    <w:rsid w:val="00F31DAE"/>
    <w:rsid w:val="00F32239"/>
    <w:rsid w:val="00F32420"/>
    <w:rsid w:val="00F32641"/>
    <w:rsid w:val="00F327CC"/>
    <w:rsid w:val="00F32819"/>
    <w:rsid w:val="00F32A8D"/>
    <w:rsid w:val="00F32C81"/>
    <w:rsid w:val="00F32FC3"/>
    <w:rsid w:val="00F3302D"/>
    <w:rsid w:val="00F3329C"/>
    <w:rsid w:val="00F333A4"/>
    <w:rsid w:val="00F3354A"/>
    <w:rsid w:val="00F33585"/>
    <w:rsid w:val="00F33CA8"/>
    <w:rsid w:val="00F34742"/>
    <w:rsid w:val="00F354BF"/>
    <w:rsid w:val="00F35F8C"/>
    <w:rsid w:val="00F36296"/>
    <w:rsid w:val="00F366DB"/>
    <w:rsid w:val="00F3680E"/>
    <w:rsid w:val="00F3688D"/>
    <w:rsid w:val="00F36B4D"/>
    <w:rsid w:val="00F36BAA"/>
    <w:rsid w:val="00F36BE5"/>
    <w:rsid w:val="00F36D51"/>
    <w:rsid w:val="00F36EFD"/>
    <w:rsid w:val="00F3794B"/>
    <w:rsid w:val="00F379A4"/>
    <w:rsid w:val="00F37E39"/>
    <w:rsid w:val="00F40251"/>
    <w:rsid w:val="00F4045A"/>
    <w:rsid w:val="00F40AF6"/>
    <w:rsid w:val="00F40B91"/>
    <w:rsid w:val="00F40C8A"/>
    <w:rsid w:val="00F40D54"/>
    <w:rsid w:val="00F41141"/>
    <w:rsid w:val="00F41394"/>
    <w:rsid w:val="00F414F3"/>
    <w:rsid w:val="00F4154D"/>
    <w:rsid w:val="00F415F1"/>
    <w:rsid w:val="00F416CC"/>
    <w:rsid w:val="00F41A01"/>
    <w:rsid w:val="00F41B76"/>
    <w:rsid w:val="00F41C49"/>
    <w:rsid w:val="00F425BD"/>
    <w:rsid w:val="00F42845"/>
    <w:rsid w:val="00F42B9E"/>
    <w:rsid w:val="00F42FE2"/>
    <w:rsid w:val="00F431FF"/>
    <w:rsid w:val="00F434E5"/>
    <w:rsid w:val="00F43C40"/>
    <w:rsid w:val="00F4451D"/>
    <w:rsid w:val="00F44941"/>
    <w:rsid w:val="00F44B8C"/>
    <w:rsid w:val="00F456A6"/>
    <w:rsid w:val="00F45A75"/>
    <w:rsid w:val="00F45D70"/>
    <w:rsid w:val="00F45DB4"/>
    <w:rsid w:val="00F46206"/>
    <w:rsid w:val="00F46795"/>
    <w:rsid w:val="00F46A35"/>
    <w:rsid w:val="00F46E02"/>
    <w:rsid w:val="00F472CE"/>
    <w:rsid w:val="00F47525"/>
    <w:rsid w:val="00F47652"/>
    <w:rsid w:val="00F47A57"/>
    <w:rsid w:val="00F47BC3"/>
    <w:rsid w:val="00F5045E"/>
    <w:rsid w:val="00F5089A"/>
    <w:rsid w:val="00F50CAF"/>
    <w:rsid w:val="00F51176"/>
    <w:rsid w:val="00F512D0"/>
    <w:rsid w:val="00F5152A"/>
    <w:rsid w:val="00F519DE"/>
    <w:rsid w:val="00F51C0E"/>
    <w:rsid w:val="00F52102"/>
    <w:rsid w:val="00F52163"/>
    <w:rsid w:val="00F523A7"/>
    <w:rsid w:val="00F52493"/>
    <w:rsid w:val="00F528CC"/>
    <w:rsid w:val="00F52CFF"/>
    <w:rsid w:val="00F52E71"/>
    <w:rsid w:val="00F541C4"/>
    <w:rsid w:val="00F5433C"/>
    <w:rsid w:val="00F54765"/>
    <w:rsid w:val="00F5485A"/>
    <w:rsid w:val="00F5491A"/>
    <w:rsid w:val="00F549DA"/>
    <w:rsid w:val="00F54ED6"/>
    <w:rsid w:val="00F5516B"/>
    <w:rsid w:val="00F558B5"/>
    <w:rsid w:val="00F55981"/>
    <w:rsid w:val="00F55995"/>
    <w:rsid w:val="00F55F91"/>
    <w:rsid w:val="00F562FD"/>
    <w:rsid w:val="00F56944"/>
    <w:rsid w:val="00F56A04"/>
    <w:rsid w:val="00F56E98"/>
    <w:rsid w:val="00F57247"/>
    <w:rsid w:val="00F57588"/>
    <w:rsid w:val="00F57F2D"/>
    <w:rsid w:val="00F60500"/>
    <w:rsid w:val="00F605B1"/>
    <w:rsid w:val="00F60616"/>
    <w:rsid w:val="00F6093B"/>
    <w:rsid w:val="00F60C2D"/>
    <w:rsid w:val="00F6159C"/>
    <w:rsid w:val="00F6179D"/>
    <w:rsid w:val="00F61CD9"/>
    <w:rsid w:val="00F61D33"/>
    <w:rsid w:val="00F61E96"/>
    <w:rsid w:val="00F622AC"/>
    <w:rsid w:val="00F62701"/>
    <w:rsid w:val="00F62BD6"/>
    <w:rsid w:val="00F630CF"/>
    <w:rsid w:val="00F63342"/>
    <w:rsid w:val="00F633CC"/>
    <w:rsid w:val="00F6346E"/>
    <w:rsid w:val="00F63D6E"/>
    <w:rsid w:val="00F64199"/>
    <w:rsid w:val="00F641E9"/>
    <w:rsid w:val="00F6423D"/>
    <w:rsid w:val="00F64634"/>
    <w:rsid w:val="00F64A09"/>
    <w:rsid w:val="00F64BFA"/>
    <w:rsid w:val="00F64D8D"/>
    <w:rsid w:val="00F65099"/>
    <w:rsid w:val="00F652B8"/>
    <w:rsid w:val="00F655BD"/>
    <w:rsid w:val="00F65990"/>
    <w:rsid w:val="00F65DCF"/>
    <w:rsid w:val="00F65F09"/>
    <w:rsid w:val="00F6609C"/>
    <w:rsid w:val="00F66319"/>
    <w:rsid w:val="00F663DF"/>
    <w:rsid w:val="00F66DAA"/>
    <w:rsid w:val="00F67568"/>
    <w:rsid w:val="00F67B8A"/>
    <w:rsid w:val="00F67EBF"/>
    <w:rsid w:val="00F67EC4"/>
    <w:rsid w:val="00F7026E"/>
    <w:rsid w:val="00F706C0"/>
    <w:rsid w:val="00F70EDB"/>
    <w:rsid w:val="00F71418"/>
    <w:rsid w:val="00F714E6"/>
    <w:rsid w:val="00F718A0"/>
    <w:rsid w:val="00F71D2E"/>
    <w:rsid w:val="00F71F58"/>
    <w:rsid w:val="00F724A9"/>
    <w:rsid w:val="00F72864"/>
    <w:rsid w:val="00F72AD9"/>
    <w:rsid w:val="00F72E6B"/>
    <w:rsid w:val="00F7315D"/>
    <w:rsid w:val="00F73517"/>
    <w:rsid w:val="00F73582"/>
    <w:rsid w:val="00F73926"/>
    <w:rsid w:val="00F73DFD"/>
    <w:rsid w:val="00F73F30"/>
    <w:rsid w:val="00F73FB9"/>
    <w:rsid w:val="00F741F8"/>
    <w:rsid w:val="00F74711"/>
    <w:rsid w:val="00F74740"/>
    <w:rsid w:val="00F748D0"/>
    <w:rsid w:val="00F74CDE"/>
    <w:rsid w:val="00F74E96"/>
    <w:rsid w:val="00F754F3"/>
    <w:rsid w:val="00F755F8"/>
    <w:rsid w:val="00F75B43"/>
    <w:rsid w:val="00F75CA6"/>
    <w:rsid w:val="00F75EBB"/>
    <w:rsid w:val="00F75F7E"/>
    <w:rsid w:val="00F7617A"/>
    <w:rsid w:val="00F76702"/>
    <w:rsid w:val="00F7684E"/>
    <w:rsid w:val="00F76DA9"/>
    <w:rsid w:val="00F76F79"/>
    <w:rsid w:val="00F771A4"/>
    <w:rsid w:val="00F77578"/>
    <w:rsid w:val="00F77614"/>
    <w:rsid w:val="00F777D5"/>
    <w:rsid w:val="00F77C3F"/>
    <w:rsid w:val="00F77D76"/>
    <w:rsid w:val="00F77E19"/>
    <w:rsid w:val="00F8026E"/>
    <w:rsid w:val="00F806EC"/>
    <w:rsid w:val="00F80743"/>
    <w:rsid w:val="00F809A9"/>
    <w:rsid w:val="00F80B80"/>
    <w:rsid w:val="00F80DC8"/>
    <w:rsid w:val="00F80FA8"/>
    <w:rsid w:val="00F8167C"/>
    <w:rsid w:val="00F81CEE"/>
    <w:rsid w:val="00F828EF"/>
    <w:rsid w:val="00F82A14"/>
    <w:rsid w:val="00F83339"/>
    <w:rsid w:val="00F83727"/>
    <w:rsid w:val="00F837B8"/>
    <w:rsid w:val="00F83A8C"/>
    <w:rsid w:val="00F83BEA"/>
    <w:rsid w:val="00F83C38"/>
    <w:rsid w:val="00F84482"/>
    <w:rsid w:val="00F8467D"/>
    <w:rsid w:val="00F846FA"/>
    <w:rsid w:val="00F84875"/>
    <w:rsid w:val="00F855CF"/>
    <w:rsid w:val="00F85EAC"/>
    <w:rsid w:val="00F8652F"/>
    <w:rsid w:val="00F8654C"/>
    <w:rsid w:val="00F865F6"/>
    <w:rsid w:val="00F86FCF"/>
    <w:rsid w:val="00F87285"/>
    <w:rsid w:val="00F873BF"/>
    <w:rsid w:val="00F87434"/>
    <w:rsid w:val="00F876DF"/>
    <w:rsid w:val="00F87852"/>
    <w:rsid w:val="00F87AFE"/>
    <w:rsid w:val="00F87B70"/>
    <w:rsid w:val="00F87C08"/>
    <w:rsid w:val="00F901E8"/>
    <w:rsid w:val="00F915C2"/>
    <w:rsid w:val="00F91A39"/>
    <w:rsid w:val="00F91C6F"/>
    <w:rsid w:val="00F91F0E"/>
    <w:rsid w:val="00F92001"/>
    <w:rsid w:val="00F9206B"/>
    <w:rsid w:val="00F922B5"/>
    <w:rsid w:val="00F92585"/>
    <w:rsid w:val="00F926E2"/>
    <w:rsid w:val="00F92E49"/>
    <w:rsid w:val="00F93064"/>
    <w:rsid w:val="00F9331E"/>
    <w:rsid w:val="00F93415"/>
    <w:rsid w:val="00F93523"/>
    <w:rsid w:val="00F9387C"/>
    <w:rsid w:val="00F93EF9"/>
    <w:rsid w:val="00F94489"/>
    <w:rsid w:val="00F94F03"/>
    <w:rsid w:val="00F953A4"/>
    <w:rsid w:val="00F95534"/>
    <w:rsid w:val="00F957E3"/>
    <w:rsid w:val="00F9738A"/>
    <w:rsid w:val="00F97811"/>
    <w:rsid w:val="00F97A02"/>
    <w:rsid w:val="00F97A7F"/>
    <w:rsid w:val="00F97D29"/>
    <w:rsid w:val="00FA0764"/>
    <w:rsid w:val="00FA0988"/>
    <w:rsid w:val="00FA0AD4"/>
    <w:rsid w:val="00FA11BF"/>
    <w:rsid w:val="00FA1485"/>
    <w:rsid w:val="00FA1C58"/>
    <w:rsid w:val="00FA1F7C"/>
    <w:rsid w:val="00FA21AC"/>
    <w:rsid w:val="00FA29F1"/>
    <w:rsid w:val="00FA2BAE"/>
    <w:rsid w:val="00FA2BBC"/>
    <w:rsid w:val="00FA2DC7"/>
    <w:rsid w:val="00FA3058"/>
    <w:rsid w:val="00FA3215"/>
    <w:rsid w:val="00FA37BF"/>
    <w:rsid w:val="00FA3A17"/>
    <w:rsid w:val="00FA3B8B"/>
    <w:rsid w:val="00FA3DD8"/>
    <w:rsid w:val="00FA3F6D"/>
    <w:rsid w:val="00FA4011"/>
    <w:rsid w:val="00FA49DC"/>
    <w:rsid w:val="00FA4A0E"/>
    <w:rsid w:val="00FA4A30"/>
    <w:rsid w:val="00FA4F2C"/>
    <w:rsid w:val="00FA50FF"/>
    <w:rsid w:val="00FA53B7"/>
    <w:rsid w:val="00FA55F6"/>
    <w:rsid w:val="00FA5AF4"/>
    <w:rsid w:val="00FA5B6C"/>
    <w:rsid w:val="00FA5C74"/>
    <w:rsid w:val="00FA5CA1"/>
    <w:rsid w:val="00FA600A"/>
    <w:rsid w:val="00FA6565"/>
    <w:rsid w:val="00FA6FC6"/>
    <w:rsid w:val="00FA71C4"/>
    <w:rsid w:val="00FA7231"/>
    <w:rsid w:val="00FA72BF"/>
    <w:rsid w:val="00FA73BA"/>
    <w:rsid w:val="00FA7830"/>
    <w:rsid w:val="00FA7E1D"/>
    <w:rsid w:val="00FB00BB"/>
    <w:rsid w:val="00FB07DD"/>
    <w:rsid w:val="00FB07EB"/>
    <w:rsid w:val="00FB0A0A"/>
    <w:rsid w:val="00FB1045"/>
    <w:rsid w:val="00FB142D"/>
    <w:rsid w:val="00FB14F7"/>
    <w:rsid w:val="00FB15CC"/>
    <w:rsid w:val="00FB15FF"/>
    <w:rsid w:val="00FB2179"/>
    <w:rsid w:val="00FB2354"/>
    <w:rsid w:val="00FB248F"/>
    <w:rsid w:val="00FB27C4"/>
    <w:rsid w:val="00FB286E"/>
    <w:rsid w:val="00FB2AD8"/>
    <w:rsid w:val="00FB35B9"/>
    <w:rsid w:val="00FB38D2"/>
    <w:rsid w:val="00FB40B5"/>
    <w:rsid w:val="00FB41B7"/>
    <w:rsid w:val="00FB41CA"/>
    <w:rsid w:val="00FB59FA"/>
    <w:rsid w:val="00FB5D19"/>
    <w:rsid w:val="00FB5DB3"/>
    <w:rsid w:val="00FB5E9E"/>
    <w:rsid w:val="00FB5FA6"/>
    <w:rsid w:val="00FB6374"/>
    <w:rsid w:val="00FB6528"/>
    <w:rsid w:val="00FB653F"/>
    <w:rsid w:val="00FB6611"/>
    <w:rsid w:val="00FB6744"/>
    <w:rsid w:val="00FB68F0"/>
    <w:rsid w:val="00FB6AB5"/>
    <w:rsid w:val="00FB6BE6"/>
    <w:rsid w:val="00FB6D0D"/>
    <w:rsid w:val="00FB6E81"/>
    <w:rsid w:val="00FB7381"/>
    <w:rsid w:val="00FB73F6"/>
    <w:rsid w:val="00FB7418"/>
    <w:rsid w:val="00FB74D4"/>
    <w:rsid w:val="00FB7629"/>
    <w:rsid w:val="00FC011A"/>
    <w:rsid w:val="00FC034B"/>
    <w:rsid w:val="00FC03B1"/>
    <w:rsid w:val="00FC0455"/>
    <w:rsid w:val="00FC0470"/>
    <w:rsid w:val="00FC08BB"/>
    <w:rsid w:val="00FC0F4A"/>
    <w:rsid w:val="00FC0F52"/>
    <w:rsid w:val="00FC102C"/>
    <w:rsid w:val="00FC10BC"/>
    <w:rsid w:val="00FC11FD"/>
    <w:rsid w:val="00FC199E"/>
    <w:rsid w:val="00FC19BC"/>
    <w:rsid w:val="00FC1B2B"/>
    <w:rsid w:val="00FC212D"/>
    <w:rsid w:val="00FC23E0"/>
    <w:rsid w:val="00FC273D"/>
    <w:rsid w:val="00FC2809"/>
    <w:rsid w:val="00FC2D0D"/>
    <w:rsid w:val="00FC343F"/>
    <w:rsid w:val="00FC3534"/>
    <w:rsid w:val="00FC35D5"/>
    <w:rsid w:val="00FC3D07"/>
    <w:rsid w:val="00FC3EFF"/>
    <w:rsid w:val="00FC4DD9"/>
    <w:rsid w:val="00FC4ECA"/>
    <w:rsid w:val="00FC4F66"/>
    <w:rsid w:val="00FC4FA7"/>
    <w:rsid w:val="00FC54D6"/>
    <w:rsid w:val="00FC63C3"/>
    <w:rsid w:val="00FC6460"/>
    <w:rsid w:val="00FC65B5"/>
    <w:rsid w:val="00FC693F"/>
    <w:rsid w:val="00FC6A68"/>
    <w:rsid w:val="00FC6A8B"/>
    <w:rsid w:val="00FC6B33"/>
    <w:rsid w:val="00FC6B84"/>
    <w:rsid w:val="00FC6C65"/>
    <w:rsid w:val="00FC6E8A"/>
    <w:rsid w:val="00FC6F83"/>
    <w:rsid w:val="00FC761F"/>
    <w:rsid w:val="00FC7A6E"/>
    <w:rsid w:val="00FC7DDD"/>
    <w:rsid w:val="00FC7EE9"/>
    <w:rsid w:val="00FC7FCB"/>
    <w:rsid w:val="00FD0121"/>
    <w:rsid w:val="00FD08FA"/>
    <w:rsid w:val="00FD1220"/>
    <w:rsid w:val="00FD1735"/>
    <w:rsid w:val="00FD1F4C"/>
    <w:rsid w:val="00FD20E2"/>
    <w:rsid w:val="00FD2168"/>
    <w:rsid w:val="00FD263E"/>
    <w:rsid w:val="00FD26CB"/>
    <w:rsid w:val="00FD2708"/>
    <w:rsid w:val="00FD27C3"/>
    <w:rsid w:val="00FD2953"/>
    <w:rsid w:val="00FD3642"/>
    <w:rsid w:val="00FD3643"/>
    <w:rsid w:val="00FD3D23"/>
    <w:rsid w:val="00FD4037"/>
    <w:rsid w:val="00FD41BF"/>
    <w:rsid w:val="00FD4379"/>
    <w:rsid w:val="00FD437E"/>
    <w:rsid w:val="00FD4CA6"/>
    <w:rsid w:val="00FD4DB9"/>
    <w:rsid w:val="00FD4F24"/>
    <w:rsid w:val="00FD551A"/>
    <w:rsid w:val="00FD582F"/>
    <w:rsid w:val="00FD5CCE"/>
    <w:rsid w:val="00FD6E16"/>
    <w:rsid w:val="00FD6E40"/>
    <w:rsid w:val="00FD6FDA"/>
    <w:rsid w:val="00FD758A"/>
    <w:rsid w:val="00FD78BA"/>
    <w:rsid w:val="00FD7B9B"/>
    <w:rsid w:val="00FD7E43"/>
    <w:rsid w:val="00FD7ECD"/>
    <w:rsid w:val="00FE0A13"/>
    <w:rsid w:val="00FE0C46"/>
    <w:rsid w:val="00FE0D0E"/>
    <w:rsid w:val="00FE11B6"/>
    <w:rsid w:val="00FE153C"/>
    <w:rsid w:val="00FE1713"/>
    <w:rsid w:val="00FE18B5"/>
    <w:rsid w:val="00FE1AD9"/>
    <w:rsid w:val="00FE1BE8"/>
    <w:rsid w:val="00FE1D2B"/>
    <w:rsid w:val="00FE1EAA"/>
    <w:rsid w:val="00FE1F24"/>
    <w:rsid w:val="00FE2095"/>
    <w:rsid w:val="00FE23A5"/>
    <w:rsid w:val="00FE26BB"/>
    <w:rsid w:val="00FE2839"/>
    <w:rsid w:val="00FE315F"/>
    <w:rsid w:val="00FE330C"/>
    <w:rsid w:val="00FE3827"/>
    <w:rsid w:val="00FE3A3A"/>
    <w:rsid w:val="00FE3C1E"/>
    <w:rsid w:val="00FE3E7B"/>
    <w:rsid w:val="00FE4111"/>
    <w:rsid w:val="00FE4457"/>
    <w:rsid w:val="00FE4501"/>
    <w:rsid w:val="00FE4645"/>
    <w:rsid w:val="00FE47C6"/>
    <w:rsid w:val="00FE4962"/>
    <w:rsid w:val="00FE4C5B"/>
    <w:rsid w:val="00FE4FF9"/>
    <w:rsid w:val="00FE5969"/>
    <w:rsid w:val="00FE5DED"/>
    <w:rsid w:val="00FE61CD"/>
    <w:rsid w:val="00FE69AB"/>
    <w:rsid w:val="00FE6CCC"/>
    <w:rsid w:val="00FE75EA"/>
    <w:rsid w:val="00FE79D0"/>
    <w:rsid w:val="00FE7C9A"/>
    <w:rsid w:val="00FE7FBB"/>
    <w:rsid w:val="00FF0053"/>
    <w:rsid w:val="00FF076D"/>
    <w:rsid w:val="00FF140B"/>
    <w:rsid w:val="00FF16AA"/>
    <w:rsid w:val="00FF1A20"/>
    <w:rsid w:val="00FF1BEF"/>
    <w:rsid w:val="00FF1C70"/>
    <w:rsid w:val="00FF1DA5"/>
    <w:rsid w:val="00FF2415"/>
    <w:rsid w:val="00FF241C"/>
    <w:rsid w:val="00FF2742"/>
    <w:rsid w:val="00FF2825"/>
    <w:rsid w:val="00FF28C5"/>
    <w:rsid w:val="00FF2C68"/>
    <w:rsid w:val="00FF3222"/>
    <w:rsid w:val="00FF381A"/>
    <w:rsid w:val="00FF3837"/>
    <w:rsid w:val="00FF3975"/>
    <w:rsid w:val="00FF3E12"/>
    <w:rsid w:val="00FF3E95"/>
    <w:rsid w:val="00FF41AD"/>
    <w:rsid w:val="00FF4798"/>
    <w:rsid w:val="00FF4F3F"/>
    <w:rsid w:val="00FF5366"/>
    <w:rsid w:val="00FF55C0"/>
    <w:rsid w:val="00FF6310"/>
    <w:rsid w:val="00FF6470"/>
    <w:rsid w:val="00FF660B"/>
    <w:rsid w:val="00FF67BC"/>
    <w:rsid w:val="00FF6D5C"/>
    <w:rsid w:val="00FF70CC"/>
    <w:rsid w:val="00FF7157"/>
    <w:rsid w:val="00FF7554"/>
    <w:rsid w:val="00FF7622"/>
    <w:rsid w:val="00FF7DA9"/>
    <w:rsid w:val="439EFC68"/>
    <w:rsid w:val="5C392E7A"/>
    <w:rsid w:val="6F5E9B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ADB50B"/>
  <w14:defaultImageDpi w14:val="300"/>
  <w15:docId w15:val="{4F4D7149-75AF-4BB5-95A6-8F14BDE2F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6A4"/>
    <w:pPr>
      <w:spacing w:after="120" w:line="252" w:lineRule="auto"/>
    </w:pPr>
    <w:rPr>
      <w:rFonts w:ascii="Verdana" w:eastAsia="Aptos" w:hAnsi="Verdana"/>
      <w:sz w:val="20"/>
      <w:lang w:val="en-AU"/>
    </w:rPr>
  </w:style>
  <w:style w:type="paragraph" w:styleId="Heading1">
    <w:name w:val="heading 1"/>
    <w:basedOn w:val="Normal"/>
    <w:next w:val="Normal"/>
    <w:link w:val="Heading1Char"/>
    <w:uiPriority w:val="9"/>
    <w:qFormat/>
    <w:rsid w:val="007F33FC"/>
    <w:pPr>
      <w:keepNext/>
      <w:keepLines/>
      <w:spacing w:after="480"/>
      <w:outlineLvl w:val="0"/>
    </w:pPr>
    <w:rPr>
      <w:rFonts w:eastAsiaTheme="majorEastAsia" w:cstheme="majorBidi"/>
      <w:b/>
      <w:bCs/>
      <w:color w:val="173F34" w:themeColor="accent1"/>
      <w:sz w:val="40"/>
      <w:szCs w:val="28"/>
    </w:rPr>
  </w:style>
  <w:style w:type="paragraph" w:styleId="Heading2">
    <w:name w:val="heading 2"/>
    <w:basedOn w:val="Normal"/>
    <w:next w:val="Normal"/>
    <w:link w:val="Heading2Char"/>
    <w:uiPriority w:val="9"/>
    <w:unhideWhenUsed/>
    <w:qFormat/>
    <w:rsid w:val="00654CA8"/>
    <w:pPr>
      <w:keepNext/>
      <w:keepLines/>
      <w:spacing w:before="240"/>
      <w:outlineLvl w:val="1"/>
    </w:pPr>
    <w:rPr>
      <w:rFonts w:eastAsiaTheme="majorEastAsia" w:cstheme="majorBidi"/>
      <w:b/>
      <w:bCs/>
      <w:color w:val="00694B" w:themeColor="accent3"/>
      <w:sz w:val="28"/>
      <w:szCs w:val="26"/>
    </w:rPr>
  </w:style>
  <w:style w:type="paragraph" w:styleId="Heading3">
    <w:name w:val="heading 3"/>
    <w:basedOn w:val="Normal"/>
    <w:next w:val="Normal"/>
    <w:link w:val="Heading3Char"/>
    <w:uiPriority w:val="9"/>
    <w:unhideWhenUsed/>
    <w:qFormat/>
    <w:rsid w:val="006775EF"/>
    <w:pPr>
      <w:keepNext/>
      <w:keepLines/>
      <w:spacing w:before="240"/>
      <w:outlineLvl w:val="2"/>
    </w:pPr>
    <w:rPr>
      <w:rFonts w:eastAsiaTheme="majorEastAsia" w:cstheme="majorBidi"/>
      <w:b/>
      <w:bCs/>
      <w:color w:val="173F34" w:themeColor="accent1"/>
      <w:sz w:val="22"/>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173F34"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B1F19"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B1F19"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173F34"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7F33FC"/>
    <w:rPr>
      <w:rFonts w:ascii="Verdana" w:eastAsiaTheme="majorEastAsia" w:hAnsi="Verdana" w:cstheme="majorBidi"/>
      <w:b/>
      <w:bCs/>
      <w:color w:val="173F34" w:themeColor="accent1"/>
      <w:sz w:val="40"/>
      <w:szCs w:val="28"/>
      <w:lang w:val="en-AU"/>
    </w:rPr>
  </w:style>
  <w:style w:type="character" w:customStyle="1" w:styleId="Heading2Char">
    <w:name w:val="Heading 2 Char"/>
    <w:basedOn w:val="DefaultParagraphFont"/>
    <w:link w:val="Heading2"/>
    <w:uiPriority w:val="9"/>
    <w:rsid w:val="00654CA8"/>
    <w:rPr>
      <w:rFonts w:ascii="Verdana" w:eastAsiaTheme="majorEastAsia" w:hAnsi="Verdana" w:cstheme="majorBidi"/>
      <w:b/>
      <w:bCs/>
      <w:color w:val="00694B" w:themeColor="accent3"/>
      <w:sz w:val="28"/>
      <w:szCs w:val="26"/>
      <w:lang w:val="en-AU"/>
    </w:rPr>
  </w:style>
  <w:style w:type="character" w:customStyle="1" w:styleId="Heading3Char">
    <w:name w:val="Heading 3 Char"/>
    <w:basedOn w:val="DefaultParagraphFont"/>
    <w:link w:val="Heading3"/>
    <w:uiPriority w:val="9"/>
    <w:rsid w:val="006775EF"/>
    <w:rPr>
      <w:rFonts w:ascii="Verdana" w:eastAsiaTheme="majorEastAsia" w:hAnsi="Verdana" w:cstheme="majorBidi"/>
      <w:b/>
      <w:bCs/>
      <w:color w:val="173F34" w:themeColor="accent1"/>
      <w:lang w:val="en-AU"/>
    </w:rPr>
  </w:style>
  <w:style w:type="paragraph" w:styleId="Title">
    <w:name w:val="Title"/>
    <w:basedOn w:val="Normal"/>
    <w:next w:val="Normal"/>
    <w:link w:val="TitleChar"/>
    <w:uiPriority w:val="10"/>
    <w:qFormat/>
    <w:rsid w:val="00BF1FDB"/>
    <w:pPr>
      <w:pBdr>
        <w:bottom w:val="single" w:sz="8" w:space="4" w:color="173F34" w:themeColor="accent1"/>
      </w:pBdr>
      <w:spacing w:after="300" w:line="240" w:lineRule="auto"/>
      <w:contextualSpacing/>
    </w:pPr>
    <w:rPr>
      <w:rFonts w:eastAsiaTheme="majorEastAsia" w:cstheme="majorBidi"/>
      <w:b/>
      <w:color w:val="173F34" w:themeColor="accent1"/>
      <w:spacing w:val="5"/>
      <w:kern w:val="28"/>
      <w:sz w:val="48"/>
      <w:szCs w:val="52"/>
    </w:rPr>
  </w:style>
  <w:style w:type="character" w:customStyle="1" w:styleId="TitleChar">
    <w:name w:val="Title Char"/>
    <w:basedOn w:val="DefaultParagraphFont"/>
    <w:link w:val="Title"/>
    <w:uiPriority w:val="10"/>
    <w:rsid w:val="00BF1FDB"/>
    <w:rPr>
      <w:rFonts w:ascii="Verdana" w:eastAsiaTheme="majorEastAsia" w:hAnsi="Verdana" w:cstheme="majorBidi"/>
      <w:b/>
      <w:color w:val="173F34" w:themeColor="accent1"/>
      <w:spacing w:val="5"/>
      <w:kern w:val="28"/>
      <w:sz w:val="48"/>
      <w:szCs w:val="52"/>
      <w:lang w:val="en-AU"/>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173F34"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173F3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7"/>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1"/>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173F34"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B1F19"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B1F19"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173F34"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173F3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173F34" w:themeColor="accent1"/>
      </w:pBdr>
      <w:spacing w:before="200" w:after="280"/>
      <w:ind w:left="936" w:right="936"/>
    </w:pPr>
    <w:rPr>
      <w:b/>
      <w:bCs/>
      <w:i/>
      <w:iCs/>
      <w:color w:val="173F34" w:themeColor="accent1"/>
    </w:rPr>
  </w:style>
  <w:style w:type="character" w:customStyle="1" w:styleId="IntenseQuoteChar">
    <w:name w:val="Intense Quote Char"/>
    <w:basedOn w:val="DefaultParagraphFont"/>
    <w:link w:val="IntenseQuote"/>
    <w:uiPriority w:val="30"/>
    <w:rsid w:val="00FC693F"/>
    <w:rPr>
      <w:b/>
      <w:bCs/>
      <w:i/>
      <w:iCs/>
      <w:color w:val="173F3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173F34" w:themeColor="accent1"/>
    </w:rPr>
  </w:style>
  <w:style w:type="character" w:styleId="SubtleReference">
    <w:name w:val="Subtle Reference"/>
    <w:basedOn w:val="DefaultParagraphFont"/>
    <w:uiPriority w:val="31"/>
    <w:qFormat/>
    <w:rsid w:val="00FC693F"/>
    <w:rPr>
      <w:smallCaps/>
      <w:color w:val="00BA6C" w:themeColor="accent2"/>
      <w:u w:val="single"/>
    </w:rPr>
  </w:style>
  <w:style w:type="character" w:styleId="IntenseReference">
    <w:name w:val="Intense Reference"/>
    <w:basedOn w:val="DefaultParagraphFont"/>
    <w:uiPriority w:val="32"/>
    <w:qFormat/>
    <w:rsid w:val="00FC693F"/>
    <w:rPr>
      <w:b/>
      <w:bCs/>
      <w:smallCaps/>
      <w:color w:val="00BA6C"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112F26" w:themeColor="accent1" w:themeShade="BF"/>
    </w:rPr>
    <w:tblPr>
      <w:tblStyleRowBandSize w:val="1"/>
      <w:tblStyleColBandSize w:val="1"/>
      <w:tblBorders>
        <w:top w:val="single" w:sz="8" w:space="0" w:color="173F34" w:themeColor="accent1"/>
        <w:bottom w:val="single" w:sz="8" w:space="0" w:color="173F34" w:themeColor="accent1"/>
      </w:tblBorders>
    </w:tblPr>
    <w:tblStylePr w:type="firstRow">
      <w:pPr>
        <w:spacing w:before="0" w:after="0" w:line="240" w:lineRule="auto"/>
      </w:pPr>
      <w:rPr>
        <w:b/>
        <w:bCs/>
      </w:rPr>
      <w:tblPr/>
      <w:tcPr>
        <w:tcBorders>
          <w:top w:val="single" w:sz="8" w:space="0" w:color="173F34" w:themeColor="accent1"/>
          <w:left w:val="nil"/>
          <w:bottom w:val="single" w:sz="8" w:space="0" w:color="173F34" w:themeColor="accent1"/>
          <w:right w:val="nil"/>
          <w:insideH w:val="nil"/>
          <w:insideV w:val="nil"/>
        </w:tcBorders>
      </w:tcPr>
    </w:tblStylePr>
    <w:tblStylePr w:type="lastRow">
      <w:pPr>
        <w:spacing w:before="0" w:after="0" w:line="240" w:lineRule="auto"/>
      </w:pPr>
      <w:rPr>
        <w:b/>
        <w:bCs/>
      </w:rPr>
      <w:tblPr/>
      <w:tcPr>
        <w:tcBorders>
          <w:top w:val="single" w:sz="8" w:space="0" w:color="173F34" w:themeColor="accent1"/>
          <w:left w:val="nil"/>
          <w:bottom w:val="single" w:sz="8" w:space="0" w:color="173F3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E3D5" w:themeFill="accent1" w:themeFillTint="3F"/>
      </w:tcPr>
    </w:tblStylePr>
    <w:tblStylePr w:type="band1Horz">
      <w:tblPr/>
      <w:tcPr>
        <w:tcBorders>
          <w:left w:val="nil"/>
          <w:right w:val="nil"/>
          <w:insideH w:val="nil"/>
          <w:insideV w:val="nil"/>
        </w:tcBorders>
        <w:shd w:val="clear" w:color="auto" w:fill="B2E3D5" w:themeFill="accent1" w:themeFillTint="3F"/>
      </w:tcPr>
    </w:tblStylePr>
  </w:style>
  <w:style w:type="table" w:styleId="LightShading-Accent2">
    <w:name w:val="Light Shading Accent 2"/>
    <w:basedOn w:val="TableNormal"/>
    <w:uiPriority w:val="60"/>
    <w:rsid w:val="00FC693F"/>
    <w:pPr>
      <w:spacing w:after="0" w:line="240" w:lineRule="auto"/>
    </w:pPr>
    <w:rPr>
      <w:color w:val="008B50" w:themeColor="accent2" w:themeShade="BF"/>
    </w:rPr>
    <w:tblPr>
      <w:tblStyleRowBandSize w:val="1"/>
      <w:tblStyleColBandSize w:val="1"/>
      <w:tblBorders>
        <w:top w:val="single" w:sz="8" w:space="0" w:color="00BA6C" w:themeColor="accent2"/>
        <w:bottom w:val="single" w:sz="8" w:space="0" w:color="00BA6C" w:themeColor="accent2"/>
      </w:tblBorders>
    </w:tblPr>
    <w:tblStylePr w:type="firstRow">
      <w:pPr>
        <w:spacing w:before="0" w:after="0" w:line="240" w:lineRule="auto"/>
      </w:pPr>
      <w:rPr>
        <w:b/>
        <w:bCs/>
      </w:rPr>
      <w:tblPr/>
      <w:tcPr>
        <w:tcBorders>
          <w:top w:val="single" w:sz="8" w:space="0" w:color="00BA6C" w:themeColor="accent2"/>
          <w:left w:val="nil"/>
          <w:bottom w:val="single" w:sz="8" w:space="0" w:color="00BA6C" w:themeColor="accent2"/>
          <w:right w:val="nil"/>
          <w:insideH w:val="nil"/>
          <w:insideV w:val="nil"/>
        </w:tcBorders>
      </w:tcPr>
    </w:tblStylePr>
    <w:tblStylePr w:type="lastRow">
      <w:pPr>
        <w:spacing w:before="0" w:after="0" w:line="240" w:lineRule="auto"/>
      </w:pPr>
      <w:rPr>
        <w:b/>
        <w:bCs/>
      </w:rPr>
      <w:tblPr/>
      <w:tcPr>
        <w:tcBorders>
          <w:top w:val="single" w:sz="8" w:space="0" w:color="00BA6C" w:themeColor="accent2"/>
          <w:left w:val="nil"/>
          <w:bottom w:val="single" w:sz="8" w:space="0" w:color="00BA6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EFFDD" w:themeFill="accent2" w:themeFillTint="3F"/>
      </w:tcPr>
    </w:tblStylePr>
    <w:tblStylePr w:type="band1Horz">
      <w:tblPr/>
      <w:tcPr>
        <w:tcBorders>
          <w:left w:val="nil"/>
          <w:right w:val="nil"/>
          <w:insideH w:val="nil"/>
          <w:insideV w:val="nil"/>
        </w:tcBorders>
        <w:shd w:val="clear" w:color="auto" w:fill="AEFFDD" w:themeFill="accent2" w:themeFillTint="3F"/>
      </w:tcPr>
    </w:tblStylePr>
  </w:style>
  <w:style w:type="table" w:styleId="LightShading-Accent3">
    <w:name w:val="Light Shading Accent 3"/>
    <w:basedOn w:val="TableNormal"/>
    <w:uiPriority w:val="60"/>
    <w:rsid w:val="00FC693F"/>
    <w:pPr>
      <w:spacing w:after="0" w:line="240" w:lineRule="auto"/>
    </w:pPr>
    <w:rPr>
      <w:color w:val="004E37" w:themeColor="accent3" w:themeShade="BF"/>
    </w:rPr>
    <w:tblPr>
      <w:tblStyleRowBandSize w:val="1"/>
      <w:tblStyleColBandSize w:val="1"/>
      <w:tblBorders>
        <w:top w:val="single" w:sz="8" w:space="0" w:color="00694B" w:themeColor="accent3"/>
        <w:bottom w:val="single" w:sz="8" w:space="0" w:color="00694B" w:themeColor="accent3"/>
      </w:tblBorders>
    </w:tblPr>
    <w:tblStylePr w:type="firstRow">
      <w:pPr>
        <w:spacing w:before="0" w:after="0" w:line="240" w:lineRule="auto"/>
      </w:pPr>
      <w:rPr>
        <w:b/>
        <w:bCs/>
      </w:rPr>
      <w:tblPr/>
      <w:tcPr>
        <w:tcBorders>
          <w:top w:val="single" w:sz="8" w:space="0" w:color="00694B" w:themeColor="accent3"/>
          <w:left w:val="nil"/>
          <w:bottom w:val="single" w:sz="8" w:space="0" w:color="00694B" w:themeColor="accent3"/>
          <w:right w:val="nil"/>
          <w:insideH w:val="nil"/>
          <w:insideV w:val="nil"/>
        </w:tcBorders>
      </w:tcPr>
    </w:tblStylePr>
    <w:tblStylePr w:type="lastRow">
      <w:pPr>
        <w:spacing w:before="0" w:after="0" w:line="240" w:lineRule="auto"/>
      </w:pPr>
      <w:rPr>
        <w:b/>
        <w:bCs/>
      </w:rPr>
      <w:tblPr/>
      <w:tcPr>
        <w:tcBorders>
          <w:top w:val="single" w:sz="8" w:space="0" w:color="00694B" w:themeColor="accent3"/>
          <w:left w:val="nil"/>
          <w:bottom w:val="single" w:sz="8" w:space="0" w:color="00694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FE2" w:themeFill="accent3" w:themeFillTint="3F"/>
      </w:tcPr>
    </w:tblStylePr>
    <w:tblStylePr w:type="band1Horz">
      <w:tblPr/>
      <w:tcPr>
        <w:tcBorders>
          <w:left w:val="nil"/>
          <w:right w:val="nil"/>
          <w:insideH w:val="nil"/>
          <w:insideV w:val="nil"/>
        </w:tcBorders>
        <w:shd w:val="clear" w:color="auto" w:fill="9AFFE2" w:themeFill="accent3" w:themeFillTint="3F"/>
      </w:tcPr>
    </w:tblStylePr>
  </w:style>
  <w:style w:type="table" w:styleId="LightShading-Accent4">
    <w:name w:val="Light Shading Accent 4"/>
    <w:basedOn w:val="TableNormal"/>
    <w:uiPriority w:val="60"/>
    <w:rsid w:val="00FC693F"/>
    <w:pPr>
      <w:spacing w:after="0" w:line="240" w:lineRule="auto"/>
    </w:pPr>
    <w:rPr>
      <w:color w:val="B5934B" w:themeColor="accent4" w:themeShade="BF"/>
    </w:rPr>
    <w:tblPr>
      <w:tblStyleRowBandSize w:val="1"/>
      <w:tblStyleColBandSize w:val="1"/>
      <w:tblBorders>
        <w:top w:val="single" w:sz="8" w:space="0" w:color="CEB888" w:themeColor="accent4"/>
        <w:bottom w:val="single" w:sz="8" w:space="0" w:color="CEB888" w:themeColor="accent4"/>
      </w:tblBorders>
    </w:tblPr>
    <w:tblStylePr w:type="firstRow">
      <w:pPr>
        <w:spacing w:before="0" w:after="0" w:line="240" w:lineRule="auto"/>
      </w:pPr>
      <w:rPr>
        <w:b/>
        <w:bCs/>
      </w:rPr>
      <w:tblPr/>
      <w:tcPr>
        <w:tcBorders>
          <w:top w:val="single" w:sz="8" w:space="0" w:color="CEB888" w:themeColor="accent4"/>
          <w:left w:val="nil"/>
          <w:bottom w:val="single" w:sz="8" w:space="0" w:color="CEB888" w:themeColor="accent4"/>
          <w:right w:val="nil"/>
          <w:insideH w:val="nil"/>
          <w:insideV w:val="nil"/>
        </w:tcBorders>
      </w:tcPr>
    </w:tblStylePr>
    <w:tblStylePr w:type="lastRow">
      <w:pPr>
        <w:spacing w:before="0" w:after="0" w:line="240" w:lineRule="auto"/>
      </w:pPr>
      <w:rPr>
        <w:b/>
        <w:bCs/>
      </w:rPr>
      <w:tblPr/>
      <w:tcPr>
        <w:tcBorders>
          <w:top w:val="single" w:sz="8" w:space="0" w:color="CEB888" w:themeColor="accent4"/>
          <w:left w:val="nil"/>
          <w:bottom w:val="single" w:sz="8" w:space="0" w:color="CEB88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EDE1" w:themeFill="accent4" w:themeFillTint="3F"/>
      </w:tcPr>
    </w:tblStylePr>
    <w:tblStylePr w:type="band1Horz">
      <w:tblPr/>
      <w:tcPr>
        <w:tcBorders>
          <w:left w:val="nil"/>
          <w:right w:val="nil"/>
          <w:insideH w:val="nil"/>
          <w:insideV w:val="nil"/>
        </w:tcBorders>
        <w:shd w:val="clear" w:color="auto" w:fill="F3EDE1" w:themeFill="accent4" w:themeFillTint="3F"/>
      </w:tcPr>
    </w:tblStylePr>
  </w:style>
  <w:style w:type="table" w:styleId="LightShading-Accent5">
    <w:name w:val="Light Shading Accent 5"/>
    <w:basedOn w:val="TableNormal"/>
    <w:uiPriority w:val="60"/>
    <w:rsid w:val="00FC693F"/>
    <w:pPr>
      <w:spacing w:after="0" w:line="240" w:lineRule="auto"/>
    </w:pPr>
    <w:rPr>
      <w:color w:val="B3B3B3" w:themeColor="accent5" w:themeShade="BF"/>
    </w:rPr>
    <w:tblPr>
      <w:tblStyleRowBandSize w:val="1"/>
      <w:tblStyleColBandSize w:val="1"/>
      <w:tblBorders>
        <w:top w:val="single" w:sz="8" w:space="0" w:color="F0F0F0" w:themeColor="accent5"/>
        <w:bottom w:val="single" w:sz="8" w:space="0" w:color="F0F0F0" w:themeColor="accent5"/>
      </w:tblBorders>
    </w:tblPr>
    <w:tblStylePr w:type="firstRow">
      <w:pPr>
        <w:spacing w:before="0" w:after="0" w:line="240" w:lineRule="auto"/>
      </w:pPr>
      <w:rPr>
        <w:b/>
        <w:bCs/>
      </w:rPr>
      <w:tblPr/>
      <w:tcPr>
        <w:tcBorders>
          <w:top w:val="single" w:sz="8" w:space="0" w:color="F0F0F0" w:themeColor="accent5"/>
          <w:left w:val="nil"/>
          <w:bottom w:val="single" w:sz="8" w:space="0" w:color="F0F0F0" w:themeColor="accent5"/>
          <w:right w:val="nil"/>
          <w:insideH w:val="nil"/>
          <w:insideV w:val="nil"/>
        </w:tcBorders>
      </w:tcPr>
    </w:tblStylePr>
    <w:tblStylePr w:type="lastRow">
      <w:pPr>
        <w:spacing w:before="0" w:after="0" w:line="240" w:lineRule="auto"/>
      </w:pPr>
      <w:rPr>
        <w:b/>
        <w:bCs/>
      </w:rPr>
      <w:tblPr/>
      <w:tcPr>
        <w:tcBorders>
          <w:top w:val="single" w:sz="8" w:space="0" w:color="F0F0F0" w:themeColor="accent5"/>
          <w:left w:val="nil"/>
          <w:bottom w:val="single" w:sz="8" w:space="0" w:color="F0F0F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BFB" w:themeFill="accent5" w:themeFillTint="3F"/>
      </w:tcPr>
    </w:tblStylePr>
    <w:tblStylePr w:type="band1Horz">
      <w:tblPr/>
      <w:tcPr>
        <w:tcBorders>
          <w:left w:val="nil"/>
          <w:right w:val="nil"/>
          <w:insideH w:val="nil"/>
          <w:insideV w:val="nil"/>
        </w:tcBorders>
        <w:shd w:val="clear" w:color="auto" w:fill="FBFBFB" w:themeFill="accent5" w:themeFillTint="3F"/>
      </w:tcPr>
    </w:tblStylePr>
  </w:style>
  <w:style w:type="table" w:styleId="LightShading-Accent6">
    <w:name w:val="Light Shading Accent 6"/>
    <w:basedOn w:val="TableNormal"/>
    <w:uiPriority w:val="60"/>
    <w:rsid w:val="00FC693F"/>
    <w:pPr>
      <w:spacing w:after="0" w:line="240" w:lineRule="auto"/>
    </w:pPr>
    <w:rPr>
      <w:color w:val="C9C197" w:themeColor="accent6" w:themeShade="BF"/>
    </w:rPr>
    <w:tblPr>
      <w:tblStyleRowBandSize w:val="1"/>
      <w:tblStyleColBandSize w:val="1"/>
      <w:tblBorders>
        <w:top w:val="single" w:sz="8" w:space="0" w:color="F2F0E6" w:themeColor="accent6"/>
        <w:bottom w:val="single" w:sz="8" w:space="0" w:color="F2F0E6" w:themeColor="accent6"/>
      </w:tblBorders>
    </w:tblPr>
    <w:tblStylePr w:type="firstRow">
      <w:pPr>
        <w:spacing w:before="0" w:after="0" w:line="240" w:lineRule="auto"/>
      </w:pPr>
      <w:rPr>
        <w:b/>
        <w:bCs/>
      </w:rPr>
      <w:tblPr/>
      <w:tcPr>
        <w:tcBorders>
          <w:top w:val="single" w:sz="8" w:space="0" w:color="F2F0E6" w:themeColor="accent6"/>
          <w:left w:val="nil"/>
          <w:bottom w:val="single" w:sz="8" w:space="0" w:color="F2F0E6" w:themeColor="accent6"/>
          <w:right w:val="nil"/>
          <w:insideH w:val="nil"/>
          <w:insideV w:val="nil"/>
        </w:tcBorders>
      </w:tcPr>
    </w:tblStylePr>
    <w:tblStylePr w:type="lastRow">
      <w:pPr>
        <w:spacing w:before="0" w:after="0" w:line="240" w:lineRule="auto"/>
      </w:pPr>
      <w:rPr>
        <w:b/>
        <w:bCs/>
      </w:rPr>
      <w:tblPr/>
      <w:tcPr>
        <w:tcBorders>
          <w:top w:val="single" w:sz="8" w:space="0" w:color="F2F0E6" w:themeColor="accent6"/>
          <w:left w:val="nil"/>
          <w:bottom w:val="single" w:sz="8" w:space="0" w:color="F2F0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BF8" w:themeFill="accent6" w:themeFillTint="3F"/>
      </w:tcPr>
    </w:tblStylePr>
    <w:tblStylePr w:type="band1Horz">
      <w:tblPr/>
      <w:tcPr>
        <w:tcBorders>
          <w:left w:val="nil"/>
          <w:right w:val="nil"/>
          <w:insideH w:val="nil"/>
          <w:insideV w:val="nil"/>
        </w:tcBorders>
        <w:shd w:val="clear" w:color="auto" w:fill="FBFBF8"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73F34" w:themeColor="accent1"/>
        <w:left w:val="single" w:sz="8" w:space="0" w:color="173F34" w:themeColor="accent1"/>
        <w:bottom w:val="single" w:sz="8" w:space="0" w:color="173F34" w:themeColor="accent1"/>
        <w:right w:val="single" w:sz="8" w:space="0" w:color="173F34" w:themeColor="accent1"/>
      </w:tblBorders>
    </w:tblPr>
    <w:tblStylePr w:type="firstRow">
      <w:pPr>
        <w:spacing w:before="0" w:after="0" w:line="240" w:lineRule="auto"/>
      </w:pPr>
      <w:rPr>
        <w:b/>
        <w:bCs/>
        <w:color w:val="FFFFFF" w:themeColor="background1"/>
      </w:rPr>
      <w:tblPr/>
      <w:tcPr>
        <w:shd w:val="clear" w:color="auto" w:fill="173F34" w:themeFill="accent1"/>
      </w:tcPr>
    </w:tblStylePr>
    <w:tblStylePr w:type="lastRow">
      <w:pPr>
        <w:spacing w:before="0" w:after="0" w:line="240" w:lineRule="auto"/>
      </w:pPr>
      <w:rPr>
        <w:b/>
        <w:bCs/>
      </w:rPr>
      <w:tblPr/>
      <w:tcPr>
        <w:tcBorders>
          <w:top w:val="double" w:sz="6" w:space="0" w:color="173F34" w:themeColor="accent1"/>
          <w:left w:val="single" w:sz="8" w:space="0" w:color="173F34" w:themeColor="accent1"/>
          <w:bottom w:val="single" w:sz="8" w:space="0" w:color="173F34" w:themeColor="accent1"/>
          <w:right w:val="single" w:sz="8" w:space="0" w:color="173F34" w:themeColor="accent1"/>
        </w:tcBorders>
      </w:tcPr>
    </w:tblStylePr>
    <w:tblStylePr w:type="firstCol">
      <w:rPr>
        <w:b/>
        <w:bCs/>
      </w:rPr>
    </w:tblStylePr>
    <w:tblStylePr w:type="lastCol">
      <w:rPr>
        <w:b/>
        <w:bCs/>
      </w:rPr>
    </w:tblStylePr>
    <w:tblStylePr w:type="band1Vert">
      <w:tblPr/>
      <w:tcPr>
        <w:tcBorders>
          <w:top w:val="single" w:sz="8" w:space="0" w:color="173F34" w:themeColor="accent1"/>
          <w:left w:val="single" w:sz="8" w:space="0" w:color="173F34" w:themeColor="accent1"/>
          <w:bottom w:val="single" w:sz="8" w:space="0" w:color="173F34" w:themeColor="accent1"/>
          <w:right w:val="single" w:sz="8" w:space="0" w:color="173F34" w:themeColor="accent1"/>
        </w:tcBorders>
      </w:tcPr>
    </w:tblStylePr>
    <w:tblStylePr w:type="band1Horz">
      <w:tblPr/>
      <w:tcPr>
        <w:tcBorders>
          <w:top w:val="single" w:sz="8" w:space="0" w:color="173F34" w:themeColor="accent1"/>
          <w:left w:val="single" w:sz="8" w:space="0" w:color="173F34" w:themeColor="accent1"/>
          <w:bottom w:val="single" w:sz="8" w:space="0" w:color="173F34" w:themeColor="accent1"/>
          <w:right w:val="single" w:sz="8" w:space="0" w:color="173F3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00BA6C" w:themeColor="accent2"/>
        <w:left w:val="single" w:sz="8" w:space="0" w:color="00BA6C" w:themeColor="accent2"/>
        <w:bottom w:val="single" w:sz="8" w:space="0" w:color="00BA6C" w:themeColor="accent2"/>
        <w:right w:val="single" w:sz="8" w:space="0" w:color="00BA6C" w:themeColor="accent2"/>
      </w:tblBorders>
    </w:tblPr>
    <w:tblStylePr w:type="firstRow">
      <w:pPr>
        <w:spacing w:before="0" w:after="0" w:line="240" w:lineRule="auto"/>
      </w:pPr>
      <w:rPr>
        <w:b/>
        <w:bCs/>
        <w:color w:val="FFFFFF" w:themeColor="background1"/>
      </w:rPr>
      <w:tblPr/>
      <w:tcPr>
        <w:shd w:val="clear" w:color="auto" w:fill="00BA6C" w:themeFill="accent2"/>
      </w:tcPr>
    </w:tblStylePr>
    <w:tblStylePr w:type="lastRow">
      <w:pPr>
        <w:spacing w:before="0" w:after="0" w:line="240" w:lineRule="auto"/>
      </w:pPr>
      <w:rPr>
        <w:b/>
        <w:bCs/>
      </w:rPr>
      <w:tblPr/>
      <w:tcPr>
        <w:tcBorders>
          <w:top w:val="double" w:sz="6" w:space="0" w:color="00BA6C" w:themeColor="accent2"/>
          <w:left w:val="single" w:sz="8" w:space="0" w:color="00BA6C" w:themeColor="accent2"/>
          <w:bottom w:val="single" w:sz="8" w:space="0" w:color="00BA6C" w:themeColor="accent2"/>
          <w:right w:val="single" w:sz="8" w:space="0" w:color="00BA6C" w:themeColor="accent2"/>
        </w:tcBorders>
      </w:tcPr>
    </w:tblStylePr>
    <w:tblStylePr w:type="firstCol">
      <w:rPr>
        <w:b/>
        <w:bCs/>
      </w:rPr>
    </w:tblStylePr>
    <w:tblStylePr w:type="lastCol">
      <w:rPr>
        <w:b/>
        <w:bCs/>
      </w:rPr>
    </w:tblStylePr>
    <w:tblStylePr w:type="band1Vert">
      <w:tblPr/>
      <w:tcPr>
        <w:tcBorders>
          <w:top w:val="single" w:sz="8" w:space="0" w:color="00BA6C" w:themeColor="accent2"/>
          <w:left w:val="single" w:sz="8" w:space="0" w:color="00BA6C" w:themeColor="accent2"/>
          <w:bottom w:val="single" w:sz="8" w:space="0" w:color="00BA6C" w:themeColor="accent2"/>
          <w:right w:val="single" w:sz="8" w:space="0" w:color="00BA6C" w:themeColor="accent2"/>
        </w:tcBorders>
      </w:tcPr>
    </w:tblStylePr>
    <w:tblStylePr w:type="band1Horz">
      <w:tblPr/>
      <w:tcPr>
        <w:tcBorders>
          <w:top w:val="single" w:sz="8" w:space="0" w:color="00BA6C" w:themeColor="accent2"/>
          <w:left w:val="single" w:sz="8" w:space="0" w:color="00BA6C" w:themeColor="accent2"/>
          <w:bottom w:val="single" w:sz="8" w:space="0" w:color="00BA6C" w:themeColor="accent2"/>
          <w:right w:val="single" w:sz="8" w:space="0" w:color="00BA6C"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00694B" w:themeColor="accent3"/>
        <w:left w:val="single" w:sz="8" w:space="0" w:color="00694B" w:themeColor="accent3"/>
        <w:bottom w:val="single" w:sz="8" w:space="0" w:color="00694B" w:themeColor="accent3"/>
        <w:right w:val="single" w:sz="8" w:space="0" w:color="00694B" w:themeColor="accent3"/>
      </w:tblBorders>
    </w:tblPr>
    <w:tblStylePr w:type="firstRow">
      <w:pPr>
        <w:spacing w:before="0" w:after="0" w:line="240" w:lineRule="auto"/>
      </w:pPr>
      <w:rPr>
        <w:b/>
        <w:bCs/>
        <w:color w:val="FFFFFF" w:themeColor="background1"/>
      </w:rPr>
      <w:tblPr/>
      <w:tcPr>
        <w:shd w:val="clear" w:color="auto" w:fill="00694B" w:themeFill="accent3"/>
      </w:tcPr>
    </w:tblStylePr>
    <w:tblStylePr w:type="lastRow">
      <w:pPr>
        <w:spacing w:before="0" w:after="0" w:line="240" w:lineRule="auto"/>
      </w:pPr>
      <w:rPr>
        <w:b/>
        <w:bCs/>
      </w:rPr>
      <w:tblPr/>
      <w:tcPr>
        <w:tcBorders>
          <w:top w:val="double" w:sz="6" w:space="0" w:color="00694B" w:themeColor="accent3"/>
          <w:left w:val="single" w:sz="8" w:space="0" w:color="00694B" w:themeColor="accent3"/>
          <w:bottom w:val="single" w:sz="8" w:space="0" w:color="00694B" w:themeColor="accent3"/>
          <w:right w:val="single" w:sz="8" w:space="0" w:color="00694B" w:themeColor="accent3"/>
        </w:tcBorders>
      </w:tcPr>
    </w:tblStylePr>
    <w:tblStylePr w:type="firstCol">
      <w:rPr>
        <w:b/>
        <w:bCs/>
      </w:rPr>
    </w:tblStylePr>
    <w:tblStylePr w:type="lastCol">
      <w:rPr>
        <w:b/>
        <w:bCs/>
      </w:rPr>
    </w:tblStylePr>
    <w:tblStylePr w:type="band1Vert">
      <w:tblPr/>
      <w:tcPr>
        <w:tcBorders>
          <w:top w:val="single" w:sz="8" w:space="0" w:color="00694B" w:themeColor="accent3"/>
          <w:left w:val="single" w:sz="8" w:space="0" w:color="00694B" w:themeColor="accent3"/>
          <w:bottom w:val="single" w:sz="8" w:space="0" w:color="00694B" w:themeColor="accent3"/>
          <w:right w:val="single" w:sz="8" w:space="0" w:color="00694B" w:themeColor="accent3"/>
        </w:tcBorders>
      </w:tcPr>
    </w:tblStylePr>
    <w:tblStylePr w:type="band1Horz">
      <w:tblPr/>
      <w:tcPr>
        <w:tcBorders>
          <w:top w:val="single" w:sz="8" w:space="0" w:color="00694B" w:themeColor="accent3"/>
          <w:left w:val="single" w:sz="8" w:space="0" w:color="00694B" w:themeColor="accent3"/>
          <w:bottom w:val="single" w:sz="8" w:space="0" w:color="00694B" w:themeColor="accent3"/>
          <w:right w:val="single" w:sz="8" w:space="0" w:color="00694B"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CEB888" w:themeColor="accent4"/>
        <w:left w:val="single" w:sz="8" w:space="0" w:color="CEB888" w:themeColor="accent4"/>
        <w:bottom w:val="single" w:sz="8" w:space="0" w:color="CEB888" w:themeColor="accent4"/>
        <w:right w:val="single" w:sz="8" w:space="0" w:color="CEB888" w:themeColor="accent4"/>
      </w:tblBorders>
    </w:tblPr>
    <w:tblStylePr w:type="firstRow">
      <w:pPr>
        <w:spacing w:before="0" w:after="0" w:line="240" w:lineRule="auto"/>
      </w:pPr>
      <w:rPr>
        <w:b/>
        <w:bCs/>
        <w:color w:val="FFFFFF" w:themeColor="background1"/>
      </w:rPr>
      <w:tblPr/>
      <w:tcPr>
        <w:shd w:val="clear" w:color="auto" w:fill="CEB888" w:themeFill="accent4"/>
      </w:tcPr>
    </w:tblStylePr>
    <w:tblStylePr w:type="lastRow">
      <w:pPr>
        <w:spacing w:before="0" w:after="0" w:line="240" w:lineRule="auto"/>
      </w:pPr>
      <w:rPr>
        <w:b/>
        <w:bCs/>
      </w:rPr>
      <w:tblPr/>
      <w:tcPr>
        <w:tcBorders>
          <w:top w:val="double" w:sz="6" w:space="0" w:color="CEB888" w:themeColor="accent4"/>
          <w:left w:val="single" w:sz="8" w:space="0" w:color="CEB888" w:themeColor="accent4"/>
          <w:bottom w:val="single" w:sz="8" w:space="0" w:color="CEB888" w:themeColor="accent4"/>
          <w:right w:val="single" w:sz="8" w:space="0" w:color="CEB888" w:themeColor="accent4"/>
        </w:tcBorders>
      </w:tcPr>
    </w:tblStylePr>
    <w:tblStylePr w:type="firstCol">
      <w:rPr>
        <w:b/>
        <w:bCs/>
      </w:rPr>
    </w:tblStylePr>
    <w:tblStylePr w:type="lastCol">
      <w:rPr>
        <w:b/>
        <w:bCs/>
      </w:rPr>
    </w:tblStylePr>
    <w:tblStylePr w:type="band1Vert">
      <w:tblPr/>
      <w:tcPr>
        <w:tcBorders>
          <w:top w:val="single" w:sz="8" w:space="0" w:color="CEB888" w:themeColor="accent4"/>
          <w:left w:val="single" w:sz="8" w:space="0" w:color="CEB888" w:themeColor="accent4"/>
          <w:bottom w:val="single" w:sz="8" w:space="0" w:color="CEB888" w:themeColor="accent4"/>
          <w:right w:val="single" w:sz="8" w:space="0" w:color="CEB888" w:themeColor="accent4"/>
        </w:tcBorders>
      </w:tcPr>
    </w:tblStylePr>
    <w:tblStylePr w:type="band1Horz">
      <w:tblPr/>
      <w:tcPr>
        <w:tcBorders>
          <w:top w:val="single" w:sz="8" w:space="0" w:color="CEB888" w:themeColor="accent4"/>
          <w:left w:val="single" w:sz="8" w:space="0" w:color="CEB888" w:themeColor="accent4"/>
          <w:bottom w:val="single" w:sz="8" w:space="0" w:color="CEB888" w:themeColor="accent4"/>
          <w:right w:val="single" w:sz="8" w:space="0" w:color="CEB888"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F0F0F0" w:themeColor="accent5"/>
        <w:left w:val="single" w:sz="8" w:space="0" w:color="F0F0F0" w:themeColor="accent5"/>
        <w:bottom w:val="single" w:sz="8" w:space="0" w:color="F0F0F0" w:themeColor="accent5"/>
        <w:right w:val="single" w:sz="8" w:space="0" w:color="F0F0F0" w:themeColor="accent5"/>
      </w:tblBorders>
    </w:tblPr>
    <w:tblStylePr w:type="firstRow">
      <w:pPr>
        <w:spacing w:before="0" w:after="0" w:line="240" w:lineRule="auto"/>
      </w:pPr>
      <w:rPr>
        <w:b/>
        <w:bCs/>
        <w:color w:val="FFFFFF" w:themeColor="background1"/>
      </w:rPr>
      <w:tblPr/>
      <w:tcPr>
        <w:shd w:val="clear" w:color="auto" w:fill="F0F0F0" w:themeFill="accent5"/>
      </w:tcPr>
    </w:tblStylePr>
    <w:tblStylePr w:type="lastRow">
      <w:pPr>
        <w:spacing w:before="0" w:after="0" w:line="240" w:lineRule="auto"/>
      </w:pPr>
      <w:rPr>
        <w:b/>
        <w:bCs/>
      </w:rPr>
      <w:tblPr/>
      <w:tcPr>
        <w:tcBorders>
          <w:top w:val="double" w:sz="6" w:space="0" w:color="F0F0F0" w:themeColor="accent5"/>
          <w:left w:val="single" w:sz="8" w:space="0" w:color="F0F0F0" w:themeColor="accent5"/>
          <w:bottom w:val="single" w:sz="8" w:space="0" w:color="F0F0F0" w:themeColor="accent5"/>
          <w:right w:val="single" w:sz="8" w:space="0" w:color="F0F0F0" w:themeColor="accent5"/>
        </w:tcBorders>
      </w:tcPr>
    </w:tblStylePr>
    <w:tblStylePr w:type="firstCol">
      <w:rPr>
        <w:b/>
        <w:bCs/>
      </w:rPr>
    </w:tblStylePr>
    <w:tblStylePr w:type="lastCol">
      <w:rPr>
        <w:b/>
        <w:bCs/>
      </w:rPr>
    </w:tblStylePr>
    <w:tblStylePr w:type="band1Vert">
      <w:tblPr/>
      <w:tcPr>
        <w:tcBorders>
          <w:top w:val="single" w:sz="8" w:space="0" w:color="F0F0F0" w:themeColor="accent5"/>
          <w:left w:val="single" w:sz="8" w:space="0" w:color="F0F0F0" w:themeColor="accent5"/>
          <w:bottom w:val="single" w:sz="8" w:space="0" w:color="F0F0F0" w:themeColor="accent5"/>
          <w:right w:val="single" w:sz="8" w:space="0" w:color="F0F0F0" w:themeColor="accent5"/>
        </w:tcBorders>
      </w:tcPr>
    </w:tblStylePr>
    <w:tblStylePr w:type="band1Horz">
      <w:tblPr/>
      <w:tcPr>
        <w:tcBorders>
          <w:top w:val="single" w:sz="8" w:space="0" w:color="F0F0F0" w:themeColor="accent5"/>
          <w:left w:val="single" w:sz="8" w:space="0" w:color="F0F0F0" w:themeColor="accent5"/>
          <w:bottom w:val="single" w:sz="8" w:space="0" w:color="F0F0F0" w:themeColor="accent5"/>
          <w:right w:val="single" w:sz="8" w:space="0" w:color="F0F0F0"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2F0E6" w:themeColor="accent6"/>
        <w:left w:val="single" w:sz="8" w:space="0" w:color="F2F0E6" w:themeColor="accent6"/>
        <w:bottom w:val="single" w:sz="8" w:space="0" w:color="F2F0E6" w:themeColor="accent6"/>
        <w:right w:val="single" w:sz="8" w:space="0" w:color="F2F0E6" w:themeColor="accent6"/>
      </w:tblBorders>
    </w:tblPr>
    <w:tblStylePr w:type="firstRow">
      <w:pPr>
        <w:spacing w:before="0" w:after="0" w:line="240" w:lineRule="auto"/>
      </w:pPr>
      <w:rPr>
        <w:b/>
        <w:bCs/>
        <w:color w:val="FFFFFF" w:themeColor="background1"/>
      </w:rPr>
      <w:tblPr/>
      <w:tcPr>
        <w:shd w:val="clear" w:color="auto" w:fill="F2F0E6" w:themeFill="accent6"/>
      </w:tcPr>
    </w:tblStylePr>
    <w:tblStylePr w:type="lastRow">
      <w:pPr>
        <w:spacing w:before="0" w:after="0" w:line="240" w:lineRule="auto"/>
      </w:pPr>
      <w:rPr>
        <w:b/>
        <w:bCs/>
      </w:rPr>
      <w:tblPr/>
      <w:tcPr>
        <w:tcBorders>
          <w:top w:val="double" w:sz="6" w:space="0" w:color="F2F0E6" w:themeColor="accent6"/>
          <w:left w:val="single" w:sz="8" w:space="0" w:color="F2F0E6" w:themeColor="accent6"/>
          <w:bottom w:val="single" w:sz="8" w:space="0" w:color="F2F0E6" w:themeColor="accent6"/>
          <w:right w:val="single" w:sz="8" w:space="0" w:color="F2F0E6" w:themeColor="accent6"/>
        </w:tcBorders>
      </w:tcPr>
    </w:tblStylePr>
    <w:tblStylePr w:type="firstCol">
      <w:rPr>
        <w:b/>
        <w:bCs/>
      </w:rPr>
    </w:tblStylePr>
    <w:tblStylePr w:type="lastCol">
      <w:rPr>
        <w:b/>
        <w:bCs/>
      </w:rPr>
    </w:tblStylePr>
    <w:tblStylePr w:type="band1Vert">
      <w:tblPr/>
      <w:tcPr>
        <w:tcBorders>
          <w:top w:val="single" w:sz="8" w:space="0" w:color="F2F0E6" w:themeColor="accent6"/>
          <w:left w:val="single" w:sz="8" w:space="0" w:color="F2F0E6" w:themeColor="accent6"/>
          <w:bottom w:val="single" w:sz="8" w:space="0" w:color="F2F0E6" w:themeColor="accent6"/>
          <w:right w:val="single" w:sz="8" w:space="0" w:color="F2F0E6" w:themeColor="accent6"/>
        </w:tcBorders>
      </w:tcPr>
    </w:tblStylePr>
    <w:tblStylePr w:type="band1Horz">
      <w:tblPr/>
      <w:tcPr>
        <w:tcBorders>
          <w:top w:val="single" w:sz="8" w:space="0" w:color="F2F0E6" w:themeColor="accent6"/>
          <w:left w:val="single" w:sz="8" w:space="0" w:color="F2F0E6" w:themeColor="accent6"/>
          <w:bottom w:val="single" w:sz="8" w:space="0" w:color="F2F0E6" w:themeColor="accent6"/>
          <w:right w:val="single" w:sz="8" w:space="0" w:color="F2F0E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73F34" w:themeColor="accent1"/>
        <w:left w:val="single" w:sz="8" w:space="0" w:color="173F34" w:themeColor="accent1"/>
        <w:bottom w:val="single" w:sz="8" w:space="0" w:color="173F34" w:themeColor="accent1"/>
        <w:right w:val="single" w:sz="8" w:space="0" w:color="173F34" w:themeColor="accent1"/>
        <w:insideH w:val="single" w:sz="8" w:space="0" w:color="173F34" w:themeColor="accent1"/>
        <w:insideV w:val="single" w:sz="8" w:space="0" w:color="173F3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3F34" w:themeColor="accent1"/>
          <w:left w:val="single" w:sz="8" w:space="0" w:color="173F34" w:themeColor="accent1"/>
          <w:bottom w:val="single" w:sz="18" w:space="0" w:color="173F34" w:themeColor="accent1"/>
          <w:right w:val="single" w:sz="8" w:space="0" w:color="173F34" w:themeColor="accent1"/>
          <w:insideH w:val="nil"/>
          <w:insideV w:val="single" w:sz="8" w:space="0" w:color="173F3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3F34" w:themeColor="accent1"/>
          <w:left w:val="single" w:sz="8" w:space="0" w:color="173F34" w:themeColor="accent1"/>
          <w:bottom w:val="single" w:sz="8" w:space="0" w:color="173F34" w:themeColor="accent1"/>
          <w:right w:val="single" w:sz="8" w:space="0" w:color="173F34" w:themeColor="accent1"/>
          <w:insideH w:val="nil"/>
          <w:insideV w:val="single" w:sz="8" w:space="0" w:color="173F3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3F34" w:themeColor="accent1"/>
          <w:left w:val="single" w:sz="8" w:space="0" w:color="173F34" w:themeColor="accent1"/>
          <w:bottom w:val="single" w:sz="8" w:space="0" w:color="173F34" w:themeColor="accent1"/>
          <w:right w:val="single" w:sz="8" w:space="0" w:color="173F34" w:themeColor="accent1"/>
        </w:tcBorders>
      </w:tcPr>
    </w:tblStylePr>
    <w:tblStylePr w:type="band1Vert">
      <w:tblPr/>
      <w:tcPr>
        <w:tcBorders>
          <w:top w:val="single" w:sz="8" w:space="0" w:color="173F34" w:themeColor="accent1"/>
          <w:left w:val="single" w:sz="8" w:space="0" w:color="173F34" w:themeColor="accent1"/>
          <w:bottom w:val="single" w:sz="8" w:space="0" w:color="173F34" w:themeColor="accent1"/>
          <w:right w:val="single" w:sz="8" w:space="0" w:color="173F34" w:themeColor="accent1"/>
        </w:tcBorders>
        <w:shd w:val="clear" w:color="auto" w:fill="B2E3D5" w:themeFill="accent1" w:themeFillTint="3F"/>
      </w:tcPr>
    </w:tblStylePr>
    <w:tblStylePr w:type="band1Horz">
      <w:tblPr/>
      <w:tcPr>
        <w:tcBorders>
          <w:top w:val="single" w:sz="8" w:space="0" w:color="173F34" w:themeColor="accent1"/>
          <w:left w:val="single" w:sz="8" w:space="0" w:color="173F34" w:themeColor="accent1"/>
          <w:bottom w:val="single" w:sz="8" w:space="0" w:color="173F34" w:themeColor="accent1"/>
          <w:right w:val="single" w:sz="8" w:space="0" w:color="173F34" w:themeColor="accent1"/>
          <w:insideV w:val="single" w:sz="8" w:space="0" w:color="173F34" w:themeColor="accent1"/>
        </w:tcBorders>
        <w:shd w:val="clear" w:color="auto" w:fill="B2E3D5" w:themeFill="accent1" w:themeFillTint="3F"/>
      </w:tcPr>
    </w:tblStylePr>
    <w:tblStylePr w:type="band2Horz">
      <w:tblPr/>
      <w:tcPr>
        <w:tcBorders>
          <w:top w:val="single" w:sz="8" w:space="0" w:color="173F34" w:themeColor="accent1"/>
          <w:left w:val="single" w:sz="8" w:space="0" w:color="173F34" w:themeColor="accent1"/>
          <w:bottom w:val="single" w:sz="8" w:space="0" w:color="173F34" w:themeColor="accent1"/>
          <w:right w:val="single" w:sz="8" w:space="0" w:color="173F34" w:themeColor="accent1"/>
          <w:insideV w:val="single" w:sz="8" w:space="0" w:color="173F3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00BA6C" w:themeColor="accent2"/>
        <w:left w:val="single" w:sz="8" w:space="0" w:color="00BA6C" w:themeColor="accent2"/>
        <w:bottom w:val="single" w:sz="8" w:space="0" w:color="00BA6C" w:themeColor="accent2"/>
        <w:right w:val="single" w:sz="8" w:space="0" w:color="00BA6C" w:themeColor="accent2"/>
        <w:insideH w:val="single" w:sz="8" w:space="0" w:color="00BA6C" w:themeColor="accent2"/>
        <w:insideV w:val="single" w:sz="8" w:space="0" w:color="00BA6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A6C" w:themeColor="accent2"/>
          <w:left w:val="single" w:sz="8" w:space="0" w:color="00BA6C" w:themeColor="accent2"/>
          <w:bottom w:val="single" w:sz="18" w:space="0" w:color="00BA6C" w:themeColor="accent2"/>
          <w:right w:val="single" w:sz="8" w:space="0" w:color="00BA6C" w:themeColor="accent2"/>
          <w:insideH w:val="nil"/>
          <w:insideV w:val="single" w:sz="8" w:space="0" w:color="00BA6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A6C" w:themeColor="accent2"/>
          <w:left w:val="single" w:sz="8" w:space="0" w:color="00BA6C" w:themeColor="accent2"/>
          <w:bottom w:val="single" w:sz="8" w:space="0" w:color="00BA6C" w:themeColor="accent2"/>
          <w:right w:val="single" w:sz="8" w:space="0" w:color="00BA6C" w:themeColor="accent2"/>
          <w:insideH w:val="nil"/>
          <w:insideV w:val="single" w:sz="8" w:space="0" w:color="00BA6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A6C" w:themeColor="accent2"/>
          <w:left w:val="single" w:sz="8" w:space="0" w:color="00BA6C" w:themeColor="accent2"/>
          <w:bottom w:val="single" w:sz="8" w:space="0" w:color="00BA6C" w:themeColor="accent2"/>
          <w:right w:val="single" w:sz="8" w:space="0" w:color="00BA6C" w:themeColor="accent2"/>
        </w:tcBorders>
      </w:tcPr>
    </w:tblStylePr>
    <w:tblStylePr w:type="band1Vert">
      <w:tblPr/>
      <w:tcPr>
        <w:tcBorders>
          <w:top w:val="single" w:sz="8" w:space="0" w:color="00BA6C" w:themeColor="accent2"/>
          <w:left w:val="single" w:sz="8" w:space="0" w:color="00BA6C" w:themeColor="accent2"/>
          <w:bottom w:val="single" w:sz="8" w:space="0" w:color="00BA6C" w:themeColor="accent2"/>
          <w:right w:val="single" w:sz="8" w:space="0" w:color="00BA6C" w:themeColor="accent2"/>
        </w:tcBorders>
        <w:shd w:val="clear" w:color="auto" w:fill="AEFFDD" w:themeFill="accent2" w:themeFillTint="3F"/>
      </w:tcPr>
    </w:tblStylePr>
    <w:tblStylePr w:type="band1Horz">
      <w:tblPr/>
      <w:tcPr>
        <w:tcBorders>
          <w:top w:val="single" w:sz="8" w:space="0" w:color="00BA6C" w:themeColor="accent2"/>
          <w:left w:val="single" w:sz="8" w:space="0" w:color="00BA6C" w:themeColor="accent2"/>
          <w:bottom w:val="single" w:sz="8" w:space="0" w:color="00BA6C" w:themeColor="accent2"/>
          <w:right w:val="single" w:sz="8" w:space="0" w:color="00BA6C" w:themeColor="accent2"/>
          <w:insideV w:val="single" w:sz="8" w:space="0" w:color="00BA6C" w:themeColor="accent2"/>
        </w:tcBorders>
        <w:shd w:val="clear" w:color="auto" w:fill="AEFFDD" w:themeFill="accent2" w:themeFillTint="3F"/>
      </w:tcPr>
    </w:tblStylePr>
    <w:tblStylePr w:type="band2Horz">
      <w:tblPr/>
      <w:tcPr>
        <w:tcBorders>
          <w:top w:val="single" w:sz="8" w:space="0" w:color="00BA6C" w:themeColor="accent2"/>
          <w:left w:val="single" w:sz="8" w:space="0" w:color="00BA6C" w:themeColor="accent2"/>
          <w:bottom w:val="single" w:sz="8" w:space="0" w:color="00BA6C" w:themeColor="accent2"/>
          <w:right w:val="single" w:sz="8" w:space="0" w:color="00BA6C" w:themeColor="accent2"/>
          <w:insideV w:val="single" w:sz="8" w:space="0" w:color="00BA6C"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00694B" w:themeColor="accent3"/>
        <w:left w:val="single" w:sz="8" w:space="0" w:color="00694B" w:themeColor="accent3"/>
        <w:bottom w:val="single" w:sz="8" w:space="0" w:color="00694B" w:themeColor="accent3"/>
        <w:right w:val="single" w:sz="8" w:space="0" w:color="00694B" w:themeColor="accent3"/>
        <w:insideH w:val="single" w:sz="8" w:space="0" w:color="00694B" w:themeColor="accent3"/>
        <w:insideV w:val="single" w:sz="8" w:space="0" w:color="00694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94B" w:themeColor="accent3"/>
          <w:left w:val="single" w:sz="8" w:space="0" w:color="00694B" w:themeColor="accent3"/>
          <w:bottom w:val="single" w:sz="18" w:space="0" w:color="00694B" w:themeColor="accent3"/>
          <w:right w:val="single" w:sz="8" w:space="0" w:color="00694B" w:themeColor="accent3"/>
          <w:insideH w:val="nil"/>
          <w:insideV w:val="single" w:sz="8" w:space="0" w:color="00694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94B" w:themeColor="accent3"/>
          <w:left w:val="single" w:sz="8" w:space="0" w:color="00694B" w:themeColor="accent3"/>
          <w:bottom w:val="single" w:sz="8" w:space="0" w:color="00694B" w:themeColor="accent3"/>
          <w:right w:val="single" w:sz="8" w:space="0" w:color="00694B" w:themeColor="accent3"/>
          <w:insideH w:val="nil"/>
          <w:insideV w:val="single" w:sz="8" w:space="0" w:color="00694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94B" w:themeColor="accent3"/>
          <w:left w:val="single" w:sz="8" w:space="0" w:color="00694B" w:themeColor="accent3"/>
          <w:bottom w:val="single" w:sz="8" w:space="0" w:color="00694B" w:themeColor="accent3"/>
          <w:right w:val="single" w:sz="8" w:space="0" w:color="00694B" w:themeColor="accent3"/>
        </w:tcBorders>
      </w:tcPr>
    </w:tblStylePr>
    <w:tblStylePr w:type="band1Vert">
      <w:tblPr/>
      <w:tcPr>
        <w:tcBorders>
          <w:top w:val="single" w:sz="8" w:space="0" w:color="00694B" w:themeColor="accent3"/>
          <w:left w:val="single" w:sz="8" w:space="0" w:color="00694B" w:themeColor="accent3"/>
          <w:bottom w:val="single" w:sz="8" w:space="0" w:color="00694B" w:themeColor="accent3"/>
          <w:right w:val="single" w:sz="8" w:space="0" w:color="00694B" w:themeColor="accent3"/>
        </w:tcBorders>
        <w:shd w:val="clear" w:color="auto" w:fill="9AFFE2" w:themeFill="accent3" w:themeFillTint="3F"/>
      </w:tcPr>
    </w:tblStylePr>
    <w:tblStylePr w:type="band1Horz">
      <w:tblPr/>
      <w:tcPr>
        <w:tcBorders>
          <w:top w:val="single" w:sz="8" w:space="0" w:color="00694B" w:themeColor="accent3"/>
          <w:left w:val="single" w:sz="8" w:space="0" w:color="00694B" w:themeColor="accent3"/>
          <w:bottom w:val="single" w:sz="8" w:space="0" w:color="00694B" w:themeColor="accent3"/>
          <w:right w:val="single" w:sz="8" w:space="0" w:color="00694B" w:themeColor="accent3"/>
          <w:insideV w:val="single" w:sz="8" w:space="0" w:color="00694B" w:themeColor="accent3"/>
        </w:tcBorders>
        <w:shd w:val="clear" w:color="auto" w:fill="9AFFE2" w:themeFill="accent3" w:themeFillTint="3F"/>
      </w:tcPr>
    </w:tblStylePr>
    <w:tblStylePr w:type="band2Horz">
      <w:tblPr/>
      <w:tcPr>
        <w:tcBorders>
          <w:top w:val="single" w:sz="8" w:space="0" w:color="00694B" w:themeColor="accent3"/>
          <w:left w:val="single" w:sz="8" w:space="0" w:color="00694B" w:themeColor="accent3"/>
          <w:bottom w:val="single" w:sz="8" w:space="0" w:color="00694B" w:themeColor="accent3"/>
          <w:right w:val="single" w:sz="8" w:space="0" w:color="00694B" w:themeColor="accent3"/>
          <w:insideV w:val="single" w:sz="8" w:space="0" w:color="00694B"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CEB888" w:themeColor="accent4"/>
        <w:left w:val="single" w:sz="8" w:space="0" w:color="CEB888" w:themeColor="accent4"/>
        <w:bottom w:val="single" w:sz="8" w:space="0" w:color="CEB888" w:themeColor="accent4"/>
        <w:right w:val="single" w:sz="8" w:space="0" w:color="CEB888" w:themeColor="accent4"/>
        <w:insideH w:val="single" w:sz="8" w:space="0" w:color="CEB888" w:themeColor="accent4"/>
        <w:insideV w:val="single" w:sz="8" w:space="0" w:color="CEB88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B888" w:themeColor="accent4"/>
          <w:left w:val="single" w:sz="8" w:space="0" w:color="CEB888" w:themeColor="accent4"/>
          <w:bottom w:val="single" w:sz="18" w:space="0" w:color="CEB888" w:themeColor="accent4"/>
          <w:right w:val="single" w:sz="8" w:space="0" w:color="CEB888" w:themeColor="accent4"/>
          <w:insideH w:val="nil"/>
          <w:insideV w:val="single" w:sz="8" w:space="0" w:color="CEB88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B888" w:themeColor="accent4"/>
          <w:left w:val="single" w:sz="8" w:space="0" w:color="CEB888" w:themeColor="accent4"/>
          <w:bottom w:val="single" w:sz="8" w:space="0" w:color="CEB888" w:themeColor="accent4"/>
          <w:right w:val="single" w:sz="8" w:space="0" w:color="CEB888" w:themeColor="accent4"/>
          <w:insideH w:val="nil"/>
          <w:insideV w:val="single" w:sz="8" w:space="0" w:color="CEB88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B888" w:themeColor="accent4"/>
          <w:left w:val="single" w:sz="8" w:space="0" w:color="CEB888" w:themeColor="accent4"/>
          <w:bottom w:val="single" w:sz="8" w:space="0" w:color="CEB888" w:themeColor="accent4"/>
          <w:right w:val="single" w:sz="8" w:space="0" w:color="CEB888" w:themeColor="accent4"/>
        </w:tcBorders>
      </w:tcPr>
    </w:tblStylePr>
    <w:tblStylePr w:type="band1Vert">
      <w:tblPr/>
      <w:tcPr>
        <w:tcBorders>
          <w:top w:val="single" w:sz="8" w:space="0" w:color="CEB888" w:themeColor="accent4"/>
          <w:left w:val="single" w:sz="8" w:space="0" w:color="CEB888" w:themeColor="accent4"/>
          <w:bottom w:val="single" w:sz="8" w:space="0" w:color="CEB888" w:themeColor="accent4"/>
          <w:right w:val="single" w:sz="8" w:space="0" w:color="CEB888" w:themeColor="accent4"/>
        </w:tcBorders>
        <w:shd w:val="clear" w:color="auto" w:fill="F3EDE1" w:themeFill="accent4" w:themeFillTint="3F"/>
      </w:tcPr>
    </w:tblStylePr>
    <w:tblStylePr w:type="band1Horz">
      <w:tblPr/>
      <w:tcPr>
        <w:tcBorders>
          <w:top w:val="single" w:sz="8" w:space="0" w:color="CEB888" w:themeColor="accent4"/>
          <w:left w:val="single" w:sz="8" w:space="0" w:color="CEB888" w:themeColor="accent4"/>
          <w:bottom w:val="single" w:sz="8" w:space="0" w:color="CEB888" w:themeColor="accent4"/>
          <w:right w:val="single" w:sz="8" w:space="0" w:color="CEB888" w:themeColor="accent4"/>
          <w:insideV w:val="single" w:sz="8" w:space="0" w:color="CEB888" w:themeColor="accent4"/>
        </w:tcBorders>
        <w:shd w:val="clear" w:color="auto" w:fill="F3EDE1" w:themeFill="accent4" w:themeFillTint="3F"/>
      </w:tcPr>
    </w:tblStylePr>
    <w:tblStylePr w:type="band2Horz">
      <w:tblPr/>
      <w:tcPr>
        <w:tcBorders>
          <w:top w:val="single" w:sz="8" w:space="0" w:color="CEB888" w:themeColor="accent4"/>
          <w:left w:val="single" w:sz="8" w:space="0" w:color="CEB888" w:themeColor="accent4"/>
          <w:bottom w:val="single" w:sz="8" w:space="0" w:color="CEB888" w:themeColor="accent4"/>
          <w:right w:val="single" w:sz="8" w:space="0" w:color="CEB888" w:themeColor="accent4"/>
          <w:insideV w:val="single" w:sz="8" w:space="0" w:color="CEB888"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F0F0F0" w:themeColor="accent5"/>
        <w:left w:val="single" w:sz="8" w:space="0" w:color="F0F0F0" w:themeColor="accent5"/>
        <w:bottom w:val="single" w:sz="8" w:space="0" w:color="F0F0F0" w:themeColor="accent5"/>
        <w:right w:val="single" w:sz="8" w:space="0" w:color="F0F0F0" w:themeColor="accent5"/>
        <w:insideH w:val="single" w:sz="8" w:space="0" w:color="F0F0F0" w:themeColor="accent5"/>
        <w:insideV w:val="single" w:sz="8" w:space="0" w:color="F0F0F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F0F0" w:themeColor="accent5"/>
          <w:left w:val="single" w:sz="8" w:space="0" w:color="F0F0F0" w:themeColor="accent5"/>
          <w:bottom w:val="single" w:sz="18" w:space="0" w:color="F0F0F0" w:themeColor="accent5"/>
          <w:right w:val="single" w:sz="8" w:space="0" w:color="F0F0F0" w:themeColor="accent5"/>
          <w:insideH w:val="nil"/>
          <w:insideV w:val="single" w:sz="8" w:space="0" w:color="F0F0F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F0F0" w:themeColor="accent5"/>
          <w:left w:val="single" w:sz="8" w:space="0" w:color="F0F0F0" w:themeColor="accent5"/>
          <w:bottom w:val="single" w:sz="8" w:space="0" w:color="F0F0F0" w:themeColor="accent5"/>
          <w:right w:val="single" w:sz="8" w:space="0" w:color="F0F0F0" w:themeColor="accent5"/>
          <w:insideH w:val="nil"/>
          <w:insideV w:val="single" w:sz="8" w:space="0" w:color="F0F0F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F0F0" w:themeColor="accent5"/>
          <w:left w:val="single" w:sz="8" w:space="0" w:color="F0F0F0" w:themeColor="accent5"/>
          <w:bottom w:val="single" w:sz="8" w:space="0" w:color="F0F0F0" w:themeColor="accent5"/>
          <w:right w:val="single" w:sz="8" w:space="0" w:color="F0F0F0" w:themeColor="accent5"/>
        </w:tcBorders>
      </w:tcPr>
    </w:tblStylePr>
    <w:tblStylePr w:type="band1Vert">
      <w:tblPr/>
      <w:tcPr>
        <w:tcBorders>
          <w:top w:val="single" w:sz="8" w:space="0" w:color="F0F0F0" w:themeColor="accent5"/>
          <w:left w:val="single" w:sz="8" w:space="0" w:color="F0F0F0" w:themeColor="accent5"/>
          <w:bottom w:val="single" w:sz="8" w:space="0" w:color="F0F0F0" w:themeColor="accent5"/>
          <w:right w:val="single" w:sz="8" w:space="0" w:color="F0F0F0" w:themeColor="accent5"/>
        </w:tcBorders>
        <w:shd w:val="clear" w:color="auto" w:fill="FBFBFB" w:themeFill="accent5" w:themeFillTint="3F"/>
      </w:tcPr>
    </w:tblStylePr>
    <w:tblStylePr w:type="band1Horz">
      <w:tblPr/>
      <w:tcPr>
        <w:tcBorders>
          <w:top w:val="single" w:sz="8" w:space="0" w:color="F0F0F0" w:themeColor="accent5"/>
          <w:left w:val="single" w:sz="8" w:space="0" w:color="F0F0F0" w:themeColor="accent5"/>
          <w:bottom w:val="single" w:sz="8" w:space="0" w:color="F0F0F0" w:themeColor="accent5"/>
          <w:right w:val="single" w:sz="8" w:space="0" w:color="F0F0F0" w:themeColor="accent5"/>
          <w:insideV w:val="single" w:sz="8" w:space="0" w:color="F0F0F0" w:themeColor="accent5"/>
        </w:tcBorders>
        <w:shd w:val="clear" w:color="auto" w:fill="FBFBFB" w:themeFill="accent5" w:themeFillTint="3F"/>
      </w:tcPr>
    </w:tblStylePr>
    <w:tblStylePr w:type="band2Horz">
      <w:tblPr/>
      <w:tcPr>
        <w:tcBorders>
          <w:top w:val="single" w:sz="8" w:space="0" w:color="F0F0F0" w:themeColor="accent5"/>
          <w:left w:val="single" w:sz="8" w:space="0" w:color="F0F0F0" w:themeColor="accent5"/>
          <w:bottom w:val="single" w:sz="8" w:space="0" w:color="F0F0F0" w:themeColor="accent5"/>
          <w:right w:val="single" w:sz="8" w:space="0" w:color="F0F0F0" w:themeColor="accent5"/>
          <w:insideV w:val="single" w:sz="8" w:space="0" w:color="F0F0F0"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2F0E6" w:themeColor="accent6"/>
        <w:left w:val="single" w:sz="8" w:space="0" w:color="F2F0E6" w:themeColor="accent6"/>
        <w:bottom w:val="single" w:sz="8" w:space="0" w:color="F2F0E6" w:themeColor="accent6"/>
        <w:right w:val="single" w:sz="8" w:space="0" w:color="F2F0E6" w:themeColor="accent6"/>
        <w:insideH w:val="single" w:sz="8" w:space="0" w:color="F2F0E6" w:themeColor="accent6"/>
        <w:insideV w:val="single" w:sz="8" w:space="0" w:color="F2F0E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F0E6" w:themeColor="accent6"/>
          <w:left w:val="single" w:sz="8" w:space="0" w:color="F2F0E6" w:themeColor="accent6"/>
          <w:bottom w:val="single" w:sz="18" w:space="0" w:color="F2F0E6" w:themeColor="accent6"/>
          <w:right w:val="single" w:sz="8" w:space="0" w:color="F2F0E6" w:themeColor="accent6"/>
          <w:insideH w:val="nil"/>
          <w:insideV w:val="single" w:sz="8" w:space="0" w:color="F2F0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F0E6" w:themeColor="accent6"/>
          <w:left w:val="single" w:sz="8" w:space="0" w:color="F2F0E6" w:themeColor="accent6"/>
          <w:bottom w:val="single" w:sz="8" w:space="0" w:color="F2F0E6" w:themeColor="accent6"/>
          <w:right w:val="single" w:sz="8" w:space="0" w:color="F2F0E6" w:themeColor="accent6"/>
          <w:insideH w:val="nil"/>
          <w:insideV w:val="single" w:sz="8" w:space="0" w:color="F2F0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F0E6" w:themeColor="accent6"/>
          <w:left w:val="single" w:sz="8" w:space="0" w:color="F2F0E6" w:themeColor="accent6"/>
          <w:bottom w:val="single" w:sz="8" w:space="0" w:color="F2F0E6" w:themeColor="accent6"/>
          <w:right w:val="single" w:sz="8" w:space="0" w:color="F2F0E6" w:themeColor="accent6"/>
        </w:tcBorders>
      </w:tcPr>
    </w:tblStylePr>
    <w:tblStylePr w:type="band1Vert">
      <w:tblPr/>
      <w:tcPr>
        <w:tcBorders>
          <w:top w:val="single" w:sz="8" w:space="0" w:color="F2F0E6" w:themeColor="accent6"/>
          <w:left w:val="single" w:sz="8" w:space="0" w:color="F2F0E6" w:themeColor="accent6"/>
          <w:bottom w:val="single" w:sz="8" w:space="0" w:color="F2F0E6" w:themeColor="accent6"/>
          <w:right w:val="single" w:sz="8" w:space="0" w:color="F2F0E6" w:themeColor="accent6"/>
        </w:tcBorders>
        <w:shd w:val="clear" w:color="auto" w:fill="FBFBF8" w:themeFill="accent6" w:themeFillTint="3F"/>
      </w:tcPr>
    </w:tblStylePr>
    <w:tblStylePr w:type="band1Horz">
      <w:tblPr/>
      <w:tcPr>
        <w:tcBorders>
          <w:top w:val="single" w:sz="8" w:space="0" w:color="F2F0E6" w:themeColor="accent6"/>
          <w:left w:val="single" w:sz="8" w:space="0" w:color="F2F0E6" w:themeColor="accent6"/>
          <w:bottom w:val="single" w:sz="8" w:space="0" w:color="F2F0E6" w:themeColor="accent6"/>
          <w:right w:val="single" w:sz="8" w:space="0" w:color="F2F0E6" w:themeColor="accent6"/>
          <w:insideV w:val="single" w:sz="8" w:space="0" w:color="F2F0E6" w:themeColor="accent6"/>
        </w:tcBorders>
        <w:shd w:val="clear" w:color="auto" w:fill="FBFBF8" w:themeFill="accent6" w:themeFillTint="3F"/>
      </w:tcPr>
    </w:tblStylePr>
    <w:tblStylePr w:type="band2Horz">
      <w:tblPr/>
      <w:tcPr>
        <w:tcBorders>
          <w:top w:val="single" w:sz="8" w:space="0" w:color="F2F0E6" w:themeColor="accent6"/>
          <w:left w:val="single" w:sz="8" w:space="0" w:color="F2F0E6" w:themeColor="accent6"/>
          <w:bottom w:val="single" w:sz="8" w:space="0" w:color="F2F0E6" w:themeColor="accent6"/>
          <w:right w:val="single" w:sz="8" w:space="0" w:color="F2F0E6" w:themeColor="accent6"/>
          <w:insideV w:val="single" w:sz="8" w:space="0" w:color="F2F0E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338C73" w:themeColor="accent1" w:themeTint="BF"/>
        <w:left w:val="single" w:sz="8" w:space="0" w:color="338C73" w:themeColor="accent1" w:themeTint="BF"/>
        <w:bottom w:val="single" w:sz="8" w:space="0" w:color="338C73" w:themeColor="accent1" w:themeTint="BF"/>
        <w:right w:val="single" w:sz="8" w:space="0" w:color="338C73" w:themeColor="accent1" w:themeTint="BF"/>
        <w:insideH w:val="single" w:sz="8" w:space="0" w:color="338C73" w:themeColor="accent1" w:themeTint="BF"/>
      </w:tblBorders>
    </w:tblPr>
    <w:tblStylePr w:type="firstRow">
      <w:pPr>
        <w:spacing w:before="0" w:after="0" w:line="240" w:lineRule="auto"/>
      </w:pPr>
      <w:rPr>
        <w:b/>
        <w:bCs/>
        <w:color w:val="FFFFFF" w:themeColor="background1"/>
      </w:rPr>
      <w:tblPr/>
      <w:tcPr>
        <w:tcBorders>
          <w:top w:val="single" w:sz="8" w:space="0" w:color="338C73" w:themeColor="accent1" w:themeTint="BF"/>
          <w:left w:val="single" w:sz="8" w:space="0" w:color="338C73" w:themeColor="accent1" w:themeTint="BF"/>
          <w:bottom w:val="single" w:sz="8" w:space="0" w:color="338C73" w:themeColor="accent1" w:themeTint="BF"/>
          <w:right w:val="single" w:sz="8" w:space="0" w:color="338C73" w:themeColor="accent1" w:themeTint="BF"/>
          <w:insideH w:val="nil"/>
          <w:insideV w:val="nil"/>
        </w:tcBorders>
        <w:shd w:val="clear" w:color="auto" w:fill="173F34" w:themeFill="accent1"/>
      </w:tcPr>
    </w:tblStylePr>
    <w:tblStylePr w:type="lastRow">
      <w:pPr>
        <w:spacing w:before="0" w:after="0" w:line="240" w:lineRule="auto"/>
      </w:pPr>
      <w:rPr>
        <w:b/>
        <w:bCs/>
      </w:rPr>
      <w:tblPr/>
      <w:tcPr>
        <w:tcBorders>
          <w:top w:val="double" w:sz="6" w:space="0" w:color="338C73" w:themeColor="accent1" w:themeTint="BF"/>
          <w:left w:val="single" w:sz="8" w:space="0" w:color="338C73" w:themeColor="accent1" w:themeTint="BF"/>
          <w:bottom w:val="single" w:sz="8" w:space="0" w:color="338C73" w:themeColor="accent1" w:themeTint="BF"/>
          <w:right w:val="single" w:sz="8" w:space="0" w:color="338C73"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E3D5" w:themeFill="accent1" w:themeFillTint="3F"/>
      </w:tcPr>
    </w:tblStylePr>
    <w:tblStylePr w:type="band1Horz">
      <w:tblPr/>
      <w:tcPr>
        <w:tcBorders>
          <w:insideH w:val="nil"/>
          <w:insideV w:val="nil"/>
        </w:tcBorders>
        <w:shd w:val="clear" w:color="auto" w:fill="B2E3D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0CFF99" w:themeColor="accent2" w:themeTint="BF"/>
        <w:left w:val="single" w:sz="8" w:space="0" w:color="0CFF99" w:themeColor="accent2" w:themeTint="BF"/>
        <w:bottom w:val="single" w:sz="8" w:space="0" w:color="0CFF99" w:themeColor="accent2" w:themeTint="BF"/>
        <w:right w:val="single" w:sz="8" w:space="0" w:color="0CFF99" w:themeColor="accent2" w:themeTint="BF"/>
        <w:insideH w:val="single" w:sz="8" w:space="0" w:color="0CFF99" w:themeColor="accent2" w:themeTint="BF"/>
      </w:tblBorders>
    </w:tblPr>
    <w:tblStylePr w:type="firstRow">
      <w:pPr>
        <w:spacing w:before="0" w:after="0" w:line="240" w:lineRule="auto"/>
      </w:pPr>
      <w:rPr>
        <w:b/>
        <w:bCs/>
        <w:color w:val="FFFFFF" w:themeColor="background1"/>
      </w:rPr>
      <w:tblPr/>
      <w:tcPr>
        <w:tcBorders>
          <w:top w:val="single" w:sz="8" w:space="0" w:color="0CFF99" w:themeColor="accent2" w:themeTint="BF"/>
          <w:left w:val="single" w:sz="8" w:space="0" w:color="0CFF99" w:themeColor="accent2" w:themeTint="BF"/>
          <w:bottom w:val="single" w:sz="8" w:space="0" w:color="0CFF99" w:themeColor="accent2" w:themeTint="BF"/>
          <w:right w:val="single" w:sz="8" w:space="0" w:color="0CFF99" w:themeColor="accent2" w:themeTint="BF"/>
          <w:insideH w:val="nil"/>
          <w:insideV w:val="nil"/>
        </w:tcBorders>
        <w:shd w:val="clear" w:color="auto" w:fill="00BA6C" w:themeFill="accent2"/>
      </w:tcPr>
    </w:tblStylePr>
    <w:tblStylePr w:type="lastRow">
      <w:pPr>
        <w:spacing w:before="0" w:after="0" w:line="240" w:lineRule="auto"/>
      </w:pPr>
      <w:rPr>
        <w:b/>
        <w:bCs/>
      </w:rPr>
      <w:tblPr/>
      <w:tcPr>
        <w:tcBorders>
          <w:top w:val="double" w:sz="6" w:space="0" w:color="0CFF99" w:themeColor="accent2" w:themeTint="BF"/>
          <w:left w:val="single" w:sz="8" w:space="0" w:color="0CFF99" w:themeColor="accent2" w:themeTint="BF"/>
          <w:bottom w:val="single" w:sz="8" w:space="0" w:color="0CFF99" w:themeColor="accent2" w:themeTint="BF"/>
          <w:right w:val="single" w:sz="8" w:space="0" w:color="0CFF99" w:themeColor="accent2" w:themeTint="BF"/>
          <w:insideH w:val="nil"/>
          <w:insideV w:val="nil"/>
        </w:tcBorders>
      </w:tcPr>
    </w:tblStylePr>
    <w:tblStylePr w:type="firstCol">
      <w:rPr>
        <w:b/>
        <w:bCs/>
      </w:rPr>
    </w:tblStylePr>
    <w:tblStylePr w:type="lastCol">
      <w:rPr>
        <w:b/>
        <w:bCs/>
      </w:rPr>
    </w:tblStylePr>
    <w:tblStylePr w:type="band1Vert">
      <w:tblPr/>
      <w:tcPr>
        <w:shd w:val="clear" w:color="auto" w:fill="AEFFDD" w:themeFill="accent2" w:themeFillTint="3F"/>
      </w:tcPr>
    </w:tblStylePr>
    <w:tblStylePr w:type="band1Horz">
      <w:tblPr/>
      <w:tcPr>
        <w:tcBorders>
          <w:insideH w:val="nil"/>
          <w:insideV w:val="nil"/>
        </w:tcBorders>
        <w:shd w:val="clear" w:color="auto" w:fill="AEFFD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00CE93" w:themeColor="accent3" w:themeTint="BF"/>
        <w:left w:val="single" w:sz="8" w:space="0" w:color="00CE93" w:themeColor="accent3" w:themeTint="BF"/>
        <w:bottom w:val="single" w:sz="8" w:space="0" w:color="00CE93" w:themeColor="accent3" w:themeTint="BF"/>
        <w:right w:val="single" w:sz="8" w:space="0" w:color="00CE93" w:themeColor="accent3" w:themeTint="BF"/>
        <w:insideH w:val="single" w:sz="8" w:space="0" w:color="00CE93" w:themeColor="accent3" w:themeTint="BF"/>
      </w:tblBorders>
    </w:tblPr>
    <w:tblStylePr w:type="firstRow">
      <w:pPr>
        <w:spacing w:before="0" w:after="0" w:line="240" w:lineRule="auto"/>
      </w:pPr>
      <w:rPr>
        <w:b/>
        <w:bCs/>
        <w:color w:val="FFFFFF" w:themeColor="background1"/>
      </w:rPr>
      <w:tblPr/>
      <w:tcPr>
        <w:tcBorders>
          <w:top w:val="single" w:sz="8" w:space="0" w:color="00CE93" w:themeColor="accent3" w:themeTint="BF"/>
          <w:left w:val="single" w:sz="8" w:space="0" w:color="00CE93" w:themeColor="accent3" w:themeTint="BF"/>
          <w:bottom w:val="single" w:sz="8" w:space="0" w:color="00CE93" w:themeColor="accent3" w:themeTint="BF"/>
          <w:right w:val="single" w:sz="8" w:space="0" w:color="00CE93" w:themeColor="accent3" w:themeTint="BF"/>
          <w:insideH w:val="nil"/>
          <w:insideV w:val="nil"/>
        </w:tcBorders>
        <w:shd w:val="clear" w:color="auto" w:fill="00694B" w:themeFill="accent3"/>
      </w:tcPr>
    </w:tblStylePr>
    <w:tblStylePr w:type="lastRow">
      <w:pPr>
        <w:spacing w:before="0" w:after="0" w:line="240" w:lineRule="auto"/>
      </w:pPr>
      <w:rPr>
        <w:b/>
        <w:bCs/>
      </w:rPr>
      <w:tblPr/>
      <w:tcPr>
        <w:tcBorders>
          <w:top w:val="double" w:sz="6" w:space="0" w:color="00CE93" w:themeColor="accent3" w:themeTint="BF"/>
          <w:left w:val="single" w:sz="8" w:space="0" w:color="00CE93" w:themeColor="accent3" w:themeTint="BF"/>
          <w:bottom w:val="single" w:sz="8" w:space="0" w:color="00CE93" w:themeColor="accent3" w:themeTint="BF"/>
          <w:right w:val="single" w:sz="8" w:space="0" w:color="00CE93" w:themeColor="accent3" w:themeTint="BF"/>
          <w:insideH w:val="nil"/>
          <w:insideV w:val="nil"/>
        </w:tcBorders>
      </w:tcPr>
    </w:tblStylePr>
    <w:tblStylePr w:type="firstCol">
      <w:rPr>
        <w:b/>
        <w:bCs/>
      </w:rPr>
    </w:tblStylePr>
    <w:tblStylePr w:type="lastCol">
      <w:rPr>
        <w:b/>
        <w:bCs/>
      </w:rPr>
    </w:tblStylePr>
    <w:tblStylePr w:type="band1Vert">
      <w:tblPr/>
      <w:tcPr>
        <w:shd w:val="clear" w:color="auto" w:fill="9AFFE2" w:themeFill="accent3" w:themeFillTint="3F"/>
      </w:tcPr>
    </w:tblStylePr>
    <w:tblStylePr w:type="band1Horz">
      <w:tblPr/>
      <w:tcPr>
        <w:tcBorders>
          <w:insideH w:val="nil"/>
          <w:insideV w:val="nil"/>
        </w:tcBorders>
        <w:shd w:val="clear" w:color="auto" w:fill="9AFFE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DAC9A5" w:themeColor="accent4" w:themeTint="BF"/>
        <w:left w:val="single" w:sz="8" w:space="0" w:color="DAC9A5" w:themeColor="accent4" w:themeTint="BF"/>
        <w:bottom w:val="single" w:sz="8" w:space="0" w:color="DAC9A5" w:themeColor="accent4" w:themeTint="BF"/>
        <w:right w:val="single" w:sz="8" w:space="0" w:color="DAC9A5" w:themeColor="accent4" w:themeTint="BF"/>
        <w:insideH w:val="single" w:sz="8" w:space="0" w:color="DAC9A5" w:themeColor="accent4" w:themeTint="BF"/>
      </w:tblBorders>
    </w:tblPr>
    <w:tblStylePr w:type="firstRow">
      <w:pPr>
        <w:spacing w:before="0" w:after="0" w:line="240" w:lineRule="auto"/>
      </w:pPr>
      <w:rPr>
        <w:b/>
        <w:bCs/>
        <w:color w:val="FFFFFF" w:themeColor="background1"/>
      </w:rPr>
      <w:tblPr/>
      <w:tcPr>
        <w:tcBorders>
          <w:top w:val="single" w:sz="8" w:space="0" w:color="DAC9A5" w:themeColor="accent4" w:themeTint="BF"/>
          <w:left w:val="single" w:sz="8" w:space="0" w:color="DAC9A5" w:themeColor="accent4" w:themeTint="BF"/>
          <w:bottom w:val="single" w:sz="8" w:space="0" w:color="DAC9A5" w:themeColor="accent4" w:themeTint="BF"/>
          <w:right w:val="single" w:sz="8" w:space="0" w:color="DAC9A5" w:themeColor="accent4" w:themeTint="BF"/>
          <w:insideH w:val="nil"/>
          <w:insideV w:val="nil"/>
        </w:tcBorders>
        <w:shd w:val="clear" w:color="auto" w:fill="CEB888" w:themeFill="accent4"/>
      </w:tcPr>
    </w:tblStylePr>
    <w:tblStylePr w:type="lastRow">
      <w:pPr>
        <w:spacing w:before="0" w:after="0" w:line="240" w:lineRule="auto"/>
      </w:pPr>
      <w:rPr>
        <w:b/>
        <w:bCs/>
      </w:rPr>
      <w:tblPr/>
      <w:tcPr>
        <w:tcBorders>
          <w:top w:val="double" w:sz="6" w:space="0" w:color="DAC9A5" w:themeColor="accent4" w:themeTint="BF"/>
          <w:left w:val="single" w:sz="8" w:space="0" w:color="DAC9A5" w:themeColor="accent4" w:themeTint="BF"/>
          <w:bottom w:val="single" w:sz="8" w:space="0" w:color="DAC9A5" w:themeColor="accent4" w:themeTint="BF"/>
          <w:right w:val="single" w:sz="8" w:space="0" w:color="DAC9A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3EDE1" w:themeFill="accent4" w:themeFillTint="3F"/>
      </w:tcPr>
    </w:tblStylePr>
    <w:tblStylePr w:type="band1Horz">
      <w:tblPr/>
      <w:tcPr>
        <w:tcBorders>
          <w:insideH w:val="nil"/>
          <w:insideV w:val="nil"/>
        </w:tcBorders>
        <w:shd w:val="clear" w:color="auto" w:fill="F3EDE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F3F3F3" w:themeColor="accent5" w:themeTint="BF"/>
        <w:left w:val="single" w:sz="8" w:space="0" w:color="F3F3F3" w:themeColor="accent5" w:themeTint="BF"/>
        <w:bottom w:val="single" w:sz="8" w:space="0" w:color="F3F3F3" w:themeColor="accent5" w:themeTint="BF"/>
        <w:right w:val="single" w:sz="8" w:space="0" w:color="F3F3F3" w:themeColor="accent5" w:themeTint="BF"/>
        <w:insideH w:val="single" w:sz="8" w:space="0" w:color="F3F3F3" w:themeColor="accent5" w:themeTint="BF"/>
      </w:tblBorders>
    </w:tblPr>
    <w:tblStylePr w:type="firstRow">
      <w:pPr>
        <w:spacing w:before="0" w:after="0" w:line="240" w:lineRule="auto"/>
      </w:pPr>
      <w:rPr>
        <w:b/>
        <w:bCs/>
        <w:color w:val="FFFFFF" w:themeColor="background1"/>
      </w:rPr>
      <w:tblPr/>
      <w:tcPr>
        <w:tcBorders>
          <w:top w:val="single" w:sz="8" w:space="0" w:color="F3F3F3" w:themeColor="accent5" w:themeTint="BF"/>
          <w:left w:val="single" w:sz="8" w:space="0" w:color="F3F3F3" w:themeColor="accent5" w:themeTint="BF"/>
          <w:bottom w:val="single" w:sz="8" w:space="0" w:color="F3F3F3" w:themeColor="accent5" w:themeTint="BF"/>
          <w:right w:val="single" w:sz="8" w:space="0" w:color="F3F3F3" w:themeColor="accent5" w:themeTint="BF"/>
          <w:insideH w:val="nil"/>
          <w:insideV w:val="nil"/>
        </w:tcBorders>
        <w:shd w:val="clear" w:color="auto" w:fill="F0F0F0" w:themeFill="accent5"/>
      </w:tcPr>
    </w:tblStylePr>
    <w:tblStylePr w:type="lastRow">
      <w:pPr>
        <w:spacing w:before="0" w:after="0" w:line="240" w:lineRule="auto"/>
      </w:pPr>
      <w:rPr>
        <w:b/>
        <w:bCs/>
      </w:rPr>
      <w:tblPr/>
      <w:tcPr>
        <w:tcBorders>
          <w:top w:val="double" w:sz="6" w:space="0" w:color="F3F3F3" w:themeColor="accent5" w:themeTint="BF"/>
          <w:left w:val="single" w:sz="8" w:space="0" w:color="F3F3F3" w:themeColor="accent5" w:themeTint="BF"/>
          <w:bottom w:val="single" w:sz="8" w:space="0" w:color="F3F3F3" w:themeColor="accent5" w:themeTint="BF"/>
          <w:right w:val="single" w:sz="8" w:space="0" w:color="F3F3F3" w:themeColor="accent5" w:themeTint="BF"/>
          <w:insideH w:val="nil"/>
          <w:insideV w:val="nil"/>
        </w:tcBorders>
      </w:tcPr>
    </w:tblStylePr>
    <w:tblStylePr w:type="firstCol">
      <w:rPr>
        <w:b/>
        <w:bCs/>
      </w:rPr>
    </w:tblStylePr>
    <w:tblStylePr w:type="lastCol">
      <w:rPr>
        <w:b/>
        <w:bCs/>
      </w:rPr>
    </w:tblStylePr>
    <w:tblStylePr w:type="band1Vert">
      <w:tblPr/>
      <w:tcPr>
        <w:shd w:val="clear" w:color="auto" w:fill="FBFBFB" w:themeFill="accent5" w:themeFillTint="3F"/>
      </w:tcPr>
    </w:tblStylePr>
    <w:tblStylePr w:type="band1Horz">
      <w:tblPr/>
      <w:tcPr>
        <w:tcBorders>
          <w:insideH w:val="nil"/>
          <w:insideV w:val="nil"/>
        </w:tcBorders>
        <w:shd w:val="clear" w:color="auto" w:fill="FBFBF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5F3EC" w:themeColor="accent6" w:themeTint="BF"/>
        <w:left w:val="single" w:sz="8" w:space="0" w:color="F5F3EC" w:themeColor="accent6" w:themeTint="BF"/>
        <w:bottom w:val="single" w:sz="8" w:space="0" w:color="F5F3EC" w:themeColor="accent6" w:themeTint="BF"/>
        <w:right w:val="single" w:sz="8" w:space="0" w:color="F5F3EC" w:themeColor="accent6" w:themeTint="BF"/>
        <w:insideH w:val="single" w:sz="8" w:space="0" w:color="F5F3EC" w:themeColor="accent6" w:themeTint="BF"/>
      </w:tblBorders>
    </w:tblPr>
    <w:tblStylePr w:type="firstRow">
      <w:pPr>
        <w:spacing w:before="0" w:after="0" w:line="240" w:lineRule="auto"/>
      </w:pPr>
      <w:rPr>
        <w:b/>
        <w:bCs/>
        <w:color w:val="FFFFFF" w:themeColor="background1"/>
      </w:rPr>
      <w:tblPr/>
      <w:tcPr>
        <w:tcBorders>
          <w:top w:val="single" w:sz="8" w:space="0" w:color="F5F3EC" w:themeColor="accent6" w:themeTint="BF"/>
          <w:left w:val="single" w:sz="8" w:space="0" w:color="F5F3EC" w:themeColor="accent6" w:themeTint="BF"/>
          <w:bottom w:val="single" w:sz="8" w:space="0" w:color="F5F3EC" w:themeColor="accent6" w:themeTint="BF"/>
          <w:right w:val="single" w:sz="8" w:space="0" w:color="F5F3EC" w:themeColor="accent6" w:themeTint="BF"/>
          <w:insideH w:val="nil"/>
          <w:insideV w:val="nil"/>
        </w:tcBorders>
        <w:shd w:val="clear" w:color="auto" w:fill="F2F0E6" w:themeFill="accent6"/>
      </w:tcPr>
    </w:tblStylePr>
    <w:tblStylePr w:type="lastRow">
      <w:pPr>
        <w:spacing w:before="0" w:after="0" w:line="240" w:lineRule="auto"/>
      </w:pPr>
      <w:rPr>
        <w:b/>
        <w:bCs/>
      </w:rPr>
      <w:tblPr/>
      <w:tcPr>
        <w:tcBorders>
          <w:top w:val="double" w:sz="6" w:space="0" w:color="F5F3EC" w:themeColor="accent6" w:themeTint="BF"/>
          <w:left w:val="single" w:sz="8" w:space="0" w:color="F5F3EC" w:themeColor="accent6" w:themeTint="BF"/>
          <w:bottom w:val="single" w:sz="8" w:space="0" w:color="F5F3EC" w:themeColor="accent6" w:themeTint="BF"/>
          <w:right w:val="single" w:sz="8" w:space="0" w:color="F5F3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BFBF8" w:themeFill="accent6" w:themeFillTint="3F"/>
      </w:tcPr>
    </w:tblStylePr>
    <w:tblStylePr w:type="band1Horz">
      <w:tblPr/>
      <w:tcPr>
        <w:tcBorders>
          <w:insideH w:val="nil"/>
          <w:insideV w:val="nil"/>
        </w:tcBorders>
        <w:shd w:val="clear" w:color="auto" w:fill="FBFB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3F3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73F34" w:themeFill="accent1"/>
      </w:tcPr>
    </w:tblStylePr>
    <w:tblStylePr w:type="lastCol">
      <w:rPr>
        <w:b/>
        <w:bCs/>
        <w:color w:val="FFFFFF" w:themeColor="background1"/>
      </w:rPr>
      <w:tblPr/>
      <w:tcPr>
        <w:tcBorders>
          <w:left w:val="nil"/>
          <w:right w:val="nil"/>
          <w:insideH w:val="nil"/>
          <w:insideV w:val="nil"/>
        </w:tcBorders>
        <w:shd w:val="clear" w:color="auto" w:fill="173F3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A6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A6C" w:themeFill="accent2"/>
      </w:tcPr>
    </w:tblStylePr>
    <w:tblStylePr w:type="lastCol">
      <w:rPr>
        <w:b/>
        <w:bCs/>
        <w:color w:val="FFFFFF" w:themeColor="background1"/>
      </w:rPr>
      <w:tblPr/>
      <w:tcPr>
        <w:tcBorders>
          <w:left w:val="nil"/>
          <w:right w:val="nil"/>
          <w:insideH w:val="nil"/>
          <w:insideV w:val="nil"/>
        </w:tcBorders>
        <w:shd w:val="clear" w:color="auto" w:fill="00BA6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94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94B" w:themeFill="accent3"/>
      </w:tcPr>
    </w:tblStylePr>
    <w:tblStylePr w:type="lastCol">
      <w:rPr>
        <w:b/>
        <w:bCs/>
        <w:color w:val="FFFFFF" w:themeColor="background1"/>
      </w:rPr>
      <w:tblPr/>
      <w:tcPr>
        <w:tcBorders>
          <w:left w:val="nil"/>
          <w:right w:val="nil"/>
          <w:insideH w:val="nil"/>
          <w:insideV w:val="nil"/>
        </w:tcBorders>
        <w:shd w:val="clear" w:color="auto" w:fill="00694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B88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B888" w:themeFill="accent4"/>
      </w:tcPr>
    </w:tblStylePr>
    <w:tblStylePr w:type="lastCol">
      <w:rPr>
        <w:b/>
        <w:bCs/>
        <w:color w:val="FFFFFF" w:themeColor="background1"/>
      </w:rPr>
      <w:tblPr/>
      <w:tcPr>
        <w:tcBorders>
          <w:left w:val="nil"/>
          <w:right w:val="nil"/>
          <w:insideH w:val="nil"/>
          <w:insideV w:val="nil"/>
        </w:tcBorders>
        <w:shd w:val="clear" w:color="auto" w:fill="CEB88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F0F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F0F0" w:themeFill="accent5"/>
      </w:tcPr>
    </w:tblStylePr>
    <w:tblStylePr w:type="lastCol">
      <w:rPr>
        <w:b/>
        <w:bCs/>
        <w:color w:val="FFFFFF" w:themeColor="background1"/>
      </w:rPr>
      <w:tblPr/>
      <w:tcPr>
        <w:tcBorders>
          <w:left w:val="nil"/>
          <w:right w:val="nil"/>
          <w:insideH w:val="nil"/>
          <w:insideV w:val="nil"/>
        </w:tcBorders>
        <w:shd w:val="clear" w:color="auto" w:fill="F0F0F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F0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F0E6" w:themeFill="accent6"/>
      </w:tcPr>
    </w:tblStylePr>
    <w:tblStylePr w:type="lastCol">
      <w:rPr>
        <w:b/>
        <w:bCs/>
        <w:color w:val="FFFFFF" w:themeColor="background1"/>
      </w:rPr>
      <w:tblPr/>
      <w:tcPr>
        <w:tcBorders>
          <w:left w:val="nil"/>
          <w:right w:val="nil"/>
          <w:insideH w:val="nil"/>
          <w:insideV w:val="nil"/>
        </w:tcBorders>
        <w:shd w:val="clear" w:color="auto" w:fill="F2F0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73F34" w:themeColor="accent1"/>
        <w:bottom w:val="single" w:sz="8" w:space="0" w:color="173F34" w:themeColor="accent1"/>
      </w:tblBorders>
    </w:tblPr>
    <w:tblStylePr w:type="firstRow">
      <w:rPr>
        <w:rFonts w:asciiTheme="majorHAnsi" w:eastAsiaTheme="majorEastAsia" w:hAnsiTheme="majorHAnsi" w:cstheme="majorBidi"/>
      </w:rPr>
      <w:tblPr/>
      <w:tcPr>
        <w:tcBorders>
          <w:top w:val="nil"/>
          <w:bottom w:val="single" w:sz="8" w:space="0" w:color="173F34" w:themeColor="accent1"/>
        </w:tcBorders>
      </w:tcPr>
    </w:tblStylePr>
    <w:tblStylePr w:type="lastRow">
      <w:rPr>
        <w:b/>
        <w:bCs/>
        <w:color w:val="000000" w:themeColor="text2"/>
      </w:rPr>
      <w:tblPr/>
      <w:tcPr>
        <w:tcBorders>
          <w:top w:val="single" w:sz="8" w:space="0" w:color="173F34" w:themeColor="accent1"/>
          <w:bottom w:val="single" w:sz="8" w:space="0" w:color="173F34" w:themeColor="accent1"/>
        </w:tcBorders>
      </w:tcPr>
    </w:tblStylePr>
    <w:tblStylePr w:type="firstCol">
      <w:rPr>
        <w:b/>
        <w:bCs/>
      </w:rPr>
    </w:tblStylePr>
    <w:tblStylePr w:type="lastCol">
      <w:rPr>
        <w:b/>
        <w:bCs/>
      </w:rPr>
      <w:tblPr/>
      <w:tcPr>
        <w:tcBorders>
          <w:top w:val="single" w:sz="8" w:space="0" w:color="173F34" w:themeColor="accent1"/>
          <w:bottom w:val="single" w:sz="8" w:space="0" w:color="173F34" w:themeColor="accent1"/>
        </w:tcBorders>
      </w:tcPr>
    </w:tblStylePr>
    <w:tblStylePr w:type="band1Vert">
      <w:tblPr/>
      <w:tcPr>
        <w:shd w:val="clear" w:color="auto" w:fill="B2E3D5" w:themeFill="accent1" w:themeFillTint="3F"/>
      </w:tcPr>
    </w:tblStylePr>
    <w:tblStylePr w:type="band1Horz">
      <w:tblPr/>
      <w:tcPr>
        <w:shd w:val="clear" w:color="auto" w:fill="B2E3D5"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00BA6C" w:themeColor="accent2"/>
        <w:bottom w:val="single" w:sz="8" w:space="0" w:color="00BA6C" w:themeColor="accent2"/>
      </w:tblBorders>
    </w:tblPr>
    <w:tblStylePr w:type="firstRow">
      <w:rPr>
        <w:rFonts w:asciiTheme="majorHAnsi" w:eastAsiaTheme="majorEastAsia" w:hAnsiTheme="majorHAnsi" w:cstheme="majorBidi"/>
      </w:rPr>
      <w:tblPr/>
      <w:tcPr>
        <w:tcBorders>
          <w:top w:val="nil"/>
          <w:bottom w:val="single" w:sz="8" w:space="0" w:color="00BA6C" w:themeColor="accent2"/>
        </w:tcBorders>
      </w:tcPr>
    </w:tblStylePr>
    <w:tblStylePr w:type="lastRow">
      <w:rPr>
        <w:b/>
        <w:bCs/>
        <w:color w:val="000000" w:themeColor="text2"/>
      </w:rPr>
      <w:tblPr/>
      <w:tcPr>
        <w:tcBorders>
          <w:top w:val="single" w:sz="8" w:space="0" w:color="00BA6C" w:themeColor="accent2"/>
          <w:bottom w:val="single" w:sz="8" w:space="0" w:color="00BA6C" w:themeColor="accent2"/>
        </w:tcBorders>
      </w:tcPr>
    </w:tblStylePr>
    <w:tblStylePr w:type="firstCol">
      <w:rPr>
        <w:b/>
        <w:bCs/>
      </w:rPr>
    </w:tblStylePr>
    <w:tblStylePr w:type="lastCol">
      <w:rPr>
        <w:b/>
        <w:bCs/>
      </w:rPr>
      <w:tblPr/>
      <w:tcPr>
        <w:tcBorders>
          <w:top w:val="single" w:sz="8" w:space="0" w:color="00BA6C" w:themeColor="accent2"/>
          <w:bottom w:val="single" w:sz="8" w:space="0" w:color="00BA6C" w:themeColor="accent2"/>
        </w:tcBorders>
      </w:tcPr>
    </w:tblStylePr>
    <w:tblStylePr w:type="band1Vert">
      <w:tblPr/>
      <w:tcPr>
        <w:shd w:val="clear" w:color="auto" w:fill="AEFFDD" w:themeFill="accent2" w:themeFillTint="3F"/>
      </w:tcPr>
    </w:tblStylePr>
    <w:tblStylePr w:type="band1Horz">
      <w:tblPr/>
      <w:tcPr>
        <w:shd w:val="clear" w:color="auto" w:fill="AEFFDD"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00694B" w:themeColor="accent3"/>
        <w:bottom w:val="single" w:sz="8" w:space="0" w:color="00694B" w:themeColor="accent3"/>
      </w:tblBorders>
    </w:tblPr>
    <w:tblStylePr w:type="firstRow">
      <w:rPr>
        <w:rFonts w:asciiTheme="majorHAnsi" w:eastAsiaTheme="majorEastAsia" w:hAnsiTheme="majorHAnsi" w:cstheme="majorBidi"/>
      </w:rPr>
      <w:tblPr/>
      <w:tcPr>
        <w:tcBorders>
          <w:top w:val="nil"/>
          <w:bottom w:val="single" w:sz="8" w:space="0" w:color="00694B" w:themeColor="accent3"/>
        </w:tcBorders>
      </w:tcPr>
    </w:tblStylePr>
    <w:tblStylePr w:type="lastRow">
      <w:rPr>
        <w:b/>
        <w:bCs/>
        <w:color w:val="000000" w:themeColor="text2"/>
      </w:rPr>
      <w:tblPr/>
      <w:tcPr>
        <w:tcBorders>
          <w:top w:val="single" w:sz="8" w:space="0" w:color="00694B" w:themeColor="accent3"/>
          <w:bottom w:val="single" w:sz="8" w:space="0" w:color="00694B" w:themeColor="accent3"/>
        </w:tcBorders>
      </w:tcPr>
    </w:tblStylePr>
    <w:tblStylePr w:type="firstCol">
      <w:rPr>
        <w:b/>
        <w:bCs/>
      </w:rPr>
    </w:tblStylePr>
    <w:tblStylePr w:type="lastCol">
      <w:rPr>
        <w:b/>
        <w:bCs/>
      </w:rPr>
      <w:tblPr/>
      <w:tcPr>
        <w:tcBorders>
          <w:top w:val="single" w:sz="8" w:space="0" w:color="00694B" w:themeColor="accent3"/>
          <w:bottom w:val="single" w:sz="8" w:space="0" w:color="00694B" w:themeColor="accent3"/>
        </w:tcBorders>
      </w:tcPr>
    </w:tblStylePr>
    <w:tblStylePr w:type="band1Vert">
      <w:tblPr/>
      <w:tcPr>
        <w:shd w:val="clear" w:color="auto" w:fill="9AFFE2" w:themeFill="accent3" w:themeFillTint="3F"/>
      </w:tcPr>
    </w:tblStylePr>
    <w:tblStylePr w:type="band1Horz">
      <w:tblPr/>
      <w:tcPr>
        <w:shd w:val="clear" w:color="auto" w:fill="9AFFE2"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CEB888" w:themeColor="accent4"/>
        <w:bottom w:val="single" w:sz="8" w:space="0" w:color="CEB888" w:themeColor="accent4"/>
      </w:tblBorders>
    </w:tblPr>
    <w:tblStylePr w:type="firstRow">
      <w:rPr>
        <w:rFonts w:asciiTheme="majorHAnsi" w:eastAsiaTheme="majorEastAsia" w:hAnsiTheme="majorHAnsi" w:cstheme="majorBidi"/>
      </w:rPr>
      <w:tblPr/>
      <w:tcPr>
        <w:tcBorders>
          <w:top w:val="nil"/>
          <w:bottom w:val="single" w:sz="8" w:space="0" w:color="CEB888" w:themeColor="accent4"/>
        </w:tcBorders>
      </w:tcPr>
    </w:tblStylePr>
    <w:tblStylePr w:type="lastRow">
      <w:rPr>
        <w:b/>
        <w:bCs/>
        <w:color w:val="000000" w:themeColor="text2"/>
      </w:rPr>
      <w:tblPr/>
      <w:tcPr>
        <w:tcBorders>
          <w:top w:val="single" w:sz="8" w:space="0" w:color="CEB888" w:themeColor="accent4"/>
          <w:bottom w:val="single" w:sz="8" w:space="0" w:color="CEB888" w:themeColor="accent4"/>
        </w:tcBorders>
      </w:tcPr>
    </w:tblStylePr>
    <w:tblStylePr w:type="firstCol">
      <w:rPr>
        <w:b/>
        <w:bCs/>
      </w:rPr>
    </w:tblStylePr>
    <w:tblStylePr w:type="lastCol">
      <w:rPr>
        <w:b/>
        <w:bCs/>
      </w:rPr>
      <w:tblPr/>
      <w:tcPr>
        <w:tcBorders>
          <w:top w:val="single" w:sz="8" w:space="0" w:color="CEB888" w:themeColor="accent4"/>
          <w:bottom w:val="single" w:sz="8" w:space="0" w:color="CEB888" w:themeColor="accent4"/>
        </w:tcBorders>
      </w:tcPr>
    </w:tblStylePr>
    <w:tblStylePr w:type="band1Vert">
      <w:tblPr/>
      <w:tcPr>
        <w:shd w:val="clear" w:color="auto" w:fill="F3EDE1" w:themeFill="accent4" w:themeFillTint="3F"/>
      </w:tcPr>
    </w:tblStylePr>
    <w:tblStylePr w:type="band1Horz">
      <w:tblPr/>
      <w:tcPr>
        <w:shd w:val="clear" w:color="auto" w:fill="F3EDE1"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F0F0F0" w:themeColor="accent5"/>
        <w:bottom w:val="single" w:sz="8" w:space="0" w:color="F0F0F0" w:themeColor="accent5"/>
      </w:tblBorders>
    </w:tblPr>
    <w:tblStylePr w:type="firstRow">
      <w:rPr>
        <w:rFonts w:asciiTheme="majorHAnsi" w:eastAsiaTheme="majorEastAsia" w:hAnsiTheme="majorHAnsi" w:cstheme="majorBidi"/>
      </w:rPr>
      <w:tblPr/>
      <w:tcPr>
        <w:tcBorders>
          <w:top w:val="nil"/>
          <w:bottom w:val="single" w:sz="8" w:space="0" w:color="F0F0F0" w:themeColor="accent5"/>
        </w:tcBorders>
      </w:tcPr>
    </w:tblStylePr>
    <w:tblStylePr w:type="lastRow">
      <w:rPr>
        <w:b/>
        <w:bCs/>
        <w:color w:val="000000" w:themeColor="text2"/>
      </w:rPr>
      <w:tblPr/>
      <w:tcPr>
        <w:tcBorders>
          <w:top w:val="single" w:sz="8" w:space="0" w:color="F0F0F0" w:themeColor="accent5"/>
          <w:bottom w:val="single" w:sz="8" w:space="0" w:color="F0F0F0" w:themeColor="accent5"/>
        </w:tcBorders>
      </w:tcPr>
    </w:tblStylePr>
    <w:tblStylePr w:type="firstCol">
      <w:rPr>
        <w:b/>
        <w:bCs/>
      </w:rPr>
    </w:tblStylePr>
    <w:tblStylePr w:type="lastCol">
      <w:rPr>
        <w:b/>
        <w:bCs/>
      </w:rPr>
      <w:tblPr/>
      <w:tcPr>
        <w:tcBorders>
          <w:top w:val="single" w:sz="8" w:space="0" w:color="F0F0F0" w:themeColor="accent5"/>
          <w:bottom w:val="single" w:sz="8" w:space="0" w:color="F0F0F0" w:themeColor="accent5"/>
        </w:tcBorders>
      </w:tcPr>
    </w:tblStylePr>
    <w:tblStylePr w:type="band1Vert">
      <w:tblPr/>
      <w:tcPr>
        <w:shd w:val="clear" w:color="auto" w:fill="FBFBFB" w:themeFill="accent5" w:themeFillTint="3F"/>
      </w:tcPr>
    </w:tblStylePr>
    <w:tblStylePr w:type="band1Horz">
      <w:tblPr/>
      <w:tcPr>
        <w:shd w:val="clear" w:color="auto" w:fill="FBFBFB"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2F0E6" w:themeColor="accent6"/>
        <w:bottom w:val="single" w:sz="8" w:space="0" w:color="F2F0E6" w:themeColor="accent6"/>
      </w:tblBorders>
    </w:tblPr>
    <w:tblStylePr w:type="firstRow">
      <w:rPr>
        <w:rFonts w:asciiTheme="majorHAnsi" w:eastAsiaTheme="majorEastAsia" w:hAnsiTheme="majorHAnsi" w:cstheme="majorBidi"/>
      </w:rPr>
      <w:tblPr/>
      <w:tcPr>
        <w:tcBorders>
          <w:top w:val="nil"/>
          <w:bottom w:val="single" w:sz="8" w:space="0" w:color="F2F0E6" w:themeColor="accent6"/>
        </w:tcBorders>
      </w:tcPr>
    </w:tblStylePr>
    <w:tblStylePr w:type="lastRow">
      <w:rPr>
        <w:b/>
        <w:bCs/>
        <w:color w:val="000000" w:themeColor="text2"/>
      </w:rPr>
      <w:tblPr/>
      <w:tcPr>
        <w:tcBorders>
          <w:top w:val="single" w:sz="8" w:space="0" w:color="F2F0E6" w:themeColor="accent6"/>
          <w:bottom w:val="single" w:sz="8" w:space="0" w:color="F2F0E6" w:themeColor="accent6"/>
        </w:tcBorders>
      </w:tcPr>
    </w:tblStylePr>
    <w:tblStylePr w:type="firstCol">
      <w:rPr>
        <w:b/>
        <w:bCs/>
      </w:rPr>
    </w:tblStylePr>
    <w:tblStylePr w:type="lastCol">
      <w:rPr>
        <w:b/>
        <w:bCs/>
      </w:rPr>
      <w:tblPr/>
      <w:tcPr>
        <w:tcBorders>
          <w:top w:val="single" w:sz="8" w:space="0" w:color="F2F0E6" w:themeColor="accent6"/>
          <w:bottom w:val="single" w:sz="8" w:space="0" w:color="F2F0E6" w:themeColor="accent6"/>
        </w:tcBorders>
      </w:tcPr>
    </w:tblStylePr>
    <w:tblStylePr w:type="band1Vert">
      <w:tblPr/>
      <w:tcPr>
        <w:shd w:val="clear" w:color="auto" w:fill="FBFBF8" w:themeFill="accent6" w:themeFillTint="3F"/>
      </w:tcPr>
    </w:tblStylePr>
    <w:tblStylePr w:type="band1Horz">
      <w:tblPr/>
      <w:tcPr>
        <w:shd w:val="clear" w:color="auto" w:fill="FBFBF8"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3F34" w:themeColor="accent1"/>
        <w:left w:val="single" w:sz="8" w:space="0" w:color="173F34" w:themeColor="accent1"/>
        <w:bottom w:val="single" w:sz="8" w:space="0" w:color="173F34" w:themeColor="accent1"/>
        <w:right w:val="single" w:sz="8" w:space="0" w:color="173F34" w:themeColor="accent1"/>
      </w:tblBorders>
    </w:tblPr>
    <w:tblStylePr w:type="firstRow">
      <w:rPr>
        <w:sz w:val="24"/>
        <w:szCs w:val="24"/>
      </w:rPr>
      <w:tblPr/>
      <w:tcPr>
        <w:tcBorders>
          <w:top w:val="nil"/>
          <w:left w:val="nil"/>
          <w:bottom w:val="single" w:sz="24" w:space="0" w:color="173F34" w:themeColor="accent1"/>
          <w:right w:val="nil"/>
          <w:insideH w:val="nil"/>
          <w:insideV w:val="nil"/>
        </w:tcBorders>
        <w:shd w:val="clear" w:color="auto" w:fill="FFFFFF" w:themeFill="background1"/>
      </w:tcPr>
    </w:tblStylePr>
    <w:tblStylePr w:type="lastRow">
      <w:tblPr/>
      <w:tcPr>
        <w:tcBorders>
          <w:top w:val="single" w:sz="8" w:space="0" w:color="173F3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3F34" w:themeColor="accent1"/>
          <w:insideH w:val="nil"/>
          <w:insideV w:val="nil"/>
        </w:tcBorders>
        <w:shd w:val="clear" w:color="auto" w:fill="FFFFFF" w:themeFill="background1"/>
      </w:tcPr>
    </w:tblStylePr>
    <w:tblStylePr w:type="lastCol">
      <w:tblPr/>
      <w:tcPr>
        <w:tcBorders>
          <w:top w:val="nil"/>
          <w:left w:val="single" w:sz="8" w:space="0" w:color="173F3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E3D5" w:themeFill="accent1" w:themeFillTint="3F"/>
      </w:tcPr>
    </w:tblStylePr>
    <w:tblStylePr w:type="band1Horz">
      <w:tblPr/>
      <w:tcPr>
        <w:tcBorders>
          <w:top w:val="nil"/>
          <w:bottom w:val="nil"/>
          <w:insideH w:val="nil"/>
          <w:insideV w:val="nil"/>
        </w:tcBorders>
        <w:shd w:val="clear" w:color="auto" w:fill="B2E3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A6C" w:themeColor="accent2"/>
        <w:left w:val="single" w:sz="8" w:space="0" w:color="00BA6C" w:themeColor="accent2"/>
        <w:bottom w:val="single" w:sz="8" w:space="0" w:color="00BA6C" w:themeColor="accent2"/>
        <w:right w:val="single" w:sz="8" w:space="0" w:color="00BA6C" w:themeColor="accent2"/>
      </w:tblBorders>
    </w:tblPr>
    <w:tblStylePr w:type="firstRow">
      <w:rPr>
        <w:sz w:val="24"/>
        <w:szCs w:val="24"/>
      </w:rPr>
      <w:tblPr/>
      <w:tcPr>
        <w:tcBorders>
          <w:top w:val="nil"/>
          <w:left w:val="nil"/>
          <w:bottom w:val="single" w:sz="24" w:space="0" w:color="00BA6C" w:themeColor="accent2"/>
          <w:right w:val="nil"/>
          <w:insideH w:val="nil"/>
          <w:insideV w:val="nil"/>
        </w:tcBorders>
        <w:shd w:val="clear" w:color="auto" w:fill="FFFFFF" w:themeFill="background1"/>
      </w:tcPr>
    </w:tblStylePr>
    <w:tblStylePr w:type="lastRow">
      <w:tblPr/>
      <w:tcPr>
        <w:tcBorders>
          <w:top w:val="single" w:sz="8" w:space="0" w:color="00BA6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A6C" w:themeColor="accent2"/>
          <w:insideH w:val="nil"/>
          <w:insideV w:val="nil"/>
        </w:tcBorders>
        <w:shd w:val="clear" w:color="auto" w:fill="FFFFFF" w:themeFill="background1"/>
      </w:tcPr>
    </w:tblStylePr>
    <w:tblStylePr w:type="lastCol">
      <w:tblPr/>
      <w:tcPr>
        <w:tcBorders>
          <w:top w:val="nil"/>
          <w:left w:val="single" w:sz="8" w:space="0" w:color="00BA6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EFFDD" w:themeFill="accent2" w:themeFillTint="3F"/>
      </w:tcPr>
    </w:tblStylePr>
    <w:tblStylePr w:type="band1Horz">
      <w:tblPr/>
      <w:tcPr>
        <w:tcBorders>
          <w:top w:val="nil"/>
          <w:bottom w:val="nil"/>
          <w:insideH w:val="nil"/>
          <w:insideV w:val="nil"/>
        </w:tcBorders>
        <w:shd w:val="clear" w:color="auto" w:fill="AEFFD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94B" w:themeColor="accent3"/>
        <w:left w:val="single" w:sz="8" w:space="0" w:color="00694B" w:themeColor="accent3"/>
        <w:bottom w:val="single" w:sz="8" w:space="0" w:color="00694B" w:themeColor="accent3"/>
        <w:right w:val="single" w:sz="8" w:space="0" w:color="00694B" w:themeColor="accent3"/>
      </w:tblBorders>
    </w:tblPr>
    <w:tblStylePr w:type="firstRow">
      <w:rPr>
        <w:sz w:val="24"/>
        <w:szCs w:val="24"/>
      </w:rPr>
      <w:tblPr/>
      <w:tcPr>
        <w:tcBorders>
          <w:top w:val="nil"/>
          <w:left w:val="nil"/>
          <w:bottom w:val="single" w:sz="24" w:space="0" w:color="00694B" w:themeColor="accent3"/>
          <w:right w:val="nil"/>
          <w:insideH w:val="nil"/>
          <w:insideV w:val="nil"/>
        </w:tcBorders>
        <w:shd w:val="clear" w:color="auto" w:fill="FFFFFF" w:themeFill="background1"/>
      </w:tcPr>
    </w:tblStylePr>
    <w:tblStylePr w:type="lastRow">
      <w:tblPr/>
      <w:tcPr>
        <w:tcBorders>
          <w:top w:val="single" w:sz="8" w:space="0" w:color="00694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94B" w:themeColor="accent3"/>
          <w:insideH w:val="nil"/>
          <w:insideV w:val="nil"/>
        </w:tcBorders>
        <w:shd w:val="clear" w:color="auto" w:fill="FFFFFF" w:themeFill="background1"/>
      </w:tcPr>
    </w:tblStylePr>
    <w:tblStylePr w:type="lastCol">
      <w:tblPr/>
      <w:tcPr>
        <w:tcBorders>
          <w:top w:val="nil"/>
          <w:left w:val="single" w:sz="8" w:space="0" w:color="00694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AFFE2" w:themeFill="accent3" w:themeFillTint="3F"/>
      </w:tcPr>
    </w:tblStylePr>
    <w:tblStylePr w:type="band1Horz">
      <w:tblPr/>
      <w:tcPr>
        <w:tcBorders>
          <w:top w:val="nil"/>
          <w:bottom w:val="nil"/>
          <w:insideH w:val="nil"/>
          <w:insideV w:val="nil"/>
        </w:tcBorders>
        <w:shd w:val="clear" w:color="auto" w:fill="9AFFE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EB888" w:themeColor="accent4"/>
        <w:left w:val="single" w:sz="8" w:space="0" w:color="CEB888" w:themeColor="accent4"/>
        <w:bottom w:val="single" w:sz="8" w:space="0" w:color="CEB888" w:themeColor="accent4"/>
        <w:right w:val="single" w:sz="8" w:space="0" w:color="CEB888" w:themeColor="accent4"/>
      </w:tblBorders>
    </w:tblPr>
    <w:tblStylePr w:type="firstRow">
      <w:rPr>
        <w:sz w:val="24"/>
        <w:szCs w:val="24"/>
      </w:rPr>
      <w:tblPr/>
      <w:tcPr>
        <w:tcBorders>
          <w:top w:val="nil"/>
          <w:left w:val="nil"/>
          <w:bottom w:val="single" w:sz="24" w:space="0" w:color="CEB888" w:themeColor="accent4"/>
          <w:right w:val="nil"/>
          <w:insideH w:val="nil"/>
          <w:insideV w:val="nil"/>
        </w:tcBorders>
        <w:shd w:val="clear" w:color="auto" w:fill="FFFFFF" w:themeFill="background1"/>
      </w:tcPr>
    </w:tblStylePr>
    <w:tblStylePr w:type="lastRow">
      <w:tblPr/>
      <w:tcPr>
        <w:tcBorders>
          <w:top w:val="single" w:sz="8" w:space="0" w:color="CEB88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B888" w:themeColor="accent4"/>
          <w:insideH w:val="nil"/>
          <w:insideV w:val="nil"/>
        </w:tcBorders>
        <w:shd w:val="clear" w:color="auto" w:fill="FFFFFF" w:themeFill="background1"/>
      </w:tcPr>
    </w:tblStylePr>
    <w:tblStylePr w:type="lastCol">
      <w:tblPr/>
      <w:tcPr>
        <w:tcBorders>
          <w:top w:val="nil"/>
          <w:left w:val="single" w:sz="8" w:space="0" w:color="CEB88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EDE1" w:themeFill="accent4" w:themeFillTint="3F"/>
      </w:tcPr>
    </w:tblStylePr>
    <w:tblStylePr w:type="band1Horz">
      <w:tblPr/>
      <w:tcPr>
        <w:tcBorders>
          <w:top w:val="nil"/>
          <w:bottom w:val="nil"/>
          <w:insideH w:val="nil"/>
          <w:insideV w:val="nil"/>
        </w:tcBorders>
        <w:shd w:val="clear" w:color="auto" w:fill="F3EDE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F0F0" w:themeColor="accent5"/>
        <w:left w:val="single" w:sz="8" w:space="0" w:color="F0F0F0" w:themeColor="accent5"/>
        <w:bottom w:val="single" w:sz="8" w:space="0" w:color="F0F0F0" w:themeColor="accent5"/>
        <w:right w:val="single" w:sz="8" w:space="0" w:color="F0F0F0" w:themeColor="accent5"/>
      </w:tblBorders>
    </w:tblPr>
    <w:tblStylePr w:type="firstRow">
      <w:rPr>
        <w:sz w:val="24"/>
        <w:szCs w:val="24"/>
      </w:rPr>
      <w:tblPr/>
      <w:tcPr>
        <w:tcBorders>
          <w:top w:val="nil"/>
          <w:left w:val="nil"/>
          <w:bottom w:val="single" w:sz="24" w:space="0" w:color="F0F0F0" w:themeColor="accent5"/>
          <w:right w:val="nil"/>
          <w:insideH w:val="nil"/>
          <w:insideV w:val="nil"/>
        </w:tcBorders>
        <w:shd w:val="clear" w:color="auto" w:fill="FFFFFF" w:themeFill="background1"/>
      </w:tcPr>
    </w:tblStylePr>
    <w:tblStylePr w:type="lastRow">
      <w:tblPr/>
      <w:tcPr>
        <w:tcBorders>
          <w:top w:val="single" w:sz="8" w:space="0" w:color="F0F0F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F0F0" w:themeColor="accent5"/>
          <w:insideH w:val="nil"/>
          <w:insideV w:val="nil"/>
        </w:tcBorders>
        <w:shd w:val="clear" w:color="auto" w:fill="FFFFFF" w:themeFill="background1"/>
      </w:tcPr>
    </w:tblStylePr>
    <w:tblStylePr w:type="lastCol">
      <w:tblPr/>
      <w:tcPr>
        <w:tcBorders>
          <w:top w:val="nil"/>
          <w:left w:val="single" w:sz="8" w:space="0" w:color="F0F0F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BFB" w:themeFill="accent5" w:themeFillTint="3F"/>
      </w:tcPr>
    </w:tblStylePr>
    <w:tblStylePr w:type="band1Horz">
      <w:tblPr/>
      <w:tcPr>
        <w:tcBorders>
          <w:top w:val="nil"/>
          <w:bottom w:val="nil"/>
          <w:insideH w:val="nil"/>
          <w:insideV w:val="nil"/>
        </w:tcBorders>
        <w:shd w:val="clear" w:color="auto" w:fill="FBFBF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F0E6" w:themeColor="accent6"/>
        <w:left w:val="single" w:sz="8" w:space="0" w:color="F2F0E6" w:themeColor="accent6"/>
        <w:bottom w:val="single" w:sz="8" w:space="0" w:color="F2F0E6" w:themeColor="accent6"/>
        <w:right w:val="single" w:sz="8" w:space="0" w:color="F2F0E6" w:themeColor="accent6"/>
      </w:tblBorders>
    </w:tblPr>
    <w:tblStylePr w:type="firstRow">
      <w:rPr>
        <w:sz w:val="24"/>
        <w:szCs w:val="24"/>
      </w:rPr>
      <w:tblPr/>
      <w:tcPr>
        <w:tcBorders>
          <w:top w:val="nil"/>
          <w:left w:val="nil"/>
          <w:bottom w:val="single" w:sz="24" w:space="0" w:color="F2F0E6" w:themeColor="accent6"/>
          <w:right w:val="nil"/>
          <w:insideH w:val="nil"/>
          <w:insideV w:val="nil"/>
        </w:tcBorders>
        <w:shd w:val="clear" w:color="auto" w:fill="FFFFFF" w:themeFill="background1"/>
      </w:tcPr>
    </w:tblStylePr>
    <w:tblStylePr w:type="lastRow">
      <w:tblPr/>
      <w:tcPr>
        <w:tcBorders>
          <w:top w:val="single" w:sz="8" w:space="0" w:color="F2F0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2F0E6" w:themeColor="accent6"/>
          <w:insideH w:val="nil"/>
          <w:insideV w:val="nil"/>
        </w:tcBorders>
        <w:shd w:val="clear" w:color="auto" w:fill="FFFFFF" w:themeFill="background1"/>
      </w:tcPr>
    </w:tblStylePr>
    <w:tblStylePr w:type="lastCol">
      <w:tblPr/>
      <w:tcPr>
        <w:tcBorders>
          <w:top w:val="nil"/>
          <w:left w:val="single" w:sz="8" w:space="0" w:color="F2F0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BF8" w:themeFill="accent6" w:themeFillTint="3F"/>
      </w:tcPr>
    </w:tblStylePr>
    <w:tblStylePr w:type="band1Horz">
      <w:tblPr/>
      <w:tcPr>
        <w:tcBorders>
          <w:top w:val="nil"/>
          <w:bottom w:val="nil"/>
          <w:insideH w:val="nil"/>
          <w:insideV w:val="nil"/>
        </w:tcBorders>
        <w:shd w:val="clear" w:color="auto" w:fill="FBFB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338C73" w:themeColor="accent1" w:themeTint="BF"/>
        <w:left w:val="single" w:sz="8" w:space="0" w:color="338C73" w:themeColor="accent1" w:themeTint="BF"/>
        <w:bottom w:val="single" w:sz="8" w:space="0" w:color="338C73" w:themeColor="accent1" w:themeTint="BF"/>
        <w:right w:val="single" w:sz="8" w:space="0" w:color="338C73" w:themeColor="accent1" w:themeTint="BF"/>
        <w:insideH w:val="single" w:sz="8" w:space="0" w:color="338C73" w:themeColor="accent1" w:themeTint="BF"/>
        <w:insideV w:val="single" w:sz="8" w:space="0" w:color="338C73" w:themeColor="accent1" w:themeTint="BF"/>
      </w:tblBorders>
    </w:tblPr>
    <w:tcPr>
      <w:shd w:val="clear" w:color="auto" w:fill="B2E3D5" w:themeFill="accent1" w:themeFillTint="3F"/>
    </w:tcPr>
    <w:tblStylePr w:type="firstRow">
      <w:rPr>
        <w:b/>
        <w:bCs/>
      </w:rPr>
    </w:tblStylePr>
    <w:tblStylePr w:type="lastRow">
      <w:rPr>
        <w:b/>
        <w:bCs/>
      </w:rPr>
      <w:tblPr/>
      <w:tcPr>
        <w:tcBorders>
          <w:top w:val="single" w:sz="18" w:space="0" w:color="338C73" w:themeColor="accent1" w:themeTint="BF"/>
        </w:tcBorders>
      </w:tcPr>
    </w:tblStylePr>
    <w:tblStylePr w:type="firstCol">
      <w:rPr>
        <w:b/>
        <w:bCs/>
      </w:rPr>
    </w:tblStylePr>
    <w:tblStylePr w:type="lastCol">
      <w:rPr>
        <w:b/>
        <w:bCs/>
      </w:rPr>
    </w:tblStylePr>
    <w:tblStylePr w:type="band1Vert">
      <w:tblPr/>
      <w:tcPr>
        <w:shd w:val="clear" w:color="auto" w:fill="64C6AB" w:themeFill="accent1" w:themeFillTint="7F"/>
      </w:tcPr>
    </w:tblStylePr>
    <w:tblStylePr w:type="band1Horz">
      <w:tblPr/>
      <w:tcPr>
        <w:shd w:val="clear" w:color="auto" w:fill="64C6AB"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0CFF99" w:themeColor="accent2" w:themeTint="BF"/>
        <w:left w:val="single" w:sz="8" w:space="0" w:color="0CFF99" w:themeColor="accent2" w:themeTint="BF"/>
        <w:bottom w:val="single" w:sz="8" w:space="0" w:color="0CFF99" w:themeColor="accent2" w:themeTint="BF"/>
        <w:right w:val="single" w:sz="8" w:space="0" w:color="0CFF99" w:themeColor="accent2" w:themeTint="BF"/>
        <w:insideH w:val="single" w:sz="8" w:space="0" w:color="0CFF99" w:themeColor="accent2" w:themeTint="BF"/>
        <w:insideV w:val="single" w:sz="8" w:space="0" w:color="0CFF99" w:themeColor="accent2" w:themeTint="BF"/>
      </w:tblBorders>
    </w:tblPr>
    <w:tcPr>
      <w:shd w:val="clear" w:color="auto" w:fill="AEFFDD" w:themeFill="accent2" w:themeFillTint="3F"/>
    </w:tcPr>
    <w:tblStylePr w:type="firstRow">
      <w:rPr>
        <w:b/>
        <w:bCs/>
      </w:rPr>
    </w:tblStylePr>
    <w:tblStylePr w:type="lastRow">
      <w:rPr>
        <w:b/>
        <w:bCs/>
      </w:rPr>
      <w:tblPr/>
      <w:tcPr>
        <w:tcBorders>
          <w:top w:val="single" w:sz="18" w:space="0" w:color="0CFF99" w:themeColor="accent2" w:themeTint="BF"/>
        </w:tcBorders>
      </w:tcPr>
    </w:tblStylePr>
    <w:tblStylePr w:type="firstCol">
      <w:rPr>
        <w:b/>
        <w:bCs/>
      </w:rPr>
    </w:tblStylePr>
    <w:tblStylePr w:type="lastCol">
      <w:rPr>
        <w:b/>
        <w:bCs/>
      </w:rPr>
    </w:tblStylePr>
    <w:tblStylePr w:type="band1Vert">
      <w:tblPr/>
      <w:tcPr>
        <w:shd w:val="clear" w:color="auto" w:fill="5DFFBB" w:themeFill="accent2" w:themeFillTint="7F"/>
      </w:tcPr>
    </w:tblStylePr>
    <w:tblStylePr w:type="band1Horz">
      <w:tblPr/>
      <w:tcPr>
        <w:shd w:val="clear" w:color="auto" w:fill="5DFFBB"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00CE93" w:themeColor="accent3" w:themeTint="BF"/>
        <w:left w:val="single" w:sz="8" w:space="0" w:color="00CE93" w:themeColor="accent3" w:themeTint="BF"/>
        <w:bottom w:val="single" w:sz="8" w:space="0" w:color="00CE93" w:themeColor="accent3" w:themeTint="BF"/>
        <w:right w:val="single" w:sz="8" w:space="0" w:color="00CE93" w:themeColor="accent3" w:themeTint="BF"/>
        <w:insideH w:val="single" w:sz="8" w:space="0" w:color="00CE93" w:themeColor="accent3" w:themeTint="BF"/>
        <w:insideV w:val="single" w:sz="8" w:space="0" w:color="00CE93" w:themeColor="accent3" w:themeTint="BF"/>
      </w:tblBorders>
    </w:tblPr>
    <w:tcPr>
      <w:shd w:val="clear" w:color="auto" w:fill="9AFFE2" w:themeFill="accent3" w:themeFillTint="3F"/>
    </w:tcPr>
    <w:tblStylePr w:type="firstRow">
      <w:rPr>
        <w:b/>
        <w:bCs/>
      </w:rPr>
    </w:tblStylePr>
    <w:tblStylePr w:type="lastRow">
      <w:rPr>
        <w:b/>
        <w:bCs/>
      </w:rPr>
      <w:tblPr/>
      <w:tcPr>
        <w:tcBorders>
          <w:top w:val="single" w:sz="18" w:space="0" w:color="00CE93" w:themeColor="accent3" w:themeTint="BF"/>
        </w:tcBorders>
      </w:tcPr>
    </w:tblStylePr>
    <w:tblStylePr w:type="firstCol">
      <w:rPr>
        <w:b/>
        <w:bCs/>
      </w:rPr>
    </w:tblStylePr>
    <w:tblStylePr w:type="lastCol">
      <w:rPr>
        <w:b/>
        <w:bCs/>
      </w:rPr>
    </w:tblStylePr>
    <w:tblStylePr w:type="band1Vert">
      <w:tblPr/>
      <w:tcPr>
        <w:shd w:val="clear" w:color="auto" w:fill="35FFC5" w:themeFill="accent3" w:themeFillTint="7F"/>
      </w:tcPr>
    </w:tblStylePr>
    <w:tblStylePr w:type="band1Horz">
      <w:tblPr/>
      <w:tcPr>
        <w:shd w:val="clear" w:color="auto" w:fill="35FFC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DAC9A5" w:themeColor="accent4" w:themeTint="BF"/>
        <w:left w:val="single" w:sz="8" w:space="0" w:color="DAC9A5" w:themeColor="accent4" w:themeTint="BF"/>
        <w:bottom w:val="single" w:sz="8" w:space="0" w:color="DAC9A5" w:themeColor="accent4" w:themeTint="BF"/>
        <w:right w:val="single" w:sz="8" w:space="0" w:color="DAC9A5" w:themeColor="accent4" w:themeTint="BF"/>
        <w:insideH w:val="single" w:sz="8" w:space="0" w:color="DAC9A5" w:themeColor="accent4" w:themeTint="BF"/>
        <w:insideV w:val="single" w:sz="8" w:space="0" w:color="DAC9A5" w:themeColor="accent4" w:themeTint="BF"/>
      </w:tblBorders>
    </w:tblPr>
    <w:tcPr>
      <w:shd w:val="clear" w:color="auto" w:fill="F3EDE1" w:themeFill="accent4" w:themeFillTint="3F"/>
    </w:tcPr>
    <w:tblStylePr w:type="firstRow">
      <w:rPr>
        <w:b/>
        <w:bCs/>
      </w:rPr>
    </w:tblStylePr>
    <w:tblStylePr w:type="lastRow">
      <w:rPr>
        <w:b/>
        <w:bCs/>
      </w:rPr>
      <w:tblPr/>
      <w:tcPr>
        <w:tcBorders>
          <w:top w:val="single" w:sz="18" w:space="0" w:color="DAC9A5" w:themeColor="accent4" w:themeTint="BF"/>
        </w:tcBorders>
      </w:tcPr>
    </w:tblStylePr>
    <w:tblStylePr w:type="firstCol">
      <w:rPr>
        <w:b/>
        <w:bCs/>
      </w:rPr>
    </w:tblStylePr>
    <w:tblStylePr w:type="lastCol">
      <w:rPr>
        <w:b/>
        <w:bCs/>
      </w:rPr>
    </w:tblStylePr>
    <w:tblStylePr w:type="band1Vert">
      <w:tblPr/>
      <w:tcPr>
        <w:shd w:val="clear" w:color="auto" w:fill="E6DBC3" w:themeFill="accent4" w:themeFillTint="7F"/>
      </w:tcPr>
    </w:tblStylePr>
    <w:tblStylePr w:type="band1Horz">
      <w:tblPr/>
      <w:tcPr>
        <w:shd w:val="clear" w:color="auto" w:fill="E6DBC3"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F3F3F3" w:themeColor="accent5" w:themeTint="BF"/>
        <w:left w:val="single" w:sz="8" w:space="0" w:color="F3F3F3" w:themeColor="accent5" w:themeTint="BF"/>
        <w:bottom w:val="single" w:sz="8" w:space="0" w:color="F3F3F3" w:themeColor="accent5" w:themeTint="BF"/>
        <w:right w:val="single" w:sz="8" w:space="0" w:color="F3F3F3" w:themeColor="accent5" w:themeTint="BF"/>
        <w:insideH w:val="single" w:sz="8" w:space="0" w:color="F3F3F3" w:themeColor="accent5" w:themeTint="BF"/>
        <w:insideV w:val="single" w:sz="8" w:space="0" w:color="F3F3F3" w:themeColor="accent5" w:themeTint="BF"/>
      </w:tblBorders>
    </w:tblPr>
    <w:tcPr>
      <w:shd w:val="clear" w:color="auto" w:fill="FBFBFB" w:themeFill="accent5" w:themeFillTint="3F"/>
    </w:tcPr>
    <w:tblStylePr w:type="firstRow">
      <w:rPr>
        <w:b/>
        <w:bCs/>
      </w:rPr>
    </w:tblStylePr>
    <w:tblStylePr w:type="lastRow">
      <w:rPr>
        <w:b/>
        <w:bCs/>
      </w:rPr>
      <w:tblPr/>
      <w:tcPr>
        <w:tcBorders>
          <w:top w:val="single" w:sz="18" w:space="0" w:color="F3F3F3" w:themeColor="accent5" w:themeTint="BF"/>
        </w:tcBorders>
      </w:tcPr>
    </w:tblStylePr>
    <w:tblStylePr w:type="firstCol">
      <w:rPr>
        <w:b/>
        <w:bCs/>
      </w:rPr>
    </w:tblStylePr>
    <w:tblStylePr w:type="lastCol">
      <w:rPr>
        <w:b/>
        <w:bCs/>
      </w:rPr>
    </w:tblStylePr>
    <w:tblStylePr w:type="band1Vert">
      <w:tblPr/>
      <w:tcPr>
        <w:shd w:val="clear" w:color="auto" w:fill="F7F7F7" w:themeFill="accent5" w:themeFillTint="7F"/>
      </w:tcPr>
    </w:tblStylePr>
    <w:tblStylePr w:type="band1Horz">
      <w:tblPr/>
      <w:tcPr>
        <w:shd w:val="clear" w:color="auto" w:fill="F7F7F7"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5F3EC" w:themeColor="accent6" w:themeTint="BF"/>
        <w:left w:val="single" w:sz="8" w:space="0" w:color="F5F3EC" w:themeColor="accent6" w:themeTint="BF"/>
        <w:bottom w:val="single" w:sz="8" w:space="0" w:color="F5F3EC" w:themeColor="accent6" w:themeTint="BF"/>
        <w:right w:val="single" w:sz="8" w:space="0" w:color="F5F3EC" w:themeColor="accent6" w:themeTint="BF"/>
        <w:insideH w:val="single" w:sz="8" w:space="0" w:color="F5F3EC" w:themeColor="accent6" w:themeTint="BF"/>
        <w:insideV w:val="single" w:sz="8" w:space="0" w:color="F5F3EC" w:themeColor="accent6" w:themeTint="BF"/>
      </w:tblBorders>
    </w:tblPr>
    <w:tcPr>
      <w:shd w:val="clear" w:color="auto" w:fill="FBFBF8" w:themeFill="accent6" w:themeFillTint="3F"/>
    </w:tcPr>
    <w:tblStylePr w:type="firstRow">
      <w:rPr>
        <w:b/>
        <w:bCs/>
      </w:rPr>
    </w:tblStylePr>
    <w:tblStylePr w:type="lastRow">
      <w:rPr>
        <w:b/>
        <w:bCs/>
      </w:rPr>
      <w:tblPr/>
      <w:tcPr>
        <w:tcBorders>
          <w:top w:val="single" w:sz="18" w:space="0" w:color="F5F3EC" w:themeColor="accent6" w:themeTint="BF"/>
        </w:tcBorders>
      </w:tcPr>
    </w:tblStylePr>
    <w:tblStylePr w:type="firstCol">
      <w:rPr>
        <w:b/>
        <w:bCs/>
      </w:rPr>
    </w:tblStylePr>
    <w:tblStylePr w:type="lastCol">
      <w:rPr>
        <w:b/>
        <w:bCs/>
      </w:rPr>
    </w:tblStylePr>
    <w:tblStylePr w:type="band1Vert">
      <w:tblPr/>
      <w:tcPr>
        <w:shd w:val="clear" w:color="auto" w:fill="F8F7F2" w:themeFill="accent6" w:themeFillTint="7F"/>
      </w:tcPr>
    </w:tblStylePr>
    <w:tblStylePr w:type="band1Horz">
      <w:tblPr/>
      <w:tcPr>
        <w:shd w:val="clear" w:color="auto" w:fill="F8F7F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3F34" w:themeColor="accent1"/>
        <w:left w:val="single" w:sz="8" w:space="0" w:color="173F34" w:themeColor="accent1"/>
        <w:bottom w:val="single" w:sz="8" w:space="0" w:color="173F34" w:themeColor="accent1"/>
        <w:right w:val="single" w:sz="8" w:space="0" w:color="173F34" w:themeColor="accent1"/>
        <w:insideH w:val="single" w:sz="8" w:space="0" w:color="173F34" w:themeColor="accent1"/>
        <w:insideV w:val="single" w:sz="8" w:space="0" w:color="173F34" w:themeColor="accent1"/>
      </w:tblBorders>
    </w:tblPr>
    <w:tcPr>
      <w:shd w:val="clear" w:color="auto" w:fill="B2E3D5" w:themeFill="accent1" w:themeFillTint="3F"/>
    </w:tcPr>
    <w:tblStylePr w:type="firstRow">
      <w:rPr>
        <w:b/>
        <w:bCs/>
        <w:color w:val="000000" w:themeColor="text1"/>
      </w:rPr>
      <w:tblPr/>
      <w:tcPr>
        <w:shd w:val="clear" w:color="auto" w:fill="E0F4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E8DD" w:themeFill="accent1" w:themeFillTint="33"/>
      </w:tcPr>
    </w:tblStylePr>
    <w:tblStylePr w:type="band1Vert">
      <w:tblPr/>
      <w:tcPr>
        <w:shd w:val="clear" w:color="auto" w:fill="64C6AB" w:themeFill="accent1" w:themeFillTint="7F"/>
      </w:tcPr>
    </w:tblStylePr>
    <w:tblStylePr w:type="band1Horz">
      <w:tblPr/>
      <w:tcPr>
        <w:tcBorders>
          <w:insideH w:val="single" w:sz="6" w:space="0" w:color="173F34" w:themeColor="accent1"/>
          <w:insideV w:val="single" w:sz="6" w:space="0" w:color="173F34" w:themeColor="accent1"/>
        </w:tcBorders>
        <w:shd w:val="clear" w:color="auto" w:fill="64C6A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A6C" w:themeColor="accent2"/>
        <w:left w:val="single" w:sz="8" w:space="0" w:color="00BA6C" w:themeColor="accent2"/>
        <w:bottom w:val="single" w:sz="8" w:space="0" w:color="00BA6C" w:themeColor="accent2"/>
        <w:right w:val="single" w:sz="8" w:space="0" w:color="00BA6C" w:themeColor="accent2"/>
        <w:insideH w:val="single" w:sz="8" w:space="0" w:color="00BA6C" w:themeColor="accent2"/>
        <w:insideV w:val="single" w:sz="8" w:space="0" w:color="00BA6C" w:themeColor="accent2"/>
      </w:tblBorders>
    </w:tblPr>
    <w:tcPr>
      <w:shd w:val="clear" w:color="auto" w:fill="AEFFDD" w:themeFill="accent2" w:themeFillTint="3F"/>
    </w:tcPr>
    <w:tblStylePr w:type="firstRow">
      <w:rPr>
        <w:b/>
        <w:bCs/>
        <w:color w:val="000000" w:themeColor="text1"/>
      </w:rPr>
      <w:tblPr/>
      <w:tcPr>
        <w:shd w:val="clear" w:color="auto" w:fill="DFFFF1"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FFE3" w:themeFill="accent2" w:themeFillTint="33"/>
      </w:tcPr>
    </w:tblStylePr>
    <w:tblStylePr w:type="band1Vert">
      <w:tblPr/>
      <w:tcPr>
        <w:shd w:val="clear" w:color="auto" w:fill="5DFFBB" w:themeFill="accent2" w:themeFillTint="7F"/>
      </w:tcPr>
    </w:tblStylePr>
    <w:tblStylePr w:type="band1Horz">
      <w:tblPr/>
      <w:tcPr>
        <w:tcBorders>
          <w:insideH w:val="single" w:sz="6" w:space="0" w:color="00BA6C" w:themeColor="accent2"/>
          <w:insideV w:val="single" w:sz="6" w:space="0" w:color="00BA6C" w:themeColor="accent2"/>
        </w:tcBorders>
        <w:shd w:val="clear" w:color="auto" w:fill="5DFFB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94B" w:themeColor="accent3"/>
        <w:left w:val="single" w:sz="8" w:space="0" w:color="00694B" w:themeColor="accent3"/>
        <w:bottom w:val="single" w:sz="8" w:space="0" w:color="00694B" w:themeColor="accent3"/>
        <w:right w:val="single" w:sz="8" w:space="0" w:color="00694B" w:themeColor="accent3"/>
        <w:insideH w:val="single" w:sz="8" w:space="0" w:color="00694B" w:themeColor="accent3"/>
        <w:insideV w:val="single" w:sz="8" w:space="0" w:color="00694B" w:themeColor="accent3"/>
      </w:tblBorders>
    </w:tblPr>
    <w:tcPr>
      <w:shd w:val="clear" w:color="auto" w:fill="9AFFE2" w:themeFill="accent3" w:themeFillTint="3F"/>
    </w:tcPr>
    <w:tblStylePr w:type="firstRow">
      <w:rPr>
        <w:b/>
        <w:bCs/>
        <w:color w:val="000000" w:themeColor="text1"/>
      </w:rPr>
      <w:tblPr/>
      <w:tcPr>
        <w:shd w:val="clear" w:color="auto" w:fill="D7FF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7" w:themeFill="accent3" w:themeFillTint="33"/>
      </w:tcPr>
    </w:tblStylePr>
    <w:tblStylePr w:type="band1Vert">
      <w:tblPr/>
      <w:tcPr>
        <w:shd w:val="clear" w:color="auto" w:fill="35FFC5" w:themeFill="accent3" w:themeFillTint="7F"/>
      </w:tcPr>
    </w:tblStylePr>
    <w:tblStylePr w:type="band1Horz">
      <w:tblPr/>
      <w:tcPr>
        <w:tcBorders>
          <w:insideH w:val="single" w:sz="6" w:space="0" w:color="00694B" w:themeColor="accent3"/>
          <w:insideV w:val="single" w:sz="6" w:space="0" w:color="00694B" w:themeColor="accent3"/>
        </w:tcBorders>
        <w:shd w:val="clear" w:color="auto" w:fill="35FFC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EB888" w:themeColor="accent4"/>
        <w:left w:val="single" w:sz="8" w:space="0" w:color="CEB888" w:themeColor="accent4"/>
        <w:bottom w:val="single" w:sz="8" w:space="0" w:color="CEB888" w:themeColor="accent4"/>
        <w:right w:val="single" w:sz="8" w:space="0" w:color="CEB888" w:themeColor="accent4"/>
        <w:insideH w:val="single" w:sz="8" w:space="0" w:color="CEB888" w:themeColor="accent4"/>
        <w:insideV w:val="single" w:sz="8" w:space="0" w:color="CEB888" w:themeColor="accent4"/>
      </w:tblBorders>
    </w:tblPr>
    <w:tcPr>
      <w:shd w:val="clear" w:color="auto" w:fill="F3EDE1" w:themeFill="accent4" w:themeFillTint="3F"/>
    </w:tcPr>
    <w:tblStylePr w:type="firstRow">
      <w:rPr>
        <w:b/>
        <w:bCs/>
        <w:color w:val="000000" w:themeColor="text1"/>
      </w:rPr>
      <w:tblPr/>
      <w:tcPr>
        <w:shd w:val="clear" w:color="auto" w:fill="FAF7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F0E7" w:themeFill="accent4" w:themeFillTint="33"/>
      </w:tcPr>
    </w:tblStylePr>
    <w:tblStylePr w:type="band1Vert">
      <w:tblPr/>
      <w:tcPr>
        <w:shd w:val="clear" w:color="auto" w:fill="E6DBC3" w:themeFill="accent4" w:themeFillTint="7F"/>
      </w:tcPr>
    </w:tblStylePr>
    <w:tblStylePr w:type="band1Horz">
      <w:tblPr/>
      <w:tcPr>
        <w:tcBorders>
          <w:insideH w:val="single" w:sz="6" w:space="0" w:color="CEB888" w:themeColor="accent4"/>
          <w:insideV w:val="single" w:sz="6" w:space="0" w:color="CEB888" w:themeColor="accent4"/>
        </w:tcBorders>
        <w:shd w:val="clear" w:color="auto" w:fill="E6DBC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F0F0" w:themeColor="accent5"/>
        <w:left w:val="single" w:sz="8" w:space="0" w:color="F0F0F0" w:themeColor="accent5"/>
        <w:bottom w:val="single" w:sz="8" w:space="0" w:color="F0F0F0" w:themeColor="accent5"/>
        <w:right w:val="single" w:sz="8" w:space="0" w:color="F0F0F0" w:themeColor="accent5"/>
        <w:insideH w:val="single" w:sz="8" w:space="0" w:color="F0F0F0" w:themeColor="accent5"/>
        <w:insideV w:val="single" w:sz="8" w:space="0" w:color="F0F0F0" w:themeColor="accent5"/>
      </w:tblBorders>
    </w:tblPr>
    <w:tcPr>
      <w:shd w:val="clear" w:color="auto" w:fill="FBFBFB" w:themeFill="accent5" w:themeFillTint="3F"/>
    </w:tcPr>
    <w:tblStylePr w:type="firstRow">
      <w:rPr>
        <w:b/>
        <w:bCs/>
        <w:color w:val="000000" w:themeColor="text1"/>
      </w:rPr>
      <w:tblPr/>
      <w:tcPr>
        <w:shd w:val="clear" w:color="auto" w:fill="FDFDF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FCFC" w:themeFill="accent5" w:themeFillTint="33"/>
      </w:tcPr>
    </w:tblStylePr>
    <w:tblStylePr w:type="band1Vert">
      <w:tblPr/>
      <w:tcPr>
        <w:shd w:val="clear" w:color="auto" w:fill="F7F7F7" w:themeFill="accent5" w:themeFillTint="7F"/>
      </w:tcPr>
    </w:tblStylePr>
    <w:tblStylePr w:type="band1Horz">
      <w:tblPr/>
      <w:tcPr>
        <w:tcBorders>
          <w:insideH w:val="single" w:sz="6" w:space="0" w:color="F0F0F0" w:themeColor="accent5"/>
          <w:insideV w:val="single" w:sz="6" w:space="0" w:color="F0F0F0" w:themeColor="accent5"/>
        </w:tcBorders>
        <w:shd w:val="clear" w:color="auto" w:fill="F7F7F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F0E6" w:themeColor="accent6"/>
        <w:left w:val="single" w:sz="8" w:space="0" w:color="F2F0E6" w:themeColor="accent6"/>
        <w:bottom w:val="single" w:sz="8" w:space="0" w:color="F2F0E6" w:themeColor="accent6"/>
        <w:right w:val="single" w:sz="8" w:space="0" w:color="F2F0E6" w:themeColor="accent6"/>
        <w:insideH w:val="single" w:sz="8" w:space="0" w:color="F2F0E6" w:themeColor="accent6"/>
        <w:insideV w:val="single" w:sz="8" w:space="0" w:color="F2F0E6" w:themeColor="accent6"/>
      </w:tblBorders>
    </w:tblPr>
    <w:tcPr>
      <w:shd w:val="clear" w:color="auto" w:fill="FBFBF8" w:themeFill="accent6" w:themeFillTint="3F"/>
    </w:tcPr>
    <w:tblStylePr w:type="firstRow">
      <w:rPr>
        <w:b/>
        <w:bCs/>
        <w:color w:val="000000" w:themeColor="text1"/>
      </w:rPr>
      <w:tblPr/>
      <w:tcPr>
        <w:shd w:val="clear" w:color="auto" w:fill="FDFD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FCF9" w:themeFill="accent6" w:themeFillTint="33"/>
      </w:tcPr>
    </w:tblStylePr>
    <w:tblStylePr w:type="band1Vert">
      <w:tblPr/>
      <w:tcPr>
        <w:shd w:val="clear" w:color="auto" w:fill="F8F7F2" w:themeFill="accent6" w:themeFillTint="7F"/>
      </w:tcPr>
    </w:tblStylePr>
    <w:tblStylePr w:type="band1Horz">
      <w:tblPr/>
      <w:tcPr>
        <w:tcBorders>
          <w:insideH w:val="single" w:sz="6" w:space="0" w:color="F2F0E6" w:themeColor="accent6"/>
          <w:insideV w:val="single" w:sz="6" w:space="0" w:color="F2F0E6" w:themeColor="accent6"/>
        </w:tcBorders>
        <w:shd w:val="clear" w:color="auto" w:fill="F8F7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E3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3F3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3F3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3F3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3F3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C6A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C6AB"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EFFD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A6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A6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A6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A6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DFFB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DFFBB"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FFE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94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94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94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94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5FFC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5FFC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EDE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B88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B88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B88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B88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DBC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DBC3"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BF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F0F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F0F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F0F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F0F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F7F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F7F7"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B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F0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F0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F0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F0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F7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F7F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73F3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1F1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12F2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12F26" w:themeFill="accent1" w:themeFillShade="BF"/>
      </w:tcPr>
    </w:tblStylePr>
    <w:tblStylePr w:type="band1Vert">
      <w:tblPr/>
      <w:tcPr>
        <w:tcBorders>
          <w:top w:val="nil"/>
          <w:left w:val="nil"/>
          <w:bottom w:val="nil"/>
          <w:right w:val="nil"/>
          <w:insideH w:val="nil"/>
          <w:insideV w:val="nil"/>
        </w:tcBorders>
        <w:shd w:val="clear" w:color="auto" w:fill="112F26" w:themeFill="accent1" w:themeFillShade="BF"/>
      </w:tcPr>
    </w:tblStylePr>
    <w:tblStylePr w:type="band1Horz">
      <w:tblPr/>
      <w:tcPr>
        <w:tcBorders>
          <w:top w:val="nil"/>
          <w:left w:val="nil"/>
          <w:bottom w:val="nil"/>
          <w:right w:val="nil"/>
          <w:insideH w:val="nil"/>
          <w:insideV w:val="nil"/>
        </w:tcBorders>
        <w:shd w:val="clear" w:color="auto" w:fill="112F2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00BA6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C3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B5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B50" w:themeFill="accent2" w:themeFillShade="BF"/>
      </w:tcPr>
    </w:tblStylePr>
    <w:tblStylePr w:type="band1Vert">
      <w:tblPr/>
      <w:tcPr>
        <w:tcBorders>
          <w:top w:val="nil"/>
          <w:left w:val="nil"/>
          <w:bottom w:val="nil"/>
          <w:right w:val="nil"/>
          <w:insideH w:val="nil"/>
          <w:insideV w:val="nil"/>
        </w:tcBorders>
        <w:shd w:val="clear" w:color="auto" w:fill="008B50" w:themeFill="accent2" w:themeFillShade="BF"/>
      </w:tcPr>
    </w:tblStylePr>
    <w:tblStylePr w:type="band1Horz">
      <w:tblPr/>
      <w:tcPr>
        <w:tcBorders>
          <w:top w:val="nil"/>
          <w:left w:val="nil"/>
          <w:bottom w:val="nil"/>
          <w:right w:val="nil"/>
          <w:insideH w:val="nil"/>
          <w:insideV w:val="nil"/>
        </w:tcBorders>
        <w:shd w:val="clear" w:color="auto" w:fill="008B50"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00694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42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4E3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4E37" w:themeFill="accent3" w:themeFillShade="BF"/>
      </w:tcPr>
    </w:tblStylePr>
    <w:tblStylePr w:type="band1Vert">
      <w:tblPr/>
      <w:tcPr>
        <w:tcBorders>
          <w:top w:val="nil"/>
          <w:left w:val="nil"/>
          <w:bottom w:val="nil"/>
          <w:right w:val="nil"/>
          <w:insideH w:val="nil"/>
          <w:insideV w:val="nil"/>
        </w:tcBorders>
        <w:shd w:val="clear" w:color="auto" w:fill="004E37" w:themeFill="accent3" w:themeFillShade="BF"/>
      </w:tcPr>
    </w:tblStylePr>
    <w:tblStylePr w:type="band1Horz">
      <w:tblPr/>
      <w:tcPr>
        <w:tcBorders>
          <w:top w:val="nil"/>
          <w:left w:val="nil"/>
          <w:bottom w:val="nil"/>
          <w:right w:val="nil"/>
          <w:insideH w:val="nil"/>
          <w:insideV w:val="nil"/>
        </w:tcBorders>
        <w:shd w:val="clear" w:color="auto" w:fill="004E37"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CEB88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8613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5934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5934B" w:themeFill="accent4" w:themeFillShade="BF"/>
      </w:tcPr>
    </w:tblStylePr>
    <w:tblStylePr w:type="band1Vert">
      <w:tblPr/>
      <w:tcPr>
        <w:tcBorders>
          <w:top w:val="nil"/>
          <w:left w:val="nil"/>
          <w:bottom w:val="nil"/>
          <w:right w:val="nil"/>
          <w:insideH w:val="nil"/>
          <w:insideV w:val="nil"/>
        </w:tcBorders>
        <w:shd w:val="clear" w:color="auto" w:fill="B5934B" w:themeFill="accent4" w:themeFillShade="BF"/>
      </w:tcPr>
    </w:tblStylePr>
    <w:tblStylePr w:type="band1Horz">
      <w:tblPr/>
      <w:tcPr>
        <w:tcBorders>
          <w:top w:val="nil"/>
          <w:left w:val="nil"/>
          <w:bottom w:val="nil"/>
          <w:right w:val="nil"/>
          <w:insideH w:val="nil"/>
          <w:insideV w:val="nil"/>
        </w:tcBorders>
        <w:shd w:val="clear" w:color="auto" w:fill="B5934B"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F0F0F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7777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3B3B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3B3B3" w:themeFill="accent5" w:themeFillShade="BF"/>
      </w:tcPr>
    </w:tblStylePr>
    <w:tblStylePr w:type="band1Vert">
      <w:tblPr/>
      <w:tcPr>
        <w:tcBorders>
          <w:top w:val="nil"/>
          <w:left w:val="nil"/>
          <w:bottom w:val="nil"/>
          <w:right w:val="nil"/>
          <w:insideH w:val="nil"/>
          <w:insideV w:val="nil"/>
        </w:tcBorders>
        <w:shd w:val="clear" w:color="auto" w:fill="B3B3B3" w:themeFill="accent5" w:themeFillShade="BF"/>
      </w:tcPr>
    </w:tblStylePr>
    <w:tblStylePr w:type="band1Horz">
      <w:tblPr/>
      <w:tcPr>
        <w:tcBorders>
          <w:top w:val="nil"/>
          <w:left w:val="nil"/>
          <w:bottom w:val="nil"/>
          <w:right w:val="nil"/>
          <w:insideH w:val="nil"/>
          <w:insideV w:val="nil"/>
        </w:tcBorders>
        <w:shd w:val="clear" w:color="auto" w:fill="B3B3B3"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2F0E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A8E5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9C19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9C197" w:themeFill="accent6" w:themeFillShade="BF"/>
      </w:tcPr>
    </w:tblStylePr>
    <w:tblStylePr w:type="band1Vert">
      <w:tblPr/>
      <w:tcPr>
        <w:tcBorders>
          <w:top w:val="nil"/>
          <w:left w:val="nil"/>
          <w:bottom w:val="nil"/>
          <w:right w:val="nil"/>
          <w:insideH w:val="nil"/>
          <w:insideV w:val="nil"/>
        </w:tcBorders>
        <w:shd w:val="clear" w:color="auto" w:fill="C9C197" w:themeFill="accent6" w:themeFillShade="BF"/>
      </w:tcPr>
    </w:tblStylePr>
    <w:tblStylePr w:type="band1Horz">
      <w:tblPr/>
      <w:tcPr>
        <w:tcBorders>
          <w:top w:val="nil"/>
          <w:left w:val="nil"/>
          <w:bottom w:val="nil"/>
          <w:right w:val="nil"/>
          <w:insideH w:val="nil"/>
          <w:insideV w:val="nil"/>
        </w:tcBorders>
        <w:shd w:val="clear" w:color="auto" w:fill="C9C197"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00BA6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A6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00BA6C" w:themeColor="accent2"/>
        <w:left w:val="single" w:sz="4" w:space="0" w:color="173F34" w:themeColor="accent1"/>
        <w:bottom w:val="single" w:sz="4" w:space="0" w:color="173F34" w:themeColor="accent1"/>
        <w:right w:val="single" w:sz="4" w:space="0" w:color="173F34" w:themeColor="accent1"/>
        <w:insideH w:val="single" w:sz="4" w:space="0" w:color="FFFFFF" w:themeColor="background1"/>
        <w:insideV w:val="single" w:sz="4" w:space="0" w:color="FFFFFF" w:themeColor="background1"/>
      </w:tblBorders>
    </w:tblPr>
    <w:tcPr>
      <w:shd w:val="clear" w:color="auto" w:fill="E0F4EE" w:themeFill="accent1" w:themeFillTint="19"/>
    </w:tcPr>
    <w:tblStylePr w:type="firstRow">
      <w:rPr>
        <w:b/>
        <w:bCs/>
      </w:rPr>
      <w:tblPr/>
      <w:tcPr>
        <w:tcBorders>
          <w:top w:val="nil"/>
          <w:left w:val="nil"/>
          <w:bottom w:val="single" w:sz="24" w:space="0" w:color="00BA6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251E" w:themeFill="accent1" w:themeFillShade="99"/>
      </w:tcPr>
    </w:tblStylePr>
    <w:tblStylePr w:type="firstCol">
      <w:rPr>
        <w:color w:val="FFFFFF" w:themeColor="background1"/>
      </w:rPr>
      <w:tblPr/>
      <w:tcPr>
        <w:tcBorders>
          <w:top w:val="nil"/>
          <w:left w:val="nil"/>
          <w:bottom w:val="nil"/>
          <w:right w:val="nil"/>
          <w:insideH w:val="single" w:sz="4" w:space="0" w:color="0D251E" w:themeColor="accent1" w:themeShade="99"/>
          <w:insideV w:val="nil"/>
        </w:tcBorders>
        <w:shd w:val="clear" w:color="auto" w:fill="0D251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D251E" w:themeFill="accent1" w:themeFillShade="99"/>
      </w:tcPr>
    </w:tblStylePr>
    <w:tblStylePr w:type="band1Vert">
      <w:tblPr/>
      <w:tcPr>
        <w:shd w:val="clear" w:color="auto" w:fill="82D1BB" w:themeFill="accent1" w:themeFillTint="66"/>
      </w:tcPr>
    </w:tblStylePr>
    <w:tblStylePr w:type="band1Horz">
      <w:tblPr/>
      <w:tcPr>
        <w:shd w:val="clear" w:color="auto" w:fill="64C6AB"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00BA6C" w:themeColor="accent2"/>
        <w:left w:val="single" w:sz="4" w:space="0" w:color="00BA6C" w:themeColor="accent2"/>
        <w:bottom w:val="single" w:sz="4" w:space="0" w:color="00BA6C" w:themeColor="accent2"/>
        <w:right w:val="single" w:sz="4" w:space="0" w:color="00BA6C" w:themeColor="accent2"/>
        <w:insideH w:val="single" w:sz="4" w:space="0" w:color="FFFFFF" w:themeColor="background1"/>
        <w:insideV w:val="single" w:sz="4" w:space="0" w:color="FFFFFF" w:themeColor="background1"/>
      </w:tblBorders>
    </w:tblPr>
    <w:tcPr>
      <w:shd w:val="clear" w:color="auto" w:fill="DFFFF1" w:themeFill="accent2" w:themeFillTint="19"/>
    </w:tcPr>
    <w:tblStylePr w:type="firstRow">
      <w:rPr>
        <w:b/>
        <w:bCs/>
      </w:rPr>
      <w:tblPr/>
      <w:tcPr>
        <w:tcBorders>
          <w:top w:val="nil"/>
          <w:left w:val="nil"/>
          <w:bottom w:val="single" w:sz="24" w:space="0" w:color="00BA6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F40" w:themeFill="accent2" w:themeFillShade="99"/>
      </w:tcPr>
    </w:tblStylePr>
    <w:tblStylePr w:type="firstCol">
      <w:rPr>
        <w:color w:val="FFFFFF" w:themeColor="background1"/>
      </w:rPr>
      <w:tblPr/>
      <w:tcPr>
        <w:tcBorders>
          <w:top w:val="nil"/>
          <w:left w:val="nil"/>
          <w:bottom w:val="nil"/>
          <w:right w:val="nil"/>
          <w:insideH w:val="single" w:sz="4" w:space="0" w:color="006F40" w:themeColor="accent2" w:themeShade="99"/>
          <w:insideV w:val="nil"/>
        </w:tcBorders>
        <w:shd w:val="clear" w:color="auto" w:fill="006F4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6F40" w:themeFill="accent2" w:themeFillShade="99"/>
      </w:tcPr>
    </w:tblStylePr>
    <w:tblStylePr w:type="band1Vert">
      <w:tblPr/>
      <w:tcPr>
        <w:shd w:val="clear" w:color="auto" w:fill="7DFFC8" w:themeFill="accent2" w:themeFillTint="66"/>
      </w:tcPr>
    </w:tblStylePr>
    <w:tblStylePr w:type="band1Horz">
      <w:tblPr/>
      <w:tcPr>
        <w:shd w:val="clear" w:color="auto" w:fill="5DFFBB"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CEB888" w:themeColor="accent4"/>
        <w:left w:val="single" w:sz="4" w:space="0" w:color="00694B" w:themeColor="accent3"/>
        <w:bottom w:val="single" w:sz="4" w:space="0" w:color="00694B" w:themeColor="accent3"/>
        <w:right w:val="single" w:sz="4" w:space="0" w:color="00694B" w:themeColor="accent3"/>
        <w:insideH w:val="single" w:sz="4" w:space="0" w:color="FFFFFF" w:themeColor="background1"/>
        <w:insideV w:val="single" w:sz="4" w:space="0" w:color="FFFFFF" w:themeColor="background1"/>
      </w:tblBorders>
    </w:tblPr>
    <w:tcPr>
      <w:shd w:val="clear" w:color="auto" w:fill="D7FFF3" w:themeFill="accent3" w:themeFillTint="19"/>
    </w:tcPr>
    <w:tblStylePr w:type="firstRow">
      <w:rPr>
        <w:b/>
        <w:bCs/>
      </w:rPr>
      <w:tblPr/>
      <w:tcPr>
        <w:tcBorders>
          <w:top w:val="nil"/>
          <w:left w:val="nil"/>
          <w:bottom w:val="single" w:sz="24" w:space="0" w:color="CEB88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F2C" w:themeFill="accent3" w:themeFillShade="99"/>
      </w:tcPr>
    </w:tblStylePr>
    <w:tblStylePr w:type="firstCol">
      <w:rPr>
        <w:color w:val="FFFFFF" w:themeColor="background1"/>
      </w:rPr>
      <w:tblPr/>
      <w:tcPr>
        <w:tcBorders>
          <w:top w:val="nil"/>
          <w:left w:val="nil"/>
          <w:bottom w:val="nil"/>
          <w:right w:val="nil"/>
          <w:insideH w:val="single" w:sz="4" w:space="0" w:color="003F2C" w:themeColor="accent3" w:themeShade="99"/>
          <w:insideV w:val="nil"/>
        </w:tcBorders>
        <w:shd w:val="clear" w:color="auto" w:fill="003F2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3F2C" w:themeFill="accent3" w:themeFillShade="99"/>
      </w:tcPr>
    </w:tblStylePr>
    <w:tblStylePr w:type="band1Vert">
      <w:tblPr/>
      <w:tcPr>
        <w:shd w:val="clear" w:color="auto" w:fill="5DFFD0" w:themeFill="accent3" w:themeFillTint="66"/>
      </w:tcPr>
    </w:tblStylePr>
    <w:tblStylePr w:type="band1Horz">
      <w:tblPr/>
      <w:tcPr>
        <w:shd w:val="clear" w:color="auto" w:fill="35FFC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00694B" w:themeColor="accent3"/>
        <w:left w:val="single" w:sz="4" w:space="0" w:color="CEB888" w:themeColor="accent4"/>
        <w:bottom w:val="single" w:sz="4" w:space="0" w:color="CEB888" w:themeColor="accent4"/>
        <w:right w:val="single" w:sz="4" w:space="0" w:color="CEB888" w:themeColor="accent4"/>
        <w:insideH w:val="single" w:sz="4" w:space="0" w:color="FFFFFF" w:themeColor="background1"/>
        <w:insideV w:val="single" w:sz="4" w:space="0" w:color="FFFFFF" w:themeColor="background1"/>
      </w:tblBorders>
    </w:tblPr>
    <w:tcPr>
      <w:shd w:val="clear" w:color="auto" w:fill="FAF7F3" w:themeFill="accent4" w:themeFillTint="19"/>
    </w:tcPr>
    <w:tblStylePr w:type="firstRow">
      <w:rPr>
        <w:b/>
        <w:bCs/>
      </w:rPr>
      <w:tblPr/>
      <w:tcPr>
        <w:tcBorders>
          <w:top w:val="nil"/>
          <w:left w:val="nil"/>
          <w:bottom w:val="single" w:sz="24" w:space="0" w:color="00694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763B" w:themeFill="accent4" w:themeFillShade="99"/>
      </w:tcPr>
    </w:tblStylePr>
    <w:tblStylePr w:type="firstCol">
      <w:rPr>
        <w:color w:val="FFFFFF" w:themeColor="background1"/>
      </w:rPr>
      <w:tblPr/>
      <w:tcPr>
        <w:tcBorders>
          <w:top w:val="nil"/>
          <w:left w:val="nil"/>
          <w:bottom w:val="nil"/>
          <w:right w:val="nil"/>
          <w:insideH w:val="single" w:sz="4" w:space="0" w:color="91763B" w:themeColor="accent4" w:themeShade="99"/>
          <w:insideV w:val="nil"/>
        </w:tcBorders>
        <w:shd w:val="clear" w:color="auto" w:fill="91763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1763B" w:themeFill="accent4" w:themeFillShade="99"/>
      </w:tcPr>
    </w:tblStylePr>
    <w:tblStylePr w:type="band1Vert">
      <w:tblPr/>
      <w:tcPr>
        <w:shd w:val="clear" w:color="auto" w:fill="EBE2CF" w:themeFill="accent4" w:themeFillTint="66"/>
      </w:tcPr>
    </w:tblStylePr>
    <w:tblStylePr w:type="band1Horz">
      <w:tblPr/>
      <w:tcPr>
        <w:shd w:val="clear" w:color="auto" w:fill="E6DBC3"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2F0E6" w:themeColor="accent6"/>
        <w:left w:val="single" w:sz="4" w:space="0" w:color="F0F0F0" w:themeColor="accent5"/>
        <w:bottom w:val="single" w:sz="4" w:space="0" w:color="F0F0F0" w:themeColor="accent5"/>
        <w:right w:val="single" w:sz="4" w:space="0" w:color="F0F0F0" w:themeColor="accent5"/>
        <w:insideH w:val="single" w:sz="4" w:space="0" w:color="FFFFFF" w:themeColor="background1"/>
        <w:insideV w:val="single" w:sz="4" w:space="0" w:color="FFFFFF" w:themeColor="background1"/>
      </w:tblBorders>
    </w:tblPr>
    <w:tcPr>
      <w:shd w:val="clear" w:color="auto" w:fill="FDFDFD" w:themeFill="accent5" w:themeFillTint="19"/>
    </w:tcPr>
    <w:tblStylePr w:type="firstRow">
      <w:rPr>
        <w:b/>
        <w:bCs/>
      </w:rPr>
      <w:tblPr/>
      <w:tcPr>
        <w:tcBorders>
          <w:top w:val="nil"/>
          <w:left w:val="nil"/>
          <w:bottom w:val="single" w:sz="24" w:space="0" w:color="F2F0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09090" w:themeFill="accent5" w:themeFillShade="99"/>
      </w:tcPr>
    </w:tblStylePr>
    <w:tblStylePr w:type="firstCol">
      <w:rPr>
        <w:color w:val="FFFFFF" w:themeColor="background1"/>
      </w:rPr>
      <w:tblPr/>
      <w:tcPr>
        <w:tcBorders>
          <w:top w:val="nil"/>
          <w:left w:val="nil"/>
          <w:bottom w:val="nil"/>
          <w:right w:val="nil"/>
          <w:insideH w:val="single" w:sz="4" w:space="0" w:color="909090" w:themeColor="accent5" w:themeShade="99"/>
          <w:insideV w:val="nil"/>
        </w:tcBorders>
        <w:shd w:val="clear" w:color="auto" w:fill="90909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09090" w:themeFill="accent5" w:themeFillShade="99"/>
      </w:tcPr>
    </w:tblStylePr>
    <w:tblStylePr w:type="band1Vert">
      <w:tblPr/>
      <w:tcPr>
        <w:shd w:val="clear" w:color="auto" w:fill="F9F9F9" w:themeFill="accent5" w:themeFillTint="66"/>
      </w:tcPr>
    </w:tblStylePr>
    <w:tblStylePr w:type="band1Horz">
      <w:tblPr/>
      <w:tcPr>
        <w:shd w:val="clear" w:color="auto" w:fill="F7F7F7"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F0F0F0" w:themeColor="accent5"/>
        <w:left w:val="single" w:sz="4" w:space="0" w:color="F2F0E6" w:themeColor="accent6"/>
        <w:bottom w:val="single" w:sz="4" w:space="0" w:color="F2F0E6" w:themeColor="accent6"/>
        <w:right w:val="single" w:sz="4" w:space="0" w:color="F2F0E6" w:themeColor="accent6"/>
        <w:insideH w:val="single" w:sz="4" w:space="0" w:color="FFFFFF" w:themeColor="background1"/>
        <w:insideV w:val="single" w:sz="4" w:space="0" w:color="FFFFFF" w:themeColor="background1"/>
      </w:tblBorders>
    </w:tblPr>
    <w:tcPr>
      <w:shd w:val="clear" w:color="auto" w:fill="FDFDFC" w:themeFill="accent6" w:themeFillTint="19"/>
    </w:tcPr>
    <w:tblStylePr w:type="firstRow">
      <w:rPr>
        <w:b/>
        <w:bCs/>
      </w:rPr>
      <w:tblPr/>
      <w:tcPr>
        <w:tcBorders>
          <w:top w:val="nil"/>
          <w:left w:val="nil"/>
          <w:bottom w:val="single" w:sz="24" w:space="0" w:color="F0F0F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1A569" w:themeFill="accent6" w:themeFillShade="99"/>
      </w:tcPr>
    </w:tblStylePr>
    <w:tblStylePr w:type="firstCol">
      <w:rPr>
        <w:color w:val="FFFFFF" w:themeColor="background1"/>
      </w:rPr>
      <w:tblPr/>
      <w:tcPr>
        <w:tcBorders>
          <w:top w:val="nil"/>
          <w:left w:val="nil"/>
          <w:bottom w:val="nil"/>
          <w:right w:val="nil"/>
          <w:insideH w:val="single" w:sz="4" w:space="0" w:color="B1A569" w:themeColor="accent6" w:themeShade="99"/>
          <w:insideV w:val="nil"/>
        </w:tcBorders>
        <w:shd w:val="clear" w:color="auto" w:fill="B1A56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1A569" w:themeFill="accent6" w:themeFillShade="99"/>
      </w:tcPr>
    </w:tblStylePr>
    <w:tblStylePr w:type="band1Vert">
      <w:tblPr/>
      <w:tcPr>
        <w:shd w:val="clear" w:color="auto" w:fill="F9F8F4" w:themeFill="accent6" w:themeFillTint="66"/>
      </w:tcPr>
    </w:tblStylePr>
    <w:tblStylePr w:type="band1Horz">
      <w:tblPr/>
      <w:tcPr>
        <w:shd w:val="clear" w:color="auto" w:fill="F8F7F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456" w:themeFill="accent2" w:themeFillShade="CC"/>
      </w:tcPr>
    </w:tblStylePr>
    <w:tblStylePr w:type="lastRow">
      <w:rPr>
        <w:b/>
        <w:bCs/>
        <w:color w:val="00945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4EE" w:themeFill="accent1" w:themeFillTint="19"/>
    </w:tcPr>
    <w:tblStylePr w:type="firstRow">
      <w:rPr>
        <w:b/>
        <w:bCs/>
        <w:color w:val="FFFFFF" w:themeColor="background1"/>
      </w:rPr>
      <w:tblPr/>
      <w:tcPr>
        <w:tcBorders>
          <w:bottom w:val="single" w:sz="12" w:space="0" w:color="FFFFFF" w:themeColor="background1"/>
        </w:tcBorders>
        <w:shd w:val="clear" w:color="auto" w:fill="009456" w:themeFill="accent2" w:themeFillShade="CC"/>
      </w:tcPr>
    </w:tblStylePr>
    <w:tblStylePr w:type="lastRow">
      <w:rPr>
        <w:b/>
        <w:bCs/>
        <w:color w:val="00945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E3D5" w:themeFill="accent1" w:themeFillTint="3F"/>
      </w:tcPr>
    </w:tblStylePr>
    <w:tblStylePr w:type="band1Horz">
      <w:tblPr/>
      <w:tcPr>
        <w:shd w:val="clear" w:color="auto" w:fill="C0E8DD"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DFFFF1" w:themeFill="accent2" w:themeFillTint="19"/>
    </w:tcPr>
    <w:tblStylePr w:type="firstRow">
      <w:rPr>
        <w:b/>
        <w:bCs/>
        <w:color w:val="FFFFFF" w:themeColor="background1"/>
      </w:rPr>
      <w:tblPr/>
      <w:tcPr>
        <w:tcBorders>
          <w:bottom w:val="single" w:sz="12" w:space="0" w:color="FFFFFF" w:themeColor="background1"/>
        </w:tcBorders>
        <w:shd w:val="clear" w:color="auto" w:fill="009456" w:themeFill="accent2" w:themeFillShade="CC"/>
      </w:tcPr>
    </w:tblStylePr>
    <w:tblStylePr w:type="lastRow">
      <w:rPr>
        <w:b/>
        <w:bCs/>
        <w:color w:val="00945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EFFDD" w:themeFill="accent2" w:themeFillTint="3F"/>
      </w:tcPr>
    </w:tblStylePr>
    <w:tblStylePr w:type="band1Horz">
      <w:tblPr/>
      <w:tcPr>
        <w:shd w:val="clear" w:color="auto" w:fill="BEFFE3"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D7FFF3" w:themeFill="accent3" w:themeFillTint="19"/>
    </w:tcPr>
    <w:tblStylePr w:type="firstRow">
      <w:rPr>
        <w:b/>
        <w:bCs/>
        <w:color w:val="FFFFFF" w:themeColor="background1"/>
      </w:rPr>
      <w:tblPr/>
      <w:tcPr>
        <w:tcBorders>
          <w:bottom w:val="single" w:sz="12" w:space="0" w:color="FFFFFF" w:themeColor="background1"/>
        </w:tcBorders>
        <w:shd w:val="clear" w:color="auto" w:fill="BA9A57" w:themeFill="accent4" w:themeFillShade="CC"/>
      </w:tcPr>
    </w:tblStylePr>
    <w:tblStylePr w:type="lastRow">
      <w:rPr>
        <w:b/>
        <w:bCs/>
        <w:color w:val="BA9A57"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FE2" w:themeFill="accent3" w:themeFillTint="3F"/>
      </w:tcPr>
    </w:tblStylePr>
    <w:tblStylePr w:type="band1Horz">
      <w:tblPr/>
      <w:tcPr>
        <w:shd w:val="clear" w:color="auto" w:fill="AEFFE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AF7F3" w:themeFill="accent4" w:themeFillTint="19"/>
    </w:tcPr>
    <w:tblStylePr w:type="firstRow">
      <w:rPr>
        <w:b/>
        <w:bCs/>
        <w:color w:val="FFFFFF" w:themeColor="background1"/>
      </w:rPr>
      <w:tblPr/>
      <w:tcPr>
        <w:tcBorders>
          <w:bottom w:val="single" w:sz="12" w:space="0" w:color="FFFFFF" w:themeColor="background1"/>
        </w:tcBorders>
        <w:shd w:val="clear" w:color="auto" w:fill="00543B" w:themeFill="accent3" w:themeFillShade="CC"/>
      </w:tcPr>
    </w:tblStylePr>
    <w:tblStylePr w:type="lastRow">
      <w:rPr>
        <w:b/>
        <w:bCs/>
        <w:color w:val="00543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EDE1" w:themeFill="accent4" w:themeFillTint="3F"/>
      </w:tcPr>
    </w:tblStylePr>
    <w:tblStylePr w:type="band1Horz">
      <w:tblPr/>
      <w:tcPr>
        <w:shd w:val="clear" w:color="auto" w:fill="F5F0E7"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DFDFD" w:themeFill="accent5" w:themeFillTint="19"/>
    </w:tcPr>
    <w:tblStylePr w:type="firstRow">
      <w:rPr>
        <w:b/>
        <w:bCs/>
        <w:color w:val="FFFFFF" w:themeColor="background1"/>
      </w:rPr>
      <w:tblPr/>
      <w:tcPr>
        <w:tcBorders>
          <w:bottom w:val="single" w:sz="12" w:space="0" w:color="FFFFFF" w:themeColor="background1"/>
        </w:tcBorders>
        <w:shd w:val="clear" w:color="auto" w:fill="D1CAA7" w:themeFill="accent6" w:themeFillShade="CC"/>
      </w:tcPr>
    </w:tblStylePr>
    <w:tblStylePr w:type="lastRow">
      <w:rPr>
        <w:b/>
        <w:bCs/>
        <w:color w:val="D1CAA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BFB" w:themeFill="accent5" w:themeFillTint="3F"/>
      </w:tcPr>
    </w:tblStylePr>
    <w:tblStylePr w:type="band1Horz">
      <w:tblPr/>
      <w:tcPr>
        <w:shd w:val="clear" w:color="auto" w:fill="FCFCFC"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DFDFC" w:themeFill="accent6" w:themeFillTint="19"/>
    </w:tcPr>
    <w:tblStylePr w:type="firstRow">
      <w:rPr>
        <w:b/>
        <w:bCs/>
        <w:color w:val="FFFFFF" w:themeColor="background1"/>
      </w:rPr>
      <w:tblPr/>
      <w:tcPr>
        <w:tcBorders>
          <w:bottom w:val="single" w:sz="12" w:space="0" w:color="FFFFFF" w:themeColor="background1"/>
        </w:tcBorders>
        <w:shd w:val="clear" w:color="auto" w:fill="C0C0C0" w:themeFill="accent5" w:themeFillShade="CC"/>
      </w:tcPr>
    </w:tblStylePr>
    <w:tblStylePr w:type="lastRow">
      <w:rPr>
        <w:b/>
        <w:bCs/>
        <w:color w:val="C0C0C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BF8" w:themeFill="accent6" w:themeFillTint="3F"/>
      </w:tcPr>
    </w:tblStylePr>
    <w:tblStylePr w:type="band1Horz">
      <w:tblPr/>
      <w:tcPr>
        <w:shd w:val="clear" w:color="auto" w:fill="FCFCF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0E8DD" w:themeFill="accent1" w:themeFillTint="33"/>
    </w:tcPr>
    <w:tblStylePr w:type="firstRow">
      <w:rPr>
        <w:b/>
        <w:bCs/>
      </w:rPr>
      <w:tblPr/>
      <w:tcPr>
        <w:shd w:val="clear" w:color="auto" w:fill="82D1BB" w:themeFill="accent1" w:themeFillTint="66"/>
      </w:tcPr>
    </w:tblStylePr>
    <w:tblStylePr w:type="lastRow">
      <w:rPr>
        <w:b/>
        <w:bCs/>
        <w:color w:val="000000" w:themeColor="text1"/>
      </w:rPr>
      <w:tblPr/>
      <w:tcPr>
        <w:shd w:val="clear" w:color="auto" w:fill="82D1BB" w:themeFill="accent1" w:themeFillTint="66"/>
      </w:tcPr>
    </w:tblStylePr>
    <w:tblStylePr w:type="firstCol">
      <w:rPr>
        <w:color w:val="FFFFFF" w:themeColor="background1"/>
      </w:rPr>
      <w:tblPr/>
      <w:tcPr>
        <w:shd w:val="clear" w:color="auto" w:fill="112F26" w:themeFill="accent1" w:themeFillShade="BF"/>
      </w:tcPr>
    </w:tblStylePr>
    <w:tblStylePr w:type="lastCol">
      <w:rPr>
        <w:color w:val="FFFFFF" w:themeColor="background1"/>
      </w:rPr>
      <w:tblPr/>
      <w:tcPr>
        <w:shd w:val="clear" w:color="auto" w:fill="112F26" w:themeFill="accent1" w:themeFillShade="BF"/>
      </w:tcPr>
    </w:tblStylePr>
    <w:tblStylePr w:type="band1Vert">
      <w:tblPr/>
      <w:tcPr>
        <w:shd w:val="clear" w:color="auto" w:fill="64C6AB" w:themeFill="accent1" w:themeFillTint="7F"/>
      </w:tcPr>
    </w:tblStylePr>
    <w:tblStylePr w:type="band1Horz">
      <w:tblPr/>
      <w:tcPr>
        <w:shd w:val="clear" w:color="auto" w:fill="64C6AB"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EFFE3" w:themeFill="accent2" w:themeFillTint="33"/>
    </w:tcPr>
    <w:tblStylePr w:type="firstRow">
      <w:rPr>
        <w:b/>
        <w:bCs/>
      </w:rPr>
      <w:tblPr/>
      <w:tcPr>
        <w:shd w:val="clear" w:color="auto" w:fill="7DFFC8" w:themeFill="accent2" w:themeFillTint="66"/>
      </w:tcPr>
    </w:tblStylePr>
    <w:tblStylePr w:type="lastRow">
      <w:rPr>
        <w:b/>
        <w:bCs/>
        <w:color w:val="000000" w:themeColor="text1"/>
      </w:rPr>
      <w:tblPr/>
      <w:tcPr>
        <w:shd w:val="clear" w:color="auto" w:fill="7DFFC8" w:themeFill="accent2" w:themeFillTint="66"/>
      </w:tcPr>
    </w:tblStylePr>
    <w:tblStylePr w:type="firstCol">
      <w:rPr>
        <w:color w:val="FFFFFF" w:themeColor="background1"/>
      </w:rPr>
      <w:tblPr/>
      <w:tcPr>
        <w:shd w:val="clear" w:color="auto" w:fill="008B50" w:themeFill="accent2" w:themeFillShade="BF"/>
      </w:tcPr>
    </w:tblStylePr>
    <w:tblStylePr w:type="lastCol">
      <w:rPr>
        <w:color w:val="FFFFFF" w:themeColor="background1"/>
      </w:rPr>
      <w:tblPr/>
      <w:tcPr>
        <w:shd w:val="clear" w:color="auto" w:fill="008B50" w:themeFill="accent2" w:themeFillShade="BF"/>
      </w:tcPr>
    </w:tblStylePr>
    <w:tblStylePr w:type="band1Vert">
      <w:tblPr/>
      <w:tcPr>
        <w:shd w:val="clear" w:color="auto" w:fill="5DFFBB" w:themeFill="accent2" w:themeFillTint="7F"/>
      </w:tcPr>
    </w:tblStylePr>
    <w:tblStylePr w:type="band1Horz">
      <w:tblPr/>
      <w:tcPr>
        <w:shd w:val="clear" w:color="auto" w:fill="5DFFBB"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EFFE7" w:themeFill="accent3" w:themeFillTint="33"/>
    </w:tcPr>
    <w:tblStylePr w:type="firstRow">
      <w:rPr>
        <w:b/>
        <w:bCs/>
      </w:rPr>
      <w:tblPr/>
      <w:tcPr>
        <w:shd w:val="clear" w:color="auto" w:fill="5DFFD0" w:themeFill="accent3" w:themeFillTint="66"/>
      </w:tcPr>
    </w:tblStylePr>
    <w:tblStylePr w:type="lastRow">
      <w:rPr>
        <w:b/>
        <w:bCs/>
        <w:color w:val="000000" w:themeColor="text1"/>
      </w:rPr>
      <w:tblPr/>
      <w:tcPr>
        <w:shd w:val="clear" w:color="auto" w:fill="5DFFD0" w:themeFill="accent3" w:themeFillTint="66"/>
      </w:tcPr>
    </w:tblStylePr>
    <w:tblStylePr w:type="firstCol">
      <w:rPr>
        <w:color w:val="FFFFFF" w:themeColor="background1"/>
      </w:rPr>
      <w:tblPr/>
      <w:tcPr>
        <w:shd w:val="clear" w:color="auto" w:fill="004E37" w:themeFill="accent3" w:themeFillShade="BF"/>
      </w:tcPr>
    </w:tblStylePr>
    <w:tblStylePr w:type="lastCol">
      <w:rPr>
        <w:color w:val="FFFFFF" w:themeColor="background1"/>
      </w:rPr>
      <w:tblPr/>
      <w:tcPr>
        <w:shd w:val="clear" w:color="auto" w:fill="004E37" w:themeFill="accent3" w:themeFillShade="BF"/>
      </w:tcPr>
    </w:tblStylePr>
    <w:tblStylePr w:type="band1Vert">
      <w:tblPr/>
      <w:tcPr>
        <w:shd w:val="clear" w:color="auto" w:fill="35FFC5" w:themeFill="accent3" w:themeFillTint="7F"/>
      </w:tcPr>
    </w:tblStylePr>
    <w:tblStylePr w:type="band1Horz">
      <w:tblPr/>
      <w:tcPr>
        <w:shd w:val="clear" w:color="auto" w:fill="35FFC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F0E7" w:themeFill="accent4" w:themeFillTint="33"/>
    </w:tcPr>
    <w:tblStylePr w:type="firstRow">
      <w:rPr>
        <w:b/>
        <w:bCs/>
      </w:rPr>
      <w:tblPr/>
      <w:tcPr>
        <w:shd w:val="clear" w:color="auto" w:fill="EBE2CF" w:themeFill="accent4" w:themeFillTint="66"/>
      </w:tcPr>
    </w:tblStylePr>
    <w:tblStylePr w:type="lastRow">
      <w:rPr>
        <w:b/>
        <w:bCs/>
        <w:color w:val="000000" w:themeColor="text1"/>
      </w:rPr>
      <w:tblPr/>
      <w:tcPr>
        <w:shd w:val="clear" w:color="auto" w:fill="EBE2CF" w:themeFill="accent4" w:themeFillTint="66"/>
      </w:tcPr>
    </w:tblStylePr>
    <w:tblStylePr w:type="firstCol">
      <w:rPr>
        <w:color w:val="FFFFFF" w:themeColor="background1"/>
      </w:rPr>
      <w:tblPr/>
      <w:tcPr>
        <w:shd w:val="clear" w:color="auto" w:fill="B5934B" w:themeFill="accent4" w:themeFillShade="BF"/>
      </w:tcPr>
    </w:tblStylePr>
    <w:tblStylePr w:type="lastCol">
      <w:rPr>
        <w:color w:val="FFFFFF" w:themeColor="background1"/>
      </w:rPr>
      <w:tblPr/>
      <w:tcPr>
        <w:shd w:val="clear" w:color="auto" w:fill="B5934B" w:themeFill="accent4" w:themeFillShade="BF"/>
      </w:tcPr>
    </w:tblStylePr>
    <w:tblStylePr w:type="band1Vert">
      <w:tblPr/>
      <w:tcPr>
        <w:shd w:val="clear" w:color="auto" w:fill="E6DBC3" w:themeFill="accent4" w:themeFillTint="7F"/>
      </w:tcPr>
    </w:tblStylePr>
    <w:tblStylePr w:type="band1Horz">
      <w:tblPr/>
      <w:tcPr>
        <w:shd w:val="clear" w:color="auto" w:fill="E6DBC3"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FCFC" w:themeFill="accent5" w:themeFillTint="33"/>
    </w:tcPr>
    <w:tblStylePr w:type="firstRow">
      <w:rPr>
        <w:b/>
        <w:bCs/>
      </w:rPr>
      <w:tblPr/>
      <w:tcPr>
        <w:shd w:val="clear" w:color="auto" w:fill="F9F9F9" w:themeFill="accent5" w:themeFillTint="66"/>
      </w:tcPr>
    </w:tblStylePr>
    <w:tblStylePr w:type="lastRow">
      <w:rPr>
        <w:b/>
        <w:bCs/>
        <w:color w:val="000000" w:themeColor="text1"/>
      </w:rPr>
      <w:tblPr/>
      <w:tcPr>
        <w:shd w:val="clear" w:color="auto" w:fill="F9F9F9" w:themeFill="accent5" w:themeFillTint="66"/>
      </w:tcPr>
    </w:tblStylePr>
    <w:tblStylePr w:type="firstCol">
      <w:rPr>
        <w:color w:val="FFFFFF" w:themeColor="background1"/>
      </w:rPr>
      <w:tblPr/>
      <w:tcPr>
        <w:shd w:val="clear" w:color="auto" w:fill="B3B3B3" w:themeFill="accent5" w:themeFillShade="BF"/>
      </w:tcPr>
    </w:tblStylePr>
    <w:tblStylePr w:type="lastCol">
      <w:rPr>
        <w:color w:val="FFFFFF" w:themeColor="background1"/>
      </w:rPr>
      <w:tblPr/>
      <w:tcPr>
        <w:shd w:val="clear" w:color="auto" w:fill="B3B3B3" w:themeFill="accent5" w:themeFillShade="BF"/>
      </w:tcPr>
    </w:tblStylePr>
    <w:tblStylePr w:type="band1Vert">
      <w:tblPr/>
      <w:tcPr>
        <w:shd w:val="clear" w:color="auto" w:fill="F7F7F7" w:themeFill="accent5" w:themeFillTint="7F"/>
      </w:tcPr>
    </w:tblStylePr>
    <w:tblStylePr w:type="band1Horz">
      <w:tblPr/>
      <w:tcPr>
        <w:shd w:val="clear" w:color="auto" w:fill="F7F7F7"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FCF9" w:themeFill="accent6" w:themeFillTint="33"/>
    </w:tcPr>
    <w:tblStylePr w:type="firstRow">
      <w:rPr>
        <w:b/>
        <w:bCs/>
      </w:rPr>
      <w:tblPr/>
      <w:tcPr>
        <w:shd w:val="clear" w:color="auto" w:fill="F9F8F4" w:themeFill="accent6" w:themeFillTint="66"/>
      </w:tcPr>
    </w:tblStylePr>
    <w:tblStylePr w:type="lastRow">
      <w:rPr>
        <w:b/>
        <w:bCs/>
        <w:color w:val="000000" w:themeColor="text1"/>
      </w:rPr>
      <w:tblPr/>
      <w:tcPr>
        <w:shd w:val="clear" w:color="auto" w:fill="F9F8F4" w:themeFill="accent6" w:themeFillTint="66"/>
      </w:tcPr>
    </w:tblStylePr>
    <w:tblStylePr w:type="firstCol">
      <w:rPr>
        <w:color w:val="FFFFFF" w:themeColor="background1"/>
      </w:rPr>
      <w:tblPr/>
      <w:tcPr>
        <w:shd w:val="clear" w:color="auto" w:fill="C9C197" w:themeFill="accent6" w:themeFillShade="BF"/>
      </w:tcPr>
    </w:tblStylePr>
    <w:tblStylePr w:type="lastCol">
      <w:rPr>
        <w:color w:val="FFFFFF" w:themeColor="background1"/>
      </w:rPr>
      <w:tblPr/>
      <w:tcPr>
        <w:shd w:val="clear" w:color="auto" w:fill="C9C197" w:themeFill="accent6" w:themeFillShade="BF"/>
      </w:tcPr>
    </w:tblStylePr>
    <w:tblStylePr w:type="band1Vert">
      <w:tblPr/>
      <w:tcPr>
        <w:shd w:val="clear" w:color="auto" w:fill="F8F7F2" w:themeFill="accent6" w:themeFillTint="7F"/>
      </w:tcPr>
    </w:tblStylePr>
    <w:tblStylePr w:type="band1Horz">
      <w:tblPr/>
      <w:tcPr>
        <w:shd w:val="clear" w:color="auto" w:fill="F8F7F2" w:themeFill="accent6" w:themeFillTint="7F"/>
      </w:tcPr>
    </w:tblStylePr>
  </w:style>
  <w:style w:type="table" w:styleId="TableGridLight">
    <w:name w:val="Grid Table Light"/>
    <w:basedOn w:val="TableNormal"/>
    <w:uiPriority w:val="99"/>
    <w:rsid w:val="0093281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D460BB"/>
    <w:rPr>
      <w:sz w:val="16"/>
      <w:szCs w:val="16"/>
    </w:rPr>
  </w:style>
  <w:style w:type="paragraph" w:styleId="CommentText">
    <w:name w:val="annotation text"/>
    <w:basedOn w:val="Normal"/>
    <w:link w:val="CommentTextChar"/>
    <w:uiPriority w:val="99"/>
    <w:unhideWhenUsed/>
    <w:rsid w:val="00D460BB"/>
    <w:pPr>
      <w:spacing w:line="240" w:lineRule="auto"/>
    </w:pPr>
    <w:rPr>
      <w:szCs w:val="20"/>
    </w:rPr>
  </w:style>
  <w:style w:type="character" w:customStyle="1" w:styleId="CommentTextChar">
    <w:name w:val="Comment Text Char"/>
    <w:basedOn w:val="DefaultParagraphFont"/>
    <w:link w:val="CommentText"/>
    <w:uiPriority w:val="99"/>
    <w:rsid w:val="00D460BB"/>
    <w:rPr>
      <w:rFonts w:ascii="Aptos" w:eastAsia="Aptos" w:hAnsi="Aptos"/>
      <w:sz w:val="20"/>
      <w:szCs w:val="20"/>
    </w:rPr>
  </w:style>
  <w:style w:type="paragraph" w:styleId="CommentSubject">
    <w:name w:val="annotation subject"/>
    <w:basedOn w:val="CommentText"/>
    <w:next w:val="CommentText"/>
    <w:link w:val="CommentSubjectChar"/>
    <w:uiPriority w:val="99"/>
    <w:semiHidden/>
    <w:unhideWhenUsed/>
    <w:rsid w:val="00D460BB"/>
    <w:rPr>
      <w:b/>
      <w:bCs/>
    </w:rPr>
  </w:style>
  <w:style w:type="character" w:customStyle="1" w:styleId="CommentSubjectChar">
    <w:name w:val="Comment Subject Char"/>
    <w:basedOn w:val="CommentTextChar"/>
    <w:link w:val="CommentSubject"/>
    <w:uiPriority w:val="99"/>
    <w:semiHidden/>
    <w:rsid w:val="00D460BB"/>
    <w:rPr>
      <w:rFonts w:ascii="Aptos" w:eastAsia="Aptos" w:hAnsi="Aptos"/>
      <w:b/>
      <w:bCs/>
      <w:sz w:val="20"/>
      <w:szCs w:val="20"/>
    </w:rPr>
  </w:style>
  <w:style w:type="character" w:styleId="Mention">
    <w:name w:val="Mention"/>
    <w:basedOn w:val="DefaultParagraphFont"/>
    <w:uiPriority w:val="99"/>
    <w:unhideWhenUsed/>
    <w:rsid w:val="00D46EA3"/>
    <w:rPr>
      <w:color w:val="2B579A"/>
      <w:shd w:val="clear" w:color="auto" w:fill="E1DFDD"/>
    </w:rPr>
  </w:style>
  <w:style w:type="character" w:styleId="Hyperlink">
    <w:name w:val="Hyperlink"/>
    <w:basedOn w:val="DefaultParagraphFont"/>
    <w:uiPriority w:val="99"/>
    <w:unhideWhenUsed/>
    <w:rsid w:val="00374A21"/>
    <w:rPr>
      <w:color w:val="0563C1" w:themeColor="hyperlink"/>
      <w:u w:val="single"/>
    </w:rPr>
  </w:style>
  <w:style w:type="character" w:styleId="UnresolvedMention">
    <w:name w:val="Unresolved Mention"/>
    <w:basedOn w:val="DefaultParagraphFont"/>
    <w:uiPriority w:val="99"/>
    <w:semiHidden/>
    <w:unhideWhenUsed/>
    <w:rsid w:val="00374A21"/>
    <w:rPr>
      <w:color w:val="605E5C"/>
      <w:shd w:val="clear" w:color="auto" w:fill="E1DFDD"/>
    </w:rPr>
  </w:style>
  <w:style w:type="paragraph" w:styleId="NormalWeb">
    <w:name w:val="Normal (Web)"/>
    <w:basedOn w:val="Normal"/>
    <w:uiPriority w:val="99"/>
    <w:semiHidden/>
    <w:unhideWhenUsed/>
    <w:rsid w:val="00C31AD7"/>
    <w:pPr>
      <w:spacing w:before="100" w:beforeAutospacing="1" w:after="100" w:afterAutospacing="1" w:line="240" w:lineRule="auto"/>
    </w:pPr>
    <w:rPr>
      <w:rFonts w:ascii="Times New Roman" w:eastAsia="Times New Roman" w:hAnsi="Times New Roman" w:cs="Times New Roman"/>
      <w:sz w:val="24"/>
      <w:szCs w:val="24"/>
      <w:lang w:val="en-GB" w:eastAsia="en-GB" w:bidi="he-IL"/>
    </w:rPr>
  </w:style>
  <w:style w:type="paragraph" w:customStyle="1" w:styleId="SmallText">
    <w:name w:val="Small Text"/>
    <w:basedOn w:val="Normal"/>
    <w:rsid w:val="009F645D"/>
    <w:pPr>
      <w:spacing w:after="60" w:line="259" w:lineRule="auto"/>
    </w:pPr>
    <w:rPr>
      <w:color w:val="404040"/>
      <w:sz w:val="17"/>
    </w:rPr>
  </w:style>
  <w:style w:type="paragraph" w:customStyle="1" w:styleId="SourceNote">
    <w:name w:val="Source Note"/>
    <w:basedOn w:val="Normal"/>
    <w:rsid w:val="00383BCF"/>
    <w:pPr>
      <w:spacing w:after="20" w:line="240" w:lineRule="auto"/>
      <w:ind w:left="173" w:hanging="173"/>
    </w:pPr>
    <w:rPr>
      <w:color w:val="666666"/>
      <w:sz w:val="14"/>
    </w:rPr>
  </w:style>
  <w:style w:type="paragraph" w:customStyle="1" w:styleId="ChapterSubtitle">
    <w:name w:val="Chapter Subtitle"/>
    <w:basedOn w:val="Subtitle"/>
    <w:rsid w:val="00D3526B"/>
    <w:pPr>
      <w:spacing w:after="220" w:line="259" w:lineRule="auto"/>
    </w:pPr>
    <w:rPr>
      <w:b/>
      <w:color w:val="C67C00"/>
      <w:sz w:val="30"/>
    </w:rPr>
  </w:style>
  <w:style w:type="table" w:styleId="ListTable3-Accent5">
    <w:name w:val="List Table 3 Accent 5"/>
    <w:basedOn w:val="TableNormal"/>
    <w:uiPriority w:val="48"/>
    <w:rsid w:val="00D36582"/>
    <w:pPr>
      <w:spacing w:after="0" w:line="240" w:lineRule="auto"/>
    </w:pPr>
    <w:tblPr>
      <w:tblStyleRowBandSize w:val="1"/>
      <w:tblStyleColBandSize w:val="1"/>
      <w:tblBorders>
        <w:top w:val="single" w:sz="4" w:space="0" w:color="F0F0F0" w:themeColor="accent5"/>
        <w:left w:val="single" w:sz="4" w:space="0" w:color="F0F0F0" w:themeColor="accent5"/>
        <w:bottom w:val="single" w:sz="4" w:space="0" w:color="F0F0F0" w:themeColor="accent5"/>
        <w:right w:val="single" w:sz="4" w:space="0" w:color="F0F0F0" w:themeColor="accent5"/>
      </w:tblBorders>
    </w:tblPr>
    <w:tblStylePr w:type="firstRow">
      <w:rPr>
        <w:b/>
        <w:bCs/>
        <w:color w:val="FFFFFF" w:themeColor="background1"/>
      </w:rPr>
      <w:tblPr/>
      <w:tcPr>
        <w:shd w:val="clear" w:color="auto" w:fill="F0F0F0" w:themeFill="accent5"/>
      </w:tcPr>
    </w:tblStylePr>
    <w:tblStylePr w:type="lastRow">
      <w:rPr>
        <w:b/>
        <w:bCs/>
      </w:rPr>
      <w:tblPr/>
      <w:tcPr>
        <w:tcBorders>
          <w:top w:val="double" w:sz="4" w:space="0" w:color="F0F0F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F0F0" w:themeColor="accent5"/>
          <w:right w:val="single" w:sz="4" w:space="0" w:color="F0F0F0" w:themeColor="accent5"/>
        </w:tcBorders>
      </w:tcPr>
    </w:tblStylePr>
    <w:tblStylePr w:type="band1Horz">
      <w:tblPr/>
      <w:tcPr>
        <w:tcBorders>
          <w:top w:val="single" w:sz="4" w:space="0" w:color="F0F0F0" w:themeColor="accent5"/>
          <w:bottom w:val="single" w:sz="4" w:space="0" w:color="F0F0F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F0F0" w:themeColor="accent5"/>
          <w:left w:val="nil"/>
        </w:tcBorders>
      </w:tcPr>
    </w:tblStylePr>
    <w:tblStylePr w:type="swCell">
      <w:tblPr/>
      <w:tcPr>
        <w:tcBorders>
          <w:top w:val="double" w:sz="4" w:space="0" w:color="F0F0F0" w:themeColor="accent5"/>
          <w:right w:val="nil"/>
        </w:tcBorders>
      </w:tcPr>
    </w:tblStylePr>
  </w:style>
  <w:style w:type="paragraph" w:customStyle="1" w:styleId="Lead">
    <w:name w:val="Lead"/>
    <w:basedOn w:val="Normal"/>
    <w:rsid w:val="009175FF"/>
    <w:pPr>
      <w:spacing w:after="180" w:line="271" w:lineRule="auto"/>
    </w:pPr>
    <w:rPr>
      <w:color w:val="404040"/>
      <w:sz w:val="22"/>
    </w:rPr>
  </w:style>
  <w:style w:type="paragraph" w:styleId="Revision">
    <w:name w:val="Revision"/>
    <w:hidden/>
    <w:uiPriority w:val="99"/>
    <w:semiHidden/>
    <w:rsid w:val="008D1533"/>
    <w:pPr>
      <w:spacing w:after="0" w:line="240" w:lineRule="auto"/>
    </w:pPr>
    <w:rPr>
      <w:rFonts w:ascii="Aptos" w:eastAsia="Aptos" w:hAnsi="Aptos"/>
      <w:sz w:val="20"/>
    </w:rPr>
  </w:style>
  <w:style w:type="paragraph" w:styleId="TOC1">
    <w:name w:val="toc 1"/>
    <w:basedOn w:val="Normal"/>
    <w:next w:val="Normal"/>
    <w:autoRedefine/>
    <w:uiPriority w:val="39"/>
    <w:unhideWhenUsed/>
    <w:rsid w:val="00A927EF"/>
    <w:pPr>
      <w:spacing w:after="100"/>
    </w:pPr>
  </w:style>
  <w:style w:type="paragraph" w:styleId="TOC2">
    <w:name w:val="toc 2"/>
    <w:basedOn w:val="Normal"/>
    <w:next w:val="Normal"/>
    <w:autoRedefine/>
    <w:uiPriority w:val="39"/>
    <w:unhideWhenUsed/>
    <w:rsid w:val="00A927EF"/>
    <w:pPr>
      <w:spacing w:after="100"/>
      <w:ind w:left="200"/>
    </w:pPr>
  </w:style>
  <w:style w:type="paragraph" w:customStyle="1" w:styleId="EvidenceChangeLabel">
    <w:name w:val="Evidence Change Label"/>
    <w:basedOn w:val="Normal"/>
    <w:pPr>
      <w:spacing w:before="120" w:after="40" w:line="259" w:lineRule="auto"/>
      <w:ind w:left="173" w:right="173"/>
    </w:pPr>
    <w:rPr>
      <w:b/>
      <w:color w:val="7F6000"/>
      <w:sz w:val="17"/>
    </w:rPr>
  </w:style>
  <w:style w:type="paragraph" w:customStyle="1" w:styleId="EvidenceChange">
    <w:name w:val="Evidence Change"/>
    <w:basedOn w:val="Normal"/>
    <w:pPr>
      <w:spacing w:line="259" w:lineRule="auto"/>
      <w:ind w:left="173" w:right="173"/>
    </w:pPr>
    <w:rPr>
      <w:color w:val="000000"/>
      <w:sz w:val="19"/>
    </w:rPr>
  </w:style>
  <w:style w:type="paragraph" w:customStyle="1" w:styleId="EvidenceGap">
    <w:name w:val="Evidence Gap"/>
    <w:basedOn w:val="Normal"/>
    <w:pPr>
      <w:spacing w:before="100" w:after="140" w:line="259" w:lineRule="auto"/>
      <w:ind w:left="173" w:right="173"/>
    </w:pPr>
    <w:rPr>
      <w:color w:val="9C0006"/>
      <w:sz w:val="18"/>
    </w:rPr>
  </w:style>
  <w:style w:type="paragraph" w:customStyle="1" w:styleId="DesignPlaceholder">
    <w:name w:val="Design Placeholder"/>
    <w:basedOn w:val="Normal"/>
    <w:pPr>
      <w:spacing w:before="100" w:after="140" w:line="259" w:lineRule="auto"/>
      <w:ind w:left="173" w:right="173"/>
    </w:pPr>
    <w:rPr>
      <w:i/>
      <w:color w:val="666666"/>
      <w:sz w:val="18"/>
    </w:rPr>
  </w:style>
  <w:style w:type="paragraph" w:customStyle="1" w:styleId="CaseStudyLabel">
    <w:name w:val="Case Study Label"/>
    <w:basedOn w:val="Normal"/>
    <w:pPr>
      <w:keepNext/>
      <w:spacing w:before="240" w:after="40" w:line="259" w:lineRule="auto"/>
      <w:ind w:left="173" w:right="173"/>
    </w:pPr>
    <w:rPr>
      <w:b/>
      <w:color w:val="ED7D31"/>
      <w:sz w:val="17"/>
    </w:rPr>
  </w:style>
  <w:style w:type="paragraph" w:customStyle="1" w:styleId="CaseStudyTitle">
    <w:name w:val="Case Study Title"/>
    <w:basedOn w:val="Normal"/>
    <w:pPr>
      <w:keepNext/>
      <w:spacing w:after="100" w:line="259" w:lineRule="auto"/>
      <w:ind w:left="173" w:right="173"/>
    </w:pPr>
    <w:rPr>
      <w:b/>
      <w:color w:val="1F4E79"/>
      <w:sz w:val="26"/>
    </w:rPr>
  </w:style>
  <w:style w:type="paragraph" w:customStyle="1" w:styleId="CaseStudyBody">
    <w:name w:val="Case Study Body"/>
    <w:basedOn w:val="Normal"/>
    <w:pPr>
      <w:spacing w:after="100" w:line="259" w:lineRule="auto"/>
      <w:ind w:left="173" w:right="173"/>
    </w:pPr>
    <w:rPr>
      <w:color w:val="000000"/>
      <w:sz w:val="19"/>
    </w:rPr>
  </w:style>
  <w:style w:type="paragraph" w:customStyle="1" w:styleId="CaseStudyQuote">
    <w:name w:val="Case Study Quote"/>
    <w:basedOn w:val="Normal"/>
    <w:pPr>
      <w:spacing w:before="20" w:after="160" w:line="259" w:lineRule="auto"/>
      <w:ind w:left="173" w:right="173"/>
    </w:pPr>
    <w:rPr>
      <w:i/>
      <w:color w:val="666666"/>
      <w:sz w:val="21"/>
    </w:rPr>
  </w:style>
  <w:style w:type="paragraph" w:customStyle="1" w:styleId="CaseStudySource">
    <w:name w:val="Case Study Source"/>
    <w:basedOn w:val="Normal"/>
    <w:pPr>
      <w:spacing w:after="200" w:line="259" w:lineRule="auto"/>
      <w:ind w:left="173" w:right="173"/>
    </w:pPr>
    <w:rPr>
      <w:i/>
      <w:color w:val="666666"/>
      <w:sz w:val="16"/>
    </w:rPr>
  </w:style>
  <w:style w:type="paragraph" w:customStyle="1" w:styleId="EvidenceLimitation">
    <w:name w:val="Evidence Limitation"/>
    <w:basedOn w:val="Normal"/>
    <w:pPr>
      <w:spacing w:before="100" w:after="140" w:line="259" w:lineRule="auto"/>
    </w:pPr>
    <w:rPr>
      <w:color w:val="404040"/>
      <w:sz w:val="18"/>
    </w:rPr>
  </w:style>
  <w:style w:type="paragraph" w:customStyle="1" w:styleId="QuoteFeatureLabel">
    <w:name w:val="Quote Feature Label"/>
    <w:basedOn w:val="Normal"/>
    <w:pPr>
      <w:keepNext/>
      <w:spacing w:after="160"/>
    </w:pPr>
    <w:rPr>
      <w:b/>
      <w:color w:val="ED7D31"/>
      <w:sz w:val="18"/>
    </w:rPr>
  </w:style>
  <w:style w:type="paragraph" w:customStyle="1" w:styleId="QuoteFeatureQuote">
    <w:name w:val="Quote Feature Quote"/>
    <w:basedOn w:val="Normal"/>
    <w:pPr>
      <w:keepNext/>
      <w:spacing w:before="360" w:after="280"/>
    </w:pPr>
    <w:rPr>
      <w:b/>
      <w:i/>
      <w:color w:val="1F4E79"/>
      <w:sz w:val="42"/>
    </w:rPr>
  </w:style>
  <w:style w:type="paragraph" w:customStyle="1" w:styleId="QuoteFeatureAttribution">
    <w:name w:val="Quote Feature Attribution"/>
    <w:basedOn w:val="Normal"/>
    <w:pPr>
      <w:keepNext/>
    </w:pPr>
    <w:rPr>
      <w:b/>
      <w:color w:val="7F6000"/>
      <w:sz w:val="22"/>
    </w:rPr>
  </w:style>
  <w:style w:type="paragraph" w:customStyle="1" w:styleId="QuoteFeatureNote">
    <w:name w:val="Quote Feature Note"/>
    <w:basedOn w:val="Normal"/>
    <w:pPr>
      <w:spacing w:after="0"/>
    </w:pPr>
    <w:rPr>
      <w:i/>
      <w:color w:val="666666"/>
      <w:sz w:val="17"/>
    </w:rPr>
  </w:style>
  <w:style w:type="paragraph" w:customStyle="1" w:styleId="EditorialControlLabel">
    <w:name w:val="Editorial Control Label"/>
    <w:basedOn w:val="Normal"/>
    <w:pPr>
      <w:keepNext/>
      <w:spacing w:before="200" w:after="60"/>
    </w:pPr>
    <w:rPr>
      <w:b/>
      <w:color w:val="7F6000"/>
      <w:sz w:val="18"/>
    </w:rPr>
  </w:style>
  <w:style w:type="paragraph" w:customStyle="1" w:styleId="EditorialControl">
    <w:name w:val="Editorial Control"/>
    <w:basedOn w:val="Normal"/>
    <w:pPr>
      <w:keepNext/>
      <w:spacing w:after="100"/>
    </w:pPr>
    <w:rPr>
      <w:color w:val="000000"/>
      <w:sz w:val="19"/>
    </w:rPr>
  </w:style>
  <w:style w:type="paragraph" w:customStyle="1" w:styleId="Interview-InformedRevisionLabel">
    <w:name w:val="Interview-Informed Revision Label"/>
    <w:basedOn w:val="Normal"/>
    <w:pPr>
      <w:keepNext/>
      <w:spacing w:before="160" w:after="40"/>
    </w:pPr>
    <w:rPr>
      <w:b/>
      <w:color w:val="7F6000"/>
      <w:sz w:val="17"/>
    </w:rPr>
  </w:style>
  <w:style w:type="paragraph" w:customStyle="1" w:styleId="InterviewRevisionSource">
    <w:name w:val="Interview Revision Source"/>
    <w:basedOn w:val="Normal"/>
    <w:pPr>
      <w:spacing w:after="140"/>
    </w:pPr>
    <w:rPr>
      <w:i/>
      <w:color w:val="666666"/>
      <w:sz w:val="16"/>
    </w:rPr>
  </w:style>
  <w:style w:type="paragraph" w:customStyle="1" w:styleId="InterviewQuoteLabel">
    <w:name w:val="Interview Quote Label"/>
    <w:basedOn w:val="Normal"/>
    <w:pPr>
      <w:keepNext/>
      <w:spacing w:before="160" w:after="40"/>
    </w:pPr>
    <w:rPr>
      <w:b/>
      <w:color w:val="ED7D31"/>
      <w:sz w:val="17"/>
    </w:rPr>
  </w:style>
  <w:style w:type="paragraph" w:customStyle="1" w:styleId="InterviewQuote">
    <w:name w:val="Interview Quote"/>
    <w:basedOn w:val="Normal"/>
    <w:pPr>
      <w:keepNext/>
      <w:spacing w:before="40" w:after="60"/>
    </w:pPr>
    <w:rPr>
      <w:b/>
      <w:i/>
      <w:color w:val="1F4E79"/>
      <w:sz w:val="25"/>
    </w:rPr>
  </w:style>
  <w:style w:type="paragraph" w:customStyle="1" w:styleId="InterviewQuoteSource">
    <w:name w:val="Interview Quote Source"/>
    <w:basedOn w:val="Normal"/>
    <w:pPr>
      <w:spacing w:after="160"/>
    </w:pPr>
    <w:rPr>
      <w:i/>
      <w:color w:val="666666"/>
      <w:sz w:val="16"/>
    </w:rPr>
  </w:style>
  <w:style w:type="paragraph" w:customStyle="1" w:styleId="CMTable">
    <w:name w:val="CM Table"/>
    <w:basedOn w:val="Normal"/>
    <w:rsid w:val="00C65BF2"/>
    <w:pPr>
      <w:spacing w:after="40" w:line="259" w:lineRule="auto"/>
    </w:pPr>
    <w:rPr>
      <w:color w:val="202A30"/>
      <w:sz w:val="18"/>
    </w:rPr>
  </w:style>
  <w:style w:type="paragraph" w:customStyle="1" w:styleId="CMBody">
    <w:name w:val="CM Body"/>
    <w:basedOn w:val="Normal"/>
    <w:rsid w:val="00172D00"/>
    <w:pPr>
      <w:spacing w:line="259" w:lineRule="auto"/>
    </w:pPr>
    <w:rPr>
      <w:color w:val="202A30"/>
    </w:rPr>
  </w:style>
  <w:style w:type="paragraph" w:customStyle="1" w:styleId="CMH2">
    <w:name w:val="CM H2"/>
    <w:basedOn w:val="Heading2"/>
    <w:rsid w:val="00172D00"/>
    <w:pPr>
      <w:spacing w:after="100" w:line="259" w:lineRule="auto"/>
    </w:pPr>
    <w:rPr>
      <w:rFonts w:ascii="Aptos" w:hAnsi="Aptos"/>
      <w:color w:val="245A7A"/>
      <w:sz w:val="24"/>
    </w:rPr>
  </w:style>
  <w:style w:type="paragraph" w:customStyle="1" w:styleId="CMH1">
    <w:name w:val="CM H1"/>
    <w:basedOn w:val="Heading1"/>
    <w:rsid w:val="0065273A"/>
    <w:pPr>
      <w:spacing w:after="180" w:line="259" w:lineRule="auto"/>
    </w:pPr>
    <w:rPr>
      <w:rFonts w:ascii="Aptos" w:hAnsi="Aptos"/>
      <w:color w:val="245A7A"/>
    </w:rPr>
  </w:style>
  <w:style w:type="paragraph" w:customStyle="1" w:styleId="CMCaption">
    <w:name w:val="CM Caption"/>
    <w:basedOn w:val="Normal"/>
    <w:rsid w:val="008D18D7"/>
    <w:pPr>
      <w:keepNext/>
      <w:spacing w:before="160" w:after="100" w:line="259" w:lineRule="auto"/>
    </w:pPr>
    <w:rPr>
      <w:b/>
      <w:color w:val="245A7A"/>
      <w:sz w:val="19"/>
    </w:rPr>
  </w:style>
  <w:style w:type="character" w:styleId="FollowedHyperlink">
    <w:name w:val="FollowedHyperlink"/>
    <w:basedOn w:val="DefaultParagraphFont"/>
    <w:uiPriority w:val="99"/>
    <w:semiHidden/>
    <w:unhideWhenUsed/>
    <w:rsid w:val="0086285F"/>
    <w:rPr>
      <w:color w:val="954F72" w:themeColor="followedHyperlink"/>
      <w:u w:val="single"/>
    </w:rPr>
  </w:style>
  <w:style w:type="paragraph" w:customStyle="1" w:styleId="SynthesisH2">
    <w:name w:val="Synthesis H2"/>
    <w:basedOn w:val="Heading2"/>
    <w:rsid w:val="00932961"/>
    <w:pPr>
      <w:spacing w:line="259" w:lineRule="auto"/>
    </w:pPr>
    <w:rPr>
      <w:rFonts w:ascii="Aptos" w:hAnsi="Aptos"/>
      <w:color w:val="245A7A"/>
      <w:sz w:val="24"/>
    </w:rPr>
  </w:style>
  <w:style w:type="paragraph" w:customStyle="1" w:styleId="SynthesisTable">
    <w:name w:val="Synthesis Table"/>
    <w:basedOn w:val="Normal"/>
    <w:rsid w:val="00E90D86"/>
    <w:pPr>
      <w:spacing w:after="40" w:line="259" w:lineRule="auto"/>
    </w:pPr>
    <w:rPr>
      <w:color w:val="202A30"/>
      <w:sz w:val="18"/>
    </w:rPr>
  </w:style>
  <w:style w:type="paragraph" w:customStyle="1" w:styleId="SynthesisBody">
    <w:name w:val="Synthesis Body"/>
    <w:basedOn w:val="Normal"/>
    <w:rsid w:val="00D72134"/>
    <w:pPr>
      <w:spacing w:line="259" w:lineRule="auto"/>
    </w:pPr>
    <w:rPr>
      <w:color w:val="202A30"/>
    </w:rPr>
  </w:style>
  <w:style w:type="paragraph" w:customStyle="1" w:styleId="SynthesisCaption">
    <w:name w:val="Synthesis Caption"/>
    <w:basedOn w:val="Normal"/>
    <w:rsid w:val="001041B4"/>
    <w:pPr>
      <w:keepNext/>
      <w:spacing w:before="120" w:after="100" w:line="259" w:lineRule="auto"/>
    </w:pPr>
    <w:rPr>
      <w:b/>
      <w:color w:val="245A7A"/>
      <w:sz w:val="19"/>
    </w:rPr>
  </w:style>
  <w:style w:type="table" w:styleId="GridTable4-Accent5">
    <w:name w:val="Grid Table 4 Accent 5"/>
    <w:basedOn w:val="TableNormal"/>
    <w:uiPriority w:val="49"/>
    <w:rsid w:val="00E44F1E"/>
    <w:pPr>
      <w:spacing w:after="0" w:line="240" w:lineRule="auto"/>
    </w:pPr>
    <w:tblPr>
      <w:tblStyleRowBandSize w:val="1"/>
      <w:tblStyleColBandSize w:val="1"/>
      <w:tblBorders>
        <w:top w:val="single" w:sz="4" w:space="0" w:color="F6F6F6" w:themeColor="accent5" w:themeTint="99"/>
        <w:left w:val="single" w:sz="4" w:space="0" w:color="F6F6F6" w:themeColor="accent5" w:themeTint="99"/>
        <w:bottom w:val="single" w:sz="4" w:space="0" w:color="F6F6F6" w:themeColor="accent5" w:themeTint="99"/>
        <w:right w:val="single" w:sz="4" w:space="0" w:color="F6F6F6" w:themeColor="accent5" w:themeTint="99"/>
        <w:insideH w:val="single" w:sz="4" w:space="0" w:color="F6F6F6" w:themeColor="accent5" w:themeTint="99"/>
        <w:insideV w:val="single" w:sz="4" w:space="0" w:color="F6F6F6" w:themeColor="accent5" w:themeTint="99"/>
      </w:tblBorders>
    </w:tblPr>
    <w:tblStylePr w:type="firstRow">
      <w:rPr>
        <w:b/>
        <w:bCs/>
        <w:color w:val="FFFFFF" w:themeColor="background1"/>
      </w:rPr>
      <w:tblPr/>
      <w:tcPr>
        <w:tcBorders>
          <w:top w:val="single" w:sz="4" w:space="0" w:color="F0F0F0" w:themeColor="accent5"/>
          <w:left w:val="single" w:sz="4" w:space="0" w:color="F0F0F0" w:themeColor="accent5"/>
          <w:bottom w:val="single" w:sz="4" w:space="0" w:color="F0F0F0" w:themeColor="accent5"/>
          <w:right w:val="single" w:sz="4" w:space="0" w:color="F0F0F0" w:themeColor="accent5"/>
          <w:insideH w:val="nil"/>
          <w:insideV w:val="nil"/>
        </w:tcBorders>
        <w:shd w:val="clear" w:color="auto" w:fill="F0F0F0" w:themeFill="accent5"/>
      </w:tcPr>
    </w:tblStylePr>
    <w:tblStylePr w:type="lastRow">
      <w:rPr>
        <w:b/>
        <w:bCs/>
      </w:rPr>
      <w:tblPr/>
      <w:tcPr>
        <w:tcBorders>
          <w:top w:val="double" w:sz="4" w:space="0" w:color="F0F0F0" w:themeColor="accent5"/>
        </w:tcBorders>
      </w:tcPr>
    </w:tblStylePr>
    <w:tblStylePr w:type="firstCol">
      <w:rPr>
        <w:b/>
        <w:bCs/>
      </w:rPr>
    </w:tblStylePr>
    <w:tblStylePr w:type="lastCol">
      <w:rPr>
        <w:b/>
        <w:bCs/>
      </w:rPr>
    </w:tblStylePr>
    <w:tblStylePr w:type="band1Vert">
      <w:tblPr/>
      <w:tcPr>
        <w:shd w:val="clear" w:color="auto" w:fill="FCFCFC" w:themeFill="accent5" w:themeFillTint="33"/>
      </w:tcPr>
    </w:tblStylePr>
    <w:tblStylePr w:type="band1Horz">
      <w:tblPr/>
      <w:tcPr>
        <w:shd w:val="clear" w:color="auto" w:fill="FCFCFC" w:themeFill="accent5" w:themeFillTint="33"/>
      </w:tcPr>
    </w:tblStylePr>
  </w:style>
  <w:style w:type="table" w:styleId="GridTable1Light-Accent5">
    <w:name w:val="Grid Table 1 Light Accent 5"/>
    <w:basedOn w:val="TableNormal"/>
    <w:uiPriority w:val="46"/>
    <w:rsid w:val="00904FA6"/>
    <w:pPr>
      <w:spacing w:after="0" w:line="240" w:lineRule="auto"/>
    </w:pPr>
    <w:tblPr>
      <w:tblStyleRowBandSize w:val="1"/>
      <w:tblStyleColBandSize w:val="1"/>
      <w:tblBorders>
        <w:top w:val="single" w:sz="4" w:space="0" w:color="F9F9F9" w:themeColor="accent5" w:themeTint="66"/>
        <w:left w:val="single" w:sz="4" w:space="0" w:color="F9F9F9" w:themeColor="accent5" w:themeTint="66"/>
        <w:bottom w:val="single" w:sz="4" w:space="0" w:color="F9F9F9" w:themeColor="accent5" w:themeTint="66"/>
        <w:right w:val="single" w:sz="4" w:space="0" w:color="F9F9F9" w:themeColor="accent5" w:themeTint="66"/>
        <w:insideH w:val="single" w:sz="4" w:space="0" w:color="F9F9F9" w:themeColor="accent5" w:themeTint="66"/>
        <w:insideV w:val="single" w:sz="4" w:space="0" w:color="F9F9F9" w:themeColor="accent5" w:themeTint="66"/>
      </w:tblBorders>
    </w:tblPr>
    <w:tblStylePr w:type="firstRow">
      <w:rPr>
        <w:b/>
        <w:bCs/>
      </w:rPr>
      <w:tblPr/>
      <w:tcPr>
        <w:tcBorders>
          <w:bottom w:val="single" w:sz="12" w:space="0" w:color="F6F6F6" w:themeColor="accent5" w:themeTint="99"/>
        </w:tcBorders>
      </w:tcPr>
    </w:tblStylePr>
    <w:tblStylePr w:type="lastRow">
      <w:rPr>
        <w:b/>
        <w:bCs/>
      </w:rPr>
      <w:tblPr/>
      <w:tcPr>
        <w:tcBorders>
          <w:top w:val="double" w:sz="2" w:space="0" w:color="F6F6F6" w:themeColor="accent5" w:themeTint="99"/>
        </w:tcBorders>
      </w:tcPr>
    </w:tblStylePr>
    <w:tblStylePr w:type="firstCol">
      <w:rPr>
        <w:b/>
        <w:bCs/>
      </w:rPr>
    </w:tblStylePr>
    <w:tblStylePr w:type="lastCol">
      <w:rPr>
        <w:b/>
        <w:bCs/>
      </w:rPr>
    </w:tblStylePr>
  </w:style>
  <w:style w:type="paragraph" w:customStyle="1" w:styleId="quotename">
    <w:name w:val="quotename"/>
    <w:basedOn w:val="Heading1"/>
    <w:link w:val="quotenameChar"/>
    <w:qFormat/>
    <w:rsid w:val="00EE0174"/>
    <w:pPr>
      <w:ind w:left="720"/>
    </w:pPr>
    <w:rPr>
      <w:b w:val="0"/>
      <w:bCs w:val="0"/>
      <w:sz w:val="20"/>
      <w:szCs w:val="14"/>
    </w:rPr>
  </w:style>
  <w:style w:type="character" w:customStyle="1" w:styleId="quotenameChar">
    <w:name w:val="quotename Char"/>
    <w:basedOn w:val="Heading1Char"/>
    <w:link w:val="quotename"/>
    <w:rsid w:val="00EE0174"/>
    <w:rPr>
      <w:rFonts w:ascii="Verdana" w:eastAsiaTheme="majorEastAsia" w:hAnsi="Verdana" w:cstheme="majorBidi"/>
      <w:b w:val="0"/>
      <w:bCs w:val="0"/>
      <w:color w:val="173F34" w:themeColor="accent1"/>
      <w:sz w:val="20"/>
      <w:szCs w:val="14"/>
      <w:lang w:val="en-AU"/>
    </w:rPr>
  </w:style>
  <w:style w:type="paragraph" w:customStyle="1" w:styleId="Quote1">
    <w:name w:val="Quote1"/>
    <w:basedOn w:val="Normal"/>
    <w:qFormat/>
    <w:rsid w:val="00FC1B2B"/>
    <w:pPr>
      <w:ind w:left="720"/>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mcc.ae/blog/dubai-freezone-company-setup-cost" TargetMode="External"/><Relationship Id="rId21" Type="http://schemas.openxmlformats.org/officeDocument/2006/relationships/footer" Target="footer2.xml"/><Relationship Id="rId42" Type="http://schemas.openxmlformats.org/officeDocument/2006/relationships/hyperlink" Target="https://www.dfat.gov.au/trade/agreements/in-force/australia-uae-comprehensive-economic-partnership-agreement-cepa" TargetMode="External"/><Relationship Id="rId63" Type="http://schemas.openxmlformats.org/officeDocument/2006/relationships/hyperlink" Target="https://www.semafor.com/article/01/15/2026/saudi-mining-giant-maaden-outlines-110-billion-investment-plan" TargetMode="External"/><Relationship Id="rId84" Type="http://schemas.openxmlformats.org/officeDocument/2006/relationships/hyperlink" Target="https://www.maaden.com/discover-us/about-maaden" TargetMode="External"/><Relationship Id="rId138" Type="http://schemas.openxmlformats.org/officeDocument/2006/relationships/hyperlink" Target="https://www.fastmarkets.com/insights/miner-managem-to-switch-to-cobalt-sulfate-production-instead-of-metal/" TargetMode="External"/><Relationship Id="rId159" Type="http://schemas.openxmlformats.org/officeDocument/2006/relationships/hyperlink" Target="https://www.anglogoldashanti.com/portfolio/africa/sukari-egypt/" TargetMode="External"/><Relationship Id="rId170" Type="http://schemas.openxmlformats.org/officeDocument/2006/relationships/hyperlink" Target="https://www.dfat.gov.au/geo/t%C3%BCrkiye/t%C3%BCrkiye-country-brief" TargetMode="External"/><Relationship Id="rId107" Type="http://schemas.openxmlformats.org/officeDocument/2006/relationships/hyperlink" Target="https://media.ega.ae/ega-and-sunstone-to-begin-construction-of-anode-manufacturing-plant-in-uae-in-2026/" TargetMode="External"/><Relationship Id="rId11" Type="http://schemas.openxmlformats.org/officeDocument/2006/relationships/image" Target="media/image1.png"/><Relationship Id="rId32" Type="http://schemas.openxmlformats.org/officeDocument/2006/relationships/hyperlink" Target="https://austmine.com.au/Public/Public/Events/Events-List.aspx" TargetMode="External"/><Relationship Id="rId53" Type="http://schemas.openxmlformats.org/officeDocument/2006/relationships/hyperlink" Target="https://www.dfat.gov.au/trade/agreements/in-force/australia-uae-comprehensive-economic-partnership-agreement-cepa" TargetMode="External"/><Relationship Id="rId74" Type="http://schemas.openxmlformats.org/officeDocument/2006/relationships/hyperlink" Target="https://www.maaden.com/news-insights/latest-news/maaden-furthers-commitment-with-mp-materials-to-establish-rare-earth-refinery-joint-venture-in-the-kingdom" TargetMode="External"/><Relationship Id="rId128" Type="http://schemas.openxmlformats.org/officeDocument/2006/relationships/hyperlink" Target="https://www.dfat.gov.au/trade/agreements/in-force/australia-uae-comprehensive-economic-partnership-agreement-cepa/australia-uae-cepa-official-text/chapter-8-technical-barriers-trade" TargetMode="External"/><Relationship Id="rId149" Type="http://schemas.openxmlformats.org/officeDocument/2006/relationships/hyperlink" Target="https://www.anglogoldashanti.com/portfolio/africa/sukari-egypt/" TargetMode="External"/><Relationship Id="rId5" Type="http://schemas.openxmlformats.org/officeDocument/2006/relationships/numbering" Target="numbering.xml"/><Relationship Id="rId95" Type="http://schemas.openxmlformats.org/officeDocument/2006/relationships/hyperlink" Target="https://www.dfat.gov.au/trade/agreements/in-force/australia-uae-comprehensive-economic-partnership-agreement-cepa/australia-uae-cepa-outcomes-glance" TargetMode="External"/><Relationship Id="rId160" Type="http://schemas.openxmlformats.org/officeDocument/2006/relationships/hyperlink" Target="https://etimaden.gov.tr/en/boron-in-turkey" TargetMode="External"/><Relationship Id="rId181" Type="http://schemas.openxmlformats.org/officeDocument/2006/relationships/hyperlink" Target="https://ssrmining.com/2024-copler-incident/" TargetMode="External"/><Relationship Id="rId22" Type="http://schemas.openxmlformats.org/officeDocument/2006/relationships/header" Target="header3.xml"/><Relationship Id="rId43" Type="http://schemas.openxmlformats.org/officeDocument/2006/relationships/hyperlink" Target="https://media.ega.ae/ega-delivers-strong-underlying-financial-performance-and-record-sales-in-2025/" TargetMode="External"/><Relationship Id="rId64" Type="http://schemas.openxmlformats.org/officeDocument/2006/relationships/hyperlink" Target="https://minesandmoney.com/news/industry/new-discoveries-reinforce-scale-of-saudi-mining-vision" TargetMode="External"/><Relationship Id="rId118" Type="http://schemas.openxmlformats.org/officeDocument/2006/relationships/hyperlink" Target="https://mof.gov.ae/en/public-finance/tax/corporate-tax/" TargetMode="External"/><Relationship Id="rId139" Type="http://schemas.openxmlformats.org/officeDocument/2006/relationships/hyperlink" Target="https://www.epiroc.com/en-au/newsroom/2024/epiroc-partners-with-managem-for-digitalization-of-tizert-project-in-morocco" TargetMode="External"/><Relationship Id="rId85" Type="http://schemas.openxmlformats.org/officeDocument/2006/relationships/hyperlink" Target="https://www.maaden.com/news-insights/latest-news/maaden-releases-second-quarter-2026-results" TargetMode="External"/><Relationship Id="rId150" Type="http://schemas.openxmlformats.org/officeDocument/2006/relationships/hyperlink" Target="https://www.petroleum.gov.eg/en/media-center/news/news-pages/Pages/mop_16062026_1.aspx" TargetMode="External"/><Relationship Id="rId171" Type="http://schemas.openxmlformats.org/officeDocument/2006/relationships/hyperlink" Target="https://www.dfat.gov.au/sites/default/files/turk-cef.pdf" TargetMode="External"/><Relationship Id="rId12" Type="http://schemas.openxmlformats.org/officeDocument/2006/relationships/image" Target="media/image2.jpeg"/><Relationship Id="rId33" Type="http://schemas.openxmlformats.org/officeDocument/2006/relationships/hyperlink" Target="mailto:metsmanager@austrade.gov.au" TargetMode="External"/><Relationship Id="rId108" Type="http://schemas.openxmlformats.org/officeDocument/2006/relationships/hyperlink" Target="https://www.irh.ae/uae-backed-irhs-investment-drives-revival-of-zambias-mopani-copper-mines/" TargetMode="External"/><Relationship Id="rId129" Type="http://schemas.openxmlformats.org/officeDocument/2006/relationships/hyperlink" Target="https://pubs.usgs.gov/periodicals/mcs2026/mcs2026-phosphate.pdf" TargetMode="External"/><Relationship Id="rId54" Type="http://schemas.openxmlformats.org/officeDocument/2006/relationships/hyperlink" Target="https://www.ocpgroup.ma/en/our-sustainability-commitments/investment-plan" TargetMode="External"/><Relationship Id="rId75" Type="http://schemas.openxmlformats.org/officeDocument/2006/relationships/hyperlink" Target="https://www.imarcgroup.com/saudi-arabia-mineral-exploration-equipment-market" TargetMode="External"/><Relationship Id="rId96" Type="http://schemas.openxmlformats.org/officeDocument/2006/relationships/hyperlink" Target="https://www.dfat.gov.au/trade/agreements/in-force/australia-uae-comprehensive-economic-partnership-agreement-cepa/using-uae-cepa-do-business-united-arab-emirates" TargetMode="External"/><Relationship Id="rId140" Type="http://schemas.openxmlformats.org/officeDocument/2006/relationships/hyperlink" Target="https://www.ocpgroup.ma/en/our-sustainability-commitments/investment-plan" TargetMode="External"/><Relationship Id="rId161" Type="http://schemas.openxmlformats.org/officeDocument/2006/relationships/hyperlink" Target="https://www.etimaden.gov.tr/en/eti-maden" TargetMode="External"/><Relationship Id="rId182" Type="http://schemas.openxmlformats.org/officeDocument/2006/relationships/hyperlink" Target="https://ir.ssrmining.com/files/doc_news/2026/Jul/17/SSR-MINING-COMPLETES-THE-SALE-OF-ITS-20-EQUITY-INTEREST-IN-HOD-MADEN.pdf" TargetMode="External"/><Relationship Id="rId6" Type="http://schemas.openxmlformats.org/officeDocument/2006/relationships/styles" Target="styles.xml"/><Relationship Id="rId23" Type="http://schemas.openxmlformats.org/officeDocument/2006/relationships/footer" Target="footer3.xml"/><Relationship Id="rId119" Type="http://schemas.openxmlformats.org/officeDocument/2006/relationships/hyperlink" Target="https://tax.gov.ae/en/taxes/Vat/vat.topics/registration.for.vat.aspx" TargetMode="External"/><Relationship Id="rId44" Type="http://schemas.openxmlformats.org/officeDocument/2006/relationships/hyperlink" Target="https://ar2025.emsteel.com/en" TargetMode="External"/><Relationship Id="rId65" Type="http://schemas.openxmlformats.org/officeDocument/2006/relationships/hyperlink" Target="https://www.aramco.com/en/news-media/news/2026/aramco-and-maaden-sign-shareholders-agreement" TargetMode="External"/><Relationship Id="rId86" Type="http://schemas.openxmlformats.org/officeDocument/2006/relationships/hyperlink" Target="https://www.barrick.com/English/news/news-details/2026/q4-2025-results/default.aspx" TargetMode="External"/><Relationship Id="rId130" Type="http://schemas.openxmlformats.org/officeDocument/2006/relationships/hyperlink" Target="https://www.ocpgroup.ma/en/who-we-are/our-strategy" TargetMode="External"/><Relationship Id="rId151" Type="http://schemas.openxmlformats.org/officeDocument/2006/relationships/hyperlink" Target="http://egyptoil-gas.com/news/anglogold-expands-gold-exploration-in-egypts-eastern-desert/" TargetMode="External"/><Relationship Id="rId172" Type="http://schemas.openxmlformats.org/officeDocument/2006/relationships/hyperlink" Target="https://www.invest.gov.tr/en/sectors/pages/mining-and-metals.aspx" TargetMode="External"/><Relationship Id="rId13" Type="http://schemas.openxmlformats.org/officeDocument/2006/relationships/image" Target="media/image3.png"/><Relationship Id="rId18" Type="http://schemas.openxmlformats.org/officeDocument/2006/relationships/header" Target="header1.xml"/><Relationship Id="rId39" Type="http://schemas.openxmlformats.org/officeDocument/2006/relationships/hyperlink" Target="https://www.austrade.gov.au/en/events" TargetMode="External"/><Relationship Id="rId109" Type="http://schemas.openxmlformats.org/officeDocument/2006/relationships/hyperlink" Target="https://ido.ae/portfolio/stevin-rock/" TargetMode="External"/><Relationship Id="rId34" Type="http://schemas.openxmlformats.org/officeDocument/2006/relationships/hyperlink" Target="https://www.austrade.gov.au/en/contact-us/international-offices/saudi-arabia" TargetMode="External"/><Relationship Id="rId50" Type="http://schemas.openxmlformats.org/officeDocument/2006/relationships/hyperlink" Target="https://www.eldoradogold.com/assets/operations/kisladag" TargetMode="External"/><Relationship Id="rId55" Type="http://schemas.openxmlformats.org/officeDocument/2006/relationships/hyperlink" Target="https://www.petroleum.gov.eg/en/media-center/EventsPages/Pages/mop_18072023_02.aspx" TargetMode="External"/><Relationship Id="rId76" Type="http://schemas.openxmlformats.org/officeDocument/2006/relationships/hyperlink" Target="https://www.maaden.com/news-insights/latest-news/maaden-and-hexagon-partner-to-launch-regions-first-digital-m-20240115-593" TargetMode="External"/><Relationship Id="rId97" Type="http://schemas.openxmlformats.org/officeDocument/2006/relationships/hyperlink" Target="https://media.ega.ae/ega-delivers-strong-underlying-financial-performance-and-record-sales-in-2025/" TargetMode="External"/><Relationship Id="rId104" Type="http://schemas.openxmlformats.org/officeDocument/2006/relationships/hyperlink" Target="https://www.dfat.gov.au/geo/united-arab-emirates/united-arab-emirates-country-brief" TargetMode="External"/><Relationship Id="rId120" Type="http://schemas.openxmlformats.org/officeDocument/2006/relationships/hyperlink" Target="https://moiat.gov.ae/en/programs/icv" TargetMode="External"/><Relationship Id="rId125" Type="http://schemas.openxmlformats.org/officeDocument/2006/relationships/hyperlink" Target="https://cfloworld.com/news-events/news/2026/jul/cflo-secures-major-order-from-stevin-rock-ras-al-khaimah/" TargetMode="External"/><Relationship Id="rId141" Type="http://schemas.openxmlformats.org/officeDocument/2006/relationships/hyperlink" Target="https://www.ocpgroup.ma/en/press-release/decisive-step-ocp-green-water-toward-water-autonomy-group" TargetMode="External"/><Relationship Id="rId146" Type="http://schemas.openxmlformats.org/officeDocument/2006/relationships/hyperlink" Target="https://www.ocpgroup.ma/en/contact-ocp" TargetMode="External"/><Relationship Id="rId167" Type="http://schemas.openxmlformats.org/officeDocument/2006/relationships/hyperlink" Target="https://www.tumad.com.tr/en/about-us/" TargetMode="External"/><Relationship Id="rId188" Type="http://schemas.openxmlformats.org/officeDocument/2006/relationships/hyperlink" Target="https://urunkurallari.ticaret.gov.tr/" TargetMode="External"/><Relationship Id="rId7" Type="http://schemas.openxmlformats.org/officeDocument/2006/relationships/settings" Target="settings.xml"/><Relationship Id="rId71" Type="http://schemas.openxmlformats.org/officeDocument/2006/relationships/hyperlink" Target="https://www.byrnecut.com/news/jabal-sayid-project-in-saudi-arabia/" TargetMode="External"/><Relationship Id="rId92" Type="http://schemas.openxmlformats.org/officeDocument/2006/relationships/hyperlink" Target="https://www.aramco.com/en/news-media/news/2026/aramco-and-maaden-sign-shareholders-agreement" TargetMode="External"/><Relationship Id="rId162" Type="http://schemas.openxmlformats.org/officeDocument/2006/relationships/hyperlink" Target="https://www.etimaden.gov.tr/en/projects" TargetMode="External"/><Relationship Id="rId183" Type="http://schemas.openxmlformats.org/officeDocument/2006/relationships/hyperlink" Target="https://enerji.gov.tr/" TargetMode="External"/><Relationship Id="rId2" Type="http://schemas.openxmlformats.org/officeDocument/2006/relationships/customXml" Target="../customXml/item2.xml"/><Relationship Id="rId29" Type="http://schemas.openxmlformats.org/officeDocument/2006/relationships/image" Target="media/image8.jpeg"/><Relationship Id="rId24" Type="http://schemas.openxmlformats.org/officeDocument/2006/relationships/footer" Target="footer4.xml"/><Relationship Id="rId40" Type="http://schemas.openxmlformats.org/officeDocument/2006/relationships/hyperlink" Target="https://www.mim.gov.sa/en/media-center/news/saudi-ministry-qualifies-bidders-exploration-licenses-block-selection?csrt=3816294092575307154" TargetMode="External"/><Relationship Id="rId45" Type="http://schemas.openxmlformats.org/officeDocument/2006/relationships/hyperlink" Target="https://www.ocpgroup.ma/en/our-sustainability-commitments/investment-plan" TargetMode="External"/><Relationship Id="rId66" Type="http://schemas.openxmlformats.org/officeDocument/2006/relationships/hyperlink" Target="https://ivanhoeelectric.com/news/maaden-and-ivanhoe-electric-to-establish-a-50-50-joint-venture-to-explore-for-copper-gold-silver-and-electric-metals-in-the/" TargetMode="External"/><Relationship Id="rId87" Type="http://schemas.openxmlformats.org/officeDocument/2006/relationships/hyperlink" Target="https://www.maaden.com/sustainability/sustainability-journey" TargetMode="External"/><Relationship Id="rId110" Type="http://schemas.openxmlformats.org/officeDocument/2006/relationships/hyperlink" Target="https://media.ega.ae/tawazun-council-rtx-and-ega-sign-mou-to-explore-gallium-production-in-abu-dhabi/" TargetMode="External"/><Relationship Id="rId115" Type="http://schemas.openxmlformats.org/officeDocument/2006/relationships/hyperlink" Target="https://uaelegislation.gov.ae/en/legislations/1617" TargetMode="External"/><Relationship Id="rId131" Type="http://schemas.openxmlformats.org/officeDocument/2006/relationships/hyperlink" Target="https://www.mckinsey.com/industries/agriculture/our-insights/the-2040-fertilizer-industry-how-could-industry-trends-affect-demand" TargetMode="External"/><Relationship Id="rId136" Type="http://schemas.openxmlformats.org/officeDocument/2006/relationships/hyperlink" Target="https://www.fraserinstitute.org/sites/default/files/2026-02/annual-survey-of-mining-companies-2025.pdf" TargetMode="External"/><Relationship Id="rId157" Type="http://schemas.openxmlformats.org/officeDocument/2006/relationships/hyperlink" Target="https://atonresources.com/news/2026/aton-announces-us-30m-credit-facility-with-ou-moonrider/" TargetMode="External"/><Relationship Id="rId178" Type="http://schemas.openxmlformats.org/officeDocument/2006/relationships/hyperlink" Target="https://acgmetals.com/first-copper-concentrate-production/" TargetMode="External"/><Relationship Id="rId61" Type="http://schemas.openxmlformats.org/officeDocument/2006/relationships/hyperlink" Target="https://data.worldbank.org/country/united-arab-emirates" TargetMode="External"/><Relationship Id="rId82" Type="http://schemas.openxmlformats.org/officeDocument/2006/relationships/hyperlink" Target="https://www.maaden.com/news-insights/latest-news/maadens-ar-rjum-gold-mine-moves-forward-with-award-of-first-development-contract" TargetMode="External"/><Relationship Id="rId152" Type="http://schemas.openxmlformats.org/officeDocument/2006/relationships/hyperlink" Target="https://atonresources.com/news/2026/aton-closes-cad-4-million-private-placement/" TargetMode="External"/><Relationship Id="rId173" Type="http://schemas.openxmlformats.org/officeDocument/2006/relationships/hyperlink" Target="https://www.invest.gov.tr/en/sectors/pages/machinery.aspx" TargetMode="External"/><Relationship Id="rId19" Type="http://schemas.openxmlformats.org/officeDocument/2006/relationships/header" Target="header2.xml"/><Relationship Id="rId14" Type="http://schemas.openxmlformats.org/officeDocument/2006/relationships/hyperlink" Target="https://www.austrade.gov.au/en/how-we-can-help-you/programs-and-services/accessing-new-markets-initiative/trade-diversification-network" TargetMode="External"/><Relationship Id="rId30" Type="http://schemas.openxmlformats.org/officeDocument/2006/relationships/image" Target="media/image9.jpeg"/><Relationship Id="rId35" Type="http://schemas.openxmlformats.org/officeDocument/2006/relationships/hyperlink" Target="https://www.austrade.gov.au/en/contact-us/international-offices/united-arab-emirates" TargetMode="External"/><Relationship Id="rId56" Type="http://schemas.openxmlformats.org/officeDocument/2006/relationships/hyperlink" Target="https://etimaden.gov.tr/en/boron-in-turkey" TargetMode="External"/><Relationship Id="rId77" Type="http://schemas.openxmlformats.org/officeDocument/2006/relationships/hyperlink" Target="https://www.hrsd.gov.sa/en/media-center/news/%D8%B1%D9%81%D8%B9-%D9%86%D8%B3%D8%A8%D8%A9-%D8%A7%D9%84%D8%AA%D9%88%D8%B7%D9%8A%D9%86-%D9%81%D9%8A-%D8%A7%D9%84%D9%85%D9%87%D9%86-%D8%A7%D9%84%D9%87%D9%86%D8%AF%D8%B3%D9%8A%D8%A9-%D9%88%D9%85%D9%87%D9%86-%D8%A7%D9%84%D9%85%D8%B4%D8%AA%D8%B1%D9%8A%D8%A7%D8%AA" TargetMode="External"/><Relationship Id="rId100" Type="http://schemas.openxmlformats.org/officeDocument/2006/relationships/hyperlink" Target="https://ar2025.emsteel.com/" TargetMode="External"/><Relationship Id="rId105" Type="http://schemas.openxmlformats.org/officeDocument/2006/relationships/hyperlink" Target="https://media.ega.ae/egas-al-taweelah-smelter-restoration-reaches-25-completion-milestone/" TargetMode="External"/><Relationship Id="rId126" Type="http://schemas.openxmlformats.org/officeDocument/2006/relationships/hyperlink" Target="https://www.jafza.ae/offerings/solutions/warehouses/" TargetMode="External"/><Relationship Id="rId147" Type="http://schemas.openxmlformats.org/officeDocument/2006/relationships/hyperlink" Target="https://www.petroleum.gov.eg/ar-eg/media-center/news/news-pages/Pages/mop_14012026_09.aspx" TargetMode="External"/><Relationship Id="rId168" Type="http://schemas.openxmlformats.org/officeDocument/2006/relationships/hyperlink" Target="https://www.tumad.com.tr/en/ivrindi-gold-and-silver-operation/" TargetMode="External"/><Relationship Id="rId8" Type="http://schemas.openxmlformats.org/officeDocument/2006/relationships/webSettings" Target="webSettings.xml"/><Relationship Id="rId51" Type="http://schemas.openxmlformats.org/officeDocument/2006/relationships/hyperlink" Target="https://www.eldoradogold.com/assets/operations/efemcukuru" TargetMode="External"/><Relationship Id="rId72" Type="http://schemas.openxmlformats.org/officeDocument/2006/relationships/hyperlink" Target="https://gulfnews.com/business/markets/saudi-mining-company-maaden-finds-new-gold-deposits-1.100141669" TargetMode="External"/><Relationship Id="rId93" Type="http://schemas.openxmlformats.org/officeDocument/2006/relationships/hyperlink" Target="https://www.saudiexchange.sa/wps/portal/saudiexchange/newsandreports/issuer-news/issuer-announcements/issuer-announcements-details/?anCat=1&amp;anId=90884&amp;cs=1211&amp;locale=en" TargetMode="External"/><Relationship Id="rId98" Type="http://schemas.openxmlformats.org/officeDocument/2006/relationships/hyperlink" Target="https://www.ega.ae/en/sustainability/sustainability-reports" TargetMode="External"/><Relationship Id="rId121" Type="http://schemas.openxmlformats.org/officeDocument/2006/relationships/hyperlink" Target="https://www.dwtc.com/en/events/the-mining-show-2026/" TargetMode="External"/><Relationship Id="rId142" Type="http://schemas.openxmlformats.org/officeDocument/2006/relationships/hyperlink" Target="https://www.mtedd.gov.ma/index.php?Itemid=293&amp;catid=12&amp;id=729%3A2026-05-06-17-18-51&amp;lang=en&amp;option=com_content&amp;view=article" TargetMode="External"/><Relationship Id="rId163" Type="http://schemas.openxmlformats.org/officeDocument/2006/relationships/hyperlink" Target="https://www.etimaden.gov.tr/en/sustainability-report" TargetMode="External"/><Relationship Id="rId184" Type="http://schemas.openxmlformats.org/officeDocument/2006/relationships/hyperlink" Target="https://www.invest.gov.tr/en/why-turkiye/pages/reasons-to-invest.aspx" TargetMode="External"/><Relationship Id="rId189"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image" Target="media/image4.jpeg"/><Relationship Id="rId46" Type="http://schemas.openxmlformats.org/officeDocument/2006/relationships/hyperlink" Target="https://www.ocpgroup.ma/sites/default/files/2025-09/OCP_Sustainbility_Report_2024_0.pdf" TargetMode="External"/><Relationship Id="rId67" Type="http://schemas.openxmlformats.org/officeDocument/2006/relationships/hyperlink" Target="https://www.miningweekly.com/article/saudi-arabia-awards-exploration-leases-to-some-major-miners-2025-03-20" TargetMode="External"/><Relationship Id="rId116" Type="http://schemas.openxmlformats.org/officeDocument/2006/relationships/hyperlink" Target="https://dmcc.ae/blog/how-to-set-up-a-business-in-dubai-remotely" TargetMode="External"/><Relationship Id="rId137" Type="http://schemas.openxmlformats.org/officeDocument/2006/relationships/hyperlink" Target="https://www.ayagoldsilver.com/news/news-releases/aya-gold--silver-provides-2026-outlook-and-strategic-priorities" TargetMode="External"/><Relationship Id="rId158" Type="http://schemas.openxmlformats.org/officeDocument/2006/relationships/hyperlink" Target="https://egyptoil-gas.com/news/mrmia-genesis-mining-egypt-sign-phosphate-project-mou/" TargetMode="External"/><Relationship Id="rId20" Type="http://schemas.openxmlformats.org/officeDocument/2006/relationships/footer" Target="footer1.xml"/><Relationship Id="rId41" Type="http://schemas.openxmlformats.org/officeDocument/2006/relationships/hyperlink" Target="https://www.maaden.com/news-insights/latest-news/maaden-adds-more-than-7-million-ounces-of-new-gold-resources-accelerating-growth-pipeline" TargetMode="External"/><Relationship Id="rId62" Type="http://schemas.openxmlformats.org/officeDocument/2006/relationships/hyperlink" Target="https://www.vision2030.gov.sa/en/explore/strategies/strategy-for-the-mining-sector" TargetMode="External"/><Relationship Id="rId83" Type="http://schemas.openxmlformats.org/officeDocument/2006/relationships/hyperlink" Target="https://www.maaden.com/news-insights/latest-news/why-feeding-the-world-is-the-kingdoms-next-growth-story" TargetMode="External"/><Relationship Id="rId88" Type="http://schemas.openxmlformats.org/officeDocument/2006/relationships/hyperlink" Target="https://www.zawya.com/en/projects/mining/saudis-maaden-awards-104mln-epcm-contract-for-ar-rjum-goldmine-430677" TargetMode="External"/><Relationship Id="rId111" Type="http://schemas.openxmlformats.org/officeDocument/2006/relationships/hyperlink" Target="https://www.worley.com/en/about-us/where-we-operate/united-arab-emirates" TargetMode="External"/><Relationship Id="rId132" Type="http://schemas.openxmlformats.org/officeDocument/2006/relationships/hyperlink" Target="https://www.austrade.gov.au/en/news-and-analysis/analysis/moroccos-mining-transformation-unearths-mets-opportunities" TargetMode="External"/><Relationship Id="rId153" Type="http://schemas.openxmlformats.org/officeDocument/2006/relationships/hyperlink" Target="https://www.petroleum.gov.eg/ar-eg/media-center/news/news-pages/Pages/mop_09022026_05.aspx" TargetMode="External"/><Relationship Id="rId174" Type="http://schemas.openxmlformats.org/officeDocument/2006/relationships/hyperlink" Target="https://www.resmigazete.gov.tr/eskiler/2025/07/20250724-2.htm" TargetMode="External"/><Relationship Id="rId179" Type="http://schemas.openxmlformats.org/officeDocument/2006/relationships/hyperlink" Target="https://www.centerragold.com/investor-news/news-details/2026/Centerra-Gold-Reports-Second-Quarter-2026-Results-Strong-Operational-Performance-Drives-Increased-kst-Production-Guidance-The-Company-Expands-Share-Buybacks-to-200-Million-in-2026-and-Continues-Execution-of-its-Self-Funded-Growth-Strategy/default.aspx" TargetMode="External"/><Relationship Id="rId190" Type="http://schemas.openxmlformats.org/officeDocument/2006/relationships/theme" Target="theme/theme1.xml"/><Relationship Id="rId15" Type="http://schemas.openxmlformats.org/officeDocument/2006/relationships/hyperlink" Target="https://creativecommons.org/licenses/by/4.0/legalcode" TargetMode="External"/><Relationship Id="rId36" Type="http://schemas.openxmlformats.org/officeDocument/2006/relationships/hyperlink" Target="https://www.austrade.gov.au/en/contact-us/international-offices" TargetMode="External"/><Relationship Id="rId57" Type="http://schemas.openxmlformats.org/officeDocument/2006/relationships/hyperlink" Target="https://data.worldbank.org/country/saudi-arabia" TargetMode="External"/><Relationship Id="rId106" Type="http://schemas.openxmlformats.org/officeDocument/2006/relationships/hyperlink" Target="https://media.ega.ae/ega-delivers-resilient-h1-2026-performance-maintaining-operational-and-supply-chain-continuity-amid-regional-disruption/" TargetMode="External"/><Relationship Id="rId127" Type="http://schemas.openxmlformats.org/officeDocument/2006/relationships/hyperlink" Target="https://www.cdegroup.com/about/news-events/latest-news/stevin-rock-limestone-wash-plant" TargetMode="External"/><Relationship Id="rId10" Type="http://schemas.openxmlformats.org/officeDocument/2006/relationships/endnotes" Target="endnotes.xml"/><Relationship Id="rId31" Type="http://schemas.openxmlformats.org/officeDocument/2006/relationships/hyperlink" Target="https://austmine.com.au/Public/Public/International/International.aspx" TargetMode="External"/><Relationship Id="rId52" Type="http://schemas.openxmlformats.org/officeDocument/2006/relationships/hyperlink" Target="https://www.mim.gov.sa/en/media-center/news/saudi-ministry-qualifies-bidders-exploration-licenses-block-selection?csrt=3816294092575307154" TargetMode="External"/><Relationship Id="rId73" Type="http://schemas.openxmlformats.org/officeDocument/2006/relationships/hyperlink" Target="https://fls.com/en/announcements/2023/flsmidth-to-deliver-key-beneficiation-equipment-to-a-saudi-arabian-phosphate-mine-" TargetMode="External"/><Relationship Id="rId78" Type="http://schemas.openxmlformats.org/officeDocument/2006/relationships/hyperlink" Target="https://altios.com/publication/saudisation-in-ksa/" TargetMode="External"/><Relationship Id="rId94" Type="http://schemas.openxmlformats.org/officeDocument/2006/relationships/hyperlink" Target="https://www.dfat.gov.au/trade/agreements/in-force/australia-uae-comprehensive-economic-partnership-agreement-cepa" TargetMode="External"/><Relationship Id="rId99" Type="http://schemas.openxmlformats.org/officeDocument/2006/relationships/hyperlink" Target="https://www.ega.ae/en/impact/our-commercial-success" TargetMode="External"/><Relationship Id="rId101" Type="http://schemas.openxmlformats.org/officeDocument/2006/relationships/hyperlink" Target="https://mof.gov.ae/en/public-finance/government-procurement/federal-supplier-register/" TargetMode="External"/><Relationship Id="rId122" Type="http://schemas.openxmlformats.org/officeDocument/2006/relationships/hyperlink" Target="https://www.dubaichambers.com/en/services?category=276199" TargetMode="External"/><Relationship Id="rId143" Type="http://schemas.openxmlformats.org/officeDocument/2006/relationships/hyperlink" Target="https://ayagoldsilver.com/news/news-releases/aya-gold--silver-announces-updated-pea-for-boumadine-after-tax-npv-doubles-to-35b-with-93-irr" TargetMode="External"/><Relationship Id="rId148" Type="http://schemas.openxmlformats.org/officeDocument/2006/relationships/hyperlink" Target="https://xcaliburmp.com/egypt-launches-first-nationwide-airborne-mineral-survey-in-42-years-with-xcalibur-smart-mapping/" TargetMode="External"/><Relationship Id="rId164" Type="http://schemas.openxmlformats.org/officeDocument/2006/relationships/hyperlink" Target="https://www.eldoradogold.com/assets/operations/kisladag" TargetMode="External"/><Relationship Id="rId169" Type="http://schemas.openxmlformats.org/officeDocument/2006/relationships/hyperlink" Target="https://www.tumad.com.tr/en/lapseki-gold-and-silver-operation/" TargetMode="External"/><Relationship Id="rId185" Type="http://schemas.openxmlformats.org/officeDocument/2006/relationships/hyperlink" Target="https://urunkurallari.ticaret.gov.tr/"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first-quantum.com/news/first-quantum-minerals-announces-sale-of-cayeli-mine/" TargetMode="External"/><Relationship Id="rId26" Type="http://schemas.openxmlformats.org/officeDocument/2006/relationships/image" Target="media/image5.jpeg"/><Relationship Id="rId47" Type="http://schemas.openxmlformats.org/officeDocument/2006/relationships/hyperlink" Target="https://www.petroleum.gov.eg/en/media-center/news/news-pages/Pages/mop_11012026_01.aspx" TargetMode="External"/><Relationship Id="rId68" Type="http://schemas.openxmlformats.org/officeDocument/2006/relationships/hyperlink" Target="https://www.bloomberg.com/news/articles/2025-11-19/vedanta-plans-saudi-spending-boost-in-push-for-copper-gold" TargetMode="External"/><Relationship Id="rId89" Type="http://schemas.openxmlformats.org/officeDocument/2006/relationships/hyperlink" Target="https://www.maaden.com/supplier-portal" TargetMode="External"/><Relationship Id="rId112" Type="http://schemas.openxmlformats.org/officeDocument/2006/relationships/hyperlink" Target="https://www.dpworld.com/en/ports-terminals/uae/jebel-ali-port" TargetMode="External"/><Relationship Id="rId133" Type="http://schemas.openxmlformats.org/officeDocument/2006/relationships/hyperlink" Target="https://www.afdb.org/en/news-and-events/african-development-bank-approves-eu100-million-gotion-power-morocco-develop-africas-first-lithium-ion-phosphate-battery-gigafactory-95727" TargetMode="External"/><Relationship Id="rId154" Type="http://schemas.openxmlformats.org/officeDocument/2006/relationships/hyperlink" Target="https://www.nafeza.gov.eg/en/pages/15" TargetMode="External"/><Relationship Id="rId175" Type="http://schemas.openxmlformats.org/officeDocument/2006/relationships/hyperlink" Target="https://www.etimaden.gov.tr/ihaleler" TargetMode="External"/><Relationship Id="rId16" Type="http://schemas.openxmlformats.org/officeDocument/2006/relationships/hyperlink" Target="mailto:advisory@austrade.gov.au" TargetMode="External"/><Relationship Id="rId37" Type="http://schemas.openxmlformats.org/officeDocument/2006/relationships/hyperlink" Target="https://www.austrade.gov.au/en/how-we-can-help-you/australian-exporters" TargetMode="External"/><Relationship Id="rId58" Type="http://schemas.openxmlformats.org/officeDocument/2006/relationships/hyperlink" Target="https://data.worldbank.org/country/turkiye" TargetMode="External"/><Relationship Id="rId79" Type="http://schemas.openxmlformats.org/officeDocument/2006/relationships/hyperlink" Target="https://www.maaden.com/tharwah" TargetMode="External"/><Relationship Id="rId102" Type="http://schemas.openxmlformats.org/officeDocument/2006/relationships/hyperlink" Target="https://moiat.gov.ae/en/programs/icv" TargetMode="External"/><Relationship Id="rId123" Type="http://schemas.openxmlformats.org/officeDocument/2006/relationships/hyperlink" Target="https://www.abcduae.com/" TargetMode="External"/><Relationship Id="rId144" Type="http://schemas.openxmlformats.org/officeDocument/2006/relationships/hyperlink" Target="https://www.twobirds.com/en/insights/2026/morocco/mining-in-morocco-an-overview-of-the-mining-regulatory-framework-and-ongoing-reforms" TargetMode="External"/><Relationship Id="rId90" Type="http://schemas.openxmlformats.org/officeDocument/2006/relationships/hyperlink" Target="https://saber.sa/?lang=en" TargetMode="External"/><Relationship Id="rId165" Type="http://schemas.openxmlformats.org/officeDocument/2006/relationships/hyperlink" Target="https://www.eldoradogold.com/assets/operations/efemcukuru" TargetMode="External"/><Relationship Id="rId186" Type="http://schemas.openxmlformats.org/officeDocument/2006/relationships/hyperlink" Target="https://www.cayelibakir.com/tr/Kurumsal/Hakkimizda" TargetMode="External"/><Relationship Id="rId27" Type="http://schemas.openxmlformats.org/officeDocument/2006/relationships/image" Target="media/image6.jpeg"/><Relationship Id="rId48" Type="http://schemas.openxmlformats.org/officeDocument/2006/relationships/hyperlink" Target="https://www.anglogoldashanti.com/portfolio/africa/sukari-egypt/" TargetMode="External"/><Relationship Id="rId69" Type="http://schemas.openxmlformats.org/officeDocument/2006/relationships/hyperlink" Target="https://www.maaden.com/discover-us/core-business-units/overview" TargetMode="External"/><Relationship Id="rId113" Type="http://schemas.openxmlformats.org/officeDocument/2006/relationships/hyperlink" Target="https://www.gcc-sg.org/en/MediaCenter/News/Pages/news2025-2-11-5.aspx" TargetMode="External"/><Relationship Id="rId134" Type="http://schemas.openxmlformats.org/officeDocument/2006/relationships/hyperlink" Target="https://www.ocpgroup.ma/en/what-we-do/industrial-operations" TargetMode="External"/><Relationship Id="rId80" Type="http://schemas.openxmlformats.org/officeDocument/2006/relationships/hyperlink" Target="https://tascoutsourcing.sa/en/insights/reports/saudi-vision-2030-workforce-readiness" TargetMode="External"/><Relationship Id="rId155" Type="http://schemas.openxmlformats.org/officeDocument/2006/relationships/hyperlink" Target="https://atonresources.com/news/2026/aton-announces-strategic-cooperation-relationship-and-board-nominee/" TargetMode="External"/><Relationship Id="rId176" Type="http://schemas.openxmlformats.org/officeDocument/2006/relationships/hyperlink" Target="https://www.eldoradogold.com/investors/news-releases/eldorado-gold-releases-updated-mineral-reserve-and-mineral-resource-4" TargetMode="External"/><Relationship Id="rId17" Type="http://schemas.openxmlformats.org/officeDocument/2006/relationships/hyperlink" Target="https://pmc.gov.au/government/commonwealth-coat-arms" TargetMode="External"/><Relationship Id="rId38" Type="http://schemas.openxmlformats.org/officeDocument/2006/relationships/hyperlink" Target="https://www.austrade.gov.au/en/how-we-can-help-you/programs-and-services/tradestart-advisers" TargetMode="External"/><Relationship Id="rId59" Type="http://schemas.openxmlformats.org/officeDocument/2006/relationships/hyperlink" Target="https://data.worldbank.org/country/morocco" TargetMode="External"/><Relationship Id="rId103" Type="http://schemas.openxmlformats.org/officeDocument/2006/relationships/hyperlink" Target="https://www.irh.ae/about-us/" TargetMode="External"/><Relationship Id="rId124" Type="http://schemas.openxmlformats.org/officeDocument/2006/relationships/hyperlink" Target="https://ausuaebc.com/" TargetMode="External"/><Relationship Id="rId70" Type="http://schemas.openxmlformats.org/officeDocument/2006/relationships/hyperlink" Target="https://taadeen.sa/en" TargetMode="External"/><Relationship Id="rId91" Type="http://schemas.openxmlformats.org/officeDocument/2006/relationships/hyperlink" Target="https://zatca.gov.sa/en/RulesRegulations/Taxes/Pages/customs-bussiness/import-pages/Import-Instructions.aspx" TargetMode="External"/><Relationship Id="rId145" Type="http://schemas.openxmlformats.org/officeDocument/2006/relationships/hyperlink" Target="https://www.wto.org/english/tratop_e/tpr_e/s453_e.pdf" TargetMode="External"/><Relationship Id="rId166" Type="http://schemas.openxmlformats.org/officeDocument/2006/relationships/hyperlink" Target="https://ekap.kik.gov.tr/ekap/DuyuruDetay.aspx?duyuruID=3df8a5bb5bc4e217d05d7de2ea71c4d0565e8a680ad3a5ada9bac92a02d92687" TargetMode="External"/><Relationship Id="rId187" Type="http://schemas.openxmlformats.org/officeDocument/2006/relationships/hyperlink" Target="https://ir.ssrmining.com/files/doc_news/2026/Jun/24/SSR-MINING-COMPLETES-THE-SALE-OF-THE-PLER-MINE.pdf" TargetMode="External"/><Relationship Id="rId1" Type="http://schemas.openxmlformats.org/officeDocument/2006/relationships/customXml" Target="../customXml/item1.xml"/><Relationship Id="rId28" Type="http://schemas.openxmlformats.org/officeDocument/2006/relationships/image" Target="media/image7.jpeg"/><Relationship Id="rId49" Type="http://schemas.openxmlformats.org/officeDocument/2006/relationships/hyperlink" Target="https://etimaden.gov.tr/en/boron-in-turkey" TargetMode="External"/><Relationship Id="rId114" Type="http://schemas.openxmlformats.org/officeDocument/2006/relationships/hyperlink" Target="https://dmcc.ae/blog/difference-between-dubai-mainland-freezone-companies" TargetMode="External"/><Relationship Id="rId60" Type="http://schemas.openxmlformats.org/officeDocument/2006/relationships/hyperlink" Target="https://data.worldbank.org/country/egypt-arab-rep" TargetMode="External"/><Relationship Id="rId81" Type="http://schemas.openxmlformats.org/officeDocument/2006/relationships/hyperlink" Target="https://www.spa.gov.sa/en/N2407267" TargetMode="External"/><Relationship Id="rId135" Type="http://schemas.openxmlformats.org/officeDocument/2006/relationships/hyperlink" Target="https://www.moroccoworldnews.com/2026/02/280980/managem-reports-mad-13-694-billion-revenue-in-2025-as-q4-surges-170/" TargetMode="External"/><Relationship Id="rId156" Type="http://schemas.openxmlformats.org/officeDocument/2006/relationships/hyperlink" Target="https://www.anglogoldashanti.com/portfolio/africa/greenfield-projects-egypt/" TargetMode="External"/><Relationship Id="rId177" Type="http://schemas.openxmlformats.org/officeDocument/2006/relationships/hyperlink" Target="https://www.eldoradogold.com/investors/news-releases/eldorado-gold-provides-2026-guidance-three-year-outlook-targets-40-gold" TargetMode="External"/></Relationships>
</file>

<file path=word/theme/theme1.xml><?xml version="1.0" encoding="utf-8"?>
<a:theme xmlns:a="http://schemas.openxmlformats.org/drawingml/2006/main" name="Office Theme">
  <a:themeElements>
    <a:clrScheme name="Nation Brand">
      <a:dk1>
        <a:srgbClr val="000000"/>
      </a:dk1>
      <a:lt1>
        <a:srgbClr val="FFFFFF"/>
      </a:lt1>
      <a:dk2>
        <a:srgbClr val="000000"/>
      </a:dk2>
      <a:lt2>
        <a:srgbClr val="FFFFFF"/>
      </a:lt2>
      <a:accent1>
        <a:srgbClr val="173F34"/>
      </a:accent1>
      <a:accent2>
        <a:srgbClr val="00BA6C"/>
      </a:accent2>
      <a:accent3>
        <a:srgbClr val="00694B"/>
      </a:accent3>
      <a:accent4>
        <a:srgbClr val="CEB888"/>
      </a:accent4>
      <a:accent5>
        <a:srgbClr val="F0F0F0"/>
      </a:accent5>
      <a:accent6>
        <a:srgbClr val="F2F0E6"/>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B73431D1DBD049A9965D904C35EC20" ma:contentTypeVersion="19" ma:contentTypeDescription="Create a new document." ma:contentTypeScope="" ma:versionID="f37213b4a8edfd2ed7e2bae09906eaf9">
  <xsd:schema xmlns:xsd="http://www.w3.org/2001/XMLSchema" xmlns:xs="http://www.w3.org/2001/XMLSchema" xmlns:p="http://schemas.microsoft.com/office/2006/metadata/properties" xmlns:ns2="e2851269-d5a1-42c1-ba26-680b60fcc092" xmlns:ns3="756c5453-c36b-440c-bb0e-1de8564a9f9c" targetNamespace="http://schemas.microsoft.com/office/2006/metadata/properties" ma:root="true" ma:fieldsID="22c6faa695193859cfc8c4676e2cb4bf" ns2:_="" ns3:_="">
    <xsd:import namespace="e2851269-d5a1-42c1-ba26-680b60fcc092"/>
    <xsd:import namespace="756c5453-c36b-440c-bb0e-1de8564a9f9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851269-d5a1-42c1-ba26-680b60fcc09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af9f6ecb-30eb-4a7a-95d1-08a6e5ad1b72}" ma:internalName="TaxCatchAll" ma:showField="CatchAllData" ma:web="e2851269-d5a1-42c1-ba26-680b60fcc09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56c5453-c36b-440c-bb0e-1de8564a9f9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5e3cf7a-36e4-4d53-b50f-8eca60c94f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6c5453-c36b-440c-bb0e-1de8564a9f9c">
      <Terms xmlns="http://schemas.microsoft.com/office/infopath/2007/PartnerControls"/>
    </lcf76f155ced4ddcb4097134ff3c332f>
    <TaxCatchAll xmlns="e2851269-d5a1-42c1-ba26-680b60fcc092" xsi:nil="true"/>
  </documentManagement>
</p:properties>
</file>

<file path=customXml/itemProps1.xml><?xml version="1.0" encoding="utf-8"?>
<ds:datastoreItem xmlns:ds="http://schemas.openxmlformats.org/officeDocument/2006/customXml" ds:itemID="{B805A785-C46F-4EE1-A503-DE84DE4679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851269-d5a1-42c1-ba26-680b60fcc092"/>
    <ds:schemaRef ds:uri="756c5453-c36b-440c-bb0e-1de8564a9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D5BCA4-8E18-4619-8D13-A6ABF6B8B315}">
  <ds:schemaRefs>
    <ds:schemaRef ds:uri="http://schemas.openxmlformats.org/officeDocument/2006/bibliography"/>
  </ds:schemaRefs>
</ds:datastoreItem>
</file>

<file path=customXml/itemProps3.xml><?xml version="1.0" encoding="utf-8"?>
<ds:datastoreItem xmlns:ds="http://schemas.openxmlformats.org/officeDocument/2006/customXml" ds:itemID="{B88A8CD5-29C7-432E-978B-6EDBB4091A75}">
  <ds:schemaRefs>
    <ds:schemaRef ds:uri="http://schemas.microsoft.com/sharepoint/v3/contenttype/forms"/>
  </ds:schemaRefs>
</ds:datastoreItem>
</file>

<file path=customXml/itemProps4.xml><?xml version="1.0" encoding="utf-8"?>
<ds:datastoreItem xmlns:ds="http://schemas.openxmlformats.org/officeDocument/2006/customXml" ds:itemID="{7259A514-AAF7-4A8D-A45A-AE98F0C02113}">
  <ds:schemaRefs>
    <ds:schemaRef ds:uri="http://schemas.microsoft.com/office/2006/metadata/properties"/>
    <ds:schemaRef ds:uri="http://schemas.microsoft.com/office/infopath/2007/PartnerControls"/>
    <ds:schemaRef ds:uri="756c5453-c36b-440c-bb0e-1de8564a9f9c"/>
    <ds:schemaRef ds:uri="e2851269-d5a1-42c1-ba26-680b60fcc092"/>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1</Pages>
  <Words>23532</Words>
  <Characters>150137</Characters>
  <Application>Microsoft Office Word</Application>
  <DocSecurity>0</DocSecurity>
  <Lines>3491</Lines>
  <Paragraphs>1378</Paragraphs>
  <ScaleCrop>false</ScaleCrop>
  <Manager/>
  <Company/>
  <LinksUpToDate>false</LinksUpToDate>
  <CharactersWithSpaces>172291</CharactersWithSpaces>
  <SharedDoc>false</SharedDoc>
  <HyperlinkBase/>
  <HLinks>
    <vt:vector size="972" baseType="variant">
      <vt:variant>
        <vt:i4>5832777</vt:i4>
      </vt:variant>
      <vt:variant>
        <vt:i4>483</vt:i4>
      </vt:variant>
      <vt:variant>
        <vt:i4>0</vt:i4>
      </vt:variant>
      <vt:variant>
        <vt:i4>5</vt:i4>
      </vt:variant>
      <vt:variant>
        <vt:lpwstr>https://urunkurallari.ticaret.gov.tr/</vt:lpwstr>
      </vt:variant>
      <vt:variant>
        <vt:lpwstr/>
      </vt:variant>
      <vt:variant>
        <vt:i4>7733329</vt:i4>
      </vt:variant>
      <vt:variant>
        <vt:i4>480</vt:i4>
      </vt:variant>
      <vt:variant>
        <vt:i4>0</vt:i4>
      </vt:variant>
      <vt:variant>
        <vt:i4>5</vt:i4>
      </vt:variant>
      <vt:variant>
        <vt:lpwstr>https://ir.ssrmining.com/files/doc_news/2026/Jun/24/SSR-MINING-COMPLETES-THE-SALE-OF-THE-PLER-MINE.pdf</vt:lpwstr>
      </vt:variant>
      <vt:variant>
        <vt:lpwstr/>
      </vt:variant>
      <vt:variant>
        <vt:i4>7798880</vt:i4>
      </vt:variant>
      <vt:variant>
        <vt:i4>477</vt:i4>
      </vt:variant>
      <vt:variant>
        <vt:i4>0</vt:i4>
      </vt:variant>
      <vt:variant>
        <vt:i4>5</vt:i4>
      </vt:variant>
      <vt:variant>
        <vt:lpwstr>https://www.cayelibakir.com/tr/Kurumsal/Hakkimizda</vt:lpwstr>
      </vt:variant>
      <vt:variant>
        <vt:lpwstr/>
      </vt:variant>
      <vt:variant>
        <vt:i4>5832777</vt:i4>
      </vt:variant>
      <vt:variant>
        <vt:i4>474</vt:i4>
      </vt:variant>
      <vt:variant>
        <vt:i4>0</vt:i4>
      </vt:variant>
      <vt:variant>
        <vt:i4>5</vt:i4>
      </vt:variant>
      <vt:variant>
        <vt:lpwstr>https://urunkurallari.ticaret.gov.tr/</vt:lpwstr>
      </vt:variant>
      <vt:variant>
        <vt:lpwstr/>
      </vt:variant>
      <vt:variant>
        <vt:i4>4915286</vt:i4>
      </vt:variant>
      <vt:variant>
        <vt:i4>471</vt:i4>
      </vt:variant>
      <vt:variant>
        <vt:i4>0</vt:i4>
      </vt:variant>
      <vt:variant>
        <vt:i4>5</vt:i4>
      </vt:variant>
      <vt:variant>
        <vt:lpwstr>https://www.invest.gov.tr/en/why-turkiye/pages/reasons-to-invest.aspx</vt:lpwstr>
      </vt:variant>
      <vt:variant>
        <vt:lpwstr/>
      </vt:variant>
      <vt:variant>
        <vt:i4>3014711</vt:i4>
      </vt:variant>
      <vt:variant>
        <vt:i4>468</vt:i4>
      </vt:variant>
      <vt:variant>
        <vt:i4>0</vt:i4>
      </vt:variant>
      <vt:variant>
        <vt:i4>5</vt:i4>
      </vt:variant>
      <vt:variant>
        <vt:lpwstr>https://enerji.gov.tr/</vt:lpwstr>
      </vt:variant>
      <vt:variant>
        <vt:lpwstr/>
      </vt:variant>
      <vt:variant>
        <vt:i4>131122</vt:i4>
      </vt:variant>
      <vt:variant>
        <vt:i4>465</vt:i4>
      </vt:variant>
      <vt:variant>
        <vt:i4>0</vt:i4>
      </vt:variant>
      <vt:variant>
        <vt:i4>5</vt:i4>
      </vt:variant>
      <vt:variant>
        <vt:lpwstr>https://ir.ssrmining.com/files/doc_news/2026/Jul/17/SSR-MINING-COMPLETES-THE-SALE-OF-ITS-20-EQUITY-INTEREST-IN-HOD-MADEN.pdf</vt:lpwstr>
      </vt:variant>
      <vt:variant>
        <vt:lpwstr/>
      </vt:variant>
      <vt:variant>
        <vt:i4>2621556</vt:i4>
      </vt:variant>
      <vt:variant>
        <vt:i4>462</vt:i4>
      </vt:variant>
      <vt:variant>
        <vt:i4>0</vt:i4>
      </vt:variant>
      <vt:variant>
        <vt:i4>5</vt:i4>
      </vt:variant>
      <vt:variant>
        <vt:lpwstr>https://ssrmining.com/2024-copler-incident/</vt:lpwstr>
      </vt:variant>
      <vt:variant>
        <vt:lpwstr/>
      </vt:variant>
      <vt:variant>
        <vt:i4>1048594</vt:i4>
      </vt:variant>
      <vt:variant>
        <vt:i4>459</vt:i4>
      </vt:variant>
      <vt:variant>
        <vt:i4>0</vt:i4>
      </vt:variant>
      <vt:variant>
        <vt:i4>5</vt:i4>
      </vt:variant>
      <vt:variant>
        <vt:lpwstr>https://www.first-quantum.com/news/first-quantum-minerals-announces-sale-of-cayeli-mine/</vt:lpwstr>
      </vt:variant>
      <vt:variant>
        <vt:lpwstr/>
      </vt:variant>
      <vt:variant>
        <vt:i4>2883644</vt:i4>
      </vt:variant>
      <vt:variant>
        <vt:i4>456</vt:i4>
      </vt:variant>
      <vt:variant>
        <vt:i4>0</vt:i4>
      </vt:variant>
      <vt:variant>
        <vt:i4>5</vt:i4>
      </vt:variant>
      <vt:variant>
        <vt:lpwstr>https://www.centerragold.com/investor-news/news-details/2026/Centerra-Gold-Reports-Second-Quarter-2026-Results-Strong-Operational-Performance-Drives-Increased-kst-Production-Guidance-The-Company-Expands-Share-Buybacks-to-200-Million-in-2026-and-Continues-Execution-of-its-Self-Funded-Growth-Strategy/default.aspx</vt:lpwstr>
      </vt:variant>
      <vt:variant>
        <vt:lpwstr/>
      </vt:variant>
      <vt:variant>
        <vt:i4>7667775</vt:i4>
      </vt:variant>
      <vt:variant>
        <vt:i4>453</vt:i4>
      </vt:variant>
      <vt:variant>
        <vt:i4>0</vt:i4>
      </vt:variant>
      <vt:variant>
        <vt:i4>5</vt:i4>
      </vt:variant>
      <vt:variant>
        <vt:lpwstr>https://acgmetals.com/first-copper-concentrate-production/</vt:lpwstr>
      </vt:variant>
      <vt:variant>
        <vt:lpwstr/>
      </vt:variant>
      <vt:variant>
        <vt:i4>393301</vt:i4>
      </vt:variant>
      <vt:variant>
        <vt:i4>450</vt:i4>
      </vt:variant>
      <vt:variant>
        <vt:i4>0</vt:i4>
      </vt:variant>
      <vt:variant>
        <vt:i4>5</vt:i4>
      </vt:variant>
      <vt:variant>
        <vt:lpwstr>https://www.eldoradogold.com/investors/news-releases/eldorado-gold-provides-2026-guidance-three-year-outlook-targets-40-gold</vt:lpwstr>
      </vt:variant>
      <vt:variant>
        <vt:lpwstr/>
      </vt:variant>
      <vt:variant>
        <vt:i4>6946864</vt:i4>
      </vt:variant>
      <vt:variant>
        <vt:i4>447</vt:i4>
      </vt:variant>
      <vt:variant>
        <vt:i4>0</vt:i4>
      </vt:variant>
      <vt:variant>
        <vt:i4>5</vt:i4>
      </vt:variant>
      <vt:variant>
        <vt:lpwstr>https://www.eldoradogold.com/investors/news-releases/eldorado-gold-releases-updated-mineral-reserve-and-mineral-resource-4</vt:lpwstr>
      </vt:variant>
      <vt:variant>
        <vt:lpwstr/>
      </vt:variant>
      <vt:variant>
        <vt:i4>720989</vt:i4>
      </vt:variant>
      <vt:variant>
        <vt:i4>444</vt:i4>
      </vt:variant>
      <vt:variant>
        <vt:i4>0</vt:i4>
      </vt:variant>
      <vt:variant>
        <vt:i4>5</vt:i4>
      </vt:variant>
      <vt:variant>
        <vt:lpwstr>https://www.etimaden.gov.tr/ihaleler</vt:lpwstr>
      </vt:variant>
      <vt:variant>
        <vt:lpwstr/>
      </vt:variant>
      <vt:variant>
        <vt:i4>4784149</vt:i4>
      </vt:variant>
      <vt:variant>
        <vt:i4>441</vt:i4>
      </vt:variant>
      <vt:variant>
        <vt:i4>0</vt:i4>
      </vt:variant>
      <vt:variant>
        <vt:i4>5</vt:i4>
      </vt:variant>
      <vt:variant>
        <vt:lpwstr>https://www.resmigazete.gov.tr/eskiler/2025/07/20250724-2.htm</vt:lpwstr>
      </vt:variant>
      <vt:variant>
        <vt:lpwstr/>
      </vt:variant>
      <vt:variant>
        <vt:i4>1114196</vt:i4>
      </vt:variant>
      <vt:variant>
        <vt:i4>438</vt:i4>
      </vt:variant>
      <vt:variant>
        <vt:i4>0</vt:i4>
      </vt:variant>
      <vt:variant>
        <vt:i4>5</vt:i4>
      </vt:variant>
      <vt:variant>
        <vt:lpwstr>https://www.invest.gov.tr/en/sectors/pages/machinery.aspx</vt:lpwstr>
      </vt:variant>
      <vt:variant>
        <vt:lpwstr/>
      </vt:variant>
      <vt:variant>
        <vt:i4>1966166</vt:i4>
      </vt:variant>
      <vt:variant>
        <vt:i4>435</vt:i4>
      </vt:variant>
      <vt:variant>
        <vt:i4>0</vt:i4>
      </vt:variant>
      <vt:variant>
        <vt:i4>5</vt:i4>
      </vt:variant>
      <vt:variant>
        <vt:lpwstr>https://www.invest.gov.tr/en/sectors/pages/mining-and-metals.aspx</vt:lpwstr>
      </vt:variant>
      <vt:variant>
        <vt:lpwstr/>
      </vt:variant>
      <vt:variant>
        <vt:i4>5177429</vt:i4>
      </vt:variant>
      <vt:variant>
        <vt:i4>432</vt:i4>
      </vt:variant>
      <vt:variant>
        <vt:i4>0</vt:i4>
      </vt:variant>
      <vt:variant>
        <vt:i4>5</vt:i4>
      </vt:variant>
      <vt:variant>
        <vt:lpwstr>https://www.dfat.gov.au/sites/default/files/turk-cef.pdf</vt:lpwstr>
      </vt:variant>
      <vt:variant>
        <vt:lpwstr/>
      </vt:variant>
      <vt:variant>
        <vt:i4>6422561</vt:i4>
      </vt:variant>
      <vt:variant>
        <vt:i4>429</vt:i4>
      </vt:variant>
      <vt:variant>
        <vt:i4>0</vt:i4>
      </vt:variant>
      <vt:variant>
        <vt:i4>5</vt:i4>
      </vt:variant>
      <vt:variant>
        <vt:lpwstr>https://www.dfat.gov.au/geo/t%C3%BCrkiye/t%C3%BCrkiye-country-brief</vt:lpwstr>
      </vt:variant>
      <vt:variant>
        <vt:lpwstr/>
      </vt:variant>
      <vt:variant>
        <vt:i4>3145842</vt:i4>
      </vt:variant>
      <vt:variant>
        <vt:i4>426</vt:i4>
      </vt:variant>
      <vt:variant>
        <vt:i4>0</vt:i4>
      </vt:variant>
      <vt:variant>
        <vt:i4>5</vt:i4>
      </vt:variant>
      <vt:variant>
        <vt:lpwstr>https://www.tumad.com.tr/en/lapseki-gold-and-silver-operation/</vt:lpwstr>
      </vt:variant>
      <vt:variant>
        <vt:lpwstr/>
      </vt:variant>
      <vt:variant>
        <vt:i4>3276926</vt:i4>
      </vt:variant>
      <vt:variant>
        <vt:i4>423</vt:i4>
      </vt:variant>
      <vt:variant>
        <vt:i4>0</vt:i4>
      </vt:variant>
      <vt:variant>
        <vt:i4>5</vt:i4>
      </vt:variant>
      <vt:variant>
        <vt:lpwstr>https://www.tumad.com.tr/en/ivrindi-gold-and-silver-operation/</vt:lpwstr>
      </vt:variant>
      <vt:variant>
        <vt:lpwstr/>
      </vt:variant>
      <vt:variant>
        <vt:i4>4325385</vt:i4>
      </vt:variant>
      <vt:variant>
        <vt:i4>420</vt:i4>
      </vt:variant>
      <vt:variant>
        <vt:i4>0</vt:i4>
      </vt:variant>
      <vt:variant>
        <vt:i4>5</vt:i4>
      </vt:variant>
      <vt:variant>
        <vt:lpwstr>https://www.tumad.com.tr/en/about-us/</vt:lpwstr>
      </vt:variant>
      <vt:variant>
        <vt:lpwstr/>
      </vt:variant>
      <vt:variant>
        <vt:i4>3539040</vt:i4>
      </vt:variant>
      <vt:variant>
        <vt:i4>417</vt:i4>
      </vt:variant>
      <vt:variant>
        <vt:i4>0</vt:i4>
      </vt:variant>
      <vt:variant>
        <vt:i4>5</vt:i4>
      </vt:variant>
      <vt:variant>
        <vt:lpwstr>https://ekap.kik.gov.tr/ekap/DuyuruDetay.aspx?duyuruID=3df8a5bb5bc4e217d05d7de2ea71c4d0565e8a680ad3a5ada9bac92a02d92687</vt:lpwstr>
      </vt:variant>
      <vt:variant>
        <vt:lpwstr/>
      </vt:variant>
      <vt:variant>
        <vt:i4>1638431</vt:i4>
      </vt:variant>
      <vt:variant>
        <vt:i4>414</vt:i4>
      </vt:variant>
      <vt:variant>
        <vt:i4>0</vt:i4>
      </vt:variant>
      <vt:variant>
        <vt:i4>5</vt:i4>
      </vt:variant>
      <vt:variant>
        <vt:lpwstr>https://www.eldoradogold.com/assets/operations/efemcukuru</vt:lpwstr>
      </vt:variant>
      <vt:variant>
        <vt:lpwstr/>
      </vt:variant>
      <vt:variant>
        <vt:i4>8061045</vt:i4>
      </vt:variant>
      <vt:variant>
        <vt:i4>411</vt:i4>
      </vt:variant>
      <vt:variant>
        <vt:i4>0</vt:i4>
      </vt:variant>
      <vt:variant>
        <vt:i4>5</vt:i4>
      </vt:variant>
      <vt:variant>
        <vt:lpwstr>https://www.eldoradogold.com/assets/operations/kisladag</vt:lpwstr>
      </vt:variant>
      <vt:variant>
        <vt:lpwstr/>
      </vt:variant>
      <vt:variant>
        <vt:i4>5832735</vt:i4>
      </vt:variant>
      <vt:variant>
        <vt:i4>408</vt:i4>
      </vt:variant>
      <vt:variant>
        <vt:i4>0</vt:i4>
      </vt:variant>
      <vt:variant>
        <vt:i4>5</vt:i4>
      </vt:variant>
      <vt:variant>
        <vt:lpwstr>https://www.etimaden.gov.tr/en/sustainability-report</vt:lpwstr>
      </vt:variant>
      <vt:variant>
        <vt:lpwstr/>
      </vt:variant>
      <vt:variant>
        <vt:i4>7405668</vt:i4>
      </vt:variant>
      <vt:variant>
        <vt:i4>405</vt:i4>
      </vt:variant>
      <vt:variant>
        <vt:i4>0</vt:i4>
      </vt:variant>
      <vt:variant>
        <vt:i4>5</vt:i4>
      </vt:variant>
      <vt:variant>
        <vt:lpwstr>https://www.etimaden.gov.tr/en/projects</vt:lpwstr>
      </vt:variant>
      <vt:variant>
        <vt:lpwstr/>
      </vt:variant>
      <vt:variant>
        <vt:i4>1310786</vt:i4>
      </vt:variant>
      <vt:variant>
        <vt:i4>402</vt:i4>
      </vt:variant>
      <vt:variant>
        <vt:i4>0</vt:i4>
      </vt:variant>
      <vt:variant>
        <vt:i4>5</vt:i4>
      </vt:variant>
      <vt:variant>
        <vt:lpwstr>https://www.etimaden.gov.tr/en/eti-maden</vt:lpwstr>
      </vt:variant>
      <vt:variant>
        <vt:lpwstr/>
      </vt:variant>
      <vt:variant>
        <vt:i4>8060991</vt:i4>
      </vt:variant>
      <vt:variant>
        <vt:i4>399</vt:i4>
      </vt:variant>
      <vt:variant>
        <vt:i4>0</vt:i4>
      </vt:variant>
      <vt:variant>
        <vt:i4>5</vt:i4>
      </vt:variant>
      <vt:variant>
        <vt:lpwstr>https://etimaden.gov.tr/en/boron-in-turkey</vt:lpwstr>
      </vt:variant>
      <vt:variant>
        <vt:lpwstr/>
      </vt:variant>
      <vt:variant>
        <vt:i4>7077926</vt:i4>
      </vt:variant>
      <vt:variant>
        <vt:i4>396</vt:i4>
      </vt:variant>
      <vt:variant>
        <vt:i4>0</vt:i4>
      </vt:variant>
      <vt:variant>
        <vt:i4>5</vt:i4>
      </vt:variant>
      <vt:variant>
        <vt:lpwstr>https://www.anglogoldashanti.com/portfolio/africa/sukari-egypt/</vt:lpwstr>
      </vt:variant>
      <vt:variant>
        <vt:lpwstr/>
      </vt:variant>
      <vt:variant>
        <vt:i4>5308445</vt:i4>
      </vt:variant>
      <vt:variant>
        <vt:i4>393</vt:i4>
      </vt:variant>
      <vt:variant>
        <vt:i4>0</vt:i4>
      </vt:variant>
      <vt:variant>
        <vt:i4>5</vt:i4>
      </vt:variant>
      <vt:variant>
        <vt:lpwstr>https://egyptoil-gas.com/news/mrmia-genesis-mining-egypt-sign-phosphate-project-mou/</vt:lpwstr>
      </vt:variant>
      <vt:variant>
        <vt:lpwstr/>
      </vt:variant>
      <vt:variant>
        <vt:i4>4653146</vt:i4>
      </vt:variant>
      <vt:variant>
        <vt:i4>390</vt:i4>
      </vt:variant>
      <vt:variant>
        <vt:i4>0</vt:i4>
      </vt:variant>
      <vt:variant>
        <vt:i4>5</vt:i4>
      </vt:variant>
      <vt:variant>
        <vt:lpwstr>https://atonresources.com/news/2026/aton-announces-us-30m-credit-facility-with-ou-moonrider/</vt:lpwstr>
      </vt:variant>
      <vt:variant>
        <vt:lpwstr/>
      </vt:variant>
      <vt:variant>
        <vt:i4>1179730</vt:i4>
      </vt:variant>
      <vt:variant>
        <vt:i4>387</vt:i4>
      </vt:variant>
      <vt:variant>
        <vt:i4>0</vt:i4>
      </vt:variant>
      <vt:variant>
        <vt:i4>5</vt:i4>
      </vt:variant>
      <vt:variant>
        <vt:lpwstr>https://www.anglogoldashanti.com/portfolio/africa/greenfield-projects-egypt/</vt:lpwstr>
      </vt:variant>
      <vt:variant>
        <vt:lpwstr/>
      </vt:variant>
      <vt:variant>
        <vt:i4>4325390</vt:i4>
      </vt:variant>
      <vt:variant>
        <vt:i4>384</vt:i4>
      </vt:variant>
      <vt:variant>
        <vt:i4>0</vt:i4>
      </vt:variant>
      <vt:variant>
        <vt:i4>5</vt:i4>
      </vt:variant>
      <vt:variant>
        <vt:lpwstr>https://atonresources.com/news/2026/aton-announces-strategic-cooperation-relationship-and-board-nominee/</vt:lpwstr>
      </vt:variant>
      <vt:variant>
        <vt:lpwstr/>
      </vt:variant>
      <vt:variant>
        <vt:i4>5046363</vt:i4>
      </vt:variant>
      <vt:variant>
        <vt:i4>381</vt:i4>
      </vt:variant>
      <vt:variant>
        <vt:i4>0</vt:i4>
      </vt:variant>
      <vt:variant>
        <vt:i4>5</vt:i4>
      </vt:variant>
      <vt:variant>
        <vt:lpwstr>https://www.nafeza.gov.eg/en/pages/15</vt:lpwstr>
      </vt:variant>
      <vt:variant>
        <vt:lpwstr/>
      </vt:variant>
      <vt:variant>
        <vt:i4>4194372</vt:i4>
      </vt:variant>
      <vt:variant>
        <vt:i4>378</vt:i4>
      </vt:variant>
      <vt:variant>
        <vt:i4>0</vt:i4>
      </vt:variant>
      <vt:variant>
        <vt:i4>5</vt:i4>
      </vt:variant>
      <vt:variant>
        <vt:lpwstr>https://www.petroleum.gov.eg/ar-eg/media-center/news/news-pages/Pages/mop_09022026_05.aspx</vt:lpwstr>
      </vt:variant>
      <vt:variant>
        <vt:lpwstr/>
      </vt:variant>
      <vt:variant>
        <vt:i4>4653078</vt:i4>
      </vt:variant>
      <vt:variant>
        <vt:i4>375</vt:i4>
      </vt:variant>
      <vt:variant>
        <vt:i4>0</vt:i4>
      </vt:variant>
      <vt:variant>
        <vt:i4>5</vt:i4>
      </vt:variant>
      <vt:variant>
        <vt:lpwstr>https://atonresources.com/news/2026/aton-closes-cad-4-million-private-placement/</vt:lpwstr>
      </vt:variant>
      <vt:variant>
        <vt:lpwstr/>
      </vt:variant>
      <vt:variant>
        <vt:i4>1507338</vt:i4>
      </vt:variant>
      <vt:variant>
        <vt:i4>372</vt:i4>
      </vt:variant>
      <vt:variant>
        <vt:i4>0</vt:i4>
      </vt:variant>
      <vt:variant>
        <vt:i4>5</vt:i4>
      </vt:variant>
      <vt:variant>
        <vt:lpwstr>http://egyptoil-gas.com/news/anglogold-expands-gold-exploration-in-egypts-eastern-desert/</vt:lpwstr>
      </vt:variant>
      <vt:variant>
        <vt:lpwstr/>
      </vt:variant>
      <vt:variant>
        <vt:i4>13</vt:i4>
      </vt:variant>
      <vt:variant>
        <vt:i4>369</vt:i4>
      </vt:variant>
      <vt:variant>
        <vt:i4>0</vt:i4>
      </vt:variant>
      <vt:variant>
        <vt:i4>5</vt:i4>
      </vt:variant>
      <vt:variant>
        <vt:lpwstr>https://www.petroleum.gov.eg/en/media-center/news/news-pages/Pages/mop_16062026_1.aspx</vt:lpwstr>
      </vt:variant>
      <vt:variant>
        <vt:lpwstr/>
      </vt:variant>
      <vt:variant>
        <vt:i4>7077926</vt:i4>
      </vt:variant>
      <vt:variant>
        <vt:i4>366</vt:i4>
      </vt:variant>
      <vt:variant>
        <vt:i4>0</vt:i4>
      </vt:variant>
      <vt:variant>
        <vt:i4>5</vt:i4>
      </vt:variant>
      <vt:variant>
        <vt:lpwstr>https://www.anglogoldashanti.com/portfolio/africa/sukari-egypt/</vt:lpwstr>
      </vt:variant>
      <vt:variant>
        <vt:lpwstr/>
      </vt:variant>
      <vt:variant>
        <vt:i4>2818082</vt:i4>
      </vt:variant>
      <vt:variant>
        <vt:i4>363</vt:i4>
      </vt:variant>
      <vt:variant>
        <vt:i4>0</vt:i4>
      </vt:variant>
      <vt:variant>
        <vt:i4>5</vt:i4>
      </vt:variant>
      <vt:variant>
        <vt:lpwstr>https://xcaliburmp.com/egypt-launches-first-nationwide-airborne-mineral-survey-in-42-years-with-xcalibur-smart-mapping/</vt:lpwstr>
      </vt:variant>
      <vt:variant>
        <vt:lpwstr/>
      </vt:variant>
      <vt:variant>
        <vt:i4>5111881</vt:i4>
      </vt:variant>
      <vt:variant>
        <vt:i4>360</vt:i4>
      </vt:variant>
      <vt:variant>
        <vt:i4>0</vt:i4>
      </vt:variant>
      <vt:variant>
        <vt:i4>5</vt:i4>
      </vt:variant>
      <vt:variant>
        <vt:lpwstr>https://www.petroleum.gov.eg/ar-eg/media-center/news/news-pages/Pages/mop_14012026_09.aspx</vt:lpwstr>
      </vt:variant>
      <vt:variant>
        <vt:lpwstr/>
      </vt:variant>
      <vt:variant>
        <vt:i4>7864427</vt:i4>
      </vt:variant>
      <vt:variant>
        <vt:i4>357</vt:i4>
      </vt:variant>
      <vt:variant>
        <vt:i4>0</vt:i4>
      </vt:variant>
      <vt:variant>
        <vt:i4>5</vt:i4>
      </vt:variant>
      <vt:variant>
        <vt:lpwstr>https://www.ocpgroup.ma/en/contact-ocp</vt:lpwstr>
      </vt:variant>
      <vt:variant>
        <vt:lpwstr/>
      </vt:variant>
      <vt:variant>
        <vt:i4>3276875</vt:i4>
      </vt:variant>
      <vt:variant>
        <vt:i4>354</vt:i4>
      </vt:variant>
      <vt:variant>
        <vt:i4>0</vt:i4>
      </vt:variant>
      <vt:variant>
        <vt:i4>5</vt:i4>
      </vt:variant>
      <vt:variant>
        <vt:lpwstr>https://www.wto.org/english/tratop_e/tpr_e/s453_e.pdf</vt:lpwstr>
      </vt:variant>
      <vt:variant>
        <vt:lpwstr/>
      </vt:variant>
      <vt:variant>
        <vt:i4>7340141</vt:i4>
      </vt:variant>
      <vt:variant>
        <vt:i4>351</vt:i4>
      </vt:variant>
      <vt:variant>
        <vt:i4>0</vt:i4>
      </vt:variant>
      <vt:variant>
        <vt:i4>5</vt:i4>
      </vt:variant>
      <vt:variant>
        <vt:lpwstr>https://www.twobirds.com/en/insights/2026/morocco/mining-in-morocco-an-overview-of-the-mining-regulatory-framework-and-ongoing-reforms</vt:lpwstr>
      </vt:variant>
      <vt:variant>
        <vt:lpwstr/>
      </vt:variant>
      <vt:variant>
        <vt:i4>3604589</vt:i4>
      </vt:variant>
      <vt:variant>
        <vt:i4>348</vt:i4>
      </vt:variant>
      <vt:variant>
        <vt:i4>0</vt:i4>
      </vt:variant>
      <vt:variant>
        <vt:i4>5</vt:i4>
      </vt:variant>
      <vt:variant>
        <vt:lpwstr>https://ayagoldsilver.com/news/news-releases/aya-gold--silver-announces-updated-pea-for-boumadine-after-tax-npv-doubles-to-35b-with-93-irr</vt:lpwstr>
      </vt:variant>
      <vt:variant>
        <vt:lpwstr/>
      </vt:variant>
      <vt:variant>
        <vt:i4>2228288</vt:i4>
      </vt:variant>
      <vt:variant>
        <vt:i4>345</vt:i4>
      </vt:variant>
      <vt:variant>
        <vt:i4>0</vt:i4>
      </vt:variant>
      <vt:variant>
        <vt:i4>5</vt:i4>
      </vt:variant>
      <vt:variant>
        <vt:lpwstr>https://www.mtedd.gov.ma/index.php?Itemid=293&amp;catid=12&amp;id=729%3A2026-05-06-17-18-51&amp;lang=en&amp;option=com_content&amp;view=article</vt:lpwstr>
      </vt:variant>
      <vt:variant>
        <vt:lpwstr/>
      </vt:variant>
      <vt:variant>
        <vt:i4>2818156</vt:i4>
      </vt:variant>
      <vt:variant>
        <vt:i4>342</vt:i4>
      </vt:variant>
      <vt:variant>
        <vt:i4>0</vt:i4>
      </vt:variant>
      <vt:variant>
        <vt:i4>5</vt:i4>
      </vt:variant>
      <vt:variant>
        <vt:lpwstr>https://www.ocpgroup.ma/en/press-release/decisive-step-ocp-green-water-toward-water-autonomy-group</vt:lpwstr>
      </vt:variant>
      <vt:variant>
        <vt:lpwstr/>
      </vt:variant>
      <vt:variant>
        <vt:i4>852044</vt:i4>
      </vt:variant>
      <vt:variant>
        <vt:i4>339</vt:i4>
      </vt:variant>
      <vt:variant>
        <vt:i4>0</vt:i4>
      </vt:variant>
      <vt:variant>
        <vt:i4>5</vt:i4>
      </vt:variant>
      <vt:variant>
        <vt:lpwstr>https://www.ocpgroup.ma/en/our-sustainability-commitments/investment-plan</vt:lpwstr>
      </vt:variant>
      <vt:variant>
        <vt:lpwstr/>
      </vt:variant>
      <vt:variant>
        <vt:i4>2162748</vt:i4>
      </vt:variant>
      <vt:variant>
        <vt:i4>336</vt:i4>
      </vt:variant>
      <vt:variant>
        <vt:i4>0</vt:i4>
      </vt:variant>
      <vt:variant>
        <vt:i4>5</vt:i4>
      </vt:variant>
      <vt:variant>
        <vt:lpwstr>https://www.epiroc.com/en-au/newsroom/2024/epiroc-partners-with-managem-for-digitalization-of-tizert-project-in-morocco</vt:lpwstr>
      </vt:variant>
      <vt:variant>
        <vt:lpwstr/>
      </vt:variant>
      <vt:variant>
        <vt:i4>3801196</vt:i4>
      </vt:variant>
      <vt:variant>
        <vt:i4>333</vt:i4>
      </vt:variant>
      <vt:variant>
        <vt:i4>0</vt:i4>
      </vt:variant>
      <vt:variant>
        <vt:i4>5</vt:i4>
      </vt:variant>
      <vt:variant>
        <vt:lpwstr>https://www.fastmarkets.com/insights/miner-managem-to-switch-to-cobalt-sulfate-production-instead-of-metal/</vt:lpwstr>
      </vt:variant>
      <vt:variant>
        <vt:lpwstr/>
      </vt:variant>
      <vt:variant>
        <vt:i4>65547</vt:i4>
      </vt:variant>
      <vt:variant>
        <vt:i4>330</vt:i4>
      </vt:variant>
      <vt:variant>
        <vt:i4>0</vt:i4>
      </vt:variant>
      <vt:variant>
        <vt:i4>5</vt:i4>
      </vt:variant>
      <vt:variant>
        <vt:lpwstr>https://www.ayagoldsilver.com/news/news-releases/aya-gold--silver-provides-2026-outlook-and-strategic-priorities</vt:lpwstr>
      </vt:variant>
      <vt:variant>
        <vt:lpwstr/>
      </vt:variant>
      <vt:variant>
        <vt:i4>4063355</vt:i4>
      </vt:variant>
      <vt:variant>
        <vt:i4>327</vt:i4>
      </vt:variant>
      <vt:variant>
        <vt:i4>0</vt:i4>
      </vt:variant>
      <vt:variant>
        <vt:i4>5</vt:i4>
      </vt:variant>
      <vt:variant>
        <vt:lpwstr>https://www.fraserinstitute.org/sites/default/files/2026-02/annual-survey-of-mining-companies-2025.pdf</vt:lpwstr>
      </vt:variant>
      <vt:variant>
        <vt:lpwstr/>
      </vt:variant>
      <vt:variant>
        <vt:i4>5373975</vt:i4>
      </vt:variant>
      <vt:variant>
        <vt:i4>324</vt:i4>
      </vt:variant>
      <vt:variant>
        <vt:i4>0</vt:i4>
      </vt:variant>
      <vt:variant>
        <vt:i4>5</vt:i4>
      </vt:variant>
      <vt:variant>
        <vt:lpwstr>https://www.moroccoworldnews.com/2026/02/280980/managem-reports-mad-13-694-billion-revenue-in-2025-as-q4-surges-170/</vt:lpwstr>
      </vt:variant>
      <vt:variant>
        <vt:lpwstr/>
      </vt:variant>
      <vt:variant>
        <vt:i4>7077933</vt:i4>
      </vt:variant>
      <vt:variant>
        <vt:i4>321</vt:i4>
      </vt:variant>
      <vt:variant>
        <vt:i4>0</vt:i4>
      </vt:variant>
      <vt:variant>
        <vt:i4>5</vt:i4>
      </vt:variant>
      <vt:variant>
        <vt:lpwstr>https://www.ocpgroup.ma/en/what-we-do/industrial-operations</vt:lpwstr>
      </vt:variant>
      <vt:variant>
        <vt:lpwstr/>
      </vt:variant>
      <vt:variant>
        <vt:i4>6553649</vt:i4>
      </vt:variant>
      <vt:variant>
        <vt:i4>318</vt:i4>
      </vt:variant>
      <vt:variant>
        <vt:i4>0</vt:i4>
      </vt:variant>
      <vt:variant>
        <vt:i4>5</vt:i4>
      </vt:variant>
      <vt:variant>
        <vt:lpwstr>https://www.afdb.org/en/news-and-events/african-development-bank-approves-eu100-million-gotion-power-morocco-develop-africas-first-lithium-ion-phosphate-battery-gigafactory-95727</vt:lpwstr>
      </vt:variant>
      <vt:variant>
        <vt:lpwstr/>
      </vt:variant>
      <vt:variant>
        <vt:i4>5373977</vt:i4>
      </vt:variant>
      <vt:variant>
        <vt:i4>315</vt:i4>
      </vt:variant>
      <vt:variant>
        <vt:i4>0</vt:i4>
      </vt:variant>
      <vt:variant>
        <vt:i4>5</vt:i4>
      </vt:variant>
      <vt:variant>
        <vt:lpwstr>https://www.austrade.gov.au/en/news-and-analysis/analysis/moroccos-mining-transformation-unearths-mets-opportunities</vt:lpwstr>
      </vt:variant>
      <vt:variant>
        <vt:lpwstr/>
      </vt:variant>
      <vt:variant>
        <vt:i4>4849664</vt:i4>
      </vt:variant>
      <vt:variant>
        <vt:i4>312</vt:i4>
      </vt:variant>
      <vt:variant>
        <vt:i4>0</vt:i4>
      </vt:variant>
      <vt:variant>
        <vt:i4>5</vt:i4>
      </vt:variant>
      <vt:variant>
        <vt:lpwstr>https://www.mckinsey.com/industries/agriculture/our-insights/the-2040-fertilizer-industry-how-could-industry-trends-affect-demand</vt:lpwstr>
      </vt:variant>
      <vt:variant>
        <vt:lpwstr/>
      </vt:variant>
      <vt:variant>
        <vt:i4>3211382</vt:i4>
      </vt:variant>
      <vt:variant>
        <vt:i4>309</vt:i4>
      </vt:variant>
      <vt:variant>
        <vt:i4>0</vt:i4>
      </vt:variant>
      <vt:variant>
        <vt:i4>5</vt:i4>
      </vt:variant>
      <vt:variant>
        <vt:lpwstr>https://www.ocpgroup.ma/en/who-we-are/our-strategy</vt:lpwstr>
      </vt:variant>
      <vt:variant>
        <vt:lpwstr/>
      </vt:variant>
      <vt:variant>
        <vt:i4>7077984</vt:i4>
      </vt:variant>
      <vt:variant>
        <vt:i4>306</vt:i4>
      </vt:variant>
      <vt:variant>
        <vt:i4>0</vt:i4>
      </vt:variant>
      <vt:variant>
        <vt:i4>5</vt:i4>
      </vt:variant>
      <vt:variant>
        <vt:lpwstr>https://pubs.usgs.gov/periodicals/mcs2026/mcs2026-phosphate.pdf</vt:lpwstr>
      </vt:variant>
      <vt:variant>
        <vt:lpwstr/>
      </vt:variant>
      <vt:variant>
        <vt:i4>589842</vt:i4>
      </vt:variant>
      <vt:variant>
        <vt:i4>303</vt:i4>
      </vt:variant>
      <vt:variant>
        <vt:i4>0</vt:i4>
      </vt:variant>
      <vt:variant>
        <vt:i4>5</vt:i4>
      </vt:variant>
      <vt:variant>
        <vt:lpwstr>https://www.dfat.gov.au/trade/agreements/in-force/australia-uae-comprehensive-economic-partnership-agreement-cepa/australia-uae-cepa-official-text/chapter-8-technical-barriers-trade</vt:lpwstr>
      </vt:variant>
      <vt:variant>
        <vt:lpwstr/>
      </vt:variant>
      <vt:variant>
        <vt:i4>2752623</vt:i4>
      </vt:variant>
      <vt:variant>
        <vt:i4>300</vt:i4>
      </vt:variant>
      <vt:variant>
        <vt:i4>0</vt:i4>
      </vt:variant>
      <vt:variant>
        <vt:i4>5</vt:i4>
      </vt:variant>
      <vt:variant>
        <vt:lpwstr>https://www.cdegroup.com/about/news-events/latest-news/stevin-rock-limestone-wash-plant</vt:lpwstr>
      </vt:variant>
      <vt:variant>
        <vt:lpwstr/>
      </vt:variant>
      <vt:variant>
        <vt:i4>5963800</vt:i4>
      </vt:variant>
      <vt:variant>
        <vt:i4>297</vt:i4>
      </vt:variant>
      <vt:variant>
        <vt:i4>0</vt:i4>
      </vt:variant>
      <vt:variant>
        <vt:i4>5</vt:i4>
      </vt:variant>
      <vt:variant>
        <vt:lpwstr>https://www.jafza.ae/offerings/solutions/warehouses/</vt:lpwstr>
      </vt:variant>
      <vt:variant>
        <vt:lpwstr/>
      </vt:variant>
      <vt:variant>
        <vt:i4>1310798</vt:i4>
      </vt:variant>
      <vt:variant>
        <vt:i4>294</vt:i4>
      </vt:variant>
      <vt:variant>
        <vt:i4>0</vt:i4>
      </vt:variant>
      <vt:variant>
        <vt:i4>5</vt:i4>
      </vt:variant>
      <vt:variant>
        <vt:lpwstr>https://cfloworld.com/news-events/news/2026/jul/cflo-secures-major-order-from-stevin-rock-ras-al-khaimah/</vt:lpwstr>
      </vt:variant>
      <vt:variant>
        <vt:lpwstr/>
      </vt:variant>
      <vt:variant>
        <vt:i4>1638416</vt:i4>
      </vt:variant>
      <vt:variant>
        <vt:i4>291</vt:i4>
      </vt:variant>
      <vt:variant>
        <vt:i4>0</vt:i4>
      </vt:variant>
      <vt:variant>
        <vt:i4>5</vt:i4>
      </vt:variant>
      <vt:variant>
        <vt:lpwstr>https://ausuaebc.com/</vt:lpwstr>
      </vt:variant>
      <vt:variant>
        <vt:lpwstr/>
      </vt:variant>
      <vt:variant>
        <vt:i4>4259932</vt:i4>
      </vt:variant>
      <vt:variant>
        <vt:i4>288</vt:i4>
      </vt:variant>
      <vt:variant>
        <vt:i4>0</vt:i4>
      </vt:variant>
      <vt:variant>
        <vt:i4>5</vt:i4>
      </vt:variant>
      <vt:variant>
        <vt:lpwstr>https://www.abcduae.com/</vt:lpwstr>
      </vt:variant>
      <vt:variant>
        <vt:lpwstr/>
      </vt:variant>
      <vt:variant>
        <vt:i4>5439554</vt:i4>
      </vt:variant>
      <vt:variant>
        <vt:i4>285</vt:i4>
      </vt:variant>
      <vt:variant>
        <vt:i4>0</vt:i4>
      </vt:variant>
      <vt:variant>
        <vt:i4>5</vt:i4>
      </vt:variant>
      <vt:variant>
        <vt:lpwstr>https://www.dubaichambers.com/en/services?category=276199</vt:lpwstr>
      </vt:variant>
      <vt:variant>
        <vt:lpwstr/>
      </vt:variant>
      <vt:variant>
        <vt:i4>1179678</vt:i4>
      </vt:variant>
      <vt:variant>
        <vt:i4>282</vt:i4>
      </vt:variant>
      <vt:variant>
        <vt:i4>0</vt:i4>
      </vt:variant>
      <vt:variant>
        <vt:i4>5</vt:i4>
      </vt:variant>
      <vt:variant>
        <vt:lpwstr>https://www.dwtc.com/en/events/the-mining-show-2026/</vt:lpwstr>
      </vt:variant>
      <vt:variant>
        <vt:lpwstr/>
      </vt:variant>
      <vt:variant>
        <vt:i4>4653133</vt:i4>
      </vt:variant>
      <vt:variant>
        <vt:i4>279</vt:i4>
      </vt:variant>
      <vt:variant>
        <vt:i4>0</vt:i4>
      </vt:variant>
      <vt:variant>
        <vt:i4>5</vt:i4>
      </vt:variant>
      <vt:variant>
        <vt:lpwstr>https://moiat.gov.ae/en/programs/icv</vt:lpwstr>
      </vt:variant>
      <vt:variant>
        <vt:lpwstr/>
      </vt:variant>
      <vt:variant>
        <vt:i4>4915283</vt:i4>
      </vt:variant>
      <vt:variant>
        <vt:i4>276</vt:i4>
      </vt:variant>
      <vt:variant>
        <vt:i4>0</vt:i4>
      </vt:variant>
      <vt:variant>
        <vt:i4>5</vt:i4>
      </vt:variant>
      <vt:variant>
        <vt:lpwstr>https://tax.gov.ae/en/taxes/Vat/vat.topics/registration.for.vat.aspx</vt:lpwstr>
      </vt:variant>
      <vt:variant>
        <vt:lpwstr/>
      </vt:variant>
      <vt:variant>
        <vt:i4>3997811</vt:i4>
      </vt:variant>
      <vt:variant>
        <vt:i4>273</vt:i4>
      </vt:variant>
      <vt:variant>
        <vt:i4>0</vt:i4>
      </vt:variant>
      <vt:variant>
        <vt:i4>5</vt:i4>
      </vt:variant>
      <vt:variant>
        <vt:lpwstr>https://mof.gov.ae/en/public-finance/tax/corporate-tax/</vt:lpwstr>
      </vt:variant>
      <vt:variant>
        <vt:lpwstr/>
      </vt:variant>
      <vt:variant>
        <vt:i4>7667835</vt:i4>
      </vt:variant>
      <vt:variant>
        <vt:i4>270</vt:i4>
      </vt:variant>
      <vt:variant>
        <vt:i4>0</vt:i4>
      </vt:variant>
      <vt:variant>
        <vt:i4>5</vt:i4>
      </vt:variant>
      <vt:variant>
        <vt:lpwstr>https://dmcc.ae/blog/dubai-freezone-company-setup-cost</vt:lpwstr>
      </vt:variant>
      <vt:variant>
        <vt:lpwstr/>
      </vt:variant>
      <vt:variant>
        <vt:i4>6422633</vt:i4>
      </vt:variant>
      <vt:variant>
        <vt:i4>267</vt:i4>
      </vt:variant>
      <vt:variant>
        <vt:i4>0</vt:i4>
      </vt:variant>
      <vt:variant>
        <vt:i4>5</vt:i4>
      </vt:variant>
      <vt:variant>
        <vt:lpwstr>https://dmcc.ae/blog/how-to-set-up-a-business-in-dubai-remotely</vt:lpwstr>
      </vt:variant>
      <vt:variant>
        <vt:lpwstr/>
      </vt:variant>
      <vt:variant>
        <vt:i4>7274595</vt:i4>
      </vt:variant>
      <vt:variant>
        <vt:i4>264</vt:i4>
      </vt:variant>
      <vt:variant>
        <vt:i4>0</vt:i4>
      </vt:variant>
      <vt:variant>
        <vt:i4>5</vt:i4>
      </vt:variant>
      <vt:variant>
        <vt:lpwstr>https://uaelegislation.gov.ae/en/legislations/1617</vt:lpwstr>
      </vt:variant>
      <vt:variant>
        <vt:lpwstr/>
      </vt:variant>
      <vt:variant>
        <vt:i4>5308442</vt:i4>
      </vt:variant>
      <vt:variant>
        <vt:i4>261</vt:i4>
      </vt:variant>
      <vt:variant>
        <vt:i4>0</vt:i4>
      </vt:variant>
      <vt:variant>
        <vt:i4>5</vt:i4>
      </vt:variant>
      <vt:variant>
        <vt:lpwstr>https://dmcc.ae/blog/difference-between-dubai-mainland-freezone-companies</vt:lpwstr>
      </vt:variant>
      <vt:variant>
        <vt:lpwstr/>
      </vt:variant>
      <vt:variant>
        <vt:i4>1441884</vt:i4>
      </vt:variant>
      <vt:variant>
        <vt:i4>258</vt:i4>
      </vt:variant>
      <vt:variant>
        <vt:i4>0</vt:i4>
      </vt:variant>
      <vt:variant>
        <vt:i4>5</vt:i4>
      </vt:variant>
      <vt:variant>
        <vt:lpwstr>https://www.gcc-sg.org/en/MediaCenter/News/Pages/news2025-2-11-5.aspx</vt:lpwstr>
      </vt:variant>
      <vt:variant>
        <vt:lpwstr/>
      </vt:variant>
      <vt:variant>
        <vt:i4>4784223</vt:i4>
      </vt:variant>
      <vt:variant>
        <vt:i4>255</vt:i4>
      </vt:variant>
      <vt:variant>
        <vt:i4>0</vt:i4>
      </vt:variant>
      <vt:variant>
        <vt:i4>5</vt:i4>
      </vt:variant>
      <vt:variant>
        <vt:lpwstr>https://www.dpworld.com/en/ports-terminals/uae/jebel-ali-port</vt:lpwstr>
      </vt:variant>
      <vt:variant>
        <vt:lpwstr/>
      </vt:variant>
      <vt:variant>
        <vt:i4>16</vt:i4>
      </vt:variant>
      <vt:variant>
        <vt:i4>252</vt:i4>
      </vt:variant>
      <vt:variant>
        <vt:i4>0</vt:i4>
      </vt:variant>
      <vt:variant>
        <vt:i4>5</vt:i4>
      </vt:variant>
      <vt:variant>
        <vt:lpwstr>https://www.worley.com/en/about-us/where-we-operate/united-arab-emirates</vt:lpwstr>
      </vt:variant>
      <vt:variant>
        <vt:lpwstr/>
      </vt:variant>
      <vt:variant>
        <vt:i4>5505028</vt:i4>
      </vt:variant>
      <vt:variant>
        <vt:i4>249</vt:i4>
      </vt:variant>
      <vt:variant>
        <vt:i4>0</vt:i4>
      </vt:variant>
      <vt:variant>
        <vt:i4>5</vt:i4>
      </vt:variant>
      <vt:variant>
        <vt:lpwstr>https://media.ega.ae/tawazun-council-rtx-and-ega-sign-mou-to-explore-gallium-production-in-abu-dhabi/</vt:lpwstr>
      </vt:variant>
      <vt:variant>
        <vt:lpwstr/>
      </vt:variant>
      <vt:variant>
        <vt:i4>983111</vt:i4>
      </vt:variant>
      <vt:variant>
        <vt:i4>246</vt:i4>
      </vt:variant>
      <vt:variant>
        <vt:i4>0</vt:i4>
      </vt:variant>
      <vt:variant>
        <vt:i4>5</vt:i4>
      </vt:variant>
      <vt:variant>
        <vt:lpwstr>https://ido.ae/portfolio/stevin-rock/</vt:lpwstr>
      </vt:variant>
      <vt:variant>
        <vt:lpwstr/>
      </vt:variant>
      <vt:variant>
        <vt:i4>1048642</vt:i4>
      </vt:variant>
      <vt:variant>
        <vt:i4>243</vt:i4>
      </vt:variant>
      <vt:variant>
        <vt:i4>0</vt:i4>
      </vt:variant>
      <vt:variant>
        <vt:i4>5</vt:i4>
      </vt:variant>
      <vt:variant>
        <vt:lpwstr>https://www.irh.ae/uae-backed-irhs-investment-drives-revival-of-zambias-mopani-copper-mines/</vt:lpwstr>
      </vt:variant>
      <vt:variant>
        <vt:lpwstr/>
      </vt:variant>
      <vt:variant>
        <vt:i4>5636179</vt:i4>
      </vt:variant>
      <vt:variant>
        <vt:i4>240</vt:i4>
      </vt:variant>
      <vt:variant>
        <vt:i4>0</vt:i4>
      </vt:variant>
      <vt:variant>
        <vt:i4>5</vt:i4>
      </vt:variant>
      <vt:variant>
        <vt:lpwstr>https://media.ega.ae/ega-and-sunstone-to-begin-construction-of-anode-manufacturing-plant-in-uae-in-2026/</vt:lpwstr>
      </vt:variant>
      <vt:variant>
        <vt:lpwstr/>
      </vt:variant>
      <vt:variant>
        <vt:i4>77</vt:i4>
      </vt:variant>
      <vt:variant>
        <vt:i4>237</vt:i4>
      </vt:variant>
      <vt:variant>
        <vt:i4>0</vt:i4>
      </vt:variant>
      <vt:variant>
        <vt:i4>5</vt:i4>
      </vt:variant>
      <vt:variant>
        <vt:lpwstr>https://media.ega.ae/ega-delivers-resilient-h1-2026-performance-maintaining-operational-and-supply-chain-continuity-amid-regional-disruption/</vt:lpwstr>
      </vt:variant>
      <vt:variant>
        <vt:lpwstr/>
      </vt:variant>
      <vt:variant>
        <vt:i4>7995440</vt:i4>
      </vt:variant>
      <vt:variant>
        <vt:i4>234</vt:i4>
      </vt:variant>
      <vt:variant>
        <vt:i4>0</vt:i4>
      </vt:variant>
      <vt:variant>
        <vt:i4>5</vt:i4>
      </vt:variant>
      <vt:variant>
        <vt:lpwstr>https://media.ega.ae/egas-al-taweelah-smelter-restoration-reaches-25-completion-milestone/</vt:lpwstr>
      </vt:variant>
      <vt:variant>
        <vt:lpwstr/>
      </vt:variant>
      <vt:variant>
        <vt:i4>2883695</vt:i4>
      </vt:variant>
      <vt:variant>
        <vt:i4>231</vt:i4>
      </vt:variant>
      <vt:variant>
        <vt:i4>0</vt:i4>
      </vt:variant>
      <vt:variant>
        <vt:i4>5</vt:i4>
      </vt:variant>
      <vt:variant>
        <vt:lpwstr>https://www.dfat.gov.au/geo/united-arab-emirates/united-arab-emirates-country-brief</vt:lpwstr>
      </vt:variant>
      <vt:variant>
        <vt:lpwstr/>
      </vt:variant>
      <vt:variant>
        <vt:i4>5308486</vt:i4>
      </vt:variant>
      <vt:variant>
        <vt:i4>228</vt:i4>
      </vt:variant>
      <vt:variant>
        <vt:i4>0</vt:i4>
      </vt:variant>
      <vt:variant>
        <vt:i4>5</vt:i4>
      </vt:variant>
      <vt:variant>
        <vt:lpwstr>https://www.irh.ae/about-us/</vt:lpwstr>
      </vt:variant>
      <vt:variant>
        <vt:lpwstr/>
      </vt:variant>
      <vt:variant>
        <vt:i4>4653133</vt:i4>
      </vt:variant>
      <vt:variant>
        <vt:i4>225</vt:i4>
      </vt:variant>
      <vt:variant>
        <vt:i4>0</vt:i4>
      </vt:variant>
      <vt:variant>
        <vt:i4>5</vt:i4>
      </vt:variant>
      <vt:variant>
        <vt:lpwstr>https://moiat.gov.ae/en/programs/icv</vt:lpwstr>
      </vt:variant>
      <vt:variant>
        <vt:lpwstr/>
      </vt:variant>
      <vt:variant>
        <vt:i4>3866674</vt:i4>
      </vt:variant>
      <vt:variant>
        <vt:i4>222</vt:i4>
      </vt:variant>
      <vt:variant>
        <vt:i4>0</vt:i4>
      </vt:variant>
      <vt:variant>
        <vt:i4>5</vt:i4>
      </vt:variant>
      <vt:variant>
        <vt:lpwstr>https://mof.gov.ae/en/public-finance/government-procurement/federal-supplier-register/</vt:lpwstr>
      </vt:variant>
      <vt:variant>
        <vt:lpwstr/>
      </vt:variant>
      <vt:variant>
        <vt:i4>7798834</vt:i4>
      </vt:variant>
      <vt:variant>
        <vt:i4>219</vt:i4>
      </vt:variant>
      <vt:variant>
        <vt:i4>0</vt:i4>
      </vt:variant>
      <vt:variant>
        <vt:i4>5</vt:i4>
      </vt:variant>
      <vt:variant>
        <vt:lpwstr>https://ar2025.emsteel.com/</vt:lpwstr>
      </vt:variant>
      <vt:variant>
        <vt:lpwstr/>
      </vt:variant>
      <vt:variant>
        <vt:i4>6946921</vt:i4>
      </vt:variant>
      <vt:variant>
        <vt:i4>216</vt:i4>
      </vt:variant>
      <vt:variant>
        <vt:i4>0</vt:i4>
      </vt:variant>
      <vt:variant>
        <vt:i4>5</vt:i4>
      </vt:variant>
      <vt:variant>
        <vt:lpwstr>https://www.ega.ae/en/impact/our-commercial-success</vt:lpwstr>
      </vt:variant>
      <vt:variant>
        <vt:lpwstr/>
      </vt:variant>
      <vt:variant>
        <vt:i4>7864382</vt:i4>
      </vt:variant>
      <vt:variant>
        <vt:i4>213</vt:i4>
      </vt:variant>
      <vt:variant>
        <vt:i4>0</vt:i4>
      </vt:variant>
      <vt:variant>
        <vt:i4>5</vt:i4>
      </vt:variant>
      <vt:variant>
        <vt:lpwstr>https://www.ega.ae/en/sustainability/sustainability-reports</vt:lpwstr>
      </vt:variant>
      <vt:variant>
        <vt:lpwstr/>
      </vt:variant>
      <vt:variant>
        <vt:i4>6684797</vt:i4>
      </vt:variant>
      <vt:variant>
        <vt:i4>210</vt:i4>
      </vt:variant>
      <vt:variant>
        <vt:i4>0</vt:i4>
      </vt:variant>
      <vt:variant>
        <vt:i4>5</vt:i4>
      </vt:variant>
      <vt:variant>
        <vt:lpwstr>https://media.ega.ae/ega-delivers-strong-underlying-financial-performance-and-record-sales-in-2025/</vt:lpwstr>
      </vt:variant>
      <vt:variant>
        <vt:lpwstr/>
      </vt:variant>
      <vt:variant>
        <vt:i4>6225950</vt:i4>
      </vt:variant>
      <vt:variant>
        <vt:i4>207</vt:i4>
      </vt:variant>
      <vt:variant>
        <vt:i4>0</vt:i4>
      </vt:variant>
      <vt:variant>
        <vt:i4>5</vt:i4>
      </vt:variant>
      <vt:variant>
        <vt:lpwstr>https://www.dfat.gov.au/trade/agreements/in-force/australia-uae-comprehensive-economic-partnership-agreement-cepa/using-uae-cepa-do-business-united-arab-emirates</vt:lpwstr>
      </vt:variant>
      <vt:variant>
        <vt:lpwstr/>
      </vt:variant>
      <vt:variant>
        <vt:i4>2031635</vt:i4>
      </vt:variant>
      <vt:variant>
        <vt:i4>204</vt:i4>
      </vt:variant>
      <vt:variant>
        <vt:i4>0</vt:i4>
      </vt:variant>
      <vt:variant>
        <vt:i4>5</vt:i4>
      </vt:variant>
      <vt:variant>
        <vt:lpwstr>https://www.dfat.gov.au/trade/agreements/in-force/australia-uae-comprehensive-economic-partnership-agreement-cepa/australia-uae-cepa-outcomes-glance</vt:lpwstr>
      </vt:variant>
      <vt:variant>
        <vt:lpwstr/>
      </vt:variant>
      <vt:variant>
        <vt:i4>458844</vt:i4>
      </vt:variant>
      <vt:variant>
        <vt:i4>201</vt:i4>
      </vt:variant>
      <vt:variant>
        <vt:i4>0</vt:i4>
      </vt:variant>
      <vt:variant>
        <vt:i4>5</vt:i4>
      </vt:variant>
      <vt:variant>
        <vt:lpwstr>https://www.dfat.gov.au/trade/agreements/in-force/australia-uae-comprehensive-economic-partnership-agreement-cepa</vt:lpwstr>
      </vt:variant>
      <vt:variant>
        <vt:lpwstr/>
      </vt:variant>
      <vt:variant>
        <vt:i4>5701634</vt:i4>
      </vt:variant>
      <vt:variant>
        <vt:i4>198</vt:i4>
      </vt:variant>
      <vt:variant>
        <vt:i4>0</vt:i4>
      </vt:variant>
      <vt:variant>
        <vt:i4>5</vt:i4>
      </vt:variant>
      <vt:variant>
        <vt:lpwstr>https://www.saudiexchange.sa/wps/portal/saudiexchange/newsandreports/issuer-news/issuer-announcements/issuer-announcements-details/?anCat=1&amp;anId=90884&amp;cs=1211&amp;locale=en</vt:lpwstr>
      </vt:variant>
      <vt:variant>
        <vt:lpwstr/>
      </vt:variant>
      <vt:variant>
        <vt:i4>131097</vt:i4>
      </vt:variant>
      <vt:variant>
        <vt:i4>195</vt:i4>
      </vt:variant>
      <vt:variant>
        <vt:i4>0</vt:i4>
      </vt:variant>
      <vt:variant>
        <vt:i4>5</vt:i4>
      </vt:variant>
      <vt:variant>
        <vt:lpwstr>https://www.aramco.com/en/news-media/news/2026/aramco-and-maaden-sign-shareholders-agreement</vt:lpwstr>
      </vt:variant>
      <vt:variant>
        <vt:lpwstr/>
      </vt:variant>
      <vt:variant>
        <vt:i4>1900559</vt:i4>
      </vt:variant>
      <vt:variant>
        <vt:i4>192</vt:i4>
      </vt:variant>
      <vt:variant>
        <vt:i4>0</vt:i4>
      </vt:variant>
      <vt:variant>
        <vt:i4>5</vt:i4>
      </vt:variant>
      <vt:variant>
        <vt:lpwstr>https://zatca.gov.sa/en/RulesRegulations/Taxes/Pages/customs-bussiness/import-pages/Import-Instructions.aspx</vt:lpwstr>
      </vt:variant>
      <vt:variant>
        <vt:lpwstr/>
      </vt:variant>
      <vt:variant>
        <vt:i4>393280</vt:i4>
      </vt:variant>
      <vt:variant>
        <vt:i4>189</vt:i4>
      </vt:variant>
      <vt:variant>
        <vt:i4>0</vt:i4>
      </vt:variant>
      <vt:variant>
        <vt:i4>5</vt:i4>
      </vt:variant>
      <vt:variant>
        <vt:lpwstr>https://saber.sa/?lang=en</vt:lpwstr>
      </vt:variant>
      <vt:variant>
        <vt:lpwstr/>
      </vt:variant>
      <vt:variant>
        <vt:i4>8192058</vt:i4>
      </vt:variant>
      <vt:variant>
        <vt:i4>186</vt:i4>
      </vt:variant>
      <vt:variant>
        <vt:i4>0</vt:i4>
      </vt:variant>
      <vt:variant>
        <vt:i4>5</vt:i4>
      </vt:variant>
      <vt:variant>
        <vt:lpwstr>https://www.maaden.com/supplier-portal</vt:lpwstr>
      </vt:variant>
      <vt:variant>
        <vt:lpwstr/>
      </vt:variant>
      <vt:variant>
        <vt:i4>2621472</vt:i4>
      </vt:variant>
      <vt:variant>
        <vt:i4>183</vt:i4>
      </vt:variant>
      <vt:variant>
        <vt:i4>0</vt:i4>
      </vt:variant>
      <vt:variant>
        <vt:i4>5</vt:i4>
      </vt:variant>
      <vt:variant>
        <vt:lpwstr>https://www.zawya.com/en/projects/mining/saudis-maaden-awards-104mln-epcm-contract-for-ar-rjum-goldmine-430677</vt:lpwstr>
      </vt:variant>
      <vt:variant>
        <vt:lpwstr/>
      </vt:variant>
      <vt:variant>
        <vt:i4>983063</vt:i4>
      </vt:variant>
      <vt:variant>
        <vt:i4>180</vt:i4>
      </vt:variant>
      <vt:variant>
        <vt:i4>0</vt:i4>
      </vt:variant>
      <vt:variant>
        <vt:i4>5</vt:i4>
      </vt:variant>
      <vt:variant>
        <vt:lpwstr>https://www.maaden.com/sustainability/sustainability-journey</vt:lpwstr>
      </vt:variant>
      <vt:variant>
        <vt:lpwstr/>
      </vt:variant>
      <vt:variant>
        <vt:i4>4063293</vt:i4>
      </vt:variant>
      <vt:variant>
        <vt:i4>177</vt:i4>
      </vt:variant>
      <vt:variant>
        <vt:i4>0</vt:i4>
      </vt:variant>
      <vt:variant>
        <vt:i4>5</vt:i4>
      </vt:variant>
      <vt:variant>
        <vt:lpwstr>https://www.barrick.com/English/news/news-details/2026/q4-2025-results/default.aspx</vt:lpwstr>
      </vt:variant>
      <vt:variant>
        <vt:lpwstr/>
      </vt:variant>
      <vt:variant>
        <vt:i4>1376348</vt:i4>
      </vt:variant>
      <vt:variant>
        <vt:i4>174</vt:i4>
      </vt:variant>
      <vt:variant>
        <vt:i4>0</vt:i4>
      </vt:variant>
      <vt:variant>
        <vt:i4>5</vt:i4>
      </vt:variant>
      <vt:variant>
        <vt:lpwstr>https://www.maaden.com/news-insights/latest-news/maaden-releases-second-quarter-2026-results</vt:lpwstr>
      </vt:variant>
      <vt:variant>
        <vt:lpwstr/>
      </vt:variant>
      <vt:variant>
        <vt:i4>8192044</vt:i4>
      </vt:variant>
      <vt:variant>
        <vt:i4>171</vt:i4>
      </vt:variant>
      <vt:variant>
        <vt:i4>0</vt:i4>
      </vt:variant>
      <vt:variant>
        <vt:i4>5</vt:i4>
      </vt:variant>
      <vt:variant>
        <vt:lpwstr>https://www.maaden.com/discover-us/about-maaden</vt:lpwstr>
      </vt:variant>
      <vt:variant>
        <vt:lpwstr/>
      </vt:variant>
      <vt:variant>
        <vt:i4>393304</vt:i4>
      </vt:variant>
      <vt:variant>
        <vt:i4>168</vt:i4>
      </vt:variant>
      <vt:variant>
        <vt:i4>0</vt:i4>
      </vt:variant>
      <vt:variant>
        <vt:i4>5</vt:i4>
      </vt:variant>
      <vt:variant>
        <vt:lpwstr>https://www.maaden.com/news-insights/latest-news/why-feeding-the-world-is-the-kingdoms-next-growth-story</vt:lpwstr>
      </vt:variant>
      <vt:variant>
        <vt:lpwstr/>
      </vt:variant>
      <vt:variant>
        <vt:i4>5505089</vt:i4>
      </vt:variant>
      <vt:variant>
        <vt:i4>165</vt:i4>
      </vt:variant>
      <vt:variant>
        <vt:i4>0</vt:i4>
      </vt:variant>
      <vt:variant>
        <vt:i4>5</vt:i4>
      </vt:variant>
      <vt:variant>
        <vt:lpwstr>https://www.maaden.com/news-insights/latest-news/maadens-ar-rjum-gold-mine-moves-forward-with-award-of-first-development-contract</vt:lpwstr>
      </vt:variant>
      <vt:variant>
        <vt:lpwstr/>
      </vt:variant>
      <vt:variant>
        <vt:i4>8060970</vt:i4>
      </vt:variant>
      <vt:variant>
        <vt:i4>162</vt:i4>
      </vt:variant>
      <vt:variant>
        <vt:i4>0</vt:i4>
      </vt:variant>
      <vt:variant>
        <vt:i4>5</vt:i4>
      </vt:variant>
      <vt:variant>
        <vt:lpwstr>https://www.spa.gov.sa/en/N2407267</vt:lpwstr>
      </vt:variant>
      <vt:variant>
        <vt:lpwstr/>
      </vt:variant>
      <vt:variant>
        <vt:i4>4653145</vt:i4>
      </vt:variant>
      <vt:variant>
        <vt:i4>159</vt:i4>
      </vt:variant>
      <vt:variant>
        <vt:i4>0</vt:i4>
      </vt:variant>
      <vt:variant>
        <vt:i4>5</vt:i4>
      </vt:variant>
      <vt:variant>
        <vt:lpwstr>https://tascoutsourcing.sa/en/insights/reports/saudi-vision-2030-workforce-readiness</vt:lpwstr>
      </vt:variant>
      <vt:variant>
        <vt:lpwstr/>
      </vt:variant>
      <vt:variant>
        <vt:i4>2555964</vt:i4>
      </vt:variant>
      <vt:variant>
        <vt:i4>156</vt:i4>
      </vt:variant>
      <vt:variant>
        <vt:i4>0</vt:i4>
      </vt:variant>
      <vt:variant>
        <vt:i4>5</vt:i4>
      </vt:variant>
      <vt:variant>
        <vt:lpwstr>https://www.maaden.com/tharwah</vt:lpwstr>
      </vt:variant>
      <vt:variant>
        <vt:lpwstr/>
      </vt:variant>
      <vt:variant>
        <vt:i4>6619198</vt:i4>
      </vt:variant>
      <vt:variant>
        <vt:i4>153</vt:i4>
      </vt:variant>
      <vt:variant>
        <vt:i4>0</vt:i4>
      </vt:variant>
      <vt:variant>
        <vt:i4>5</vt:i4>
      </vt:variant>
      <vt:variant>
        <vt:lpwstr>https://altios.com/publication/saudisation-in-ksa/</vt:lpwstr>
      </vt:variant>
      <vt:variant>
        <vt:lpwstr/>
      </vt:variant>
      <vt:variant>
        <vt:i4>7929978</vt:i4>
      </vt:variant>
      <vt:variant>
        <vt:i4>150</vt:i4>
      </vt:variant>
      <vt:variant>
        <vt:i4>0</vt:i4>
      </vt:variant>
      <vt:variant>
        <vt:i4>5</vt:i4>
      </vt:variant>
      <vt:variant>
        <vt:lpwstr>https://www.hrsd.gov.sa/en/media-center/news/%D8%B1%D9%81%D8%B9-%D9%86%D8%B3%D8%A8%D8%A9-%D8%A7%D9%84%D8%AA%D9%88%D8%B7%D9%8A%D9%86-%D9%81%D9%8A-%D8%A7%D9%84%D9%85%D9%87%D9%86-%D8%A7%D9%84%D9%87%D9%86%D8%AF%D8%B3%D9%8A%D8%A9-%D9%88%D9%85%D9%87%D9%86-%D8%A7%D9%84%D9%85%D8%B4%D8%AA%D8%B1%D9%8A%D8%A7%D8%AA</vt:lpwstr>
      </vt:variant>
      <vt:variant>
        <vt:lpwstr/>
      </vt:variant>
      <vt:variant>
        <vt:i4>7209068</vt:i4>
      </vt:variant>
      <vt:variant>
        <vt:i4>147</vt:i4>
      </vt:variant>
      <vt:variant>
        <vt:i4>0</vt:i4>
      </vt:variant>
      <vt:variant>
        <vt:i4>5</vt:i4>
      </vt:variant>
      <vt:variant>
        <vt:lpwstr>https://www.maaden.com/news-insights/latest-news/maaden-and-hexagon-partner-to-launch-regions-first-digital-m-20240115-593</vt:lpwstr>
      </vt:variant>
      <vt:variant>
        <vt:lpwstr/>
      </vt:variant>
      <vt:variant>
        <vt:i4>5373969</vt:i4>
      </vt:variant>
      <vt:variant>
        <vt:i4>144</vt:i4>
      </vt:variant>
      <vt:variant>
        <vt:i4>0</vt:i4>
      </vt:variant>
      <vt:variant>
        <vt:i4>5</vt:i4>
      </vt:variant>
      <vt:variant>
        <vt:lpwstr>https://www.imarcgroup.com/saudi-arabia-mineral-exploration-equipment-market</vt:lpwstr>
      </vt:variant>
      <vt:variant>
        <vt:lpwstr/>
      </vt:variant>
      <vt:variant>
        <vt:i4>2424930</vt:i4>
      </vt:variant>
      <vt:variant>
        <vt:i4>141</vt:i4>
      </vt:variant>
      <vt:variant>
        <vt:i4>0</vt:i4>
      </vt:variant>
      <vt:variant>
        <vt:i4>5</vt:i4>
      </vt:variant>
      <vt:variant>
        <vt:lpwstr>https://www.maaden.com/news-insights/latest-news/maaden-furthers-commitment-with-mp-materials-to-establish-rare-earth-refinery-joint-venture-in-the-kingdom</vt:lpwstr>
      </vt:variant>
      <vt:variant>
        <vt:lpwstr/>
      </vt:variant>
      <vt:variant>
        <vt:i4>4194378</vt:i4>
      </vt:variant>
      <vt:variant>
        <vt:i4>138</vt:i4>
      </vt:variant>
      <vt:variant>
        <vt:i4>0</vt:i4>
      </vt:variant>
      <vt:variant>
        <vt:i4>5</vt:i4>
      </vt:variant>
      <vt:variant>
        <vt:lpwstr>https://fls.com/en/announcements/2023/flsmidth-to-deliver-key-beneficiation-equipment-to-a-saudi-arabian-phosphate-mine-</vt:lpwstr>
      </vt:variant>
      <vt:variant>
        <vt:lpwstr/>
      </vt:variant>
      <vt:variant>
        <vt:i4>65</vt:i4>
      </vt:variant>
      <vt:variant>
        <vt:i4>135</vt:i4>
      </vt:variant>
      <vt:variant>
        <vt:i4>0</vt:i4>
      </vt:variant>
      <vt:variant>
        <vt:i4>5</vt:i4>
      </vt:variant>
      <vt:variant>
        <vt:lpwstr>https://gulfnews.com/business/markets/saudi-mining-company-maaden-finds-new-gold-deposits-1.100141669</vt:lpwstr>
      </vt:variant>
      <vt:variant>
        <vt:lpwstr/>
      </vt:variant>
      <vt:variant>
        <vt:i4>6881313</vt:i4>
      </vt:variant>
      <vt:variant>
        <vt:i4>132</vt:i4>
      </vt:variant>
      <vt:variant>
        <vt:i4>0</vt:i4>
      </vt:variant>
      <vt:variant>
        <vt:i4>5</vt:i4>
      </vt:variant>
      <vt:variant>
        <vt:lpwstr>https://www.byrnecut.com/news/jabal-sayid-project-in-saudi-arabia/</vt:lpwstr>
      </vt:variant>
      <vt:variant>
        <vt:lpwstr/>
      </vt:variant>
      <vt:variant>
        <vt:i4>5963778</vt:i4>
      </vt:variant>
      <vt:variant>
        <vt:i4>129</vt:i4>
      </vt:variant>
      <vt:variant>
        <vt:i4>0</vt:i4>
      </vt:variant>
      <vt:variant>
        <vt:i4>5</vt:i4>
      </vt:variant>
      <vt:variant>
        <vt:lpwstr>https://taadeen.sa/en</vt:lpwstr>
      </vt:variant>
      <vt:variant>
        <vt:lpwstr/>
      </vt:variant>
      <vt:variant>
        <vt:i4>3014752</vt:i4>
      </vt:variant>
      <vt:variant>
        <vt:i4>126</vt:i4>
      </vt:variant>
      <vt:variant>
        <vt:i4>0</vt:i4>
      </vt:variant>
      <vt:variant>
        <vt:i4>5</vt:i4>
      </vt:variant>
      <vt:variant>
        <vt:lpwstr>https://www.maaden.com/discover-us/core-business-units/overview</vt:lpwstr>
      </vt:variant>
      <vt:variant>
        <vt:lpwstr/>
      </vt:variant>
      <vt:variant>
        <vt:i4>4915286</vt:i4>
      </vt:variant>
      <vt:variant>
        <vt:i4>123</vt:i4>
      </vt:variant>
      <vt:variant>
        <vt:i4>0</vt:i4>
      </vt:variant>
      <vt:variant>
        <vt:i4>5</vt:i4>
      </vt:variant>
      <vt:variant>
        <vt:lpwstr>https://www.bloomberg.com/news/articles/2025-11-19/vedanta-plans-saudi-spending-boost-in-push-for-copper-gold</vt:lpwstr>
      </vt:variant>
      <vt:variant>
        <vt:lpwstr/>
      </vt:variant>
      <vt:variant>
        <vt:i4>7143458</vt:i4>
      </vt:variant>
      <vt:variant>
        <vt:i4>120</vt:i4>
      </vt:variant>
      <vt:variant>
        <vt:i4>0</vt:i4>
      </vt:variant>
      <vt:variant>
        <vt:i4>5</vt:i4>
      </vt:variant>
      <vt:variant>
        <vt:lpwstr>https://www.miningweekly.com/article/saudi-arabia-awards-exploration-leases-to-some-major-miners-2025-03-20</vt:lpwstr>
      </vt:variant>
      <vt:variant>
        <vt:lpwstr/>
      </vt:variant>
      <vt:variant>
        <vt:i4>4653067</vt:i4>
      </vt:variant>
      <vt:variant>
        <vt:i4>117</vt:i4>
      </vt:variant>
      <vt:variant>
        <vt:i4>0</vt:i4>
      </vt:variant>
      <vt:variant>
        <vt:i4>5</vt:i4>
      </vt:variant>
      <vt:variant>
        <vt:lpwstr>https://ivanhoeelectric.com/news/maaden-and-ivanhoe-electric-to-establish-a-50-50-joint-venture-to-explore-for-copper-gold-silver-and-electric-metals-in-the/</vt:lpwstr>
      </vt:variant>
      <vt:variant>
        <vt:lpwstr/>
      </vt:variant>
      <vt:variant>
        <vt:i4>131097</vt:i4>
      </vt:variant>
      <vt:variant>
        <vt:i4>114</vt:i4>
      </vt:variant>
      <vt:variant>
        <vt:i4>0</vt:i4>
      </vt:variant>
      <vt:variant>
        <vt:i4>5</vt:i4>
      </vt:variant>
      <vt:variant>
        <vt:lpwstr>https://www.aramco.com/en/news-media/news/2026/aramco-and-maaden-sign-shareholders-agreement</vt:lpwstr>
      </vt:variant>
      <vt:variant>
        <vt:lpwstr/>
      </vt:variant>
      <vt:variant>
        <vt:i4>6815854</vt:i4>
      </vt:variant>
      <vt:variant>
        <vt:i4>111</vt:i4>
      </vt:variant>
      <vt:variant>
        <vt:i4>0</vt:i4>
      </vt:variant>
      <vt:variant>
        <vt:i4>5</vt:i4>
      </vt:variant>
      <vt:variant>
        <vt:lpwstr>https://minesandmoney.com/news/industry/new-discoveries-reinforce-scale-of-saudi-mining-vision</vt:lpwstr>
      </vt:variant>
      <vt:variant>
        <vt:lpwstr/>
      </vt:variant>
      <vt:variant>
        <vt:i4>4980745</vt:i4>
      </vt:variant>
      <vt:variant>
        <vt:i4>108</vt:i4>
      </vt:variant>
      <vt:variant>
        <vt:i4>0</vt:i4>
      </vt:variant>
      <vt:variant>
        <vt:i4>5</vt:i4>
      </vt:variant>
      <vt:variant>
        <vt:lpwstr>https://www.semafor.com/article/01/15/2026/saudi-mining-giant-maaden-outlines-110-billion-investment-plan</vt:lpwstr>
      </vt:variant>
      <vt:variant>
        <vt:lpwstr/>
      </vt:variant>
      <vt:variant>
        <vt:i4>7143532</vt:i4>
      </vt:variant>
      <vt:variant>
        <vt:i4>105</vt:i4>
      </vt:variant>
      <vt:variant>
        <vt:i4>0</vt:i4>
      </vt:variant>
      <vt:variant>
        <vt:i4>5</vt:i4>
      </vt:variant>
      <vt:variant>
        <vt:lpwstr>https://www.vision2030.gov.sa/en/explore/strategies/strategy-for-the-mining-sector</vt:lpwstr>
      </vt:variant>
      <vt:variant>
        <vt:lpwstr/>
      </vt:variant>
      <vt:variant>
        <vt:i4>2424934</vt:i4>
      </vt:variant>
      <vt:variant>
        <vt:i4>102</vt:i4>
      </vt:variant>
      <vt:variant>
        <vt:i4>0</vt:i4>
      </vt:variant>
      <vt:variant>
        <vt:i4>5</vt:i4>
      </vt:variant>
      <vt:variant>
        <vt:lpwstr>https://data.worldbank.org/country/united-arab-emirates</vt:lpwstr>
      </vt:variant>
      <vt:variant>
        <vt:lpwstr/>
      </vt:variant>
      <vt:variant>
        <vt:i4>4784134</vt:i4>
      </vt:variant>
      <vt:variant>
        <vt:i4>99</vt:i4>
      </vt:variant>
      <vt:variant>
        <vt:i4>0</vt:i4>
      </vt:variant>
      <vt:variant>
        <vt:i4>5</vt:i4>
      </vt:variant>
      <vt:variant>
        <vt:lpwstr>https://data.worldbank.org/country/egypt-arab-rep</vt:lpwstr>
      </vt:variant>
      <vt:variant>
        <vt:lpwstr/>
      </vt:variant>
      <vt:variant>
        <vt:i4>7995453</vt:i4>
      </vt:variant>
      <vt:variant>
        <vt:i4>96</vt:i4>
      </vt:variant>
      <vt:variant>
        <vt:i4>0</vt:i4>
      </vt:variant>
      <vt:variant>
        <vt:i4>5</vt:i4>
      </vt:variant>
      <vt:variant>
        <vt:lpwstr>https://data.worldbank.org/country/morocco</vt:lpwstr>
      </vt:variant>
      <vt:variant>
        <vt:lpwstr/>
      </vt:variant>
      <vt:variant>
        <vt:i4>6488121</vt:i4>
      </vt:variant>
      <vt:variant>
        <vt:i4>93</vt:i4>
      </vt:variant>
      <vt:variant>
        <vt:i4>0</vt:i4>
      </vt:variant>
      <vt:variant>
        <vt:i4>5</vt:i4>
      </vt:variant>
      <vt:variant>
        <vt:lpwstr>https://data.worldbank.org/country/turkiye</vt:lpwstr>
      </vt:variant>
      <vt:variant>
        <vt:lpwstr/>
      </vt:variant>
      <vt:variant>
        <vt:i4>7274598</vt:i4>
      </vt:variant>
      <vt:variant>
        <vt:i4>90</vt:i4>
      </vt:variant>
      <vt:variant>
        <vt:i4>0</vt:i4>
      </vt:variant>
      <vt:variant>
        <vt:i4>5</vt:i4>
      </vt:variant>
      <vt:variant>
        <vt:lpwstr>https://data.worldbank.org/country/saudi-arabia</vt:lpwstr>
      </vt:variant>
      <vt:variant>
        <vt:lpwstr/>
      </vt:variant>
      <vt:variant>
        <vt:i4>8060991</vt:i4>
      </vt:variant>
      <vt:variant>
        <vt:i4>87</vt:i4>
      </vt:variant>
      <vt:variant>
        <vt:i4>0</vt:i4>
      </vt:variant>
      <vt:variant>
        <vt:i4>5</vt:i4>
      </vt:variant>
      <vt:variant>
        <vt:lpwstr>https://etimaden.gov.tr/en/boron-in-turkey</vt:lpwstr>
      </vt:variant>
      <vt:variant>
        <vt:lpwstr/>
      </vt:variant>
      <vt:variant>
        <vt:i4>5373955</vt:i4>
      </vt:variant>
      <vt:variant>
        <vt:i4>84</vt:i4>
      </vt:variant>
      <vt:variant>
        <vt:i4>0</vt:i4>
      </vt:variant>
      <vt:variant>
        <vt:i4>5</vt:i4>
      </vt:variant>
      <vt:variant>
        <vt:lpwstr>https://www.petroleum.gov.eg/en/media-center/EventsPages/Pages/mop_18072023_02.aspx</vt:lpwstr>
      </vt:variant>
      <vt:variant>
        <vt:lpwstr/>
      </vt:variant>
      <vt:variant>
        <vt:i4>852044</vt:i4>
      </vt:variant>
      <vt:variant>
        <vt:i4>81</vt:i4>
      </vt:variant>
      <vt:variant>
        <vt:i4>0</vt:i4>
      </vt:variant>
      <vt:variant>
        <vt:i4>5</vt:i4>
      </vt:variant>
      <vt:variant>
        <vt:lpwstr>https://www.ocpgroup.ma/en/our-sustainability-commitments/investment-plan</vt:lpwstr>
      </vt:variant>
      <vt:variant>
        <vt:lpwstr/>
      </vt:variant>
      <vt:variant>
        <vt:i4>458844</vt:i4>
      </vt:variant>
      <vt:variant>
        <vt:i4>78</vt:i4>
      </vt:variant>
      <vt:variant>
        <vt:i4>0</vt:i4>
      </vt:variant>
      <vt:variant>
        <vt:i4>5</vt:i4>
      </vt:variant>
      <vt:variant>
        <vt:lpwstr>https://www.dfat.gov.au/trade/agreements/in-force/australia-uae-comprehensive-economic-partnership-agreement-cepa</vt:lpwstr>
      </vt:variant>
      <vt:variant>
        <vt:lpwstr/>
      </vt:variant>
      <vt:variant>
        <vt:i4>8060961</vt:i4>
      </vt:variant>
      <vt:variant>
        <vt:i4>75</vt:i4>
      </vt:variant>
      <vt:variant>
        <vt:i4>0</vt:i4>
      </vt:variant>
      <vt:variant>
        <vt:i4>5</vt:i4>
      </vt:variant>
      <vt:variant>
        <vt:lpwstr>https://www.mim.gov.sa/en/media-center/news/saudi-ministry-qualifies-bidders-exploration-licenses-block-selection?csrt=3816294092575307154</vt:lpwstr>
      </vt:variant>
      <vt:variant>
        <vt:lpwstr/>
      </vt:variant>
      <vt:variant>
        <vt:i4>1638431</vt:i4>
      </vt:variant>
      <vt:variant>
        <vt:i4>72</vt:i4>
      </vt:variant>
      <vt:variant>
        <vt:i4>0</vt:i4>
      </vt:variant>
      <vt:variant>
        <vt:i4>5</vt:i4>
      </vt:variant>
      <vt:variant>
        <vt:lpwstr>https://www.eldoradogold.com/assets/operations/efemcukuru</vt:lpwstr>
      </vt:variant>
      <vt:variant>
        <vt:lpwstr/>
      </vt:variant>
      <vt:variant>
        <vt:i4>8061045</vt:i4>
      </vt:variant>
      <vt:variant>
        <vt:i4>69</vt:i4>
      </vt:variant>
      <vt:variant>
        <vt:i4>0</vt:i4>
      </vt:variant>
      <vt:variant>
        <vt:i4>5</vt:i4>
      </vt:variant>
      <vt:variant>
        <vt:lpwstr>https://www.eldoradogold.com/assets/operations/kisladag</vt:lpwstr>
      </vt:variant>
      <vt:variant>
        <vt:lpwstr/>
      </vt:variant>
      <vt:variant>
        <vt:i4>8060991</vt:i4>
      </vt:variant>
      <vt:variant>
        <vt:i4>66</vt:i4>
      </vt:variant>
      <vt:variant>
        <vt:i4>0</vt:i4>
      </vt:variant>
      <vt:variant>
        <vt:i4>5</vt:i4>
      </vt:variant>
      <vt:variant>
        <vt:lpwstr>https://etimaden.gov.tr/en/boron-in-turkey</vt:lpwstr>
      </vt:variant>
      <vt:variant>
        <vt:lpwstr/>
      </vt:variant>
      <vt:variant>
        <vt:i4>7077926</vt:i4>
      </vt:variant>
      <vt:variant>
        <vt:i4>63</vt:i4>
      </vt:variant>
      <vt:variant>
        <vt:i4>0</vt:i4>
      </vt:variant>
      <vt:variant>
        <vt:i4>5</vt:i4>
      </vt:variant>
      <vt:variant>
        <vt:lpwstr>https://www.anglogoldashanti.com/portfolio/africa/sukari-egypt/</vt:lpwstr>
      </vt:variant>
      <vt:variant>
        <vt:lpwstr/>
      </vt:variant>
      <vt:variant>
        <vt:i4>327744</vt:i4>
      </vt:variant>
      <vt:variant>
        <vt:i4>60</vt:i4>
      </vt:variant>
      <vt:variant>
        <vt:i4>0</vt:i4>
      </vt:variant>
      <vt:variant>
        <vt:i4>5</vt:i4>
      </vt:variant>
      <vt:variant>
        <vt:lpwstr>https://www.petroleum.gov.eg/en/media-center/news/news-pages/Pages/mop_11012026_01.aspx</vt:lpwstr>
      </vt:variant>
      <vt:variant>
        <vt:lpwstr/>
      </vt:variant>
      <vt:variant>
        <vt:i4>5636111</vt:i4>
      </vt:variant>
      <vt:variant>
        <vt:i4>57</vt:i4>
      </vt:variant>
      <vt:variant>
        <vt:i4>0</vt:i4>
      </vt:variant>
      <vt:variant>
        <vt:i4>5</vt:i4>
      </vt:variant>
      <vt:variant>
        <vt:lpwstr>https://www.ocpgroup.ma/sites/default/files/2025-09/OCP_Sustainbility_Report_2024_0.pdf</vt:lpwstr>
      </vt:variant>
      <vt:variant>
        <vt:lpwstr/>
      </vt:variant>
      <vt:variant>
        <vt:i4>852044</vt:i4>
      </vt:variant>
      <vt:variant>
        <vt:i4>54</vt:i4>
      </vt:variant>
      <vt:variant>
        <vt:i4>0</vt:i4>
      </vt:variant>
      <vt:variant>
        <vt:i4>5</vt:i4>
      </vt:variant>
      <vt:variant>
        <vt:lpwstr>https://www.ocpgroup.ma/en/our-sustainability-commitments/investment-plan</vt:lpwstr>
      </vt:variant>
      <vt:variant>
        <vt:lpwstr/>
      </vt:variant>
      <vt:variant>
        <vt:i4>1179677</vt:i4>
      </vt:variant>
      <vt:variant>
        <vt:i4>51</vt:i4>
      </vt:variant>
      <vt:variant>
        <vt:i4>0</vt:i4>
      </vt:variant>
      <vt:variant>
        <vt:i4>5</vt:i4>
      </vt:variant>
      <vt:variant>
        <vt:lpwstr>https://ar2025.emsteel.com/en</vt:lpwstr>
      </vt:variant>
      <vt:variant>
        <vt:lpwstr/>
      </vt:variant>
      <vt:variant>
        <vt:i4>6684797</vt:i4>
      </vt:variant>
      <vt:variant>
        <vt:i4>48</vt:i4>
      </vt:variant>
      <vt:variant>
        <vt:i4>0</vt:i4>
      </vt:variant>
      <vt:variant>
        <vt:i4>5</vt:i4>
      </vt:variant>
      <vt:variant>
        <vt:lpwstr>https://media.ega.ae/ega-delivers-strong-underlying-financial-performance-and-record-sales-in-2025/</vt:lpwstr>
      </vt:variant>
      <vt:variant>
        <vt:lpwstr/>
      </vt:variant>
      <vt:variant>
        <vt:i4>458844</vt:i4>
      </vt:variant>
      <vt:variant>
        <vt:i4>45</vt:i4>
      </vt:variant>
      <vt:variant>
        <vt:i4>0</vt:i4>
      </vt:variant>
      <vt:variant>
        <vt:i4>5</vt:i4>
      </vt:variant>
      <vt:variant>
        <vt:lpwstr>https://www.dfat.gov.au/trade/agreements/in-force/australia-uae-comprehensive-economic-partnership-agreement-cepa</vt:lpwstr>
      </vt:variant>
      <vt:variant>
        <vt:lpwstr/>
      </vt:variant>
      <vt:variant>
        <vt:i4>8257646</vt:i4>
      </vt:variant>
      <vt:variant>
        <vt:i4>42</vt:i4>
      </vt:variant>
      <vt:variant>
        <vt:i4>0</vt:i4>
      </vt:variant>
      <vt:variant>
        <vt:i4>5</vt:i4>
      </vt:variant>
      <vt:variant>
        <vt:lpwstr>https://www.maaden.com/news-insights/latest-news/maaden-adds-more-than-7-million-ounces-of-new-gold-resources-accelerating-growth-pipeline</vt:lpwstr>
      </vt:variant>
      <vt:variant>
        <vt:lpwstr/>
      </vt:variant>
      <vt:variant>
        <vt:i4>8060961</vt:i4>
      </vt:variant>
      <vt:variant>
        <vt:i4>39</vt:i4>
      </vt:variant>
      <vt:variant>
        <vt:i4>0</vt:i4>
      </vt:variant>
      <vt:variant>
        <vt:i4>5</vt:i4>
      </vt:variant>
      <vt:variant>
        <vt:lpwstr>https://www.mim.gov.sa/en/media-center/news/saudi-ministry-qualifies-bidders-exploration-licenses-block-selection?csrt=3816294092575307154</vt:lpwstr>
      </vt:variant>
      <vt:variant>
        <vt:lpwstr/>
      </vt:variant>
      <vt:variant>
        <vt:i4>524300</vt:i4>
      </vt:variant>
      <vt:variant>
        <vt:i4>36</vt:i4>
      </vt:variant>
      <vt:variant>
        <vt:i4>0</vt:i4>
      </vt:variant>
      <vt:variant>
        <vt:i4>5</vt:i4>
      </vt:variant>
      <vt:variant>
        <vt:lpwstr>https://www.austrade.gov.au/en/events</vt:lpwstr>
      </vt:variant>
      <vt:variant>
        <vt:lpwstr/>
      </vt:variant>
      <vt:variant>
        <vt:i4>4259857</vt:i4>
      </vt:variant>
      <vt:variant>
        <vt:i4>33</vt:i4>
      </vt:variant>
      <vt:variant>
        <vt:i4>0</vt:i4>
      </vt:variant>
      <vt:variant>
        <vt:i4>5</vt:i4>
      </vt:variant>
      <vt:variant>
        <vt:lpwstr>https://www.austrade.gov.au/en/how-we-can-help-you/programs-and-services/tradestart-advisers</vt:lpwstr>
      </vt:variant>
      <vt:variant>
        <vt:lpwstr/>
      </vt:variant>
      <vt:variant>
        <vt:i4>3997746</vt:i4>
      </vt:variant>
      <vt:variant>
        <vt:i4>30</vt:i4>
      </vt:variant>
      <vt:variant>
        <vt:i4>0</vt:i4>
      </vt:variant>
      <vt:variant>
        <vt:i4>5</vt:i4>
      </vt:variant>
      <vt:variant>
        <vt:lpwstr>https://www.austrade.gov.au/en/how-we-can-help-you/australian-exporters</vt:lpwstr>
      </vt:variant>
      <vt:variant>
        <vt:lpwstr/>
      </vt:variant>
      <vt:variant>
        <vt:i4>6684733</vt:i4>
      </vt:variant>
      <vt:variant>
        <vt:i4>27</vt:i4>
      </vt:variant>
      <vt:variant>
        <vt:i4>0</vt:i4>
      </vt:variant>
      <vt:variant>
        <vt:i4>5</vt:i4>
      </vt:variant>
      <vt:variant>
        <vt:lpwstr>https://www.austrade.gov.au/en/contact-us/international-offices</vt:lpwstr>
      </vt:variant>
      <vt:variant>
        <vt:lpwstr/>
      </vt:variant>
      <vt:variant>
        <vt:i4>131074</vt:i4>
      </vt:variant>
      <vt:variant>
        <vt:i4>24</vt:i4>
      </vt:variant>
      <vt:variant>
        <vt:i4>0</vt:i4>
      </vt:variant>
      <vt:variant>
        <vt:i4>5</vt:i4>
      </vt:variant>
      <vt:variant>
        <vt:lpwstr>https://www.austrade.gov.au/en/contact-us/international-offices/united-arab-emirates</vt:lpwstr>
      </vt:variant>
      <vt:variant>
        <vt:lpwstr/>
      </vt:variant>
      <vt:variant>
        <vt:i4>1048648</vt:i4>
      </vt:variant>
      <vt:variant>
        <vt:i4>21</vt:i4>
      </vt:variant>
      <vt:variant>
        <vt:i4>0</vt:i4>
      </vt:variant>
      <vt:variant>
        <vt:i4>5</vt:i4>
      </vt:variant>
      <vt:variant>
        <vt:lpwstr>https://www.austrade.gov.au/en/contact-us/international-offices/saudi-arabia</vt:lpwstr>
      </vt:variant>
      <vt:variant>
        <vt:lpwstr/>
      </vt:variant>
      <vt:variant>
        <vt:i4>7536652</vt:i4>
      </vt:variant>
      <vt:variant>
        <vt:i4>18</vt:i4>
      </vt:variant>
      <vt:variant>
        <vt:i4>0</vt:i4>
      </vt:variant>
      <vt:variant>
        <vt:i4>5</vt:i4>
      </vt:variant>
      <vt:variant>
        <vt:lpwstr>mailto:metsmanager@austrade.gov.au</vt:lpwstr>
      </vt:variant>
      <vt:variant>
        <vt:lpwstr/>
      </vt:variant>
      <vt:variant>
        <vt:i4>4980759</vt:i4>
      </vt:variant>
      <vt:variant>
        <vt:i4>15</vt:i4>
      </vt:variant>
      <vt:variant>
        <vt:i4>0</vt:i4>
      </vt:variant>
      <vt:variant>
        <vt:i4>5</vt:i4>
      </vt:variant>
      <vt:variant>
        <vt:lpwstr>https://austmine.com.au/Public/Public/Events/Events-List.aspx</vt:lpwstr>
      </vt:variant>
      <vt:variant>
        <vt:lpwstr/>
      </vt:variant>
      <vt:variant>
        <vt:i4>7864436</vt:i4>
      </vt:variant>
      <vt:variant>
        <vt:i4>12</vt:i4>
      </vt:variant>
      <vt:variant>
        <vt:i4>0</vt:i4>
      </vt:variant>
      <vt:variant>
        <vt:i4>5</vt:i4>
      </vt:variant>
      <vt:variant>
        <vt:lpwstr>https://austmine.com.au/Public/Public/International/International.aspx</vt:lpwstr>
      </vt:variant>
      <vt:variant>
        <vt:lpwstr/>
      </vt:variant>
      <vt:variant>
        <vt:i4>655424</vt:i4>
      </vt:variant>
      <vt:variant>
        <vt:i4>9</vt:i4>
      </vt:variant>
      <vt:variant>
        <vt:i4>0</vt:i4>
      </vt:variant>
      <vt:variant>
        <vt:i4>5</vt:i4>
      </vt:variant>
      <vt:variant>
        <vt:lpwstr>https://pmc.gov.au/government/commonwealth-coat-arms</vt:lpwstr>
      </vt:variant>
      <vt:variant>
        <vt:lpwstr/>
      </vt:variant>
      <vt:variant>
        <vt:i4>4259898</vt:i4>
      </vt:variant>
      <vt:variant>
        <vt:i4>6</vt:i4>
      </vt:variant>
      <vt:variant>
        <vt:i4>0</vt:i4>
      </vt:variant>
      <vt:variant>
        <vt:i4>5</vt:i4>
      </vt:variant>
      <vt:variant>
        <vt:lpwstr>mailto:advisory@austrade.gov.au</vt:lpwstr>
      </vt:variant>
      <vt:variant>
        <vt:lpwstr/>
      </vt:variant>
      <vt:variant>
        <vt:i4>5373952</vt:i4>
      </vt:variant>
      <vt:variant>
        <vt:i4>3</vt:i4>
      </vt:variant>
      <vt:variant>
        <vt:i4>0</vt:i4>
      </vt:variant>
      <vt:variant>
        <vt:i4>5</vt:i4>
      </vt:variant>
      <vt:variant>
        <vt:lpwstr>https://creativecommons.org/licenses/by/4.0/legalcode</vt:lpwstr>
      </vt:variant>
      <vt:variant>
        <vt:lpwstr/>
      </vt:variant>
      <vt:variant>
        <vt:i4>3997742</vt:i4>
      </vt:variant>
      <vt:variant>
        <vt:i4>0</vt:i4>
      </vt:variant>
      <vt:variant>
        <vt:i4>0</vt:i4>
      </vt:variant>
      <vt:variant>
        <vt:i4>5</vt:i4>
      </vt:variant>
      <vt:variant>
        <vt:lpwstr>https://www.austrade.gov.au/en/how-we-can-help-you/programs-and-services/accessing-new-markets-initiative/trade-diversification-network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METS Opportunities in the Middle East, North Africa and Türkiye</dc:title>
  <dc:subject>Working report with interview-informed main-text revisions, direct transcript quotations and approval controls</dc:subject>
  <dc:creator>claire.chakrabarti@austmine.com.au</dc:creator>
  <cp:keywords/>
  <dc:description/>
  <cp:lastModifiedBy>Ash-Holland [Hobart]</cp:lastModifiedBy>
  <cp:revision>95</cp:revision>
  <dcterms:created xsi:type="dcterms:W3CDTF">2026-10-27T00:37:00Z</dcterms:created>
  <dcterms:modified xsi:type="dcterms:W3CDTF">2026-10-27T23:45:00Z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0x010100B3B73431D1DBD049A9965D904C35EC20</vt:lpwstr>
  </property>
  <property fmtid="{D5CDD505-2E9C-101B-9397-08002B2CF9AE}" pid="3" name="MediaServiceImageTags">
    <vt:lpwstr/>
  </property>
  <property fmtid="{D5CDD505-2E9C-101B-9397-08002B2CF9AE}" pid="4" name="ClassificationContentMarkingHeaderShapeIds">
    <vt:lpwstr>3cc2f373,76c1a4ff,3a24f6b4</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50168570,37589ecb,1dde5913,7c252650</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2160a83-df68-4146-9dd5-ccaae79426db_Enabled">
    <vt:lpwstr>true</vt:lpwstr>
  </property>
  <property fmtid="{D5CDD505-2E9C-101B-9397-08002B2CF9AE}" pid="11" name="MSIP_Label_72160a83-df68-4146-9dd5-ccaae79426db_SetDate">
    <vt:lpwstr>2026-10-27T23:30:20Z</vt:lpwstr>
  </property>
  <property fmtid="{D5CDD505-2E9C-101B-9397-08002B2CF9AE}" pid="12" name="MSIP_Label_72160a83-df68-4146-9dd5-ccaae79426db_Method">
    <vt:lpwstr>Privileged</vt:lpwstr>
  </property>
  <property fmtid="{D5CDD505-2E9C-101B-9397-08002B2CF9AE}" pid="13" name="MSIP_Label_72160a83-df68-4146-9dd5-ccaae79426db_Name">
    <vt:lpwstr>OFFICIAL</vt:lpwstr>
  </property>
  <property fmtid="{D5CDD505-2E9C-101B-9397-08002B2CF9AE}" pid="14" name="MSIP_Label_72160a83-df68-4146-9dd5-ccaae79426db_SiteId">
    <vt:lpwstr>c6ba7d27-a97a-40a4-82e4-4d23131de9f4</vt:lpwstr>
  </property>
  <property fmtid="{D5CDD505-2E9C-101B-9397-08002B2CF9AE}" pid="15" name="MSIP_Label_72160a83-df68-4146-9dd5-ccaae79426db_ActionId">
    <vt:lpwstr>75dcc6a3-506f-4119-a038-ec8022fc7d4c</vt:lpwstr>
  </property>
  <property fmtid="{D5CDD505-2E9C-101B-9397-08002B2CF9AE}" pid="16" name="MSIP_Label_72160a83-df68-4146-9dd5-ccaae79426db_ContentBits">
    <vt:lpwstr>3</vt:lpwstr>
  </property>
  <property fmtid="{D5CDD505-2E9C-101B-9397-08002B2CF9AE}" pid="17" name="MSIP_Label_72160a83-df68-4146-9dd5-ccaae79426db_Tag">
    <vt:lpwstr>10, 0, 1, 1</vt:lpwstr>
  </property>
</Properties>
</file>