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8920" w14:textId="77777777" w:rsidR="00544F35" w:rsidRDefault="00544F35" w:rsidP="004751B4">
      <w:pPr>
        <w:pStyle w:val="Spacer-cover"/>
      </w:pPr>
      <w:r>
        <w:rPr>
          <w:noProof/>
          <w:lang w:eastAsia="en-AU"/>
        </w:rPr>
        <w:drawing>
          <wp:anchor distT="0" distB="0" distL="114300" distR="114300" simplePos="0" relativeHeight="251659264" behindDoc="1" locked="1" layoutInCell="1" allowOverlap="1" wp14:anchorId="6D3040D6" wp14:editId="76921335">
            <wp:simplePos x="0" y="0"/>
            <wp:positionH relativeFrom="page">
              <wp:posOffset>720090</wp:posOffset>
            </wp:positionH>
            <wp:positionV relativeFrom="page">
              <wp:posOffset>504190</wp:posOffset>
            </wp:positionV>
            <wp:extent cx="3178800" cy="504000"/>
            <wp:effectExtent l="0" t="0" r="3175" b="0"/>
            <wp:wrapNone/>
            <wp:docPr id="9" name="Graphic 9" descr="Austrad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ustrade logo&#10;"/>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1" layoutInCell="1" allowOverlap="1" wp14:anchorId="45E21B1B" wp14:editId="1FF2D8C5">
            <wp:simplePos x="0" y="0"/>
            <wp:positionH relativeFrom="page">
              <wp:posOffset>283210</wp:posOffset>
            </wp:positionH>
            <wp:positionV relativeFrom="page">
              <wp:posOffset>283210</wp:posOffset>
            </wp:positionV>
            <wp:extent cx="6981825" cy="993140"/>
            <wp:effectExtent l="0" t="0" r="9525" b="0"/>
            <wp:wrapNone/>
            <wp:docPr id="6" name="Graphic 6" descr="Banner with Austrad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anner with Austrade logo&#10;"/>
                    <pic:cNvPicPr/>
                  </pic:nvPicPr>
                  <pic:blipFill rotWithShape="1">
                    <a:blip r:embed="rId13" cstate="print">
                      <a:extLst>
                        <a:ext uri="{28A0092B-C50C-407E-A947-70E740481C1C}">
                          <a14:useLocalDpi xmlns:a14="http://schemas.microsoft.com/office/drawing/2010/main" val="0"/>
                        </a:ext>
                      </a:extLst>
                    </a:blip>
                    <a:srcRect b="55488"/>
                    <a:stretch/>
                  </pic:blipFill>
                  <pic:spPr bwMode="auto">
                    <a:xfrm>
                      <a:off x="0" y="0"/>
                      <a:ext cx="6981825" cy="993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176FB" w14:textId="77777777" w:rsidR="00810E5B" w:rsidRDefault="00810E5B" w:rsidP="00D01BAD">
      <w:pPr>
        <w:pStyle w:val="Heading1"/>
        <w:pageBreakBefore w:val="0"/>
      </w:pPr>
      <w:r w:rsidRPr="00810E5B">
        <w:t>Australian State of Exporters Report</w:t>
      </w:r>
    </w:p>
    <w:p w14:paraId="34DE334E" w14:textId="77777777" w:rsidR="00810E5B" w:rsidRDefault="00810E5B" w:rsidP="00D01BAD">
      <w:pPr>
        <w:pStyle w:val="Heading2"/>
        <w:spacing w:after="240"/>
      </w:pPr>
      <w:r w:rsidRPr="00810E5B">
        <w:t>How exporters contribute to Australia’s economic prosperity</w:t>
      </w:r>
    </w:p>
    <w:p w14:paraId="4B63130C" w14:textId="77777777" w:rsidR="00810E5B" w:rsidRDefault="00810E5B" w:rsidP="00810E5B">
      <w:r>
        <w:t xml:space="preserve">The Australian Trade and Investment Commission (Austrade) acknowledges </w:t>
      </w:r>
      <w:r w:rsidRPr="00810E5B">
        <w:t>the</w:t>
      </w:r>
      <w:r>
        <w:t xml:space="preserve"> Traditional Custodians of this country throughout Australia and their continuing connection to land, sea, and community. We pay our respects to them,</w:t>
      </w:r>
      <w:r w:rsidRPr="00810E5B">
        <w:t xml:space="preserve"> </w:t>
      </w:r>
      <w:r>
        <w:t>their cultures, and to their Elders past, present, as well as emerging leaders.</w:t>
      </w:r>
    </w:p>
    <w:p w14:paraId="32DE99CA" w14:textId="77777777" w:rsidR="00810E5B" w:rsidRDefault="00810E5B" w:rsidP="00810E5B">
      <w:r w:rsidRPr="00810E5B">
        <w:t>Austrade are committed to generating opportunities for First Nations businesses and helping them succeed in international marketplaces.</w:t>
      </w:r>
    </w:p>
    <w:p w14:paraId="20BE997A" w14:textId="77777777" w:rsidR="00810E5B" w:rsidRPr="00EA72E4" w:rsidRDefault="00810E5B" w:rsidP="00F204ED">
      <w:pPr>
        <w:pStyle w:val="Heading2"/>
        <w:spacing w:after="120"/>
      </w:pPr>
      <w:r w:rsidRPr="00EA72E4">
        <w:t>Other acknowledgements</w:t>
      </w:r>
    </w:p>
    <w:p w14:paraId="4B128E8C" w14:textId="77777777" w:rsidR="00810E5B" w:rsidRDefault="00810E5B" w:rsidP="00810E5B">
      <w:r>
        <w:t>The State of the Exporters report is a new annual publication by The Australian Trade and Investment Commission (Austrade). We appreciate the work of Austrade in preparing this report especially Laura Bateman, Anne-Louise Knight, Ashley Brosnan and Heather Cotching. We are grateful for the support from Nikhil Kant, Matthew Johnson, Ian Oliveira, Jacky Southcott, and Melanie Harris as well as the Austrade’s Communications and Marketing Division, in particular Matt O’Leary, Gabrielle Easter and Madeleine Brown.</w:t>
      </w:r>
    </w:p>
    <w:p w14:paraId="21F377AA" w14:textId="77777777" w:rsidR="00810E5B" w:rsidRDefault="00D04994" w:rsidP="00810E5B">
      <w:r w:rsidRPr="00D04994">
        <w:t>We thank the Australian Bureau of Statistics, in particular, Simon Chadwick, Lisa Gay and Talei Parker, for their support of this publication and their feedback and comments on the initial draft</w:t>
      </w:r>
      <w:r w:rsidR="00810E5B">
        <w:t>.</w:t>
      </w:r>
    </w:p>
    <w:p w14:paraId="14427054" w14:textId="1BB6F894" w:rsidR="00810E5B" w:rsidRDefault="00810E5B" w:rsidP="00810E5B">
      <w:r>
        <w:t>We also thank the Department of Foreign Affairs and Trade, in particular Leo Carr</w:t>
      </w:r>
      <w:r w:rsidR="00BD068C">
        <w:t>o</w:t>
      </w:r>
      <w:r>
        <w:t>ll, IP Australia, particularly Michael Falk, the Department of Industry, Science and Resources, particularly Razib Tuhin, Supply Nation, particularly Chris Rees, and the Department of Treasury for their feedback on and support of this report.</w:t>
      </w:r>
    </w:p>
    <w:p w14:paraId="53DC0980" w14:textId="77777777" w:rsidR="00810E5B" w:rsidRDefault="00810E5B" w:rsidP="00810E5B">
      <w:r>
        <w:t xml:space="preserve">We thank the Australian Export Awards team and the contributions of Australian </w:t>
      </w:r>
      <w:r w:rsidR="00D04994">
        <w:t>b</w:t>
      </w:r>
      <w:r>
        <w:t>usinesses for sharing their stories of success and resilience in this report including Clean &amp; Pure Skincare, Spectainer, Duthjahn Sandalwood Oils and ResMed.</w:t>
      </w:r>
    </w:p>
    <w:p w14:paraId="3B655C2D" w14:textId="77777777" w:rsidR="00810E5B" w:rsidRDefault="00810E5B" w:rsidP="00810E5B">
      <w:pPr>
        <w:pStyle w:val="QuoteSource"/>
      </w:pPr>
      <w:r w:rsidRPr="00810E5B">
        <w:rPr>
          <w:b/>
          <w:bCs/>
        </w:rPr>
        <w:t>Published by Australian Trade and Investment Commission (Austrade).</w:t>
      </w:r>
      <w:r>
        <w:t xml:space="preserve"> First published February 2023</w:t>
      </w:r>
    </w:p>
    <w:p w14:paraId="3A8DFAAC" w14:textId="77777777" w:rsidR="00810E5B" w:rsidRDefault="00810E5B" w:rsidP="00810E5B">
      <w:pPr>
        <w:pStyle w:val="QuoteSource"/>
      </w:pPr>
      <w:r>
        <w:t>This publication is protected by copyright. With the exception of (a) any coat of arms, logo, trade mark or other branding;</w:t>
      </w:r>
      <w:r w:rsidR="00EA72E4">
        <w:t xml:space="preserve"> </w:t>
      </w:r>
      <w:r>
        <w:t>(b) any third party intellectual property; and (c) personal information such as photographs of people, this publication is licensed under the Creative Commons Attribution 3.0 Australia Licence.The licence terms are available at the Creative Commons website at: creativecommons.org/licenses/by/3.0/au/legalcode</w:t>
      </w:r>
      <w:r w:rsidR="00EA72E4">
        <w:t xml:space="preserve">. </w:t>
      </w:r>
      <w:r>
        <w:t>Austrade requires that it be attributed as creator</w:t>
      </w:r>
    </w:p>
    <w:p w14:paraId="73D66788" w14:textId="77777777" w:rsidR="00D01BAD" w:rsidRDefault="00D01BAD" w:rsidP="00D01BAD">
      <w:pPr>
        <w:pStyle w:val="Heading2"/>
      </w:pPr>
      <w:r>
        <w:lastRenderedPageBreak/>
        <w:t>Contents</w:t>
      </w:r>
    </w:p>
    <w:p w14:paraId="034EBE73" w14:textId="77777777" w:rsidR="00D01BAD" w:rsidRPr="00D01BAD" w:rsidRDefault="00D01BAD" w:rsidP="009F7527">
      <w:pPr>
        <w:pStyle w:val="TOC1"/>
      </w:pPr>
      <w:r w:rsidRPr="00D01BAD">
        <w:t>Ministerial foreword</w:t>
      </w:r>
      <w:r w:rsidR="008A79CE">
        <w:tab/>
      </w:r>
      <w:r w:rsidR="009F7527">
        <w:t>3</w:t>
      </w:r>
    </w:p>
    <w:p w14:paraId="7EED06EF" w14:textId="77777777" w:rsidR="00D01BAD" w:rsidRPr="00D01BAD" w:rsidRDefault="00D01BAD" w:rsidP="009F7527">
      <w:pPr>
        <w:pStyle w:val="TOC1"/>
      </w:pPr>
      <w:r w:rsidRPr="00D01BAD">
        <w:t>Contribution by Australian exporters</w:t>
      </w:r>
      <w:r w:rsidR="009F7527">
        <w:tab/>
        <w:t>4</w:t>
      </w:r>
    </w:p>
    <w:p w14:paraId="662FF1C4" w14:textId="2FF82E7B" w:rsidR="00D01BAD" w:rsidRPr="00D01BAD" w:rsidRDefault="00D01BAD" w:rsidP="009F7527">
      <w:pPr>
        <w:pStyle w:val="TOC1"/>
      </w:pPr>
      <w:r w:rsidRPr="00D01BAD">
        <w:t>Executive summary</w:t>
      </w:r>
      <w:r w:rsidR="009F7527">
        <w:tab/>
      </w:r>
      <w:r w:rsidR="0042667C">
        <w:t>5</w:t>
      </w:r>
    </w:p>
    <w:p w14:paraId="585ACF2F" w14:textId="4E931CC6" w:rsidR="00D01BAD" w:rsidRPr="00D01BAD" w:rsidRDefault="00D01BAD" w:rsidP="009F7527">
      <w:pPr>
        <w:pStyle w:val="TOC1"/>
      </w:pPr>
      <w:r w:rsidRPr="00D01BAD">
        <w:t xml:space="preserve">Introduction </w:t>
      </w:r>
      <w:r w:rsidR="009F7527">
        <w:tab/>
      </w:r>
      <w:r w:rsidR="0042667C">
        <w:t>8</w:t>
      </w:r>
    </w:p>
    <w:p w14:paraId="2ECB15E4" w14:textId="77777777" w:rsidR="00D01BAD" w:rsidRPr="009F7527" w:rsidRDefault="00D01BAD" w:rsidP="009F7527">
      <w:pPr>
        <w:pStyle w:val="TOC1"/>
        <w:rPr>
          <w:b/>
          <w:bCs/>
        </w:rPr>
      </w:pPr>
      <w:r w:rsidRPr="009F7527">
        <w:rPr>
          <w:b/>
          <w:bCs/>
        </w:rPr>
        <w:t>Chapter 1</w:t>
      </w:r>
    </w:p>
    <w:p w14:paraId="4013A12C" w14:textId="3FFD7772" w:rsidR="00D01BAD" w:rsidRDefault="00D01BAD" w:rsidP="009F7527">
      <w:pPr>
        <w:pStyle w:val="TOC1"/>
      </w:pPr>
      <w:r w:rsidRPr="00D01BAD">
        <w:t xml:space="preserve">Australian </w:t>
      </w:r>
      <w:r w:rsidR="003E7845">
        <w:t>e</w:t>
      </w:r>
      <w:r w:rsidRPr="00D01BAD">
        <w:t>xporters 2020-21</w:t>
      </w:r>
      <w:r w:rsidR="009F7527">
        <w:tab/>
        <w:t>9</w:t>
      </w:r>
    </w:p>
    <w:p w14:paraId="4C1AEA8D" w14:textId="77777777" w:rsidR="00D01BAD" w:rsidRPr="00D01BAD" w:rsidRDefault="00D01BAD" w:rsidP="00D01BAD">
      <w:pPr>
        <w:rPr>
          <w:b/>
          <w:bCs/>
        </w:rPr>
      </w:pPr>
      <w:r w:rsidRPr="00D01BAD">
        <w:rPr>
          <w:b/>
          <w:bCs/>
        </w:rPr>
        <w:t>Chapter 2</w:t>
      </w:r>
    </w:p>
    <w:p w14:paraId="3FA50DB2" w14:textId="1671F8FE" w:rsidR="00D01BAD" w:rsidRDefault="00D01BAD" w:rsidP="009F7527">
      <w:pPr>
        <w:tabs>
          <w:tab w:val="left" w:pos="9356"/>
        </w:tabs>
      </w:pPr>
      <w:r w:rsidRPr="00D01BAD">
        <w:t xml:space="preserve">Firm </w:t>
      </w:r>
      <w:r w:rsidR="003E7845">
        <w:t>s</w:t>
      </w:r>
      <w:r w:rsidRPr="00D01BAD">
        <w:t xml:space="preserve">urvival </w:t>
      </w:r>
      <w:r w:rsidR="003E7845">
        <w:t>t</w:t>
      </w:r>
      <w:r w:rsidRPr="00D01BAD">
        <w:t xml:space="preserve">hrough </w:t>
      </w:r>
      <w:r w:rsidR="00D43684">
        <w:t>g</w:t>
      </w:r>
      <w:r w:rsidRPr="00D01BAD">
        <w:t xml:space="preserve">lobal </w:t>
      </w:r>
      <w:r w:rsidR="00D43684">
        <w:t>e</w:t>
      </w:r>
      <w:r w:rsidRPr="00D01BAD">
        <w:t xml:space="preserve">conomic </w:t>
      </w:r>
      <w:r w:rsidR="00D43684">
        <w:t>s</w:t>
      </w:r>
      <w:r w:rsidRPr="00D01BAD">
        <w:t>hocks</w:t>
      </w:r>
      <w:r w:rsidR="009F7527">
        <w:tab/>
      </w:r>
      <w:r w:rsidR="00FC008F">
        <w:t>34</w:t>
      </w:r>
    </w:p>
    <w:p w14:paraId="3A0B43C6" w14:textId="77777777" w:rsidR="00D01BAD" w:rsidRPr="00D01BAD" w:rsidRDefault="00D01BAD" w:rsidP="00D01BAD">
      <w:pPr>
        <w:rPr>
          <w:b/>
          <w:bCs/>
        </w:rPr>
      </w:pPr>
      <w:r w:rsidRPr="00D01BAD">
        <w:rPr>
          <w:b/>
          <w:bCs/>
        </w:rPr>
        <w:t>Chapter 3</w:t>
      </w:r>
    </w:p>
    <w:p w14:paraId="5D33E229" w14:textId="54257AA3" w:rsidR="009F7527" w:rsidRDefault="00D04994" w:rsidP="009F7527">
      <w:pPr>
        <w:tabs>
          <w:tab w:val="left" w:pos="9356"/>
        </w:tabs>
      </w:pPr>
      <w:r w:rsidRPr="00D04994">
        <w:t>How are exporters different from non-exporting firms</w:t>
      </w:r>
      <w:r w:rsidR="00D43684">
        <w:t>?</w:t>
      </w:r>
      <w:r w:rsidR="009F7527">
        <w:tab/>
      </w:r>
      <w:r w:rsidR="00FC008F">
        <w:t>40</w:t>
      </w:r>
    </w:p>
    <w:p w14:paraId="2A7839EE" w14:textId="41CDC954" w:rsidR="00D01BAD" w:rsidRPr="00D01BAD" w:rsidRDefault="00D01BAD" w:rsidP="00D01BAD">
      <w:pPr>
        <w:rPr>
          <w:b/>
          <w:bCs/>
        </w:rPr>
      </w:pPr>
      <w:r w:rsidRPr="00D01BAD">
        <w:rPr>
          <w:b/>
          <w:bCs/>
        </w:rPr>
        <w:t xml:space="preserve">References &amp; </w:t>
      </w:r>
      <w:r w:rsidR="00D43684">
        <w:rPr>
          <w:b/>
          <w:bCs/>
        </w:rPr>
        <w:t>a</w:t>
      </w:r>
      <w:r w:rsidRPr="00D01BAD">
        <w:rPr>
          <w:b/>
          <w:bCs/>
        </w:rPr>
        <w:t>ppendix</w:t>
      </w:r>
    </w:p>
    <w:p w14:paraId="61531CAD" w14:textId="5A93D89F" w:rsidR="00D01BAD" w:rsidRDefault="00D01BAD" w:rsidP="009F7527">
      <w:pPr>
        <w:tabs>
          <w:tab w:val="left" w:pos="9356"/>
        </w:tabs>
      </w:pPr>
      <w:r w:rsidRPr="00D01BAD">
        <w:t>References</w:t>
      </w:r>
      <w:r w:rsidR="009F7527">
        <w:tab/>
      </w:r>
      <w:r w:rsidR="00FC008F">
        <w:t>47</w:t>
      </w:r>
    </w:p>
    <w:p w14:paraId="4C80020C" w14:textId="4BDEDD3B" w:rsidR="00D01BAD" w:rsidRDefault="00D01BAD" w:rsidP="009F7527">
      <w:pPr>
        <w:tabs>
          <w:tab w:val="left" w:pos="9356"/>
        </w:tabs>
      </w:pPr>
      <w:r w:rsidRPr="00D01BAD">
        <w:t>Methodological notes</w:t>
      </w:r>
      <w:r w:rsidR="009F7527">
        <w:tab/>
      </w:r>
      <w:r w:rsidR="00FC008F">
        <w:t>49</w:t>
      </w:r>
    </w:p>
    <w:p w14:paraId="65DB6118" w14:textId="77777777" w:rsidR="00D01BAD" w:rsidRDefault="00D01BAD">
      <w:pPr>
        <w:spacing w:before="0" w:after="120" w:line="252" w:lineRule="auto"/>
      </w:pPr>
      <w:r>
        <w:br w:type="page"/>
      </w:r>
    </w:p>
    <w:p w14:paraId="2C28D4A6" w14:textId="77777777" w:rsidR="00D01BAD" w:rsidRDefault="00D01BAD" w:rsidP="00D01BAD">
      <w:r>
        <w:lastRenderedPageBreak/>
        <w:t xml:space="preserve">Australia’s reputation for quality goods and services drives demand for our products around the world. Our critical minerals help fuel the global electronic vehicle industry, our </w:t>
      </w:r>
      <w:r w:rsidR="00D04994">
        <w:t>food</w:t>
      </w:r>
      <w:r>
        <w:t xml:space="preserve"> and wines are served up at top restaurants, and our education institutes attract students in search of world- class qualifications. Behind our nation’s success are our exporters – both small and large – who are the engine room of our economy.</w:t>
      </w:r>
    </w:p>
    <w:p w14:paraId="3572B29B" w14:textId="77777777" w:rsidR="00D01BAD" w:rsidRDefault="00D01BAD" w:rsidP="00D01BAD">
      <w:r>
        <w:t xml:space="preserve">The Australian State of Exporters Report 2022 uses data to tell our exporters’ story. </w:t>
      </w:r>
      <w:r w:rsidR="00D04994" w:rsidRPr="00D04994">
        <w:t>It provides an analysis around their contribution to our economy, and will inform policy to help them go further, faster</w:t>
      </w:r>
      <w:r w:rsidR="00D04994">
        <w:t>.</w:t>
      </w:r>
    </w:p>
    <w:p w14:paraId="0C3AB708" w14:textId="1D4CA3AE" w:rsidR="00D01BAD" w:rsidRPr="00A5430A" w:rsidRDefault="00D01BAD" w:rsidP="00D01BAD">
      <w:r>
        <w:t xml:space="preserve">In the 2020-21 financial year, almost 58,000 Australian companies exported to more than 240 markets. </w:t>
      </w:r>
      <w:r w:rsidR="00D04994" w:rsidRPr="00A5430A">
        <w:t>Collectively, they had over $1.5 trillion turnover, adding around $650 billion to our economy, while employing around 3 million Australians</w:t>
      </w:r>
      <w:r w:rsidRPr="00A5430A">
        <w:t>.</w:t>
      </w:r>
    </w:p>
    <w:p w14:paraId="438C75C3" w14:textId="77777777" w:rsidR="00D01BAD" w:rsidRDefault="00D01BAD" w:rsidP="00D01BAD">
      <w:r>
        <w:t xml:space="preserve">Exporters are navigating disruptions brought by COVID-19, </w:t>
      </w:r>
      <w:r w:rsidR="00D04994" w:rsidRPr="00D04994">
        <w:t>supply chain</w:t>
      </w:r>
      <w:r w:rsidR="00D04994">
        <w:t xml:space="preserve"> </w:t>
      </w:r>
      <w:r>
        <w:t xml:space="preserve">shocks and global tensions. Their ability to overcome challenges is second to none. In fact, companies that export have shown to be more resilient to </w:t>
      </w:r>
      <w:r w:rsidR="00D04994">
        <w:t xml:space="preserve">these </w:t>
      </w:r>
      <w:r>
        <w:t>shocks than their non- exporting counterparts.</w:t>
      </w:r>
    </w:p>
    <w:p w14:paraId="7E8E9B18" w14:textId="77777777" w:rsidR="00EC7F94" w:rsidRDefault="00EC7F94" w:rsidP="00EC7F94">
      <w:r>
        <w:t>Free, fair and open trade is the cornerstone of the Australian economy. More trade is key to the economic future we want, with secure, high-paying jobs, and affordable living costs.</w:t>
      </w:r>
    </w:p>
    <w:p w14:paraId="3FE0DF14" w14:textId="77777777" w:rsidR="00D04994" w:rsidRDefault="00D04994" w:rsidP="00EC7F94">
      <w:r w:rsidRPr="00D04994">
        <w:t xml:space="preserve">Our government is helping Australian exporters diversify their overseas markets including through new bilateral and regional free trade initiatives. We also believe a diversified economy that harnesses Australian ingenuity will make us stronger. This means not only diversifying where we export, but what we export. A key part of this is working with partners to boost digital trade and resilient supply chains powered by green energy. </w:t>
      </w:r>
    </w:p>
    <w:p w14:paraId="30DAE9BE" w14:textId="77777777" w:rsidR="00EC7F94" w:rsidRDefault="00EC7F94" w:rsidP="00EC7F94">
      <w:r>
        <w:t>I’m pleased to present this publication to assist industry and the public understand how exporters contribute to Australia’s economic prosperity.</w:t>
      </w:r>
    </w:p>
    <w:p w14:paraId="5945F1F1" w14:textId="77777777" w:rsidR="00EC7F94" w:rsidRDefault="00EC7F94" w:rsidP="00EC7F94">
      <w:r>
        <w:t>Regards,</w:t>
      </w:r>
    </w:p>
    <w:p w14:paraId="6B5F952C" w14:textId="77777777" w:rsidR="00EC7F94" w:rsidRDefault="00EC7F94" w:rsidP="00EC7F94">
      <w:r>
        <w:t>Don Farrell</w:t>
      </w:r>
    </w:p>
    <w:p w14:paraId="4CEAA508" w14:textId="77777777" w:rsidR="006B6D1C" w:rsidRDefault="006B6D1C" w:rsidP="006B6D1C">
      <w:pPr>
        <w:spacing w:before="0" w:after="120" w:line="252" w:lineRule="auto"/>
      </w:pPr>
      <w:r>
        <w:t>Minister for Trade and Tourism</w:t>
      </w:r>
    </w:p>
    <w:p w14:paraId="60C9FB0C" w14:textId="77777777" w:rsidR="00EC7F94" w:rsidRDefault="006B6D1C" w:rsidP="006B6D1C">
      <w:pPr>
        <w:spacing w:before="0" w:after="120" w:line="252" w:lineRule="auto"/>
      </w:pPr>
      <w:r>
        <w:t>Special Minister of State</w:t>
      </w:r>
      <w:r w:rsidR="00EC7F94">
        <w:br w:type="page"/>
      </w:r>
    </w:p>
    <w:p w14:paraId="3FB0DEB7" w14:textId="77777777" w:rsidR="00EC7F94" w:rsidRDefault="00EC7F94" w:rsidP="00EC7F94">
      <w:pPr>
        <w:pStyle w:val="Heading2"/>
      </w:pPr>
      <w:r w:rsidRPr="00EC7F94">
        <w:lastRenderedPageBreak/>
        <w:t>Contribution by Australian exporters in 2020-21</w:t>
      </w:r>
    </w:p>
    <w:p w14:paraId="3E4F693C" w14:textId="77777777" w:rsidR="005F0EEC" w:rsidRDefault="005F0EEC" w:rsidP="005F0EEC">
      <w:pPr>
        <w:pStyle w:val="ListBullet"/>
      </w:pPr>
      <w:r>
        <w:t>Over $1.56 trillion AUD turnover</w:t>
      </w:r>
    </w:p>
    <w:p w14:paraId="078506E8" w14:textId="77777777" w:rsidR="005F0EEC" w:rsidRDefault="005F0EEC" w:rsidP="005F0EEC">
      <w:pPr>
        <w:pStyle w:val="ListBullet"/>
      </w:pPr>
      <w:r>
        <w:t>Over $646.6 billion AUD 31% of nominal GDP</w:t>
      </w:r>
    </w:p>
    <w:p w14:paraId="1566992C" w14:textId="77777777" w:rsidR="005F0EEC" w:rsidRDefault="005F0EEC" w:rsidP="005F0EEC">
      <w:pPr>
        <w:pStyle w:val="ListBullet"/>
      </w:pPr>
      <w:r>
        <w:t>2.8 average markets exported to</w:t>
      </w:r>
    </w:p>
    <w:p w14:paraId="1C0EEAE1" w14:textId="5843881E" w:rsidR="005F0EEC" w:rsidRDefault="005F0EEC" w:rsidP="005F0EEC">
      <w:pPr>
        <w:pStyle w:val="ListBullet"/>
      </w:pPr>
      <w:r>
        <w:t xml:space="preserve">~3 million jobs </w:t>
      </w:r>
      <w:r w:rsidR="003541DC">
        <w:t>(</w:t>
      </w:r>
      <w:r w:rsidRPr="00EC7F94">
        <w:t>23% of the labour force</w:t>
      </w:r>
      <w:r w:rsidR="003541DC">
        <w:t>)</w:t>
      </w:r>
    </w:p>
    <w:p w14:paraId="05C55D42" w14:textId="77777777" w:rsidR="00773AF0" w:rsidRDefault="005F0EEC" w:rsidP="00773AF0">
      <w:pPr>
        <w:pStyle w:val="ListBullet"/>
      </w:pPr>
      <w:r w:rsidRPr="00D04994">
        <w:t>Exporters were 9% more likely to survive the early years of the COVID-19 pandemic (2018-19 to 2020-21)</w:t>
      </w:r>
      <w:r w:rsidR="00773AF0" w:rsidRPr="00773AF0">
        <w:t xml:space="preserve"> </w:t>
      </w:r>
    </w:p>
    <w:p w14:paraId="03556E91" w14:textId="42AE800F" w:rsidR="005F0EEC" w:rsidRDefault="00773AF0" w:rsidP="00773AF0">
      <w:pPr>
        <w:pStyle w:val="ListBullet"/>
      </w:pPr>
      <w:r>
        <w:t>Exporters are 64% more productive than non-exporters</w:t>
      </w:r>
      <w:r w:rsidR="001B1131">
        <w:t>.</w:t>
      </w:r>
      <w:r>
        <w:t xml:space="preserve"> </w:t>
      </w:r>
    </w:p>
    <w:p w14:paraId="7F7F6652" w14:textId="77777777" w:rsidR="005F0EEC" w:rsidRDefault="005F0EEC" w:rsidP="005F0EEC">
      <w:pPr>
        <w:pStyle w:val="ListBullet"/>
        <w:numPr>
          <w:ilvl w:val="0"/>
          <w:numId w:val="0"/>
        </w:numPr>
      </w:pPr>
      <w:r>
        <w:t>Exporters generated:</w:t>
      </w:r>
    </w:p>
    <w:p w14:paraId="55855A17" w14:textId="3645DC0E" w:rsidR="005F0EEC" w:rsidRDefault="005F0EEC" w:rsidP="005F0EEC">
      <w:pPr>
        <w:pStyle w:val="ListBullet"/>
      </w:pPr>
      <w:r>
        <w:t>65% more value-added than non-exporters</w:t>
      </w:r>
    </w:p>
    <w:p w14:paraId="77DE1053" w14:textId="795D57F6" w:rsidR="005F0EEC" w:rsidRDefault="005F0EEC" w:rsidP="005F0EEC">
      <w:pPr>
        <w:pStyle w:val="ListBullet"/>
      </w:pPr>
      <w:r>
        <w:t>14% more employment than non-exporters</w:t>
      </w:r>
    </w:p>
    <w:p w14:paraId="1D25368B" w14:textId="29AF3C71" w:rsidR="005F0EEC" w:rsidRDefault="005F0EEC" w:rsidP="005F0EEC">
      <w:pPr>
        <w:pStyle w:val="ListBullet"/>
      </w:pPr>
      <w:r>
        <w:t>43% higher wages than non-exporters</w:t>
      </w:r>
      <w:r w:rsidR="001B1131">
        <w:t>.</w:t>
      </w:r>
    </w:p>
    <w:p w14:paraId="0573BF32" w14:textId="77777777" w:rsidR="0042667C" w:rsidRDefault="0042667C">
      <w:pPr>
        <w:spacing w:before="0" w:after="120" w:line="252" w:lineRule="auto"/>
        <w:rPr>
          <w:color w:val="7A4282" w:themeColor="accent1"/>
          <w:sz w:val="32"/>
          <w:szCs w:val="32"/>
        </w:rPr>
      </w:pPr>
      <w:r>
        <w:br w:type="page"/>
      </w:r>
    </w:p>
    <w:p w14:paraId="4B57B0F3" w14:textId="5257981F" w:rsidR="00EC7F94" w:rsidRDefault="00EC7F94" w:rsidP="00EC7F94">
      <w:pPr>
        <w:pStyle w:val="Heading2"/>
      </w:pPr>
      <w:r w:rsidRPr="00EC7F94">
        <w:lastRenderedPageBreak/>
        <w:t>Executive summary</w:t>
      </w:r>
    </w:p>
    <w:p w14:paraId="7E2C3B88" w14:textId="77777777" w:rsidR="00EC7F94" w:rsidRDefault="00EC7F94" w:rsidP="00EC7F94">
      <w:r w:rsidRPr="00EC7F94">
        <w:t>The Australian Trade and Investment Commission — Austrade — promotes Australian trade, investment, tourism and education to the world. Austrade are experts in connecting Australian firms to the world and the world to Australian firms.</w:t>
      </w:r>
    </w:p>
    <w:p w14:paraId="01F4C7C5" w14:textId="77777777" w:rsidR="00EC7F94" w:rsidRDefault="00EC7F94" w:rsidP="00EC7F94">
      <w:r>
        <w:t>As Australia’s dedicated export promotion agency, Austrade has a particular interest in understanding Australian exporters. Information on exporters’ average size, growth rates, trading partners and industry sectors help inform government priorities and Austrade’s programs. Making this information publicly available adds to the depth of knowledge on exporters, who contribute significantly to Australia’s economic activity and employment.</w:t>
      </w:r>
    </w:p>
    <w:p w14:paraId="26A091AE" w14:textId="77777777" w:rsidR="00EC7F94" w:rsidRPr="00EC7F94" w:rsidRDefault="00EC7F94" w:rsidP="00EC7F94">
      <w:pPr>
        <w:pStyle w:val="Heading3"/>
      </w:pPr>
      <w:r w:rsidRPr="00EC7F94">
        <w:t>Exporters are larger and better performing than non-exporters</w:t>
      </w:r>
    </w:p>
    <w:p w14:paraId="79019421" w14:textId="77777777" w:rsidR="00EC7F94" w:rsidRDefault="00EC7F94" w:rsidP="00EC7F94">
      <w:r>
        <w:t>The inaugural Australian State of Exporters Report provides information on how exporters contribute to Australia’s economic prosperity. Exporting to a diverse range of markets, across a wide range of industries, exporters have shown to be larger, more productive, more skill</w:t>
      </w:r>
      <w:r w:rsidR="00D04994">
        <w:t xml:space="preserve"> </w:t>
      </w:r>
      <w:r>
        <w:t>and capital- intensive, more innovative and to pay higher wages than non-exporting firms.</w:t>
      </w:r>
      <w:r w:rsidR="00047C41">
        <w:rPr>
          <w:rStyle w:val="FootnoteReference"/>
        </w:rPr>
        <w:footnoteReference w:id="1"/>
      </w:r>
    </w:p>
    <w:p w14:paraId="4C9CB79D" w14:textId="77777777" w:rsidR="00EC7F94" w:rsidRDefault="00EC7F94" w:rsidP="00EC7F94">
      <w:pPr>
        <w:pStyle w:val="Heading3"/>
      </w:pPr>
      <w:r>
        <w:t>Exporting is also associated with a higher probability of firm survival and greater resilience to economic shocks</w:t>
      </w:r>
    </w:p>
    <w:p w14:paraId="333CE52B" w14:textId="77777777" w:rsidR="00EC7F94" w:rsidRDefault="00EC7F94" w:rsidP="00EC7F94">
      <w:r>
        <w:t>The last few years have been incredibly difficult for many firms – navigating the COVID-19 pandemic restrictions, adjusting to air and sea freight disruptions, and facing increasingly frequent extreme weather events. Closed borders significantly limited mobility – both in terms</w:t>
      </w:r>
    </w:p>
    <w:p w14:paraId="42306203" w14:textId="77777777" w:rsidR="00EC7F94" w:rsidRDefault="00EC7F94" w:rsidP="00EC7F94">
      <w:r>
        <w:t>of travelling to overseas markets to meet with old and new customers, as well as limiting inbound tourists, international students, working-holiday makers and skilled migrants.</w:t>
      </w:r>
    </w:p>
    <w:p w14:paraId="552CDA31" w14:textId="77777777" w:rsidR="00EC7F94" w:rsidRDefault="00EC7F94" w:rsidP="00EC7F94">
      <w:r>
        <w:t>Australian exporters were more resilient to the global economic shocks experienced in 2020-21 compared to non-exporters. Exporters were 9% more likely to survive during the early years of the COVID-19 pandemic than non-exporters.</w:t>
      </w:r>
    </w:p>
    <w:p w14:paraId="34BB601F" w14:textId="77777777" w:rsidR="00EC7F94" w:rsidRPr="00EC7F94" w:rsidRDefault="00EC7F94" w:rsidP="00EC7F94">
      <w:r>
        <w:t>This resilience could be partially attributed to exporters having higher turnover and more employees than non- exporters on average. The reasons for this increased resilience require further research, but suggest that overall, exporting activities are highly valuable to the Australian economy.</w:t>
      </w:r>
      <w:r w:rsidRPr="00EC7F94">
        <w:br w:type="page"/>
      </w:r>
    </w:p>
    <w:p w14:paraId="13634255" w14:textId="77777777" w:rsidR="00047C41" w:rsidRDefault="00047C41" w:rsidP="00047C41">
      <w:pPr>
        <w:pStyle w:val="Heading2"/>
      </w:pPr>
      <w:r w:rsidRPr="00047C41">
        <w:lastRenderedPageBreak/>
        <w:t>Interpreting the figures in this report</w:t>
      </w:r>
    </w:p>
    <w:p w14:paraId="61F46BC7" w14:textId="77777777" w:rsidR="00047C41" w:rsidRDefault="00047C41" w:rsidP="00047C41">
      <w:r>
        <w:t>The time frame for analysis is focused on 2020-21, as the most recent year with full financial year data available.</w:t>
      </w:r>
    </w:p>
    <w:p w14:paraId="78D79445" w14:textId="77777777" w:rsidR="00047C41" w:rsidRDefault="00047C41" w:rsidP="00047C41">
      <w:r>
        <w:t>Figures are recorded as nominal values and reported annually by financial year. All value figures quoted in the report are Australian dollar values (A$).</w:t>
      </w:r>
    </w:p>
    <w:p w14:paraId="01601940" w14:textId="77777777" w:rsidR="00047C41" w:rsidRDefault="00047C41" w:rsidP="00047C41">
      <w:r>
        <w:t>2020-21 is a non-typical year for analysis, given the significant impacts of the COVID-19 pandemic on exporters, and the Australian economy overall.</w:t>
      </w:r>
    </w:p>
    <w:p w14:paraId="5EB55B3A" w14:textId="77777777" w:rsidR="00047C41" w:rsidRDefault="00047C41" w:rsidP="00047C41">
      <w:r>
        <w:t>Our analysis focuses on a subset of exporters from within the total cohort, where there was sufficient data available for statistical analysis.</w:t>
      </w:r>
    </w:p>
    <w:p w14:paraId="6E79BC00" w14:textId="77777777" w:rsidR="00047C41" w:rsidRDefault="00047C41" w:rsidP="00047C41">
      <w:r>
        <w:t xml:space="preserve">This report uses data from the Business Longitudinal Analysis Data Environment (BLADE) and the Department of Home Affairs Integrated Cargo System (Australian Border Force) data to draw together a rich set of information on current exporter attributes and activities. As such, if we were not able to link an exporter between the two datasets using the ABN, the business has been excluded from the analysis. </w:t>
      </w:r>
    </w:p>
    <w:p w14:paraId="4F2E41F0" w14:textId="77777777" w:rsidR="00047C41" w:rsidRDefault="00047C41" w:rsidP="00047C41">
      <w:r>
        <w:t>The data used in this report includes both merchandise and services exporters, but due to problems with collecting services export data it is likely that services exports are under-represented in our analysis.</w:t>
      </w:r>
    </w:p>
    <w:p w14:paraId="3CA46A6E" w14:textId="77777777" w:rsidR="00047C41" w:rsidRDefault="00047C41" w:rsidP="00047C41">
      <w:pPr>
        <w:pStyle w:val="Heading3"/>
      </w:pPr>
      <w:r>
        <w:t>Median – the middle value</w:t>
      </w:r>
    </w:p>
    <w:p w14:paraId="0A93DA6D" w14:textId="77777777" w:rsidR="00047C41" w:rsidRDefault="00047C41" w:rsidP="00047C41">
      <w:r>
        <w:t>When describing the typical attributes of an exporter, we have elected to use median, or ‘the middle’ value, rather than the mean value, to better reflect the wide diversity in the exporter cohort. While the vast majority of exporters are SMEs, there are a number of very large multinationals and using the median is more effective when there are extreme values, either very small or very large. Using the mean for this cohort would have skewed the results upwards, by overweighting the impact from the very large firms.</w:t>
      </w:r>
    </w:p>
    <w:p w14:paraId="652F409E" w14:textId="77777777" w:rsidR="00047C41" w:rsidRDefault="00047C41" w:rsidP="00047C41">
      <w:pPr>
        <w:pStyle w:val="Heading3"/>
      </w:pPr>
      <w:r>
        <w:t>What is an exporter?</w:t>
      </w:r>
    </w:p>
    <w:p w14:paraId="60CED001" w14:textId="77777777" w:rsidR="00047C41" w:rsidRDefault="00047C41" w:rsidP="00047C41">
      <w:r>
        <w:t xml:space="preserve">In our analysis, we define ‘exporters’ as firms which have annual export sales greater than $2,000. </w:t>
      </w:r>
      <w:r w:rsidR="00D04994" w:rsidRPr="00D04994">
        <w:t>We refer to non-exporting firms which do not record annual export sales greater than $2,000 as 'non-exporters'</w:t>
      </w:r>
      <w:r>
        <w:t>. Additionally, we exclude any non-employing firms, which registered less than 1 FTE.</w:t>
      </w:r>
      <w:r>
        <w:rPr>
          <w:rStyle w:val="FootnoteReference"/>
        </w:rPr>
        <w:footnoteReference w:id="2"/>
      </w:r>
    </w:p>
    <w:p w14:paraId="790E91B3" w14:textId="77777777" w:rsidR="00047C41" w:rsidRDefault="00047C41">
      <w:pPr>
        <w:spacing w:before="0" w:after="120" w:line="252" w:lineRule="auto"/>
        <w:rPr>
          <w:b/>
          <w:bCs/>
          <w:color w:val="2E1A47" w:themeColor="text2"/>
        </w:rPr>
      </w:pPr>
      <w:r>
        <w:br w:type="page"/>
      </w:r>
    </w:p>
    <w:p w14:paraId="3EF869FA" w14:textId="77777777" w:rsidR="00047C41" w:rsidRDefault="00047C41" w:rsidP="00047C41">
      <w:pPr>
        <w:pStyle w:val="Heading3"/>
      </w:pPr>
      <w:r w:rsidRPr="00047C41">
        <w:lastRenderedPageBreak/>
        <w:t>State of Exporters Sample</w:t>
      </w:r>
    </w:p>
    <w:p w14:paraId="5B066FAA" w14:textId="77777777" w:rsidR="00047C41" w:rsidRPr="00047C41" w:rsidRDefault="00047C41" w:rsidP="00047C41">
      <w:pPr>
        <w:pStyle w:val="ListBullet"/>
      </w:pPr>
      <w:r w:rsidRPr="00047C41">
        <w:t xml:space="preserve">95% of export value 24,609 </w:t>
      </w:r>
      <w:r w:rsidR="000646CC">
        <w:t>f</w:t>
      </w:r>
      <w:r w:rsidRPr="00047C41">
        <w:t>irms</w:t>
      </w:r>
    </w:p>
    <w:p w14:paraId="20F6B06A" w14:textId="77777777" w:rsidR="00047C41" w:rsidRPr="00047C41" w:rsidRDefault="00047C41" w:rsidP="00047C41">
      <w:pPr>
        <w:pStyle w:val="ListBullet"/>
      </w:pPr>
      <w:r w:rsidRPr="00047C41">
        <w:t>Supplied ABN when exporting (in order to link to BLADE)</w:t>
      </w:r>
    </w:p>
    <w:p w14:paraId="32DA9C50" w14:textId="77777777" w:rsidR="00047C41" w:rsidRPr="00047C41" w:rsidRDefault="00047C41" w:rsidP="00047C41">
      <w:pPr>
        <w:pStyle w:val="ListBullet"/>
      </w:pPr>
      <w:r w:rsidRPr="00047C41">
        <w:t xml:space="preserve">Exported more than $2k in 2020-21 </w:t>
      </w:r>
    </w:p>
    <w:p w14:paraId="07AB7FAF" w14:textId="77777777" w:rsidR="00047C41" w:rsidRDefault="00047C41" w:rsidP="00047C41">
      <w:pPr>
        <w:pStyle w:val="ListBullet"/>
      </w:pPr>
      <w:r w:rsidRPr="00047C41">
        <w:t>Employed at least one person</w:t>
      </w:r>
    </w:p>
    <w:p w14:paraId="594E0F26" w14:textId="77777777" w:rsidR="00047C41" w:rsidRPr="00047C41" w:rsidRDefault="00047C41" w:rsidP="00047C41">
      <w:pPr>
        <w:rPr>
          <w:rStyle w:val="Emphasis"/>
        </w:rPr>
      </w:pPr>
      <w:r w:rsidRPr="00047C41">
        <w:rPr>
          <w:rStyle w:val="Emphasis"/>
        </w:rPr>
        <w:t>By defining the sample in this way, we are able to generate the most comprehensive insights on Australian exporting firms to date and compare exporters with non-exporting firms across a range of key metrics.</w:t>
      </w:r>
    </w:p>
    <w:p w14:paraId="22A815F3" w14:textId="77777777" w:rsidR="00047C41" w:rsidRDefault="00047C41" w:rsidP="00047C41">
      <w:r>
        <w:t>However, this selection process has a material impact on the count of the total number of exporters. This is most significant for small businesses, who by definition are less likely to employ staff or export more than $2,000 worth of goods in a given year.</w:t>
      </w:r>
    </w:p>
    <w:p w14:paraId="255EC965" w14:textId="77777777" w:rsidR="00047C41" w:rsidRDefault="00047C41" w:rsidP="00047C41">
      <w:r>
        <w:t>For more information on the data and methodology used in this report, see the Appendices.</w:t>
      </w:r>
    </w:p>
    <w:p w14:paraId="4060F16C" w14:textId="77777777" w:rsidR="00047C41" w:rsidRDefault="00047C41">
      <w:pPr>
        <w:spacing w:before="0" w:after="120" w:line="252" w:lineRule="auto"/>
      </w:pPr>
      <w:r>
        <w:br w:type="page"/>
      </w:r>
    </w:p>
    <w:p w14:paraId="621A8BE2" w14:textId="77777777" w:rsidR="00047C41" w:rsidRDefault="00047C41" w:rsidP="00047C41">
      <w:pPr>
        <w:pStyle w:val="Heading2"/>
      </w:pPr>
      <w:r>
        <w:rPr>
          <w:w w:val="125"/>
        </w:rPr>
        <w:lastRenderedPageBreak/>
        <w:t>Introduction</w:t>
      </w:r>
    </w:p>
    <w:p w14:paraId="2F753A2A" w14:textId="77777777" w:rsidR="00047C41" w:rsidRDefault="00047C41" w:rsidP="00047C41">
      <w:pPr>
        <w:tabs>
          <w:tab w:val="left" w:pos="999"/>
        </w:tabs>
      </w:pPr>
      <w:r w:rsidRPr="00047C41">
        <w:t>International trade has always been an integral part of the Australian economy. First Nations Australians conducted trade for tens of thousands of years prior to federation, and internationally over the past 300 years with our South-East Asian and Pacific neighbours and ‘Makassan’ fishers who sailed from Makassar in Indonesia. European colonisation disrupted these trading routes and shifted trading patterns to European and North American markets.</w:t>
      </w:r>
    </w:p>
    <w:p w14:paraId="3F4527A9" w14:textId="77777777" w:rsidR="00047C41" w:rsidRDefault="00047C41" w:rsidP="00B04581">
      <w:pPr>
        <w:pStyle w:val="Heading3"/>
      </w:pPr>
      <w:r>
        <w:t>Figure 1A. Australian trading routes pre-colonisation</w:t>
      </w:r>
    </w:p>
    <w:p w14:paraId="59B07595" w14:textId="77777777" w:rsidR="00072CF1" w:rsidRDefault="00072CF1" w:rsidP="00B04581">
      <w:pPr>
        <w:pStyle w:val="Caption"/>
        <w:rPr>
          <w:i w:val="0"/>
          <w:iCs w:val="0"/>
          <w:color w:val="auto"/>
          <w:sz w:val="20"/>
          <w:szCs w:val="20"/>
        </w:rPr>
      </w:pPr>
      <w:r w:rsidRPr="00072CF1">
        <w:rPr>
          <w:i w:val="0"/>
          <w:iCs w:val="0"/>
          <w:color w:val="auto"/>
          <w:sz w:val="20"/>
          <w:szCs w:val="20"/>
        </w:rPr>
        <w:t xml:space="preserve">A map of Australia showing trading routes prior to colonisation including trade with Papua New Guinea and Indonesia. </w:t>
      </w:r>
    </w:p>
    <w:p w14:paraId="78D80F06" w14:textId="2FD00083" w:rsidR="00047C41" w:rsidRDefault="00047C41" w:rsidP="00B04581">
      <w:pPr>
        <w:pStyle w:val="Caption"/>
      </w:pPr>
      <w:r>
        <w:t>Sources: Austrade Economics; Map created from McCarthy 1939 (note these routes functioned seasonally)</w:t>
      </w:r>
    </w:p>
    <w:p w14:paraId="13C54D52" w14:textId="77777777" w:rsidR="00B04581" w:rsidRDefault="00B04581" w:rsidP="00B04581">
      <w:r>
        <w:t>Today our trade market profile is deeply connected within the Indo-Pacific but remains highly diverse with Australian exporters serving over 234 global markets.</w:t>
      </w:r>
    </w:p>
    <w:p w14:paraId="13340B3F" w14:textId="77777777" w:rsidR="00B04581" w:rsidRDefault="00B04581" w:rsidP="00047C41">
      <w:r>
        <w:t>Services, particularly education and tourism, have emerged as important exports, alongside Australia’s strengths in professional and financial services and technology. Australian exporters have adapted in the face of economic shocks and are determined to diversify to new markets.</w:t>
      </w:r>
    </w:p>
    <w:p w14:paraId="4EA03C2A" w14:textId="77777777" w:rsidR="00B04581" w:rsidRDefault="00B04581" w:rsidP="00B04581">
      <w:pPr>
        <w:pStyle w:val="Heading3"/>
      </w:pPr>
      <w:r w:rsidRPr="00B04581">
        <w:t>Figure 1B. Australian modern day key freight routes</w:t>
      </w:r>
    </w:p>
    <w:p w14:paraId="747838A1" w14:textId="77777777" w:rsidR="00072CF1" w:rsidRDefault="00072CF1" w:rsidP="00B04581">
      <w:pPr>
        <w:pStyle w:val="Caption"/>
        <w:rPr>
          <w:i w:val="0"/>
          <w:iCs w:val="0"/>
          <w:color w:val="auto"/>
          <w:sz w:val="20"/>
          <w:szCs w:val="20"/>
        </w:rPr>
      </w:pPr>
      <w:r w:rsidRPr="00072CF1">
        <w:rPr>
          <w:i w:val="0"/>
          <w:iCs w:val="0"/>
          <w:color w:val="auto"/>
          <w:sz w:val="20"/>
          <w:szCs w:val="20"/>
        </w:rPr>
        <w:t>A map of Australia showing modern day key freight routes including seaport, airport and rail terminals</w:t>
      </w:r>
      <w:r>
        <w:rPr>
          <w:i w:val="0"/>
          <w:iCs w:val="0"/>
          <w:color w:val="auto"/>
          <w:sz w:val="20"/>
          <w:szCs w:val="20"/>
        </w:rPr>
        <w:t>.</w:t>
      </w:r>
    </w:p>
    <w:p w14:paraId="1419E3B5" w14:textId="021ED905" w:rsidR="00B04581" w:rsidRDefault="00B04581" w:rsidP="00B04581">
      <w:pPr>
        <w:pStyle w:val="Caption"/>
      </w:pPr>
      <w:r>
        <w:t>Sources: Map created from Department of Infrastructure, Transport, Regional Development, Communications, and the Arts (2022b) National key freight routes web app</w:t>
      </w:r>
    </w:p>
    <w:p w14:paraId="40414788" w14:textId="77777777" w:rsidR="00B04581" w:rsidRDefault="00B04581" w:rsidP="00B04581">
      <w:pPr>
        <w:pStyle w:val="ListBullet"/>
      </w:pPr>
      <w:r>
        <w:t>60% of Australian merchandise export transactions are shipped by sea freight or bulk carriers</w:t>
      </w:r>
      <w:r>
        <w:rPr>
          <w:rStyle w:val="FootnoteReference"/>
        </w:rPr>
        <w:footnoteReference w:id="3"/>
      </w:r>
    </w:p>
    <w:p w14:paraId="23620FC3" w14:textId="77777777" w:rsidR="00B04581" w:rsidRDefault="00B04581" w:rsidP="00B04581">
      <w:pPr>
        <w:pStyle w:val="ListBullet"/>
      </w:pPr>
      <w:r>
        <w:t>40% of Australian merchandise export transactions are shipped by air freight</w:t>
      </w:r>
    </w:p>
    <w:p w14:paraId="04038023" w14:textId="77777777" w:rsidR="00913E57" w:rsidRPr="00913E57" w:rsidRDefault="00913E57" w:rsidP="00913E57">
      <w:pPr>
        <w:rPr>
          <w:sz w:val="18"/>
        </w:rPr>
      </w:pPr>
      <w:r>
        <w:t>As an island, Australian merchandise trade</w:t>
      </w:r>
      <w:r>
        <w:rPr>
          <w:spacing w:val="-4"/>
        </w:rPr>
        <w:t xml:space="preserve"> </w:t>
      </w:r>
      <w:r>
        <w:t>is</w:t>
      </w:r>
      <w:r>
        <w:rPr>
          <w:spacing w:val="-4"/>
        </w:rPr>
        <w:t xml:space="preserve"> </w:t>
      </w:r>
      <w:r>
        <w:t>highly</w:t>
      </w:r>
      <w:r>
        <w:rPr>
          <w:spacing w:val="-4"/>
        </w:rPr>
        <w:t xml:space="preserve"> </w:t>
      </w:r>
      <w:r>
        <w:t>reliant</w:t>
      </w:r>
      <w:r>
        <w:rPr>
          <w:spacing w:val="-4"/>
        </w:rPr>
        <w:t xml:space="preserve"> </w:t>
      </w:r>
      <w:r>
        <w:t>on</w:t>
      </w:r>
      <w:r>
        <w:rPr>
          <w:spacing w:val="-4"/>
        </w:rPr>
        <w:t xml:space="preserve"> </w:t>
      </w:r>
      <w:r>
        <w:t>international</w:t>
      </w:r>
      <w:r>
        <w:rPr>
          <w:spacing w:val="-4"/>
        </w:rPr>
        <w:t xml:space="preserve"> </w:t>
      </w:r>
      <w:r>
        <w:t>sea and air freight. Although representing a smaller proportion by value, air freight is crucial for transporting high-value, time- critical and highly perishable goods.</w:t>
      </w:r>
      <w:r>
        <w:rPr>
          <w:rStyle w:val="FootnoteReference"/>
        </w:rPr>
        <w:footnoteReference w:id="4"/>
      </w:r>
      <w:r>
        <w:t xml:space="preserve"> Air travel is also central to Australian exporters establishing and maintaining commercial connections. The loss of air travel, and the global disruption to sea freight</w:t>
      </w:r>
      <w:r>
        <w:rPr>
          <w:spacing w:val="-8"/>
        </w:rPr>
        <w:t xml:space="preserve"> </w:t>
      </w:r>
      <w:r>
        <w:t>during</w:t>
      </w:r>
      <w:r>
        <w:rPr>
          <w:spacing w:val="-8"/>
        </w:rPr>
        <w:t xml:space="preserve"> </w:t>
      </w:r>
      <w:r>
        <w:t>the</w:t>
      </w:r>
      <w:r>
        <w:rPr>
          <w:spacing w:val="-8"/>
        </w:rPr>
        <w:t xml:space="preserve"> </w:t>
      </w:r>
      <w:r>
        <w:t>COVID-19</w:t>
      </w:r>
      <w:r>
        <w:rPr>
          <w:spacing w:val="-8"/>
        </w:rPr>
        <w:t xml:space="preserve"> </w:t>
      </w:r>
      <w:r>
        <w:t>pandemic</w:t>
      </w:r>
      <w:r>
        <w:rPr>
          <w:spacing w:val="-8"/>
        </w:rPr>
        <w:t xml:space="preserve"> </w:t>
      </w:r>
      <w:r>
        <w:t>has therefore been extremely challenging for Australian firms.</w:t>
      </w:r>
    </w:p>
    <w:p w14:paraId="15577F75" w14:textId="77777777" w:rsidR="00913E57" w:rsidRDefault="00913E57" w:rsidP="00B04581"/>
    <w:p w14:paraId="58C15C95" w14:textId="77777777" w:rsidR="00913E57" w:rsidRDefault="00913E57" w:rsidP="00913E57">
      <w:pPr>
        <w:pStyle w:val="Heading1"/>
      </w:pPr>
      <w:r>
        <w:lastRenderedPageBreak/>
        <w:t>Chapter 1</w:t>
      </w:r>
      <w:r>
        <w:br/>
      </w:r>
      <w:r w:rsidRPr="00913E57">
        <w:t>Australian Exporters 2020-21</w:t>
      </w:r>
    </w:p>
    <w:p w14:paraId="0D0998FF" w14:textId="77777777" w:rsidR="00913E57" w:rsidRDefault="00913E57" w:rsidP="00913E57">
      <w:pPr>
        <w:pStyle w:val="Heading2"/>
      </w:pPr>
      <w:r w:rsidRPr="00913E57">
        <w:t>Australian Exporters 2020-21</w:t>
      </w:r>
    </w:p>
    <w:p w14:paraId="443F3272" w14:textId="77777777" w:rsidR="00913E57" w:rsidRDefault="00913E57" w:rsidP="00913E57">
      <w:r>
        <w:t>In 2020-21 exporters had to navigate COVID-19 pandemic restrictions, extreme weather events and adjust to higher air and sea freight costs and disruptions.</w:t>
      </w:r>
    </w:p>
    <w:p w14:paraId="477F2804" w14:textId="77777777" w:rsidR="00913E57" w:rsidRDefault="00913E57" w:rsidP="00913E57">
      <w:r>
        <w:t>Therefore, the analysis throughout this report may not be representative of a ‘typical’ year for Australian exporters, given the challenging global business environment.</w:t>
      </w:r>
    </w:p>
    <w:p w14:paraId="742EEACE" w14:textId="77777777" w:rsidR="00913E57" w:rsidRDefault="00913E57" w:rsidP="00913E57">
      <w:r>
        <w:t>Despite this, exporters were remarkably agile and resilient, with many diversifying into new export markets</w:t>
      </w:r>
      <w:r w:rsidR="000646CC">
        <w:t xml:space="preserve"> </w:t>
      </w:r>
      <w:r>
        <w:t>and adapting products to meet changing consumer preferences.</w:t>
      </w:r>
    </w:p>
    <w:p w14:paraId="46F2DA5F" w14:textId="77777777" w:rsidR="00913E57" w:rsidRDefault="00913E57" w:rsidP="00913E57">
      <w:r>
        <w:t xml:space="preserve">The total value of goods and services exports in 2020-21 was </w:t>
      </w:r>
      <w:r w:rsidRPr="00913E57">
        <w:rPr>
          <w:b/>
          <w:bCs/>
        </w:rPr>
        <w:t>$458.8 billion</w:t>
      </w:r>
      <w:r>
        <w:t>.</w:t>
      </w:r>
    </w:p>
    <w:p w14:paraId="6DB039F6" w14:textId="77777777" w:rsidR="00913E57" w:rsidRDefault="00913E57" w:rsidP="00913E57">
      <w:r>
        <w:t>The majority of Australia’s exports were merchandise goods, with the total value of merchandise exports at $396.2 billion – 86%, and services exports worth $62.5 billion – 14% of total exports.</w:t>
      </w:r>
      <w:r>
        <w:rPr>
          <w:rStyle w:val="FootnoteReference"/>
        </w:rPr>
        <w:footnoteReference w:id="5"/>
      </w:r>
    </w:p>
    <w:p w14:paraId="03B261F9" w14:textId="77777777" w:rsidR="000F2110" w:rsidRDefault="000F2110">
      <w:pPr>
        <w:spacing w:before="0" w:after="120" w:line="252" w:lineRule="auto"/>
        <w:rPr>
          <w:b/>
          <w:bCs/>
          <w:color w:val="2E1A47" w:themeColor="text2"/>
        </w:rPr>
      </w:pPr>
      <w:r>
        <w:br w:type="page"/>
      </w:r>
    </w:p>
    <w:p w14:paraId="1CAC8F33" w14:textId="11C668E2" w:rsidR="00913E57" w:rsidRDefault="00913E57" w:rsidP="00913E57">
      <w:pPr>
        <w:pStyle w:val="Heading3"/>
      </w:pPr>
      <w:r>
        <w:lastRenderedPageBreak/>
        <w:t>Figure 2. Value added by Australian exporters 2014-15 to 2020-21</w:t>
      </w:r>
    </w:p>
    <w:p w14:paraId="36B50805" w14:textId="242AA58A" w:rsidR="00395D0B" w:rsidRPr="00395D0B" w:rsidRDefault="00395D0B" w:rsidP="00395D0B"/>
    <w:tbl>
      <w:tblPr>
        <w:tblStyle w:val="ListTable3-Accent1"/>
        <w:tblpPr w:leftFromText="180" w:rightFromText="180" w:vertAnchor="text" w:tblpY="1"/>
        <w:tblOverlap w:val="never"/>
        <w:tblW w:w="0" w:type="auto"/>
        <w:tblLook w:val="0020" w:firstRow="1" w:lastRow="0" w:firstColumn="0" w:lastColumn="0" w:noHBand="0" w:noVBand="0"/>
      </w:tblPr>
      <w:tblGrid>
        <w:gridCol w:w="4814"/>
        <w:gridCol w:w="4814"/>
      </w:tblGrid>
      <w:tr w:rsidR="00F7703D" w:rsidRPr="00823B47" w14:paraId="119EF098"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873" w:type="dxa"/>
          </w:tcPr>
          <w:p w14:paraId="3A9A150C" w14:textId="30732628" w:rsidR="00F7703D" w:rsidRPr="00823B47" w:rsidRDefault="00F7703D" w:rsidP="00764A9B">
            <w:pPr>
              <w:pStyle w:val="Tableheadermain"/>
              <w:rPr>
                <w:b/>
                <w:bCs/>
              </w:rPr>
            </w:pPr>
            <w:r>
              <w:rPr>
                <w:b/>
                <w:bCs/>
              </w:rPr>
              <w:t>Year</w:t>
            </w:r>
          </w:p>
        </w:tc>
        <w:tc>
          <w:tcPr>
            <w:tcW w:w="4874" w:type="dxa"/>
          </w:tcPr>
          <w:p w14:paraId="44264D58" w14:textId="237FA432" w:rsidR="00F7703D" w:rsidRPr="00823B47" w:rsidRDefault="00F7703D" w:rsidP="00764A9B">
            <w:pPr>
              <w:pStyle w:val="Tableheadermain"/>
              <w:cnfStyle w:val="100000000000" w:firstRow="1" w:lastRow="0" w:firstColumn="0" w:lastColumn="0" w:oddVBand="0" w:evenVBand="0" w:oddHBand="0" w:evenHBand="0" w:firstRowFirstColumn="0" w:firstRowLastColumn="0" w:lastRowFirstColumn="0" w:lastRowLastColumn="0"/>
              <w:rPr>
                <w:b/>
                <w:bCs/>
              </w:rPr>
            </w:pPr>
            <w:r w:rsidRPr="00F7703D">
              <w:rPr>
                <w:b/>
                <w:bCs/>
                <w:lang w:val="en-AU"/>
              </w:rPr>
              <w:t>A$ billion</w:t>
            </w:r>
          </w:p>
        </w:tc>
      </w:tr>
      <w:tr w:rsidR="00F7703D" w14:paraId="4C333E0A" w14:textId="77777777" w:rsidTr="000362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73" w:type="dxa"/>
          </w:tcPr>
          <w:p w14:paraId="1980C18D" w14:textId="74AEC840" w:rsidR="00F7703D" w:rsidRPr="00206933" w:rsidRDefault="007C550A" w:rsidP="00764A9B">
            <w:pPr>
              <w:pStyle w:val="Tablecopy"/>
            </w:pPr>
            <w:r w:rsidRPr="007C550A">
              <w:t>2014/15</w:t>
            </w:r>
          </w:p>
        </w:tc>
        <w:tc>
          <w:tcPr>
            <w:tcW w:w="4874" w:type="dxa"/>
          </w:tcPr>
          <w:p w14:paraId="7B8DF8E3" w14:textId="57E782EE" w:rsidR="00F7703D" w:rsidRDefault="007C550A" w:rsidP="00764A9B">
            <w:pPr>
              <w:pStyle w:val="Tablecopy"/>
              <w:cnfStyle w:val="000000100000" w:firstRow="0" w:lastRow="0" w:firstColumn="0" w:lastColumn="0" w:oddVBand="0" w:evenVBand="0" w:oddHBand="1" w:evenHBand="0" w:firstRowFirstColumn="0" w:firstRowLastColumn="0" w:lastRowFirstColumn="0" w:lastRowLastColumn="0"/>
            </w:pPr>
            <w:r w:rsidRPr="007C550A">
              <w:rPr>
                <w:lang w:val="en-US"/>
              </w:rPr>
              <w:t>444.5</w:t>
            </w:r>
          </w:p>
        </w:tc>
      </w:tr>
      <w:tr w:rsidR="007C550A" w14:paraId="583B0F1B" w14:textId="77777777" w:rsidTr="000362D9">
        <w:tc>
          <w:tcPr>
            <w:cnfStyle w:val="000010000000" w:firstRow="0" w:lastRow="0" w:firstColumn="0" w:lastColumn="0" w:oddVBand="1" w:evenVBand="0" w:oddHBand="0" w:evenHBand="0" w:firstRowFirstColumn="0" w:firstRowLastColumn="0" w:lastRowFirstColumn="0" w:lastRowLastColumn="0"/>
            <w:tcW w:w="4873" w:type="dxa"/>
          </w:tcPr>
          <w:p w14:paraId="64DFE337" w14:textId="46991253" w:rsidR="007C550A" w:rsidRDefault="007C550A" w:rsidP="00764A9B">
            <w:pPr>
              <w:pStyle w:val="Tablecopy"/>
            </w:pPr>
            <w:r w:rsidRPr="007C550A">
              <w:t>201</w:t>
            </w:r>
            <w:r>
              <w:t>5</w:t>
            </w:r>
            <w:r w:rsidRPr="007C550A">
              <w:t>/1</w:t>
            </w:r>
            <w:r>
              <w:t>6</w:t>
            </w:r>
          </w:p>
        </w:tc>
        <w:tc>
          <w:tcPr>
            <w:tcW w:w="4874" w:type="dxa"/>
          </w:tcPr>
          <w:p w14:paraId="7C1CB029" w14:textId="502A3E9B" w:rsidR="007C550A" w:rsidRDefault="007C550A" w:rsidP="00764A9B">
            <w:pPr>
              <w:pStyle w:val="Tablecopy"/>
              <w:cnfStyle w:val="000000000000" w:firstRow="0" w:lastRow="0" w:firstColumn="0" w:lastColumn="0" w:oddVBand="0" w:evenVBand="0" w:oddHBand="0" w:evenHBand="0" w:firstRowFirstColumn="0" w:firstRowLastColumn="0" w:lastRowFirstColumn="0" w:lastRowLastColumn="0"/>
            </w:pPr>
            <w:r w:rsidRPr="007C550A">
              <w:rPr>
                <w:lang w:val="en-US"/>
              </w:rPr>
              <w:t>478.2</w:t>
            </w:r>
          </w:p>
        </w:tc>
      </w:tr>
      <w:tr w:rsidR="007C550A" w14:paraId="52497F6C" w14:textId="77777777" w:rsidTr="000362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73" w:type="dxa"/>
          </w:tcPr>
          <w:p w14:paraId="6CBF6CE0" w14:textId="6DA0A82B" w:rsidR="007C550A" w:rsidRDefault="007C550A" w:rsidP="00764A9B">
            <w:pPr>
              <w:pStyle w:val="Tablecopy"/>
            </w:pPr>
            <w:r w:rsidRPr="007C550A">
              <w:t>201</w:t>
            </w:r>
            <w:r>
              <w:t>6</w:t>
            </w:r>
            <w:r w:rsidRPr="007C550A">
              <w:t>/1</w:t>
            </w:r>
            <w:r>
              <w:t>7</w:t>
            </w:r>
          </w:p>
        </w:tc>
        <w:tc>
          <w:tcPr>
            <w:tcW w:w="4874" w:type="dxa"/>
          </w:tcPr>
          <w:p w14:paraId="06C0C710" w14:textId="1FA8F987" w:rsidR="007C550A" w:rsidRDefault="007C550A" w:rsidP="00764A9B">
            <w:pPr>
              <w:pStyle w:val="Tablecopy"/>
              <w:cnfStyle w:val="000000100000" w:firstRow="0" w:lastRow="0" w:firstColumn="0" w:lastColumn="0" w:oddVBand="0" w:evenVBand="0" w:oddHBand="1" w:evenHBand="0" w:firstRowFirstColumn="0" w:firstRowLastColumn="0" w:lastRowFirstColumn="0" w:lastRowLastColumn="0"/>
            </w:pPr>
            <w:r w:rsidRPr="007C550A">
              <w:rPr>
                <w:lang w:val="en-US"/>
              </w:rPr>
              <w:t>487.4</w:t>
            </w:r>
          </w:p>
        </w:tc>
      </w:tr>
      <w:tr w:rsidR="00764A9B" w14:paraId="2E47D915" w14:textId="77777777" w:rsidTr="000362D9">
        <w:tc>
          <w:tcPr>
            <w:cnfStyle w:val="000010000000" w:firstRow="0" w:lastRow="0" w:firstColumn="0" w:lastColumn="0" w:oddVBand="1" w:evenVBand="0" w:oddHBand="0" w:evenHBand="0" w:firstRowFirstColumn="0" w:firstRowLastColumn="0" w:lastRowFirstColumn="0" w:lastRowLastColumn="0"/>
            <w:tcW w:w="4873" w:type="dxa"/>
          </w:tcPr>
          <w:p w14:paraId="68AA3A28" w14:textId="76848735" w:rsidR="00764A9B" w:rsidRDefault="00764A9B" w:rsidP="00764A9B">
            <w:pPr>
              <w:pStyle w:val="Tablecopy"/>
            </w:pPr>
            <w:r w:rsidRPr="007C550A">
              <w:t>201</w:t>
            </w:r>
            <w:r>
              <w:t>7</w:t>
            </w:r>
            <w:r w:rsidRPr="007C550A">
              <w:t>/1</w:t>
            </w:r>
            <w:r>
              <w:t>8</w:t>
            </w:r>
          </w:p>
        </w:tc>
        <w:tc>
          <w:tcPr>
            <w:tcW w:w="4874" w:type="dxa"/>
          </w:tcPr>
          <w:p w14:paraId="65860E42" w14:textId="5A808545" w:rsidR="00764A9B" w:rsidRDefault="00764A9B" w:rsidP="00764A9B">
            <w:pPr>
              <w:pStyle w:val="Tablecopy"/>
              <w:cnfStyle w:val="000000000000" w:firstRow="0" w:lastRow="0" w:firstColumn="0" w:lastColumn="0" w:oddVBand="0" w:evenVBand="0" w:oddHBand="0" w:evenHBand="0" w:firstRowFirstColumn="0" w:firstRowLastColumn="0" w:lastRowFirstColumn="0" w:lastRowLastColumn="0"/>
            </w:pPr>
            <w:r w:rsidRPr="007C550A">
              <w:t>201</w:t>
            </w:r>
            <w:r>
              <w:t>6</w:t>
            </w:r>
            <w:r w:rsidRPr="007C550A">
              <w:t>/1</w:t>
            </w:r>
            <w:r>
              <w:t>7</w:t>
            </w:r>
          </w:p>
        </w:tc>
      </w:tr>
      <w:tr w:rsidR="00764A9B" w14:paraId="0A6E25B8" w14:textId="77777777" w:rsidTr="000362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73" w:type="dxa"/>
          </w:tcPr>
          <w:p w14:paraId="4FF0D26D" w14:textId="37C50EE0" w:rsidR="00764A9B" w:rsidRPr="007C550A" w:rsidRDefault="00764A9B" w:rsidP="00764A9B">
            <w:pPr>
              <w:pStyle w:val="Tablecopy"/>
            </w:pPr>
            <w:r w:rsidRPr="007C550A">
              <w:t>201</w:t>
            </w:r>
            <w:r>
              <w:t>8</w:t>
            </w:r>
            <w:r w:rsidRPr="007C550A">
              <w:t>/1</w:t>
            </w:r>
            <w:r>
              <w:t>9</w:t>
            </w:r>
          </w:p>
        </w:tc>
        <w:tc>
          <w:tcPr>
            <w:tcW w:w="4874" w:type="dxa"/>
          </w:tcPr>
          <w:p w14:paraId="64C59190" w14:textId="4F5CBA06" w:rsidR="00764A9B" w:rsidRPr="007C550A" w:rsidRDefault="00A10031" w:rsidP="00764A9B">
            <w:pPr>
              <w:pStyle w:val="Tablecopy"/>
              <w:cnfStyle w:val="000000100000" w:firstRow="0" w:lastRow="0" w:firstColumn="0" w:lastColumn="0" w:oddVBand="0" w:evenVBand="0" w:oddHBand="1" w:evenHBand="0" w:firstRowFirstColumn="0" w:firstRowLastColumn="0" w:lastRowFirstColumn="0" w:lastRowLastColumn="0"/>
            </w:pPr>
            <w:r w:rsidRPr="00A10031">
              <w:t>602.6</w:t>
            </w:r>
          </w:p>
        </w:tc>
      </w:tr>
      <w:tr w:rsidR="00764A9B" w14:paraId="3F0278C6" w14:textId="77777777" w:rsidTr="000362D9">
        <w:tc>
          <w:tcPr>
            <w:cnfStyle w:val="000010000000" w:firstRow="0" w:lastRow="0" w:firstColumn="0" w:lastColumn="0" w:oddVBand="1" w:evenVBand="0" w:oddHBand="0" w:evenHBand="0" w:firstRowFirstColumn="0" w:firstRowLastColumn="0" w:lastRowFirstColumn="0" w:lastRowLastColumn="0"/>
            <w:tcW w:w="4873" w:type="dxa"/>
          </w:tcPr>
          <w:p w14:paraId="78EC5171" w14:textId="242A0476" w:rsidR="00764A9B" w:rsidRPr="007C550A" w:rsidRDefault="00A10031" w:rsidP="00764A9B">
            <w:pPr>
              <w:pStyle w:val="Tablecopy"/>
            </w:pPr>
            <w:r>
              <w:t>2019/20</w:t>
            </w:r>
          </w:p>
        </w:tc>
        <w:tc>
          <w:tcPr>
            <w:tcW w:w="4874" w:type="dxa"/>
          </w:tcPr>
          <w:p w14:paraId="1CFD5DC1" w14:textId="2B2E0762" w:rsidR="00764A9B" w:rsidRPr="007C550A" w:rsidRDefault="00A10031" w:rsidP="00764A9B">
            <w:pPr>
              <w:pStyle w:val="Tablecopy"/>
              <w:cnfStyle w:val="000000000000" w:firstRow="0" w:lastRow="0" w:firstColumn="0" w:lastColumn="0" w:oddVBand="0" w:evenVBand="0" w:oddHBand="0" w:evenHBand="0" w:firstRowFirstColumn="0" w:firstRowLastColumn="0" w:lastRowFirstColumn="0" w:lastRowLastColumn="0"/>
            </w:pPr>
            <w:r w:rsidRPr="00A10031">
              <w:rPr>
                <w:lang w:val="en-US"/>
              </w:rPr>
              <w:t>605.5</w:t>
            </w:r>
          </w:p>
        </w:tc>
      </w:tr>
      <w:tr w:rsidR="00764A9B" w14:paraId="1D1095EC" w14:textId="77777777" w:rsidTr="000362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73" w:type="dxa"/>
          </w:tcPr>
          <w:p w14:paraId="15B767F4" w14:textId="6DD214CD" w:rsidR="00764A9B" w:rsidRPr="007C550A" w:rsidRDefault="00A10031" w:rsidP="00764A9B">
            <w:pPr>
              <w:pStyle w:val="Tablecopy"/>
            </w:pPr>
            <w:r>
              <w:t>2020/21</w:t>
            </w:r>
          </w:p>
        </w:tc>
        <w:tc>
          <w:tcPr>
            <w:tcW w:w="4874" w:type="dxa"/>
          </w:tcPr>
          <w:p w14:paraId="381BC991" w14:textId="46454463" w:rsidR="00764A9B" w:rsidRPr="007C550A" w:rsidRDefault="00A10031" w:rsidP="00764A9B">
            <w:pPr>
              <w:pStyle w:val="Tablecopy"/>
              <w:cnfStyle w:val="000000100000" w:firstRow="0" w:lastRow="0" w:firstColumn="0" w:lastColumn="0" w:oddVBand="0" w:evenVBand="0" w:oddHBand="1" w:evenHBand="0" w:firstRowFirstColumn="0" w:firstRowLastColumn="0" w:lastRowFirstColumn="0" w:lastRowLastColumn="0"/>
            </w:pPr>
            <w:r w:rsidRPr="00A10031">
              <w:rPr>
                <w:lang w:val="en-US"/>
              </w:rPr>
              <w:t>605.5</w:t>
            </w:r>
          </w:p>
        </w:tc>
      </w:tr>
    </w:tbl>
    <w:p w14:paraId="141C8E2C" w14:textId="4BEC7DC5" w:rsidR="00913E57" w:rsidRDefault="00764A9B" w:rsidP="00913E57">
      <w:pPr>
        <w:pStyle w:val="Caption"/>
      </w:pPr>
      <w:r>
        <w:br w:type="textWrapping" w:clear="all"/>
      </w:r>
      <w:r w:rsidR="00913E57" w:rsidRPr="00913E57">
        <w:t>Sources: Australian Bureau of Statistics (2022) Business Longitudinal Analysis Data Environment; Austrade Economics</w:t>
      </w:r>
    </w:p>
    <w:p w14:paraId="2686E31C" w14:textId="77777777" w:rsidR="00913E57" w:rsidRDefault="00913E57" w:rsidP="00913E57">
      <w:r>
        <w:t>The value</w:t>
      </w:r>
      <w:r w:rsidR="000646CC">
        <w:t>-</w:t>
      </w:r>
      <w:r>
        <w:t>added</w:t>
      </w:r>
      <w:r>
        <w:rPr>
          <w:rStyle w:val="FootnoteReference"/>
        </w:rPr>
        <w:footnoteReference w:id="6"/>
      </w:r>
      <w:r>
        <w:t xml:space="preserve"> by exporters to the Australian economy has increased 45% over the past 7 financial years, from $444</w:t>
      </w:r>
      <w:r w:rsidRPr="00913E57">
        <w:t>.</w:t>
      </w:r>
      <w:r>
        <w:t xml:space="preserve">5 billion in 2014-15 </w:t>
      </w:r>
      <w:r w:rsidR="000646CC" w:rsidRPr="000646CC">
        <w:t>(24 % of GDP)</w:t>
      </w:r>
      <w:r>
        <w:t xml:space="preserve"> to $646.6 billion in the 2020-21 </w:t>
      </w:r>
      <w:r w:rsidR="000646CC" w:rsidRPr="000646CC">
        <w:t>(</w:t>
      </w:r>
      <w:r w:rsidR="000646CC">
        <w:t>31</w:t>
      </w:r>
      <w:r w:rsidR="000646CC" w:rsidRPr="000646CC">
        <w:t xml:space="preserve"> % of GDP)</w:t>
      </w:r>
      <w:r w:rsidR="000646CC">
        <w:t>.</w:t>
      </w:r>
    </w:p>
    <w:p w14:paraId="1FC37AB2" w14:textId="77777777" w:rsidR="00913E57" w:rsidRDefault="00913E57" w:rsidP="00913E57">
      <w:r>
        <w:t>The median (middle value) turnover of exporters in 2020- 21 was $4.9 million. The median value added by firms was $3.7 million, the median output per employee was $195,865 whilst the median average annual wage paid per employee was $54,492.</w:t>
      </w:r>
    </w:p>
    <w:p w14:paraId="2946CA1E" w14:textId="77777777" w:rsidR="00547870" w:rsidRDefault="00547870">
      <w:pPr>
        <w:spacing w:before="0" w:after="120" w:line="252" w:lineRule="auto"/>
      </w:pPr>
      <w:r>
        <w:br w:type="page"/>
      </w:r>
    </w:p>
    <w:p w14:paraId="1BC4B75E" w14:textId="77777777" w:rsidR="00913E57" w:rsidRDefault="00913E57" w:rsidP="00913E57">
      <w:r>
        <w:lastRenderedPageBreak/>
        <w:t>The median number of people employed by exporters was 16, and 11.3 full-time equivalent (FTE). Employment refers to the number of people employed by a firm, whereas FTE refers to the full-time hours being worked at the firm, where 1 indicates full time employment over an annual period, by one full time or a combination of part time workers.</w:t>
      </w:r>
    </w:p>
    <w:p w14:paraId="64BB5C26" w14:textId="77777777" w:rsidR="00913E57" w:rsidRDefault="00913E57" w:rsidP="00547870">
      <w:pPr>
        <w:pStyle w:val="Heading3"/>
      </w:pPr>
      <w:r>
        <w:t>Key characteristics of Australian exporters 2020-21</w:t>
      </w:r>
    </w:p>
    <w:p w14:paraId="02CB1731" w14:textId="77777777" w:rsidR="00913E57" w:rsidRDefault="00913E57" w:rsidP="00913E57">
      <w:r>
        <w:t>Median values</w:t>
      </w:r>
    </w:p>
    <w:p w14:paraId="4445702B" w14:textId="77777777" w:rsidR="00547870" w:rsidRDefault="00547870" w:rsidP="00913E57">
      <w:pPr>
        <w:pStyle w:val="ListBullet"/>
      </w:pPr>
      <w:r>
        <w:t>$4,908,673 Turnover</w:t>
      </w:r>
    </w:p>
    <w:p w14:paraId="36ECF266" w14:textId="77777777" w:rsidR="00547870" w:rsidRPr="00547870" w:rsidRDefault="00547870" w:rsidP="00547870">
      <w:pPr>
        <w:pStyle w:val="ListBullet"/>
      </w:pPr>
      <w:r>
        <w:t>$3,705,739 Value</w:t>
      </w:r>
      <w:r w:rsidR="000646CC">
        <w:rPr>
          <w:spacing w:val="-9"/>
        </w:rPr>
        <w:t>-</w:t>
      </w:r>
      <w:r w:rsidRPr="00547870">
        <w:rPr>
          <w:spacing w:val="-2"/>
        </w:rPr>
        <w:t>added</w:t>
      </w:r>
    </w:p>
    <w:p w14:paraId="3B1BF631" w14:textId="77777777" w:rsidR="00547870" w:rsidRDefault="00547870" w:rsidP="00547870">
      <w:pPr>
        <w:pStyle w:val="ListBullet"/>
      </w:pPr>
      <w:r>
        <w:t>$811,162 Wages</w:t>
      </w:r>
    </w:p>
    <w:p w14:paraId="3AC0860D" w14:textId="77777777" w:rsidR="00913E57" w:rsidRDefault="00547870" w:rsidP="00547870">
      <w:pPr>
        <w:pStyle w:val="ListBullet"/>
      </w:pPr>
      <w:r>
        <w:t>$54,492 Average wages</w:t>
      </w:r>
    </w:p>
    <w:p w14:paraId="06E368CF" w14:textId="77777777" w:rsidR="00547870" w:rsidRDefault="00547870" w:rsidP="00547870">
      <w:pPr>
        <w:pStyle w:val="ListBullet"/>
      </w:pPr>
      <w:r>
        <w:t>$195,865 Labour</w:t>
      </w:r>
      <w:r w:rsidRPr="00547870">
        <w:rPr>
          <w:spacing w:val="4"/>
        </w:rPr>
        <w:t xml:space="preserve"> </w:t>
      </w:r>
      <w:r>
        <w:t>productivity</w:t>
      </w:r>
    </w:p>
    <w:p w14:paraId="5D3876A2" w14:textId="77777777" w:rsidR="00547870" w:rsidRPr="00547870" w:rsidRDefault="00547870" w:rsidP="00547870">
      <w:pPr>
        <w:pStyle w:val="ListBullet"/>
      </w:pPr>
      <w:r>
        <w:t>11.3 FTE</w:t>
      </w:r>
    </w:p>
    <w:p w14:paraId="5A2C0FD9" w14:textId="77777777" w:rsidR="00547870" w:rsidRDefault="00547870" w:rsidP="00547870">
      <w:pPr>
        <w:pStyle w:val="ListBullet"/>
      </w:pPr>
      <w:r>
        <w:t>16 people Employment</w:t>
      </w:r>
    </w:p>
    <w:p w14:paraId="6768E05B" w14:textId="77777777" w:rsidR="00547870" w:rsidRDefault="00547870" w:rsidP="00547870">
      <w:pPr>
        <w:pStyle w:val="ListBullet"/>
      </w:pPr>
      <w:r>
        <w:t>1 market</w:t>
      </w:r>
      <w:r>
        <w:rPr>
          <w:rStyle w:val="FootnoteReference"/>
        </w:rPr>
        <w:footnoteReference w:id="7"/>
      </w:r>
      <w:r>
        <w:t xml:space="preserve"> Number of markets</w:t>
      </w:r>
    </w:p>
    <w:p w14:paraId="3D73EBCF" w14:textId="77777777" w:rsidR="00547870" w:rsidRDefault="00547870" w:rsidP="00547870">
      <w:pPr>
        <w:pStyle w:val="ListBullet"/>
      </w:pPr>
      <w:r>
        <w:t>2 products</w:t>
      </w:r>
      <w:r>
        <w:rPr>
          <w:rStyle w:val="FootnoteReference"/>
        </w:rPr>
        <w:footnoteReference w:id="8"/>
      </w:r>
      <w:r>
        <w:t xml:space="preserve"> Number of products</w:t>
      </w:r>
    </w:p>
    <w:p w14:paraId="232A3B7E" w14:textId="77777777" w:rsidR="00547870" w:rsidRPr="00913E57" w:rsidRDefault="00547870" w:rsidP="00547870">
      <w:pPr>
        <w:pStyle w:val="ListBullet"/>
      </w:pPr>
      <w:r>
        <w:t>16 years Age of firm</w:t>
      </w:r>
    </w:p>
    <w:p w14:paraId="26391BB4" w14:textId="77777777" w:rsidR="00547870" w:rsidRDefault="00547870" w:rsidP="00547870">
      <w:pPr>
        <w:spacing w:before="0" w:after="120" w:line="252" w:lineRule="auto"/>
        <w:rPr>
          <w:color w:val="7A4282" w:themeColor="accent1"/>
          <w:sz w:val="32"/>
          <w:szCs w:val="32"/>
        </w:rPr>
      </w:pPr>
      <w:r>
        <w:br w:type="page"/>
      </w:r>
    </w:p>
    <w:p w14:paraId="77E89471" w14:textId="77777777" w:rsidR="00A61E8B" w:rsidRDefault="00A61E8B" w:rsidP="00A61E8B">
      <w:pPr>
        <w:pStyle w:val="Heading2"/>
      </w:pPr>
      <w:r w:rsidRPr="00A61E8B">
        <w:lastRenderedPageBreak/>
        <w:t>Why Export?</w:t>
      </w:r>
    </w:p>
    <w:p w14:paraId="30939AE7" w14:textId="77777777" w:rsidR="00A61E8B" w:rsidRDefault="00A61E8B" w:rsidP="00A61E8B">
      <w:r>
        <w:t>Exporting has helped Clean &amp; Pure increase demand in the domestic market</w:t>
      </w:r>
    </w:p>
    <w:p w14:paraId="29AA6078" w14:textId="77777777" w:rsidR="00A61E8B" w:rsidRDefault="00A61E8B" w:rsidP="00A61E8B">
      <w:r>
        <w:t>Founded in 2004, WA-based skincare company Clean &amp; Pure commenced exporting in 2019 and won the Australian Export Award for E-Commerce only two years later in 2021. Clean &amp; Pure offers an Australian Made skincare range using superior natural and unprocessed ingredients, servicing Australia and the world.</w:t>
      </w:r>
    </w:p>
    <w:p w14:paraId="08439930" w14:textId="77777777" w:rsidR="00A61E8B" w:rsidRDefault="00A61E8B" w:rsidP="00A61E8B">
      <w:r>
        <w:t>Their current export markets include New Zealand, Malaysia, Thailand, Singapore, China, Macau, Hong Kong, Indonesia, Vietnam, Brunei, South Korea and the United States.</w:t>
      </w:r>
    </w:p>
    <w:p w14:paraId="245885C1" w14:textId="77777777" w:rsidR="00A61E8B" w:rsidRDefault="00A61E8B" w:rsidP="00A61E8B">
      <w:r>
        <w:t xml:space="preserve">On the benefits of </w:t>
      </w:r>
      <w:r w:rsidR="000646CC">
        <w:t>e</w:t>
      </w:r>
      <w:r>
        <w:t>xporting, Director Mark Chapman states:</w:t>
      </w:r>
    </w:p>
    <w:p w14:paraId="7310033E" w14:textId="77777777" w:rsidR="00A61E8B" w:rsidRDefault="00A61E8B" w:rsidP="007501CE">
      <w:r>
        <w:t>“You’ll dominate the world before you dominate the Australian market”</w:t>
      </w:r>
    </w:p>
    <w:p w14:paraId="48596253" w14:textId="77777777" w:rsidR="00A61E8B" w:rsidRDefault="00A61E8B" w:rsidP="00A61E8B">
      <w:r>
        <w:t>“It’s very difficult to break in domestically. Without exporting, it would’ve been very difficult to survive and become income-generating.”</w:t>
      </w:r>
      <w:r w:rsidR="007501CE">
        <w:t xml:space="preserve"> </w:t>
      </w:r>
      <w:r>
        <w:t>Mark Chapman, Director</w:t>
      </w:r>
      <w:r w:rsidR="007501CE">
        <w:t>.</w:t>
      </w:r>
    </w:p>
    <w:p w14:paraId="281DED49" w14:textId="77777777" w:rsidR="00A61E8B" w:rsidRDefault="00A61E8B" w:rsidP="00A61E8B">
      <w:r>
        <w:t>Clean &amp; Pure earns around 80% of its revenue through exporting, and exporting is helping their domestic sales grow as well.</w:t>
      </w:r>
    </w:p>
    <w:p w14:paraId="1F24C8E9" w14:textId="77777777" w:rsidR="00A61E8B" w:rsidRDefault="00A61E8B" w:rsidP="00A61E8B">
      <w:r>
        <w:t>“The domestic market is starting to grow now because of the recognition we’re getting through exports.”</w:t>
      </w:r>
    </w:p>
    <w:p w14:paraId="613C5FBE" w14:textId="77777777" w:rsidR="00A61E8B" w:rsidRDefault="00A61E8B" w:rsidP="00A61E8B">
      <w:r>
        <w:t>Mark also encourages aspiring exporters to reach out for government support.</w:t>
      </w:r>
    </w:p>
    <w:p w14:paraId="6431F8B4" w14:textId="77777777" w:rsidR="00A61E8B" w:rsidRDefault="00A61E8B" w:rsidP="00A61E8B">
      <w:r>
        <w:t>“Participating in this award and finding government departments wanting to help my firm has been such a positive experience.”</w:t>
      </w:r>
    </w:p>
    <w:p w14:paraId="6C1EF4D1" w14:textId="77777777" w:rsidR="007501CE" w:rsidRDefault="00A61E8B" w:rsidP="00A61E8B">
      <w:r>
        <w:t>“Now I’m talking to Austrade in Japan, South Korea and the Middle East. It’s great to have help, because doing it on your own is a hard way to learn!”</w:t>
      </w:r>
    </w:p>
    <w:p w14:paraId="7AA2F78C" w14:textId="77777777" w:rsidR="007501CE" w:rsidRDefault="007501CE">
      <w:pPr>
        <w:spacing w:before="0" w:after="120" w:line="252" w:lineRule="auto"/>
      </w:pPr>
      <w:r>
        <w:br w:type="page"/>
      </w:r>
    </w:p>
    <w:p w14:paraId="58FFBF5A" w14:textId="77777777" w:rsidR="007501CE" w:rsidRDefault="007501CE" w:rsidP="000646CC">
      <w:pPr>
        <w:pStyle w:val="Heading2"/>
      </w:pPr>
      <w:r w:rsidRPr="007501CE">
        <w:lastRenderedPageBreak/>
        <w:t>Exporters operate in a range of industries, but our largest export base operated in wholesale trade and manufacturing.</w:t>
      </w:r>
    </w:p>
    <w:p w14:paraId="665CC585" w14:textId="77777777" w:rsidR="007501CE" w:rsidRDefault="007501CE" w:rsidP="007501CE">
      <w:r>
        <w:t>The majority of exporters operated in the wholesale trade (29% of firms) and manufacturing industries (24%) followed by the retail trade (12%), professional, scientific, and technical services (11%) and construction (4%) industries in 2020-21. The remaining 20% of firms operated in all other remaining industries.</w:t>
      </w:r>
    </w:p>
    <w:p w14:paraId="101279C1" w14:textId="77777777" w:rsidR="007501CE" w:rsidRDefault="007501CE" w:rsidP="007501CE">
      <w:pPr>
        <w:pStyle w:val="Heading3"/>
      </w:pPr>
      <w:r>
        <w:t>Figure 3. Distribution of Australian exporters by industry</w:t>
      </w:r>
      <w:r>
        <w:rPr>
          <w:rStyle w:val="FootnoteReference"/>
        </w:rPr>
        <w:footnoteReference w:id="9"/>
      </w:r>
      <w:r>
        <w:br/>
        <w:t xml:space="preserve">Number of exporting firms, </w:t>
      </w:r>
      <w:r w:rsidRPr="007501CE">
        <w:t>2020</w:t>
      </w:r>
      <w:r>
        <w:t>-21</w:t>
      </w:r>
    </w:p>
    <w:p w14:paraId="41E60FA4" w14:textId="77777777" w:rsidR="00374F9F" w:rsidRPr="00D839C4" w:rsidRDefault="00374F9F" w:rsidP="00374F9F">
      <w:pPr>
        <w:pStyle w:val="ListBullet"/>
        <w:spacing w:after="180"/>
      </w:pPr>
      <w:r w:rsidRPr="007501CE">
        <w:t>7,173</w:t>
      </w:r>
      <w:r>
        <w:t xml:space="preserve"> Wholesale Trade</w:t>
      </w:r>
    </w:p>
    <w:p w14:paraId="31F2CC1D" w14:textId="77777777" w:rsidR="00374F9F" w:rsidRPr="00D839C4" w:rsidRDefault="00374F9F" w:rsidP="00374F9F">
      <w:pPr>
        <w:pStyle w:val="ListBullet"/>
        <w:spacing w:after="180"/>
      </w:pPr>
      <w:r w:rsidRPr="00D839C4">
        <w:t>5,865 Manufacturing</w:t>
      </w:r>
    </w:p>
    <w:p w14:paraId="4A8D3D97" w14:textId="77777777" w:rsidR="00374F9F" w:rsidRPr="00D839C4" w:rsidRDefault="00374F9F" w:rsidP="00374F9F">
      <w:pPr>
        <w:pStyle w:val="ListBullet"/>
        <w:spacing w:after="180"/>
      </w:pPr>
      <w:r w:rsidRPr="00D839C4">
        <w:t>3,019 Retail Trade</w:t>
      </w:r>
    </w:p>
    <w:p w14:paraId="2780A785" w14:textId="77777777" w:rsidR="00374F9F" w:rsidRPr="00D839C4" w:rsidRDefault="00374F9F" w:rsidP="00374F9F">
      <w:pPr>
        <w:pStyle w:val="ListBullet"/>
        <w:spacing w:after="180"/>
      </w:pPr>
      <w:r w:rsidRPr="00D839C4">
        <w:t>2,707 Professional, Scientific and Technical Services</w:t>
      </w:r>
    </w:p>
    <w:p w14:paraId="0DA74EBE" w14:textId="77777777" w:rsidR="00374F9F" w:rsidRPr="00D839C4" w:rsidRDefault="00374F9F" w:rsidP="00374F9F">
      <w:pPr>
        <w:pStyle w:val="ListBullet"/>
        <w:spacing w:after="180"/>
      </w:pPr>
      <w:r w:rsidRPr="00D839C4">
        <w:t>974 Construction</w:t>
      </w:r>
    </w:p>
    <w:p w14:paraId="6684960E" w14:textId="77777777" w:rsidR="00374F9F" w:rsidRPr="00D839C4" w:rsidRDefault="00374F9F" w:rsidP="00374F9F">
      <w:pPr>
        <w:pStyle w:val="ListBullet"/>
        <w:spacing w:after="180"/>
      </w:pPr>
      <w:r w:rsidRPr="00D839C4">
        <w:t>858 Other Services</w:t>
      </w:r>
    </w:p>
    <w:p w14:paraId="077D786C" w14:textId="77777777" w:rsidR="00374F9F" w:rsidRPr="00D839C4" w:rsidRDefault="00374F9F" w:rsidP="00374F9F">
      <w:pPr>
        <w:pStyle w:val="ListBullet"/>
        <w:spacing w:after="180"/>
      </w:pPr>
      <w:r w:rsidRPr="00D839C4">
        <w:t>769 Transport, Postal and Warehousing</w:t>
      </w:r>
    </w:p>
    <w:p w14:paraId="738178D6" w14:textId="77777777" w:rsidR="00374F9F" w:rsidRPr="00D839C4" w:rsidRDefault="00374F9F" w:rsidP="00374F9F">
      <w:pPr>
        <w:pStyle w:val="ListBullet"/>
        <w:spacing w:after="180"/>
      </w:pPr>
      <w:r w:rsidRPr="00D839C4">
        <w:t>550 Agriculture, Forestry and Fishing</w:t>
      </w:r>
    </w:p>
    <w:p w14:paraId="49058D06" w14:textId="77777777" w:rsidR="00374F9F" w:rsidRPr="00D839C4" w:rsidRDefault="00374F9F" w:rsidP="00374F9F">
      <w:pPr>
        <w:pStyle w:val="ListBullet"/>
        <w:spacing w:after="180"/>
      </w:pPr>
      <w:r w:rsidRPr="00D839C4">
        <w:t>397 Finance and Insurance Services</w:t>
      </w:r>
    </w:p>
    <w:p w14:paraId="74FFEC94" w14:textId="77777777" w:rsidR="00374F9F" w:rsidRPr="00D839C4" w:rsidRDefault="00374F9F" w:rsidP="00374F9F">
      <w:pPr>
        <w:pStyle w:val="ListBullet"/>
        <w:spacing w:after="180"/>
      </w:pPr>
      <w:r w:rsidRPr="00D839C4">
        <w:t>368 Administrative and Support Services</w:t>
      </w:r>
    </w:p>
    <w:p w14:paraId="1923DBF6" w14:textId="77777777" w:rsidR="00374F9F" w:rsidRPr="00D839C4" w:rsidRDefault="00374F9F" w:rsidP="00374F9F">
      <w:pPr>
        <w:pStyle w:val="ListBullet"/>
        <w:spacing w:after="180"/>
      </w:pPr>
      <w:r w:rsidRPr="00D839C4">
        <w:t>354 Rental, Hiring and Real Estate Services</w:t>
      </w:r>
    </w:p>
    <w:p w14:paraId="0FBA18F4" w14:textId="77777777" w:rsidR="00374F9F" w:rsidRPr="00D839C4" w:rsidRDefault="00374F9F" w:rsidP="00374F9F">
      <w:pPr>
        <w:pStyle w:val="ListBullet"/>
        <w:spacing w:after="180"/>
      </w:pPr>
      <w:r w:rsidRPr="00D839C4">
        <w:t>314 Information Media and Telecom</w:t>
      </w:r>
    </w:p>
    <w:p w14:paraId="715BFF09" w14:textId="77777777" w:rsidR="00374F9F" w:rsidRPr="00D839C4" w:rsidRDefault="00374F9F" w:rsidP="00374F9F">
      <w:pPr>
        <w:pStyle w:val="ListBullet"/>
        <w:spacing w:after="180"/>
      </w:pPr>
      <w:r w:rsidRPr="00D839C4">
        <w:t>262 Healthcare and Social Assistance</w:t>
      </w:r>
    </w:p>
    <w:p w14:paraId="7153F786" w14:textId="77777777" w:rsidR="00374F9F" w:rsidRPr="00D839C4" w:rsidRDefault="00374F9F" w:rsidP="00374F9F">
      <w:pPr>
        <w:pStyle w:val="ListBullet"/>
        <w:spacing w:after="180"/>
      </w:pPr>
      <w:r w:rsidRPr="00D839C4">
        <w:t>247 Mining</w:t>
      </w:r>
    </w:p>
    <w:p w14:paraId="3D4BC83D" w14:textId="77777777" w:rsidR="00374F9F" w:rsidRPr="00D839C4" w:rsidRDefault="00374F9F" w:rsidP="00374F9F">
      <w:pPr>
        <w:pStyle w:val="ListBullet"/>
        <w:spacing w:after="180"/>
      </w:pPr>
      <w:r w:rsidRPr="00D839C4">
        <w:t>194 Education and Training</w:t>
      </w:r>
    </w:p>
    <w:p w14:paraId="1F4DB00B" w14:textId="77777777" w:rsidR="00374F9F" w:rsidRPr="00D839C4" w:rsidRDefault="00374F9F" w:rsidP="00374F9F">
      <w:pPr>
        <w:pStyle w:val="ListBullet"/>
        <w:spacing w:after="180"/>
      </w:pPr>
      <w:r w:rsidRPr="00D839C4">
        <w:t>184 Accom and Food Services</w:t>
      </w:r>
    </w:p>
    <w:p w14:paraId="02674E59" w14:textId="77777777" w:rsidR="00374F9F" w:rsidRPr="00D839C4" w:rsidRDefault="00374F9F" w:rsidP="00374F9F">
      <w:pPr>
        <w:pStyle w:val="ListBullet"/>
        <w:spacing w:after="180"/>
      </w:pPr>
      <w:r w:rsidRPr="00D839C4">
        <w:t>155 Electricity, Water and Waste Services</w:t>
      </w:r>
    </w:p>
    <w:p w14:paraId="50355039" w14:textId="77777777" w:rsidR="00374F9F" w:rsidRPr="00D839C4" w:rsidRDefault="00374F9F" w:rsidP="00374F9F">
      <w:pPr>
        <w:pStyle w:val="ListBullet"/>
        <w:spacing w:after="180"/>
      </w:pPr>
      <w:r w:rsidRPr="00D839C4">
        <w:t>172 Arts and Recreation Services</w:t>
      </w:r>
    </w:p>
    <w:p w14:paraId="69DA8F70" w14:textId="72AA2DB1" w:rsidR="00D839C4" w:rsidRDefault="00D839C4" w:rsidP="008F16A1">
      <w:pPr>
        <w:pStyle w:val="Heading2"/>
      </w:pPr>
      <w:r w:rsidRPr="00D839C4">
        <w:lastRenderedPageBreak/>
        <w:t>Manufacturing made the largest contribution to value-added</w:t>
      </w:r>
    </w:p>
    <w:p w14:paraId="00BD9E13" w14:textId="77777777" w:rsidR="00D839C4" w:rsidRDefault="00D839C4" w:rsidP="00D839C4">
      <w:r>
        <w:t>Exporters in the manufacturing industry generated the most value</w:t>
      </w:r>
      <w:r w:rsidR="000646CC">
        <w:t>-</w:t>
      </w:r>
      <w:r>
        <w:t>added to the Australian economy (20%) followed by professional, scientific, and technical services</w:t>
      </w:r>
      <w:r>
        <w:rPr>
          <w:spacing w:val="-13"/>
        </w:rPr>
        <w:t xml:space="preserve"> </w:t>
      </w:r>
      <w:r>
        <w:t>(15%)</w:t>
      </w:r>
      <w:r>
        <w:rPr>
          <w:spacing w:val="-13"/>
        </w:rPr>
        <w:t xml:space="preserve"> </w:t>
      </w:r>
      <w:r>
        <w:t>and</w:t>
      </w:r>
      <w:r>
        <w:rPr>
          <w:spacing w:val="-13"/>
        </w:rPr>
        <w:t xml:space="preserve"> </w:t>
      </w:r>
      <w:r>
        <w:t>wholesale</w:t>
      </w:r>
      <w:r>
        <w:rPr>
          <w:spacing w:val="-13"/>
        </w:rPr>
        <w:t xml:space="preserve"> </w:t>
      </w:r>
      <w:r>
        <w:t>trade</w:t>
      </w:r>
      <w:r>
        <w:rPr>
          <w:spacing w:val="-13"/>
        </w:rPr>
        <w:t xml:space="preserve"> </w:t>
      </w:r>
      <w:r>
        <w:t>(14%).</w:t>
      </w:r>
    </w:p>
    <w:p w14:paraId="0565DEFA" w14:textId="77777777" w:rsidR="00A61E8B" w:rsidRPr="006A0A09" w:rsidRDefault="00D839C4" w:rsidP="00D839C4">
      <w:pPr>
        <w:pStyle w:val="Heading3"/>
      </w:pPr>
      <w:r>
        <w:t>Figure 4. Value</w:t>
      </w:r>
      <w:r w:rsidR="000646CC">
        <w:t>-</w:t>
      </w:r>
      <w:r>
        <w:t>added by Australian exporters by industry</w:t>
      </w:r>
      <w:r>
        <w:rPr>
          <w:rStyle w:val="FootnoteReference"/>
        </w:rPr>
        <w:footnoteReference w:id="10"/>
      </w:r>
      <w:r>
        <w:br/>
        <w:t>Value</w:t>
      </w:r>
      <w:r w:rsidR="000646CC">
        <w:t>-</w:t>
      </w:r>
      <w:r>
        <w:t>added, A$ billion 2020-21</w:t>
      </w:r>
    </w:p>
    <w:p w14:paraId="08EC75CB" w14:textId="77777777" w:rsidR="0013534F" w:rsidRDefault="0013534F" w:rsidP="0013534F">
      <w:pPr>
        <w:pStyle w:val="ListBullet"/>
      </w:pPr>
      <w:r w:rsidRPr="00D839C4">
        <w:t>$131 Manufacturing</w:t>
      </w:r>
    </w:p>
    <w:p w14:paraId="726F9415" w14:textId="77777777" w:rsidR="0013534F" w:rsidRDefault="0013534F" w:rsidP="0013534F">
      <w:pPr>
        <w:pStyle w:val="ListBullet"/>
      </w:pPr>
      <w:r>
        <w:t>$97 Professional, Scientific and Technical Services</w:t>
      </w:r>
    </w:p>
    <w:p w14:paraId="3D90D155" w14:textId="77777777" w:rsidR="0013534F" w:rsidRDefault="0013534F" w:rsidP="0013534F">
      <w:pPr>
        <w:pStyle w:val="ListBullet"/>
      </w:pPr>
      <w:r>
        <w:t>$88 Wholesale Trade</w:t>
      </w:r>
    </w:p>
    <w:p w14:paraId="77BB6C56" w14:textId="77777777" w:rsidR="0013534F" w:rsidRDefault="0013534F" w:rsidP="0013534F">
      <w:pPr>
        <w:pStyle w:val="ListBullet"/>
      </w:pPr>
      <w:r>
        <w:t>$83 Mining</w:t>
      </w:r>
    </w:p>
    <w:p w14:paraId="6C3823DD" w14:textId="77777777" w:rsidR="0013534F" w:rsidRDefault="0013534F" w:rsidP="0013534F">
      <w:pPr>
        <w:pStyle w:val="ListBullet"/>
      </w:pPr>
      <w:r>
        <w:t>$77 Finance and Insurance Services</w:t>
      </w:r>
    </w:p>
    <w:p w14:paraId="40C4C29B" w14:textId="77777777" w:rsidR="0013534F" w:rsidRDefault="0013534F" w:rsidP="0013534F">
      <w:pPr>
        <w:pStyle w:val="ListBullet"/>
      </w:pPr>
      <w:r>
        <w:t>$46 Retail Trade</w:t>
      </w:r>
    </w:p>
    <w:p w14:paraId="576A8EBF" w14:textId="77777777" w:rsidR="0013534F" w:rsidRDefault="0013534F" w:rsidP="0013534F">
      <w:pPr>
        <w:pStyle w:val="ListBullet"/>
      </w:pPr>
      <w:r>
        <w:t>$21 Transport, Postal &amp; Warehousing</w:t>
      </w:r>
    </w:p>
    <w:p w14:paraId="2DF31871" w14:textId="77777777" w:rsidR="0013534F" w:rsidRDefault="0013534F" w:rsidP="0013534F">
      <w:pPr>
        <w:pStyle w:val="ListBullet"/>
      </w:pPr>
      <w:r>
        <w:t>$14 Education and Training</w:t>
      </w:r>
    </w:p>
    <w:p w14:paraId="61FD85D5" w14:textId="77777777" w:rsidR="0013534F" w:rsidRDefault="0013534F" w:rsidP="0013534F">
      <w:pPr>
        <w:pStyle w:val="ListBullet"/>
      </w:pPr>
      <w:r>
        <w:t>$14 Information Media and Telecom</w:t>
      </w:r>
    </w:p>
    <w:p w14:paraId="560433F7" w14:textId="77777777" w:rsidR="0013534F" w:rsidRDefault="0013534F" w:rsidP="0013534F">
      <w:pPr>
        <w:pStyle w:val="ListBullet"/>
      </w:pPr>
      <w:r>
        <w:t>$14 Construction</w:t>
      </w:r>
    </w:p>
    <w:p w14:paraId="7A4A60AC" w14:textId="77777777" w:rsidR="0013534F" w:rsidRDefault="0013534F" w:rsidP="0013534F">
      <w:pPr>
        <w:pStyle w:val="ListBullet"/>
      </w:pPr>
      <w:r>
        <w:t>$13 Healthcare and Social Assistance</w:t>
      </w:r>
    </w:p>
    <w:p w14:paraId="126B8D70" w14:textId="77777777" w:rsidR="0013534F" w:rsidRDefault="0013534F" w:rsidP="0013534F">
      <w:pPr>
        <w:pStyle w:val="ListBullet"/>
      </w:pPr>
      <w:r>
        <w:t>$12 Rental, Hiring and Real Estate Services</w:t>
      </w:r>
    </w:p>
    <w:p w14:paraId="431DCB58" w14:textId="77777777" w:rsidR="0013534F" w:rsidRDefault="0013534F" w:rsidP="0013534F">
      <w:pPr>
        <w:pStyle w:val="ListBullet"/>
      </w:pPr>
      <w:r>
        <w:t>$11 Administrative and Support Services</w:t>
      </w:r>
    </w:p>
    <w:p w14:paraId="690EB7A6" w14:textId="77777777" w:rsidR="0013534F" w:rsidRDefault="0013534F" w:rsidP="0013534F">
      <w:pPr>
        <w:pStyle w:val="ListBullet"/>
      </w:pPr>
      <w:r>
        <w:t>$9 Other Services</w:t>
      </w:r>
    </w:p>
    <w:p w14:paraId="74A83C7C" w14:textId="77777777" w:rsidR="0013534F" w:rsidRDefault="0013534F" w:rsidP="0013534F">
      <w:pPr>
        <w:pStyle w:val="ListBullet"/>
      </w:pPr>
      <w:r>
        <w:t>$7 Electricity, Water and Waste Services</w:t>
      </w:r>
    </w:p>
    <w:p w14:paraId="75255170" w14:textId="77777777" w:rsidR="0013534F" w:rsidRDefault="0013534F" w:rsidP="0013534F">
      <w:pPr>
        <w:pStyle w:val="ListBullet"/>
      </w:pPr>
      <w:r>
        <w:t>$5 Agriculture, Forestry and Fishing</w:t>
      </w:r>
    </w:p>
    <w:p w14:paraId="33B22136" w14:textId="77777777" w:rsidR="0013534F" w:rsidRDefault="0013534F" w:rsidP="0013534F">
      <w:pPr>
        <w:pStyle w:val="ListBullet"/>
      </w:pPr>
      <w:r>
        <w:t>$4 Arts and Recreation Services</w:t>
      </w:r>
    </w:p>
    <w:p w14:paraId="53B0E145" w14:textId="77777777" w:rsidR="0013534F" w:rsidRDefault="0013534F" w:rsidP="0013534F">
      <w:pPr>
        <w:pStyle w:val="ListBullet"/>
      </w:pPr>
      <w:r>
        <w:t>$2 Accommodation and Food Services</w:t>
      </w:r>
    </w:p>
    <w:p w14:paraId="43BEE6F0" w14:textId="77777777" w:rsidR="0013534F" w:rsidRDefault="0013534F" w:rsidP="0013534F">
      <w:pPr>
        <w:pStyle w:val="ListBullet"/>
      </w:pPr>
      <w:r>
        <w:t>$1 Public Administration and Safety</w:t>
      </w:r>
    </w:p>
    <w:p w14:paraId="0A9BF437" w14:textId="009064B5" w:rsidR="00375EC5" w:rsidRDefault="00375EC5" w:rsidP="008F16A1">
      <w:pPr>
        <w:pStyle w:val="Heading2"/>
      </w:pPr>
      <w:r w:rsidRPr="00375EC5">
        <w:lastRenderedPageBreak/>
        <w:t>Retail trade employed the largest number of people across exporting sectors</w:t>
      </w:r>
    </w:p>
    <w:p w14:paraId="1BF48892" w14:textId="77777777" w:rsidR="00375EC5" w:rsidRDefault="00375EC5" w:rsidP="00375EC5">
      <w:r>
        <w:t xml:space="preserve">Australian exporters directly employed almost 3 million </w:t>
      </w:r>
      <w:r w:rsidR="000646CC" w:rsidRPr="000646CC">
        <w:t>people, or 23 %</w:t>
      </w:r>
      <w:r w:rsidR="000646CC">
        <w:t xml:space="preserve"> </w:t>
      </w:r>
      <w:r>
        <w:t>of the labour force, in 2020-21. Exporters in the retail trade industry employed the most Australians in 2020-21 (22% of employment generated by exporters) followed by the manufacturing (13%) and wholesale trade (1%) industries.</w:t>
      </w:r>
    </w:p>
    <w:p w14:paraId="0F28116C" w14:textId="77777777" w:rsidR="00375EC5" w:rsidRDefault="00375EC5" w:rsidP="00375EC5">
      <w:pPr>
        <w:pStyle w:val="Heading3"/>
      </w:pPr>
      <w:r>
        <w:t>Figure 5. Employment generated by Australian exporters by industry</w:t>
      </w:r>
      <w:r>
        <w:rPr>
          <w:rStyle w:val="FootnoteReference"/>
        </w:rPr>
        <w:footnoteReference w:id="11"/>
      </w:r>
      <w:r>
        <w:br/>
        <w:t>Number of employees, 2020-2021</w:t>
      </w:r>
    </w:p>
    <w:p w14:paraId="134A81CC" w14:textId="77777777" w:rsidR="00D74FCA" w:rsidRDefault="00D74FCA" w:rsidP="00D74FCA">
      <w:pPr>
        <w:pStyle w:val="ListBullet"/>
      </w:pPr>
      <w:r w:rsidRPr="002C3A60">
        <w:t>657,234 Retail Trade</w:t>
      </w:r>
    </w:p>
    <w:p w14:paraId="2C6238B1" w14:textId="77777777" w:rsidR="00D74FCA" w:rsidRDefault="00D74FCA" w:rsidP="00D74FCA">
      <w:pPr>
        <w:pStyle w:val="ListBullet"/>
      </w:pPr>
      <w:r w:rsidRPr="00375EC5">
        <w:t>398,638</w:t>
      </w:r>
      <w:r w:rsidRPr="00D839C4">
        <w:t xml:space="preserve"> Manufacturing</w:t>
      </w:r>
    </w:p>
    <w:p w14:paraId="4F25A003" w14:textId="77777777" w:rsidR="00D74FCA" w:rsidRDefault="00D74FCA" w:rsidP="00D74FCA">
      <w:pPr>
        <w:pStyle w:val="ListBullet"/>
      </w:pPr>
      <w:r w:rsidRPr="002C3A60">
        <w:t>325,178</w:t>
      </w:r>
      <w:r>
        <w:t xml:space="preserve"> Wholesale Trade</w:t>
      </w:r>
    </w:p>
    <w:p w14:paraId="71787864" w14:textId="77777777" w:rsidR="00D74FCA" w:rsidRDefault="00D74FCA" w:rsidP="00D74FCA">
      <w:pPr>
        <w:pStyle w:val="ListBullet"/>
      </w:pPr>
      <w:r w:rsidRPr="00375EC5">
        <w:t>289,048</w:t>
      </w:r>
      <w:r>
        <w:t xml:space="preserve"> Education and Training</w:t>
      </w:r>
    </w:p>
    <w:p w14:paraId="35AF8459" w14:textId="77777777" w:rsidR="00D74FCA" w:rsidRDefault="00D74FCA" w:rsidP="00D74FCA">
      <w:pPr>
        <w:pStyle w:val="ListBullet"/>
      </w:pPr>
      <w:r w:rsidRPr="00375EC5">
        <w:t>256,384</w:t>
      </w:r>
      <w:r>
        <w:t xml:space="preserve"> Professional, Scientific and Technical Services</w:t>
      </w:r>
    </w:p>
    <w:p w14:paraId="29751317" w14:textId="77777777" w:rsidR="00D74FCA" w:rsidRDefault="00D74FCA" w:rsidP="00D74FCA">
      <w:pPr>
        <w:pStyle w:val="ListBullet"/>
      </w:pPr>
      <w:r w:rsidRPr="00375EC5">
        <w:t>162,242</w:t>
      </w:r>
      <w:r>
        <w:t xml:space="preserve"> Finance and Insurance Services</w:t>
      </w:r>
    </w:p>
    <w:p w14:paraId="0B6A1B25" w14:textId="77777777" w:rsidR="00D74FCA" w:rsidRDefault="00D74FCA" w:rsidP="00D74FCA">
      <w:pPr>
        <w:pStyle w:val="ListBullet"/>
      </w:pPr>
      <w:r w:rsidRPr="00375EC5">
        <w:t>156,882</w:t>
      </w:r>
      <w:r>
        <w:t xml:space="preserve"> Healthcare and Social Assistance</w:t>
      </w:r>
    </w:p>
    <w:p w14:paraId="00A0205B" w14:textId="77777777" w:rsidR="00D74FCA" w:rsidRDefault="00D74FCA" w:rsidP="00D74FCA">
      <w:pPr>
        <w:pStyle w:val="ListBullet"/>
      </w:pPr>
      <w:r w:rsidRPr="00375EC5">
        <w:t>136,610</w:t>
      </w:r>
      <w:r>
        <w:t xml:space="preserve"> Administrative and Support Services</w:t>
      </w:r>
    </w:p>
    <w:p w14:paraId="1A05E23B" w14:textId="77777777" w:rsidR="00D74FCA" w:rsidRDefault="00D74FCA" w:rsidP="00D74FCA">
      <w:pPr>
        <w:pStyle w:val="ListBullet"/>
      </w:pPr>
      <w:r w:rsidRPr="00375EC5">
        <w:t>125,737</w:t>
      </w:r>
      <w:r>
        <w:t xml:space="preserve"> Transport, Postal &amp; Warehousing</w:t>
      </w:r>
    </w:p>
    <w:p w14:paraId="6EC4BA7D" w14:textId="77777777" w:rsidR="00D74FCA" w:rsidRDefault="00D74FCA" w:rsidP="00D74FCA">
      <w:pPr>
        <w:pStyle w:val="ListBullet"/>
      </w:pPr>
      <w:r w:rsidRPr="00375EC5">
        <w:t>72,008</w:t>
      </w:r>
      <w:r>
        <w:t xml:space="preserve"> Construction</w:t>
      </w:r>
    </w:p>
    <w:p w14:paraId="0C333693" w14:textId="77777777" w:rsidR="00D74FCA" w:rsidRDefault="00D74FCA" w:rsidP="00D74FCA">
      <w:pPr>
        <w:pStyle w:val="ListBullet"/>
      </w:pPr>
      <w:r w:rsidRPr="00375EC5">
        <w:t>65,021</w:t>
      </w:r>
      <w:r>
        <w:t xml:space="preserve"> Information Media and Telecom</w:t>
      </w:r>
    </w:p>
    <w:p w14:paraId="23C16984" w14:textId="77777777" w:rsidR="00D74FCA" w:rsidRDefault="00D74FCA" w:rsidP="00D74FCA">
      <w:pPr>
        <w:pStyle w:val="ListBullet"/>
      </w:pPr>
      <w:r w:rsidRPr="00375EC5">
        <w:t>62,632</w:t>
      </w:r>
      <w:r>
        <w:t xml:space="preserve"> Other Services</w:t>
      </w:r>
    </w:p>
    <w:p w14:paraId="4DF9A4B3" w14:textId="77777777" w:rsidR="00D74FCA" w:rsidRDefault="00D74FCA" w:rsidP="00D74FCA">
      <w:pPr>
        <w:pStyle w:val="ListBullet"/>
      </w:pPr>
      <w:r w:rsidRPr="002C3A60">
        <w:t>56,430</w:t>
      </w:r>
      <w:r>
        <w:t xml:space="preserve"> Accommodation and Food Services</w:t>
      </w:r>
    </w:p>
    <w:p w14:paraId="7D304642" w14:textId="77777777" w:rsidR="00D74FCA" w:rsidRDefault="00D74FCA" w:rsidP="00D74FCA">
      <w:pPr>
        <w:pStyle w:val="ListBullet"/>
      </w:pPr>
      <w:r w:rsidRPr="00375EC5">
        <w:t>55,962</w:t>
      </w:r>
      <w:r>
        <w:t>Mining</w:t>
      </w:r>
    </w:p>
    <w:p w14:paraId="40044D02" w14:textId="77777777" w:rsidR="00D74FCA" w:rsidRDefault="00D74FCA" w:rsidP="00D74FCA">
      <w:pPr>
        <w:pStyle w:val="ListBullet"/>
      </w:pPr>
      <w:r w:rsidRPr="00375EC5">
        <w:t>41,566</w:t>
      </w:r>
      <w:r>
        <w:t xml:space="preserve"> Rental, Hiring and Real Estate Services</w:t>
      </w:r>
    </w:p>
    <w:p w14:paraId="000B2976" w14:textId="77777777" w:rsidR="00D74FCA" w:rsidRDefault="00D74FCA" w:rsidP="00D74FCA">
      <w:pPr>
        <w:pStyle w:val="ListBullet"/>
      </w:pPr>
      <w:r w:rsidRPr="002C3A60">
        <w:t>40,360</w:t>
      </w:r>
      <w:r>
        <w:t xml:space="preserve"> Agriculture, Forestry and Fishing</w:t>
      </w:r>
    </w:p>
    <w:p w14:paraId="2C277392" w14:textId="04A399A8" w:rsidR="00CB09D0" w:rsidRDefault="00CB09D0" w:rsidP="00CB09D0"/>
    <w:p w14:paraId="6F96F759" w14:textId="7E8E1779" w:rsidR="008F16A1" w:rsidRDefault="008F16A1" w:rsidP="008F16A1">
      <w:pPr>
        <w:pStyle w:val="Heading2"/>
      </w:pPr>
      <w:r>
        <w:lastRenderedPageBreak/>
        <w:t>Across the states and territories, Victoria generated the most value</w:t>
      </w:r>
      <w:r w:rsidR="0043044F">
        <w:t>-</w:t>
      </w:r>
      <w:r>
        <w:t>added but New South Wales had the largest number of jobs</w:t>
      </w:r>
    </w:p>
    <w:p w14:paraId="0D9BFB82" w14:textId="77777777" w:rsidR="008F16A1" w:rsidRDefault="008F16A1" w:rsidP="008F16A1">
      <w:r>
        <w:t>In 2020-21 39% of value</w:t>
      </w:r>
      <w:r w:rsidR="0043044F">
        <w:t>-</w:t>
      </w:r>
      <w:r>
        <w:t>added by exporters come from Victoria, followed by New South Wales (35%), Western Australia (15%), Queensland (8%), South Australia (3%), Tasmania (&lt;1%), the Australian Capital Territory (&lt;1%) and the Northern Territory (&lt;1%).</w:t>
      </w:r>
    </w:p>
    <w:p w14:paraId="340C6C8A" w14:textId="14D51A47" w:rsidR="008F16A1" w:rsidRDefault="008F16A1" w:rsidP="00FF4181">
      <w:pPr>
        <w:pStyle w:val="Heading3"/>
      </w:pPr>
      <w:r>
        <w:t>Figure 6.</w:t>
      </w:r>
      <w:r w:rsidR="00FF4181" w:rsidRPr="00FF4181">
        <w:t xml:space="preserve"> </w:t>
      </w:r>
      <w:r w:rsidR="00FF4181">
        <w:t>Value-added and employment generated by exporters, per state</w:t>
      </w:r>
    </w:p>
    <w:p w14:paraId="21D6351A" w14:textId="77777777" w:rsidR="005E1AF9" w:rsidRPr="005E1AF9" w:rsidRDefault="006B3123" w:rsidP="005E1AF9">
      <w:pPr>
        <w:pStyle w:val="ListBullet"/>
        <w:rPr>
          <w:b/>
          <w:bCs/>
        </w:rPr>
      </w:pPr>
      <w:r w:rsidRPr="005E1AF9">
        <w:rPr>
          <w:b/>
          <w:bCs/>
        </w:rPr>
        <w:t>New South Wales</w:t>
      </w:r>
    </w:p>
    <w:p w14:paraId="29DA8151" w14:textId="77777777" w:rsidR="005E1AF9" w:rsidRDefault="005E1AF9" w:rsidP="00EB75D7">
      <w:pPr>
        <w:pStyle w:val="ListBullet2"/>
      </w:pPr>
      <w:r w:rsidRPr="005F51E7">
        <w:rPr>
          <w:b/>
          <w:bCs/>
        </w:rPr>
        <w:t>$228.3 billion</w:t>
      </w:r>
      <w:r>
        <w:t xml:space="preserve"> Value-added</w:t>
      </w:r>
    </w:p>
    <w:p w14:paraId="1BE357A4" w14:textId="168B2E93" w:rsidR="006F36AD" w:rsidRDefault="005E1AF9" w:rsidP="005E1AF9">
      <w:pPr>
        <w:pStyle w:val="ListBullet2"/>
      </w:pPr>
      <w:r w:rsidRPr="005F51E7">
        <w:rPr>
          <w:b/>
          <w:bCs/>
        </w:rPr>
        <w:t>1,217,041</w:t>
      </w:r>
      <w:r>
        <w:t xml:space="preserve"> Jobs</w:t>
      </w:r>
    </w:p>
    <w:p w14:paraId="6750D694" w14:textId="091562EA" w:rsidR="00F16618" w:rsidRPr="005F51E7" w:rsidRDefault="00F16618" w:rsidP="00F16618">
      <w:pPr>
        <w:pStyle w:val="ListBullet"/>
        <w:rPr>
          <w:b/>
          <w:bCs/>
          <w:i/>
          <w:iCs/>
        </w:rPr>
      </w:pPr>
      <w:r w:rsidRPr="005F51E7">
        <w:rPr>
          <w:b/>
          <w:bCs/>
        </w:rPr>
        <w:t>Victoria</w:t>
      </w:r>
    </w:p>
    <w:p w14:paraId="41483B9D" w14:textId="77777777" w:rsidR="005F51E7" w:rsidRDefault="005F51E7" w:rsidP="00EB75D7">
      <w:pPr>
        <w:pStyle w:val="ListBullet2"/>
      </w:pPr>
      <w:r w:rsidRPr="005F51E7">
        <w:rPr>
          <w:b/>
          <w:bCs/>
        </w:rPr>
        <w:t>$251.0 billion</w:t>
      </w:r>
      <w:r>
        <w:t xml:space="preserve"> Value-added</w:t>
      </w:r>
    </w:p>
    <w:p w14:paraId="14805E1D" w14:textId="68D08093" w:rsidR="00F16618" w:rsidRDefault="005F51E7" w:rsidP="005F51E7">
      <w:pPr>
        <w:pStyle w:val="ListBullet2"/>
      </w:pPr>
      <w:r w:rsidRPr="005F51E7">
        <w:rPr>
          <w:b/>
          <w:bCs/>
        </w:rPr>
        <w:t>1,055,116</w:t>
      </w:r>
      <w:r>
        <w:t xml:space="preserve"> Jobs</w:t>
      </w:r>
    </w:p>
    <w:p w14:paraId="4AAFB724" w14:textId="77777777" w:rsidR="00176934" w:rsidRPr="00176934" w:rsidRDefault="00176934" w:rsidP="00176934">
      <w:pPr>
        <w:pStyle w:val="ListBullet"/>
        <w:rPr>
          <w:b/>
          <w:bCs/>
        </w:rPr>
      </w:pPr>
      <w:r w:rsidRPr="00176934">
        <w:rPr>
          <w:b/>
          <w:bCs/>
        </w:rPr>
        <w:t>Queensland</w:t>
      </w:r>
    </w:p>
    <w:p w14:paraId="367B948F" w14:textId="77777777" w:rsidR="00176934" w:rsidRPr="00176934" w:rsidRDefault="00176934" w:rsidP="00EB75D7">
      <w:pPr>
        <w:pStyle w:val="ListBullet2"/>
      </w:pPr>
      <w:r w:rsidRPr="00176934">
        <w:rPr>
          <w:b/>
          <w:bCs/>
        </w:rPr>
        <w:t xml:space="preserve">$49.2 billion </w:t>
      </w:r>
      <w:r w:rsidRPr="00176934">
        <w:t>Value-added</w:t>
      </w:r>
    </w:p>
    <w:p w14:paraId="21E18403" w14:textId="10D6745F" w:rsidR="005F51E7" w:rsidRDefault="00176934" w:rsidP="00176934">
      <w:pPr>
        <w:pStyle w:val="ListBullet2"/>
      </w:pPr>
      <w:r w:rsidRPr="00176934">
        <w:rPr>
          <w:b/>
          <w:bCs/>
        </w:rPr>
        <w:t xml:space="preserve">332,424 </w:t>
      </w:r>
      <w:r w:rsidRPr="00176934">
        <w:t>Jobs</w:t>
      </w:r>
    </w:p>
    <w:p w14:paraId="4082DEFB" w14:textId="5D4CBD47" w:rsidR="00176934" w:rsidRPr="00176934" w:rsidRDefault="00E076B6" w:rsidP="00176934">
      <w:pPr>
        <w:pStyle w:val="ListBullet"/>
        <w:rPr>
          <w:b/>
          <w:bCs/>
        </w:rPr>
      </w:pPr>
      <w:r w:rsidRPr="00E076B6">
        <w:rPr>
          <w:b/>
          <w:bCs/>
        </w:rPr>
        <w:t>South Australia</w:t>
      </w:r>
    </w:p>
    <w:p w14:paraId="3A46C414" w14:textId="77777777" w:rsidR="00A05009" w:rsidRPr="00A05009" w:rsidRDefault="00A05009" w:rsidP="00EB75D7">
      <w:pPr>
        <w:pStyle w:val="ListBullet2"/>
      </w:pPr>
      <w:r w:rsidRPr="00A05009">
        <w:rPr>
          <w:b/>
          <w:bCs/>
        </w:rPr>
        <w:t>$19.0 billion</w:t>
      </w:r>
      <w:r w:rsidRPr="00A05009">
        <w:t xml:space="preserve"> Value-added</w:t>
      </w:r>
    </w:p>
    <w:p w14:paraId="23ECD3FC" w14:textId="47DD023D" w:rsidR="00F16618" w:rsidRDefault="00A05009" w:rsidP="00A05009">
      <w:pPr>
        <w:pStyle w:val="ListBullet2"/>
        <w:rPr>
          <w:i/>
          <w:iCs/>
        </w:rPr>
      </w:pPr>
      <w:r w:rsidRPr="00A05009">
        <w:rPr>
          <w:b/>
          <w:bCs/>
        </w:rPr>
        <w:t>110,788</w:t>
      </w:r>
      <w:r w:rsidRPr="00A05009">
        <w:t xml:space="preserve"> Jobs</w:t>
      </w:r>
    </w:p>
    <w:p w14:paraId="11A08A32" w14:textId="35D89326" w:rsidR="00E35849" w:rsidRPr="00176934" w:rsidRDefault="003714FB" w:rsidP="00E35849">
      <w:pPr>
        <w:pStyle w:val="ListBullet"/>
        <w:rPr>
          <w:b/>
          <w:bCs/>
        </w:rPr>
      </w:pPr>
      <w:r w:rsidRPr="003714FB">
        <w:rPr>
          <w:b/>
          <w:bCs/>
        </w:rPr>
        <w:t>Western Australia</w:t>
      </w:r>
    </w:p>
    <w:p w14:paraId="2B6EAA6B" w14:textId="77777777" w:rsidR="008D38F5" w:rsidRPr="008D38F5" w:rsidRDefault="008D38F5" w:rsidP="00EB75D7">
      <w:pPr>
        <w:pStyle w:val="ListBullet2"/>
      </w:pPr>
      <w:r w:rsidRPr="008D38F5">
        <w:rPr>
          <w:b/>
          <w:bCs/>
        </w:rPr>
        <w:t>$95.8 billion</w:t>
      </w:r>
      <w:r w:rsidRPr="008D38F5">
        <w:t xml:space="preserve"> Value-added</w:t>
      </w:r>
    </w:p>
    <w:p w14:paraId="7FE86611" w14:textId="56BA76A6" w:rsidR="00E35849" w:rsidRDefault="008D38F5" w:rsidP="008D38F5">
      <w:pPr>
        <w:pStyle w:val="ListBullet2"/>
      </w:pPr>
      <w:r w:rsidRPr="008D38F5">
        <w:rPr>
          <w:b/>
          <w:bCs/>
        </w:rPr>
        <w:t>208,435</w:t>
      </w:r>
      <w:r w:rsidRPr="008D38F5">
        <w:t xml:space="preserve"> Jobs</w:t>
      </w:r>
    </w:p>
    <w:p w14:paraId="4A669C57" w14:textId="2D9C19C8" w:rsidR="008D38F5" w:rsidRPr="00F015CB" w:rsidRDefault="00C3080F" w:rsidP="00C3080F">
      <w:pPr>
        <w:pStyle w:val="ListBullet"/>
        <w:rPr>
          <w:b/>
          <w:bCs/>
        </w:rPr>
      </w:pPr>
      <w:r w:rsidRPr="00F015CB">
        <w:rPr>
          <w:b/>
          <w:bCs/>
        </w:rPr>
        <w:t>Northern Territory</w:t>
      </w:r>
    </w:p>
    <w:p w14:paraId="641EA674" w14:textId="77777777" w:rsidR="00F015CB" w:rsidRDefault="00F015CB" w:rsidP="00EB75D7">
      <w:pPr>
        <w:pStyle w:val="ListBullet2"/>
      </w:pPr>
      <w:r w:rsidRPr="00F015CB">
        <w:rPr>
          <w:b/>
          <w:bCs/>
        </w:rPr>
        <w:t>$0.5 billion</w:t>
      </w:r>
      <w:r>
        <w:t xml:space="preserve"> Value-added</w:t>
      </w:r>
    </w:p>
    <w:p w14:paraId="5895E28D" w14:textId="3118C6A1" w:rsidR="00C3080F" w:rsidRDefault="00F015CB" w:rsidP="00F015CB">
      <w:pPr>
        <w:pStyle w:val="ListBullet2"/>
      </w:pPr>
      <w:r w:rsidRPr="00F015CB">
        <w:rPr>
          <w:b/>
          <w:bCs/>
        </w:rPr>
        <w:t>6,065</w:t>
      </w:r>
      <w:r>
        <w:t xml:space="preserve"> Jobs</w:t>
      </w:r>
    </w:p>
    <w:p w14:paraId="1E88E735" w14:textId="59FEBE2F" w:rsidR="00F015CB" w:rsidRPr="002D703B" w:rsidRDefault="00F0107F" w:rsidP="00F015CB">
      <w:pPr>
        <w:pStyle w:val="ListBullet"/>
        <w:rPr>
          <w:b/>
          <w:bCs/>
        </w:rPr>
      </w:pPr>
      <w:r w:rsidRPr="002D703B">
        <w:rPr>
          <w:b/>
          <w:bCs/>
        </w:rPr>
        <w:t>Tasmania</w:t>
      </w:r>
    </w:p>
    <w:p w14:paraId="518D6E7B" w14:textId="77777777" w:rsidR="002D703B" w:rsidRPr="002D703B" w:rsidRDefault="002D703B" w:rsidP="00EB75D7">
      <w:pPr>
        <w:pStyle w:val="ListBullet2"/>
      </w:pPr>
      <w:r w:rsidRPr="002D703B">
        <w:rPr>
          <w:b/>
          <w:bCs/>
        </w:rPr>
        <w:t>$3.2 billion</w:t>
      </w:r>
      <w:r w:rsidRPr="002D703B">
        <w:t xml:space="preserve"> Value-added</w:t>
      </w:r>
    </w:p>
    <w:p w14:paraId="2F525588" w14:textId="32F59560" w:rsidR="002D703B" w:rsidRPr="002426BF" w:rsidRDefault="002D703B" w:rsidP="002D703B">
      <w:pPr>
        <w:pStyle w:val="ListBullet2"/>
        <w:rPr>
          <w:i/>
          <w:iCs/>
        </w:rPr>
      </w:pPr>
      <w:r w:rsidRPr="002D703B">
        <w:rPr>
          <w:b/>
          <w:bCs/>
        </w:rPr>
        <w:t>28,540</w:t>
      </w:r>
      <w:r w:rsidRPr="002D703B">
        <w:t xml:space="preserve"> Jobs</w:t>
      </w:r>
    </w:p>
    <w:p w14:paraId="12704B49" w14:textId="25117108" w:rsidR="002426BF" w:rsidRPr="00C40840" w:rsidRDefault="00C40840" w:rsidP="00C40840">
      <w:pPr>
        <w:pStyle w:val="ListBullet"/>
        <w:rPr>
          <w:b/>
          <w:bCs/>
        </w:rPr>
      </w:pPr>
      <w:r w:rsidRPr="00C40840">
        <w:rPr>
          <w:b/>
          <w:bCs/>
        </w:rPr>
        <w:lastRenderedPageBreak/>
        <w:t>ACT</w:t>
      </w:r>
    </w:p>
    <w:p w14:paraId="1C9C8CDE" w14:textId="77777777" w:rsidR="00EB75D7" w:rsidRDefault="00EB75D7" w:rsidP="00EB75D7">
      <w:pPr>
        <w:pStyle w:val="ListBullet2"/>
      </w:pPr>
      <w:r w:rsidRPr="00EB75D7">
        <w:rPr>
          <w:b/>
          <w:bCs/>
        </w:rPr>
        <w:t>$2.1 billion</w:t>
      </w:r>
      <w:r>
        <w:t xml:space="preserve"> Value-added</w:t>
      </w:r>
    </w:p>
    <w:p w14:paraId="292A0FEE" w14:textId="3CD4EC54" w:rsidR="00C40840" w:rsidRDefault="00EB75D7" w:rsidP="00EB75D7">
      <w:pPr>
        <w:pStyle w:val="ListBullet2"/>
      </w:pPr>
      <w:r w:rsidRPr="00EB75D7">
        <w:rPr>
          <w:b/>
          <w:bCs/>
        </w:rPr>
        <w:t>23,558</w:t>
      </w:r>
      <w:r>
        <w:t xml:space="preserve"> Jobs</w:t>
      </w:r>
    </w:p>
    <w:p w14:paraId="3C01B844" w14:textId="5236D8F2" w:rsidR="00A011DF" w:rsidRDefault="008F16A1" w:rsidP="007977CC">
      <w:pPr>
        <w:pStyle w:val="Caption"/>
        <w:rPr>
          <w:color w:val="7A4282" w:themeColor="accent1"/>
          <w:sz w:val="32"/>
          <w:szCs w:val="32"/>
        </w:rPr>
      </w:pPr>
      <w:r w:rsidRPr="008F16A1">
        <w:t>Sources: Australian Bureau of Statistics (2022) Business Longitudinal Analysis Data Environment; Austrade Economics</w:t>
      </w:r>
      <w:r w:rsidR="00A011DF">
        <w:br w:type="page"/>
      </w:r>
    </w:p>
    <w:p w14:paraId="2906CDB7" w14:textId="77777777" w:rsidR="008F16A1" w:rsidRDefault="008F16A1" w:rsidP="008F16A1">
      <w:pPr>
        <w:pStyle w:val="Heading2"/>
      </w:pPr>
      <w:r w:rsidRPr="008F16A1">
        <w:lastRenderedPageBreak/>
        <w:t>The majority of exporters were small and medium enterprises (SMEs)</w:t>
      </w:r>
    </w:p>
    <w:p w14:paraId="050EA420" w14:textId="6C6EF428" w:rsidR="00A011DF" w:rsidRDefault="008F16A1" w:rsidP="00A011DF">
      <w:r w:rsidRPr="008F16A1">
        <w:t>The majority (</w:t>
      </w:r>
      <w:r w:rsidR="0043044F">
        <w:t>93</w:t>
      </w:r>
      <w:r w:rsidRPr="008F16A1">
        <w:t>%) of exporters were small and medium enterprises (SMEs) in 2020-21. Micro firms made up 18% and large firms 7% of the exporter population.</w:t>
      </w:r>
    </w:p>
    <w:p w14:paraId="57F446DC" w14:textId="77777777" w:rsidR="00CB09D0" w:rsidRDefault="00CB09D0" w:rsidP="00CB09D0">
      <w:r>
        <w:t xml:space="preserve">Large firms generated 68% of value added, </w:t>
      </w:r>
      <w:r w:rsidRPr="0043044F">
        <w:t>medium sized firms (21%), small (9%) and micro (2%).</w:t>
      </w:r>
    </w:p>
    <w:p w14:paraId="7799879B" w14:textId="725083F8" w:rsidR="00CB09D0" w:rsidRDefault="00CB09D0" w:rsidP="00A011DF">
      <w:r>
        <w:t xml:space="preserve">Large exporters generated 78% of exporter employment, </w:t>
      </w:r>
      <w:r w:rsidRPr="0043044F">
        <w:t>medium sized firms (18%), small (3%) and micro (1%)</w:t>
      </w:r>
      <w:r>
        <w:t>.</w:t>
      </w:r>
    </w:p>
    <w:p w14:paraId="1DBB0D69" w14:textId="77777777" w:rsidR="003E1BF4" w:rsidRDefault="003E1BF4" w:rsidP="003E1BF4">
      <w:pPr>
        <w:pStyle w:val="Heading3"/>
      </w:pPr>
      <w:r>
        <w:t>Figure 7.</w:t>
      </w:r>
      <w:r w:rsidR="0043044F" w:rsidRPr="0043044F">
        <w:t xml:space="preserve"> Economic contribution of exporters, by firm size</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002592" w:rsidRPr="00823B47" w14:paraId="3227D73C"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3C25CA2E" w14:textId="7689BDF4" w:rsidR="00002592" w:rsidRPr="00823B47" w:rsidRDefault="000B252E" w:rsidP="00901636">
            <w:pPr>
              <w:pStyle w:val="Tableheadermain"/>
              <w:rPr>
                <w:b/>
                <w:bCs/>
              </w:rPr>
            </w:pPr>
            <w:r>
              <w:rPr>
                <w:b/>
                <w:bCs/>
              </w:rPr>
              <w:t>Type of Enterprise</w:t>
            </w:r>
          </w:p>
        </w:tc>
        <w:tc>
          <w:tcPr>
            <w:tcW w:w="4732" w:type="dxa"/>
          </w:tcPr>
          <w:p w14:paraId="10CA0B80" w14:textId="0F1F4254" w:rsidR="00002592" w:rsidRPr="00823B47" w:rsidRDefault="000B252E"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Pr>
                <w:b/>
                <w:bCs/>
                <w:lang w:val="en-AU"/>
              </w:rPr>
              <w:t>Number of exporters</w:t>
            </w:r>
          </w:p>
        </w:tc>
      </w:tr>
      <w:tr w:rsidR="00002592" w14:paraId="7205361F" w14:textId="77777777" w:rsidTr="000362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3D78F94E" w14:textId="22E841B1" w:rsidR="00002592" w:rsidRPr="00206933" w:rsidRDefault="00DA350B" w:rsidP="00901636">
            <w:pPr>
              <w:pStyle w:val="Tablecopy"/>
            </w:pPr>
            <w:r w:rsidRPr="00DA350B">
              <w:t>Large</w:t>
            </w:r>
          </w:p>
        </w:tc>
        <w:tc>
          <w:tcPr>
            <w:tcW w:w="4732" w:type="dxa"/>
          </w:tcPr>
          <w:p w14:paraId="6500FD60" w14:textId="7BF0CB7D" w:rsidR="00002592" w:rsidRDefault="00DA350B" w:rsidP="00901636">
            <w:pPr>
              <w:pStyle w:val="Tablecopy"/>
              <w:cnfStyle w:val="000000100000" w:firstRow="0" w:lastRow="0" w:firstColumn="0" w:lastColumn="0" w:oddVBand="0" w:evenVBand="0" w:oddHBand="1" w:evenHBand="0" w:firstRowFirstColumn="0" w:firstRowLastColumn="0" w:lastRowFirstColumn="0" w:lastRowLastColumn="0"/>
            </w:pPr>
            <w:r w:rsidRPr="00DA350B">
              <w:rPr>
                <w:lang w:val="en-US"/>
              </w:rPr>
              <w:t>1,681</w:t>
            </w:r>
          </w:p>
        </w:tc>
      </w:tr>
      <w:tr w:rsidR="00002592" w14:paraId="11DE6C74" w14:textId="77777777" w:rsidTr="000362D9">
        <w:tc>
          <w:tcPr>
            <w:cnfStyle w:val="000010000000" w:firstRow="0" w:lastRow="0" w:firstColumn="0" w:lastColumn="0" w:oddVBand="1" w:evenVBand="0" w:oddHBand="0" w:evenHBand="0" w:firstRowFirstColumn="0" w:firstRowLastColumn="0" w:lastRowFirstColumn="0" w:lastRowLastColumn="0"/>
            <w:tcW w:w="4732" w:type="dxa"/>
          </w:tcPr>
          <w:p w14:paraId="4CFA32D4" w14:textId="0BFF9A26" w:rsidR="00002592" w:rsidRDefault="00D446A9" w:rsidP="00901636">
            <w:pPr>
              <w:pStyle w:val="Tablecopy"/>
            </w:pPr>
            <w:r w:rsidRPr="00D446A9">
              <w:t>Medium</w:t>
            </w:r>
          </w:p>
        </w:tc>
        <w:tc>
          <w:tcPr>
            <w:tcW w:w="4732" w:type="dxa"/>
          </w:tcPr>
          <w:p w14:paraId="357CDAB0" w14:textId="58C9C0B6" w:rsidR="00002592" w:rsidRDefault="00445006" w:rsidP="00901636">
            <w:pPr>
              <w:pStyle w:val="Tablecopy"/>
              <w:cnfStyle w:val="000000000000" w:firstRow="0" w:lastRow="0" w:firstColumn="0" w:lastColumn="0" w:oddVBand="0" w:evenVBand="0" w:oddHBand="0" w:evenHBand="0" w:firstRowFirstColumn="0" w:firstRowLastColumn="0" w:lastRowFirstColumn="0" w:lastRowLastColumn="0"/>
            </w:pPr>
            <w:r w:rsidRPr="00445006">
              <w:rPr>
                <w:lang w:val="en-US"/>
              </w:rPr>
              <w:t>9,167</w:t>
            </w:r>
          </w:p>
        </w:tc>
      </w:tr>
      <w:tr w:rsidR="00002592" w14:paraId="3A6CA050" w14:textId="77777777" w:rsidTr="000362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CF361CE" w14:textId="51DE0BC2" w:rsidR="00002592" w:rsidRDefault="00D446A9" w:rsidP="00901636">
            <w:pPr>
              <w:pStyle w:val="Tablecopy"/>
            </w:pPr>
            <w:r>
              <w:t>Small</w:t>
            </w:r>
          </w:p>
        </w:tc>
        <w:tc>
          <w:tcPr>
            <w:tcW w:w="4732" w:type="dxa"/>
          </w:tcPr>
          <w:p w14:paraId="3FFBD023" w14:textId="4B430D71" w:rsidR="00002592" w:rsidRDefault="00445006" w:rsidP="00901636">
            <w:pPr>
              <w:pStyle w:val="Tablecopy"/>
              <w:cnfStyle w:val="000000100000" w:firstRow="0" w:lastRow="0" w:firstColumn="0" w:lastColumn="0" w:oddVBand="0" w:evenVBand="0" w:oddHBand="1" w:evenHBand="0" w:firstRowFirstColumn="0" w:firstRowLastColumn="0" w:lastRowFirstColumn="0" w:lastRowLastColumn="0"/>
            </w:pPr>
            <w:r w:rsidRPr="00445006">
              <w:rPr>
                <w:lang w:val="en-US"/>
              </w:rPr>
              <w:t>9,464</w:t>
            </w:r>
          </w:p>
        </w:tc>
      </w:tr>
      <w:tr w:rsidR="00002592" w14:paraId="083B0026" w14:textId="77777777" w:rsidTr="000362D9">
        <w:tc>
          <w:tcPr>
            <w:cnfStyle w:val="000010000000" w:firstRow="0" w:lastRow="0" w:firstColumn="0" w:lastColumn="0" w:oddVBand="1" w:evenVBand="0" w:oddHBand="0" w:evenHBand="0" w:firstRowFirstColumn="0" w:firstRowLastColumn="0" w:lastRowFirstColumn="0" w:lastRowLastColumn="0"/>
            <w:tcW w:w="4732" w:type="dxa"/>
          </w:tcPr>
          <w:p w14:paraId="744EEF7B" w14:textId="727ED056" w:rsidR="00002592" w:rsidRDefault="00D446A9" w:rsidP="00901636">
            <w:pPr>
              <w:pStyle w:val="Tablecopy"/>
            </w:pPr>
            <w:r>
              <w:t>Micro</w:t>
            </w:r>
          </w:p>
        </w:tc>
        <w:tc>
          <w:tcPr>
            <w:tcW w:w="4732" w:type="dxa"/>
          </w:tcPr>
          <w:p w14:paraId="13463A65" w14:textId="353936D5" w:rsidR="00002592" w:rsidRDefault="00445006" w:rsidP="00901636">
            <w:pPr>
              <w:pStyle w:val="Tablecopy"/>
              <w:cnfStyle w:val="000000000000" w:firstRow="0" w:lastRow="0" w:firstColumn="0" w:lastColumn="0" w:oddVBand="0" w:evenVBand="0" w:oddHBand="0" w:evenHBand="0" w:firstRowFirstColumn="0" w:firstRowLastColumn="0" w:lastRowFirstColumn="0" w:lastRowLastColumn="0"/>
            </w:pPr>
            <w:r w:rsidRPr="00445006">
              <w:t>4,297</w:t>
            </w:r>
          </w:p>
        </w:tc>
      </w:tr>
    </w:tbl>
    <w:p w14:paraId="05A23DB4" w14:textId="6EF96BE8" w:rsidR="00002592" w:rsidRDefault="00002592" w:rsidP="00445006">
      <w:pPr>
        <w:pStyle w:val="Caption"/>
        <w:ind w:firstLine="720"/>
      </w:pP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445006" w:rsidRPr="00823B47" w14:paraId="52AAC965"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5B1C91B9" w14:textId="77777777" w:rsidR="00445006" w:rsidRPr="00823B47" w:rsidRDefault="00445006" w:rsidP="00901636">
            <w:pPr>
              <w:pStyle w:val="Tableheadermain"/>
              <w:rPr>
                <w:b/>
                <w:bCs/>
              </w:rPr>
            </w:pPr>
            <w:r>
              <w:rPr>
                <w:b/>
                <w:bCs/>
              </w:rPr>
              <w:t>Type of Enterprise</w:t>
            </w:r>
          </w:p>
        </w:tc>
        <w:tc>
          <w:tcPr>
            <w:tcW w:w="4732" w:type="dxa"/>
          </w:tcPr>
          <w:p w14:paraId="720F5E8A" w14:textId="758E816F" w:rsidR="00445006" w:rsidRPr="00823B47" w:rsidRDefault="00843B6C"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843B6C">
              <w:rPr>
                <w:b/>
                <w:bCs/>
                <w:lang w:val="en-AU"/>
              </w:rPr>
              <w:t>Value-added Total (A$ billion)</w:t>
            </w:r>
          </w:p>
        </w:tc>
      </w:tr>
      <w:tr w:rsidR="00445006" w14:paraId="01093D92"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CFD0BDE" w14:textId="77777777" w:rsidR="00445006" w:rsidRPr="00206933" w:rsidRDefault="00445006" w:rsidP="00901636">
            <w:pPr>
              <w:pStyle w:val="Tablecopy"/>
            </w:pPr>
            <w:r w:rsidRPr="00DA350B">
              <w:t>Large</w:t>
            </w:r>
          </w:p>
        </w:tc>
        <w:tc>
          <w:tcPr>
            <w:tcW w:w="4732" w:type="dxa"/>
          </w:tcPr>
          <w:p w14:paraId="12BD3E3C" w14:textId="43588587" w:rsidR="00445006" w:rsidRDefault="00843B6C" w:rsidP="00901636">
            <w:pPr>
              <w:pStyle w:val="Tablecopy"/>
              <w:cnfStyle w:val="000000100000" w:firstRow="0" w:lastRow="0" w:firstColumn="0" w:lastColumn="0" w:oddVBand="0" w:evenVBand="0" w:oddHBand="1" w:evenHBand="0" w:firstRowFirstColumn="0" w:firstRowLastColumn="0" w:lastRowFirstColumn="0" w:lastRowLastColumn="0"/>
            </w:pPr>
            <w:r w:rsidRPr="00843B6C">
              <w:rPr>
                <w:lang w:val="en-US"/>
              </w:rPr>
              <w:t>440.1</w:t>
            </w:r>
          </w:p>
        </w:tc>
      </w:tr>
      <w:tr w:rsidR="00445006" w14:paraId="7A465C76"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5A8BBF3D" w14:textId="77777777" w:rsidR="00445006" w:rsidRDefault="00445006" w:rsidP="00901636">
            <w:pPr>
              <w:pStyle w:val="Tablecopy"/>
            </w:pPr>
            <w:r w:rsidRPr="00D446A9">
              <w:t>Medium</w:t>
            </w:r>
          </w:p>
        </w:tc>
        <w:tc>
          <w:tcPr>
            <w:tcW w:w="4732" w:type="dxa"/>
          </w:tcPr>
          <w:p w14:paraId="3E345FA7" w14:textId="25BA1057" w:rsidR="00445006" w:rsidRDefault="00B26939" w:rsidP="00901636">
            <w:pPr>
              <w:pStyle w:val="Tablecopy"/>
              <w:cnfStyle w:val="000000000000" w:firstRow="0" w:lastRow="0" w:firstColumn="0" w:lastColumn="0" w:oddVBand="0" w:evenVBand="0" w:oddHBand="0" w:evenHBand="0" w:firstRowFirstColumn="0" w:firstRowLastColumn="0" w:lastRowFirstColumn="0" w:lastRowLastColumn="0"/>
            </w:pPr>
            <w:r w:rsidRPr="00B26939">
              <w:rPr>
                <w:lang w:val="en-US"/>
              </w:rPr>
              <w:t>139.9</w:t>
            </w:r>
          </w:p>
        </w:tc>
      </w:tr>
      <w:tr w:rsidR="00445006" w14:paraId="1D6B4A28"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856100D" w14:textId="77777777" w:rsidR="00445006" w:rsidRDefault="00445006" w:rsidP="00901636">
            <w:pPr>
              <w:pStyle w:val="Tablecopy"/>
            </w:pPr>
            <w:r>
              <w:t>Small</w:t>
            </w:r>
          </w:p>
        </w:tc>
        <w:tc>
          <w:tcPr>
            <w:tcW w:w="4732" w:type="dxa"/>
          </w:tcPr>
          <w:p w14:paraId="18B2C639" w14:textId="7851F064" w:rsidR="00445006" w:rsidRDefault="00B26939" w:rsidP="00901636">
            <w:pPr>
              <w:pStyle w:val="Tablecopy"/>
              <w:cnfStyle w:val="000000100000" w:firstRow="0" w:lastRow="0" w:firstColumn="0" w:lastColumn="0" w:oddVBand="0" w:evenVBand="0" w:oddHBand="1" w:evenHBand="0" w:firstRowFirstColumn="0" w:firstRowLastColumn="0" w:lastRowFirstColumn="0" w:lastRowLastColumn="0"/>
            </w:pPr>
            <w:r w:rsidRPr="00B26939">
              <w:rPr>
                <w:lang w:val="en-US"/>
              </w:rPr>
              <w:t>55.6</w:t>
            </w:r>
          </w:p>
        </w:tc>
      </w:tr>
      <w:tr w:rsidR="00445006" w14:paraId="69C4219F"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3808A504" w14:textId="77777777" w:rsidR="00445006" w:rsidRDefault="00445006" w:rsidP="00901636">
            <w:pPr>
              <w:pStyle w:val="Tablecopy"/>
            </w:pPr>
            <w:r>
              <w:t>Micro</w:t>
            </w:r>
          </w:p>
        </w:tc>
        <w:tc>
          <w:tcPr>
            <w:tcW w:w="4732" w:type="dxa"/>
          </w:tcPr>
          <w:p w14:paraId="3EAF650B" w14:textId="2370D3E4" w:rsidR="00445006" w:rsidRDefault="00DE4827" w:rsidP="00901636">
            <w:pPr>
              <w:pStyle w:val="Tablecopy"/>
              <w:cnfStyle w:val="000000000000" w:firstRow="0" w:lastRow="0" w:firstColumn="0" w:lastColumn="0" w:oddVBand="0" w:evenVBand="0" w:oddHBand="0" w:evenHBand="0" w:firstRowFirstColumn="0" w:firstRowLastColumn="0" w:lastRowFirstColumn="0" w:lastRowLastColumn="0"/>
            </w:pPr>
            <w:r w:rsidRPr="00DE4827">
              <w:t>11</w:t>
            </w:r>
          </w:p>
        </w:tc>
      </w:tr>
    </w:tbl>
    <w:p w14:paraId="71AD9E03" w14:textId="29355486" w:rsidR="00DE4827" w:rsidRDefault="00DE4827" w:rsidP="00DE4827">
      <w:pPr>
        <w:tabs>
          <w:tab w:val="left" w:pos="1611"/>
        </w:tabs>
      </w:pPr>
    </w:p>
    <w:p w14:paraId="7DF8663A" w14:textId="77777777" w:rsidR="00DE4827" w:rsidRDefault="00DE4827">
      <w:pPr>
        <w:spacing w:before="0" w:after="120" w:line="252" w:lineRule="auto"/>
      </w:pPr>
      <w:r>
        <w:br w:type="page"/>
      </w:r>
    </w:p>
    <w:p w14:paraId="0172B924" w14:textId="77777777" w:rsidR="00445006" w:rsidRDefault="00445006" w:rsidP="00DE4827">
      <w:pPr>
        <w:tabs>
          <w:tab w:val="left" w:pos="1611"/>
        </w:tabs>
      </w:pP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DE4827" w:rsidRPr="00823B47" w14:paraId="4F4A94D4"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646F927D" w14:textId="77777777" w:rsidR="00DE4827" w:rsidRPr="00823B47" w:rsidRDefault="00DE4827" w:rsidP="00901636">
            <w:pPr>
              <w:pStyle w:val="Tableheadermain"/>
              <w:rPr>
                <w:b/>
                <w:bCs/>
              </w:rPr>
            </w:pPr>
            <w:r>
              <w:rPr>
                <w:b/>
                <w:bCs/>
              </w:rPr>
              <w:t>Type of Enterprise</w:t>
            </w:r>
          </w:p>
        </w:tc>
        <w:tc>
          <w:tcPr>
            <w:tcW w:w="4732" w:type="dxa"/>
          </w:tcPr>
          <w:p w14:paraId="2753A76C" w14:textId="120FD9AC" w:rsidR="00DE4827" w:rsidRPr="00823B47" w:rsidRDefault="004631FC"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4631FC">
              <w:rPr>
                <w:b/>
                <w:bCs/>
                <w:lang w:val="en-AU"/>
              </w:rPr>
              <w:t>No. of Employees</w:t>
            </w:r>
          </w:p>
        </w:tc>
      </w:tr>
      <w:tr w:rsidR="00DE4827" w14:paraId="2FABF36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B3C6480" w14:textId="77777777" w:rsidR="00DE4827" w:rsidRPr="00206933" w:rsidRDefault="00DE4827" w:rsidP="00901636">
            <w:pPr>
              <w:pStyle w:val="Tablecopy"/>
            </w:pPr>
            <w:r w:rsidRPr="00DA350B">
              <w:t>Large</w:t>
            </w:r>
          </w:p>
        </w:tc>
        <w:tc>
          <w:tcPr>
            <w:tcW w:w="4732" w:type="dxa"/>
          </w:tcPr>
          <w:p w14:paraId="56E87A62" w14:textId="5A0A608A" w:rsidR="00DE4827" w:rsidRDefault="004631FC" w:rsidP="00901636">
            <w:pPr>
              <w:pStyle w:val="Tablecopy"/>
              <w:cnfStyle w:val="000000100000" w:firstRow="0" w:lastRow="0" w:firstColumn="0" w:lastColumn="0" w:oddVBand="0" w:evenVBand="0" w:oddHBand="1" w:evenHBand="0" w:firstRowFirstColumn="0" w:firstRowLastColumn="0" w:lastRowFirstColumn="0" w:lastRowLastColumn="0"/>
            </w:pPr>
            <w:r w:rsidRPr="004631FC">
              <w:rPr>
                <w:lang w:val="en-US"/>
              </w:rPr>
              <w:t>2,331,234</w:t>
            </w:r>
          </w:p>
        </w:tc>
      </w:tr>
      <w:tr w:rsidR="00DE4827" w14:paraId="51800DC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2A62656" w14:textId="77777777" w:rsidR="00DE4827" w:rsidRDefault="00DE4827" w:rsidP="00901636">
            <w:pPr>
              <w:pStyle w:val="Tablecopy"/>
            </w:pPr>
            <w:r w:rsidRPr="00D446A9">
              <w:t>Medium</w:t>
            </w:r>
          </w:p>
        </w:tc>
        <w:tc>
          <w:tcPr>
            <w:tcW w:w="4732" w:type="dxa"/>
          </w:tcPr>
          <w:p w14:paraId="6B19A29B" w14:textId="2510962B" w:rsidR="00DE4827" w:rsidRDefault="008E02F2" w:rsidP="00901636">
            <w:pPr>
              <w:pStyle w:val="Tablecopy"/>
              <w:cnfStyle w:val="000000000000" w:firstRow="0" w:lastRow="0" w:firstColumn="0" w:lastColumn="0" w:oddVBand="0" w:evenVBand="0" w:oddHBand="0" w:evenHBand="0" w:firstRowFirstColumn="0" w:firstRowLastColumn="0" w:lastRowFirstColumn="0" w:lastRowLastColumn="0"/>
            </w:pPr>
            <w:r w:rsidRPr="008E02F2">
              <w:rPr>
                <w:lang w:val="en-US"/>
              </w:rPr>
              <w:t>536,310</w:t>
            </w:r>
          </w:p>
        </w:tc>
      </w:tr>
      <w:tr w:rsidR="00DE4827" w14:paraId="4F1F31CD"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389D02FA" w14:textId="77777777" w:rsidR="00DE4827" w:rsidRDefault="00DE4827" w:rsidP="00901636">
            <w:pPr>
              <w:pStyle w:val="Tablecopy"/>
            </w:pPr>
            <w:r>
              <w:t>Small</w:t>
            </w:r>
          </w:p>
        </w:tc>
        <w:tc>
          <w:tcPr>
            <w:tcW w:w="4732" w:type="dxa"/>
          </w:tcPr>
          <w:p w14:paraId="7A880470" w14:textId="0B2CA933" w:rsidR="00DE4827" w:rsidRDefault="008E02F2" w:rsidP="00901636">
            <w:pPr>
              <w:pStyle w:val="Tablecopy"/>
              <w:cnfStyle w:val="000000100000" w:firstRow="0" w:lastRow="0" w:firstColumn="0" w:lastColumn="0" w:oddVBand="0" w:evenVBand="0" w:oddHBand="1" w:evenHBand="0" w:firstRowFirstColumn="0" w:firstRowLastColumn="0" w:lastRowFirstColumn="0" w:lastRowLastColumn="0"/>
            </w:pPr>
            <w:r w:rsidRPr="008E02F2">
              <w:rPr>
                <w:lang w:val="en-US"/>
              </w:rPr>
              <w:t>99,001</w:t>
            </w:r>
          </w:p>
        </w:tc>
      </w:tr>
      <w:tr w:rsidR="00DE4827" w14:paraId="2F6F9816"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AC65BB6" w14:textId="77777777" w:rsidR="00DE4827" w:rsidRDefault="00DE4827" w:rsidP="00901636">
            <w:pPr>
              <w:pStyle w:val="Tablecopy"/>
            </w:pPr>
            <w:r>
              <w:t>Micro</w:t>
            </w:r>
          </w:p>
        </w:tc>
        <w:tc>
          <w:tcPr>
            <w:tcW w:w="4732" w:type="dxa"/>
          </w:tcPr>
          <w:p w14:paraId="26B957F2" w14:textId="6352716F" w:rsidR="00DE4827" w:rsidRDefault="008E02F2" w:rsidP="00901636">
            <w:pPr>
              <w:pStyle w:val="Tablecopy"/>
              <w:cnfStyle w:val="000000000000" w:firstRow="0" w:lastRow="0" w:firstColumn="0" w:lastColumn="0" w:oddVBand="0" w:evenVBand="0" w:oddHBand="0" w:evenHBand="0" w:firstRowFirstColumn="0" w:firstRowLastColumn="0" w:lastRowFirstColumn="0" w:lastRowLastColumn="0"/>
            </w:pPr>
            <w:r w:rsidRPr="008E02F2">
              <w:t>12,110</w:t>
            </w:r>
          </w:p>
        </w:tc>
      </w:tr>
    </w:tbl>
    <w:p w14:paraId="027F3060" w14:textId="77777777" w:rsidR="00DE4827" w:rsidRPr="00445006" w:rsidRDefault="00DE4827" w:rsidP="00DE4827">
      <w:pPr>
        <w:tabs>
          <w:tab w:val="left" w:pos="1611"/>
        </w:tabs>
      </w:pPr>
    </w:p>
    <w:p w14:paraId="2BFE27F3" w14:textId="1BD641AD" w:rsidR="003E1BF4" w:rsidRDefault="003E1BF4" w:rsidP="003E1BF4">
      <w:pPr>
        <w:pStyle w:val="Caption"/>
      </w:pPr>
      <w:r>
        <w:t>Sources: Australian Bureau of Statistics (2022) Business Longitudinal Analysis Data Environment; Austrade Economics</w:t>
      </w:r>
    </w:p>
    <w:p w14:paraId="504F4E99" w14:textId="77777777" w:rsidR="003E1BF4" w:rsidRPr="003E1BF4" w:rsidRDefault="003E1BF4" w:rsidP="003E1BF4">
      <w:pPr>
        <w:pStyle w:val="FootnoteText"/>
        <w:ind w:left="0" w:firstLine="0"/>
      </w:pPr>
      <w:r w:rsidRPr="003E1BF4">
        <w:rPr>
          <w:b/>
          <w:bCs/>
        </w:rPr>
        <w:t>Note</w:t>
      </w:r>
      <w:r w:rsidRPr="003E1BF4">
        <w:t>. Micro refers to firms with less than 5 employees. Small refers to firms with 5-19 employers. Medium refers to firms with 20-200 employees and large refers</w:t>
      </w:r>
      <w:r>
        <w:t xml:space="preserve"> </w:t>
      </w:r>
      <w:r w:rsidRPr="003E1BF4">
        <w:t>to firms with &gt;200 employees and includes multinationals operating in Australia</w:t>
      </w:r>
      <w:r>
        <w:t xml:space="preserve"> </w:t>
      </w:r>
      <w:r w:rsidRPr="003E1BF4">
        <w:t>Because firms report their turnover and employment as total values, we are</w:t>
      </w:r>
      <w:r>
        <w:t xml:space="preserve"> </w:t>
      </w:r>
      <w:r w:rsidRPr="003E1BF4">
        <w:t>unable to separate out these metrics into exporting activities versus domestic</w:t>
      </w:r>
      <w:r>
        <w:t xml:space="preserve"> </w:t>
      </w:r>
      <w:r w:rsidRPr="003E1BF4">
        <w:t>only activities. Therefore the total value added and number of employees</w:t>
      </w:r>
      <w:r>
        <w:t xml:space="preserve"> </w:t>
      </w:r>
      <w:r w:rsidRPr="003E1BF4">
        <w:t>represented here reflect exporting firms’ total value add and employment</w:t>
      </w:r>
    </w:p>
    <w:p w14:paraId="7D5129E2" w14:textId="77777777" w:rsidR="002A484D" w:rsidRDefault="002A484D">
      <w:pPr>
        <w:spacing w:before="0" w:after="120" w:line="252" w:lineRule="auto"/>
        <w:rPr>
          <w:highlight w:val="yellow"/>
        </w:rPr>
      </w:pPr>
      <w:r>
        <w:rPr>
          <w:highlight w:val="yellow"/>
        </w:rPr>
        <w:br w:type="page"/>
      </w:r>
    </w:p>
    <w:p w14:paraId="2DC0C3C1" w14:textId="77777777" w:rsidR="002A484D" w:rsidRDefault="002A484D" w:rsidP="002A484D">
      <w:pPr>
        <w:pStyle w:val="Heading2"/>
      </w:pPr>
      <w:r w:rsidRPr="002A484D">
        <w:lastRenderedPageBreak/>
        <w:t>The typical exporting firm operated in just one or two markets with a turnover of almost A$5 million</w:t>
      </w:r>
    </w:p>
    <w:p w14:paraId="5722984E" w14:textId="77777777" w:rsidR="002A484D" w:rsidRDefault="002A484D" w:rsidP="002A484D">
      <w:r>
        <w:t xml:space="preserve">In 2020-21 Australian merchandise exporters </w:t>
      </w:r>
      <w:r w:rsidR="0043044F" w:rsidRPr="0043044F">
        <w:t>serviced 2.8 markets on average</w:t>
      </w:r>
      <w:r>
        <w:t>, exporting 5 products on average.</w:t>
      </w:r>
      <w:r w:rsidR="00FA6E27">
        <w:rPr>
          <w:rStyle w:val="FootnoteReference"/>
        </w:rPr>
        <w:footnoteReference w:id="12"/>
      </w:r>
      <w:r w:rsidR="00FA6E27">
        <w:rPr>
          <w:rStyle w:val="FootnoteReference"/>
        </w:rPr>
        <w:footnoteReference w:id="13"/>
      </w:r>
      <w:r>
        <w:t xml:space="preserve"> However, the median number of markets that these firms exported to was one. This suggests a small number of large firms exported goods to several markets, while most smaller firms exported to just a single market.</w:t>
      </w:r>
    </w:p>
    <w:p w14:paraId="6539D654" w14:textId="77777777" w:rsidR="002A484D" w:rsidRDefault="002A484D" w:rsidP="002A484D">
      <w:r>
        <w:t>Small firms typically only exported to one market, with the number of products and markets slowly increasing with firm size. Micro and small firms exported to a median of one market each. Medium sized firms exported to a median of two markets, while large firms – those that employed over 200 people, exported a median of 6 products to a median of 3 markets.</w:t>
      </w:r>
    </w:p>
    <w:p w14:paraId="76E0473A" w14:textId="33462651" w:rsidR="002A484D" w:rsidRDefault="002A484D" w:rsidP="002A484D">
      <w:pPr>
        <w:pStyle w:val="Heading3"/>
      </w:pPr>
      <w:r>
        <w:t>Figure 8. Median no. of export markets, products, age and employees by firm size 2020-21</w:t>
      </w:r>
    </w:p>
    <w:tbl>
      <w:tblPr>
        <w:tblStyle w:val="ListTable3-Accent1"/>
        <w:tblW w:w="0" w:type="auto"/>
        <w:tblLook w:val="0020" w:firstRow="1" w:lastRow="0" w:firstColumn="0" w:lastColumn="0" w:noHBand="0" w:noVBand="0"/>
      </w:tblPr>
      <w:tblGrid>
        <w:gridCol w:w="1986"/>
        <w:gridCol w:w="1987"/>
        <w:gridCol w:w="1987"/>
        <w:gridCol w:w="1681"/>
        <w:gridCol w:w="1987"/>
      </w:tblGrid>
      <w:tr w:rsidR="009826BE" w:rsidRPr="00823B47" w14:paraId="03C1BED9"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6" w:type="dxa"/>
          </w:tcPr>
          <w:p w14:paraId="0298130A" w14:textId="77777777" w:rsidR="009826BE" w:rsidRPr="00823B47" w:rsidRDefault="009826BE" w:rsidP="00901636">
            <w:pPr>
              <w:pStyle w:val="Tableheadermain"/>
              <w:rPr>
                <w:b/>
                <w:bCs/>
              </w:rPr>
            </w:pPr>
            <w:r w:rsidRPr="0043044F">
              <w:rPr>
                <w:b/>
                <w:bCs/>
              </w:rPr>
              <w:t>Firm Size</w:t>
            </w:r>
          </w:p>
        </w:tc>
        <w:tc>
          <w:tcPr>
            <w:tcW w:w="1987" w:type="dxa"/>
          </w:tcPr>
          <w:p w14:paraId="1F1F0DE6" w14:textId="77777777" w:rsidR="009826BE" w:rsidRPr="00823B47" w:rsidRDefault="009826BE"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2A484D">
              <w:rPr>
                <w:b/>
                <w:bCs/>
              </w:rPr>
              <w:t>No. employees</w:t>
            </w:r>
          </w:p>
        </w:tc>
        <w:tc>
          <w:tcPr>
            <w:cnfStyle w:val="000010000000" w:firstRow="0" w:lastRow="0" w:firstColumn="0" w:lastColumn="0" w:oddVBand="1" w:evenVBand="0" w:oddHBand="0" w:evenHBand="0" w:firstRowFirstColumn="0" w:firstRowLastColumn="0" w:lastRowFirstColumn="0" w:lastRowLastColumn="0"/>
            <w:tcW w:w="1987" w:type="dxa"/>
          </w:tcPr>
          <w:p w14:paraId="0564EAEE" w14:textId="77777777" w:rsidR="009826BE" w:rsidRPr="00823B47" w:rsidRDefault="009826BE" w:rsidP="00901636">
            <w:pPr>
              <w:pStyle w:val="Tableheadermain"/>
              <w:rPr>
                <w:b/>
                <w:bCs/>
              </w:rPr>
            </w:pPr>
            <w:r w:rsidRPr="0043044F">
              <w:rPr>
                <w:b/>
                <w:bCs/>
              </w:rPr>
              <w:t>Firm age (years)</w:t>
            </w:r>
          </w:p>
        </w:tc>
        <w:tc>
          <w:tcPr>
            <w:tcW w:w="1681" w:type="dxa"/>
          </w:tcPr>
          <w:p w14:paraId="0B9563B0" w14:textId="77777777" w:rsidR="009826BE" w:rsidRPr="002A484D" w:rsidRDefault="009826BE"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2A484D">
              <w:rPr>
                <w:b/>
                <w:bCs/>
              </w:rPr>
              <w:t>No. markets</w:t>
            </w:r>
          </w:p>
        </w:tc>
        <w:tc>
          <w:tcPr>
            <w:cnfStyle w:val="000010000000" w:firstRow="0" w:lastRow="0" w:firstColumn="0" w:lastColumn="0" w:oddVBand="1" w:evenVBand="0" w:oddHBand="0" w:evenHBand="0" w:firstRowFirstColumn="0" w:firstRowLastColumn="0" w:lastRowFirstColumn="0" w:lastRowLastColumn="0"/>
            <w:tcW w:w="1987" w:type="dxa"/>
          </w:tcPr>
          <w:p w14:paraId="7D1E0564" w14:textId="77777777" w:rsidR="009826BE" w:rsidRPr="00823B47" w:rsidRDefault="009826BE" w:rsidP="00901636">
            <w:pPr>
              <w:pStyle w:val="Tableheadermain"/>
              <w:rPr>
                <w:b/>
                <w:bCs/>
              </w:rPr>
            </w:pPr>
            <w:r w:rsidRPr="002A484D">
              <w:rPr>
                <w:b/>
                <w:bCs/>
              </w:rPr>
              <w:t>No. products</w:t>
            </w:r>
          </w:p>
        </w:tc>
      </w:tr>
      <w:tr w:rsidR="009826BE" w14:paraId="23303484"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6" w:type="dxa"/>
          </w:tcPr>
          <w:p w14:paraId="3AC34580" w14:textId="77777777" w:rsidR="009826BE" w:rsidRPr="00206933" w:rsidRDefault="009826BE" w:rsidP="00901636">
            <w:pPr>
              <w:pStyle w:val="Tablecopy"/>
            </w:pPr>
            <w:r w:rsidRPr="00082186">
              <w:t>Micro</w:t>
            </w:r>
          </w:p>
        </w:tc>
        <w:tc>
          <w:tcPr>
            <w:tcW w:w="1987" w:type="dxa"/>
          </w:tcPr>
          <w:p w14:paraId="704E21F4" w14:textId="77777777" w:rsidR="009826BE" w:rsidRDefault="009826BE" w:rsidP="00901636">
            <w:pPr>
              <w:pStyle w:val="Tablecopy"/>
              <w:cnfStyle w:val="000000100000" w:firstRow="0" w:lastRow="0" w:firstColumn="0" w:lastColumn="0" w:oddVBand="0" w:evenVBand="0" w:oddHBand="1" w:evenHBand="0" w:firstRowFirstColumn="0" w:firstRowLastColumn="0" w:lastRowFirstColumn="0" w:lastRowLastColumn="0"/>
            </w:pPr>
            <w:r w:rsidRPr="00082186">
              <w:t>3</w:t>
            </w:r>
          </w:p>
        </w:tc>
        <w:tc>
          <w:tcPr>
            <w:cnfStyle w:val="000010000000" w:firstRow="0" w:lastRow="0" w:firstColumn="0" w:lastColumn="0" w:oddVBand="1" w:evenVBand="0" w:oddHBand="0" w:evenHBand="0" w:firstRowFirstColumn="0" w:firstRowLastColumn="0" w:lastRowFirstColumn="0" w:lastRowLastColumn="0"/>
            <w:tcW w:w="1987" w:type="dxa"/>
          </w:tcPr>
          <w:p w14:paraId="00798169" w14:textId="77777777" w:rsidR="009826BE" w:rsidRDefault="009826BE" w:rsidP="00901636">
            <w:pPr>
              <w:pStyle w:val="Tablecopy"/>
            </w:pPr>
            <w:r w:rsidRPr="00082186">
              <w:t>10</w:t>
            </w:r>
          </w:p>
        </w:tc>
        <w:tc>
          <w:tcPr>
            <w:tcW w:w="1681" w:type="dxa"/>
          </w:tcPr>
          <w:p w14:paraId="50663EAF" w14:textId="77777777" w:rsidR="009826BE" w:rsidRDefault="009826BE" w:rsidP="00901636">
            <w:pPr>
              <w:pStyle w:val="Tablecopy"/>
              <w:cnfStyle w:val="000000100000" w:firstRow="0" w:lastRow="0" w:firstColumn="0" w:lastColumn="0" w:oddVBand="0" w:evenVBand="0" w:oddHBand="1" w:evenHBand="0" w:firstRowFirstColumn="0" w:firstRowLastColumn="0" w:lastRowFirstColumn="0" w:lastRowLastColumn="0"/>
            </w:pPr>
            <w:r w:rsidRPr="00082186">
              <w:t>1</w:t>
            </w:r>
          </w:p>
        </w:tc>
        <w:tc>
          <w:tcPr>
            <w:cnfStyle w:val="000010000000" w:firstRow="0" w:lastRow="0" w:firstColumn="0" w:lastColumn="0" w:oddVBand="1" w:evenVBand="0" w:oddHBand="0" w:evenHBand="0" w:firstRowFirstColumn="0" w:firstRowLastColumn="0" w:lastRowFirstColumn="0" w:lastRowLastColumn="0"/>
            <w:tcW w:w="1987" w:type="dxa"/>
          </w:tcPr>
          <w:p w14:paraId="7D7F997C" w14:textId="77777777" w:rsidR="009826BE" w:rsidRDefault="009826BE" w:rsidP="00901636">
            <w:pPr>
              <w:pStyle w:val="Tablecopy"/>
            </w:pPr>
            <w:r w:rsidRPr="00082186">
              <w:t>2</w:t>
            </w:r>
          </w:p>
        </w:tc>
      </w:tr>
      <w:tr w:rsidR="009826BE" w14:paraId="0F35FDA9" w14:textId="77777777" w:rsidTr="00901636">
        <w:tc>
          <w:tcPr>
            <w:cnfStyle w:val="000010000000" w:firstRow="0" w:lastRow="0" w:firstColumn="0" w:lastColumn="0" w:oddVBand="1" w:evenVBand="0" w:oddHBand="0" w:evenHBand="0" w:firstRowFirstColumn="0" w:firstRowLastColumn="0" w:lastRowFirstColumn="0" w:lastRowLastColumn="0"/>
            <w:tcW w:w="1986" w:type="dxa"/>
          </w:tcPr>
          <w:p w14:paraId="0B5B7935" w14:textId="77777777" w:rsidR="009826BE" w:rsidRDefault="009826BE" w:rsidP="00901636">
            <w:pPr>
              <w:pStyle w:val="Tablecopy"/>
            </w:pPr>
            <w:r w:rsidRPr="00073B93">
              <w:t>Small</w:t>
            </w:r>
          </w:p>
        </w:tc>
        <w:tc>
          <w:tcPr>
            <w:tcW w:w="1987" w:type="dxa"/>
          </w:tcPr>
          <w:p w14:paraId="4F45A425" w14:textId="77777777" w:rsidR="009826BE" w:rsidRDefault="009826BE" w:rsidP="00901636">
            <w:pPr>
              <w:pStyle w:val="Tablecopy"/>
              <w:cnfStyle w:val="000000000000" w:firstRow="0" w:lastRow="0" w:firstColumn="0" w:lastColumn="0" w:oddVBand="0" w:evenVBand="0" w:oddHBand="0" w:evenHBand="0" w:firstRowFirstColumn="0" w:firstRowLastColumn="0" w:lastRowFirstColumn="0" w:lastRowLastColumn="0"/>
            </w:pPr>
            <w:r w:rsidRPr="00073B93">
              <w:t>10</w:t>
            </w:r>
          </w:p>
        </w:tc>
        <w:tc>
          <w:tcPr>
            <w:cnfStyle w:val="000010000000" w:firstRow="0" w:lastRow="0" w:firstColumn="0" w:lastColumn="0" w:oddVBand="1" w:evenVBand="0" w:oddHBand="0" w:evenHBand="0" w:firstRowFirstColumn="0" w:firstRowLastColumn="0" w:lastRowFirstColumn="0" w:lastRowLastColumn="0"/>
            <w:tcW w:w="1987" w:type="dxa"/>
          </w:tcPr>
          <w:p w14:paraId="3DB6FAA1" w14:textId="77777777" w:rsidR="009826BE" w:rsidRDefault="009826BE" w:rsidP="00901636">
            <w:pPr>
              <w:pStyle w:val="Tablecopy"/>
            </w:pPr>
            <w:r w:rsidRPr="00073B93">
              <w:t>14</w:t>
            </w:r>
          </w:p>
        </w:tc>
        <w:tc>
          <w:tcPr>
            <w:tcW w:w="1681" w:type="dxa"/>
          </w:tcPr>
          <w:p w14:paraId="2FB9CE80" w14:textId="77777777" w:rsidR="009826BE" w:rsidRDefault="009826BE" w:rsidP="00901636">
            <w:pPr>
              <w:pStyle w:val="Tablecopy"/>
              <w:cnfStyle w:val="000000000000" w:firstRow="0" w:lastRow="0" w:firstColumn="0" w:lastColumn="0" w:oddVBand="0" w:evenVBand="0" w:oddHBand="0" w:evenHBand="0" w:firstRowFirstColumn="0" w:firstRowLastColumn="0" w:lastRowFirstColumn="0" w:lastRowLastColumn="0"/>
            </w:pPr>
            <w:r w:rsidRPr="00073B93">
              <w:t>1</w:t>
            </w:r>
          </w:p>
        </w:tc>
        <w:tc>
          <w:tcPr>
            <w:cnfStyle w:val="000010000000" w:firstRow="0" w:lastRow="0" w:firstColumn="0" w:lastColumn="0" w:oddVBand="1" w:evenVBand="0" w:oddHBand="0" w:evenHBand="0" w:firstRowFirstColumn="0" w:firstRowLastColumn="0" w:lastRowFirstColumn="0" w:lastRowLastColumn="0"/>
            <w:tcW w:w="1987" w:type="dxa"/>
          </w:tcPr>
          <w:p w14:paraId="0633E071" w14:textId="77777777" w:rsidR="009826BE" w:rsidRDefault="009826BE" w:rsidP="00901636">
            <w:pPr>
              <w:pStyle w:val="Tablecopy"/>
            </w:pPr>
            <w:r w:rsidRPr="00073B93">
              <w:t>2</w:t>
            </w:r>
          </w:p>
        </w:tc>
      </w:tr>
      <w:tr w:rsidR="009826BE" w14:paraId="2E052D64"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6" w:type="dxa"/>
          </w:tcPr>
          <w:p w14:paraId="2550EF1F" w14:textId="77777777" w:rsidR="009826BE" w:rsidRDefault="009826BE" w:rsidP="00901636">
            <w:pPr>
              <w:pStyle w:val="Tablecopy"/>
            </w:pPr>
            <w:r w:rsidRPr="00073B93">
              <w:t>Medium</w:t>
            </w:r>
          </w:p>
        </w:tc>
        <w:tc>
          <w:tcPr>
            <w:tcW w:w="1987" w:type="dxa"/>
          </w:tcPr>
          <w:p w14:paraId="2CF250FA" w14:textId="77777777" w:rsidR="009826BE" w:rsidRDefault="009826BE" w:rsidP="00901636">
            <w:pPr>
              <w:pStyle w:val="Tablecopy"/>
              <w:cnfStyle w:val="000000100000" w:firstRow="0" w:lastRow="0" w:firstColumn="0" w:lastColumn="0" w:oddVBand="0" w:evenVBand="0" w:oddHBand="1" w:evenHBand="0" w:firstRowFirstColumn="0" w:firstRowLastColumn="0" w:lastRowFirstColumn="0" w:lastRowLastColumn="0"/>
            </w:pPr>
            <w:r w:rsidRPr="00073B93">
              <w:t>43</w:t>
            </w:r>
          </w:p>
        </w:tc>
        <w:tc>
          <w:tcPr>
            <w:cnfStyle w:val="000010000000" w:firstRow="0" w:lastRow="0" w:firstColumn="0" w:lastColumn="0" w:oddVBand="1" w:evenVBand="0" w:oddHBand="0" w:evenHBand="0" w:firstRowFirstColumn="0" w:firstRowLastColumn="0" w:lastRowFirstColumn="0" w:lastRowLastColumn="0"/>
            <w:tcW w:w="1987" w:type="dxa"/>
          </w:tcPr>
          <w:p w14:paraId="6719630E" w14:textId="77777777" w:rsidR="009826BE" w:rsidRDefault="009826BE" w:rsidP="00901636">
            <w:pPr>
              <w:pStyle w:val="Tablecopy"/>
            </w:pPr>
            <w:r w:rsidRPr="00073B93">
              <w:t>18</w:t>
            </w:r>
          </w:p>
        </w:tc>
        <w:tc>
          <w:tcPr>
            <w:tcW w:w="1681" w:type="dxa"/>
          </w:tcPr>
          <w:p w14:paraId="53FA00ED" w14:textId="77777777" w:rsidR="009826BE" w:rsidRDefault="009826BE" w:rsidP="00901636">
            <w:pPr>
              <w:pStyle w:val="Tablecopy"/>
              <w:cnfStyle w:val="000000100000" w:firstRow="0" w:lastRow="0" w:firstColumn="0" w:lastColumn="0" w:oddVBand="0" w:evenVBand="0" w:oddHBand="1" w:evenHBand="0" w:firstRowFirstColumn="0" w:firstRowLastColumn="0" w:lastRowFirstColumn="0" w:lastRowLastColumn="0"/>
            </w:pPr>
            <w:r w:rsidRPr="00073B93">
              <w:t>2</w:t>
            </w:r>
          </w:p>
        </w:tc>
        <w:tc>
          <w:tcPr>
            <w:cnfStyle w:val="000010000000" w:firstRow="0" w:lastRow="0" w:firstColumn="0" w:lastColumn="0" w:oddVBand="1" w:evenVBand="0" w:oddHBand="0" w:evenHBand="0" w:firstRowFirstColumn="0" w:firstRowLastColumn="0" w:lastRowFirstColumn="0" w:lastRowLastColumn="0"/>
            <w:tcW w:w="1987" w:type="dxa"/>
          </w:tcPr>
          <w:p w14:paraId="39027311" w14:textId="77777777" w:rsidR="009826BE" w:rsidRDefault="009826BE" w:rsidP="00901636">
            <w:pPr>
              <w:pStyle w:val="Tablecopy"/>
            </w:pPr>
            <w:r w:rsidRPr="00073B93">
              <w:t>3</w:t>
            </w:r>
          </w:p>
        </w:tc>
      </w:tr>
      <w:tr w:rsidR="009826BE" w14:paraId="59636E7B" w14:textId="77777777" w:rsidTr="00901636">
        <w:tc>
          <w:tcPr>
            <w:cnfStyle w:val="000010000000" w:firstRow="0" w:lastRow="0" w:firstColumn="0" w:lastColumn="0" w:oddVBand="1" w:evenVBand="0" w:oddHBand="0" w:evenHBand="0" w:firstRowFirstColumn="0" w:firstRowLastColumn="0" w:lastRowFirstColumn="0" w:lastRowLastColumn="0"/>
            <w:tcW w:w="1986" w:type="dxa"/>
          </w:tcPr>
          <w:p w14:paraId="17AB237B" w14:textId="77777777" w:rsidR="009826BE" w:rsidRDefault="009826BE" w:rsidP="00901636">
            <w:pPr>
              <w:pStyle w:val="Tablecopy"/>
            </w:pPr>
            <w:r w:rsidRPr="006453A2">
              <w:t>Large</w:t>
            </w:r>
          </w:p>
        </w:tc>
        <w:tc>
          <w:tcPr>
            <w:tcW w:w="1987" w:type="dxa"/>
          </w:tcPr>
          <w:p w14:paraId="1B7CEA78" w14:textId="77777777" w:rsidR="009826BE" w:rsidRDefault="009826BE" w:rsidP="00901636">
            <w:pPr>
              <w:pStyle w:val="Tablecopy"/>
              <w:cnfStyle w:val="000000000000" w:firstRow="0" w:lastRow="0" w:firstColumn="0" w:lastColumn="0" w:oddVBand="0" w:evenVBand="0" w:oddHBand="0" w:evenHBand="0" w:firstRowFirstColumn="0" w:firstRowLastColumn="0" w:lastRowFirstColumn="0" w:lastRowLastColumn="0"/>
            </w:pPr>
            <w:r w:rsidRPr="006453A2">
              <w:t>404</w:t>
            </w:r>
          </w:p>
        </w:tc>
        <w:tc>
          <w:tcPr>
            <w:cnfStyle w:val="000010000000" w:firstRow="0" w:lastRow="0" w:firstColumn="0" w:lastColumn="0" w:oddVBand="1" w:evenVBand="0" w:oddHBand="0" w:evenHBand="0" w:firstRowFirstColumn="0" w:firstRowLastColumn="0" w:lastRowFirstColumn="0" w:lastRowLastColumn="0"/>
            <w:tcW w:w="1987" w:type="dxa"/>
          </w:tcPr>
          <w:p w14:paraId="223BCDB2" w14:textId="77777777" w:rsidR="009826BE" w:rsidRDefault="009826BE" w:rsidP="00901636">
            <w:pPr>
              <w:pStyle w:val="Tablecopy"/>
            </w:pPr>
            <w:r w:rsidRPr="006453A2">
              <w:t>22</w:t>
            </w:r>
          </w:p>
        </w:tc>
        <w:tc>
          <w:tcPr>
            <w:tcW w:w="1681" w:type="dxa"/>
          </w:tcPr>
          <w:p w14:paraId="6B4EDFCE" w14:textId="77777777" w:rsidR="009826BE" w:rsidRDefault="009826BE" w:rsidP="00901636">
            <w:pPr>
              <w:pStyle w:val="Tablecopy"/>
              <w:cnfStyle w:val="000000000000" w:firstRow="0" w:lastRow="0" w:firstColumn="0" w:lastColumn="0" w:oddVBand="0" w:evenVBand="0" w:oddHBand="0" w:evenHBand="0" w:firstRowFirstColumn="0" w:firstRowLastColumn="0" w:lastRowFirstColumn="0" w:lastRowLastColumn="0"/>
            </w:pPr>
            <w:r w:rsidRPr="006453A2">
              <w:t>3</w:t>
            </w:r>
          </w:p>
        </w:tc>
        <w:tc>
          <w:tcPr>
            <w:cnfStyle w:val="000010000000" w:firstRow="0" w:lastRow="0" w:firstColumn="0" w:lastColumn="0" w:oddVBand="1" w:evenVBand="0" w:oddHBand="0" w:evenHBand="0" w:firstRowFirstColumn="0" w:firstRowLastColumn="0" w:lastRowFirstColumn="0" w:lastRowLastColumn="0"/>
            <w:tcW w:w="1987" w:type="dxa"/>
          </w:tcPr>
          <w:p w14:paraId="4BECE03D" w14:textId="77777777" w:rsidR="009826BE" w:rsidRDefault="009826BE" w:rsidP="00901636">
            <w:pPr>
              <w:pStyle w:val="Tablecopy"/>
            </w:pPr>
            <w:r w:rsidRPr="006453A2">
              <w:t>6</w:t>
            </w:r>
          </w:p>
        </w:tc>
      </w:tr>
    </w:tbl>
    <w:p w14:paraId="2538B77C" w14:textId="58B71471" w:rsidR="00CB09D0" w:rsidRPr="00CB09D0" w:rsidRDefault="00CB09D0" w:rsidP="00CB09D0">
      <w:r>
        <w:t>.</w:t>
      </w:r>
    </w:p>
    <w:p w14:paraId="734DC1AF" w14:textId="77777777" w:rsidR="005D6091" w:rsidRDefault="002A484D" w:rsidP="005D6091">
      <w:pPr>
        <w:pStyle w:val="Caption"/>
      </w:pPr>
      <w:r w:rsidRPr="005D6091">
        <w:rPr>
          <w:b/>
          <w:bCs/>
        </w:rPr>
        <w:t>Sources:</w:t>
      </w:r>
      <w:r w:rsidRPr="002A484D">
        <w:t xml:space="preserve"> Australian Bureau of Statistics (2022) Business Longitudinal Analysis Data Environment; Austrade Economics </w:t>
      </w:r>
    </w:p>
    <w:p w14:paraId="090C5BA7" w14:textId="77777777" w:rsidR="002A484D" w:rsidRDefault="002A484D" w:rsidP="005D6091">
      <w:pPr>
        <w:pStyle w:val="FootnoteText"/>
        <w:ind w:left="0" w:firstLine="0"/>
      </w:pPr>
      <w:r w:rsidRPr="005D6091">
        <w:rPr>
          <w:b/>
          <w:bCs/>
        </w:rPr>
        <w:t>Note</w:t>
      </w:r>
      <w:r w:rsidRPr="002A484D">
        <w:t>. Micro refers to firms with less than 5 employees. Small refers to firms with 5-19 employers. Medium refers to firms with 20-200 employees and large refers to firms with &gt;200 employees and includes multinational operating in Australia</w:t>
      </w:r>
    </w:p>
    <w:p w14:paraId="3A24B98F" w14:textId="77777777" w:rsidR="005D6091" w:rsidRDefault="005D6091" w:rsidP="005D6091">
      <w:r>
        <w:t>The majority of Australian exporters are experienced firms. The median age of Australian exporters was 16 years in 2020-21.</w:t>
      </w:r>
    </w:p>
    <w:p w14:paraId="2DEF7D04" w14:textId="77777777" w:rsidR="005D6091" w:rsidRPr="00FA6E27" w:rsidRDefault="005D6091" w:rsidP="00FA6E27">
      <w:pPr>
        <w:pStyle w:val="ListBullet"/>
      </w:pPr>
      <w:r>
        <w:br w:type="page"/>
      </w:r>
    </w:p>
    <w:p w14:paraId="579BC2AA" w14:textId="77777777" w:rsidR="005D6091" w:rsidRDefault="005D6091" w:rsidP="005D6091">
      <w:pPr>
        <w:pStyle w:val="Heading2"/>
      </w:pPr>
      <w:r>
        <w:lastRenderedPageBreak/>
        <w:t xml:space="preserve">Services exporters generated the largest median </w:t>
      </w:r>
      <w:r>
        <w:br/>
        <w:t>value-added by firm</w:t>
      </w:r>
    </w:p>
    <w:p w14:paraId="0D87E727" w14:textId="77777777" w:rsidR="005D6091" w:rsidRDefault="005D6091" w:rsidP="005D6091">
      <w:pPr>
        <w:pStyle w:val="Heading3"/>
      </w:pPr>
      <w:r>
        <w:t>Figure 9. Median value-added per exporter by industry</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5C1C74" w:rsidRPr="00823B47" w14:paraId="5C4D7AF4"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736396C7" w14:textId="744060BC" w:rsidR="005C1C74" w:rsidRPr="00823B47" w:rsidRDefault="00195B60" w:rsidP="00901636">
            <w:pPr>
              <w:pStyle w:val="Tableheadermain"/>
              <w:rPr>
                <w:b/>
                <w:bCs/>
              </w:rPr>
            </w:pPr>
            <w:r>
              <w:rPr>
                <w:b/>
                <w:bCs/>
              </w:rPr>
              <w:t>Industry</w:t>
            </w:r>
          </w:p>
        </w:tc>
        <w:tc>
          <w:tcPr>
            <w:tcW w:w="4732" w:type="dxa"/>
          </w:tcPr>
          <w:p w14:paraId="4E9C469B" w14:textId="1D4E1D2F" w:rsidR="005C1C74" w:rsidRPr="00BA269E" w:rsidRDefault="00AF56A8" w:rsidP="00195B60">
            <w:pPr>
              <w:pStyle w:val="Tableheadermain"/>
              <w:cnfStyle w:val="100000000000" w:firstRow="1" w:lastRow="0" w:firstColumn="0" w:lastColumn="0" w:oddVBand="0" w:evenVBand="0" w:oddHBand="0" w:evenHBand="0" w:firstRowFirstColumn="0" w:firstRowLastColumn="0" w:lastRowFirstColumn="0" w:lastRowLastColumn="0"/>
              <w:rPr>
                <w:b/>
                <w:bCs/>
              </w:rPr>
            </w:pPr>
            <w:r w:rsidRPr="00BA269E">
              <w:rPr>
                <w:b/>
                <w:bCs/>
              </w:rPr>
              <w:t>Median value-added per exporter by industry (A$ million 2020-21)</w:t>
            </w:r>
          </w:p>
        </w:tc>
      </w:tr>
      <w:tr w:rsidR="00BA269E" w14:paraId="021262E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2372C9E5" w14:textId="39E242D9" w:rsidR="00BA269E" w:rsidRPr="00206933" w:rsidRDefault="00BA269E" w:rsidP="00BA269E">
            <w:pPr>
              <w:pStyle w:val="Tablecopy"/>
            </w:pPr>
            <w:r>
              <w:rPr>
                <w:rStyle w:val="FootnoteReference"/>
              </w:rPr>
              <w:footnoteReference w:id="14"/>
            </w:r>
            <w:r w:rsidRPr="0083290A">
              <w:t>Other Services</w:t>
            </w:r>
          </w:p>
        </w:tc>
        <w:tc>
          <w:tcPr>
            <w:tcW w:w="4732" w:type="dxa"/>
          </w:tcPr>
          <w:p w14:paraId="05B81536" w14:textId="2A8C516D" w:rsidR="00BA269E" w:rsidRDefault="00221684" w:rsidP="00BA269E">
            <w:pPr>
              <w:pStyle w:val="Tablecopy"/>
              <w:cnfStyle w:val="000000100000" w:firstRow="0" w:lastRow="0" w:firstColumn="0" w:lastColumn="0" w:oddVBand="0" w:evenVBand="0" w:oddHBand="1" w:evenHBand="0" w:firstRowFirstColumn="0" w:firstRowLastColumn="0" w:lastRowFirstColumn="0" w:lastRowLastColumn="0"/>
            </w:pPr>
            <w:r w:rsidRPr="00221684">
              <w:rPr>
                <w:lang w:val="en-US"/>
              </w:rPr>
              <w:t>11.5</w:t>
            </w:r>
          </w:p>
        </w:tc>
      </w:tr>
      <w:tr w:rsidR="00BA269E" w14:paraId="6719A621"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1668164D" w14:textId="12FD5F17" w:rsidR="00BA269E" w:rsidRDefault="00BA269E" w:rsidP="00BA269E">
            <w:pPr>
              <w:pStyle w:val="Tablecopy"/>
            </w:pPr>
            <w:r w:rsidRPr="0083290A">
              <w:t>Arts &amp; Recreation Services</w:t>
            </w:r>
          </w:p>
        </w:tc>
        <w:tc>
          <w:tcPr>
            <w:tcW w:w="4732" w:type="dxa"/>
          </w:tcPr>
          <w:p w14:paraId="322C432B" w14:textId="6E5997E7" w:rsidR="00BA269E" w:rsidRDefault="00221684" w:rsidP="00BA269E">
            <w:pPr>
              <w:pStyle w:val="Tablecopy"/>
              <w:cnfStyle w:val="000000000000" w:firstRow="0" w:lastRow="0" w:firstColumn="0" w:lastColumn="0" w:oddVBand="0" w:evenVBand="0" w:oddHBand="0" w:evenHBand="0" w:firstRowFirstColumn="0" w:firstRowLastColumn="0" w:lastRowFirstColumn="0" w:lastRowLastColumn="0"/>
            </w:pPr>
            <w:r w:rsidRPr="00221684">
              <w:rPr>
                <w:lang w:val="en-US"/>
              </w:rPr>
              <w:t>10.2</w:t>
            </w:r>
          </w:p>
        </w:tc>
      </w:tr>
      <w:tr w:rsidR="00BA269E" w14:paraId="7176F1D6"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5E073433" w14:textId="2E24EA5B" w:rsidR="00BA269E" w:rsidRDefault="00BA269E" w:rsidP="00BA269E">
            <w:pPr>
              <w:pStyle w:val="Tablecopy"/>
            </w:pPr>
            <w:r w:rsidRPr="0083290A">
              <w:t>Healthcare and Social Assistance</w:t>
            </w:r>
          </w:p>
        </w:tc>
        <w:tc>
          <w:tcPr>
            <w:tcW w:w="4732" w:type="dxa"/>
          </w:tcPr>
          <w:p w14:paraId="556A7E2A" w14:textId="76F136C3" w:rsidR="00BA269E" w:rsidRDefault="00CE5CB1" w:rsidP="00BA269E">
            <w:pPr>
              <w:pStyle w:val="Tablecopy"/>
              <w:cnfStyle w:val="000000100000" w:firstRow="0" w:lastRow="0" w:firstColumn="0" w:lastColumn="0" w:oddVBand="0" w:evenVBand="0" w:oddHBand="1" w:evenHBand="0" w:firstRowFirstColumn="0" w:firstRowLastColumn="0" w:lastRowFirstColumn="0" w:lastRowLastColumn="0"/>
            </w:pPr>
            <w:r w:rsidRPr="00CE5CB1">
              <w:rPr>
                <w:lang w:val="en-US"/>
              </w:rPr>
              <w:t>6.8</w:t>
            </w:r>
          </w:p>
        </w:tc>
      </w:tr>
      <w:tr w:rsidR="00BA269E" w14:paraId="1851D48C"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534E019" w14:textId="593F6798" w:rsidR="00BA269E" w:rsidRDefault="00BA269E" w:rsidP="00BA269E">
            <w:pPr>
              <w:pStyle w:val="Tablecopy"/>
            </w:pPr>
            <w:r w:rsidRPr="0083290A">
              <w:t>Education and Training</w:t>
            </w:r>
          </w:p>
        </w:tc>
        <w:tc>
          <w:tcPr>
            <w:tcW w:w="4732" w:type="dxa"/>
          </w:tcPr>
          <w:p w14:paraId="088603F0" w14:textId="46F22567" w:rsidR="00BA269E" w:rsidRPr="008E02F2" w:rsidRDefault="00CE5CB1" w:rsidP="00BA269E">
            <w:pPr>
              <w:pStyle w:val="Tablecopy"/>
              <w:cnfStyle w:val="000000000000" w:firstRow="0" w:lastRow="0" w:firstColumn="0" w:lastColumn="0" w:oddVBand="0" w:evenVBand="0" w:oddHBand="0" w:evenHBand="0" w:firstRowFirstColumn="0" w:firstRowLastColumn="0" w:lastRowFirstColumn="0" w:lastRowLastColumn="0"/>
              <w:rPr>
                <w:lang w:val="en-US"/>
              </w:rPr>
            </w:pPr>
            <w:r w:rsidRPr="00CE5CB1">
              <w:rPr>
                <w:lang w:val="en-US"/>
              </w:rPr>
              <w:t>5.9</w:t>
            </w:r>
          </w:p>
        </w:tc>
      </w:tr>
      <w:tr w:rsidR="00BA269E" w14:paraId="0F9A8D6A"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B28A41C" w14:textId="7D6E5976" w:rsidR="00BA269E" w:rsidRDefault="00BA269E" w:rsidP="00BA269E">
            <w:pPr>
              <w:pStyle w:val="Tablecopy"/>
            </w:pPr>
            <w:r w:rsidRPr="0083290A">
              <w:t>Public Administration and Safety</w:t>
            </w:r>
          </w:p>
        </w:tc>
        <w:tc>
          <w:tcPr>
            <w:tcW w:w="4732" w:type="dxa"/>
          </w:tcPr>
          <w:p w14:paraId="612CD2A9" w14:textId="7655089C" w:rsidR="00BA269E" w:rsidRDefault="00CE5CB1" w:rsidP="00BA269E">
            <w:pPr>
              <w:pStyle w:val="Tablecopy"/>
              <w:cnfStyle w:val="000000100000" w:firstRow="0" w:lastRow="0" w:firstColumn="0" w:lastColumn="0" w:oddVBand="0" w:evenVBand="0" w:oddHBand="1" w:evenHBand="0" w:firstRowFirstColumn="0" w:firstRowLastColumn="0" w:lastRowFirstColumn="0" w:lastRowLastColumn="0"/>
            </w:pPr>
            <w:r w:rsidRPr="00CE5CB1">
              <w:t>5.4</w:t>
            </w:r>
          </w:p>
        </w:tc>
      </w:tr>
      <w:tr w:rsidR="00BA269E" w14:paraId="7B7AF3CF"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54FC706" w14:textId="0D6AF72F" w:rsidR="00BA269E" w:rsidRDefault="00BA269E" w:rsidP="00BA269E">
            <w:pPr>
              <w:pStyle w:val="Tablecopy"/>
            </w:pPr>
            <w:r w:rsidRPr="0083290A">
              <w:t>Administrative and Support Services</w:t>
            </w:r>
          </w:p>
        </w:tc>
        <w:tc>
          <w:tcPr>
            <w:tcW w:w="4732" w:type="dxa"/>
          </w:tcPr>
          <w:p w14:paraId="6092D179" w14:textId="179660FC" w:rsidR="00BA269E" w:rsidRPr="008E02F2" w:rsidRDefault="00CE5CB1" w:rsidP="00BA269E">
            <w:pPr>
              <w:pStyle w:val="Tablecopy"/>
              <w:cnfStyle w:val="000000000000" w:firstRow="0" w:lastRow="0" w:firstColumn="0" w:lastColumn="0" w:oddVBand="0" w:evenVBand="0" w:oddHBand="0" w:evenHBand="0" w:firstRowFirstColumn="0" w:firstRowLastColumn="0" w:lastRowFirstColumn="0" w:lastRowLastColumn="0"/>
            </w:pPr>
            <w:r w:rsidRPr="00CE5CB1">
              <w:t>4.4</w:t>
            </w:r>
          </w:p>
        </w:tc>
      </w:tr>
      <w:tr w:rsidR="00BA269E" w14:paraId="4F801ECC"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FA2DC92" w14:textId="5B998E87" w:rsidR="00BA269E" w:rsidRDefault="00BA269E" w:rsidP="00BA269E">
            <w:pPr>
              <w:pStyle w:val="Tablecopy"/>
            </w:pPr>
            <w:r w:rsidRPr="0083290A">
              <w:t>Professional, Scientific and Technical Services</w:t>
            </w:r>
          </w:p>
        </w:tc>
        <w:tc>
          <w:tcPr>
            <w:tcW w:w="4732" w:type="dxa"/>
          </w:tcPr>
          <w:p w14:paraId="45F47D85" w14:textId="04BA0B7D" w:rsidR="00BA269E" w:rsidRPr="008E02F2" w:rsidRDefault="004A67D2" w:rsidP="00BA269E">
            <w:pPr>
              <w:pStyle w:val="Tablecopy"/>
              <w:cnfStyle w:val="000000100000" w:firstRow="0" w:lastRow="0" w:firstColumn="0" w:lastColumn="0" w:oddVBand="0" w:evenVBand="0" w:oddHBand="1" w:evenHBand="0" w:firstRowFirstColumn="0" w:firstRowLastColumn="0" w:lastRowFirstColumn="0" w:lastRowLastColumn="0"/>
            </w:pPr>
            <w:r w:rsidRPr="004A67D2">
              <w:t>4.0</w:t>
            </w:r>
          </w:p>
        </w:tc>
      </w:tr>
      <w:tr w:rsidR="00BA269E" w14:paraId="642C9B2B"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4604AFB4" w14:textId="2CFDC3AF" w:rsidR="00BA269E" w:rsidRDefault="00BA269E" w:rsidP="00BA269E">
            <w:pPr>
              <w:pStyle w:val="Tablecopy"/>
            </w:pPr>
            <w:r w:rsidRPr="0083290A">
              <w:t>Rental, Hiring and Real Estate Services</w:t>
            </w:r>
          </w:p>
        </w:tc>
        <w:tc>
          <w:tcPr>
            <w:tcW w:w="4732" w:type="dxa"/>
          </w:tcPr>
          <w:p w14:paraId="3CD5766A" w14:textId="2EDF4578" w:rsidR="00BA269E" w:rsidRPr="008E02F2" w:rsidRDefault="004A67D2" w:rsidP="00BA269E">
            <w:pPr>
              <w:pStyle w:val="Tablecopy"/>
              <w:cnfStyle w:val="000000000000" w:firstRow="0" w:lastRow="0" w:firstColumn="0" w:lastColumn="0" w:oddVBand="0" w:evenVBand="0" w:oddHBand="0" w:evenHBand="0" w:firstRowFirstColumn="0" w:firstRowLastColumn="0" w:lastRowFirstColumn="0" w:lastRowLastColumn="0"/>
            </w:pPr>
            <w:r w:rsidRPr="004A67D2">
              <w:t>3.9</w:t>
            </w:r>
          </w:p>
        </w:tc>
      </w:tr>
      <w:tr w:rsidR="00BA269E" w14:paraId="79E3155E"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2B443992" w14:textId="1E48E6F8" w:rsidR="00BA269E" w:rsidRDefault="00BA269E" w:rsidP="00BA269E">
            <w:pPr>
              <w:pStyle w:val="Tablecopy"/>
            </w:pPr>
            <w:r w:rsidRPr="0083290A">
              <w:t>Finance and Insurance Services</w:t>
            </w:r>
          </w:p>
        </w:tc>
        <w:tc>
          <w:tcPr>
            <w:tcW w:w="4732" w:type="dxa"/>
          </w:tcPr>
          <w:p w14:paraId="7361616A" w14:textId="001BF636" w:rsidR="00BA269E" w:rsidRPr="008E02F2" w:rsidRDefault="005D63A9" w:rsidP="00BA269E">
            <w:pPr>
              <w:pStyle w:val="Tablecopy"/>
              <w:cnfStyle w:val="000000100000" w:firstRow="0" w:lastRow="0" w:firstColumn="0" w:lastColumn="0" w:oddVBand="0" w:evenVBand="0" w:oddHBand="1" w:evenHBand="0" w:firstRowFirstColumn="0" w:firstRowLastColumn="0" w:lastRowFirstColumn="0" w:lastRowLastColumn="0"/>
            </w:pPr>
            <w:r w:rsidRPr="005D63A9">
              <w:t>3.8</w:t>
            </w:r>
          </w:p>
        </w:tc>
      </w:tr>
      <w:tr w:rsidR="00BA269E" w14:paraId="466B0F0E"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A8B17EE" w14:textId="6DD17C20" w:rsidR="00BA269E" w:rsidRDefault="00BA269E" w:rsidP="00BA269E">
            <w:pPr>
              <w:pStyle w:val="Tablecopy"/>
            </w:pPr>
            <w:r w:rsidRPr="0083290A">
              <w:t>Information Media and Telecommunications</w:t>
            </w:r>
          </w:p>
        </w:tc>
        <w:tc>
          <w:tcPr>
            <w:tcW w:w="4732" w:type="dxa"/>
          </w:tcPr>
          <w:p w14:paraId="45220D75" w14:textId="1A1C7D2B" w:rsidR="00BA269E" w:rsidRPr="008E02F2" w:rsidRDefault="005D63A9" w:rsidP="00BA269E">
            <w:pPr>
              <w:pStyle w:val="Tablecopy"/>
              <w:cnfStyle w:val="000000000000" w:firstRow="0" w:lastRow="0" w:firstColumn="0" w:lastColumn="0" w:oddVBand="0" w:evenVBand="0" w:oddHBand="0" w:evenHBand="0" w:firstRowFirstColumn="0" w:firstRowLastColumn="0" w:lastRowFirstColumn="0" w:lastRowLastColumn="0"/>
            </w:pPr>
            <w:r w:rsidRPr="005D63A9">
              <w:t>3.8</w:t>
            </w:r>
          </w:p>
        </w:tc>
      </w:tr>
      <w:tr w:rsidR="00BA269E" w14:paraId="42E608E4"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0462310" w14:textId="1893D522" w:rsidR="00BA269E" w:rsidRDefault="00BA269E" w:rsidP="00BA269E">
            <w:pPr>
              <w:pStyle w:val="Tablecopy"/>
            </w:pPr>
            <w:r w:rsidRPr="0083290A">
              <w:t>Transport, Postal and Warehousing</w:t>
            </w:r>
          </w:p>
        </w:tc>
        <w:tc>
          <w:tcPr>
            <w:tcW w:w="4732" w:type="dxa"/>
          </w:tcPr>
          <w:p w14:paraId="4DBC1107" w14:textId="058EB0CC" w:rsidR="00BA269E" w:rsidRPr="008E02F2" w:rsidRDefault="005D63A9" w:rsidP="00BA269E">
            <w:pPr>
              <w:pStyle w:val="Tablecopy"/>
              <w:cnfStyle w:val="000000100000" w:firstRow="0" w:lastRow="0" w:firstColumn="0" w:lastColumn="0" w:oddVBand="0" w:evenVBand="0" w:oddHBand="1" w:evenHBand="0" w:firstRowFirstColumn="0" w:firstRowLastColumn="0" w:lastRowFirstColumn="0" w:lastRowLastColumn="0"/>
            </w:pPr>
            <w:r w:rsidRPr="005D63A9">
              <w:t>3.7</w:t>
            </w:r>
          </w:p>
        </w:tc>
      </w:tr>
      <w:tr w:rsidR="00BA269E" w14:paraId="394747D5"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27DA5021" w14:textId="7A64366A" w:rsidR="00BA269E" w:rsidRDefault="00BA269E" w:rsidP="00BA269E">
            <w:pPr>
              <w:pStyle w:val="Tablecopy"/>
            </w:pPr>
            <w:r w:rsidRPr="0083290A">
              <w:t>Accommodation and Food Services</w:t>
            </w:r>
          </w:p>
        </w:tc>
        <w:tc>
          <w:tcPr>
            <w:tcW w:w="4732" w:type="dxa"/>
          </w:tcPr>
          <w:p w14:paraId="7D40C80B" w14:textId="71135367" w:rsidR="00BA269E" w:rsidRPr="008E02F2" w:rsidRDefault="0050351C" w:rsidP="00BA269E">
            <w:pPr>
              <w:pStyle w:val="Tablecopy"/>
              <w:cnfStyle w:val="000000000000" w:firstRow="0" w:lastRow="0" w:firstColumn="0" w:lastColumn="0" w:oddVBand="0" w:evenVBand="0" w:oddHBand="0" w:evenHBand="0" w:firstRowFirstColumn="0" w:firstRowLastColumn="0" w:lastRowFirstColumn="0" w:lastRowLastColumn="0"/>
            </w:pPr>
            <w:r w:rsidRPr="0050351C">
              <w:t>3.5</w:t>
            </w:r>
          </w:p>
        </w:tc>
      </w:tr>
      <w:tr w:rsidR="00BA269E" w14:paraId="3B5119B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45E8CD4B" w14:textId="71888222" w:rsidR="00BA269E" w:rsidRDefault="00BA269E" w:rsidP="00BA269E">
            <w:pPr>
              <w:pStyle w:val="Tablecopy"/>
            </w:pPr>
            <w:r w:rsidRPr="0083290A">
              <w:t>Retail Trade</w:t>
            </w:r>
          </w:p>
        </w:tc>
        <w:tc>
          <w:tcPr>
            <w:tcW w:w="4732" w:type="dxa"/>
          </w:tcPr>
          <w:p w14:paraId="0F18891F" w14:textId="1BD033FF" w:rsidR="00BA269E" w:rsidRPr="008E02F2" w:rsidRDefault="0050351C" w:rsidP="00BA269E">
            <w:pPr>
              <w:pStyle w:val="Tablecopy"/>
              <w:cnfStyle w:val="000000100000" w:firstRow="0" w:lastRow="0" w:firstColumn="0" w:lastColumn="0" w:oddVBand="0" w:evenVBand="0" w:oddHBand="1" w:evenHBand="0" w:firstRowFirstColumn="0" w:firstRowLastColumn="0" w:lastRowFirstColumn="0" w:lastRowLastColumn="0"/>
            </w:pPr>
            <w:r w:rsidRPr="0050351C">
              <w:t>3.3</w:t>
            </w:r>
          </w:p>
        </w:tc>
      </w:tr>
      <w:tr w:rsidR="00BA269E" w14:paraId="472F2C08"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AAC8D59" w14:textId="1CF5357C" w:rsidR="00BA269E" w:rsidRDefault="00BA269E" w:rsidP="00BA269E">
            <w:pPr>
              <w:pStyle w:val="Tablecopy"/>
            </w:pPr>
            <w:r w:rsidRPr="0083290A">
              <w:t>Wholesale Trade</w:t>
            </w:r>
          </w:p>
        </w:tc>
        <w:tc>
          <w:tcPr>
            <w:tcW w:w="4732" w:type="dxa"/>
          </w:tcPr>
          <w:p w14:paraId="18B73313" w14:textId="76586861" w:rsidR="00BA269E" w:rsidRPr="008E02F2" w:rsidRDefault="0050351C" w:rsidP="00BA269E">
            <w:pPr>
              <w:pStyle w:val="Tablecopy"/>
              <w:cnfStyle w:val="000000000000" w:firstRow="0" w:lastRow="0" w:firstColumn="0" w:lastColumn="0" w:oddVBand="0" w:evenVBand="0" w:oddHBand="0" w:evenHBand="0" w:firstRowFirstColumn="0" w:firstRowLastColumn="0" w:lastRowFirstColumn="0" w:lastRowLastColumn="0"/>
            </w:pPr>
            <w:r w:rsidRPr="0050351C">
              <w:t>3.2</w:t>
            </w:r>
          </w:p>
        </w:tc>
      </w:tr>
      <w:tr w:rsidR="00BA269E" w14:paraId="662D8BB4"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5AE9DCD" w14:textId="06119584" w:rsidR="00BA269E" w:rsidRDefault="00BA269E" w:rsidP="00BA269E">
            <w:pPr>
              <w:pStyle w:val="Tablecopy"/>
            </w:pPr>
            <w:r w:rsidRPr="0083290A">
              <w:lastRenderedPageBreak/>
              <w:t>Construction</w:t>
            </w:r>
          </w:p>
        </w:tc>
        <w:tc>
          <w:tcPr>
            <w:tcW w:w="4732" w:type="dxa"/>
          </w:tcPr>
          <w:p w14:paraId="46E8A5CD" w14:textId="74B83910" w:rsidR="00BA269E" w:rsidRPr="008E02F2" w:rsidRDefault="0050351C" w:rsidP="00BA269E">
            <w:pPr>
              <w:pStyle w:val="Tablecopy"/>
              <w:cnfStyle w:val="000000100000" w:firstRow="0" w:lastRow="0" w:firstColumn="0" w:lastColumn="0" w:oddVBand="0" w:evenVBand="0" w:oddHBand="1" w:evenHBand="0" w:firstRowFirstColumn="0" w:firstRowLastColumn="0" w:lastRowFirstColumn="0" w:lastRowLastColumn="0"/>
            </w:pPr>
            <w:r w:rsidRPr="0050351C">
              <w:t>3.1</w:t>
            </w:r>
          </w:p>
        </w:tc>
      </w:tr>
      <w:tr w:rsidR="00BA269E" w14:paraId="0D53D55A"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4FFA62F2" w14:textId="6BA196A8" w:rsidR="00BA269E" w:rsidRDefault="00BA269E" w:rsidP="00BA269E">
            <w:pPr>
              <w:pStyle w:val="Tablecopy"/>
            </w:pPr>
            <w:r w:rsidRPr="0083290A">
              <w:t>Electricity, Water and Waste Services</w:t>
            </w:r>
          </w:p>
        </w:tc>
        <w:tc>
          <w:tcPr>
            <w:tcW w:w="4732" w:type="dxa"/>
          </w:tcPr>
          <w:p w14:paraId="53B2CC48" w14:textId="1A08BB4B" w:rsidR="00BA269E" w:rsidRPr="008E02F2" w:rsidRDefault="0097432F" w:rsidP="00BA269E">
            <w:pPr>
              <w:pStyle w:val="Tablecopy"/>
              <w:cnfStyle w:val="000000000000" w:firstRow="0" w:lastRow="0" w:firstColumn="0" w:lastColumn="0" w:oddVBand="0" w:evenVBand="0" w:oddHBand="0" w:evenHBand="0" w:firstRowFirstColumn="0" w:firstRowLastColumn="0" w:lastRowFirstColumn="0" w:lastRowLastColumn="0"/>
            </w:pPr>
            <w:r w:rsidRPr="0097432F">
              <w:t>3.0</w:t>
            </w:r>
          </w:p>
        </w:tc>
      </w:tr>
      <w:tr w:rsidR="00BA269E" w14:paraId="0D0E746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5F17D5E" w14:textId="311DA398" w:rsidR="00BA269E" w:rsidRDefault="00BA269E" w:rsidP="00BA269E">
            <w:pPr>
              <w:pStyle w:val="Tablecopy"/>
            </w:pPr>
            <w:r w:rsidRPr="0083290A">
              <w:t>Manufacturing</w:t>
            </w:r>
          </w:p>
        </w:tc>
        <w:tc>
          <w:tcPr>
            <w:tcW w:w="4732" w:type="dxa"/>
          </w:tcPr>
          <w:p w14:paraId="7C636B0B" w14:textId="3D60B792" w:rsidR="00BA269E" w:rsidRPr="008E02F2" w:rsidRDefault="0097432F" w:rsidP="00BA269E">
            <w:pPr>
              <w:pStyle w:val="Tablecopy"/>
              <w:cnfStyle w:val="000000100000" w:firstRow="0" w:lastRow="0" w:firstColumn="0" w:lastColumn="0" w:oddVBand="0" w:evenVBand="0" w:oddHBand="1" w:evenHBand="0" w:firstRowFirstColumn="0" w:firstRowLastColumn="0" w:lastRowFirstColumn="0" w:lastRowLastColumn="0"/>
            </w:pPr>
            <w:r w:rsidRPr="0097432F">
              <w:t>2.9</w:t>
            </w:r>
          </w:p>
        </w:tc>
      </w:tr>
      <w:tr w:rsidR="00BA269E" w14:paraId="22FBD95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280EEA38" w14:textId="5919BBBC" w:rsidR="00BA269E" w:rsidRDefault="00BA269E" w:rsidP="00BA269E">
            <w:pPr>
              <w:pStyle w:val="Tablecopy"/>
            </w:pPr>
            <w:r w:rsidRPr="0083290A">
              <w:t>Mining</w:t>
            </w:r>
          </w:p>
        </w:tc>
        <w:tc>
          <w:tcPr>
            <w:tcW w:w="4732" w:type="dxa"/>
          </w:tcPr>
          <w:p w14:paraId="5F3C2F9F" w14:textId="5173E140" w:rsidR="00BA269E" w:rsidRPr="008E02F2" w:rsidRDefault="0097432F" w:rsidP="00BA269E">
            <w:pPr>
              <w:pStyle w:val="Tablecopy"/>
              <w:cnfStyle w:val="000000000000" w:firstRow="0" w:lastRow="0" w:firstColumn="0" w:lastColumn="0" w:oddVBand="0" w:evenVBand="0" w:oddHBand="0" w:evenHBand="0" w:firstRowFirstColumn="0" w:firstRowLastColumn="0" w:lastRowFirstColumn="0" w:lastRowLastColumn="0"/>
            </w:pPr>
            <w:r w:rsidRPr="0097432F">
              <w:t>2.6</w:t>
            </w:r>
          </w:p>
        </w:tc>
      </w:tr>
      <w:tr w:rsidR="00BA269E" w14:paraId="785C9AC6"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ADDB185" w14:textId="4B43FA02" w:rsidR="00BA269E" w:rsidRDefault="00BA269E" w:rsidP="00BA269E">
            <w:pPr>
              <w:pStyle w:val="Tablecopy"/>
            </w:pPr>
            <w:r w:rsidRPr="0083290A">
              <w:t>Agriculture, Forestry and Fishing</w:t>
            </w:r>
          </w:p>
        </w:tc>
        <w:tc>
          <w:tcPr>
            <w:tcW w:w="4732" w:type="dxa"/>
          </w:tcPr>
          <w:p w14:paraId="55F02231" w14:textId="435CB46A" w:rsidR="00BA269E" w:rsidRPr="008E02F2" w:rsidRDefault="0097432F" w:rsidP="00BA269E">
            <w:pPr>
              <w:pStyle w:val="Tablecopy"/>
              <w:cnfStyle w:val="000000100000" w:firstRow="0" w:lastRow="0" w:firstColumn="0" w:lastColumn="0" w:oddVBand="0" w:evenVBand="0" w:oddHBand="1" w:evenHBand="0" w:firstRowFirstColumn="0" w:firstRowLastColumn="0" w:lastRowFirstColumn="0" w:lastRowLastColumn="0"/>
            </w:pPr>
            <w:r w:rsidRPr="0097432F">
              <w:t>2.4</w:t>
            </w:r>
          </w:p>
        </w:tc>
      </w:tr>
    </w:tbl>
    <w:p w14:paraId="762B3A2C" w14:textId="77777777" w:rsidR="005C1C74" w:rsidRDefault="005C1C74" w:rsidP="006065E9">
      <w:pPr>
        <w:pStyle w:val="Caption"/>
        <w:ind w:firstLine="720"/>
        <w:rPr>
          <w:i w:val="0"/>
          <w:iCs w:val="0"/>
          <w:color w:val="auto"/>
          <w:sz w:val="20"/>
          <w:szCs w:val="20"/>
        </w:rPr>
      </w:pPr>
    </w:p>
    <w:p w14:paraId="7E30FBB7" w14:textId="603F4447" w:rsidR="00FA6E27" w:rsidRDefault="00FA6E27" w:rsidP="00FA6E27">
      <w:pPr>
        <w:pStyle w:val="Caption"/>
      </w:pPr>
      <w:r>
        <w:rPr>
          <w:b/>
        </w:rPr>
        <w:t xml:space="preserve">Sources: </w:t>
      </w:r>
      <w:r>
        <w:t xml:space="preserve">Australian Bureau of Statistics (2022) Business Longitudinal Analysis Data Environment; Austrade Economics </w:t>
      </w:r>
    </w:p>
    <w:p w14:paraId="38359CBC" w14:textId="632D1C26" w:rsidR="00B9367B" w:rsidRDefault="00B9367B" w:rsidP="00B9367B">
      <w:pPr>
        <w:pStyle w:val="ListBullet"/>
      </w:pPr>
      <w:r>
        <w:rPr>
          <w:w w:val="110"/>
        </w:rPr>
        <w:t>$11.5</w:t>
      </w:r>
      <w:r w:rsidR="00890835">
        <w:rPr>
          <w:w w:val="110"/>
        </w:rPr>
        <w:t xml:space="preserve"> </w:t>
      </w:r>
      <w:r>
        <w:rPr>
          <w:spacing w:val="-94"/>
          <w:w w:val="110"/>
        </w:rPr>
        <w:t xml:space="preserve"> </w:t>
      </w:r>
      <w:r>
        <w:rPr>
          <w:w w:val="110"/>
        </w:rPr>
        <w:t>million</w:t>
      </w:r>
      <w:r>
        <w:t xml:space="preserve"> Other</w:t>
      </w:r>
      <w:r w:rsidRPr="00FA6E27">
        <w:rPr>
          <w:spacing w:val="9"/>
        </w:rPr>
        <w:t xml:space="preserve"> </w:t>
      </w:r>
      <w:r>
        <w:t>services</w:t>
      </w:r>
      <w:r w:rsidR="003507E4">
        <w:rPr>
          <w:rStyle w:val="FootnoteReference"/>
        </w:rPr>
        <w:footnoteReference w:id="15"/>
      </w:r>
      <w:r>
        <w:t xml:space="preserve"> </w:t>
      </w:r>
    </w:p>
    <w:p w14:paraId="7BCA9882" w14:textId="77777777" w:rsidR="00B9367B" w:rsidRDefault="00B9367B" w:rsidP="00B9367B">
      <w:pPr>
        <w:pStyle w:val="ListBullet"/>
      </w:pPr>
      <w:r>
        <w:t>$10.2 million Arts and recreation services</w:t>
      </w:r>
    </w:p>
    <w:p w14:paraId="2649A69E" w14:textId="77777777" w:rsidR="00B9367B" w:rsidRDefault="00B9367B" w:rsidP="00B9367B">
      <w:pPr>
        <w:pStyle w:val="ListBullet"/>
      </w:pPr>
      <w:r>
        <w:t>$6.8 million Healthcare and social assistance services</w:t>
      </w:r>
    </w:p>
    <w:p w14:paraId="51853365" w14:textId="77777777" w:rsidR="00560162" w:rsidRDefault="00560162" w:rsidP="00560162">
      <w:pPr>
        <w:pStyle w:val="FootnoteText"/>
      </w:pPr>
    </w:p>
    <w:p w14:paraId="54A0FAED" w14:textId="30DE0C28" w:rsidR="00562A00" w:rsidRDefault="00562A00" w:rsidP="00560162">
      <w:pPr>
        <w:pStyle w:val="FootnoteText"/>
        <w:rPr>
          <w:color w:val="7A4282" w:themeColor="accent1"/>
          <w:sz w:val="32"/>
          <w:szCs w:val="32"/>
        </w:rPr>
      </w:pPr>
      <w:r>
        <w:br w:type="page"/>
      </w:r>
    </w:p>
    <w:p w14:paraId="7289CABF" w14:textId="05A2E111" w:rsidR="00B9367B" w:rsidRDefault="00B9367B" w:rsidP="00B9367B">
      <w:pPr>
        <w:pStyle w:val="Heading2"/>
      </w:pPr>
      <w:r w:rsidRPr="00B9367B">
        <w:lastRenderedPageBreak/>
        <w:t>Education and training exporters employed the largest amount of people</w:t>
      </w:r>
    </w:p>
    <w:p w14:paraId="2B33E8F0" w14:textId="77777777" w:rsidR="00B9367B" w:rsidRDefault="00B9367B" w:rsidP="00B9367B">
      <w:pPr>
        <w:pStyle w:val="Heading3"/>
      </w:pPr>
      <w:r>
        <w:t>Figure 10. Median employees per exporter by industry</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562A00" w:rsidRPr="00823B47" w14:paraId="04DC5D78"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058BA2C4" w14:textId="77777777" w:rsidR="00562A00" w:rsidRPr="00823B47" w:rsidRDefault="00562A00" w:rsidP="00901636">
            <w:pPr>
              <w:pStyle w:val="Tableheadermain"/>
              <w:rPr>
                <w:b/>
                <w:bCs/>
              </w:rPr>
            </w:pPr>
            <w:r>
              <w:rPr>
                <w:b/>
                <w:bCs/>
              </w:rPr>
              <w:t>Industry</w:t>
            </w:r>
          </w:p>
        </w:tc>
        <w:tc>
          <w:tcPr>
            <w:tcW w:w="4732" w:type="dxa"/>
          </w:tcPr>
          <w:p w14:paraId="58EFDC1E" w14:textId="4D6AE699" w:rsidR="00562A00" w:rsidRPr="00BA269E" w:rsidRDefault="000716BB"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0716BB">
              <w:rPr>
                <w:b/>
                <w:bCs/>
              </w:rPr>
              <w:t xml:space="preserve">Median employees per exporter by industry </w:t>
            </w:r>
            <w:r w:rsidR="00562A00" w:rsidRPr="00BA269E">
              <w:rPr>
                <w:b/>
                <w:bCs/>
              </w:rPr>
              <w:t>(</w:t>
            </w:r>
            <w:r w:rsidRPr="000716BB">
              <w:rPr>
                <w:b/>
                <w:bCs/>
              </w:rPr>
              <w:t>Number of employed persons 2020-21</w:t>
            </w:r>
            <w:r w:rsidR="00562A00" w:rsidRPr="00BA269E">
              <w:rPr>
                <w:b/>
                <w:bCs/>
              </w:rPr>
              <w:t>)</w:t>
            </w:r>
          </w:p>
        </w:tc>
      </w:tr>
      <w:tr w:rsidR="0080036B" w14:paraId="48549E34"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4FA6DA8" w14:textId="2F824D6F" w:rsidR="0080036B" w:rsidRPr="00206933" w:rsidRDefault="00466104" w:rsidP="0080036B">
            <w:pPr>
              <w:pStyle w:val="Tablecopy"/>
            </w:pPr>
            <w:r>
              <w:rPr>
                <w:rStyle w:val="FootnoteReference"/>
              </w:rPr>
              <w:footnoteReference w:id="16"/>
            </w:r>
            <w:r w:rsidR="0080036B" w:rsidRPr="00F10132">
              <w:t>Education and Training</w:t>
            </w:r>
          </w:p>
        </w:tc>
        <w:tc>
          <w:tcPr>
            <w:tcW w:w="4732" w:type="dxa"/>
          </w:tcPr>
          <w:p w14:paraId="664D8E2F" w14:textId="52BF146F" w:rsidR="0080036B" w:rsidRDefault="000716BB" w:rsidP="0080036B">
            <w:pPr>
              <w:pStyle w:val="Tablecopy"/>
              <w:cnfStyle w:val="000000100000" w:firstRow="0" w:lastRow="0" w:firstColumn="0" w:lastColumn="0" w:oddVBand="0" w:evenVBand="0" w:oddHBand="1" w:evenHBand="0" w:firstRowFirstColumn="0" w:firstRowLastColumn="0" w:lastRowFirstColumn="0" w:lastRowLastColumn="0"/>
            </w:pPr>
            <w:r>
              <w:t>79</w:t>
            </w:r>
          </w:p>
        </w:tc>
      </w:tr>
      <w:tr w:rsidR="0080036B" w14:paraId="182001AD"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14617C4" w14:textId="36E2291F" w:rsidR="0080036B" w:rsidRDefault="0080036B" w:rsidP="0080036B">
            <w:pPr>
              <w:pStyle w:val="Tablecopy"/>
            </w:pPr>
            <w:r w:rsidRPr="00F10132">
              <w:t>Public Administration and Safety</w:t>
            </w:r>
          </w:p>
        </w:tc>
        <w:tc>
          <w:tcPr>
            <w:tcW w:w="4732" w:type="dxa"/>
          </w:tcPr>
          <w:p w14:paraId="290AA31B" w14:textId="4D3DA2EF" w:rsidR="0080036B" w:rsidRDefault="000716BB" w:rsidP="0080036B">
            <w:pPr>
              <w:pStyle w:val="Tablecopy"/>
              <w:cnfStyle w:val="000000000000" w:firstRow="0" w:lastRow="0" w:firstColumn="0" w:lastColumn="0" w:oddVBand="0" w:evenVBand="0" w:oddHBand="0" w:evenHBand="0" w:firstRowFirstColumn="0" w:firstRowLastColumn="0" w:lastRowFirstColumn="0" w:lastRowLastColumn="0"/>
            </w:pPr>
            <w:r>
              <w:t>42</w:t>
            </w:r>
          </w:p>
        </w:tc>
      </w:tr>
      <w:tr w:rsidR="0080036B" w14:paraId="26B0B1D9"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EED0C89" w14:textId="2805857A" w:rsidR="0080036B" w:rsidRDefault="0080036B" w:rsidP="0080036B">
            <w:pPr>
              <w:pStyle w:val="Tablecopy"/>
            </w:pPr>
            <w:r w:rsidRPr="00F10132">
              <w:t>Mining</w:t>
            </w:r>
          </w:p>
        </w:tc>
        <w:tc>
          <w:tcPr>
            <w:tcW w:w="4732" w:type="dxa"/>
          </w:tcPr>
          <w:p w14:paraId="0706B093" w14:textId="3B55C52D" w:rsidR="0080036B" w:rsidRDefault="000716BB" w:rsidP="0080036B">
            <w:pPr>
              <w:pStyle w:val="Tablecopy"/>
              <w:cnfStyle w:val="000000100000" w:firstRow="0" w:lastRow="0" w:firstColumn="0" w:lastColumn="0" w:oddVBand="0" w:evenVBand="0" w:oddHBand="1" w:evenHBand="0" w:firstRowFirstColumn="0" w:firstRowLastColumn="0" w:lastRowFirstColumn="0" w:lastRowLastColumn="0"/>
            </w:pPr>
            <w:r>
              <w:t>41</w:t>
            </w:r>
          </w:p>
        </w:tc>
      </w:tr>
      <w:tr w:rsidR="0080036B" w14:paraId="334C7CDA"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63A39F62" w14:textId="4CEF54D8" w:rsidR="0080036B" w:rsidRDefault="0080036B" w:rsidP="0080036B">
            <w:pPr>
              <w:pStyle w:val="Tablecopy"/>
            </w:pPr>
            <w:r w:rsidRPr="00F10132">
              <w:t>Arts and Recreation Services</w:t>
            </w:r>
          </w:p>
        </w:tc>
        <w:tc>
          <w:tcPr>
            <w:tcW w:w="4732" w:type="dxa"/>
          </w:tcPr>
          <w:p w14:paraId="17264C5E" w14:textId="24A06874" w:rsidR="0080036B" w:rsidRPr="008E02F2" w:rsidRDefault="00856179" w:rsidP="0080036B">
            <w:pPr>
              <w:pStyle w:val="Tablecopy"/>
              <w:cnfStyle w:val="000000000000" w:firstRow="0" w:lastRow="0" w:firstColumn="0" w:lastColumn="0" w:oddVBand="0" w:evenVBand="0" w:oddHBand="0" w:evenHBand="0" w:firstRowFirstColumn="0" w:firstRowLastColumn="0" w:lastRowFirstColumn="0" w:lastRowLastColumn="0"/>
              <w:rPr>
                <w:lang w:val="en-US"/>
              </w:rPr>
            </w:pPr>
            <w:r>
              <w:rPr>
                <w:lang w:val="en-US"/>
              </w:rPr>
              <w:t>30</w:t>
            </w:r>
          </w:p>
        </w:tc>
      </w:tr>
      <w:tr w:rsidR="0080036B" w14:paraId="47595695"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85E94B5" w14:textId="77A5DEA4" w:rsidR="0080036B" w:rsidRDefault="0080036B" w:rsidP="0080036B">
            <w:pPr>
              <w:pStyle w:val="Tablecopy"/>
            </w:pPr>
            <w:r w:rsidRPr="00F10132">
              <w:t>Administrative and Support Services</w:t>
            </w:r>
          </w:p>
        </w:tc>
        <w:tc>
          <w:tcPr>
            <w:tcW w:w="4732" w:type="dxa"/>
          </w:tcPr>
          <w:p w14:paraId="7F7BB19A" w14:textId="37423606" w:rsidR="0080036B" w:rsidRDefault="00856179" w:rsidP="0080036B">
            <w:pPr>
              <w:pStyle w:val="Tablecopy"/>
              <w:cnfStyle w:val="000000100000" w:firstRow="0" w:lastRow="0" w:firstColumn="0" w:lastColumn="0" w:oddVBand="0" w:evenVBand="0" w:oddHBand="1" w:evenHBand="0" w:firstRowFirstColumn="0" w:firstRowLastColumn="0" w:lastRowFirstColumn="0" w:lastRowLastColumn="0"/>
            </w:pPr>
            <w:r>
              <w:t>29</w:t>
            </w:r>
          </w:p>
        </w:tc>
      </w:tr>
      <w:tr w:rsidR="0080036B" w14:paraId="74A87888"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495B72DC" w14:textId="136E4349" w:rsidR="0080036B" w:rsidRDefault="0080036B" w:rsidP="0080036B">
            <w:pPr>
              <w:pStyle w:val="Tablecopy"/>
            </w:pPr>
            <w:r w:rsidRPr="00F10132">
              <w:t>Finance and Insurance Services</w:t>
            </w:r>
          </w:p>
        </w:tc>
        <w:tc>
          <w:tcPr>
            <w:tcW w:w="4732" w:type="dxa"/>
          </w:tcPr>
          <w:p w14:paraId="54524EDE" w14:textId="050B3E29" w:rsidR="0080036B" w:rsidRPr="008E02F2" w:rsidRDefault="00856179" w:rsidP="0080036B">
            <w:pPr>
              <w:pStyle w:val="Tablecopy"/>
              <w:cnfStyle w:val="000000000000" w:firstRow="0" w:lastRow="0" w:firstColumn="0" w:lastColumn="0" w:oddVBand="0" w:evenVBand="0" w:oddHBand="0" w:evenHBand="0" w:firstRowFirstColumn="0" w:firstRowLastColumn="0" w:lastRowFirstColumn="0" w:lastRowLastColumn="0"/>
            </w:pPr>
            <w:r>
              <w:t>28</w:t>
            </w:r>
          </w:p>
        </w:tc>
      </w:tr>
      <w:tr w:rsidR="0080036B" w14:paraId="4999151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E24EA18" w14:textId="1D46A051" w:rsidR="0080036B" w:rsidRDefault="0080036B" w:rsidP="0080036B">
            <w:pPr>
              <w:pStyle w:val="Tablecopy"/>
            </w:pPr>
            <w:r w:rsidRPr="00F10132">
              <w:t>Accommodation and Food Services</w:t>
            </w:r>
          </w:p>
        </w:tc>
        <w:tc>
          <w:tcPr>
            <w:tcW w:w="4732" w:type="dxa"/>
          </w:tcPr>
          <w:p w14:paraId="6935A21D" w14:textId="423B6410" w:rsidR="0080036B" w:rsidRPr="008E02F2" w:rsidRDefault="00856179" w:rsidP="0080036B">
            <w:pPr>
              <w:pStyle w:val="Tablecopy"/>
              <w:cnfStyle w:val="000000100000" w:firstRow="0" w:lastRow="0" w:firstColumn="0" w:lastColumn="0" w:oddVBand="0" w:evenVBand="0" w:oddHBand="1" w:evenHBand="0" w:firstRowFirstColumn="0" w:firstRowLastColumn="0" w:lastRowFirstColumn="0" w:lastRowLastColumn="0"/>
            </w:pPr>
            <w:r>
              <w:t>24</w:t>
            </w:r>
          </w:p>
        </w:tc>
      </w:tr>
      <w:tr w:rsidR="0080036B" w14:paraId="0989D100"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10CA018C" w14:textId="25D45357" w:rsidR="0080036B" w:rsidRDefault="0080036B" w:rsidP="0080036B">
            <w:pPr>
              <w:pStyle w:val="Tablecopy"/>
            </w:pPr>
            <w:r w:rsidRPr="00F10132">
              <w:t>Information Media and Telecommunications</w:t>
            </w:r>
          </w:p>
        </w:tc>
        <w:tc>
          <w:tcPr>
            <w:tcW w:w="4732" w:type="dxa"/>
          </w:tcPr>
          <w:p w14:paraId="30AA1F91" w14:textId="13A06B00" w:rsidR="0080036B" w:rsidRPr="008E02F2" w:rsidRDefault="00856179" w:rsidP="0080036B">
            <w:pPr>
              <w:pStyle w:val="Tablecopy"/>
              <w:cnfStyle w:val="000000000000" w:firstRow="0" w:lastRow="0" w:firstColumn="0" w:lastColumn="0" w:oddVBand="0" w:evenVBand="0" w:oddHBand="0" w:evenHBand="0" w:firstRowFirstColumn="0" w:firstRowLastColumn="0" w:lastRowFirstColumn="0" w:lastRowLastColumn="0"/>
            </w:pPr>
            <w:r>
              <w:t>23</w:t>
            </w:r>
          </w:p>
        </w:tc>
      </w:tr>
      <w:tr w:rsidR="0080036B" w14:paraId="691A4F89"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07239FE1" w14:textId="287F1F46" w:rsidR="0080036B" w:rsidRDefault="0080036B" w:rsidP="0080036B">
            <w:pPr>
              <w:pStyle w:val="Tablecopy"/>
            </w:pPr>
            <w:r w:rsidRPr="00F10132">
              <w:t>Manufacturing</w:t>
            </w:r>
          </w:p>
        </w:tc>
        <w:tc>
          <w:tcPr>
            <w:tcW w:w="4732" w:type="dxa"/>
          </w:tcPr>
          <w:p w14:paraId="7CB93B06" w14:textId="017A1EE1" w:rsidR="0080036B" w:rsidRPr="008E02F2" w:rsidRDefault="00856179" w:rsidP="0080036B">
            <w:pPr>
              <w:pStyle w:val="Tablecopy"/>
              <w:cnfStyle w:val="000000100000" w:firstRow="0" w:lastRow="0" w:firstColumn="0" w:lastColumn="0" w:oddVBand="0" w:evenVBand="0" w:oddHBand="1" w:evenHBand="0" w:firstRowFirstColumn="0" w:firstRowLastColumn="0" w:lastRowFirstColumn="0" w:lastRowLastColumn="0"/>
            </w:pPr>
            <w:r>
              <w:t>21</w:t>
            </w:r>
          </w:p>
        </w:tc>
      </w:tr>
      <w:tr w:rsidR="0080036B" w14:paraId="5B317096"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316A2C70" w14:textId="302B3ADE" w:rsidR="0080036B" w:rsidRDefault="0080036B" w:rsidP="0080036B">
            <w:pPr>
              <w:pStyle w:val="Tablecopy"/>
            </w:pPr>
            <w:r w:rsidRPr="00F10132">
              <w:t>Construction</w:t>
            </w:r>
          </w:p>
        </w:tc>
        <w:tc>
          <w:tcPr>
            <w:tcW w:w="4732" w:type="dxa"/>
          </w:tcPr>
          <w:p w14:paraId="51378D38" w14:textId="12C4522E" w:rsidR="0080036B" w:rsidRPr="008E02F2" w:rsidRDefault="00856179" w:rsidP="0080036B">
            <w:pPr>
              <w:pStyle w:val="Tablecopy"/>
              <w:cnfStyle w:val="000000000000" w:firstRow="0" w:lastRow="0" w:firstColumn="0" w:lastColumn="0" w:oddVBand="0" w:evenVBand="0" w:oddHBand="0" w:evenHBand="0" w:firstRowFirstColumn="0" w:firstRowLastColumn="0" w:lastRowFirstColumn="0" w:lastRowLastColumn="0"/>
            </w:pPr>
            <w:r>
              <w:t>20</w:t>
            </w:r>
          </w:p>
        </w:tc>
      </w:tr>
      <w:tr w:rsidR="0080036B" w14:paraId="10C2B5AE"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2B92321" w14:textId="55A3D6BE" w:rsidR="0080036B" w:rsidRDefault="0080036B" w:rsidP="0080036B">
            <w:pPr>
              <w:pStyle w:val="Tablecopy"/>
            </w:pPr>
            <w:r w:rsidRPr="00F10132">
              <w:t>Healthcare and Social Assistance</w:t>
            </w:r>
          </w:p>
        </w:tc>
        <w:tc>
          <w:tcPr>
            <w:tcW w:w="4732" w:type="dxa"/>
          </w:tcPr>
          <w:p w14:paraId="63856D65" w14:textId="37CEF650" w:rsidR="0080036B" w:rsidRPr="008E02F2" w:rsidRDefault="00856179" w:rsidP="0080036B">
            <w:pPr>
              <w:pStyle w:val="Tablecopy"/>
              <w:cnfStyle w:val="000000100000" w:firstRow="0" w:lastRow="0" w:firstColumn="0" w:lastColumn="0" w:oddVBand="0" w:evenVBand="0" w:oddHBand="1" w:evenHBand="0" w:firstRowFirstColumn="0" w:firstRowLastColumn="0" w:lastRowFirstColumn="0" w:lastRowLastColumn="0"/>
            </w:pPr>
            <w:r>
              <w:t>19</w:t>
            </w:r>
          </w:p>
        </w:tc>
      </w:tr>
      <w:tr w:rsidR="0080036B" w14:paraId="54C6CE3E"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18C07C9A" w14:textId="7C282FF9" w:rsidR="0080036B" w:rsidRDefault="0080036B" w:rsidP="0080036B">
            <w:pPr>
              <w:pStyle w:val="Tablecopy"/>
            </w:pPr>
            <w:r w:rsidRPr="00F10132">
              <w:t>Agriculture, Forestry and Fishing</w:t>
            </w:r>
          </w:p>
        </w:tc>
        <w:tc>
          <w:tcPr>
            <w:tcW w:w="4732" w:type="dxa"/>
          </w:tcPr>
          <w:p w14:paraId="2B78CFC0" w14:textId="62B5990C" w:rsidR="0080036B" w:rsidRPr="008E02F2" w:rsidRDefault="00BF7BAA" w:rsidP="0080036B">
            <w:pPr>
              <w:pStyle w:val="Tablecopy"/>
              <w:cnfStyle w:val="000000000000" w:firstRow="0" w:lastRow="0" w:firstColumn="0" w:lastColumn="0" w:oddVBand="0" w:evenVBand="0" w:oddHBand="0" w:evenHBand="0" w:firstRowFirstColumn="0" w:firstRowLastColumn="0" w:lastRowFirstColumn="0" w:lastRowLastColumn="0"/>
            </w:pPr>
            <w:r>
              <w:t>18</w:t>
            </w:r>
          </w:p>
        </w:tc>
      </w:tr>
      <w:tr w:rsidR="0080036B" w14:paraId="39C024CA"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9E30407" w14:textId="2C537325" w:rsidR="0080036B" w:rsidRDefault="0080036B" w:rsidP="0080036B">
            <w:pPr>
              <w:pStyle w:val="Tablecopy"/>
            </w:pPr>
            <w:r w:rsidRPr="00F10132">
              <w:t>Professional, Scientific and Technical Services</w:t>
            </w:r>
          </w:p>
        </w:tc>
        <w:tc>
          <w:tcPr>
            <w:tcW w:w="4732" w:type="dxa"/>
          </w:tcPr>
          <w:p w14:paraId="451E62C6" w14:textId="57190ABE" w:rsidR="0080036B" w:rsidRPr="008E02F2" w:rsidRDefault="00BF7BAA" w:rsidP="0080036B">
            <w:pPr>
              <w:pStyle w:val="Tablecopy"/>
              <w:cnfStyle w:val="000000100000" w:firstRow="0" w:lastRow="0" w:firstColumn="0" w:lastColumn="0" w:oddVBand="0" w:evenVBand="0" w:oddHBand="1" w:evenHBand="0" w:firstRowFirstColumn="0" w:firstRowLastColumn="0" w:lastRowFirstColumn="0" w:lastRowLastColumn="0"/>
            </w:pPr>
            <w:r>
              <w:t>17</w:t>
            </w:r>
          </w:p>
        </w:tc>
      </w:tr>
      <w:tr w:rsidR="0080036B" w14:paraId="5817C008"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1B503193" w14:textId="5FC0D3E4" w:rsidR="0080036B" w:rsidRDefault="0080036B" w:rsidP="0080036B">
            <w:pPr>
              <w:pStyle w:val="Tablecopy"/>
            </w:pPr>
            <w:r w:rsidRPr="00F10132">
              <w:lastRenderedPageBreak/>
              <w:t>Electricity, Water and Waste Services</w:t>
            </w:r>
          </w:p>
        </w:tc>
        <w:tc>
          <w:tcPr>
            <w:tcW w:w="4732" w:type="dxa"/>
          </w:tcPr>
          <w:p w14:paraId="6E8AA639" w14:textId="71D78367" w:rsidR="0080036B" w:rsidRPr="008E02F2" w:rsidRDefault="00BF7BAA" w:rsidP="0080036B">
            <w:pPr>
              <w:pStyle w:val="Tablecopy"/>
              <w:cnfStyle w:val="000000000000" w:firstRow="0" w:lastRow="0" w:firstColumn="0" w:lastColumn="0" w:oddVBand="0" w:evenVBand="0" w:oddHBand="0" w:evenHBand="0" w:firstRowFirstColumn="0" w:firstRowLastColumn="0" w:lastRowFirstColumn="0" w:lastRowLastColumn="0"/>
            </w:pPr>
            <w:r>
              <w:t>17</w:t>
            </w:r>
          </w:p>
        </w:tc>
      </w:tr>
      <w:tr w:rsidR="0080036B" w14:paraId="0B73E6BA"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222EDF54" w14:textId="6EB75D01" w:rsidR="0080036B" w:rsidRDefault="0080036B" w:rsidP="0080036B">
            <w:pPr>
              <w:pStyle w:val="Tablecopy"/>
            </w:pPr>
            <w:r w:rsidRPr="00F10132">
              <w:t>Rental, Hiring and Real Estate Services</w:t>
            </w:r>
          </w:p>
        </w:tc>
        <w:tc>
          <w:tcPr>
            <w:tcW w:w="4732" w:type="dxa"/>
          </w:tcPr>
          <w:p w14:paraId="7B3A6CFC" w14:textId="638485AF" w:rsidR="0080036B" w:rsidRPr="008E02F2" w:rsidRDefault="00BF7BAA" w:rsidP="0080036B">
            <w:pPr>
              <w:pStyle w:val="Tablecopy"/>
              <w:cnfStyle w:val="000000100000" w:firstRow="0" w:lastRow="0" w:firstColumn="0" w:lastColumn="0" w:oddVBand="0" w:evenVBand="0" w:oddHBand="1" w:evenHBand="0" w:firstRowFirstColumn="0" w:firstRowLastColumn="0" w:lastRowFirstColumn="0" w:lastRowLastColumn="0"/>
            </w:pPr>
            <w:r>
              <w:t>15</w:t>
            </w:r>
          </w:p>
        </w:tc>
      </w:tr>
      <w:tr w:rsidR="0080036B" w14:paraId="1B350085"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86725B0" w14:textId="109C1D1E" w:rsidR="0080036B" w:rsidRDefault="0080036B" w:rsidP="0080036B">
            <w:pPr>
              <w:pStyle w:val="Tablecopy"/>
            </w:pPr>
            <w:r w:rsidRPr="00F10132">
              <w:t>Transport, Postal and Warehousing</w:t>
            </w:r>
          </w:p>
        </w:tc>
        <w:tc>
          <w:tcPr>
            <w:tcW w:w="4732" w:type="dxa"/>
          </w:tcPr>
          <w:p w14:paraId="281DD304" w14:textId="7E434FCA" w:rsidR="0080036B" w:rsidRPr="008E02F2" w:rsidRDefault="00BF7BAA" w:rsidP="0080036B">
            <w:pPr>
              <w:pStyle w:val="Tablecopy"/>
              <w:cnfStyle w:val="000000000000" w:firstRow="0" w:lastRow="0" w:firstColumn="0" w:lastColumn="0" w:oddVBand="0" w:evenVBand="0" w:oddHBand="0" w:evenHBand="0" w:firstRowFirstColumn="0" w:firstRowLastColumn="0" w:lastRowFirstColumn="0" w:lastRowLastColumn="0"/>
            </w:pPr>
            <w:r>
              <w:t>14</w:t>
            </w:r>
          </w:p>
        </w:tc>
      </w:tr>
      <w:tr w:rsidR="0080036B" w14:paraId="1C06915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5B61AD68" w14:textId="6C7A46C7" w:rsidR="0080036B" w:rsidRDefault="0080036B" w:rsidP="0080036B">
            <w:pPr>
              <w:pStyle w:val="Tablecopy"/>
            </w:pPr>
            <w:r w:rsidRPr="00F10132">
              <w:t>Other Services</w:t>
            </w:r>
          </w:p>
        </w:tc>
        <w:tc>
          <w:tcPr>
            <w:tcW w:w="4732" w:type="dxa"/>
          </w:tcPr>
          <w:p w14:paraId="4D46465F" w14:textId="2C2B59E5" w:rsidR="0080036B" w:rsidRPr="008E02F2" w:rsidRDefault="00BF7BAA" w:rsidP="0080036B">
            <w:pPr>
              <w:pStyle w:val="Tablecopy"/>
              <w:cnfStyle w:val="000000100000" w:firstRow="0" w:lastRow="0" w:firstColumn="0" w:lastColumn="0" w:oddVBand="0" w:evenVBand="0" w:oddHBand="1" w:evenHBand="0" w:firstRowFirstColumn="0" w:firstRowLastColumn="0" w:lastRowFirstColumn="0" w:lastRowLastColumn="0"/>
            </w:pPr>
            <w:r>
              <w:t>12</w:t>
            </w:r>
          </w:p>
        </w:tc>
      </w:tr>
      <w:tr w:rsidR="0080036B" w14:paraId="02745471"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43018BFE" w14:textId="7EA90F67" w:rsidR="0080036B" w:rsidRDefault="0080036B" w:rsidP="0080036B">
            <w:pPr>
              <w:pStyle w:val="Tablecopy"/>
            </w:pPr>
            <w:r w:rsidRPr="00F10132">
              <w:t>Retail Trade</w:t>
            </w:r>
          </w:p>
        </w:tc>
        <w:tc>
          <w:tcPr>
            <w:tcW w:w="4732" w:type="dxa"/>
          </w:tcPr>
          <w:p w14:paraId="2D6478A0" w14:textId="0EE3A084" w:rsidR="0080036B" w:rsidRPr="008E02F2" w:rsidRDefault="00BF7BAA" w:rsidP="0080036B">
            <w:pPr>
              <w:pStyle w:val="Tablecopy"/>
              <w:cnfStyle w:val="000000000000" w:firstRow="0" w:lastRow="0" w:firstColumn="0" w:lastColumn="0" w:oddVBand="0" w:evenVBand="0" w:oddHBand="0" w:evenHBand="0" w:firstRowFirstColumn="0" w:firstRowLastColumn="0" w:lastRowFirstColumn="0" w:lastRowLastColumn="0"/>
            </w:pPr>
            <w:r>
              <w:t>12</w:t>
            </w:r>
          </w:p>
        </w:tc>
      </w:tr>
      <w:tr w:rsidR="0080036B" w14:paraId="5BC706C2"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43D81D03" w14:textId="2058645F" w:rsidR="0080036B" w:rsidRDefault="0080036B" w:rsidP="0080036B">
            <w:pPr>
              <w:pStyle w:val="Tablecopy"/>
            </w:pPr>
            <w:r w:rsidRPr="00F10132">
              <w:t>Wholesale Trade</w:t>
            </w:r>
          </w:p>
        </w:tc>
        <w:tc>
          <w:tcPr>
            <w:tcW w:w="4732" w:type="dxa"/>
          </w:tcPr>
          <w:p w14:paraId="54DDCB24" w14:textId="671E4FF5" w:rsidR="0080036B" w:rsidRPr="008E02F2" w:rsidRDefault="00BF7BAA" w:rsidP="0080036B">
            <w:pPr>
              <w:pStyle w:val="Tablecopy"/>
              <w:cnfStyle w:val="000000100000" w:firstRow="0" w:lastRow="0" w:firstColumn="0" w:lastColumn="0" w:oddVBand="0" w:evenVBand="0" w:oddHBand="1" w:evenHBand="0" w:firstRowFirstColumn="0" w:firstRowLastColumn="0" w:lastRowFirstColumn="0" w:lastRowLastColumn="0"/>
            </w:pPr>
            <w:r>
              <w:t>12</w:t>
            </w:r>
          </w:p>
        </w:tc>
      </w:tr>
    </w:tbl>
    <w:p w14:paraId="17DC9D4F" w14:textId="77777777" w:rsidR="00562A00" w:rsidRDefault="00562A00" w:rsidP="00B9367B">
      <w:pPr>
        <w:pStyle w:val="Caption"/>
        <w:rPr>
          <w:i w:val="0"/>
          <w:iCs w:val="0"/>
          <w:color w:val="auto"/>
          <w:sz w:val="20"/>
          <w:szCs w:val="20"/>
        </w:rPr>
      </w:pPr>
    </w:p>
    <w:p w14:paraId="1106F126" w14:textId="3A1A23CF" w:rsidR="00B9367B" w:rsidRDefault="00B9367B" w:rsidP="00B9367B">
      <w:pPr>
        <w:pStyle w:val="Caption"/>
      </w:pPr>
      <w:r w:rsidRPr="00B9367B">
        <w:rPr>
          <w:b/>
          <w:bCs/>
        </w:rPr>
        <w:t>Sources</w:t>
      </w:r>
      <w:r>
        <w:t>: Australian Bureau of Statistics (2022) Business Longitudinal Analysis Data Environment; Austrade Economics</w:t>
      </w:r>
    </w:p>
    <w:p w14:paraId="525DFC9F" w14:textId="029CBE2A" w:rsidR="00B9367B" w:rsidRDefault="00B9367B" w:rsidP="00B9367B">
      <w:r w:rsidRPr="00B9367B">
        <w:t>Services exporters were also among the largest employers. Education and training exporters were the largest employers on average. The median number of employees per firm in the education and training industry was 79 in 2020-21, followed by 42 in public administration and safety</w:t>
      </w:r>
      <w:r w:rsidR="00CD7613">
        <w:rPr>
          <w:rStyle w:val="FootnoteReference"/>
        </w:rPr>
        <w:footnoteReference w:id="17"/>
      </w:r>
      <w:r w:rsidRPr="00B9367B">
        <w:t xml:space="preserve"> and 41 in mining.</w:t>
      </w:r>
    </w:p>
    <w:p w14:paraId="7AB13F7B" w14:textId="77777777" w:rsidR="00B9367B" w:rsidRDefault="00B9367B">
      <w:pPr>
        <w:spacing w:before="0" w:after="120" w:line="252" w:lineRule="auto"/>
      </w:pPr>
      <w:r>
        <w:br w:type="page"/>
      </w:r>
    </w:p>
    <w:p w14:paraId="7CDD406D" w14:textId="77777777" w:rsidR="00B9367B" w:rsidRDefault="00B9367B" w:rsidP="00B9367B">
      <w:pPr>
        <w:pStyle w:val="Heading2"/>
      </w:pPr>
      <w:r w:rsidRPr="00B9367B">
        <w:lastRenderedPageBreak/>
        <w:t>The mining and financial and insurance services sectors paid the highest average wages in 2020-21, followed by the IT, professional and scientific services, and construction industries</w:t>
      </w:r>
    </w:p>
    <w:p w14:paraId="4EFD816B" w14:textId="77777777" w:rsidR="009200D8" w:rsidRDefault="009200D8" w:rsidP="009200D8">
      <w:pPr>
        <w:pStyle w:val="Heading3"/>
      </w:pPr>
      <w:r>
        <w:t>Figure 11. Average annual wages paid by exporters by industry</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BF7BAA" w:rsidRPr="00823B47" w14:paraId="5B1BA369"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698285B5" w14:textId="77777777" w:rsidR="00BF7BAA" w:rsidRPr="00823B47" w:rsidRDefault="00BF7BAA" w:rsidP="00901636">
            <w:pPr>
              <w:pStyle w:val="Tableheadermain"/>
              <w:rPr>
                <w:b/>
                <w:bCs/>
              </w:rPr>
            </w:pPr>
            <w:r>
              <w:rPr>
                <w:b/>
                <w:bCs/>
              </w:rPr>
              <w:t>Industry</w:t>
            </w:r>
          </w:p>
        </w:tc>
        <w:tc>
          <w:tcPr>
            <w:tcW w:w="4732" w:type="dxa"/>
          </w:tcPr>
          <w:p w14:paraId="4F506ABD" w14:textId="5F795E09" w:rsidR="00BF7BAA" w:rsidRPr="00BA269E" w:rsidRDefault="00026553"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026553">
              <w:rPr>
                <w:b/>
                <w:bCs/>
              </w:rPr>
              <w:t xml:space="preserve">Average annual wages paid by exporters by industry </w:t>
            </w:r>
            <w:r w:rsidR="00BF7BAA" w:rsidRPr="00BA269E">
              <w:rPr>
                <w:b/>
                <w:bCs/>
              </w:rPr>
              <w:t>(</w:t>
            </w:r>
            <w:r w:rsidR="00BF7BAA" w:rsidRPr="000716BB">
              <w:rPr>
                <w:b/>
                <w:bCs/>
              </w:rPr>
              <w:t>Number of employed persons 2020-21</w:t>
            </w:r>
            <w:r w:rsidR="00BF7BAA" w:rsidRPr="00BA269E">
              <w:rPr>
                <w:b/>
                <w:bCs/>
              </w:rPr>
              <w:t>)</w:t>
            </w:r>
          </w:p>
        </w:tc>
      </w:tr>
      <w:tr w:rsidR="00145E15" w14:paraId="296D4618"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4E58C950" w14:textId="4F0D7917" w:rsidR="00145E15" w:rsidRPr="00206933" w:rsidRDefault="00145E15" w:rsidP="00145E15">
            <w:pPr>
              <w:pStyle w:val="Tablecopy"/>
            </w:pPr>
            <w:r w:rsidRPr="00C2456E">
              <w:t>Mining</w:t>
            </w:r>
          </w:p>
        </w:tc>
        <w:tc>
          <w:tcPr>
            <w:tcW w:w="4732" w:type="dxa"/>
          </w:tcPr>
          <w:p w14:paraId="3F2FD78E" w14:textId="43EBEBE4" w:rsidR="00145E15" w:rsidRDefault="00007386" w:rsidP="00145E15">
            <w:pPr>
              <w:pStyle w:val="Tablecopy"/>
              <w:cnfStyle w:val="000000100000" w:firstRow="0" w:lastRow="0" w:firstColumn="0" w:lastColumn="0" w:oddVBand="0" w:evenVBand="0" w:oddHBand="1" w:evenHBand="0" w:firstRowFirstColumn="0" w:firstRowLastColumn="0" w:lastRowFirstColumn="0" w:lastRowLastColumn="0"/>
            </w:pPr>
            <w:r w:rsidRPr="00007386">
              <w:t>95,478</w:t>
            </w:r>
          </w:p>
        </w:tc>
      </w:tr>
      <w:tr w:rsidR="00145E15" w14:paraId="0FCFFBE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6026C296" w14:textId="29CBA353" w:rsidR="00145E15" w:rsidRDefault="00145E15" w:rsidP="00145E15">
            <w:pPr>
              <w:pStyle w:val="Tablecopy"/>
            </w:pPr>
            <w:r w:rsidRPr="00C2456E">
              <w:t>Finance and Insurance Services</w:t>
            </w:r>
          </w:p>
        </w:tc>
        <w:tc>
          <w:tcPr>
            <w:tcW w:w="4732" w:type="dxa"/>
          </w:tcPr>
          <w:p w14:paraId="4A03D35A" w14:textId="7F8F6A4F" w:rsidR="00145E15" w:rsidRDefault="0036799A" w:rsidP="00145E15">
            <w:pPr>
              <w:pStyle w:val="Tablecopy"/>
              <w:cnfStyle w:val="000000000000" w:firstRow="0" w:lastRow="0" w:firstColumn="0" w:lastColumn="0" w:oddVBand="0" w:evenVBand="0" w:oddHBand="0" w:evenHBand="0" w:firstRowFirstColumn="0" w:firstRowLastColumn="0" w:lastRowFirstColumn="0" w:lastRowLastColumn="0"/>
            </w:pPr>
            <w:r w:rsidRPr="0036799A">
              <w:t>83,032</w:t>
            </w:r>
          </w:p>
        </w:tc>
      </w:tr>
      <w:tr w:rsidR="00145E15" w14:paraId="3EAC52D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38FF054A" w14:textId="769B22A9" w:rsidR="00145E15" w:rsidRDefault="00145E15" w:rsidP="00145E15">
            <w:pPr>
              <w:pStyle w:val="Tablecopy"/>
            </w:pPr>
            <w:r w:rsidRPr="00C2456E">
              <w:t>Information Media and Telecommunications</w:t>
            </w:r>
          </w:p>
        </w:tc>
        <w:tc>
          <w:tcPr>
            <w:tcW w:w="4732" w:type="dxa"/>
          </w:tcPr>
          <w:p w14:paraId="2A7AA8D9" w14:textId="59C47E10" w:rsidR="00145E15" w:rsidRDefault="0036799A" w:rsidP="00145E15">
            <w:pPr>
              <w:pStyle w:val="Tablecopy"/>
              <w:cnfStyle w:val="000000100000" w:firstRow="0" w:lastRow="0" w:firstColumn="0" w:lastColumn="0" w:oddVBand="0" w:evenVBand="0" w:oddHBand="1" w:evenHBand="0" w:firstRowFirstColumn="0" w:firstRowLastColumn="0" w:lastRowFirstColumn="0" w:lastRowLastColumn="0"/>
            </w:pPr>
            <w:r w:rsidRPr="0036799A">
              <w:t>69,827</w:t>
            </w:r>
          </w:p>
        </w:tc>
      </w:tr>
      <w:tr w:rsidR="00145E15" w14:paraId="0586973B"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3F1E86D" w14:textId="2F3DED43" w:rsidR="00145E15" w:rsidRDefault="00145E15" w:rsidP="00145E15">
            <w:pPr>
              <w:pStyle w:val="Tablecopy"/>
            </w:pPr>
            <w:r w:rsidRPr="00C2456E">
              <w:t>Professional, Scientific and Technical Services</w:t>
            </w:r>
          </w:p>
        </w:tc>
        <w:tc>
          <w:tcPr>
            <w:tcW w:w="4732" w:type="dxa"/>
          </w:tcPr>
          <w:p w14:paraId="226E88E6" w14:textId="51E61F00" w:rsidR="00145E15" w:rsidRPr="008E02F2" w:rsidRDefault="0036799A" w:rsidP="00145E15">
            <w:pPr>
              <w:pStyle w:val="Tablecopy"/>
              <w:cnfStyle w:val="000000000000" w:firstRow="0" w:lastRow="0" w:firstColumn="0" w:lastColumn="0" w:oddVBand="0" w:evenVBand="0" w:oddHBand="0" w:evenHBand="0" w:firstRowFirstColumn="0" w:firstRowLastColumn="0" w:lastRowFirstColumn="0" w:lastRowLastColumn="0"/>
              <w:rPr>
                <w:lang w:val="en-US"/>
              </w:rPr>
            </w:pPr>
            <w:r w:rsidRPr="0036799A">
              <w:rPr>
                <w:lang w:val="en-US"/>
              </w:rPr>
              <w:t>69,101</w:t>
            </w:r>
          </w:p>
        </w:tc>
      </w:tr>
      <w:tr w:rsidR="00145E15" w14:paraId="5CF5E61C"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7646457" w14:textId="7A02C8D2" w:rsidR="00145E15" w:rsidRDefault="00145E15" w:rsidP="00145E15">
            <w:pPr>
              <w:pStyle w:val="Tablecopy"/>
            </w:pPr>
            <w:r w:rsidRPr="00C2456E">
              <w:t>Construction</w:t>
            </w:r>
          </w:p>
        </w:tc>
        <w:tc>
          <w:tcPr>
            <w:tcW w:w="4732" w:type="dxa"/>
          </w:tcPr>
          <w:p w14:paraId="016A1009" w14:textId="0542F4A1" w:rsidR="00145E15" w:rsidRDefault="0036799A" w:rsidP="00145E15">
            <w:pPr>
              <w:pStyle w:val="Tablecopy"/>
              <w:cnfStyle w:val="000000100000" w:firstRow="0" w:lastRow="0" w:firstColumn="0" w:lastColumn="0" w:oddVBand="0" w:evenVBand="0" w:oddHBand="1" w:evenHBand="0" w:firstRowFirstColumn="0" w:firstRowLastColumn="0" w:lastRowFirstColumn="0" w:lastRowLastColumn="0"/>
            </w:pPr>
            <w:r w:rsidRPr="0036799A">
              <w:t>62,901</w:t>
            </w:r>
          </w:p>
        </w:tc>
      </w:tr>
      <w:tr w:rsidR="00145E15" w14:paraId="3ED7B8E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6089ACE4" w14:textId="24F71EA5" w:rsidR="00145E15" w:rsidRDefault="00145E15" w:rsidP="00145E15">
            <w:pPr>
              <w:pStyle w:val="Tablecopy"/>
            </w:pPr>
            <w:r w:rsidRPr="00C2456E">
              <w:t>Public Administration and Safety</w:t>
            </w:r>
          </w:p>
        </w:tc>
        <w:tc>
          <w:tcPr>
            <w:tcW w:w="4732" w:type="dxa"/>
          </w:tcPr>
          <w:p w14:paraId="1CBAA1A3" w14:textId="395A32D3" w:rsidR="00145E15" w:rsidRPr="008E02F2" w:rsidRDefault="0036799A" w:rsidP="00145E15">
            <w:pPr>
              <w:pStyle w:val="Tablecopy"/>
              <w:cnfStyle w:val="000000000000" w:firstRow="0" w:lastRow="0" w:firstColumn="0" w:lastColumn="0" w:oddVBand="0" w:evenVBand="0" w:oddHBand="0" w:evenHBand="0" w:firstRowFirstColumn="0" w:firstRowLastColumn="0" w:lastRowFirstColumn="0" w:lastRowLastColumn="0"/>
            </w:pPr>
            <w:r w:rsidRPr="0036799A">
              <w:t>62,458</w:t>
            </w:r>
          </w:p>
        </w:tc>
      </w:tr>
      <w:tr w:rsidR="00145E15" w14:paraId="75AE51A9"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4DCD206" w14:textId="6168C683" w:rsidR="00145E15" w:rsidRDefault="00145E15" w:rsidP="00145E15">
            <w:pPr>
              <w:pStyle w:val="Tablecopy"/>
            </w:pPr>
            <w:r w:rsidRPr="00C2456E">
              <w:t>Transport, Postal and Warehousing</w:t>
            </w:r>
          </w:p>
        </w:tc>
        <w:tc>
          <w:tcPr>
            <w:tcW w:w="4732" w:type="dxa"/>
          </w:tcPr>
          <w:p w14:paraId="56723028" w14:textId="25677D49" w:rsidR="00145E15" w:rsidRPr="008E02F2" w:rsidRDefault="007773EC" w:rsidP="00145E15">
            <w:pPr>
              <w:pStyle w:val="Tablecopy"/>
              <w:cnfStyle w:val="000000100000" w:firstRow="0" w:lastRow="0" w:firstColumn="0" w:lastColumn="0" w:oddVBand="0" w:evenVBand="0" w:oddHBand="1" w:evenHBand="0" w:firstRowFirstColumn="0" w:firstRowLastColumn="0" w:lastRowFirstColumn="0" w:lastRowLastColumn="0"/>
            </w:pPr>
            <w:r w:rsidRPr="007773EC">
              <w:t>57,960</w:t>
            </w:r>
          </w:p>
        </w:tc>
      </w:tr>
      <w:tr w:rsidR="00145E15" w14:paraId="7E687656"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3B7FA626" w14:textId="5AB3EF11" w:rsidR="00145E15" w:rsidRDefault="00145E15" w:rsidP="00145E15">
            <w:pPr>
              <w:pStyle w:val="Tablecopy"/>
            </w:pPr>
            <w:r w:rsidRPr="00C2456E">
              <w:t>Wholesale Trade</w:t>
            </w:r>
          </w:p>
        </w:tc>
        <w:tc>
          <w:tcPr>
            <w:tcW w:w="4732" w:type="dxa"/>
          </w:tcPr>
          <w:p w14:paraId="2B15CD0F" w14:textId="5B41FC98" w:rsidR="00145E15" w:rsidRPr="008E02F2" w:rsidRDefault="007773EC" w:rsidP="00145E15">
            <w:pPr>
              <w:pStyle w:val="Tablecopy"/>
              <w:cnfStyle w:val="000000000000" w:firstRow="0" w:lastRow="0" w:firstColumn="0" w:lastColumn="0" w:oddVBand="0" w:evenVBand="0" w:oddHBand="0" w:evenHBand="0" w:firstRowFirstColumn="0" w:firstRowLastColumn="0" w:lastRowFirstColumn="0" w:lastRowLastColumn="0"/>
            </w:pPr>
            <w:r w:rsidRPr="007773EC">
              <w:t>57,048</w:t>
            </w:r>
          </w:p>
        </w:tc>
      </w:tr>
      <w:tr w:rsidR="00145E15" w14:paraId="3D51EB49"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0890C2CC" w14:textId="1B156283" w:rsidR="00145E15" w:rsidRDefault="00145E15" w:rsidP="00145E15">
            <w:pPr>
              <w:pStyle w:val="Tablecopy"/>
            </w:pPr>
            <w:r w:rsidRPr="00C2456E">
              <w:t>Rental, Hiring and Real Estate Services</w:t>
            </w:r>
          </w:p>
        </w:tc>
        <w:tc>
          <w:tcPr>
            <w:tcW w:w="4732" w:type="dxa"/>
          </w:tcPr>
          <w:p w14:paraId="348DC1D6" w14:textId="48735B3F" w:rsidR="00145E15" w:rsidRPr="008E02F2" w:rsidRDefault="007773EC" w:rsidP="00145E15">
            <w:pPr>
              <w:pStyle w:val="Tablecopy"/>
              <w:cnfStyle w:val="000000100000" w:firstRow="0" w:lastRow="0" w:firstColumn="0" w:lastColumn="0" w:oddVBand="0" w:evenVBand="0" w:oddHBand="1" w:evenHBand="0" w:firstRowFirstColumn="0" w:firstRowLastColumn="0" w:lastRowFirstColumn="0" w:lastRowLastColumn="0"/>
            </w:pPr>
            <w:r w:rsidRPr="007773EC">
              <w:t>56,973</w:t>
            </w:r>
          </w:p>
        </w:tc>
      </w:tr>
      <w:tr w:rsidR="00145E15" w14:paraId="24BC4F3B"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ABC205F" w14:textId="6FCC371C" w:rsidR="00145E15" w:rsidRDefault="00145E15" w:rsidP="00145E15">
            <w:pPr>
              <w:pStyle w:val="Tablecopy"/>
            </w:pPr>
            <w:r w:rsidRPr="00C2456E">
              <w:t>Other Services</w:t>
            </w:r>
          </w:p>
        </w:tc>
        <w:tc>
          <w:tcPr>
            <w:tcW w:w="4732" w:type="dxa"/>
          </w:tcPr>
          <w:p w14:paraId="6E328F9C" w14:textId="4D0B0715" w:rsidR="00145E15" w:rsidRPr="008E02F2" w:rsidRDefault="007773EC" w:rsidP="00145E15">
            <w:pPr>
              <w:pStyle w:val="Tablecopy"/>
              <w:cnfStyle w:val="000000000000" w:firstRow="0" w:lastRow="0" w:firstColumn="0" w:lastColumn="0" w:oddVBand="0" w:evenVBand="0" w:oddHBand="0" w:evenHBand="0" w:firstRowFirstColumn="0" w:firstRowLastColumn="0" w:lastRowFirstColumn="0" w:lastRowLastColumn="0"/>
            </w:pPr>
            <w:r w:rsidRPr="007773EC">
              <w:t>54,007</w:t>
            </w:r>
          </w:p>
        </w:tc>
      </w:tr>
      <w:tr w:rsidR="00145E15" w14:paraId="72CCDC4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7385223" w14:textId="107C8749" w:rsidR="00145E15" w:rsidRDefault="00145E15" w:rsidP="00145E15">
            <w:pPr>
              <w:pStyle w:val="Tablecopy"/>
            </w:pPr>
            <w:r w:rsidRPr="00C2456E">
              <w:t>Electricity, Water and Waste Services</w:t>
            </w:r>
          </w:p>
        </w:tc>
        <w:tc>
          <w:tcPr>
            <w:tcW w:w="4732" w:type="dxa"/>
          </w:tcPr>
          <w:p w14:paraId="76B40265" w14:textId="26A25664" w:rsidR="00145E15" w:rsidRPr="008E02F2" w:rsidRDefault="007773EC" w:rsidP="007773EC">
            <w:pPr>
              <w:pStyle w:val="Tablecopy"/>
              <w:cnfStyle w:val="000000100000" w:firstRow="0" w:lastRow="0" w:firstColumn="0" w:lastColumn="0" w:oddVBand="0" w:evenVBand="0" w:oddHBand="1" w:evenHBand="0" w:firstRowFirstColumn="0" w:firstRowLastColumn="0" w:lastRowFirstColumn="0" w:lastRowLastColumn="0"/>
            </w:pPr>
            <w:r w:rsidRPr="007773EC">
              <w:t>52,544</w:t>
            </w:r>
          </w:p>
        </w:tc>
      </w:tr>
      <w:tr w:rsidR="00145E15" w14:paraId="41663C36"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382C0FF9" w14:textId="1185C621" w:rsidR="00145E15" w:rsidRDefault="00145E15" w:rsidP="00145E15">
            <w:pPr>
              <w:pStyle w:val="Tablecopy"/>
            </w:pPr>
            <w:r w:rsidRPr="00C2456E">
              <w:t>Manufacturing</w:t>
            </w:r>
          </w:p>
        </w:tc>
        <w:tc>
          <w:tcPr>
            <w:tcW w:w="4732" w:type="dxa"/>
          </w:tcPr>
          <w:p w14:paraId="0D6D9E80" w14:textId="0DB60177" w:rsidR="00145E15" w:rsidRPr="008E02F2" w:rsidRDefault="00782CE1" w:rsidP="00145E15">
            <w:pPr>
              <w:pStyle w:val="Tablecopy"/>
              <w:cnfStyle w:val="000000000000" w:firstRow="0" w:lastRow="0" w:firstColumn="0" w:lastColumn="0" w:oddVBand="0" w:evenVBand="0" w:oddHBand="0" w:evenHBand="0" w:firstRowFirstColumn="0" w:firstRowLastColumn="0" w:lastRowFirstColumn="0" w:lastRowLastColumn="0"/>
            </w:pPr>
            <w:r w:rsidRPr="00782CE1">
              <w:t>52,053</w:t>
            </w:r>
          </w:p>
        </w:tc>
      </w:tr>
      <w:tr w:rsidR="00145E15" w14:paraId="0AA8C3A7"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0A20C7CD" w14:textId="4DA9747F" w:rsidR="00145E15" w:rsidRDefault="00145E15" w:rsidP="00145E15">
            <w:pPr>
              <w:pStyle w:val="Tablecopy"/>
            </w:pPr>
            <w:r w:rsidRPr="00C2456E">
              <w:t>Administrative and Support Services</w:t>
            </w:r>
          </w:p>
        </w:tc>
        <w:tc>
          <w:tcPr>
            <w:tcW w:w="4732" w:type="dxa"/>
          </w:tcPr>
          <w:p w14:paraId="269DB155" w14:textId="67948246" w:rsidR="00145E15" w:rsidRPr="008E02F2" w:rsidRDefault="00782CE1" w:rsidP="00145E15">
            <w:pPr>
              <w:pStyle w:val="Tablecopy"/>
              <w:cnfStyle w:val="000000100000" w:firstRow="0" w:lastRow="0" w:firstColumn="0" w:lastColumn="0" w:oddVBand="0" w:evenVBand="0" w:oddHBand="1" w:evenHBand="0" w:firstRowFirstColumn="0" w:firstRowLastColumn="0" w:lastRowFirstColumn="0" w:lastRowLastColumn="0"/>
            </w:pPr>
            <w:r w:rsidRPr="00782CE1">
              <w:t>51,020</w:t>
            </w:r>
          </w:p>
        </w:tc>
      </w:tr>
      <w:tr w:rsidR="00145E15" w14:paraId="4A735769"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76692DF" w14:textId="548C1A95" w:rsidR="00145E15" w:rsidRDefault="00145E15" w:rsidP="00145E15">
            <w:pPr>
              <w:pStyle w:val="Tablecopy"/>
            </w:pPr>
            <w:r w:rsidRPr="00C2456E">
              <w:t>Education and Training</w:t>
            </w:r>
          </w:p>
        </w:tc>
        <w:tc>
          <w:tcPr>
            <w:tcW w:w="4732" w:type="dxa"/>
          </w:tcPr>
          <w:p w14:paraId="051D2725" w14:textId="7B048B8C" w:rsidR="00145E15" w:rsidRPr="008E02F2" w:rsidRDefault="00782CE1" w:rsidP="00145E15">
            <w:pPr>
              <w:pStyle w:val="Tablecopy"/>
              <w:cnfStyle w:val="000000000000" w:firstRow="0" w:lastRow="0" w:firstColumn="0" w:lastColumn="0" w:oddVBand="0" w:evenVBand="0" w:oddHBand="0" w:evenHBand="0" w:firstRowFirstColumn="0" w:firstRowLastColumn="0" w:lastRowFirstColumn="0" w:lastRowLastColumn="0"/>
            </w:pPr>
            <w:r w:rsidRPr="00782CE1">
              <w:t>50,822</w:t>
            </w:r>
          </w:p>
        </w:tc>
      </w:tr>
      <w:tr w:rsidR="00145E15" w14:paraId="173D831C"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45ED2DFD" w14:textId="68AB69D0" w:rsidR="00145E15" w:rsidRDefault="00145E15" w:rsidP="00145E15">
            <w:pPr>
              <w:pStyle w:val="Tablecopy"/>
            </w:pPr>
            <w:r w:rsidRPr="00C2456E">
              <w:lastRenderedPageBreak/>
              <w:t>Healthcare and Social Assistance</w:t>
            </w:r>
          </w:p>
        </w:tc>
        <w:tc>
          <w:tcPr>
            <w:tcW w:w="4732" w:type="dxa"/>
          </w:tcPr>
          <w:p w14:paraId="370A0A65" w14:textId="275D15DA" w:rsidR="00145E15" w:rsidRPr="008E02F2" w:rsidRDefault="00782CE1" w:rsidP="00782CE1">
            <w:pPr>
              <w:pStyle w:val="Tablecopy"/>
              <w:cnfStyle w:val="000000100000" w:firstRow="0" w:lastRow="0" w:firstColumn="0" w:lastColumn="0" w:oddVBand="0" w:evenVBand="0" w:oddHBand="1" w:evenHBand="0" w:firstRowFirstColumn="0" w:firstRowLastColumn="0" w:lastRowFirstColumn="0" w:lastRowLastColumn="0"/>
            </w:pPr>
            <w:r w:rsidRPr="00782CE1">
              <w:t>46,200</w:t>
            </w:r>
          </w:p>
        </w:tc>
      </w:tr>
      <w:tr w:rsidR="00145E15" w14:paraId="4138EA0B"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2DDB886A" w14:textId="1850DC4B" w:rsidR="00145E15" w:rsidRDefault="00145E15" w:rsidP="00145E15">
            <w:pPr>
              <w:pStyle w:val="Tablecopy"/>
            </w:pPr>
            <w:r w:rsidRPr="00C2456E">
              <w:t>Retail Trade</w:t>
            </w:r>
          </w:p>
        </w:tc>
        <w:tc>
          <w:tcPr>
            <w:tcW w:w="4732" w:type="dxa"/>
          </w:tcPr>
          <w:p w14:paraId="5A0D09AC" w14:textId="6F5C0B49" w:rsidR="00145E15" w:rsidRPr="008E02F2" w:rsidRDefault="00782CE1" w:rsidP="00145E15">
            <w:pPr>
              <w:pStyle w:val="Tablecopy"/>
              <w:cnfStyle w:val="000000000000" w:firstRow="0" w:lastRow="0" w:firstColumn="0" w:lastColumn="0" w:oddVBand="0" w:evenVBand="0" w:oddHBand="0" w:evenHBand="0" w:firstRowFirstColumn="0" w:firstRowLastColumn="0" w:lastRowFirstColumn="0" w:lastRowLastColumn="0"/>
            </w:pPr>
            <w:r w:rsidRPr="00782CE1">
              <w:t>41,494</w:t>
            </w:r>
          </w:p>
        </w:tc>
      </w:tr>
      <w:tr w:rsidR="00145E15" w14:paraId="46A34AFF"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3F778AAD" w14:textId="72C48470" w:rsidR="00145E15" w:rsidRDefault="00145E15" w:rsidP="00145E15">
            <w:pPr>
              <w:pStyle w:val="Tablecopy"/>
            </w:pPr>
            <w:r w:rsidRPr="00C2456E">
              <w:t>Arts and Recreation Services</w:t>
            </w:r>
          </w:p>
        </w:tc>
        <w:tc>
          <w:tcPr>
            <w:tcW w:w="4732" w:type="dxa"/>
          </w:tcPr>
          <w:p w14:paraId="680FF127" w14:textId="177AF59E" w:rsidR="00145E15" w:rsidRPr="008E02F2" w:rsidRDefault="00565BF0" w:rsidP="00145E15">
            <w:pPr>
              <w:pStyle w:val="Tablecopy"/>
              <w:cnfStyle w:val="000000100000" w:firstRow="0" w:lastRow="0" w:firstColumn="0" w:lastColumn="0" w:oddVBand="0" w:evenVBand="0" w:oddHBand="1" w:evenHBand="0" w:firstRowFirstColumn="0" w:firstRowLastColumn="0" w:lastRowFirstColumn="0" w:lastRowLastColumn="0"/>
            </w:pPr>
            <w:r w:rsidRPr="00565BF0">
              <w:t>37,990</w:t>
            </w:r>
          </w:p>
        </w:tc>
      </w:tr>
      <w:tr w:rsidR="00145E15" w14:paraId="56EF2715"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180ECB6" w14:textId="0EFA425F" w:rsidR="00145E15" w:rsidRDefault="00145E15" w:rsidP="00145E15">
            <w:pPr>
              <w:pStyle w:val="Tablecopy"/>
            </w:pPr>
            <w:r w:rsidRPr="00C2456E">
              <w:t>Agriculture, Forestry and Fishing</w:t>
            </w:r>
          </w:p>
        </w:tc>
        <w:tc>
          <w:tcPr>
            <w:tcW w:w="4732" w:type="dxa"/>
          </w:tcPr>
          <w:p w14:paraId="4A05ADF3" w14:textId="26A13998" w:rsidR="00145E15" w:rsidRPr="008E02F2" w:rsidRDefault="00565BF0" w:rsidP="00565BF0">
            <w:pPr>
              <w:pStyle w:val="Tablecopy"/>
              <w:tabs>
                <w:tab w:val="left" w:pos="1629"/>
              </w:tabs>
              <w:cnfStyle w:val="000000000000" w:firstRow="0" w:lastRow="0" w:firstColumn="0" w:lastColumn="0" w:oddVBand="0" w:evenVBand="0" w:oddHBand="0" w:evenHBand="0" w:firstRowFirstColumn="0" w:firstRowLastColumn="0" w:lastRowFirstColumn="0" w:lastRowLastColumn="0"/>
            </w:pPr>
            <w:r w:rsidRPr="00565BF0">
              <w:t>36,406</w:t>
            </w:r>
          </w:p>
        </w:tc>
      </w:tr>
      <w:tr w:rsidR="00145E15" w14:paraId="5E0D316D"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2FBB33D6" w14:textId="36C45F8C" w:rsidR="00145E15" w:rsidRDefault="00145E15" w:rsidP="00145E15">
            <w:pPr>
              <w:pStyle w:val="Tablecopy"/>
            </w:pPr>
            <w:r w:rsidRPr="00C2456E">
              <w:t>Accommodation and Food Services</w:t>
            </w:r>
          </w:p>
        </w:tc>
        <w:tc>
          <w:tcPr>
            <w:tcW w:w="4732" w:type="dxa"/>
          </w:tcPr>
          <w:p w14:paraId="3BC05F1A" w14:textId="77AF6253" w:rsidR="00145E15" w:rsidRPr="008E02F2" w:rsidRDefault="00565BF0" w:rsidP="00145E15">
            <w:pPr>
              <w:pStyle w:val="Tablecopy"/>
              <w:cnfStyle w:val="000000100000" w:firstRow="0" w:lastRow="0" w:firstColumn="0" w:lastColumn="0" w:oddVBand="0" w:evenVBand="0" w:oddHBand="1" w:evenHBand="0" w:firstRowFirstColumn="0" w:firstRowLastColumn="0" w:lastRowFirstColumn="0" w:lastRowLastColumn="0"/>
            </w:pPr>
            <w:r w:rsidRPr="00565BF0">
              <w:t>28,155</w:t>
            </w:r>
          </w:p>
        </w:tc>
      </w:tr>
    </w:tbl>
    <w:p w14:paraId="60F57275" w14:textId="48DAB8E2" w:rsidR="00CB09D0" w:rsidRDefault="00CB09D0" w:rsidP="009200D8">
      <w:pPr>
        <w:pStyle w:val="Caption"/>
        <w:rPr>
          <w:i w:val="0"/>
          <w:iCs w:val="0"/>
          <w:color w:val="auto"/>
          <w:sz w:val="20"/>
          <w:szCs w:val="20"/>
        </w:rPr>
      </w:pPr>
    </w:p>
    <w:p w14:paraId="2CACE171" w14:textId="604F657E" w:rsidR="009200D8" w:rsidRDefault="009200D8" w:rsidP="009200D8">
      <w:pPr>
        <w:pStyle w:val="Caption"/>
      </w:pPr>
      <w:r w:rsidRPr="00B9367B">
        <w:rPr>
          <w:b/>
          <w:bCs/>
        </w:rPr>
        <w:t>Sources</w:t>
      </w:r>
      <w:r>
        <w:t xml:space="preserve">: </w:t>
      </w:r>
      <w:r w:rsidRPr="009200D8">
        <w:t>Australian Bureau of Statistics (2022) Business Longitudinal Analysis Data Environment; Austrade Economics</w:t>
      </w:r>
    </w:p>
    <w:p w14:paraId="7F51837D" w14:textId="77777777" w:rsidR="009200D8" w:rsidRDefault="009200D8" w:rsidP="009200D8">
      <w:pPr>
        <w:pStyle w:val="Heading2"/>
      </w:pPr>
      <w:r w:rsidRPr="009200D8">
        <w:t>In all states and industries, exporters demonstrated both higher labour productivity and higher average wages than non-exporting firms</w:t>
      </w:r>
    </w:p>
    <w:p w14:paraId="752E51A3" w14:textId="77777777" w:rsidR="009200D8" w:rsidRDefault="009200D8" w:rsidP="009200D8">
      <w:r>
        <w:t>Firms exporting to global markets face greater competitive pressures, requiring exporters to learn and innovate, and invest in productivity-enhancing improvements, which flows through to higher wages.</w:t>
      </w:r>
      <w:r>
        <w:rPr>
          <w:rStyle w:val="FootnoteReference"/>
        </w:rPr>
        <w:footnoteReference w:id="18"/>
      </w:r>
      <w:r>
        <w:t xml:space="preserve"> Finance and insurance services exporters were the most productive followed by wholesale trade, retail trade, mining and transport, postal and warehousing services.</w:t>
      </w:r>
    </w:p>
    <w:p w14:paraId="0CFEC48B" w14:textId="77777777" w:rsidR="009200D8" w:rsidRDefault="009200D8" w:rsidP="009200D8">
      <w:r>
        <w:t>Labour productivity is defined as output per unit of labour input and was derived by value-added per number of employees. Exporters in New South Wales had the highest median labour productivity followed by exporters in Victoria and Western Australia. Exporters in the Australian Capital Territory had the highest median average wages, followed by exporters in New South Wales, Western Australia and Victoria.</w:t>
      </w:r>
    </w:p>
    <w:p w14:paraId="68898902" w14:textId="77777777" w:rsidR="007A69C4" w:rsidRDefault="007A69C4">
      <w:pPr>
        <w:spacing w:before="0" w:after="120" w:line="252" w:lineRule="auto"/>
        <w:rPr>
          <w:b/>
          <w:bCs/>
          <w:color w:val="2E1A47" w:themeColor="text2"/>
        </w:rPr>
      </w:pPr>
      <w:r>
        <w:br w:type="page"/>
      </w:r>
    </w:p>
    <w:p w14:paraId="24C6B262" w14:textId="3ECD6431" w:rsidR="009200D8" w:rsidRDefault="009200D8" w:rsidP="009200D8">
      <w:pPr>
        <w:pStyle w:val="Heading3"/>
      </w:pPr>
      <w:r>
        <w:lastRenderedPageBreak/>
        <w:t>Figure 12. Median labour productivity generated by exporters by industry</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7A69C4" w:rsidRPr="00823B47" w14:paraId="598FF496"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0DD4E881" w14:textId="77777777" w:rsidR="007A69C4" w:rsidRPr="00823B47" w:rsidRDefault="007A69C4" w:rsidP="00901636">
            <w:pPr>
              <w:pStyle w:val="Tableheadermain"/>
              <w:rPr>
                <w:b/>
                <w:bCs/>
              </w:rPr>
            </w:pPr>
            <w:r>
              <w:rPr>
                <w:b/>
                <w:bCs/>
              </w:rPr>
              <w:t>Industry</w:t>
            </w:r>
          </w:p>
        </w:tc>
        <w:tc>
          <w:tcPr>
            <w:tcW w:w="4732" w:type="dxa"/>
          </w:tcPr>
          <w:p w14:paraId="3BE84AF2" w14:textId="1B81D81A" w:rsidR="007A69C4" w:rsidRPr="00455244" w:rsidRDefault="007A69C4" w:rsidP="007A69C4">
            <w:pPr>
              <w:pStyle w:val="Tableheadermain"/>
              <w:cnfStyle w:val="100000000000" w:firstRow="1" w:lastRow="0" w:firstColumn="0" w:lastColumn="0" w:oddVBand="0" w:evenVBand="0" w:oddHBand="0" w:evenHBand="0" w:firstRowFirstColumn="0" w:firstRowLastColumn="0" w:lastRowFirstColumn="0" w:lastRowLastColumn="0"/>
              <w:rPr>
                <w:b/>
                <w:bCs/>
              </w:rPr>
            </w:pPr>
            <w:r w:rsidRPr="00455244">
              <w:rPr>
                <w:b/>
                <w:bCs/>
              </w:rPr>
              <w:t>Median labour productivity generated by</w:t>
            </w:r>
            <w:r w:rsidR="00F53D2F" w:rsidRPr="00455244">
              <w:rPr>
                <w:b/>
                <w:bCs/>
              </w:rPr>
              <w:t xml:space="preserve"> </w:t>
            </w:r>
            <w:r w:rsidRPr="00455244">
              <w:rPr>
                <w:b/>
                <w:bCs/>
              </w:rPr>
              <w:t>exporters by industry (</w:t>
            </w:r>
            <w:r w:rsidR="00F53D2F" w:rsidRPr="00455244">
              <w:rPr>
                <w:b/>
                <w:bCs/>
              </w:rPr>
              <w:t>A$, 2020-21</w:t>
            </w:r>
            <w:r w:rsidRPr="00455244">
              <w:rPr>
                <w:b/>
                <w:bCs/>
              </w:rPr>
              <w:t>)</w:t>
            </w:r>
          </w:p>
        </w:tc>
      </w:tr>
      <w:tr w:rsidR="00455244" w14:paraId="0274542A"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02A7140F" w14:textId="47D113DC" w:rsidR="00455244" w:rsidRPr="00206933" w:rsidRDefault="00455244" w:rsidP="00455244">
            <w:pPr>
              <w:pStyle w:val="Tablecopy"/>
            </w:pPr>
            <w:r w:rsidRPr="00374C72">
              <w:t>Finance &amp; Insurance Services</w:t>
            </w:r>
          </w:p>
        </w:tc>
        <w:tc>
          <w:tcPr>
            <w:tcW w:w="4732" w:type="dxa"/>
          </w:tcPr>
          <w:p w14:paraId="5EB936B3" w14:textId="5233B6D2" w:rsidR="00455244" w:rsidRDefault="00455244" w:rsidP="00455244">
            <w:pPr>
              <w:pStyle w:val="Tablecopy"/>
              <w:cnfStyle w:val="000000100000" w:firstRow="0" w:lastRow="0" w:firstColumn="0" w:lastColumn="0" w:oddVBand="0" w:evenVBand="0" w:oddHBand="1" w:evenHBand="0" w:firstRowFirstColumn="0" w:firstRowLastColumn="0" w:lastRowFirstColumn="0" w:lastRowLastColumn="0"/>
            </w:pPr>
            <w:r w:rsidRPr="00455244">
              <w:t>310,910</w:t>
            </w:r>
          </w:p>
        </w:tc>
      </w:tr>
      <w:tr w:rsidR="00455244" w14:paraId="31520E8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43CD7F49" w14:textId="323AAB91" w:rsidR="00455244" w:rsidRDefault="00455244" w:rsidP="00455244">
            <w:pPr>
              <w:pStyle w:val="Tablecopy"/>
            </w:pPr>
            <w:r w:rsidRPr="00374C72">
              <w:t>Wholesale Trade</w:t>
            </w:r>
          </w:p>
        </w:tc>
        <w:tc>
          <w:tcPr>
            <w:tcW w:w="4732" w:type="dxa"/>
          </w:tcPr>
          <w:p w14:paraId="3D98FDEC" w14:textId="0D0F2D35" w:rsidR="00455244" w:rsidRDefault="00791696" w:rsidP="00455244">
            <w:pPr>
              <w:pStyle w:val="Tablecopy"/>
              <w:cnfStyle w:val="000000000000" w:firstRow="0" w:lastRow="0" w:firstColumn="0" w:lastColumn="0" w:oddVBand="0" w:evenVBand="0" w:oddHBand="0" w:evenHBand="0" w:firstRowFirstColumn="0" w:firstRowLastColumn="0" w:lastRowFirstColumn="0" w:lastRowLastColumn="0"/>
            </w:pPr>
            <w:r w:rsidRPr="00791696">
              <w:t>282,793</w:t>
            </w:r>
          </w:p>
        </w:tc>
      </w:tr>
      <w:tr w:rsidR="00455244" w14:paraId="188C359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3403B83E" w14:textId="6B234136" w:rsidR="00455244" w:rsidRDefault="00455244" w:rsidP="00455244">
            <w:pPr>
              <w:pStyle w:val="Tablecopy"/>
            </w:pPr>
            <w:r w:rsidRPr="00374C72">
              <w:t>Retail Trade</w:t>
            </w:r>
          </w:p>
        </w:tc>
        <w:tc>
          <w:tcPr>
            <w:tcW w:w="4732" w:type="dxa"/>
          </w:tcPr>
          <w:p w14:paraId="0DBFF7A5" w14:textId="59FC5F03" w:rsidR="00455244" w:rsidRDefault="00791696" w:rsidP="00455244">
            <w:pPr>
              <w:pStyle w:val="Tablecopy"/>
              <w:cnfStyle w:val="000000100000" w:firstRow="0" w:lastRow="0" w:firstColumn="0" w:lastColumn="0" w:oddVBand="0" w:evenVBand="0" w:oddHBand="1" w:evenHBand="0" w:firstRowFirstColumn="0" w:firstRowLastColumn="0" w:lastRowFirstColumn="0" w:lastRowLastColumn="0"/>
            </w:pPr>
            <w:r w:rsidRPr="00791696">
              <w:t>222,548</w:t>
            </w:r>
          </w:p>
        </w:tc>
      </w:tr>
      <w:tr w:rsidR="00455244" w14:paraId="6925C160"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55F14BC8" w14:textId="3840EA28" w:rsidR="00455244" w:rsidRDefault="00455244" w:rsidP="00455244">
            <w:pPr>
              <w:pStyle w:val="Tablecopy"/>
            </w:pPr>
            <w:r w:rsidRPr="00374C72">
              <w:t>Mining</w:t>
            </w:r>
          </w:p>
        </w:tc>
        <w:tc>
          <w:tcPr>
            <w:tcW w:w="4732" w:type="dxa"/>
          </w:tcPr>
          <w:p w14:paraId="24F514A5" w14:textId="714697E2" w:rsidR="00455244" w:rsidRPr="008E02F2" w:rsidRDefault="00791696" w:rsidP="00455244">
            <w:pPr>
              <w:pStyle w:val="Tablecopy"/>
              <w:cnfStyle w:val="000000000000" w:firstRow="0" w:lastRow="0" w:firstColumn="0" w:lastColumn="0" w:oddVBand="0" w:evenVBand="0" w:oddHBand="0" w:evenHBand="0" w:firstRowFirstColumn="0" w:firstRowLastColumn="0" w:lastRowFirstColumn="0" w:lastRowLastColumn="0"/>
              <w:rPr>
                <w:lang w:val="en-US"/>
              </w:rPr>
            </w:pPr>
            <w:r w:rsidRPr="00791696">
              <w:rPr>
                <w:lang w:val="en-US"/>
              </w:rPr>
              <w:t>212,519</w:t>
            </w:r>
          </w:p>
        </w:tc>
      </w:tr>
      <w:tr w:rsidR="00455244" w14:paraId="543505E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8786BFF" w14:textId="6A6FA3AC" w:rsidR="00455244" w:rsidRDefault="00455244" w:rsidP="00455244">
            <w:pPr>
              <w:pStyle w:val="Tablecopy"/>
            </w:pPr>
            <w:r w:rsidRPr="00374C72">
              <w:t>Transport, Postal and Warehousing</w:t>
            </w:r>
          </w:p>
        </w:tc>
        <w:tc>
          <w:tcPr>
            <w:tcW w:w="4732" w:type="dxa"/>
          </w:tcPr>
          <w:p w14:paraId="6ED3F398" w14:textId="6F40955E" w:rsidR="00455244" w:rsidRDefault="00791696" w:rsidP="00455244">
            <w:pPr>
              <w:pStyle w:val="Tablecopy"/>
              <w:cnfStyle w:val="000000100000" w:firstRow="0" w:lastRow="0" w:firstColumn="0" w:lastColumn="0" w:oddVBand="0" w:evenVBand="0" w:oddHBand="1" w:evenHBand="0" w:firstRowFirstColumn="0" w:firstRowLastColumn="0" w:lastRowFirstColumn="0" w:lastRowLastColumn="0"/>
            </w:pPr>
            <w:r w:rsidRPr="00791696">
              <w:t>207,605</w:t>
            </w:r>
          </w:p>
        </w:tc>
      </w:tr>
      <w:tr w:rsidR="00455244" w14:paraId="57C9967C"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112F65BA" w14:textId="52FB41FB" w:rsidR="00455244" w:rsidRDefault="00455244" w:rsidP="00455244">
            <w:pPr>
              <w:pStyle w:val="Tablecopy"/>
            </w:pPr>
            <w:r w:rsidRPr="00374C72">
              <w:t>Rental, Hiring &amp; Real Estate Services</w:t>
            </w:r>
          </w:p>
        </w:tc>
        <w:tc>
          <w:tcPr>
            <w:tcW w:w="4732" w:type="dxa"/>
          </w:tcPr>
          <w:p w14:paraId="625E5401" w14:textId="4F867A9C" w:rsidR="00455244" w:rsidRPr="008E02F2" w:rsidRDefault="007C494A" w:rsidP="00455244">
            <w:pPr>
              <w:pStyle w:val="Tablecopy"/>
              <w:cnfStyle w:val="000000000000" w:firstRow="0" w:lastRow="0" w:firstColumn="0" w:lastColumn="0" w:oddVBand="0" w:evenVBand="0" w:oddHBand="0" w:evenHBand="0" w:firstRowFirstColumn="0" w:firstRowLastColumn="0" w:lastRowFirstColumn="0" w:lastRowLastColumn="0"/>
            </w:pPr>
            <w:r w:rsidRPr="007C494A">
              <w:t>198,246</w:t>
            </w:r>
          </w:p>
        </w:tc>
      </w:tr>
      <w:tr w:rsidR="00455244" w14:paraId="07FDE22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B9EF101" w14:textId="1FF3D47B" w:rsidR="00455244" w:rsidRDefault="00455244" w:rsidP="00455244">
            <w:pPr>
              <w:pStyle w:val="Tablecopy"/>
            </w:pPr>
            <w:r w:rsidRPr="00374C72">
              <w:t>Electricity, Water &amp; Waste Services</w:t>
            </w:r>
          </w:p>
        </w:tc>
        <w:tc>
          <w:tcPr>
            <w:tcW w:w="4732" w:type="dxa"/>
          </w:tcPr>
          <w:p w14:paraId="4B90AB06" w14:textId="4BB3136F" w:rsidR="00455244" w:rsidRPr="008E02F2" w:rsidRDefault="007C494A" w:rsidP="00455244">
            <w:pPr>
              <w:pStyle w:val="Tablecopy"/>
              <w:cnfStyle w:val="000000100000" w:firstRow="0" w:lastRow="0" w:firstColumn="0" w:lastColumn="0" w:oddVBand="0" w:evenVBand="0" w:oddHBand="1" w:evenHBand="0" w:firstRowFirstColumn="0" w:firstRowLastColumn="0" w:lastRowFirstColumn="0" w:lastRowLastColumn="0"/>
            </w:pPr>
            <w:r w:rsidRPr="007C494A">
              <w:t>192,570</w:t>
            </w:r>
          </w:p>
        </w:tc>
      </w:tr>
      <w:tr w:rsidR="00455244" w14:paraId="6C02A736"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31DA4F0F" w14:textId="5F5D2B46" w:rsidR="00455244" w:rsidRDefault="00455244" w:rsidP="00455244">
            <w:pPr>
              <w:pStyle w:val="Tablecopy"/>
            </w:pPr>
            <w:r w:rsidRPr="00374C72">
              <w:t>Information Media &amp; Telecommunications</w:t>
            </w:r>
          </w:p>
        </w:tc>
        <w:tc>
          <w:tcPr>
            <w:tcW w:w="4732" w:type="dxa"/>
          </w:tcPr>
          <w:p w14:paraId="1F17B836" w14:textId="1D091205" w:rsidR="00455244" w:rsidRPr="008E02F2" w:rsidRDefault="007C494A" w:rsidP="00455244">
            <w:pPr>
              <w:pStyle w:val="Tablecopy"/>
              <w:cnfStyle w:val="000000000000" w:firstRow="0" w:lastRow="0" w:firstColumn="0" w:lastColumn="0" w:oddVBand="0" w:evenVBand="0" w:oddHBand="0" w:evenHBand="0" w:firstRowFirstColumn="0" w:firstRowLastColumn="0" w:lastRowFirstColumn="0" w:lastRowLastColumn="0"/>
            </w:pPr>
            <w:r w:rsidRPr="007C494A">
              <w:t>181,411</w:t>
            </w:r>
          </w:p>
        </w:tc>
      </w:tr>
      <w:tr w:rsidR="00455244" w14:paraId="43D54618"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3CD5BA47" w14:textId="29AECC3A" w:rsidR="00455244" w:rsidRDefault="00455244" w:rsidP="00455244">
            <w:pPr>
              <w:pStyle w:val="Tablecopy"/>
            </w:pPr>
            <w:r w:rsidRPr="00374C72">
              <w:t>Other Services</w:t>
            </w:r>
          </w:p>
        </w:tc>
        <w:tc>
          <w:tcPr>
            <w:tcW w:w="4732" w:type="dxa"/>
          </w:tcPr>
          <w:p w14:paraId="6E5812C7" w14:textId="25D2A08B" w:rsidR="00455244" w:rsidRPr="008E02F2" w:rsidRDefault="007C494A" w:rsidP="00455244">
            <w:pPr>
              <w:pStyle w:val="Tablecopy"/>
              <w:cnfStyle w:val="000000100000" w:firstRow="0" w:lastRow="0" w:firstColumn="0" w:lastColumn="0" w:oddVBand="0" w:evenVBand="0" w:oddHBand="1" w:evenHBand="0" w:firstRowFirstColumn="0" w:firstRowLastColumn="0" w:lastRowFirstColumn="0" w:lastRowLastColumn="0"/>
            </w:pPr>
            <w:r w:rsidRPr="007C494A">
              <w:t>180,490</w:t>
            </w:r>
          </w:p>
        </w:tc>
      </w:tr>
      <w:tr w:rsidR="00455244" w14:paraId="3026957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67EECC7A" w14:textId="1F282C84" w:rsidR="00455244" w:rsidRDefault="00455244" w:rsidP="00455244">
            <w:pPr>
              <w:pStyle w:val="Tablecopy"/>
            </w:pPr>
            <w:r w:rsidRPr="00374C72">
              <w:t>Construction</w:t>
            </w:r>
          </w:p>
        </w:tc>
        <w:tc>
          <w:tcPr>
            <w:tcW w:w="4732" w:type="dxa"/>
          </w:tcPr>
          <w:p w14:paraId="4F274248" w14:textId="39828B06" w:rsidR="00455244" w:rsidRPr="008E02F2" w:rsidRDefault="007C494A" w:rsidP="00455244">
            <w:pPr>
              <w:pStyle w:val="Tablecopy"/>
              <w:cnfStyle w:val="000000000000" w:firstRow="0" w:lastRow="0" w:firstColumn="0" w:lastColumn="0" w:oddVBand="0" w:evenVBand="0" w:oddHBand="0" w:evenHBand="0" w:firstRowFirstColumn="0" w:firstRowLastColumn="0" w:lastRowFirstColumn="0" w:lastRowLastColumn="0"/>
            </w:pPr>
            <w:r w:rsidRPr="007C494A">
              <w:t>177,909</w:t>
            </w:r>
          </w:p>
        </w:tc>
      </w:tr>
      <w:tr w:rsidR="00455244" w14:paraId="278ED278"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5340600D" w14:textId="3FE132B4" w:rsidR="00455244" w:rsidRDefault="00455244" w:rsidP="00455244">
            <w:pPr>
              <w:pStyle w:val="Tablecopy"/>
            </w:pPr>
            <w:r w:rsidRPr="00374C72">
              <w:t>Professional, Scientific &amp; Technical Services</w:t>
            </w:r>
          </w:p>
        </w:tc>
        <w:tc>
          <w:tcPr>
            <w:tcW w:w="4732" w:type="dxa"/>
          </w:tcPr>
          <w:p w14:paraId="67B1B58D" w14:textId="4A32FBBE" w:rsidR="00455244" w:rsidRPr="008E02F2" w:rsidRDefault="00071796" w:rsidP="00455244">
            <w:pPr>
              <w:pStyle w:val="Tablecopy"/>
              <w:cnfStyle w:val="000000100000" w:firstRow="0" w:lastRow="0" w:firstColumn="0" w:lastColumn="0" w:oddVBand="0" w:evenVBand="0" w:oddHBand="1" w:evenHBand="0" w:firstRowFirstColumn="0" w:firstRowLastColumn="0" w:lastRowFirstColumn="0" w:lastRowLastColumn="0"/>
            </w:pPr>
            <w:r w:rsidRPr="00071796">
              <w:t>170,510</w:t>
            </w:r>
          </w:p>
        </w:tc>
      </w:tr>
      <w:tr w:rsidR="00455244" w14:paraId="3A35148A"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2D2CFCD1" w14:textId="1AB6254E" w:rsidR="00455244" w:rsidRDefault="00455244" w:rsidP="00455244">
            <w:pPr>
              <w:pStyle w:val="Tablecopy"/>
            </w:pPr>
            <w:r w:rsidRPr="00374C72">
              <w:t>Manufacturing</w:t>
            </w:r>
          </w:p>
        </w:tc>
        <w:tc>
          <w:tcPr>
            <w:tcW w:w="4732" w:type="dxa"/>
          </w:tcPr>
          <w:p w14:paraId="31EBB2BF" w14:textId="07DE1836" w:rsidR="00455244" w:rsidRPr="008E02F2" w:rsidRDefault="00071796" w:rsidP="00455244">
            <w:pPr>
              <w:pStyle w:val="Tablecopy"/>
              <w:cnfStyle w:val="000000000000" w:firstRow="0" w:lastRow="0" w:firstColumn="0" w:lastColumn="0" w:oddVBand="0" w:evenVBand="0" w:oddHBand="0" w:evenHBand="0" w:firstRowFirstColumn="0" w:firstRowLastColumn="0" w:lastRowFirstColumn="0" w:lastRowLastColumn="0"/>
            </w:pPr>
            <w:r w:rsidRPr="00071796">
              <w:t>162,012</w:t>
            </w:r>
          </w:p>
        </w:tc>
      </w:tr>
      <w:tr w:rsidR="00455244" w14:paraId="371CD3FE"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2161D318" w14:textId="211649D4" w:rsidR="00455244" w:rsidRDefault="00455244" w:rsidP="00455244">
            <w:pPr>
              <w:pStyle w:val="Tablecopy"/>
            </w:pPr>
            <w:r w:rsidRPr="00374C72">
              <w:t>Agriculture, Forestry &amp; Fishing</w:t>
            </w:r>
          </w:p>
        </w:tc>
        <w:tc>
          <w:tcPr>
            <w:tcW w:w="4732" w:type="dxa"/>
          </w:tcPr>
          <w:p w14:paraId="40EBF4D8" w14:textId="5F44AA1B" w:rsidR="00455244" w:rsidRPr="008E02F2" w:rsidRDefault="00071796" w:rsidP="00455244">
            <w:pPr>
              <w:pStyle w:val="Tablecopy"/>
              <w:cnfStyle w:val="000000100000" w:firstRow="0" w:lastRow="0" w:firstColumn="0" w:lastColumn="0" w:oddVBand="0" w:evenVBand="0" w:oddHBand="1" w:evenHBand="0" w:firstRowFirstColumn="0" w:firstRowLastColumn="0" w:lastRowFirstColumn="0" w:lastRowLastColumn="0"/>
            </w:pPr>
            <w:r w:rsidRPr="00071796">
              <w:t>132,249</w:t>
            </w:r>
          </w:p>
        </w:tc>
      </w:tr>
      <w:tr w:rsidR="00455244" w14:paraId="50E17AA3"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67FD82B9" w14:textId="7C9D985C" w:rsidR="00455244" w:rsidRDefault="00455244" w:rsidP="00455244">
            <w:pPr>
              <w:pStyle w:val="Tablecopy"/>
            </w:pPr>
            <w:r w:rsidRPr="00374C72">
              <w:t>Public Administration &amp; Safety</w:t>
            </w:r>
          </w:p>
        </w:tc>
        <w:tc>
          <w:tcPr>
            <w:tcW w:w="4732" w:type="dxa"/>
          </w:tcPr>
          <w:p w14:paraId="038CF00B" w14:textId="7CFFA656" w:rsidR="00455244" w:rsidRPr="008E02F2" w:rsidRDefault="00071796" w:rsidP="00455244">
            <w:pPr>
              <w:pStyle w:val="Tablecopy"/>
              <w:cnfStyle w:val="000000000000" w:firstRow="0" w:lastRow="0" w:firstColumn="0" w:lastColumn="0" w:oddVBand="0" w:evenVBand="0" w:oddHBand="0" w:evenHBand="0" w:firstRowFirstColumn="0" w:firstRowLastColumn="0" w:lastRowFirstColumn="0" w:lastRowLastColumn="0"/>
            </w:pPr>
            <w:r w:rsidRPr="00071796">
              <w:t>129,805</w:t>
            </w:r>
          </w:p>
        </w:tc>
      </w:tr>
      <w:tr w:rsidR="00455244" w14:paraId="0BB06AE5"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52A923C" w14:textId="06C6E795" w:rsidR="00455244" w:rsidRDefault="00455244" w:rsidP="00455244">
            <w:pPr>
              <w:pStyle w:val="Tablecopy"/>
            </w:pPr>
            <w:r w:rsidRPr="00374C72">
              <w:t>Administrative &amp; Support Services</w:t>
            </w:r>
          </w:p>
        </w:tc>
        <w:tc>
          <w:tcPr>
            <w:tcW w:w="4732" w:type="dxa"/>
          </w:tcPr>
          <w:p w14:paraId="7D38EB86" w14:textId="3428EBDC" w:rsidR="00455244" w:rsidRPr="008E02F2" w:rsidRDefault="00071796" w:rsidP="00455244">
            <w:pPr>
              <w:pStyle w:val="Tablecopy"/>
              <w:cnfStyle w:val="000000100000" w:firstRow="0" w:lastRow="0" w:firstColumn="0" w:lastColumn="0" w:oddVBand="0" w:evenVBand="0" w:oddHBand="1" w:evenHBand="0" w:firstRowFirstColumn="0" w:firstRowLastColumn="0" w:lastRowFirstColumn="0" w:lastRowLastColumn="0"/>
            </w:pPr>
            <w:r w:rsidRPr="00071796">
              <w:t>120,588</w:t>
            </w:r>
          </w:p>
        </w:tc>
      </w:tr>
      <w:tr w:rsidR="00455244" w14:paraId="68EEE092"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A01865F" w14:textId="2E2ACFA5" w:rsidR="00455244" w:rsidRDefault="00455244" w:rsidP="00455244">
            <w:pPr>
              <w:pStyle w:val="Tablecopy"/>
            </w:pPr>
            <w:r w:rsidRPr="00374C72">
              <w:t>Healthcare &amp; Social Assistance</w:t>
            </w:r>
          </w:p>
        </w:tc>
        <w:tc>
          <w:tcPr>
            <w:tcW w:w="4732" w:type="dxa"/>
          </w:tcPr>
          <w:p w14:paraId="778CA04F" w14:textId="7C5896C8" w:rsidR="00455244" w:rsidRPr="008E02F2" w:rsidRDefault="00FA442B" w:rsidP="00455244">
            <w:pPr>
              <w:pStyle w:val="Tablecopy"/>
              <w:cnfStyle w:val="000000000000" w:firstRow="0" w:lastRow="0" w:firstColumn="0" w:lastColumn="0" w:oddVBand="0" w:evenVBand="0" w:oddHBand="0" w:evenHBand="0" w:firstRowFirstColumn="0" w:firstRowLastColumn="0" w:lastRowFirstColumn="0" w:lastRowLastColumn="0"/>
            </w:pPr>
            <w:r w:rsidRPr="00FA442B">
              <w:t>103,155</w:t>
            </w:r>
          </w:p>
        </w:tc>
      </w:tr>
      <w:tr w:rsidR="00455244" w14:paraId="7F929393"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2F2A3435" w14:textId="557D6A90" w:rsidR="00455244" w:rsidRDefault="00455244" w:rsidP="00455244">
            <w:pPr>
              <w:pStyle w:val="Tablecopy"/>
            </w:pPr>
            <w:r w:rsidRPr="00374C72">
              <w:t>Arts &amp; Recreation Services</w:t>
            </w:r>
          </w:p>
        </w:tc>
        <w:tc>
          <w:tcPr>
            <w:tcW w:w="4732" w:type="dxa"/>
          </w:tcPr>
          <w:p w14:paraId="01218FB4" w14:textId="6FA7F063" w:rsidR="00455244" w:rsidRPr="008E02F2" w:rsidRDefault="00FA442B" w:rsidP="00455244">
            <w:pPr>
              <w:pStyle w:val="Tablecopy"/>
              <w:cnfStyle w:val="000000100000" w:firstRow="0" w:lastRow="0" w:firstColumn="0" w:lastColumn="0" w:oddVBand="0" w:evenVBand="0" w:oddHBand="1" w:evenHBand="0" w:firstRowFirstColumn="0" w:firstRowLastColumn="0" w:lastRowFirstColumn="0" w:lastRowLastColumn="0"/>
            </w:pPr>
            <w:r w:rsidRPr="00FA442B">
              <w:t>96,968</w:t>
            </w:r>
          </w:p>
        </w:tc>
      </w:tr>
      <w:tr w:rsidR="00455244" w14:paraId="71C115C3"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35346E88" w14:textId="606930EA" w:rsidR="00455244" w:rsidRDefault="00455244" w:rsidP="00455244">
            <w:pPr>
              <w:pStyle w:val="Tablecopy"/>
            </w:pPr>
            <w:r w:rsidRPr="00374C72">
              <w:lastRenderedPageBreak/>
              <w:t>Education &amp; Training</w:t>
            </w:r>
          </w:p>
        </w:tc>
        <w:tc>
          <w:tcPr>
            <w:tcW w:w="4732" w:type="dxa"/>
          </w:tcPr>
          <w:p w14:paraId="37812DA6" w14:textId="3A558742" w:rsidR="00455244" w:rsidRPr="008E02F2" w:rsidRDefault="00FA442B" w:rsidP="00455244">
            <w:pPr>
              <w:pStyle w:val="Tablecopy"/>
              <w:tabs>
                <w:tab w:val="left" w:pos="1629"/>
              </w:tabs>
              <w:cnfStyle w:val="000000000000" w:firstRow="0" w:lastRow="0" w:firstColumn="0" w:lastColumn="0" w:oddVBand="0" w:evenVBand="0" w:oddHBand="0" w:evenHBand="0" w:firstRowFirstColumn="0" w:firstRowLastColumn="0" w:lastRowFirstColumn="0" w:lastRowLastColumn="0"/>
            </w:pPr>
            <w:r w:rsidRPr="00FA442B">
              <w:t>81,011</w:t>
            </w:r>
          </w:p>
        </w:tc>
      </w:tr>
      <w:tr w:rsidR="00455244" w14:paraId="5CD85A4A"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76CDF97" w14:textId="46A8025A" w:rsidR="00455244" w:rsidRDefault="00455244" w:rsidP="00455244">
            <w:pPr>
              <w:pStyle w:val="Tablecopy"/>
            </w:pPr>
            <w:r w:rsidRPr="00374C72">
              <w:t>Accommodation &amp; Food Services</w:t>
            </w:r>
          </w:p>
        </w:tc>
        <w:tc>
          <w:tcPr>
            <w:tcW w:w="4732" w:type="dxa"/>
          </w:tcPr>
          <w:p w14:paraId="46CA602C" w14:textId="6D28D8AC" w:rsidR="00455244" w:rsidRPr="008E02F2" w:rsidRDefault="00FA442B" w:rsidP="00455244">
            <w:pPr>
              <w:pStyle w:val="Tablecopy"/>
              <w:cnfStyle w:val="000000100000" w:firstRow="0" w:lastRow="0" w:firstColumn="0" w:lastColumn="0" w:oddVBand="0" w:evenVBand="0" w:oddHBand="1" w:evenHBand="0" w:firstRowFirstColumn="0" w:firstRowLastColumn="0" w:lastRowFirstColumn="0" w:lastRowLastColumn="0"/>
            </w:pPr>
            <w:r w:rsidRPr="00FA442B">
              <w:t>70,176</w:t>
            </w:r>
          </w:p>
        </w:tc>
      </w:tr>
    </w:tbl>
    <w:p w14:paraId="50B6BF47" w14:textId="77777777" w:rsidR="007A69C4" w:rsidRDefault="007A69C4" w:rsidP="009200D8">
      <w:pPr>
        <w:pStyle w:val="Caption"/>
        <w:rPr>
          <w:i w:val="0"/>
          <w:iCs w:val="0"/>
          <w:color w:val="auto"/>
          <w:sz w:val="20"/>
          <w:szCs w:val="20"/>
        </w:rPr>
      </w:pPr>
    </w:p>
    <w:p w14:paraId="6737065F" w14:textId="6329ABF5" w:rsidR="009200D8" w:rsidRDefault="009200D8" w:rsidP="009200D8">
      <w:pPr>
        <w:pStyle w:val="Caption"/>
      </w:pPr>
      <w:r w:rsidRPr="00B9367B">
        <w:rPr>
          <w:b/>
          <w:bCs/>
        </w:rPr>
        <w:t>Sources</w:t>
      </w:r>
      <w:r>
        <w:t xml:space="preserve">: </w:t>
      </w:r>
      <w:r w:rsidRPr="009200D8">
        <w:t>Australian Bureau of Statistics (2022) Business Longitudinal Analysis Data Environment; Austrade Economics</w:t>
      </w:r>
    </w:p>
    <w:p w14:paraId="44FC5596" w14:textId="77777777" w:rsidR="009200D8" w:rsidRDefault="009200D8">
      <w:pPr>
        <w:spacing w:before="0" w:after="120" w:line="252" w:lineRule="auto"/>
        <w:rPr>
          <w:i/>
          <w:iCs/>
          <w:color w:val="2E1A47" w:themeColor="text2"/>
          <w:sz w:val="18"/>
          <w:szCs w:val="18"/>
        </w:rPr>
      </w:pPr>
      <w:r>
        <w:br w:type="page"/>
      </w:r>
    </w:p>
    <w:p w14:paraId="1F6C24A0" w14:textId="77777777" w:rsidR="009200D8" w:rsidRDefault="009200D8" w:rsidP="009200D8">
      <w:pPr>
        <w:pStyle w:val="Heading2"/>
      </w:pPr>
      <w:r w:rsidRPr="009200D8">
        <w:lastRenderedPageBreak/>
        <w:t>Median labour productivity and average wages paid by exporters per state/territory</w:t>
      </w:r>
    </w:p>
    <w:p w14:paraId="12C5CC65" w14:textId="77777777" w:rsidR="009200D8" w:rsidRDefault="009200D8" w:rsidP="009200D8">
      <w:r w:rsidRPr="009200D8">
        <w:t>In 2020-21 exporters from New South Wales generated the highest median labour productivity, followed by exporters from</w:t>
      </w:r>
      <w:r>
        <w:t xml:space="preserve"> </w:t>
      </w:r>
      <w:r w:rsidRPr="009200D8">
        <w:t>Victoria, Western Australia, Queensland, South Australia, the Australian Capital Territory, the Northern Territory, and Tasmania.</w:t>
      </w:r>
    </w:p>
    <w:p w14:paraId="493EEFFE" w14:textId="77777777" w:rsidR="00E554A3" w:rsidRDefault="009200D8" w:rsidP="009200D8">
      <w:pPr>
        <w:pStyle w:val="Heading3"/>
      </w:pPr>
      <w:r>
        <w:t>Figure 13.</w:t>
      </w:r>
      <w:r w:rsidR="00E554A3">
        <w:t xml:space="preserve"> </w:t>
      </w:r>
      <w:r w:rsidR="00E554A3" w:rsidRPr="00E554A3">
        <w:t>Median labour productivity and average wages paid by exporters per state/territory</w:t>
      </w:r>
    </w:p>
    <w:p w14:paraId="172E7037" w14:textId="77777777" w:rsidR="00FF4181" w:rsidRPr="005E1AF9" w:rsidRDefault="00FF4181" w:rsidP="00FF4181">
      <w:pPr>
        <w:pStyle w:val="ListBullet"/>
        <w:rPr>
          <w:b/>
          <w:bCs/>
        </w:rPr>
      </w:pPr>
      <w:r w:rsidRPr="005E1AF9">
        <w:rPr>
          <w:b/>
          <w:bCs/>
        </w:rPr>
        <w:t>New South Wales</w:t>
      </w:r>
    </w:p>
    <w:p w14:paraId="7E281FC6" w14:textId="74DB1EA4" w:rsidR="00982D63" w:rsidRPr="00982D63" w:rsidRDefault="00982D63" w:rsidP="00982D63">
      <w:pPr>
        <w:pStyle w:val="ListBullet2"/>
      </w:pPr>
      <w:r w:rsidRPr="001364B9">
        <w:rPr>
          <w:b/>
          <w:bCs/>
        </w:rPr>
        <w:t>A$212,070</w:t>
      </w:r>
      <w:r w:rsidRPr="00982D63">
        <w:t xml:space="preserve"> Labour productivity</w:t>
      </w:r>
    </w:p>
    <w:p w14:paraId="1C56C03F" w14:textId="77777777" w:rsidR="00982D63" w:rsidRPr="00982D63" w:rsidRDefault="00982D63" w:rsidP="00982D63">
      <w:pPr>
        <w:pStyle w:val="ListBullet2"/>
        <w:rPr>
          <w:i/>
          <w:iCs/>
        </w:rPr>
      </w:pPr>
      <w:r w:rsidRPr="001364B9">
        <w:rPr>
          <w:b/>
        </w:rPr>
        <w:t>A$58,890</w:t>
      </w:r>
      <w:r w:rsidRPr="00982D63">
        <w:t xml:space="preserve"> average wages</w:t>
      </w:r>
    </w:p>
    <w:p w14:paraId="453D3E83" w14:textId="65A5951F" w:rsidR="00FF4181" w:rsidRPr="005F51E7" w:rsidRDefault="00FF4181" w:rsidP="00982D63">
      <w:pPr>
        <w:pStyle w:val="ListBullet"/>
        <w:rPr>
          <w:b/>
          <w:bCs/>
          <w:i/>
          <w:iCs/>
        </w:rPr>
      </w:pPr>
      <w:r w:rsidRPr="005F51E7">
        <w:rPr>
          <w:b/>
          <w:bCs/>
        </w:rPr>
        <w:t>Victoria</w:t>
      </w:r>
    </w:p>
    <w:p w14:paraId="25A3E75C" w14:textId="616E39A4" w:rsidR="001364B9" w:rsidRPr="001364B9" w:rsidRDefault="001364B9" w:rsidP="001364B9">
      <w:pPr>
        <w:pStyle w:val="ListBullet2"/>
      </w:pPr>
      <w:r w:rsidRPr="00757201">
        <w:rPr>
          <w:b/>
          <w:bCs/>
        </w:rPr>
        <w:t>A$193,905</w:t>
      </w:r>
      <w:r>
        <w:t xml:space="preserve"> </w:t>
      </w:r>
      <w:r w:rsidRPr="001364B9">
        <w:t>Labour productivity</w:t>
      </w:r>
    </w:p>
    <w:p w14:paraId="1BEF86D8" w14:textId="5CE55A43" w:rsidR="001364B9" w:rsidRPr="001364B9" w:rsidRDefault="001364B9" w:rsidP="001364B9">
      <w:pPr>
        <w:pStyle w:val="ListBullet2"/>
      </w:pPr>
      <w:r w:rsidRPr="00757201">
        <w:rPr>
          <w:b/>
          <w:bCs/>
        </w:rPr>
        <w:t>A$53,925</w:t>
      </w:r>
      <w:r w:rsidR="00757201">
        <w:t xml:space="preserve"> </w:t>
      </w:r>
      <w:r w:rsidRPr="001364B9">
        <w:t>average wages</w:t>
      </w:r>
    </w:p>
    <w:p w14:paraId="28B36EFC" w14:textId="77777777" w:rsidR="00FF4181" w:rsidRPr="00176934" w:rsidRDefault="00FF4181" w:rsidP="00FF4181">
      <w:pPr>
        <w:pStyle w:val="ListBullet"/>
        <w:rPr>
          <w:b/>
          <w:bCs/>
        </w:rPr>
      </w:pPr>
      <w:r w:rsidRPr="00176934">
        <w:rPr>
          <w:b/>
          <w:bCs/>
        </w:rPr>
        <w:t>Queensland</w:t>
      </w:r>
    </w:p>
    <w:p w14:paraId="7C9F8F0E" w14:textId="3FCABD14" w:rsidR="00757201" w:rsidRPr="00757201" w:rsidRDefault="00757201" w:rsidP="00757201">
      <w:pPr>
        <w:pStyle w:val="ListBullet2"/>
      </w:pPr>
      <w:r w:rsidRPr="00757201">
        <w:rPr>
          <w:b/>
          <w:bCs/>
        </w:rPr>
        <w:t>A$191,013</w:t>
      </w:r>
      <w:r>
        <w:t xml:space="preserve"> </w:t>
      </w:r>
      <w:r w:rsidRPr="00757201">
        <w:t>Labour productivity</w:t>
      </w:r>
    </w:p>
    <w:p w14:paraId="103FFCC8" w14:textId="40A2C775" w:rsidR="00757201" w:rsidRPr="00757201" w:rsidRDefault="00757201" w:rsidP="00757201">
      <w:pPr>
        <w:pStyle w:val="ListBullet2"/>
      </w:pPr>
      <w:r w:rsidRPr="00757201">
        <w:rPr>
          <w:b/>
          <w:bCs/>
        </w:rPr>
        <w:t>A$49,985</w:t>
      </w:r>
      <w:r>
        <w:t xml:space="preserve"> </w:t>
      </w:r>
      <w:r w:rsidRPr="00757201">
        <w:t>average wages</w:t>
      </w:r>
    </w:p>
    <w:p w14:paraId="37786F3B" w14:textId="77777777" w:rsidR="00FF4181" w:rsidRPr="00176934" w:rsidRDefault="00FF4181" w:rsidP="00FF4181">
      <w:pPr>
        <w:pStyle w:val="ListBullet"/>
        <w:rPr>
          <w:b/>
          <w:bCs/>
        </w:rPr>
      </w:pPr>
      <w:r w:rsidRPr="00E076B6">
        <w:rPr>
          <w:b/>
          <w:bCs/>
        </w:rPr>
        <w:t>South Australia</w:t>
      </w:r>
    </w:p>
    <w:p w14:paraId="56A2BD6C" w14:textId="2184DABE" w:rsidR="003179B5" w:rsidRPr="003179B5" w:rsidRDefault="003179B5" w:rsidP="003179B5">
      <w:pPr>
        <w:pStyle w:val="ListBullet2"/>
      </w:pPr>
      <w:r w:rsidRPr="003179B5">
        <w:rPr>
          <w:b/>
          <w:bCs/>
        </w:rPr>
        <w:t>A$174,167</w:t>
      </w:r>
      <w:r>
        <w:t xml:space="preserve"> </w:t>
      </w:r>
      <w:r w:rsidRPr="003179B5">
        <w:t>Labour productivity</w:t>
      </w:r>
    </w:p>
    <w:p w14:paraId="3C49BD50" w14:textId="25A3FAB8" w:rsidR="003179B5" w:rsidRPr="003179B5" w:rsidRDefault="003179B5" w:rsidP="003179B5">
      <w:pPr>
        <w:pStyle w:val="ListBullet2"/>
      </w:pPr>
      <w:r w:rsidRPr="003179B5">
        <w:rPr>
          <w:b/>
          <w:bCs/>
        </w:rPr>
        <w:t>A$47,518</w:t>
      </w:r>
      <w:r>
        <w:t xml:space="preserve"> </w:t>
      </w:r>
      <w:r w:rsidRPr="003179B5">
        <w:t>average wages</w:t>
      </w:r>
    </w:p>
    <w:p w14:paraId="60AC3FCB" w14:textId="77777777" w:rsidR="00FF4181" w:rsidRPr="00176934" w:rsidRDefault="00FF4181" w:rsidP="00FF4181">
      <w:pPr>
        <w:pStyle w:val="ListBullet"/>
        <w:rPr>
          <w:b/>
          <w:bCs/>
        </w:rPr>
      </w:pPr>
      <w:r w:rsidRPr="003714FB">
        <w:rPr>
          <w:b/>
          <w:bCs/>
        </w:rPr>
        <w:t>Western Australia</w:t>
      </w:r>
    </w:p>
    <w:p w14:paraId="38BCF4FF" w14:textId="7193F8C9" w:rsidR="00F82694" w:rsidRPr="00F82694" w:rsidRDefault="00F82694" w:rsidP="00F82694">
      <w:pPr>
        <w:pStyle w:val="ListBullet2"/>
      </w:pPr>
      <w:r w:rsidRPr="00F82694">
        <w:rPr>
          <w:b/>
          <w:bCs/>
        </w:rPr>
        <w:t>A$191,249</w:t>
      </w:r>
      <w:r>
        <w:t xml:space="preserve"> </w:t>
      </w:r>
      <w:r w:rsidRPr="00F82694">
        <w:t>Labour productivity</w:t>
      </w:r>
    </w:p>
    <w:p w14:paraId="440FA81D" w14:textId="4FCE036D" w:rsidR="00F82694" w:rsidRPr="00F82694" w:rsidRDefault="00F82694" w:rsidP="00F82694">
      <w:pPr>
        <w:pStyle w:val="ListBullet2"/>
      </w:pPr>
      <w:r w:rsidRPr="00F82694">
        <w:rPr>
          <w:b/>
          <w:bCs/>
        </w:rPr>
        <w:t>A$55,701</w:t>
      </w:r>
      <w:r>
        <w:t xml:space="preserve"> </w:t>
      </w:r>
      <w:r w:rsidRPr="00F82694">
        <w:t>average wages</w:t>
      </w:r>
    </w:p>
    <w:p w14:paraId="02FA1F57" w14:textId="77777777" w:rsidR="00FF4181" w:rsidRPr="00F015CB" w:rsidRDefault="00FF4181" w:rsidP="00FF4181">
      <w:pPr>
        <w:pStyle w:val="ListBullet"/>
        <w:rPr>
          <w:b/>
          <w:bCs/>
        </w:rPr>
      </w:pPr>
      <w:r w:rsidRPr="00F015CB">
        <w:rPr>
          <w:b/>
          <w:bCs/>
        </w:rPr>
        <w:t>Northern Territory</w:t>
      </w:r>
    </w:p>
    <w:p w14:paraId="25EE3288" w14:textId="33C10710" w:rsidR="00605E7A" w:rsidRPr="00605E7A" w:rsidRDefault="00605E7A" w:rsidP="00605E7A">
      <w:pPr>
        <w:pStyle w:val="ListBullet2"/>
      </w:pPr>
      <w:r w:rsidRPr="00605E7A">
        <w:rPr>
          <w:b/>
          <w:bCs/>
        </w:rPr>
        <w:t>A$129,353</w:t>
      </w:r>
      <w:r>
        <w:t xml:space="preserve"> </w:t>
      </w:r>
      <w:r w:rsidRPr="00605E7A">
        <w:t>Labour productivity</w:t>
      </w:r>
    </w:p>
    <w:p w14:paraId="3E155570" w14:textId="0C7C0B9E" w:rsidR="00605E7A" w:rsidRPr="00605E7A" w:rsidRDefault="00605E7A" w:rsidP="00605E7A">
      <w:pPr>
        <w:pStyle w:val="ListBullet2"/>
      </w:pPr>
      <w:r w:rsidRPr="00605E7A">
        <w:rPr>
          <w:b/>
          <w:bCs/>
        </w:rPr>
        <w:t>A$43,171</w:t>
      </w:r>
      <w:r>
        <w:t xml:space="preserve"> </w:t>
      </w:r>
      <w:r w:rsidRPr="00605E7A">
        <w:t>average wages</w:t>
      </w:r>
    </w:p>
    <w:p w14:paraId="1F8D53A5" w14:textId="77777777" w:rsidR="00FF4181" w:rsidRPr="002D703B" w:rsidRDefault="00FF4181" w:rsidP="00FF4181">
      <w:pPr>
        <w:pStyle w:val="ListBullet"/>
        <w:rPr>
          <w:b/>
          <w:bCs/>
        </w:rPr>
      </w:pPr>
      <w:r w:rsidRPr="002D703B">
        <w:rPr>
          <w:b/>
          <w:bCs/>
        </w:rPr>
        <w:t>Tasmania</w:t>
      </w:r>
    </w:p>
    <w:p w14:paraId="1127443C" w14:textId="1C7E0843" w:rsidR="00FE1D0C" w:rsidRPr="00FE1D0C" w:rsidRDefault="00FE1D0C" w:rsidP="002426BF">
      <w:pPr>
        <w:pStyle w:val="ListBullet2"/>
      </w:pPr>
      <w:r w:rsidRPr="002426BF">
        <w:rPr>
          <w:b/>
          <w:bCs/>
        </w:rPr>
        <w:t>A$117,395</w:t>
      </w:r>
      <w:r w:rsidR="002426BF">
        <w:t xml:space="preserve"> </w:t>
      </w:r>
      <w:r w:rsidRPr="00FE1D0C">
        <w:t>Labour productivity</w:t>
      </w:r>
    </w:p>
    <w:p w14:paraId="1DC931F8" w14:textId="2A2892CD" w:rsidR="00FA4467" w:rsidRDefault="00FE1D0C" w:rsidP="002426BF">
      <w:pPr>
        <w:pStyle w:val="ListBullet2"/>
      </w:pPr>
      <w:r w:rsidRPr="002426BF">
        <w:rPr>
          <w:b/>
          <w:bCs/>
        </w:rPr>
        <w:t>A$43,751</w:t>
      </w:r>
      <w:r w:rsidR="002426BF">
        <w:t xml:space="preserve"> </w:t>
      </w:r>
      <w:r w:rsidRPr="00FE1D0C">
        <w:t>average wages</w:t>
      </w:r>
    </w:p>
    <w:p w14:paraId="7194836F" w14:textId="77777777" w:rsidR="00FA4467" w:rsidRDefault="00FA4467">
      <w:pPr>
        <w:spacing w:before="0" w:after="120" w:line="252" w:lineRule="auto"/>
      </w:pPr>
      <w:r>
        <w:br w:type="page"/>
      </w:r>
    </w:p>
    <w:p w14:paraId="2652C689" w14:textId="77777777" w:rsidR="00EB75D7" w:rsidRPr="00C40840" w:rsidRDefault="00EB75D7" w:rsidP="00EB75D7">
      <w:pPr>
        <w:pStyle w:val="ListBullet"/>
        <w:rPr>
          <w:b/>
          <w:bCs/>
        </w:rPr>
      </w:pPr>
      <w:r w:rsidRPr="00C40840">
        <w:rPr>
          <w:b/>
          <w:bCs/>
        </w:rPr>
        <w:lastRenderedPageBreak/>
        <w:t>ACT</w:t>
      </w:r>
    </w:p>
    <w:p w14:paraId="2DA119F0" w14:textId="00147762" w:rsidR="002C1718" w:rsidRPr="002C1718" w:rsidRDefault="002C1718" w:rsidP="002C1718">
      <w:pPr>
        <w:pStyle w:val="ListBullet2"/>
      </w:pPr>
      <w:r w:rsidRPr="002C1718">
        <w:rPr>
          <w:b/>
          <w:bCs/>
        </w:rPr>
        <w:t>A$151,286</w:t>
      </w:r>
      <w:r>
        <w:t xml:space="preserve"> </w:t>
      </w:r>
      <w:r w:rsidRPr="002C1718">
        <w:t>Labour productivity</w:t>
      </w:r>
    </w:p>
    <w:p w14:paraId="6CD79A99" w14:textId="7B8FA0B1" w:rsidR="00EB75D7" w:rsidRPr="002C1718" w:rsidRDefault="002C1718" w:rsidP="002C1718">
      <w:pPr>
        <w:pStyle w:val="ListBullet2"/>
      </w:pPr>
      <w:r w:rsidRPr="002C1718">
        <w:rPr>
          <w:b/>
          <w:bCs/>
        </w:rPr>
        <w:t>A$61,328</w:t>
      </w:r>
      <w:r>
        <w:t xml:space="preserve"> </w:t>
      </w:r>
      <w:r w:rsidRPr="002C1718">
        <w:t>average wages</w:t>
      </w:r>
    </w:p>
    <w:p w14:paraId="582570CE" w14:textId="3B433EB3" w:rsidR="00E554A3" w:rsidRDefault="00E554A3" w:rsidP="00FE1D0C">
      <w:pPr>
        <w:pStyle w:val="FootnoteText"/>
        <w:ind w:left="0" w:firstLine="0"/>
      </w:pPr>
      <w:r w:rsidRPr="00E554A3">
        <w:rPr>
          <w:b/>
          <w:bCs/>
        </w:rPr>
        <w:t>Note</w:t>
      </w:r>
      <w:r>
        <w:t>. Labour productivity is a measure of output per unit of labour. Labour productivity was calculated by value-added per headcount employee.</w:t>
      </w:r>
    </w:p>
    <w:p w14:paraId="2F657890" w14:textId="77777777" w:rsidR="00E554A3" w:rsidRDefault="00E554A3" w:rsidP="00E554A3">
      <w:pPr>
        <w:pStyle w:val="FootnoteText"/>
      </w:pPr>
    </w:p>
    <w:p w14:paraId="62CEEB1A" w14:textId="77777777" w:rsidR="00E554A3" w:rsidRDefault="00E554A3" w:rsidP="00E554A3">
      <w:pPr>
        <w:pStyle w:val="Caption"/>
      </w:pPr>
      <w:r w:rsidRPr="00E554A3">
        <w:rPr>
          <w:b/>
          <w:bCs/>
        </w:rPr>
        <w:t>Sources</w:t>
      </w:r>
      <w:r>
        <w:t>: Australian Bureau of Statistics (2022) Business Longitudinal Analysis Data Environment; Austrade Economics</w:t>
      </w:r>
    </w:p>
    <w:p w14:paraId="371E2687" w14:textId="77777777" w:rsidR="00E554A3" w:rsidRDefault="00E554A3" w:rsidP="00E554A3">
      <w:pPr>
        <w:pStyle w:val="Heading2"/>
      </w:pPr>
      <w:r>
        <w:t>China continues to be highest value market for exporters</w:t>
      </w:r>
    </w:p>
    <w:p w14:paraId="1AB8D9F8" w14:textId="77777777" w:rsidR="00E554A3" w:rsidRDefault="00E554A3" w:rsidP="00E554A3">
      <w:r>
        <w:t xml:space="preserve">The top export markets in 2020-21 by export value were China, Japan, Korea and the United States. As set out below, the value of Australia’s merchandise exports to China were more than three times the value of our next highest trading partner – Japan. Despite the </w:t>
      </w:r>
      <w:r w:rsidRPr="00E554A3">
        <w:t>disruptions to our trade</w:t>
      </w:r>
      <w:r>
        <w:t>, merchandise exports to China were $156.5 billion in 2021-22</w:t>
      </w:r>
      <w:r w:rsidRPr="00E554A3">
        <w:t>, reflecting our economies' strong complementarity.</w:t>
      </w:r>
      <w:r>
        <w:t xml:space="preserve"> Our merchandise exporters have also diversified to new markets throughout Asia, capitalising on new market opportunities.</w:t>
      </w:r>
    </w:p>
    <w:p w14:paraId="408EB92A" w14:textId="77777777" w:rsidR="00E554A3" w:rsidRDefault="00E554A3" w:rsidP="00E554A3">
      <w:pPr>
        <w:pStyle w:val="Heading3"/>
      </w:pPr>
      <w:r>
        <w:t>Figure 14. Merchandise exporters Top ten markets by export value 2020-21</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97329D" w:rsidRPr="00823B47" w14:paraId="7D3262CF"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4E3A9B93" w14:textId="77777777" w:rsidR="0097329D" w:rsidRPr="00823B47" w:rsidRDefault="0097329D" w:rsidP="00901636">
            <w:pPr>
              <w:pStyle w:val="Tableheadermain"/>
              <w:rPr>
                <w:b/>
                <w:bCs/>
              </w:rPr>
            </w:pPr>
            <w:r>
              <w:rPr>
                <w:b/>
                <w:bCs/>
              </w:rPr>
              <w:t>Industry</w:t>
            </w:r>
          </w:p>
        </w:tc>
        <w:tc>
          <w:tcPr>
            <w:tcW w:w="4732" w:type="dxa"/>
          </w:tcPr>
          <w:p w14:paraId="396F4838" w14:textId="281211C5" w:rsidR="0097329D" w:rsidRPr="005D6B41" w:rsidRDefault="00972A67" w:rsidP="005D6B41">
            <w:pPr>
              <w:pStyle w:val="Tableheadermain"/>
              <w:cnfStyle w:val="100000000000" w:firstRow="1" w:lastRow="0" w:firstColumn="0" w:lastColumn="0" w:oddVBand="0" w:evenVBand="0" w:oddHBand="0" w:evenHBand="0" w:firstRowFirstColumn="0" w:firstRowLastColumn="0" w:lastRowFirstColumn="0" w:lastRowLastColumn="0"/>
              <w:rPr>
                <w:b/>
                <w:bCs/>
              </w:rPr>
            </w:pPr>
            <w:r w:rsidRPr="005D6B41">
              <w:rPr>
                <w:b/>
                <w:bCs/>
              </w:rPr>
              <w:t>Merchandise exporters</w:t>
            </w:r>
            <w:r w:rsidRPr="005D6B41">
              <w:rPr>
                <w:b/>
                <w:bCs/>
              </w:rPr>
              <w:br/>
              <w:t xml:space="preserve">Top ten markets by export value 2020-21 </w:t>
            </w:r>
            <w:r w:rsidR="0097329D" w:rsidRPr="005D6B41">
              <w:rPr>
                <w:b/>
                <w:bCs/>
              </w:rPr>
              <w:t>(</w:t>
            </w:r>
            <w:r w:rsidR="005D6B41" w:rsidRPr="005D6B41">
              <w:rPr>
                <w:b/>
                <w:bCs/>
              </w:rPr>
              <w:t>A$ billion</w:t>
            </w:r>
            <w:r w:rsidR="0097329D" w:rsidRPr="005D6B41">
              <w:rPr>
                <w:b/>
                <w:bCs/>
              </w:rPr>
              <w:t>)</w:t>
            </w:r>
          </w:p>
        </w:tc>
      </w:tr>
      <w:tr w:rsidR="00493D98" w14:paraId="0053B945"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11059092" w14:textId="4CFBB9B9" w:rsidR="00493D98" w:rsidRPr="00206933" w:rsidRDefault="00493D98" w:rsidP="00493D98">
            <w:pPr>
              <w:pStyle w:val="Tablecopy"/>
            </w:pPr>
            <w:r w:rsidRPr="00597C6E">
              <w:t xml:space="preserve">China </w:t>
            </w:r>
          </w:p>
        </w:tc>
        <w:tc>
          <w:tcPr>
            <w:tcW w:w="4732" w:type="dxa"/>
          </w:tcPr>
          <w:p w14:paraId="1D87DDC6" w14:textId="4A75B032" w:rsidR="00493D98" w:rsidRDefault="00493D98" w:rsidP="00493D98">
            <w:pPr>
              <w:pStyle w:val="Tablecopy"/>
              <w:cnfStyle w:val="000000100000" w:firstRow="0" w:lastRow="0" w:firstColumn="0" w:lastColumn="0" w:oddVBand="0" w:evenVBand="0" w:oddHBand="1" w:evenHBand="0" w:firstRowFirstColumn="0" w:firstRowLastColumn="0" w:lastRowFirstColumn="0" w:lastRowLastColumn="0"/>
            </w:pPr>
            <w:r w:rsidRPr="00597C6E">
              <w:t>156.5</w:t>
            </w:r>
          </w:p>
        </w:tc>
      </w:tr>
      <w:tr w:rsidR="00493D98" w14:paraId="472B51A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26F7325B" w14:textId="1C5C5B65" w:rsidR="00493D98" w:rsidRDefault="00493D98" w:rsidP="00493D98">
            <w:pPr>
              <w:pStyle w:val="Tablecopy"/>
            </w:pPr>
            <w:r w:rsidRPr="00597C6E">
              <w:t xml:space="preserve">Japan </w:t>
            </w:r>
          </w:p>
        </w:tc>
        <w:tc>
          <w:tcPr>
            <w:tcW w:w="4732" w:type="dxa"/>
          </w:tcPr>
          <w:p w14:paraId="74539FEE" w14:textId="1FF559C3" w:rsidR="00493D98" w:rsidRDefault="00493D98" w:rsidP="00493D98">
            <w:pPr>
              <w:pStyle w:val="Tablecopy"/>
              <w:cnfStyle w:val="000000000000" w:firstRow="0" w:lastRow="0" w:firstColumn="0" w:lastColumn="0" w:oddVBand="0" w:evenVBand="0" w:oddHBand="0" w:evenHBand="0" w:firstRowFirstColumn="0" w:firstRowLastColumn="0" w:lastRowFirstColumn="0" w:lastRowLastColumn="0"/>
            </w:pPr>
            <w:r w:rsidRPr="00597C6E">
              <w:t>43.6</w:t>
            </w:r>
          </w:p>
        </w:tc>
      </w:tr>
      <w:tr w:rsidR="00493D98" w14:paraId="1F9A6DF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3E7D4DF" w14:textId="01D35F66" w:rsidR="00493D98" w:rsidRDefault="00493D98" w:rsidP="00493D98">
            <w:pPr>
              <w:pStyle w:val="Tablecopy"/>
            </w:pPr>
            <w:r w:rsidRPr="00597C6E">
              <w:t xml:space="preserve">Korea </w:t>
            </w:r>
          </w:p>
        </w:tc>
        <w:tc>
          <w:tcPr>
            <w:tcW w:w="4732" w:type="dxa"/>
          </w:tcPr>
          <w:p w14:paraId="4FDE561D" w14:textId="22816163" w:rsidR="00493D98" w:rsidRDefault="00493D98" w:rsidP="00493D98">
            <w:pPr>
              <w:pStyle w:val="Tablecopy"/>
              <w:cnfStyle w:val="000000100000" w:firstRow="0" w:lastRow="0" w:firstColumn="0" w:lastColumn="0" w:oddVBand="0" w:evenVBand="0" w:oddHBand="1" w:evenHBand="0" w:firstRowFirstColumn="0" w:firstRowLastColumn="0" w:lastRowFirstColumn="0" w:lastRowLastColumn="0"/>
            </w:pPr>
            <w:r w:rsidRPr="00597C6E">
              <w:t>26.0</w:t>
            </w:r>
          </w:p>
        </w:tc>
      </w:tr>
      <w:tr w:rsidR="00493D98" w14:paraId="519266FD"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279E8B0" w14:textId="371D09E3" w:rsidR="00493D98" w:rsidRDefault="00493D98" w:rsidP="00493D98">
            <w:pPr>
              <w:pStyle w:val="Tablecopy"/>
            </w:pPr>
            <w:r w:rsidRPr="00597C6E">
              <w:t xml:space="preserve">US </w:t>
            </w:r>
          </w:p>
        </w:tc>
        <w:tc>
          <w:tcPr>
            <w:tcW w:w="4732" w:type="dxa"/>
          </w:tcPr>
          <w:p w14:paraId="19E06BC0" w14:textId="5881DABF" w:rsidR="00493D98" w:rsidRPr="008E02F2" w:rsidRDefault="00493D98" w:rsidP="00493D98">
            <w:pPr>
              <w:pStyle w:val="Tablecopy"/>
              <w:cnfStyle w:val="000000000000" w:firstRow="0" w:lastRow="0" w:firstColumn="0" w:lastColumn="0" w:oddVBand="0" w:evenVBand="0" w:oddHBand="0" w:evenHBand="0" w:firstRowFirstColumn="0" w:firstRowLastColumn="0" w:lastRowFirstColumn="0" w:lastRowLastColumn="0"/>
              <w:rPr>
                <w:lang w:val="en-US"/>
              </w:rPr>
            </w:pPr>
            <w:r w:rsidRPr="00597C6E">
              <w:t>19.8</w:t>
            </w:r>
          </w:p>
        </w:tc>
      </w:tr>
      <w:tr w:rsidR="00493D98" w14:paraId="7AEEF92F"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885D844" w14:textId="55CB9D73" w:rsidR="00493D98" w:rsidRDefault="00493D98" w:rsidP="00493D98">
            <w:pPr>
              <w:pStyle w:val="Tablecopy"/>
            </w:pPr>
            <w:r w:rsidRPr="00597C6E">
              <w:t xml:space="preserve">Singapore </w:t>
            </w:r>
          </w:p>
        </w:tc>
        <w:tc>
          <w:tcPr>
            <w:tcW w:w="4732" w:type="dxa"/>
          </w:tcPr>
          <w:p w14:paraId="41C6992C" w14:textId="08B1ABAE" w:rsidR="00493D98" w:rsidRDefault="00493D98" w:rsidP="00493D98">
            <w:pPr>
              <w:pStyle w:val="Tablecopy"/>
              <w:cnfStyle w:val="000000100000" w:firstRow="0" w:lastRow="0" w:firstColumn="0" w:lastColumn="0" w:oddVBand="0" w:evenVBand="0" w:oddHBand="1" w:evenHBand="0" w:firstRowFirstColumn="0" w:firstRowLastColumn="0" w:lastRowFirstColumn="0" w:lastRowLastColumn="0"/>
            </w:pPr>
            <w:r w:rsidRPr="00597C6E">
              <w:t>16.7</w:t>
            </w:r>
          </w:p>
        </w:tc>
      </w:tr>
      <w:tr w:rsidR="00493D98" w14:paraId="25D530D2"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3CDA75DD" w14:textId="07ACE30D" w:rsidR="00493D98" w:rsidRDefault="00493D98" w:rsidP="00493D98">
            <w:pPr>
              <w:pStyle w:val="Tablecopy"/>
            </w:pPr>
            <w:r w:rsidRPr="00597C6E">
              <w:t xml:space="preserve">UK </w:t>
            </w:r>
          </w:p>
        </w:tc>
        <w:tc>
          <w:tcPr>
            <w:tcW w:w="4732" w:type="dxa"/>
          </w:tcPr>
          <w:p w14:paraId="23E86771" w14:textId="2313E0F8" w:rsidR="00493D98" w:rsidRPr="008E02F2" w:rsidRDefault="00493D98" w:rsidP="00493D98">
            <w:pPr>
              <w:pStyle w:val="Tablecopy"/>
              <w:cnfStyle w:val="000000000000" w:firstRow="0" w:lastRow="0" w:firstColumn="0" w:lastColumn="0" w:oddVBand="0" w:evenVBand="0" w:oddHBand="0" w:evenHBand="0" w:firstRowFirstColumn="0" w:firstRowLastColumn="0" w:lastRowFirstColumn="0" w:lastRowLastColumn="0"/>
            </w:pPr>
            <w:r w:rsidRPr="00597C6E">
              <w:t>12.9</w:t>
            </w:r>
          </w:p>
        </w:tc>
      </w:tr>
      <w:tr w:rsidR="00493D98" w14:paraId="119486BE"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EBEA8CC" w14:textId="6C1090D0" w:rsidR="00493D98" w:rsidRDefault="00493D98" w:rsidP="00493D98">
            <w:pPr>
              <w:pStyle w:val="Tablecopy"/>
            </w:pPr>
            <w:r w:rsidRPr="00597C6E">
              <w:t xml:space="preserve">India </w:t>
            </w:r>
          </w:p>
        </w:tc>
        <w:tc>
          <w:tcPr>
            <w:tcW w:w="4732" w:type="dxa"/>
          </w:tcPr>
          <w:p w14:paraId="735EA95F" w14:textId="4CAA4AC2" w:rsidR="00493D98" w:rsidRPr="008E02F2" w:rsidRDefault="00493D98" w:rsidP="00493D98">
            <w:pPr>
              <w:pStyle w:val="Tablecopy"/>
              <w:cnfStyle w:val="000000100000" w:firstRow="0" w:lastRow="0" w:firstColumn="0" w:lastColumn="0" w:oddVBand="0" w:evenVBand="0" w:oddHBand="1" w:evenHBand="0" w:firstRowFirstColumn="0" w:firstRowLastColumn="0" w:lastRowFirstColumn="0" w:lastRowLastColumn="0"/>
            </w:pPr>
            <w:r w:rsidRPr="00597C6E">
              <w:t>12.4</w:t>
            </w:r>
          </w:p>
        </w:tc>
      </w:tr>
      <w:tr w:rsidR="00493D98" w14:paraId="7535FD11"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0A01E9CA" w14:textId="08784A34" w:rsidR="00493D98" w:rsidRDefault="00493D98" w:rsidP="00493D98">
            <w:pPr>
              <w:pStyle w:val="Tablecopy"/>
            </w:pPr>
            <w:r w:rsidRPr="00597C6E">
              <w:t xml:space="preserve">Taiwan </w:t>
            </w:r>
          </w:p>
        </w:tc>
        <w:tc>
          <w:tcPr>
            <w:tcW w:w="4732" w:type="dxa"/>
          </w:tcPr>
          <w:p w14:paraId="067297CB" w14:textId="3C02C4F3" w:rsidR="00493D98" w:rsidRPr="008E02F2" w:rsidRDefault="00493D98" w:rsidP="00493D98">
            <w:pPr>
              <w:pStyle w:val="Tablecopy"/>
              <w:cnfStyle w:val="000000000000" w:firstRow="0" w:lastRow="0" w:firstColumn="0" w:lastColumn="0" w:oddVBand="0" w:evenVBand="0" w:oddHBand="0" w:evenHBand="0" w:firstRowFirstColumn="0" w:firstRowLastColumn="0" w:lastRowFirstColumn="0" w:lastRowLastColumn="0"/>
            </w:pPr>
            <w:r w:rsidRPr="00597C6E">
              <w:t>10.6</w:t>
            </w:r>
          </w:p>
        </w:tc>
      </w:tr>
      <w:tr w:rsidR="00493D98" w14:paraId="32068E6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333A6977" w14:textId="578D9318" w:rsidR="00493D98" w:rsidRDefault="00493D98" w:rsidP="00493D98">
            <w:pPr>
              <w:pStyle w:val="Tablecopy"/>
            </w:pPr>
            <w:r w:rsidRPr="00597C6E">
              <w:lastRenderedPageBreak/>
              <w:t xml:space="preserve">New Zealand </w:t>
            </w:r>
          </w:p>
        </w:tc>
        <w:tc>
          <w:tcPr>
            <w:tcW w:w="4732" w:type="dxa"/>
          </w:tcPr>
          <w:p w14:paraId="62ECD079" w14:textId="514A7B43" w:rsidR="00493D98" w:rsidRPr="008E02F2" w:rsidRDefault="00493D98" w:rsidP="00493D98">
            <w:pPr>
              <w:pStyle w:val="Tablecopy"/>
              <w:cnfStyle w:val="000000100000" w:firstRow="0" w:lastRow="0" w:firstColumn="0" w:lastColumn="0" w:oddVBand="0" w:evenVBand="0" w:oddHBand="1" w:evenHBand="0" w:firstRowFirstColumn="0" w:firstRowLastColumn="0" w:lastRowFirstColumn="0" w:lastRowLastColumn="0"/>
            </w:pPr>
            <w:r w:rsidRPr="00597C6E">
              <w:t>10.0</w:t>
            </w:r>
          </w:p>
        </w:tc>
      </w:tr>
      <w:tr w:rsidR="00493D98" w14:paraId="2A184DAF"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40927E41" w14:textId="555A01FE" w:rsidR="00493D98" w:rsidRDefault="00493D98" w:rsidP="00493D98">
            <w:pPr>
              <w:pStyle w:val="Tablecopy"/>
            </w:pPr>
            <w:r w:rsidRPr="00597C6E">
              <w:t xml:space="preserve">Hong Kong </w:t>
            </w:r>
          </w:p>
        </w:tc>
        <w:tc>
          <w:tcPr>
            <w:tcW w:w="4732" w:type="dxa"/>
          </w:tcPr>
          <w:p w14:paraId="4F026638" w14:textId="3167A324" w:rsidR="00493D98" w:rsidRPr="008E02F2" w:rsidRDefault="00493D98" w:rsidP="00493D98">
            <w:pPr>
              <w:pStyle w:val="Tablecopy"/>
              <w:cnfStyle w:val="000000000000" w:firstRow="0" w:lastRow="0" w:firstColumn="0" w:lastColumn="0" w:oddVBand="0" w:evenVBand="0" w:oddHBand="0" w:evenHBand="0" w:firstRowFirstColumn="0" w:firstRowLastColumn="0" w:lastRowFirstColumn="0" w:lastRowLastColumn="0"/>
            </w:pPr>
            <w:r w:rsidRPr="00597C6E">
              <w:t>9.1</w:t>
            </w:r>
          </w:p>
        </w:tc>
      </w:tr>
    </w:tbl>
    <w:p w14:paraId="7F648476" w14:textId="77777777" w:rsidR="0097329D" w:rsidRDefault="0097329D" w:rsidP="00E554A3">
      <w:pPr>
        <w:pStyle w:val="FootnoteText"/>
        <w:tabs>
          <w:tab w:val="left" w:pos="8949"/>
        </w:tabs>
        <w:rPr>
          <w:b/>
          <w:bCs/>
        </w:rPr>
      </w:pPr>
    </w:p>
    <w:p w14:paraId="5CD6F1E2" w14:textId="494BE387" w:rsidR="00E554A3" w:rsidRDefault="00E554A3" w:rsidP="00E554A3">
      <w:pPr>
        <w:pStyle w:val="FootnoteText"/>
        <w:tabs>
          <w:tab w:val="left" w:pos="8949"/>
        </w:tabs>
      </w:pPr>
      <w:r w:rsidRPr="00E554A3">
        <w:rPr>
          <w:b/>
          <w:bCs/>
        </w:rPr>
        <w:t>Note</w:t>
      </w:r>
      <w:r w:rsidRPr="00E554A3">
        <w:t>. This information uses Australian Border Force data and represents merchandise exporters only.</w:t>
      </w:r>
    </w:p>
    <w:p w14:paraId="3D0A5A4C" w14:textId="77777777" w:rsidR="00E554A3" w:rsidRDefault="00E554A3" w:rsidP="00E554A3">
      <w:pPr>
        <w:pStyle w:val="FootnoteText"/>
        <w:tabs>
          <w:tab w:val="left" w:pos="8949"/>
        </w:tabs>
      </w:pPr>
      <w:r>
        <w:tab/>
      </w:r>
    </w:p>
    <w:p w14:paraId="5136DE5D" w14:textId="77777777" w:rsidR="00E554A3" w:rsidRDefault="00E554A3" w:rsidP="00E554A3">
      <w:pPr>
        <w:pStyle w:val="Caption"/>
      </w:pPr>
      <w:r w:rsidRPr="00E554A3">
        <w:rPr>
          <w:b/>
          <w:bCs/>
        </w:rPr>
        <w:t>Source</w:t>
      </w:r>
      <w:r w:rsidRPr="00E554A3">
        <w:t>: Australian Border Force (2022); Austrade Economics</w:t>
      </w:r>
    </w:p>
    <w:p w14:paraId="40FD7DF0" w14:textId="77777777" w:rsidR="00E554A3" w:rsidRDefault="00E554A3">
      <w:pPr>
        <w:spacing w:before="0" w:after="120" w:line="252" w:lineRule="auto"/>
        <w:rPr>
          <w:b/>
          <w:bCs/>
          <w:color w:val="2E1A47" w:themeColor="text2"/>
        </w:rPr>
      </w:pPr>
      <w:r>
        <w:br w:type="page"/>
      </w:r>
    </w:p>
    <w:p w14:paraId="57D52618" w14:textId="77777777" w:rsidR="00E554A3" w:rsidRDefault="00E554A3" w:rsidP="00E554A3">
      <w:pPr>
        <w:pStyle w:val="Heading2"/>
      </w:pPr>
      <w:r>
        <w:lastRenderedPageBreak/>
        <w:t>New Zealand is the most popular market for exporters</w:t>
      </w:r>
    </w:p>
    <w:p w14:paraId="2723529E" w14:textId="77777777" w:rsidR="00E554A3" w:rsidRDefault="00E554A3" w:rsidP="00E554A3">
      <w:r>
        <w:t xml:space="preserve">The top export destination in 2020-21, as measured by the number of merchandise exporters, was New Zealand (16,394 exporters), with almost double the number of merchandise exporters selling to this market </w:t>
      </w:r>
      <w:r w:rsidRPr="00E554A3">
        <w:t>over</w:t>
      </w:r>
      <w:r>
        <w:t xml:space="preserve"> any other. This suggests that Australian merchandise exporters may find it easier to export to New Zealand, given the geographical proximity and cultural and consumer similarities with Australia.</w:t>
      </w:r>
    </w:p>
    <w:p w14:paraId="11254075" w14:textId="77777777" w:rsidR="00E554A3" w:rsidRDefault="00E554A3" w:rsidP="00E554A3">
      <w:r>
        <w:t>The United States and China were the second and third most popular markets, likely reflecting their status as the world’s largest consumer markets. In interpreting the number of merchandise exporters per market figures, it is important to note that many merchandise exporters operate in more than one market, and this is reflected in the counts, so the total number of markets exceeds the total number of exporters.</w:t>
      </w:r>
    </w:p>
    <w:p w14:paraId="5D267FCD" w14:textId="77777777" w:rsidR="00E554A3" w:rsidRDefault="00E554A3" w:rsidP="00E554A3">
      <w:pPr>
        <w:pStyle w:val="Heading3"/>
      </w:pPr>
      <w:r>
        <w:t>Figure 15. Merchandise exporters Top ten markets 2020-21</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7B33D4" w:rsidRPr="00823B47" w14:paraId="66FBD4DB"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6005AF12" w14:textId="77777777" w:rsidR="007B33D4" w:rsidRPr="00823B47" w:rsidRDefault="007B33D4" w:rsidP="00901636">
            <w:pPr>
              <w:pStyle w:val="Tableheadermain"/>
              <w:rPr>
                <w:b/>
                <w:bCs/>
              </w:rPr>
            </w:pPr>
            <w:r>
              <w:rPr>
                <w:b/>
                <w:bCs/>
              </w:rPr>
              <w:t>Industry</w:t>
            </w:r>
          </w:p>
        </w:tc>
        <w:tc>
          <w:tcPr>
            <w:tcW w:w="4732" w:type="dxa"/>
          </w:tcPr>
          <w:p w14:paraId="551A249F" w14:textId="1702D19F" w:rsidR="007B33D4" w:rsidRPr="001A4673" w:rsidRDefault="00191EC9" w:rsidP="00191EC9">
            <w:pPr>
              <w:pStyle w:val="Tableheadermain"/>
              <w:cnfStyle w:val="100000000000" w:firstRow="1" w:lastRow="0" w:firstColumn="0" w:lastColumn="0" w:oddVBand="0" w:evenVBand="0" w:oddHBand="0" w:evenHBand="0" w:firstRowFirstColumn="0" w:firstRowLastColumn="0" w:lastRowFirstColumn="0" w:lastRowLastColumn="0"/>
              <w:rPr>
                <w:b/>
                <w:bCs/>
              </w:rPr>
            </w:pPr>
            <w:r w:rsidRPr="001A4673">
              <w:rPr>
                <w:b/>
                <w:bCs/>
              </w:rPr>
              <w:t>Merchandise exporters</w:t>
            </w:r>
            <w:r w:rsidR="008B0AB4">
              <w:rPr>
                <w:b/>
                <w:bCs/>
              </w:rPr>
              <w:t xml:space="preserve"> </w:t>
            </w:r>
            <w:r w:rsidRPr="001A4673">
              <w:rPr>
                <w:b/>
                <w:bCs/>
              </w:rPr>
              <w:t>Top ten markets 2020-21</w:t>
            </w:r>
            <w:r w:rsidR="008B0AB4">
              <w:rPr>
                <w:b/>
                <w:bCs/>
              </w:rPr>
              <w:t xml:space="preserve"> (</w:t>
            </w:r>
            <w:r w:rsidR="001A4673" w:rsidRPr="001A4673">
              <w:rPr>
                <w:b/>
                <w:bCs/>
              </w:rPr>
              <w:t>Number of exporters</w:t>
            </w:r>
            <w:r w:rsidR="008B0AB4">
              <w:rPr>
                <w:b/>
                <w:bCs/>
              </w:rPr>
              <w:t>)</w:t>
            </w:r>
          </w:p>
        </w:tc>
      </w:tr>
      <w:tr w:rsidR="001A4673" w14:paraId="21E2D7B9"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621C161" w14:textId="0BE85791" w:rsidR="001A4673" w:rsidRPr="00206933" w:rsidRDefault="001A4673" w:rsidP="001A4673">
            <w:pPr>
              <w:pStyle w:val="Tablecopy"/>
            </w:pPr>
            <w:r w:rsidRPr="00AA2BBE">
              <w:t xml:space="preserve">New Zealand </w:t>
            </w:r>
          </w:p>
        </w:tc>
        <w:tc>
          <w:tcPr>
            <w:tcW w:w="4732" w:type="dxa"/>
          </w:tcPr>
          <w:p w14:paraId="38048EB0" w14:textId="2EF334DD" w:rsidR="001A4673" w:rsidRDefault="001A4673" w:rsidP="001A4673">
            <w:pPr>
              <w:pStyle w:val="Tablecopy"/>
              <w:cnfStyle w:val="000000100000" w:firstRow="0" w:lastRow="0" w:firstColumn="0" w:lastColumn="0" w:oddVBand="0" w:evenVBand="0" w:oddHBand="1" w:evenHBand="0" w:firstRowFirstColumn="0" w:firstRowLastColumn="0" w:lastRowFirstColumn="0" w:lastRowLastColumn="0"/>
            </w:pPr>
            <w:r w:rsidRPr="00AA2BBE">
              <w:t>16,394</w:t>
            </w:r>
          </w:p>
        </w:tc>
      </w:tr>
      <w:tr w:rsidR="001A4673" w14:paraId="248CF7FB"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167A8942" w14:textId="40D31FBF" w:rsidR="001A4673" w:rsidRDefault="001A4673" w:rsidP="001A4673">
            <w:pPr>
              <w:pStyle w:val="Tablecopy"/>
            </w:pPr>
            <w:r w:rsidRPr="00AA2BBE">
              <w:t xml:space="preserve">US </w:t>
            </w:r>
          </w:p>
        </w:tc>
        <w:tc>
          <w:tcPr>
            <w:tcW w:w="4732" w:type="dxa"/>
          </w:tcPr>
          <w:p w14:paraId="75F07387" w14:textId="433FDF45" w:rsidR="001A4673" w:rsidRDefault="001A4673" w:rsidP="001A4673">
            <w:pPr>
              <w:pStyle w:val="Tablecopy"/>
              <w:cnfStyle w:val="000000000000" w:firstRow="0" w:lastRow="0" w:firstColumn="0" w:lastColumn="0" w:oddVBand="0" w:evenVBand="0" w:oddHBand="0" w:evenHBand="0" w:firstRowFirstColumn="0" w:firstRowLastColumn="0" w:lastRowFirstColumn="0" w:lastRowLastColumn="0"/>
            </w:pPr>
            <w:r w:rsidRPr="00AA2BBE">
              <w:t>9,040</w:t>
            </w:r>
          </w:p>
        </w:tc>
      </w:tr>
      <w:tr w:rsidR="001A4673" w14:paraId="1D5266D6"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4F122E6D" w14:textId="3C5253BF" w:rsidR="001A4673" w:rsidRDefault="001A4673" w:rsidP="001A4673">
            <w:pPr>
              <w:pStyle w:val="Tablecopy"/>
            </w:pPr>
            <w:r w:rsidRPr="00AA2BBE">
              <w:t xml:space="preserve">China </w:t>
            </w:r>
          </w:p>
        </w:tc>
        <w:tc>
          <w:tcPr>
            <w:tcW w:w="4732" w:type="dxa"/>
          </w:tcPr>
          <w:p w14:paraId="078BE810" w14:textId="046543DE" w:rsidR="001A4673" w:rsidRDefault="001A4673" w:rsidP="001A4673">
            <w:pPr>
              <w:pStyle w:val="Tablecopy"/>
              <w:cnfStyle w:val="000000100000" w:firstRow="0" w:lastRow="0" w:firstColumn="0" w:lastColumn="0" w:oddVBand="0" w:evenVBand="0" w:oddHBand="1" w:evenHBand="0" w:firstRowFirstColumn="0" w:firstRowLastColumn="0" w:lastRowFirstColumn="0" w:lastRowLastColumn="0"/>
            </w:pPr>
            <w:r w:rsidRPr="00AA2BBE">
              <w:t>6,110</w:t>
            </w:r>
          </w:p>
        </w:tc>
      </w:tr>
      <w:tr w:rsidR="001A4673" w14:paraId="60D82120"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7D3FDBFB" w14:textId="16568C3C" w:rsidR="001A4673" w:rsidRDefault="001A4673" w:rsidP="001A4673">
            <w:pPr>
              <w:pStyle w:val="Tablecopy"/>
            </w:pPr>
            <w:r w:rsidRPr="00AA2BBE">
              <w:t xml:space="preserve">Singapore </w:t>
            </w:r>
          </w:p>
        </w:tc>
        <w:tc>
          <w:tcPr>
            <w:tcW w:w="4732" w:type="dxa"/>
          </w:tcPr>
          <w:p w14:paraId="15E72DE3" w14:textId="3BE96168" w:rsidR="001A4673" w:rsidRPr="008E02F2" w:rsidRDefault="001A4673" w:rsidP="001A4673">
            <w:pPr>
              <w:pStyle w:val="Tablecopy"/>
              <w:cnfStyle w:val="000000000000" w:firstRow="0" w:lastRow="0" w:firstColumn="0" w:lastColumn="0" w:oddVBand="0" w:evenVBand="0" w:oddHBand="0" w:evenHBand="0" w:firstRowFirstColumn="0" w:firstRowLastColumn="0" w:lastRowFirstColumn="0" w:lastRowLastColumn="0"/>
              <w:rPr>
                <w:lang w:val="en-US"/>
              </w:rPr>
            </w:pPr>
            <w:r w:rsidRPr="00AA2BBE">
              <w:t>5,137</w:t>
            </w:r>
          </w:p>
        </w:tc>
      </w:tr>
      <w:tr w:rsidR="001A4673" w14:paraId="12A8841C"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5E7BA349" w14:textId="221A44C1" w:rsidR="001A4673" w:rsidRDefault="001A4673" w:rsidP="001A4673">
            <w:pPr>
              <w:pStyle w:val="Tablecopy"/>
            </w:pPr>
            <w:r w:rsidRPr="00AA2BBE">
              <w:t xml:space="preserve">UK </w:t>
            </w:r>
          </w:p>
        </w:tc>
        <w:tc>
          <w:tcPr>
            <w:tcW w:w="4732" w:type="dxa"/>
          </w:tcPr>
          <w:p w14:paraId="48341F7B" w14:textId="034AB0BF" w:rsidR="001A4673" w:rsidRDefault="001A4673" w:rsidP="001A4673">
            <w:pPr>
              <w:pStyle w:val="Tablecopy"/>
              <w:cnfStyle w:val="000000100000" w:firstRow="0" w:lastRow="0" w:firstColumn="0" w:lastColumn="0" w:oddVBand="0" w:evenVBand="0" w:oddHBand="1" w:evenHBand="0" w:firstRowFirstColumn="0" w:firstRowLastColumn="0" w:lastRowFirstColumn="0" w:lastRowLastColumn="0"/>
            </w:pPr>
            <w:r w:rsidRPr="00AA2BBE">
              <w:t>4,675</w:t>
            </w:r>
          </w:p>
        </w:tc>
      </w:tr>
      <w:tr w:rsidR="001A4673" w14:paraId="6167A124"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65E0D227" w14:textId="263A7ED5" w:rsidR="001A4673" w:rsidRDefault="00B46A0B" w:rsidP="001A4673">
            <w:pPr>
              <w:pStyle w:val="Tablecopy"/>
            </w:pPr>
            <w:r>
              <w:rPr>
                <w:rStyle w:val="FootnoteReference"/>
              </w:rPr>
              <w:footnoteReference w:id="19"/>
            </w:r>
            <w:r w:rsidR="001A4673" w:rsidRPr="00AA2BBE">
              <w:t xml:space="preserve">Hong Kong (SAR of China) </w:t>
            </w:r>
          </w:p>
        </w:tc>
        <w:tc>
          <w:tcPr>
            <w:tcW w:w="4732" w:type="dxa"/>
          </w:tcPr>
          <w:p w14:paraId="7CEB13E8" w14:textId="636B3A52" w:rsidR="001A4673" w:rsidRPr="008E02F2" w:rsidRDefault="001A4673" w:rsidP="001A4673">
            <w:pPr>
              <w:pStyle w:val="Tablecopy"/>
              <w:cnfStyle w:val="000000000000" w:firstRow="0" w:lastRow="0" w:firstColumn="0" w:lastColumn="0" w:oddVBand="0" w:evenVBand="0" w:oddHBand="0" w:evenHBand="0" w:firstRowFirstColumn="0" w:firstRowLastColumn="0" w:lastRowFirstColumn="0" w:lastRowLastColumn="0"/>
            </w:pPr>
            <w:r w:rsidRPr="00AA2BBE">
              <w:t>4,448</w:t>
            </w:r>
          </w:p>
        </w:tc>
      </w:tr>
      <w:tr w:rsidR="001A4673" w14:paraId="0983A2EF"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5F9DD7A4" w14:textId="7BDCF8D0" w:rsidR="001A4673" w:rsidRDefault="001A4673" w:rsidP="001A4673">
            <w:pPr>
              <w:pStyle w:val="Tablecopy"/>
            </w:pPr>
            <w:r w:rsidRPr="00AA2BBE">
              <w:t xml:space="preserve">Papua New Guinea </w:t>
            </w:r>
          </w:p>
        </w:tc>
        <w:tc>
          <w:tcPr>
            <w:tcW w:w="4732" w:type="dxa"/>
          </w:tcPr>
          <w:p w14:paraId="45668831" w14:textId="23A938B4" w:rsidR="001A4673" w:rsidRPr="008E02F2" w:rsidRDefault="001A4673" w:rsidP="001A4673">
            <w:pPr>
              <w:pStyle w:val="Tablecopy"/>
              <w:cnfStyle w:val="000000100000" w:firstRow="0" w:lastRow="0" w:firstColumn="0" w:lastColumn="0" w:oddVBand="0" w:evenVBand="0" w:oddHBand="1" w:evenHBand="0" w:firstRowFirstColumn="0" w:firstRowLastColumn="0" w:lastRowFirstColumn="0" w:lastRowLastColumn="0"/>
            </w:pPr>
            <w:r w:rsidRPr="00AA2BBE">
              <w:t>3,615</w:t>
            </w:r>
          </w:p>
        </w:tc>
      </w:tr>
      <w:tr w:rsidR="001A4673" w14:paraId="40EA34F2"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1A0E6A37" w14:textId="589DD5E5" w:rsidR="001A4673" w:rsidRDefault="001A4673" w:rsidP="001A4673">
            <w:pPr>
              <w:pStyle w:val="Tablecopy"/>
            </w:pPr>
            <w:r w:rsidRPr="00AA2BBE">
              <w:t xml:space="preserve">Malaysia </w:t>
            </w:r>
          </w:p>
        </w:tc>
        <w:tc>
          <w:tcPr>
            <w:tcW w:w="4732" w:type="dxa"/>
          </w:tcPr>
          <w:p w14:paraId="360D8D15" w14:textId="2DF124DD" w:rsidR="001A4673" w:rsidRPr="008E02F2" w:rsidRDefault="001A4673" w:rsidP="001A4673">
            <w:pPr>
              <w:pStyle w:val="Tablecopy"/>
              <w:cnfStyle w:val="000000000000" w:firstRow="0" w:lastRow="0" w:firstColumn="0" w:lastColumn="0" w:oddVBand="0" w:evenVBand="0" w:oddHBand="0" w:evenHBand="0" w:firstRowFirstColumn="0" w:firstRowLastColumn="0" w:lastRowFirstColumn="0" w:lastRowLastColumn="0"/>
            </w:pPr>
            <w:r w:rsidRPr="00AA2BBE">
              <w:t>3,165</w:t>
            </w:r>
          </w:p>
        </w:tc>
      </w:tr>
      <w:tr w:rsidR="001A4673" w14:paraId="26C35C9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3FE0B57" w14:textId="17DE6294" w:rsidR="001A4673" w:rsidRDefault="001A4673" w:rsidP="001A4673">
            <w:pPr>
              <w:pStyle w:val="Tablecopy"/>
            </w:pPr>
            <w:r w:rsidRPr="00AA2BBE">
              <w:t xml:space="preserve">Japan </w:t>
            </w:r>
          </w:p>
        </w:tc>
        <w:tc>
          <w:tcPr>
            <w:tcW w:w="4732" w:type="dxa"/>
          </w:tcPr>
          <w:p w14:paraId="74060A3B" w14:textId="171FF31A" w:rsidR="001A4673" w:rsidRPr="008E02F2" w:rsidRDefault="001A4673" w:rsidP="001A4673">
            <w:pPr>
              <w:pStyle w:val="Tablecopy"/>
              <w:cnfStyle w:val="000000100000" w:firstRow="0" w:lastRow="0" w:firstColumn="0" w:lastColumn="0" w:oddVBand="0" w:evenVBand="0" w:oddHBand="1" w:evenHBand="0" w:firstRowFirstColumn="0" w:firstRowLastColumn="0" w:lastRowFirstColumn="0" w:lastRowLastColumn="0"/>
            </w:pPr>
            <w:r w:rsidRPr="00AA2BBE">
              <w:t>3,020</w:t>
            </w:r>
          </w:p>
        </w:tc>
      </w:tr>
      <w:tr w:rsidR="001A4673" w14:paraId="22FBCF01" w14:textId="77777777" w:rsidTr="00901636">
        <w:tc>
          <w:tcPr>
            <w:cnfStyle w:val="000010000000" w:firstRow="0" w:lastRow="0" w:firstColumn="0" w:lastColumn="0" w:oddVBand="1" w:evenVBand="0" w:oddHBand="0" w:evenHBand="0" w:firstRowFirstColumn="0" w:firstRowLastColumn="0" w:lastRowFirstColumn="0" w:lastRowLastColumn="0"/>
            <w:tcW w:w="4732" w:type="dxa"/>
          </w:tcPr>
          <w:p w14:paraId="2FC2E624" w14:textId="2040D831" w:rsidR="001A4673" w:rsidRDefault="001A4673" w:rsidP="001A4673">
            <w:pPr>
              <w:pStyle w:val="Tablecopy"/>
            </w:pPr>
            <w:r w:rsidRPr="00AA2BBE">
              <w:t xml:space="preserve">Thailand </w:t>
            </w:r>
          </w:p>
        </w:tc>
        <w:tc>
          <w:tcPr>
            <w:tcW w:w="4732" w:type="dxa"/>
          </w:tcPr>
          <w:p w14:paraId="6303C725" w14:textId="63612121" w:rsidR="001A4673" w:rsidRPr="008E02F2" w:rsidRDefault="001A4673" w:rsidP="001A4673">
            <w:pPr>
              <w:pStyle w:val="Tablecopy"/>
              <w:cnfStyle w:val="000000000000" w:firstRow="0" w:lastRow="0" w:firstColumn="0" w:lastColumn="0" w:oddVBand="0" w:evenVBand="0" w:oddHBand="0" w:evenHBand="0" w:firstRowFirstColumn="0" w:firstRowLastColumn="0" w:lastRowFirstColumn="0" w:lastRowLastColumn="0"/>
            </w:pPr>
            <w:r w:rsidRPr="00AA2BBE">
              <w:t>2,620</w:t>
            </w:r>
          </w:p>
        </w:tc>
      </w:tr>
    </w:tbl>
    <w:p w14:paraId="6FC7D365" w14:textId="77777777" w:rsidR="007B33D4" w:rsidRDefault="007B33D4" w:rsidP="00E554A3">
      <w:pPr>
        <w:pStyle w:val="FootnoteText"/>
        <w:rPr>
          <w:b/>
          <w:bCs/>
        </w:rPr>
      </w:pPr>
    </w:p>
    <w:p w14:paraId="41E04C5F" w14:textId="0044F06A" w:rsidR="00E554A3" w:rsidRDefault="00E554A3" w:rsidP="00E554A3">
      <w:pPr>
        <w:pStyle w:val="FootnoteText"/>
      </w:pPr>
      <w:r w:rsidRPr="00E554A3">
        <w:rPr>
          <w:b/>
          <w:bCs/>
        </w:rPr>
        <w:t>Note</w:t>
      </w:r>
      <w:r w:rsidRPr="00E554A3">
        <w:t>. This information uses Australian Border Force data and represents merchandise exporters only.</w:t>
      </w:r>
    </w:p>
    <w:p w14:paraId="54DEB9D8" w14:textId="77777777" w:rsidR="00E554A3" w:rsidRPr="00E554A3" w:rsidRDefault="00E554A3" w:rsidP="00E554A3">
      <w:pPr>
        <w:pStyle w:val="FootnoteText"/>
      </w:pPr>
    </w:p>
    <w:p w14:paraId="7F8C6B6E" w14:textId="77777777" w:rsidR="009D19C9" w:rsidRDefault="00E554A3" w:rsidP="00E554A3">
      <w:pPr>
        <w:pStyle w:val="Caption"/>
      </w:pPr>
      <w:r w:rsidRPr="00E554A3">
        <w:rPr>
          <w:b/>
          <w:bCs/>
        </w:rPr>
        <w:t>Source</w:t>
      </w:r>
      <w:r>
        <w:t xml:space="preserve">: Australian Border Force (2022); Austrade Economics </w:t>
      </w:r>
    </w:p>
    <w:p w14:paraId="4902649B" w14:textId="77777777" w:rsidR="009D19C9" w:rsidRDefault="009D19C9">
      <w:pPr>
        <w:spacing w:before="0" w:after="120" w:line="252" w:lineRule="auto"/>
        <w:rPr>
          <w:i/>
          <w:iCs/>
          <w:color w:val="2E1A47" w:themeColor="text2"/>
          <w:sz w:val="18"/>
          <w:szCs w:val="18"/>
        </w:rPr>
      </w:pPr>
      <w:r>
        <w:br w:type="page"/>
      </w:r>
    </w:p>
    <w:p w14:paraId="7BDA5BB5" w14:textId="77777777" w:rsidR="009D19C9" w:rsidRDefault="009D19C9" w:rsidP="009D19C9">
      <w:pPr>
        <w:pStyle w:val="Heading1"/>
      </w:pPr>
      <w:r>
        <w:lastRenderedPageBreak/>
        <w:t>Chapter 2</w:t>
      </w:r>
      <w:r>
        <w:br/>
        <w:t>Firm Survival Through Global Economic Shocks</w:t>
      </w:r>
    </w:p>
    <w:p w14:paraId="02FD20F3" w14:textId="77777777" w:rsidR="009D19C9" w:rsidRDefault="009D19C9" w:rsidP="009D19C9">
      <w:pPr>
        <w:pStyle w:val="Heading2"/>
      </w:pPr>
      <w:r w:rsidRPr="009D19C9">
        <w:t xml:space="preserve">Global economic shocks caused major disruptions to exporting activities </w:t>
      </w:r>
    </w:p>
    <w:p w14:paraId="43E5B6DC" w14:textId="77777777" w:rsidR="009D19C9" w:rsidRDefault="009D19C9" w:rsidP="009D19C9">
      <w:r>
        <w:t>The COVID-19 pandemic severely disrupted exporting activities. The value of goods and services exports declined at the start of the COVID-19 pandemic but have since rebounded in response to high commodity prices.</w:t>
      </w:r>
    </w:p>
    <w:p w14:paraId="5EA4F2AF" w14:textId="77777777" w:rsidR="009D19C9" w:rsidRDefault="009D19C9" w:rsidP="009D19C9">
      <w:r>
        <w:t>Some exporters fared better than others - services exports decreased by $29.5 billion in 2020-21 from the year before, driven by a rapid fall in tourism and education services exports.</w:t>
      </w:r>
    </w:p>
    <w:p w14:paraId="78FF0F78" w14:textId="77777777" w:rsidR="00113D62" w:rsidRDefault="009D19C9" w:rsidP="009D19C9">
      <w:r>
        <w:t>A number of energy and agribusiness exporters benefitted from high commodity prices, leading to a $14.0 billion increase in merchandise exports in 2020-21 from the year prior. Since then merchandise exports have recovered even further through 2021-22 increasing by $136.5 billion to reach $532.7 billion in 2021-22. It will likely take longer for services export figures to recover to pre-pandemic levels.</w:t>
      </w:r>
    </w:p>
    <w:p w14:paraId="6C015E02" w14:textId="654E8313" w:rsidR="00113D62" w:rsidRDefault="00113D62" w:rsidP="00113D62">
      <w:pPr>
        <w:pStyle w:val="Heading3"/>
        <w:rPr>
          <w:rFonts w:ascii="Segoe UI" w:hAnsi="Segoe UI" w:cs="Segoe UI"/>
          <w:color w:val="000000"/>
          <w:sz w:val="21"/>
          <w:szCs w:val="21"/>
        </w:rPr>
      </w:pPr>
      <w:r>
        <w:t>Figure</w:t>
      </w:r>
      <w:r>
        <w:rPr>
          <w:spacing w:val="8"/>
        </w:rPr>
        <w:t xml:space="preserve"> </w:t>
      </w:r>
      <w:r>
        <w:rPr>
          <w:spacing w:val="-5"/>
        </w:rPr>
        <w:t>16.</w:t>
      </w:r>
      <w:r w:rsidRPr="00113D62">
        <w:t xml:space="preserve"> </w:t>
      </w:r>
      <w:r w:rsidRPr="00113D62">
        <w:rPr>
          <w:spacing w:val="-5"/>
        </w:rPr>
        <w:t xml:space="preserve">Changes in Australian goods and services </w:t>
      </w:r>
      <w:r w:rsidRPr="00CA767B">
        <w:t>exports A$ billion</w:t>
      </w:r>
    </w:p>
    <w:tbl>
      <w:tblPr>
        <w:tblStyle w:val="ListTable3-Accent1"/>
        <w:tblW w:w="0" w:type="auto"/>
        <w:tblLook w:val="0020" w:firstRow="1" w:lastRow="0" w:firstColumn="0" w:lastColumn="0" w:noHBand="0" w:noVBand="0"/>
      </w:tblPr>
      <w:tblGrid>
        <w:gridCol w:w="1986"/>
        <w:gridCol w:w="1987"/>
        <w:gridCol w:w="1987"/>
        <w:gridCol w:w="1681"/>
        <w:gridCol w:w="1987"/>
      </w:tblGrid>
      <w:tr w:rsidR="00291828" w:rsidRPr="00823B47" w14:paraId="34C9F422"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6" w:type="dxa"/>
          </w:tcPr>
          <w:p w14:paraId="04A76404" w14:textId="32EBBC7B" w:rsidR="00291828" w:rsidRPr="00823B47" w:rsidRDefault="00EC715A" w:rsidP="00901636">
            <w:pPr>
              <w:pStyle w:val="Tableheadermain"/>
              <w:rPr>
                <w:b/>
                <w:bCs/>
              </w:rPr>
            </w:pPr>
            <w:r w:rsidRPr="00EC715A">
              <w:rPr>
                <w:b/>
                <w:bCs/>
              </w:rPr>
              <w:t>Export type</w:t>
            </w:r>
          </w:p>
        </w:tc>
        <w:tc>
          <w:tcPr>
            <w:tcW w:w="1987" w:type="dxa"/>
          </w:tcPr>
          <w:p w14:paraId="24B48FB3" w14:textId="64389965" w:rsidR="00291828" w:rsidRPr="00823B47" w:rsidRDefault="0095604D"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95604D">
              <w:rPr>
                <w:b/>
                <w:bCs/>
              </w:rPr>
              <w:t>2019-20</w:t>
            </w:r>
          </w:p>
        </w:tc>
        <w:tc>
          <w:tcPr>
            <w:cnfStyle w:val="000010000000" w:firstRow="0" w:lastRow="0" w:firstColumn="0" w:lastColumn="0" w:oddVBand="1" w:evenVBand="0" w:oddHBand="0" w:evenHBand="0" w:firstRowFirstColumn="0" w:firstRowLastColumn="0" w:lastRowFirstColumn="0" w:lastRowLastColumn="0"/>
            <w:tcW w:w="1987" w:type="dxa"/>
          </w:tcPr>
          <w:p w14:paraId="3DF979E1" w14:textId="090C8B93" w:rsidR="00291828" w:rsidRPr="00823B47" w:rsidRDefault="0095604D" w:rsidP="00901636">
            <w:pPr>
              <w:pStyle w:val="Tableheadermain"/>
              <w:rPr>
                <w:b/>
                <w:bCs/>
              </w:rPr>
            </w:pPr>
            <w:r w:rsidRPr="0095604D">
              <w:rPr>
                <w:b/>
                <w:bCs/>
              </w:rPr>
              <w:t>2020-21</w:t>
            </w:r>
          </w:p>
        </w:tc>
        <w:tc>
          <w:tcPr>
            <w:tcW w:w="1681" w:type="dxa"/>
          </w:tcPr>
          <w:p w14:paraId="26C57AE4" w14:textId="029A6227" w:rsidR="00291828" w:rsidRPr="002A484D" w:rsidRDefault="00350CBF"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350CBF">
              <w:rPr>
                <w:b/>
                <w:bCs/>
              </w:rPr>
              <w:t xml:space="preserve">19-20 to </w:t>
            </w:r>
            <w:r>
              <w:rPr>
                <w:b/>
                <w:bCs/>
              </w:rPr>
              <w:br/>
            </w:r>
            <w:r w:rsidRPr="00350CBF">
              <w:rPr>
                <w:b/>
                <w:bCs/>
              </w:rPr>
              <w:t>20-21 change</w:t>
            </w:r>
          </w:p>
        </w:tc>
        <w:tc>
          <w:tcPr>
            <w:cnfStyle w:val="000010000000" w:firstRow="0" w:lastRow="0" w:firstColumn="0" w:lastColumn="0" w:oddVBand="1" w:evenVBand="0" w:oddHBand="0" w:evenHBand="0" w:firstRowFirstColumn="0" w:firstRowLastColumn="0" w:lastRowFirstColumn="0" w:lastRowLastColumn="0"/>
            <w:tcW w:w="1987" w:type="dxa"/>
          </w:tcPr>
          <w:p w14:paraId="0108419E" w14:textId="2CCA9128" w:rsidR="00291828" w:rsidRPr="00823B47" w:rsidRDefault="00350CBF" w:rsidP="00901636">
            <w:pPr>
              <w:pStyle w:val="Tableheadermain"/>
              <w:rPr>
                <w:b/>
                <w:bCs/>
              </w:rPr>
            </w:pPr>
            <w:r w:rsidRPr="00350CBF">
              <w:rPr>
                <w:b/>
                <w:bCs/>
              </w:rPr>
              <w:t>Change %</w:t>
            </w:r>
          </w:p>
        </w:tc>
      </w:tr>
      <w:tr w:rsidR="00291828" w14:paraId="11C08A49"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6" w:type="dxa"/>
          </w:tcPr>
          <w:p w14:paraId="42A79CDC" w14:textId="518EF4E9" w:rsidR="00291828" w:rsidRPr="00206933" w:rsidRDefault="000C5156" w:rsidP="00901636">
            <w:pPr>
              <w:pStyle w:val="Tablecopy"/>
            </w:pPr>
            <w:r w:rsidRPr="000C5156">
              <w:t>Goods &amp; services</w:t>
            </w:r>
          </w:p>
        </w:tc>
        <w:tc>
          <w:tcPr>
            <w:tcW w:w="1987" w:type="dxa"/>
          </w:tcPr>
          <w:p w14:paraId="33398777" w14:textId="2C1D0195" w:rsidR="00291828" w:rsidRDefault="0052359B" w:rsidP="00901636">
            <w:pPr>
              <w:pStyle w:val="Tablecopy"/>
              <w:cnfStyle w:val="000000100000" w:firstRow="0" w:lastRow="0" w:firstColumn="0" w:lastColumn="0" w:oddVBand="0" w:evenVBand="0" w:oddHBand="1" w:evenHBand="0" w:firstRowFirstColumn="0" w:firstRowLastColumn="0" w:lastRowFirstColumn="0" w:lastRowLastColumn="0"/>
            </w:pPr>
            <w:r w:rsidRPr="0052359B">
              <w:t>474.2</w:t>
            </w:r>
          </w:p>
        </w:tc>
        <w:tc>
          <w:tcPr>
            <w:cnfStyle w:val="000010000000" w:firstRow="0" w:lastRow="0" w:firstColumn="0" w:lastColumn="0" w:oddVBand="1" w:evenVBand="0" w:oddHBand="0" w:evenHBand="0" w:firstRowFirstColumn="0" w:firstRowLastColumn="0" w:lastRowFirstColumn="0" w:lastRowLastColumn="0"/>
            <w:tcW w:w="1987" w:type="dxa"/>
          </w:tcPr>
          <w:p w14:paraId="410EB2CD" w14:textId="3CEAD6A3" w:rsidR="00291828" w:rsidRDefault="00AF51A3" w:rsidP="00901636">
            <w:pPr>
              <w:pStyle w:val="Tablecopy"/>
            </w:pPr>
            <w:r w:rsidRPr="00AF51A3">
              <w:t>458.8</w:t>
            </w:r>
          </w:p>
        </w:tc>
        <w:tc>
          <w:tcPr>
            <w:tcW w:w="1681" w:type="dxa"/>
          </w:tcPr>
          <w:p w14:paraId="6BEE42C1" w14:textId="4BE1528F" w:rsidR="00291828" w:rsidRDefault="008F23A1" w:rsidP="00901636">
            <w:pPr>
              <w:pStyle w:val="Tablecopy"/>
              <w:cnfStyle w:val="000000100000" w:firstRow="0" w:lastRow="0" w:firstColumn="0" w:lastColumn="0" w:oddVBand="0" w:evenVBand="0" w:oddHBand="1" w:evenHBand="0" w:firstRowFirstColumn="0" w:firstRowLastColumn="0" w:lastRowFirstColumn="0" w:lastRowLastColumn="0"/>
            </w:pPr>
            <w:r w:rsidRPr="008F23A1">
              <w:t>-15.4</w:t>
            </w:r>
          </w:p>
        </w:tc>
        <w:tc>
          <w:tcPr>
            <w:cnfStyle w:val="000010000000" w:firstRow="0" w:lastRow="0" w:firstColumn="0" w:lastColumn="0" w:oddVBand="1" w:evenVBand="0" w:oddHBand="0" w:evenHBand="0" w:firstRowFirstColumn="0" w:firstRowLastColumn="0" w:lastRowFirstColumn="0" w:lastRowLastColumn="0"/>
            <w:tcW w:w="1987" w:type="dxa"/>
          </w:tcPr>
          <w:p w14:paraId="2E83CF9D" w14:textId="136B1BF0" w:rsidR="00291828" w:rsidRDefault="00D87928" w:rsidP="00901636">
            <w:pPr>
              <w:pStyle w:val="Tablecopy"/>
            </w:pPr>
            <w:r w:rsidRPr="00D87928">
              <w:t>-3%</w:t>
            </w:r>
          </w:p>
        </w:tc>
      </w:tr>
      <w:tr w:rsidR="00291828" w14:paraId="28C7655A" w14:textId="77777777" w:rsidTr="00901636">
        <w:tc>
          <w:tcPr>
            <w:cnfStyle w:val="000010000000" w:firstRow="0" w:lastRow="0" w:firstColumn="0" w:lastColumn="0" w:oddVBand="1" w:evenVBand="0" w:oddHBand="0" w:evenHBand="0" w:firstRowFirstColumn="0" w:firstRowLastColumn="0" w:lastRowFirstColumn="0" w:lastRowLastColumn="0"/>
            <w:tcW w:w="1986" w:type="dxa"/>
          </w:tcPr>
          <w:p w14:paraId="2285DA9A" w14:textId="10F44DB4" w:rsidR="00291828" w:rsidRDefault="0052359B" w:rsidP="00901636">
            <w:pPr>
              <w:pStyle w:val="Tablecopy"/>
            </w:pPr>
            <w:r w:rsidRPr="0052359B">
              <w:t>Goods</w:t>
            </w:r>
          </w:p>
        </w:tc>
        <w:tc>
          <w:tcPr>
            <w:tcW w:w="1987" w:type="dxa"/>
          </w:tcPr>
          <w:p w14:paraId="042015BF" w14:textId="433B0642" w:rsidR="00291828" w:rsidRDefault="00AF51A3" w:rsidP="00901636">
            <w:pPr>
              <w:pStyle w:val="Tablecopy"/>
              <w:cnfStyle w:val="000000000000" w:firstRow="0" w:lastRow="0" w:firstColumn="0" w:lastColumn="0" w:oddVBand="0" w:evenVBand="0" w:oddHBand="0" w:evenHBand="0" w:firstRowFirstColumn="0" w:firstRowLastColumn="0" w:lastRowFirstColumn="0" w:lastRowLastColumn="0"/>
            </w:pPr>
            <w:r w:rsidRPr="00AF51A3">
              <w:t>382.2</w:t>
            </w:r>
          </w:p>
        </w:tc>
        <w:tc>
          <w:tcPr>
            <w:cnfStyle w:val="000010000000" w:firstRow="0" w:lastRow="0" w:firstColumn="0" w:lastColumn="0" w:oddVBand="1" w:evenVBand="0" w:oddHBand="0" w:evenHBand="0" w:firstRowFirstColumn="0" w:firstRowLastColumn="0" w:lastRowFirstColumn="0" w:lastRowLastColumn="0"/>
            <w:tcW w:w="1987" w:type="dxa"/>
          </w:tcPr>
          <w:p w14:paraId="5DEF0505" w14:textId="3301489C" w:rsidR="00291828" w:rsidRDefault="00AF51A3" w:rsidP="00901636">
            <w:pPr>
              <w:pStyle w:val="Tablecopy"/>
            </w:pPr>
            <w:r w:rsidRPr="00AF51A3">
              <w:t>396.2</w:t>
            </w:r>
          </w:p>
        </w:tc>
        <w:tc>
          <w:tcPr>
            <w:tcW w:w="1681" w:type="dxa"/>
          </w:tcPr>
          <w:p w14:paraId="35A07958" w14:textId="4CCCD3F8" w:rsidR="00291828" w:rsidRDefault="00D87928" w:rsidP="00901636">
            <w:pPr>
              <w:pStyle w:val="Tablecopy"/>
              <w:cnfStyle w:val="000000000000" w:firstRow="0" w:lastRow="0" w:firstColumn="0" w:lastColumn="0" w:oddVBand="0" w:evenVBand="0" w:oddHBand="0" w:evenHBand="0" w:firstRowFirstColumn="0" w:firstRowLastColumn="0" w:lastRowFirstColumn="0" w:lastRowLastColumn="0"/>
            </w:pPr>
            <w:r w:rsidRPr="00D87928">
              <w:t>14</w:t>
            </w:r>
          </w:p>
        </w:tc>
        <w:tc>
          <w:tcPr>
            <w:cnfStyle w:val="000010000000" w:firstRow="0" w:lastRow="0" w:firstColumn="0" w:lastColumn="0" w:oddVBand="1" w:evenVBand="0" w:oddHBand="0" w:evenHBand="0" w:firstRowFirstColumn="0" w:firstRowLastColumn="0" w:lastRowFirstColumn="0" w:lastRowLastColumn="0"/>
            <w:tcW w:w="1987" w:type="dxa"/>
          </w:tcPr>
          <w:p w14:paraId="685BE75A" w14:textId="7EFA10FE" w:rsidR="00291828" w:rsidRDefault="00837D86" w:rsidP="00901636">
            <w:pPr>
              <w:pStyle w:val="Tablecopy"/>
            </w:pPr>
            <w:r w:rsidRPr="00837D86">
              <w:t>4%</w:t>
            </w:r>
          </w:p>
        </w:tc>
      </w:tr>
      <w:tr w:rsidR="00291828" w14:paraId="72005C3C"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6" w:type="dxa"/>
          </w:tcPr>
          <w:p w14:paraId="0487F8A1" w14:textId="71FA9A5C" w:rsidR="00291828" w:rsidRDefault="0052359B" w:rsidP="00901636">
            <w:pPr>
              <w:pStyle w:val="Tablecopy"/>
            </w:pPr>
            <w:r w:rsidRPr="0052359B">
              <w:t>Services</w:t>
            </w:r>
          </w:p>
        </w:tc>
        <w:tc>
          <w:tcPr>
            <w:tcW w:w="1987" w:type="dxa"/>
          </w:tcPr>
          <w:p w14:paraId="6F59DE2D" w14:textId="27114916" w:rsidR="00291828" w:rsidRDefault="00AF51A3" w:rsidP="00901636">
            <w:pPr>
              <w:pStyle w:val="Tablecopy"/>
              <w:cnfStyle w:val="000000100000" w:firstRow="0" w:lastRow="0" w:firstColumn="0" w:lastColumn="0" w:oddVBand="0" w:evenVBand="0" w:oddHBand="1" w:evenHBand="0" w:firstRowFirstColumn="0" w:firstRowLastColumn="0" w:lastRowFirstColumn="0" w:lastRowLastColumn="0"/>
            </w:pPr>
            <w:r w:rsidRPr="00AF51A3">
              <w:t>92</w:t>
            </w:r>
          </w:p>
        </w:tc>
        <w:tc>
          <w:tcPr>
            <w:cnfStyle w:val="000010000000" w:firstRow="0" w:lastRow="0" w:firstColumn="0" w:lastColumn="0" w:oddVBand="1" w:evenVBand="0" w:oddHBand="0" w:evenHBand="0" w:firstRowFirstColumn="0" w:firstRowLastColumn="0" w:lastRowFirstColumn="0" w:lastRowLastColumn="0"/>
            <w:tcW w:w="1987" w:type="dxa"/>
          </w:tcPr>
          <w:p w14:paraId="65AD4C32" w14:textId="719E15D5" w:rsidR="00291828" w:rsidRDefault="00975B4F" w:rsidP="00901636">
            <w:pPr>
              <w:pStyle w:val="Tablecopy"/>
            </w:pPr>
            <w:r w:rsidRPr="00975B4F">
              <w:t>62.5</w:t>
            </w:r>
          </w:p>
        </w:tc>
        <w:tc>
          <w:tcPr>
            <w:tcW w:w="1681" w:type="dxa"/>
          </w:tcPr>
          <w:p w14:paraId="44511113" w14:textId="2AE76A70" w:rsidR="00291828" w:rsidRDefault="00D87928" w:rsidP="00901636">
            <w:pPr>
              <w:pStyle w:val="Tablecopy"/>
              <w:cnfStyle w:val="000000100000" w:firstRow="0" w:lastRow="0" w:firstColumn="0" w:lastColumn="0" w:oddVBand="0" w:evenVBand="0" w:oddHBand="1" w:evenHBand="0" w:firstRowFirstColumn="0" w:firstRowLastColumn="0" w:lastRowFirstColumn="0" w:lastRowLastColumn="0"/>
            </w:pPr>
            <w:r w:rsidRPr="00D87928">
              <w:t>-29.5</w:t>
            </w:r>
          </w:p>
        </w:tc>
        <w:tc>
          <w:tcPr>
            <w:cnfStyle w:val="000010000000" w:firstRow="0" w:lastRow="0" w:firstColumn="0" w:lastColumn="0" w:oddVBand="1" w:evenVBand="0" w:oddHBand="0" w:evenHBand="0" w:firstRowFirstColumn="0" w:firstRowLastColumn="0" w:lastRowFirstColumn="0" w:lastRowLastColumn="0"/>
            <w:tcW w:w="1987" w:type="dxa"/>
          </w:tcPr>
          <w:p w14:paraId="7508E9DB" w14:textId="45FBECC0" w:rsidR="00291828" w:rsidRDefault="00837D86" w:rsidP="00901636">
            <w:pPr>
              <w:pStyle w:val="Tablecopy"/>
            </w:pPr>
            <w:r w:rsidRPr="00837D86">
              <w:t>-32%</w:t>
            </w:r>
          </w:p>
        </w:tc>
      </w:tr>
    </w:tbl>
    <w:p w14:paraId="10075728" w14:textId="77777777" w:rsidR="00291828" w:rsidRPr="00291828" w:rsidRDefault="00291828" w:rsidP="00291828"/>
    <w:p w14:paraId="5A5B5F7B" w14:textId="0C21140A" w:rsidR="00113D62" w:rsidRDefault="00113D62" w:rsidP="00113D62">
      <w:pPr>
        <w:pStyle w:val="Caption"/>
      </w:pPr>
      <w:r w:rsidRPr="00E554A3">
        <w:rPr>
          <w:b/>
          <w:bCs/>
        </w:rPr>
        <w:t>Source</w:t>
      </w:r>
      <w:r>
        <w:t xml:space="preserve">: </w:t>
      </w:r>
      <w:r w:rsidRPr="00113D62">
        <w:t>Australian Bureau of Statistics (2022) International Trade: Supplementary Information, Financial Year.</w:t>
      </w:r>
    </w:p>
    <w:p w14:paraId="058320F3" w14:textId="77777777" w:rsidR="007E632D" w:rsidRDefault="007E632D">
      <w:pPr>
        <w:spacing w:before="0" w:after="120" w:line="252" w:lineRule="auto"/>
        <w:rPr>
          <w:b/>
          <w:bCs/>
          <w:color w:val="2E1A47" w:themeColor="text2"/>
        </w:rPr>
      </w:pPr>
      <w:r>
        <w:br w:type="page"/>
      </w:r>
    </w:p>
    <w:p w14:paraId="7E6AE1EC" w14:textId="2A5477C2" w:rsidR="00113D62" w:rsidRPr="00113D62" w:rsidRDefault="00113D62" w:rsidP="00113D62">
      <w:pPr>
        <w:pStyle w:val="Heading3"/>
      </w:pPr>
      <w:r w:rsidRPr="00113D62">
        <w:lastRenderedPageBreak/>
        <w:t>What is firm survival?</w:t>
      </w:r>
    </w:p>
    <w:p w14:paraId="656A1EAE" w14:textId="1A4ACD3C" w:rsidR="00113D62" w:rsidRDefault="00113D62" w:rsidP="00113D62">
      <w:r>
        <w:t>Firm survival is defined as a firm staying in continued operation throughout a given period of time</w:t>
      </w:r>
      <w:r w:rsidR="000029DC">
        <w:t xml:space="preserve"> </w:t>
      </w:r>
      <w:r>
        <w:t>- in this case, between 2018-19 and 2020-21</w:t>
      </w:r>
      <w:r w:rsidR="000029DC">
        <w:t xml:space="preserve"> </w:t>
      </w:r>
      <w:r>
        <w:t>-</w:t>
      </w:r>
      <w:r w:rsidR="00CA767B">
        <w:t xml:space="preserve"> </w:t>
      </w:r>
      <w:r>
        <w:t>a particularly challenging time for all businesses.</w:t>
      </w:r>
    </w:p>
    <w:p w14:paraId="3327F478" w14:textId="42B025ED" w:rsidR="00113D62" w:rsidRDefault="00113D62" w:rsidP="00113D62">
      <w:r>
        <w:t>Exporting was associated with a higher probability of firm survival through the early years of the COVID-19 pandemic</w:t>
      </w:r>
      <w:r w:rsidR="00CA767B">
        <w:t>.</w:t>
      </w:r>
    </w:p>
    <w:p w14:paraId="1EDA71B8" w14:textId="77777777" w:rsidR="00113D62" w:rsidRDefault="00113D62" w:rsidP="00113D62">
      <w:r>
        <w:t>This section presents evidence on what could be considered the most important benefit of exporting – firm survival. Given exporting makes firms vulnerable to global economic risks, any benefit from exporting in terms of higher firm survival rates is noteworthy.</w:t>
      </w:r>
    </w:p>
    <w:p w14:paraId="3D495651" w14:textId="77777777" w:rsidR="00113D62" w:rsidRDefault="00113D62" w:rsidP="00113D62">
      <w:r>
        <w:t xml:space="preserve">We find that exporting is associated with a higher probability of firm survival. On average, between 2018-19 and 2020-21, an exporter was </w:t>
      </w:r>
      <w:r w:rsidRPr="00113D62">
        <w:rPr>
          <w:b/>
          <w:bCs/>
        </w:rPr>
        <w:t>9% more likely to have survived than a non-exporter</w:t>
      </w:r>
      <w:r>
        <w:t xml:space="preserve"> with similar characteristics.</w:t>
      </w:r>
      <w:r>
        <w:rPr>
          <w:rStyle w:val="FootnoteReference"/>
        </w:rPr>
        <w:footnoteReference w:id="20"/>
      </w:r>
      <w:r>
        <w:t xml:space="preserve"> Our findings on exporter firm survival corroborates existing research which found that exporters were associated with a higher survival rate compared to non-exporters, including in the Australian context.</w:t>
      </w:r>
      <w:r>
        <w:rPr>
          <w:rStyle w:val="FootnoteReference"/>
        </w:rPr>
        <w:footnoteReference w:id="21"/>
      </w:r>
      <w:r>
        <w:t xml:space="preserve"> This highlights the importance of programs that aim to assist exporters to continue with their international activities through economic shocks.</w:t>
      </w:r>
    </w:p>
    <w:p w14:paraId="41813D4A" w14:textId="77777777" w:rsidR="00113D62" w:rsidRDefault="00113D62" w:rsidP="00113D62">
      <w:pPr>
        <w:pStyle w:val="Heading2"/>
      </w:pPr>
      <w:r>
        <w:t>Case study</w:t>
      </w:r>
    </w:p>
    <w:p w14:paraId="16190DE3" w14:textId="77777777" w:rsidR="00113D62" w:rsidRDefault="00113D62" w:rsidP="00113D62">
      <w:pPr>
        <w:pStyle w:val="Heading3"/>
      </w:pPr>
      <w:r>
        <w:t>ResMed pivoted their operations and thrived through the COVID-19 pandemic</w:t>
      </w:r>
    </w:p>
    <w:p w14:paraId="5A367450" w14:textId="77777777" w:rsidR="00113D62" w:rsidRDefault="00113D62" w:rsidP="00113D62">
      <w:r w:rsidRPr="00113D62">
        <w:t>The COVID-19 pandemic forced many firms to think creatively and adapt to a unique set of challenges. Here’s how two innovative exporters did so, what they learnt and their advice for other firms.</w:t>
      </w:r>
    </w:p>
    <w:p w14:paraId="7618F966" w14:textId="77777777" w:rsidR="00113D62" w:rsidRDefault="00113D62" w:rsidP="00113D62">
      <w:r>
        <w:t>“Our advice to other firms is to find and follow your North Star” Brendan Mullins, VP Global Manufacturing and Engineering.</w:t>
      </w:r>
    </w:p>
    <w:p w14:paraId="3724C42D" w14:textId="77777777" w:rsidR="003B0327" w:rsidRDefault="003B0327" w:rsidP="003B0327">
      <w:r>
        <w:t>“ResMed may have pivoted its entire firm, but we did these things in service to our mainstay mission and priorities.” Brendan Mullins, VP Global Manufacturing and Engineering.</w:t>
      </w:r>
    </w:p>
    <w:p w14:paraId="1886D196" w14:textId="77777777" w:rsidR="003B0327" w:rsidRDefault="003B0327" w:rsidP="003B0327">
      <w:r>
        <w:t>Prior to the COVID-19 pandemic, ventilators made up less than 10% of Sydney based health manufacturer ResMed’s firm. But forecasting that COVID-19 would create unprecedented global demand for ventilators, they quickly pivoted their manufacturing operations to produce more of these devices.</w:t>
      </w:r>
    </w:p>
    <w:p w14:paraId="072315CD" w14:textId="77777777" w:rsidR="003B0327" w:rsidRDefault="003B0327" w:rsidP="003B0327">
      <w:r>
        <w:lastRenderedPageBreak/>
        <w:t>For ResMed, this success was achieved by reconfiguring teams to focus on the new priorities, including COVID-safe practices, and engaging with suppliers, customers and government in new and strategic ways – all while staying true to the company’s core purpose.</w:t>
      </w:r>
    </w:p>
    <w:p w14:paraId="195B4724" w14:textId="77777777" w:rsidR="003B0327" w:rsidRDefault="003B0327" w:rsidP="003B0327">
      <w:pPr>
        <w:pStyle w:val="Heading2"/>
      </w:pPr>
      <w:r>
        <w:t>Case study</w:t>
      </w:r>
    </w:p>
    <w:p w14:paraId="5DC4E474" w14:textId="77777777" w:rsidR="003B0327" w:rsidRDefault="003B0327" w:rsidP="003B0327">
      <w:pPr>
        <w:pStyle w:val="Heading3"/>
      </w:pPr>
      <w:r>
        <w:t>The power of partnerships helped Dutjahn Sandalwood Oils increase its exports by 44%</w:t>
      </w:r>
    </w:p>
    <w:p w14:paraId="657D0EB4" w14:textId="77777777" w:rsidR="003B0327" w:rsidRDefault="003B0327" w:rsidP="003B0327">
      <w:r w:rsidRPr="003B0327">
        <w:t>Born out of Aboriginal desert nomads’ cultural responsibility to safeguard the Australian sandalwood tree (Dutjahn) found deep in the Gibson Desert, Dutjahn Sandalwood Oils sources and supplies sandalwood oil.</w:t>
      </w:r>
    </w:p>
    <w:p w14:paraId="09AA040F" w14:textId="77777777" w:rsidR="003B0327" w:rsidRDefault="003B0327" w:rsidP="003B0327">
      <w:r>
        <w:t>“Nature-based solutions are one of our most important allies” Guy Vincent, Chief Executive Officer.</w:t>
      </w:r>
    </w:p>
    <w:p w14:paraId="5A6A5FCE" w14:textId="77777777" w:rsidR="003B0327" w:rsidRDefault="003B0327" w:rsidP="003B0327">
      <w:r>
        <w:t>“Business needs to be bold and understand that ethical business is good business.”</w:t>
      </w:r>
      <w:r w:rsidRPr="003B0327">
        <w:t xml:space="preserve"> </w:t>
      </w:r>
      <w:r>
        <w:t>Guy Vincent, Chief Executive Officer.</w:t>
      </w:r>
    </w:p>
    <w:p w14:paraId="3DEA500E" w14:textId="77777777" w:rsidR="003B0327" w:rsidRDefault="003B0327" w:rsidP="003B0327">
      <w:r>
        <w:t>When COVID-19 hit, the firm faced potential cash flow collapse, whilst the coronavirus posed great danger to WA’s isolated Indigenous desert communities. So Dutjahn shifted their focus.</w:t>
      </w:r>
    </w:p>
    <w:p w14:paraId="610E0A57" w14:textId="77777777" w:rsidR="003B0327" w:rsidRDefault="003B0327" w:rsidP="003B0327">
      <w:r>
        <w:t>Leveraging the power of partnerships, the firm signed an Australian-first deal with Givaudan, a global fragrances giant, and Melbourne skincare company Aesop to produce and distribute 250,000 sanitiser sachets, containing antimicrobial sandalwood oil, to Indigenous communities.</w:t>
      </w:r>
    </w:p>
    <w:p w14:paraId="72AFA2F7" w14:textId="77777777" w:rsidR="003B0327" w:rsidRDefault="003B0327" w:rsidP="003B0327">
      <w:r>
        <w:t xml:space="preserve">In doing so, Dutjahn increased its exports by 44% </w:t>
      </w:r>
      <w:r w:rsidRPr="003B0327">
        <w:t>in 2020-21</w:t>
      </w:r>
      <w:r>
        <w:t>, and increased net profits by 220%– an incredible achievement in such a difficult year.</w:t>
      </w:r>
    </w:p>
    <w:p w14:paraId="570BC521" w14:textId="77777777" w:rsidR="003B0327" w:rsidRDefault="003B0327" w:rsidP="00474788">
      <w:pPr>
        <w:pStyle w:val="Heading2"/>
      </w:pPr>
      <w:r w:rsidRPr="003B0327">
        <w:t>Characteristics of firms more likely to survive</w:t>
      </w:r>
    </w:p>
    <w:p w14:paraId="7996764D" w14:textId="77777777" w:rsidR="003B0327" w:rsidRDefault="003B0327" w:rsidP="003B0327">
      <w:r>
        <w:t>By sector, exporters and non-exporters that operated in the accommodation and food services industry had the lowest survival rate between 2018-19 and 2020-21. This might be attributable to the lost access to travel, tourism, and hospitality markets during the COVID-19 pandemic.</w:t>
      </w:r>
    </w:p>
    <w:p w14:paraId="1C4556B8" w14:textId="77777777" w:rsidR="003B0327" w:rsidRDefault="003B0327" w:rsidP="003B0327">
      <w:r>
        <w:t xml:space="preserve">This included border closures, lockdowns, and intermittent port closures, </w:t>
      </w:r>
      <w:r w:rsidRPr="003B0327">
        <w:t>making</w:t>
      </w:r>
      <w:r>
        <w:t xml:space="preserve"> it more difficult to service customers. Additionally, shipping and container supply constraints led to a sharp rise in shipping costs coupled with significant delivery delays and missed sailings.</w:t>
      </w:r>
    </w:p>
    <w:p w14:paraId="2B1C964E" w14:textId="77777777" w:rsidR="003B0327" w:rsidRDefault="003B0327" w:rsidP="003B0327">
      <w:r>
        <w:t>Despite this, relative to non-exporters, exporters in the accommodation and food services had a higher survival rate (+6.4 percentage points). The difference between exporters and non-exporters was also pronounced in the retail trade and manufacturing industries (+6.8% and +6.5% respectively).</w:t>
      </w:r>
    </w:p>
    <w:p w14:paraId="02BEF06D" w14:textId="77777777" w:rsidR="003B0327" w:rsidRDefault="003B0327">
      <w:pPr>
        <w:spacing w:before="0" w:after="120" w:line="252" w:lineRule="auto"/>
      </w:pPr>
      <w:r>
        <w:br w:type="page"/>
      </w:r>
    </w:p>
    <w:p w14:paraId="655B2064" w14:textId="22FF5FDB" w:rsidR="0001022F" w:rsidRPr="0001022F" w:rsidRDefault="003B0327" w:rsidP="0001022F">
      <w:pPr>
        <w:pStyle w:val="Heading3"/>
      </w:pPr>
      <w:r>
        <w:lastRenderedPageBreak/>
        <w:t>Figure 17. Difference between exporters and non-exporters survival rate by industry</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6B4963" w:rsidRPr="00823B47" w14:paraId="1FC05EA9"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15943CFC" w14:textId="77777777" w:rsidR="006B4963" w:rsidRPr="00823B47" w:rsidRDefault="006B4963" w:rsidP="00901636">
            <w:pPr>
              <w:pStyle w:val="Tableheadermain"/>
              <w:rPr>
                <w:b/>
                <w:bCs/>
              </w:rPr>
            </w:pPr>
            <w:r>
              <w:rPr>
                <w:b/>
                <w:bCs/>
              </w:rPr>
              <w:t>Industry</w:t>
            </w:r>
          </w:p>
        </w:tc>
        <w:tc>
          <w:tcPr>
            <w:tcW w:w="4732" w:type="dxa"/>
          </w:tcPr>
          <w:p w14:paraId="72F44322" w14:textId="4B8D410F" w:rsidR="006B4963" w:rsidRPr="005D6B41" w:rsidRDefault="00571FFE"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571FFE">
              <w:rPr>
                <w:b/>
                <w:bCs/>
              </w:rPr>
              <w:t>Difference between EX and NON (EX-NON)</w:t>
            </w:r>
          </w:p>
        </w:tc>
      </w:tr>
      <w:tr w:rsidR="009E34F4" w14:paraId="758AE898"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31FC3976" w14:textId="451CE7F7" w:rsidR="009E34F4" w:rsidRPr="00206933" w:rsidRDefault="009E34F4" w:rsidP="009E34F4">
            <w:pPr>
              <w:pStyle w:val="Tablecopy"/>
            </w:pPr>
            <w:r>
              <w:rPr>
                <w:rFonts w:ascii="Arial" w:hAnsi="Arial" w:cs="Arial"/>
                <w:color w:val="000000"/>
                <w:sz w:val="20"/>
              </w:rPr>
              <w:t>Agriculture, Forestry and Fishing  </w:t>
            </w:r>
          </w:p>
        </w:tc>
        <w:tc>
          <w:tcPr>
            <w:tcW w:w="4732" w:type="dxa"/>
            <w:vAlign w:val="bottom"/>
          </w:tcPr>
          <w:p w14:paraId="343522F5" w14:textId="6BA6AE25" w:rsidR="009E34F4"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2.71%</w:t>
            </w:r>
          </w:p>
        </w:tc>
      </w:tr>
      <w:tr w:rsidR="009E34F4" w14:paraId="76732BCF"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6D09F605" w14:textId="00FBC008" w:rsidR="009E34F4" w:rsidRDefault="009E34F4" w:rsidP="009E34F4">
            <w:pPr>
              <w:pStyle w:val="Tablecopy"/>
            </w:pPr>
            <w:r>
              <w:rPr>
                <w:rFonts w:ascii="Arial" w:hAnsi="Arial" w:cs="Arial"/>
                <w:color w:val="000000"/>
                <w:sz w:val="20"/>
              </w:rPr>
              <w:t>Mining  </w:t>
            </w:r>
          </w:p>
        </w:tc>
        <w:tc>
          <w:tcPr>
            <w:tcW w:w="4732" w:type="dxa"/>
            <w:vAlign w:val="bottom"/>
          </w:tcPr>
          <w:p w14:paraId="322FFFC0" w14:textId="7473B188" w:rsidR="009E34F4"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3.91%</w:t>
            </w:r>
          </w:p>
        </w:tc>
      </w:tr>
      <w:tr w:rsidR="009E34F4" w14:paraId="3E4F02A6"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3B6493D8" w14:textId="5502A974" w:rsidR="009E34F4" w:rsidRDefault="009E34F4" w:rsidP="009E34F4">
            <w:pPr>
              <w:pStyle w:val="Tablecopy"/>
            </w:pPr>
            <w:r>
              <w:rPr>
                <w:rFonts w:ascii="Arial" w:hAnsi="Arial" w:cs="Arial"/>
                <w:color w:val="000000"/>
                <w:sz w:val="20"/>
              </w:rPr>
              <w:t>Manufacturing  </w:t>
            </w:r>
          </w:p>
        </w:tc>
        <w:tc>
          <w:tcPr>
            <w:tcW w:w="4732" w:type="dxa"/>
            <w:vAlign w:val="bottom"/>
          </w:tcPr>
          <w:p w14:paraId="1C8891D3" w14:textId="156EA46C" w:rsidR="009E34F4"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6.46%</w:t>
            </w:r>
          </w:p>
        </w:tc>
      </w:tr>
      <w:tr w:rsidR="009E34F4" w14:paraId="343FB8C7"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78258094" w14:textId="622BA9F8" w:rsidR="009E34F4" w:rsidRDefault="009E34F4" w:rsidP="009E34F4">
            <w:pPr>
              <w:pStyle w:val="Tablecopy"/>
            </w:pPr>
            <w:r>
              <w:rPr>
                <w:rFonts w:ascii="Arial" w:hAnsi="Arial" w:cs="Arial"/>
                <w:color w:val="000000"/>
                <w:sz w:val="20"/>
              </w:rPr>
              <w:t>Electricity, Water and Waste Services  </w:t>
            </w:r>
          </w:p>
        </w:tc>
        <w:tc>
          <w:tcPr>
            <w:tcW w:w="4732" w:type="dxa"/>
            <w:vAlign w:val="bottom"/>
          </w:tcPr>
          <w:p w14:paraId="51C2ABA5" w14:textId="50A67A02" w:rsidR="009E34F4" w:rsidRPr="008E02F2" w:rsidRDefault="009E34F4" w:rsidP="009E34F4">
            <w:pPr>
              <w:pStyle w:val="Tablecopy"/>
              <w:cnfStyle w:val="000000000000" w:firstRow="0" w:lastRow="0" w:firstColumn="0" w:lastColumn="0" w:oddVBand="0" w:evenVBand="0" w:oddHBand="0" w:evenHBand="0" w:firstRowFirstColumn="0" w:firstRowLastColumn="0" w:lastRowFirstColumn="0" w:lastRowLastColumn="0"/>
              <w:rPr>
                <w:lang w:val="en-US"/>
              </w:rPr>
            </w:pPr>
            <w:r>
              <w:rPr>
                <w:rFonts w:ascii="Liberation Sans" w:hAnsi="Liberation Sans" w:cs="Calibri"/>
                <w:color w:val="000000"/>
                <w:sz w:val="20"/>
              </w:rPr>
              <w:t>3.15%</w:t>
            </w:r>
          </w:p>
        </w:tc>
      </w:tr>
      <w:tr w:rsidR="009E34F4" w14:paraId="61C909BA"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0BA069FC" w14:textId="40248ACD" w:rsidR="009E34F4" w:rsidRDefault="009E34F4" w:rsidP="009E34F4">
            <w:pPr>
              <w:pStyle w:val="Tablecopy"/>
            </w:pPr>
            <w:r>
              <w:rPr>
                <w:rFonts w:ascii="Arial" w:hAnsi="Arial" w:cs="Arial"/>
                <w:color w:val="000000"/>
                <w:sz w:val="20"/>
              </w:rPr>
              <w:t>Construction  </w:t>
            </w:r>
          </w:p>
        </w:tc>
        <w:tc>
          <w:tcPr>
            <w:tcW w:w="4732" w:type="dxa"/>
            <w:vAlign w:val="bottom"/>
          </w:tcPr>
          <w:p w14:paraId="240EAB29" w14:textId="1DA3701A" w:rsidR="009E34F4"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3.88%</w:t>
            </w:r>
          </w:p>
        </w:tc>
      </w:tr>
      <w:tr w:rsidR="009E34F4" w14:paraId="3FB20A49"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7887097F" w14:textId="54EDB00A" w:rsidR="009E34F4" w:rsidRDefault="009E34F4" w:rsidP="009E34F4">
            <w:pPr>
              <w:pStyle w:val="Tablecopy"/>
            </w:pPr>
            <w:r>
              <w:rPr>
                <w:rFonts w:ascii="Arial" w:hAnsi="Arial" w:cs="Arial"/>
                <w:color w:val="000000"/>
                <w:sz w:val="20"/>
              </w:rPr>
              <w:t>Wholesale Trade  </w:t>
            </w:r>
          </w:p>
        </w:tc>
        <w:tc>
          <w:tcPr>
            <w:tcW w:w="4732" w:type="dxa"/>
            <w:vAlign w:val="bottom"/>
          </w:tcPr>
          <w:p w14:paraId="6F8440AC" w14:textId="221052F7" w:rsidR="009E34F4" w:rsidRPr="008E02F2"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4.94%</w:t>
            </w:r>
          </w:p>
        </w:tc>
      </w:tr>
      <w:tr w:rsidR="009E34F4" w14:paraId="798650A8"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2C41597A" w14:textId="3D875A1B" w:rsidR="009E34F4" w:rsidRDefault="009E34F4" w:rsidP="009E34F4">
            <w:pPr>
              <w:pStyle w:val="Tablecopy"/>
            </w:pPr>
            <w:r>
              <w:rPr>
                <w:rFonts w:ascii="Arial" w:hAnsi="Arial" w:cs="Arial"/>
                <w:color w:val="000000"/>
                <w:sz w:val="20"/>
              </w:rPr>
              <w:t>Retail Trade  </w:t>
            </w:r>
          </w:p>
        </w:tc>
        <w:tc>
          <w:tcPr>
            <w:tcW w:w="4732" w:type="dxa"/>
            <w:vAlign w:val="bottom"/>
          </w:tcPr>
          <w:p w14:paraId="621277AF" w14:textId="674B8613" w:rsidR="009E34F4" w:rsidRPr="008E02F2"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6.83%</w:t>
            </w:r>
          </w:p>
        </w:tc>
      </w:tr>
      <w:tr w:rsidR="009E34F4" w14:paraId="1F5EF9C1"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30D1464D" w14:textId="0C989BEC" w:rsidR="009E34F4" w:rsidRDefault="009E34F4" w:rsidP="009E34F4">
            <w:pPr>
              <w:pStyle w:val="Tablecopy"/>
            </w:pPr>
            <w:r>
              <w:rPr>
                <w:rFonts w:ascii="Arial" w:hAnsi="Arial" w:cs="Arial"/>
                <w:color w:val="000000"/>
                <w:sz w:val="20"/>
              </w:rPr>
              <w:t>Accommodation and Food Services  </w:t>
            </w:r>
          </w:p>
        </w:tc>
        <w:tc>
          <w:tcPr>
            <w:tcW w:w="4732" w:type="dxa"/>
            <w:vAlign w:val="bottom"/>
          </w:tcPr>
          <w:p w14:paraId="6782C8D1" w14:textId="57637785" w:rsidR="009E34F4" w:rsidRPr="008E02F2"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6.41%</w:t>
            </w:r>
          </w:p>
        </w:tc>
      </w:tr>
      <w:tr w:rsidR="009E34F4" w14:paraId="4B27553B"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19A0364F" w14:textId="55A2659B" w:rsidR="009E34F4" w:rsidRDefault="009E34F4" w:rsidP="009E34F4">
            <w:pPr>
              <w:pStyle w:val="Tablecopy"/>
            </w:pPr>
            <w:r>
              <w:rPr>
                <w:rFonts w:ascii="Arial" w:hAnsi="Arial" w:cs="Arial"/>
                <w:color w:val="000000"/>
                <w:sz w:val="20"/>
              </w:rPr>
              <w:t>Transport, postal…</w:t>
            </w:r>
          </w:p>
        </w:tc>
        <w:tc>
          <w:tcPr>
            <w:tcW w:w="4732" w:type="dxa"/>
            <w:vAlign w:val="bottom"/>
          </w:tcPr>
          <w:p w14:paraId="32503C55" w14:textId="1DED0362" w:rsidR="009E34F4" w:rsidRPr="008E02F2"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5.00%</w:t>
            </w:r>
          </w:p>
        </w:tc>
      </w:tr>
      <w:tr w:rsidR="009E34F4" w14:paraId="3F1184B2"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3EFD95CB" w14:textId="5220BFFA" w:rsidR="009E34F4" w:rsidRDefault="009E34F4" w:rsidP="009E34F4">
            <w:pPr>
              <w:pStyle w:val="Tablecopy"/>
            </w:pPr>
            <w:r>
              <w:rPr>
                <w:rFonts w:ascii="Arial" w:hAnsi="Arial" w:cs="Arial"/>
                <w:color w:val="000000"/>
                <w:sz w:val="20"/>
              </w:rPr>
              <w:t>Information Media and Telecommunications  </w:t>
            </w:r>
          </w:p>
        </w:tc>
        <w:tc>
          <w:tcPr>
            <w:tcW w:w="4732" w:type="dxa"/>
            <w:vAlign w:val="bottom"/>
          </w:tcPr>
          <w:p w14:paraId="21687307" w14:textId="28A786D1" w:rsidR="009E34F4" w:rsidRPr="008E02F2"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3.37%</w:t>
            </w:r>
          </w:p>
        </w:tc>
      </w:tr>
      <w:tr w:rsidR="009E34F4" w14:paraId="64F5E23B"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08677602" w14:textId="4D71BD66" w:rsidR="009E34F4" w:rsidRPr="00597C6E" w:rsidRDefault="009E34F4" w:rsidP="009E34F4">
            <w:pPr>
              <w:pStyle w:val="Tablecopy"/>
            </w:pPr>
            <w:r>
              <w:rPr>
                <w:rFonts w:ascii="Arial" w:hAnsi="Arial" w:cs="Arial"/>
                <w:color w:val="000000"/>
                <w:sz w:val="20"/>
              </w:rPr>
              <w:t>Finance and Insurance Services  </w:t>
            </w:r>
          </w:p>
        </w:tc>
        <w:tc>
          <w:tcPr>
            <w:tcW w:w="4732" w:type="dxa"/>
            <w:vAlign w:val="bottom"/>
          </w:tcPr>
          <w:p w14:paraId="0426F0F0" w14:textId="3DEBCCF4" w:rsidR="009E34F4" w:rsidRPr="00597C6E"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3.39%</w:t>
            </w:r>
          </w:p>
        </w:tc>
      </w:tr>
      <w:tr w:rsidR="009E34F4" w14:paraId="1AEAE3D7"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4A7C4B45" w14:textId="1F7BDB42" w:rsidR="009E34F4" w:rsidRPr="00597C6E" w:rsidRDefault="009E34F4" w:rsidP="009E34F4">
            <w:pPr>
              <w:pStyle w:val="Tablecopy"/>
            </w:pPr>
            <w:r>
              <w:rPr>
                <w:rFonts w:ascii="Arial" w:hAnsi="Arial" w:cs="Arial"/>
                <w:color w:val="000000"/>
                <w:sz w:val="20"/>
              </w:rPr>
              <w:t>Rental, Hiring and Real Estate Services  </w:t>
            </w:r>
          </w:p>
        </w:tc>
        <w:tc>
          <w:tcPr>
            <w:tcW w:w="4732" w:type="dxa"/>
            <w:vAlign w:val="bottom"/>
          </w:tcPr>
          <w:p w14:paraId="1D60856A" w14:textId="1A227BFE" w:rsidR="009E34F4" w:rsidRPr="00597C6E"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3.41%</w:t>
            </w:r>
          </w:p>
        </w:tc>
      </w:tr>
      <w:tr w:rsidR="009E34F4" w14:paraId="659F750D"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3065776A" w14:textId="6D972759" w:rsidR="009E34F4" w:rsidRPr="00597C6E" w:rsidRDefault="009E34F4" w:rsidP="009E34F4">
            <w:pPr>
              <w:pStyle w:val="Tablecopy"/>
            </w:pPr>
            <w:r>
              <w:rPr>
                <w:rFonts w:ascii="Arial" w:hAnsi="Arial" w:cs="Arial"/>
                <w:color w:val="000000"/>
                <w:sz w:val="20"/>
              </w:rPr>
              <w:t>Professional, Scientific and Technical Services  </w:t>
            </w:r>
          </w:p>
        </w:tc>
        <w:tc>
          <w:tcPr>
            <w:tcW w:w="4732" w:type="dxa"/>
            <w:vAlign w:val="bottom"/>
          </w:tcPr>
          <w:p w14:paraId="3FA2DA5A" w14:textId="37FB8076" w:rsidR="009E34F4" w:rsidRPr="00597C6E"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3.17%</w:t>
            </w:r>
          </w:p>
        </w:tc>
      </w:tr>
      <w:tr w:rsidR="009E34F4" w14:paraId="58879592"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2CC4CC96" w14:textId="5ACD8042" w:rsidR="009E34F4" w:rsidRPr="00597C6E" w:rsidRDefault="009E34F4" w:rsidP="009E34F4">
            <w:pPr>
              <w:pStyle w:val="Tablecopy"/>
            </w:pPr>
            <w:r>
              <w:rPr>
                <w:rFonts w:ascii="Arial" w:hAnsi="Arial" w:cs="Arial"/>
                <w:color w:val="000000"/>
                <w:sz w:val="20"/>
              </w:rPr>
              <w:t>Administrative and Support Services  </w:t>
            </w:r>
          </w:p>
        </w:tc>
        <w:tc>
          <w:tcPr>
            <w:tcW w:w="4732" w:type="dxa"/>
            <w:vAlign w:val="bottom"/>
          </w:tcPr>
          <w:p w14:paraId="14E962FF" w14:textId="467C09C1" w:rsidR="009E34F4" w:rsidRPr="00597C6E"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5.20%</w:t>
            </w:r>
          </w:p>
        </w:tc>
      </w:tr>
      <w:tr w:rsidR="009E34F4" w14:paraId="6F813F03"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64732652" w14:textId="18BE58CB" w:rsidR="009E34F4" w:rsidRPr="00597C6E" w:rsidRDefault="009E34F4" w:rsidP="009E34F4">
            <w:pPr>
              <w:pStyle w:val="Tablecopy"/>
            </w:pPr>
            <w:r>
              <w:rPr>
                <w:rFonts w:ascii="Arial" w:hAnsi="Arial" w:cs="Arial"/>
                <w:color w:val="000000"/>
                <w:sz w:val="20"/>
              </w:rPr>
              <w:t>Public Administration and Safety  </w:t>
            </w:r>
          </w:p>
        </w:tc>
        <w:tc>
          <w:tcPr>
            <w:tcW w:w="4732" w:type="dxa"/>
            <w:vAlign w:val="bottom"/>
          </w:tcPr>
          <w:p w14:paraId="309216CB" w14:textId="1F8F179E" w:rsidR="009E34F4" w:rsidRPr="00597C6E"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5.93%</w:t>
            </w:r>
          </w:p>
        </w:tc>
      </w:tr>
      <w:tr w:rsidR="009E34F4" w14:paraId="08567B34"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4E8C0DDB" w14:textId="59611E0A" w:rsidR="009E34F4" w:rsidRPr="00597C6E" w:rsidRDefault="009E34F4" w:rsidP="009E34F4">
            <w:pPr>
              <w:pStyle w:val="Tablecopy"/>
            </w:pPr>
            <w:r>
              <w:rPr>
                <w:rFonts w:ascii="Arial" w:hAnsi="Arial" w:cs="Arial"/>
                <w:color w:val="000000"/>
                <w:sz w:val="20"/>
              </w:rPr>
              <w:t>Education and Training  </w:t>
            </w:r>
          </w:p>
        </w:tc>
        <w:tc>
          <w:tcPr>
            <w:tcW w:w="4732" w:type="dxa"/>
            <w:vAlign w:val="bottom"/>
          </w:tcPr>
          <w:p w14:paraId="6DFC6FB6" w14:textId="4F89CE75" w:rsidR="009E34F4" w:rsidRPr="00597C6E"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2.88%</w:t>
            </w:r>
          </w:p>
        </w:tc>
      </w:tr>
      <w:tr w:rsidR="009E34F4" w14:paraId="0BE7E4E7"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1EACC295" w14:textId="7DCA4B9B" w:rsidR="009E34F4" w:rsidRPr="00597C6E" w:rsidRDefault="009E34F4" w:rsidP="009E34F4">
            <w:pPr>
              <w:pStyle w:val="Tablecopy"/>
            </w:pPr>
            <w:r>
              <w:rPr>
                <w:rFonts w:ascii="Arial" w:hAnsi="Arial" w:cs="Arial"/>
                <w:color w:val="000000"/>
                <w:sz w:val="20"/>
              </w:rPr>
              <w:t>Healthcare and Social Assistance  </w:t>
            </w:r>
          </w:p>
        </w:tc>
        <w:tc>
          <w:tcPr>
            <w:tcW w:w="4732" w:type="dxa"/>
            <w:vAlign w:val="bottom"/>
          </w:tcPr>
          <w:p w14:paraId="64B19682" w14:textId="74C231F9" w:rsidR="009E34F4" w:rsidRPr="00597C6E"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2.21%</w:t>
            </w:r>
          </w:p>
        </w:tc>
      </w:tr>
      <w:tr w:rsidR="009E34F4" w14:paraId="379B0B7B" w14:textId="77777777" w:rsidTr="009A1691">
        <w:tc>
          <w:tcPr>
            <w:cnfStyle w:val="000010000000" w:firstRow="0" w:lastRow="0" w:firstColumn="0" w:lastColumn="0" w:oddVBand="1" w:evenVBand="0" w:oddHBand="0" w:evenHBand="0" w:firstRowFirstColumn="0" w:firstRowLastColumn="0" w:lastRowFirstColumn="0" w:lastRowLastColumn="0"/>
            <w:tcW w:w="4732" w:type="dxa"/>
            <w:vAlign w:val="center"/>
          </w:tcPr>
          <w:p w14:paraId="028F3332" w14:textId="54C381AD" w:rsidR="009E34F4" w:rsidRPr="00597C6E" w:rsidRDefault="009E34F4" w:rsidP="009E34F4">
            <w:pPr>
              <w:pStyle w:val="Tablecopy"/>
            </w:pPr>
            <w:r>
              <w:rPr>
                <w:rFonts w:ascii="Arial" w:hAnsi="Arial" w:cs="Arial"/>
                <w:color w:val="000000"/>
                <w:sz w:val="20"/>
              </w:rPr>
              <w:lastRenderedPageBreak/>
              <w:t>Arts and Recreation Services  </w:t>
            </w:r>
          </w:p>
        </w:tc>
        <w:tc>
          <w:tcPr>
            <w:tcW w:w="4732" w:type="dxa"/>
            <w:vAlign w:val="bottom"/>
          </w:tcPr>
          <w:p w14:paraId="4AABB066" w14:textId="590404A2" w:rsidR="009E34F4" w:rsidRPr="00597C6E" w:rsidRDefault="009E34F4" w:rsidP="009E34F4">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3.86%</w:t>
            </w:r>
          </w:p>
        </w:tc>
      </w:tr>
      <w:tr w:rsidR="009E34F4" w14:paraId="29C9058E" w14:textId="77777777" w:rsidTr="009A16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center"/>
          </w:tcPr>
          <w:p w14:paraId="59A47A6E" w14:textId="6B52BA2A" w:rsidR="009E34F4" w:rsidRPr="00597C6E" w:rsidRDefault="009E34F4" w:rsidP="009E34F4">
            <w:pPr>
              <w:pStyle w:val="Tablecopy"/>
            </w:pPr>
            <w:r>
              <w:rPr>
                <w:rFonts w:ascii="Arial" w:hAnsi="Arial" w:cs="Arial"/>
                <w:color w:val="000000"/>
                <w:sz w:val="20"/>
              </w:rPr>
              <w:t>Other Services </w:t>
            </w:r>
          </w:p>
        </w:tc>
        <w:tc>
          <w:tcPr>
            <w:tcW w:w="4732" w:type="dxa"/>
            <w:vAlign w:val="bottom"/>
          </w:tcPr>
          <w:p w14:paraId="15F9C360" w14:textId="0A329957" w:rsidR="009E34F4" w:rsidRPr="00597C6E" w:rsidRDefault="009E34F4" w:rsidP="009E34F4">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6.41%</w:t>
            </w:r>
          </w:p>
        </w:tc>
      </w:tr>
    </w:tbl>
    <w:p w14:paraId="0AC07D51" w14:textId="77777777" w:rsidR="006B4963" w:rsidRDefault="006B4963" w:rsidP="003B0327">
      <w:pPr>
        <w:pStyle w:val="Caption"/>
        <w:rPr>
          <w:b/>
          <w:bCs/>
        </w:rPr>
      </w:pPr>
    </w:p>
    <w:p w14:paraId="5CFEBEB5" w14:textId="00DBC927" w:rsidR="003B0327" w:rsidRDefault="003B0327" w:rsidP="003B0327">
      <w:pPr>
        <w:pStyle w:val="Caption"/>
      </w:pPr>
      <w:r w:rsidRPr="00E554A3">
        <w:rPr>
          <w:b/>
          <w:bCs/>
        </w:rPr>
        <w:t>Source</w:t>
      </w:r>
      <w:r>
        <w:t xml:space="preserve">: </w:t>
      </w:r>
      <w:r w:rsidRPr="003B0327">
        <w:t>Australian Bureau of Statistics (2022) Business Longitudinal Analysis Data Environment; Austrade Economics</w:t>
      </w:r>
    </w:p>
    <w:p w14:paraId="33E6FF85" w14:textId="77777777" w:rsidR="003B0327" w:rsidRDefault="003B0327" w:rsidP="003B0327">
      <w:pPr>
        <w:pStyle w:val="Heading2"/>
      </w:pPr>
      <w:r>
        <w:t>By state and territory, firms in the Australian Capital Territory and Queensland had the lowest survival rates overall</w:t>
      </w:r>
    </w:p>
    <w:p w14:paraId="3FE55C05" w14:textId="77777777" w:rsidR="003B0327" w:rsidRDefault="003B0327" w:rsidP="003B0327">
      <w:r>
        <w:t>The difference between exporters and non- exporter survival rates were most apparent in</w:t>
      </w:r>
      <w:r w:rsidR="00392202">
        <w:t xml:space="preserve"> </w:t>
      </w:r>
      <w:r>
        <w:t>Western Australia (+5.5 percentage points), Queensland (+5.4 percentage points) and Victoria (+5 percentage points).</w:t>
      </w:r>
      <w:r w:rsidRPr="003B0327">
        <w:t xml:space="preserve"> </w:t>
      </w:r>
    </w:p>
    <w:p w14:paraId="5D080953" w14:textId="77777777" w:rsidR="00392202" w:rsidRDefault="00392202" w:rsidP="00392202">
      <w:r>
        <w:t>Additionally larger firm sizes had to higher survival rates through the COVID-19 pandemic. The largest difference between exporters and non-exporters per firm size was medium sized firms (+5.5 percentage points).</w:t>
      </w:r>
    </w:p>
    <w:p w14:paraId="185AA95E" w14:textId="77777777" w:rsidR="003B0327" w:rsidRDefault="003B0327" w:rsidP="00392202">
      <w:pPr>
        <w:pStyle w:val="Heading3"/>
      </w:pPr>
      <w:r>
        <w:t>Figure 18.</w:t>
      </w:r>
      <w:r w:rsidR="00392202">
        <w:t xml:space="preserve"> Difference between exporters and non-exporters survival rate by state/territory</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F7417A" w:rsidRPr="00823B47" w14:paraId="6F7E8AFB"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58C602BB" w14:textId="466CB953" w:rsidR="00F7417A" w:rsidRPr="00823B47" w:rsidRDefault="00016E43" w:rsidP="00901636">
            <w:pPr>
              <w:pStyle w:val="Tableheadermain"/>
              <w:rPr>
                <w:b/>
                <w:bCs/>
              </w:rPr>
            </w:pPr>
            <w:r>
              <w:rPr>
                <w:b/>
                <w:bCs/>
              </w:rPr>
              <w:t>State</w:t>
            </w:r>
          </w:p>
        </w:tc>
        <w:tc>
          <w:tcPr>
            <w:tcW w:w="4732" w:type="dxa"/>
          </w:tcPr>
          <w:p w14:paraId="3F63B75F" w14:textId="77777777" w:rsidR="00F7417A" w:rsidRPr="005D6B41" w:rsidRDefault="00F7417A"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571FFE">
              <w:rPr>
                <w:b/>
                <w:bCs/>
              </w:rPr>
              <w:t>Difference between EX and NON (EX-NON)</w:t>
            </w:r>
          </w:p>
        </w:tc>
      </w:tr>
      <w:tr w:rsidR="008B09DA" w14:paraId="520EA0FE" w14:textId="77777777" w:rsidTr="008100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bottom"/>
          </w:tcPr>
          <w:p w14:paraId="64A6A65C" w14:textId="5B02226D" w:rsidR="008B09DA" w:rsidRPr="00206933" w:rsidRDefault="008B09DA" w:rsidP="008B09DA">
            <w:pPr>
              <w:pStyle w:val="Tablecopy"/>
            </w:pPr>
            <w:r>
              <w:rPr>
                <w:rFonts w:ascii="Liberation Sans" w:hAnsi="Liberation Sans" w:cs="Calibri"/>
                <w:color w:val="000000"/>
                <w:sz w:val="20"/>
              </w:rPr>
              <w:t>New South Wales</w:t>
            </w:r>
          </w:p>
        </w:tc>
        <w:tc>
          <w:tcPr>
            <w:tcW w:w="4732" w:type="dxa"/>
            <w:vAlign w:val="bottom"/>
          </w:tcPr>
          <w:p w14:paraId="6848F5E8" w14:textId="41AFA67C" w:rsidR="008B09DA" w:rsidRDefault="008B09DA" w:rsidP="008B09DA">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4.90%</w:t>
            </w:r>
          </w:p>
        </w:tc>
      </w:tr>
      <w:tr w:rsidR="008B09DA" w14:paraId="49C76446" w14:textId="77777777" w:rsidTr="00810074">
        <w:tc>
          <w:tcPr>
            <w:cnfStyle w:val="000010000000" w:firstRow="0" w:lastRow="0" w:firstColumn="0" w:lastColumn="0" w:oddVBand="1" w:evenVBand="0" w:oddHBand="0" w:evenHBand="0" w:firstRowFirstColumn="0" w:firstRowLastColumn="0" w:lastRowFirstColumn="0" w:lastRowLastColumn="0"/>
            <w:tcW w:w="4732" w:type="dxa"/>
            <w:vAlign w:val="bottom"/>
          </w:tcPr>
          <w:p w14:paraId="164316B4" w14:textId="2F20B358" w:rsidR="008B09DA" w:rsidRDefault="008B09DA" w:rsidP="008B09DA">
            <w:pPr>
              <w:pStyle w:val="Tablecopy"/>
            </w:pPr>
            <w:r>
              <w:rPr>
                <w:rFonts w:ascii="Liberation Sans" w:hAnsi="Liberation Sans" w:cs="Calibri"/>
                <w:color w:val="000000"/>
                <w:sz w:val="20"/>
              </w:rPr>
              <w:t>Victoria</w:t>
            </w:r>
          </w:p>
        </w:tc>
        <w:tc>
          <w:tcPr>
            <w:tcW w:w="4732" w:type="dxa"/>
            <w:vAlign w:val="bottom"/>
          </w:tcPr>
          <w:p w14:paraId="26CAB67B" w14:textId="39E6A7D4" w:rsidR="008B09DA" w:rsidRDefault="008B09DA" w:rsidP="008B09DA">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5.00%</w:t>
            </w:r>
          </w:p>
        </w:tc>
      </w:tr>
      <w:tr w:rsidR="008B09DA" w14:paraId="74AB8622" w14:textId="77777777" w:rsidTr="008100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bottom"/>
          </w:tcPr>
          <w:p w14:paraId="015EB83C" w14:textId="7F1BD149" w:rsidR="008B09DA" w:rsidRDefault="008B09DA" w:rsidP="008B09DA">
            <w:pPr>
              <w:pStyle w:val="Tablecopy"/>
            </w:pPr>
            <w:r>
              <w:rPr>
                <w:rFonts w:ascii="Liberation Sans" w:hAnsi="Liberation Sans" w:cs="Calibri"/>
                <w:color w:val="000000"/>
                <w:sz w:val="20"/>
              </w:rPr>
              <w:t>Queensland</w:t>
            </w:r>
          </w:p>
        </w:tc>
        <w:tc>
          <w:tcPr>
            <w:tcW w:w="4732" w:type="dxa"/>
            <w:vAlign w:val="bottom"/>
          </w:tcPr>
          <w:p w14:paraId="29CE915E" w14:textId="70977B1C" w:rsidR="008B09DA" w:rsidRDefault="008B09DA" w:rsidP="008B09DA">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5.40%</w:t>
            </w:r>
          </w:p>
        </w:tc>
      </w:tr>
      <w:tr w:rsidR="008B09DA" w14:paraId="220534CC" w14:textId="77777777" w:rsidTr="00810074">
        <w:tc>
          <w:tcPr>
            <w:cnfStyle w:val="000010000000" w:firstRow="0" w:lastRow="0" w:firstColumn="0" w:lastColumn="0" w:oddVBand="1" w:evenVBand="0" w:oddHBand="0" w:evenHBand="0" w:firstRowFirstColumn="0" w:firstRowLastColumn="0" w:lastRowFirstColumn="0" w:lastRowLastColumn="0"/>
            <w:tcW w:w="4732" w:type="dxa"/>
            <w:vAlign w:val="bottom"/>
          </w:tcPr>
          <w:p w14:paraId="7345BA86" w14:textId="46E68536" w:rsidR="008B09DA" w:rsidRDefault="008B09DA" w:rsidP="008B09DA">
            <w:pPr>
              <w:pStyle w:val="Tablecopy"/>
            </w:pPr>
            <w:r>
              <w:rPr>
                <w:rFonts w:ascii="Liberation Sans" w:hAnsi="Liberation Sans" w:cs="Calibri"/>
                <w:color w:val="000000"/>
                <w:sz w:val="20"/>
              </w:rPr>
              <w:t>South Australia</w:t>
            </w:r>
          </w:p>
        </w:tc>
        <w:tc>
          <w:tcPr>
            <w:tcW w:w="4732" w:type="dxa"/>
            <w:vAlign w:val="bottom"/>
          </w:tcPr>
          <w:p w14:paraId="5511AC20" w14:textId="7DA20758" w:rsidR="008B09DA" w:rsidRPr="008E02F2" w:rsidRDefault="008B09DA" w:rsidP="008B09DA">
            <w:pPr>
              <w:pStyle w:val="Tablecopy"/>
              <w:cnfStyle w:val="000000000000" w:firstRow="0" w:lastRow="0" w:firstColumn="0" w:lastColumn="0" w:oddVBand="0" w:evenVBand="0" w:oddHBand="0" w:evenHBand="0" w:firstRowFirstColumn="0" w:firstRowLastColumn="0" w:lastRowFirstColumn="0" w:lastRowLastColumn="0"/>
              <w:rPr>
                <w:lang w:val="en-US"/>
              </w:rPr>
            </w:pPr>
            <w:r>
              <w:rPr>
                <w:rFonts w:ascii="Liberation Sans" w:hAnsi="Liberation Sans" w:cs="Calibri"/>
                <w:color w:val="000000"/>
                <w:sz w:val="20"/>
              </w:rPr>
              <w:t>4.50%</w:t>
            </w:r>
          </w:p>
        </w:tc>
      </w:tr>
      <w:tr w:rsidR="008B09DA" w14:paraId="7E69AF3C" w14:textId="77777777" w:rsidTr="008100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bottom"/>
          </w:tcPr>
          <w:p w14:paraId="3CC74289" w14:textId="233F3939" w:rsidR="008B09DA" w:rsidRDefault="008B09DA" w:rsidP="008B09DA">
            <w:pPr>
              <w:pStyle w:val="Tablecopy"/>
            </w:pPr>
            <w:r>
              <w:rPr>
                <w:rFonts w:ascii="Liberation Sans" w:hAnsi="Liberation Sans" w:cs="Calibri"/>
                <w:color w:val="000000"/>
                <w:sz w:val="20"/>
              </w:rPr>
              <w:t>Western Australia</w:t>
            </w:r>
          </w:p>
        </w:tc>
        <w:tc>
          <w:tcPr>
            <w:tcW w:w="4732" w:type="dxa"/>
            <w:vAlign w:val="bottom"/>
          </w:tcPr>
          <w:p w14:paraId="43506619" w14:textId="545B4A3F" w:rsidR="008B09DA" w:rsidRDefault="008B09DA" w:rsidP="008B09DA">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5.50%</w:t>
            </w:r>
          </w:p>
        </w:tc>
      </w:tr>
      <w:tr w:rsidR="008B09DA" w14:paraId="6B438496" w14:textId="77777777" w:rsidTr="00810074">
        <w:tc>
          <w:tcPr>
            <w:cnfStyle w:val="000010000000" w:firstRow="0" w:lastRow="0" w:firstColumn="0" w:lastColumn="0" w:oddVBand="1" w:evenVBand="0" w:oddHBand="0" w:evenHBand="0" w:firstRowFirstColumn="0" w:firstRowLastColumn="0" w:lastRowFirstColumn="0" w:lastRowLastColumn="0"/>
            <w:tcW w:w="4732" w:type="dxa"/>
            <w:vAlign w:val="bottom"/>
          </w:tcPr>
          <w:p w14:paraId="37748F0D" w14:textId="7ABDB7F9" w:rsidR="008B09DA" w:rsidRDefault="008B09DA" w:rsidP="008B09DA">
            <w:pPr>
              <w:pStyle w:val="Tablecopy"/>
            </w:pPr>
            <w:r>
              <w:rPr>
                <w:rFonts w:ascii="Liberation Sans" w:hAnsi="Liberation Sans" w:cs="Calibri"/>
                <w:color w:val="000000"/>
                <w:sz w:val="20"/>
              </w:rPr>
              <w:t>Tasmania</w:t>
            </w:r>
          </w:p>
        </w:tc>
        <w:tc>
          <w:tcPr>
            <w:tcW w:w="4732" w:type="dxa"/>
            <w:vAlign w:val="bottom"/>
          </w:tcPr>
          <w:p w14:paraId="0DA0C21D" w14:textId="1958C410" w:rsidR="008B09DA" w:rsidRPr="008E02F2" w:rsidRDefault="008B09DA" w:rsidP="008B09DA">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4.70%</w:t>
            </w:r>
          </w:p>
        </w:tc>
      </w:tr>
      <w:tr w:rsidR="008B09DA" w14:paraId="09031DAE" w14:textId="77777777" w:rsidTr="008100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bottom"/>
          </w:tcPr>
          <w:p w14:paraId="18425539" w14:textId="6D9635F8" w:rsidR="008B09DA" w:rsidRDefault="008B09DA" w:rsidP="008B09DA">
            <w:pPr>
              <w:pStyle w:val="Tablecopy"/>
            </w:pPr>
            <w:r>
              <w:rPr>
                <w:rFonts w:ascii="Liberation Sans" w:hAnsi="Liberation Sans" w:cs="Calibri"/>
                <w:color w:val="000000"/>
                <w:sz w:val="20"/>
              </w:rPr>
              <w:lastRenderedPageBreak/>
              <w:t>Northern Territory</w:t>
            </w:r>
          </w:p>
        </w:tc>
        <w:tc>
          <w:tcPr>
            <w:tcW w:w="4732" w:type="dxa"/>
            <w:vAlign w:val="bottom"/>
          </w:tcPr>
          <w:p w14:paraId="43CC2062" w14:textId="5AC3A9A1" w:rsidR="008B09DA" w:rsidRPr="008E02F2" w:rsidRDefault="008B09DA" w:rsidP="008B09DA">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3.80%</w:t>
            </w:r>
          </w:p>
        </w:tc>
      </w:tr>
      <w:tr w:rsidR="008B09DA" w14:paraId="69F322F8" w14:textId="77777777" w:rsidTr="00810074">
        <w:tc>
          <w:tcPr>
            <w:cnfStyle w:val="000010000000" w:firstRow="0" w:lastRow="0" w:firstColumn="0" w:lastColumn="0" w:oddVBand="1" w:evenVBand="0" w:oddHBand="0" w:evenHBand="0" w:firstRowFirstColumn="0" w:firstRowLastColumn="0" w:lastRowFirstColumn="0" w:lastRowLastColumn="0"/>
            <w:tcW w:w="4732" w:type="dxa"/>
            <w:vAlign w:val="bottom"/>
          </w:tcPr>
          <w:p w14:paraId="57965A07" w14:textId="65796426" w:rsidR="008B09DA" w:rsidRDefault="008B09DA" w:rsidP="008B09DA">
            <w:pPr>
              <w:pStyle w:val="Tablecopy"/>
            </w:pPr>
            <w:r>
              <w:rPr>
                <w:rFonts w:ascii="Liberation Sans" w:hAnsi="Liberation Sans" w:cs="Calibri"/>
                <w:color w:val="000000"/>
                <w:sz w:val="20"/>
              </w:rPr>
              <w:t>Australian Capital Territory</w:t>
            </w:r>
          </w:p>
        </w:tc>
        <w:tc>
          <w:tcPr>
            <w:tcW w:w="4732" w:type="dxa"/>
            <w:vAlign w:val="bottom"/>
          </w:tcPr>
          <w:p w14:paraId="3E0892C3" w14:textId="43B5636E" w:rsidR="008B09DA" w:rsidRPr="008E02F2" w:rsidRDefault="008B09DA" w:rsidP="008B09DA">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5.00%</w:t>
            </w:r>
          </w:p>
        </w:tc>
      </w:tr>
    </w:tbl>
    <w:p w14:paraId="16D3F1D2" w14:textId="759163D3" w:rsidR="00392202" w:rsidRDefault="00392202" w:rsidP="00392202">
      <w:pPr>
        <w:pStyle w:val="Heading3"/>
      </w:pPr>
      <w:r>
        <w:t>Figure 19. Difference between exporters and non-exporters survival rate by firm size</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8B09DA" w:rsidRPr="00823B47" w14:paraId="311101A4" w14:textId="77777777" w:rsidTr="000C322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114B3AF4" w14:textId="7A0F3805" w:rsidR="008B09DA" w:rsidRPr="00823B47" w:rsidRDefault="00F9418B" w:rsidP="00901636">
            <w:pPr>
              <w:pStyle w:val="Tableheadermain"/>
              <w:rPr>
                <w:b/>
                <w:bCs/>
              </w:rPr>
            </w:pPr>
            <w:r>
              <w:rPr>
                <w:b/>
                <w:bCs/>
              </w:rPr>
              <w:t>Size</w:t>
            </w:r>
          </w:p>
        </w:tc>
        <w:tc>
          <w:tcPr>
            <w:tcW w:w="4732" w:type="dxa"/>
          </w:tcPr>
          <w:p w14:paraId="0E215D9D" w14:textId="77777777" w:rsidR="008B09DA" w:rsidRPr="005D6B41" w:rsidRDefault="008B09DA"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571FFE">
              <w:rPr>
                <w:b/>
                <w:bCs/>
              </w:rPr>
              <w:t>Difference between EX and NON (EX-NON)</w:t>
            </w:r>
          </w:p>
        </w:tc>
      </w:tr>
      <w:tr w:rsidR="008063F9" w14:paraId="4CC5D017"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bottom"/>
          </w:tcPr>
          <w:p w14:paraId="7478AD7E" w14:textId="384C4E03" w:rsidR="008063F9" w:rsidRPr="00206933" w:rsidRDefault="008063F9" w:rsidP="008063F9">
            <w:pPr>
              <w:pStyle w:val="Tablecopy"/>
            </w:pPr>
            <w:r>
              <w:rPr>
                <w:rFonts w:ascii="Liberation Sans" w:hAnsi="Liberation Sans" w:cs="Calibri"/>
                <w:color w:val="000000"/>
                <w:sz w:val="20"/>
              </w:rPr>
              <w:t>Micro</w:t>
            </w:r>
          </w:p>
        </w:tc>
        <w:tc>
          <w:tcPr>
            <w:tcW w:w="4732" w:type="dxa"/>
            <w:vAlign w:val="bottom"/>
          </w:tcPr>
          <w:p w14:paraId="54A4AE76" w14:textId="472BF6C0" w:rsidR="008063F9" w:rsidRDefault="008063F9" w:rsidP="008063F9">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3.54%</w:t>
            </w:r>
          </w:p>
        </w:tc>
      </w:tr>
      <w:tr w:rsidR="008063F9" w14:paraId="7B5F0C2C" w14:textId="77777777" w:rsidTr="00901636">
        <w:tc>
          <w:tcPr>
            <w:cnfStyle w:val="000010000000" w:firstRow="0" w:lastRow="0" w:firstColumn="0" w:lastColumn="0" w:oddVBand="1" w:evenVBand="0" w:oddHBand="0" w:evenHBand="0" w:firstRowFirstColumn="0" w:firstRowLastColumn="0" w:lastRowFirstColumn="0" w:lastRowLastColumn="0"/>
            <w:tcW w:w="4732" w:type="dxa"/>
            <w:vAlign w:val="bottom"/>
          </w:tcPr>
          <w:p w14:paraId="5BCCD96C" w14:textId="24C94AC1" w:rsidR="008063F9" w:rsidRDefault="008063F9" w:rsidP="008063F9">
            <w:pPr>
              <w:pStyle w:val="Tablecopy"/>
            </w:pPr>
            <w:r>
              <w:rPr>
                <w:rFonts w:ascii="Liberation Sans" w:hAnsi="Liberation Sans" w:cs="Calibri"/>
                <w:color w:val="000000"/>
                <w:sz w:val="20"/>
              </w:rPr>
              <w:t>Small</w:t>
            </w:r>
          </w:p>
        </w:tc>
        <w:tc>
          <w:tcPr>
            <w:tcW w:w="4732" w:type="dxa"/>
            <w:vAlign w:val="bottom"/>
          </w:tcPr>
          <w:p w14:paraId="5CBDE09F" w14:textId="093D41AA" w:rsidR="008063F9" w:rsidRDefault="008063F9" w:rsidP="008063F9">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4.84%</w:t>
            </w:r>
          </w:p>
        </w:tc>
      </w:tr>
      <w:tr w:rsidR="008063F9" w14:paraId="30EFBBA1"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vAlign w:val="bottom"/>
          </w:tcPr>
          <w:p w14:paraId="08630114" w14:textId="5D9CEC17" w:rsidR="008063F9" w:rsidRDefault="008063F9" w:rsidP="008063F9">
            <w:pPr>
              <w:pStyle w:val="Tablecopy"/>
            </w:pPr>
            <w:r>
              <w:rPr>
                <w:rFonts w:ascii="Liberation Sans" w:hAnsi="Liberation Sans" w:cs="Calibri"/>
                <w:color w:val="000000"/>
                <w:sz w:val="20"/>
              </w:rPr>
              <w:t>Medium</w:t>
            </w:r>
          </w:p>
        </w:tc>
        <w:tc>
          <w:tcPr>
            <w:tcW w:w="4732" w:type="dxa"/>
            <w:vAlign w:val="bottom"/>
          </w:tcPr>
          <w:p w14:paraId="592D10F0" w14:textId="1EA28FD9" w:rsidR="008063F9" w:rsidRDefault="008063F9" w:rsidP="008063F9">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5.47%</w:t>
            </w:r>
          </w:p>
        </w:tc>
      </w:tr>
      <w:tr w:rsidR="008063F9" w14:paraId="204110B9" w14:textId="77777777" w:rsidTr="00901636">
        <w:tc>
          <w:tcPr>
            <w:cnfStyle w:val="000010000000" w:firstRow="0" w:lastRow="0" w:firstColumn="0" w:lastColumn="0" w:oddVBand="1" w:evenVBand="0" w:oddHBand="0" w:evenHBand="0" w:firstRowFirstColumn="0" w:firstRowLastColumn="0" w:lastRowFirstColumn="0" w:lastRowLastColumn="0"/>
            <w:tcW w:w="4732" w:type="dxa"/>
            <w:vAlign w:val="bottom"/>
          </w:tcPr>
          <w:p w14:paraId="77FDCD4D" w14:textId="4CE9931B" w:rsidR="008063F9" w:rsidRDefault="008063F9" w:rsidP="008063F9">
            <w:pPr>
              <w:pStyle w:val="Tablecopy"/>
            </w:pPr>
            <w:r>
              <w:rPr>
                <w:rFonts w:ascii="Liberation Sans" w:hAnsi="Liberation Sans" w:cs="Calibri"/>
                <w:color w:val="000000"/>
                <w:sz w:val="20"/>
              </w:rPr>
              <w:t>Large</w:t>
            </w:r>
          </w:p>
        </w:tc>
        <w:tc>
          <w:tcPr>
            <w:tcW w:w="4732" w:type="dxa"/>
            <w:vAlign w:val="bottom"/>
          </w:tcPr>
          <w:p w14:paraId="5EB9FD8E" w14:textId="7361837D" w:rsidR="008063F9" w:rsidRPr="008E02F2" w:rsidRDefault="008063F9" w:rsidP="008063F9">
            <w:pPr>
              <w:pStyle w:val="Tablecopy"/>
              <w:cnfStyle w:val="000000000000" w:firstRow="0" w:lastRow="0" w:firstColumn="0" w:lastColumn="0" w:oddVBand="0" w:evenVBand="0" w:oddHBand="0" w:evenHBand="0" w:firstRowFirstColumn="0" w:firstRowLastColumn="0" w:lastRowFirstColumn="0" w:lastRowLastColumn="0"/>
              <w:rPr>
                <w:lang w:val="en-US"/>
              </w:rPr>
            </w:pPr>
            <w:r>
              <w:rPr>
                <w:rFonts w:ascii="Liberation Sans" w:hAnsi="Liberation Sans" w:cs="Calibri"/>
                <w:color w:val="000000"/>
                <w:sz w:val="20"/>
              </w:rPr>
              <w:t>3.19%</w:t>
            </w:r>
          </w:p>
        </w:tc>
      </w:tr>
    </w:tbl>
    <w:p w14:paraId="3DB35FF4" w14:textId="7182E21C" w:rsidR="00392202" w:rsidRDefault="00392202" w:rsidP="008063F9">
      <w:r w:rsidRPr="00E554A3">
        <w:rPr>
          <w:b/>
          <w:bCs/>
        </w:rPr>
        <w:t>Source</w:t>
      </w:r>
      <w:r>
        <w:t xml:space="preserve">: </w:t>
      </w:r>
      <w:r w:rsidRPr="00392202">
        <w:t>Australian Bureau of Statistics (2022) Business Longitudinal Analysis Data Environment; Austrade Economics</w:t>
      </w:r>
    </w:p>
    <w:p w14:paraId="2574DD39" w14:textId="77777777" w:rsidR="00392202" w:rsidRPr="00392202" w:rsidRDefault="00392202" w:rsidP="00392202"/>
    <w:p w14:paraId="0F57956C" w14:textId="77777777" w:rsidR="00392202" w:rsidRDefault="00392202">
      <w:pPr>
        <w:spacing w:before="0" w:after="120" w:line="252" w:lineRule="auto"/>
        <w:rPr>
          <w:b/>
          <w:bCs/>
          <w:color w:val="2E1A47" w:themeColor="text2"/>
        </w:rPr>
      </w:pPr>
      <w:r>
        <w:br w:type="page"/>
      </w:r>
    </w:p>
    <w:p w14:paraId="2E0C0F2D" w14:textId="77777777" w:rsidR="00392202" w:rsidRDefault="00392202" w:rsidP="00392202">
      <w:pPr>
        <w:pStyle w:val="Heading1"/>
      </w:pPr>
      <w:r>
        <w:lastRenderedPageBreak/>
        <w:t>Chapter 3</w:t>
      </w:r>
      <w:r>
        <w:br/>
        <w:t>How are exporters different from non-exporting firms?</w:t>
      </w:r>
    </w:p>
    <w:p w14:paraId="1FAEFB01" w14:textId="77777777" w:rsidR="00392202" w:rsidRDefault="00392202" w:rsidP="00392202">
      <w:pPr>
        <w:pStyle w:val="Heading2"/>
      </w:pPr>
      <w:r w:rsidRPr="00392202">
        <w:t>How are exporters different from non-exporting firms?</w:t>
      </w:r>
    </w:p>
    <w:p w14:paraId="16E01E0C" w14:textId="77777777" w:rsidR="00392202" w:rsidRDefault="00392202" w:rsidP="00392202">
      <w:r>
        <w:t>Across a wide range of countries and industries, exporters have been shown to be larger, more productive, more skill and capital-intensive, more innovative and to pay higher wages.</w:t>
      </w:r>
      <w:r>
        <w:rPr>
          <w:rStyle w:val="FootnoteReference"/>
        </w:rPr>
        <w:footnoteReference w:id="22"/>
      </w:r>
      <w:r>
        <w:t xml:space="preserve"> Further, accessing a larger market enables increasing returns to scale.</w:t>
      </w:r>
    </w:p>
    <w:p w14:paraId="2EED6D2E" w14:textId="77777777" w:rsidR="00392202" w:rsidRDefault="00392202" w:rsidP="00392202">
      <w:r>
        <w:t>To better understand the differences between exporters and non-exporters, we compare exporters to non-exporters in aggregate, presenting the median value for both groups on page 28.</w:t>
      </w:r>
    </w:p>
    <w:p w14:paraId="658247BD" w14:textId="77777777" w:rsidR="00392202" w:rsidRDefault="00392202" w:rsidP="00392202">
      <w:r>
        <w:t>Whilst 2020-21 was a challenging year for all firms, the results indicate that exporters report significantly higher performance on a variety of metrics than non-exporters. Using the median results, we found that exporters were older than non-exporters. They employed more people, paid higher wages, and had higher levels of turnover and value- added. This suggests that overall exporting is an activity associated with more experience and maturity. More information on the sample specifications is laid out on page 4 and the methodology is available in Appendix B.</w:t>
      </w:r>
    </w:p>
    <w:p w14:paraId="5207092E" w14:textId="77777777" w:rsidR="00392202" w:rsidRDefault="00392202" w:rsidP="00392202">
      <w:pPr>
        <w:pStyle w:val="Heading3"/>
      </w:pPr>
      <w:r>
        <w:t>But don’t you have to be larger to be an exporter in the first place?</w:t>
      </w:r>
    </w:p>
    <w:p w14:paraId="72F81CA6" w14:textId="77777777" w:rsidR="00392202" w:rsidRDefault="00392202" w:rsidP="00392202">
      <w:r>
        <w:t>Firms are likely to be larger – employing more people and generating higher turnover, before they start exporting. Therefore, we are unable to separate out the unique effect of exporting and cannot attribute this as the sole cause of the difference between exporters and non-exporters. Despite this, these comparative statistics help highlight the benefits of exporting to the domestic economy.</w:t>
      </w:r>
    </w:p>
    <w:p w14:paraId="336FFE92" w14:textId="77777777" w:rsidR="00392202" w:rsidRDefault="00392202" w:rsidP="00392202">
      <w:r>
        <w:t xml:space="preserve">Additionally, research examining firm performance before exporting activities begun found that exporting firms generally outperformed non-exporters before they begun exporting, with higher levels of value-add and capital expenditure for (on average) four years before beginning to export. However, </w:t>
      </w:r>
      <w:r w:rsidRPr="00392202">
        <w:rPr>
          <w:b/>
          <w:bCs/>
        </w:rPr>
        <w:t>labour productivity and wages were found to be higher in exporting firms once exporting activities had begun</w:t>
      </w:r>
      <w:r>
        <w:t>.</w:t>
      </w:r>
    </w:p>
    <w:p w14:paraId="6A860107" w14:textId="77777777" w:rsidR="00EA72E4" w:rsidRDefault="00392202" w:rsidP="00392202">
      <w:pPr>
        <w:rPr>
          <w:b/>
          <w:bCs/>
        </w:rPr>
      </w:pPr>
      <w:r>
        <w:t xml:space="preserve">This suggests that firms may need to have greater capital expenditure and value-add to become exporters, but that </w:t>
      </w:r>
      <w:r w:rsidRPr="00392202">
        <w:rPr>
          <w:b/>
          <w:bCs/>
        </w:rPr>
        <w:t>exporting may have a causal relationship with boosting labour productivity and wages.</w:t>
      </w:r>
    </w:p>
    <w:p w14:paraId="511D2E51" w14:textId="77777777" w:rsidR="00392202" w:rsidRDefault="00392202" w:rsidP="00392202">
      <w:r w:rsidRPr="00392202">
        <w:lastRenderedPageBreak/>
        <w:t>In 2020-21 exporters generated on average:</w:t>
      </w:r>
    </w:p>
    <w:p w14:paraId="6786A866" w14:textId="77777777" w:rsidR="00392202" w:rsidRDefault="00392202" w:rsidP="00392202">
      <w:pPr>
        <w:pStyle w:val="ListBullet"/>
      </w:pPr>
      <w:r>
        <w:t xml:space="preserve">$4.2 million </w:t>
      </w:r>
      <w:r w:rsidRPr="00392202">
        <w:rPr>
          <w:b/>
          <w:bCs/>
        </w:rPr>
        <w:t>higher turnover</w:t>
      </w:r>
      <w:r>
        <w:t xml:space="preserve"> compared to non-exporters</w:t>
      </w:r>
    </w:p>
    <w:p w14:paraId="33F73C21" w14:textId="77777777" w:rsidR="00392202" w:rsidRDefault="00392202" w:rsidP="00392202">
      <w:pPr>
        <w:pStyle w:val="ListBullet"/>
      </w:pPr>
      <w:r>
        <w:t xml:space="preserve">$3 million </w:t>
      </w:r>
      <w:r w:rsidRPr="00392202">
        <w:rPr>
          <w:b/>
          <w:bCs/>
        </w:rPr>
        <w:t>more</w:t>
      </w:r>
      <w:r>
        <w:t xml:space="preserve"> value-added compared to non-exporters</w:t>
      </w:r>
    </w:p>
    <w:p w14:paraId="2ECA871F" w14:textId="77777777" w:rsidR="00392202" w:rsidRDefault="00392202" w:rsidP="00392202">
      <w:pPr>
        <w:pStyle w:val="ListBullet"/>
      </w:pPr>
      <w:r>
        <w:t xml:space="preserve">10 </w:t>
      </w:r>
      <w:r w:rsidRPr="00392202">
        <w:rPr>
          <w:b/>
          <w:bCs/>
        </w:rPr>
        <w:t>more employees</w:t>
      </w:r>
      <w:r>
        <w:t xml:space="preserve"> and 7.8 more full-time equivalent compared with non-exporters</w:t>
      </w:r>
    </w:p>
    <w:p w14:paraId="2AAE6E87" w14:textId="77777777" w:rsidR="00392202" w:rsidRDefault="00392202" w:rsidP="00392202">
      <w:pPr>
        <w:pStyle w:val="ListBullet"/>
      </w:pPr>
      <w:r>
        <w:t xml:space="preserve">$17,585 </w:t>
      </w:r>
      <w:r w:rsidRPr="00392202">
        <w:rPr>
          <w:b/>
          <w:bCs/>
        </w:rPr>
        <w:t>higher wages</w:t>
      </w:r>
      <w:r>
        <w:t xml:space="preserve"> paid on average compared to non-exporters</w:t>
      </w:r>
    </w:p>
    <w:p w14:paraId="00D308B7" w14:textId="77777777" w:rsidR="00A93E8C" w:rsidRDefault="00A93E8C" w:rsidP="00A93E8C">
      <w:pPr>
        <w:pStyle w:val="Heading2"/>
      </w:pPr>
      <w:r w:rsidRPr="00A93E8C">
        <w:t>Exporters versus non-exporters, key performance metrics, 2020-21</w:t>
      </w:r>
    </w:p>
    <w:p w14:paraId="3B01F586" w14:textId="77777777" w:rsidR="00A93E8C" w:rsidRDefault="00A93E8C" w:rsidP="00A93E8C">
      <w:pPr>
        <w:pStyle w:val="Heading3"/>
      </w:pPr>
      <w:r w:rsidRPr="00A93E8C">
        <w:t>Figure 20.</w:t>
      </w:r>
      <w:r>
        <w:t xml:space="preserve"> </w:t>
      </w:r>
      <w:r w:rsidRPr="00A93E8C">
        <w:t>Exporters versus non-exporters 2020-21</w:t>
      </w:r>
    </w:p>
    <w:tbl>
      <w:tblPr>
        <w:tblStyle w:val="ListTable3-Accent1"/>
        <w:tblW w:w="0" w:type="auto"/>
        <w:tblLook w:val="0020" w:firstRow="1" w:lastRow="0" w:firstColumn="0" w:lastColumn="0" w:noHBand="0" w:noVBand="0"/>
      </w:tblPr>
      <w:tblGrid>
        <w:gridCol w:w="2495"/>
        <w:gridCol w:w="2497"/>
        <w:gridCol w:w="2512"/>
        <w:gridCol w:w="2124"/>
      </w:tblGrid>
      <w:tr w:rsidR="005D7BE8" w:rsidRPr="00823B47" w14:paraId="34C2DDEA" w14:textId="77777777" w:rsidTr="00FC520D">
        <w:trPr>
          <w:cnfStyle w:val="100000000000" w:firstRow="1" w:lastRow="0" w:firstColumn="0" w:lastColumn="0" w:oddVBand="0" w:evenVBand="0" w:oddHBand="0" w:evenHBand="0" w:firstRowFirstColumn="0" w:firstRowLastColumn="0" w:lastRowFirstColumn="0" w:lastRowLastColumn="0"/>
          <w:trHeight w:val="939"/>
          <w:tblHeader/>
        </w:trPr>
        <w:tc>
          <w:tcPr>
            <w:cnfStyle w:val="000010000000" w:firstRow="0" w:lastRow="0" w:firstColumn="0" w:lastColumn="0" w:oddVBand="1" w:evenVBand="0" w:oddHBand="0" w:evenHBand="0" w:firstRowFirstColumn="0" w:firstRowLastColumn="0" w:lastRowFirstColumn="0" w:lastRowLastColumn="0"/>
            <w:tcW w:w="2547" w:type="dxa"/>
          </w:tcPr>
          <w:p w14:paraId="42BDAF07" w14:textId="77777777" w:rsidR="005D7BE8" w:rsidRPr="00823B47" w:rsidRDefault="005D7BE8" w:rsidP="00901636">
            <w:pPr>
              <w:pStyle w:val="Tableheadermain"/>
              <w:rPr>
                <w:b/>
                <w:bCs/>
              </w:rPr>
            </w:pPr>
            <w:r w:rsidRPr="00A93E8C">
              <w:rPr>
                <w:b/>
                <w:bCs/>
              </w:rPr>
              <w:t>Medians</w:t>
            </w:r>
          </w:p>
        </w:tc>
        <w:tc>
          <w:tcPr>
            <w:tcW w:w="2548" w:type="dxa"/>
          </w:tcPr>
          <w:p w14:paraId="01F089CC" w14:textId="77777777" w:rsidR="005D7BE8" w:rsidRPr="00823B47" w:rsidRDefault="005D7BE8"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A93E8C">
              <w:rPr>
                <w:b/>
                <w:bCs/>
              </w:rPr>
              <w:t>Exporters</w:t>
            </w:r>
            <w:r>
              <w:rPr>
                <w:b/>
                <w:bCs/>
              </w:rPr>
              <w:br/>
            </w:r>
            <w:r w:rsidRPr="00A93E8C">
              <w:rPr>
                <w:b/>
                <w:bCs/>
              </w:rPr>
              <w:t>(n= 24,609)</w:t>
            </w:r>
          </w:p>
        </w:tc>
        <w:tc>
          <w:tcPr>
            <w:cnfStyle w:val="000010000000" w:firstRow="0" w:lastRow="0" w:firstColumn="0" w:lastColumn="0" w:oddVBand="1" w:evenVBand="0" w:oddHBand="0" w:evenHBand="0" w:firstRowFirstColumn="0" w:firstRowLastColumn="0" w:lastRowFirstColumn="0" w:lastRowLastColumn="0"/>
            <w:tcW w:w="2548" w:type="dxa"/>
          </w:tcPr>
          <w:p w14:paraId="03E2F9F4" w14:textId="77777777" w:rsidR="005D7BE8" w:rsidRPr="00823B47" w:rsidRDefault="005D7BE8" w:rsidP="00901636">
            <w:pPr>
              <w:pStyle w:val="Tableheadermain"/>
              <w:rPr>
                <w:b/>
                <w:bCs/>
              </w:rPr>
            </w:pPr>
            <w:r w:rsidRPr="00A93E8C">
              <w:rPr>
                <w:b/>
                <w:bCs/>
              </w:rPr>
              <w:t>Non-exporters</w:t>
            </w:r>
            <w:r>
              <w:rPr>
                <w:b/>
                <w:bCs/>
              </w:rPr>
              <w:br/>
            </w:r>
            <w:r w:rsidRPr="00A93E8C">
              <w:rPr>
                <w:b/>
                <w:bCs/>
              </w:rPr>
              <w:t>(n=516,772)</w:t>
            </w:r>
          </w:p>
        </w:tc>
        <w:tc>
          <w:tcPr>
            <w:tcW w:w="2156" w:type="dxa"/>
          </w:tcPr>
          <w:p w14:paraId="359BCAE1" w14:textId="77777777" w:rsidR="005D7BE8" w:rsidRPr="002A484D" w:rsidRDefault="005D7BE8"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A93E8C">
              <w:rPr>
                <w:b/>
                <w:bCs/>
              </w:rPr>
              <w:t>Difference</w:t>
            </w:r>
          </w:p>
        </w:tc>
      </w:tr>
      <w:tr w:rsidR="005D7BE8" w14:paraId="7C5583EE" w14:textId="77777777" w:rsidTr="00901636">
        <w:trPr>
          <w:cnfStyle w:val="000000100000" w:firstRow="0" w:lastRow="0" w:firstColumn="0" w:lastColumn="0" w:oddVBand="0" w:evenVBand="0" w:oddHBand="1" w:evenHBand="0" w:firstRowFirstColumn="0" w:firstRowLastColumn="0" w:lastRowFirstColumn="0" w:lastRowLastColumn="0"/>
          <w:trHeight w:val="727"/>
        </w:trPr>
        <w:tc>
          <w:tcPr>
            <w:cnfStyle w:val="000010000000" w:firstRow="0" w:lastRow="0" w:firstColumn="0" w:lastColumn="0" w:oddVBand="1" w:evenVBand="0" w:oddHBand="0" w:evenHBand="0" w:firstRowFirstColumn="0" w:firstRowLastColumn="0" w:lastRowFirstColumn="0" w:lastRowLastColumn="0"/>
            <w:tcW w:w="2547" w:type="dxa"/>
          </w:tcPr>
          <w:p w14:paraId="32C82FCD" w14:textId="77777777" w:rsidR="005D7BE8" w:rsidRPr="00206933" w:rsidRDefault="005D7BE8" w:rsidP="00901636">
            <w:pPr>
              <w:pStyle w:val="Tablecopy"/>
            </w:pPr>
            <w:r w:rsidRPr="00BD1175">
              <w:t>Turnover ($)</w:t>
            </w:r>
          </w:p>
        </w:tc>
        <w:tc>
          <w:tcPr>
            <w:tcW w:w="2548" w:type="dxa"/>
          </w:tcPr>
          <w:p w14:paraId="44DEA47D" w14:textId="77777777" w:rsidR="005D7BE8"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BD1175">
              <w:t>4,908,673</w:t>
            </w:r>
          </w:p>
        </w:tc>
        <w:tc>
          <w:tcPr>
            <w:cnfStyle w:val="000010000000" w:firstRow="0" w:lastRow="0" w:firstColumn="0" w:lastColumn="0" w:oddVBand="1" w:evenVBand="0" w:oddHBand="0" w:evenHBand="0" w:firstRowFirstColumn="0" w:firstRowLastColumn="0" w:lastRowFirstColumn="0" w:lastRowLastColumn="0"/>
            <w:tcW w:w="2548" w:type="dxa"/>
          </w:tcPr>
          <w:p w14:paraId="2C592129" w14:textId="77777777" w:rsidR="005D7BE8" w:rsidRDefault="005D7BE8" w:rsidP="00901636">
            <w:pPr>
              <w:pStyle w:val="Tablecopy"/>
            </w:pPr>
            <w:r w:rsidRPr="00BD1175">
              <w:t>740,159</w:t>
            </w:r>
          </w:p>
        </w:tc>
        <w:tc>
          <w:tcPr>
            <w:tcW w:w="2156" w:type="dxa"/>
          </w:tcPr>
          <w:p w14:paraId="7259DBE3" w14:textId="77777777" w:rsidR="005D7BE8"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BD1175">
              <w:t>+4,168,515</w:t>
            </w:r>
          </w:p>
        </w:tc>
      </w:tr>
      <w:tr w:rsidR="005D7BE8" w14:paraId="2E91ED6D" w14:textId="77777777" w:rsidTr="00901636">
        <w:trPr>
          <w:trHeight w:val="712"/>
        </w:trPr>
        <w:tc>
          <w:tcPr>
            <w:cnfStyle w:val="000010000000" w:firstRow="0" w:lastRow="0" w:firstColumn="0" w:lastColumn="0" w:oddVBand="1" w:evenVBand="0" w:oddHBand="0" w:evenHBand="0" w:firstRowFirstColumn="0" w:firstRowLastColumn="0" w:lastRowFirstColumn="0" w:lastRowLastColumn="0"/>
            <w:tcW w:w="2547" w:type="dxa"/>
          </w:tcPr>
          <w:p w14:paraId="77B33406" w14:textId="77777777" w:rsidR="005D7BE8" w:rsidRDefault="005D7BE8" w:rsidP="00901636">
            <w:pPr>
              <w:pStyle w:val="Tablecopy"/>
            </w:pPr>
            <w:r w:rsidRPr="00BD1175">
              <w:t>Value</w:t>
            </w:r>
            <w:r>
              <w:t>-</w:t>
            </w:r>
            <w:r w:rsidRPr="00BD1175">
              <w:t>added ($)</w:t>
            </w:r>
          </w:p>
        </w:tc>
        <w:tc>
          <w:tcPr>
            <w:tcW w:w="2548" w:type="dxa"/>
          </w:tcPr>
          <w:p w14:paraId="30DFC00B" w14:textId="77777777" w:rsidR="005D7BE8"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BD1175">
              <w:t>3,705,739</w:t>
            </w:r>
          </w:p>
        </w:tc>
        <w:tc>
          <w:tcPr>
            <w:cnfStyle w:val="000010000000" w:firstRow="0" w:lastRow="0" w:firstColumn="0" w:lastColumn="0" w:oddVBand="1" w:evenVBand="0" w:oddHBand="0" w:evenHBand="0" w:firstRowFirstColumn="0" w:firstRowLastColumn="0" w:lastRowFirstColumn="0" w:lastRowLastColumn="0"/>
            <w:tcW w:w="2548" w:type="dxa"/>
          </w:tcPr>
          <w:p w14:paraId="12D73533" w14:textId="77777777" w:rsidR="005D7BE8" w:rsidRDefault="005D7BE8" w:rsidP="00901636">
            <w:pPr>
              <w:pStyle w:val="Tablecopy"/>
            </w:pPr>
            <w:r w:rsidRPr="00BD1175">
              <w:t>718,402</w:t>
            </w:r>
          </w:p>
        </w:tc>
        <w:tc>
          <w:tcPr>
            <w:tcW w:w="2156" w:type="dxa"/>
          </w:tcPr>
          <w:p w14:paraId="652098C7" w14:textId="77777777" w:rsidR="005D7BE8"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BD1175">
              <w:t>+2,987,338</w:t>
            </w:r>
          </w:p>
        </w:tc>
      </w:tr>
      <w:tr w:rsidR="005D7BE8" w14:paraId="609988F4" w14:textId="77777777" w:rsidTr="00901636">
        <w:trPr>
          <w:cnfStyle w:val="000000100000" w:firstRow="0" w:lastRow="0" w:firstColumn="0" w:lastColumn="0" w:oddVBand="0" w:evenVBand="0" w:oddHBand="1" w:evenHBand="0" w:firstRowFirstColumn="0" w:firstRowLastColumn="0" w:lastRowFirstColumn="0" w:lastRowLastColumn="0"/>
          <w:trHeight w:val="712"/>
        </w:trPr>
        <w:tc>
          <w:tcPr>
            <w:cnfStyle w:val="000010000000" w:firstRow="0" w:lastRow="0" w:firstColumn="0" w:lastColumn="0" w:oddVBand="1" w:evenVBand="0" w:oddHBand="0" w:evenHBand="0" w:firstRowFirstColumn="0" w:firstRowLastColumn="0" w:lastRowFirstColumn="0" w:lastRowLastColumn="0"/>
            <w:tcW w:w="2547" w:type="dxa"/>
          </w:tcPr>
          <w:p w14:paraId="2F4E2DFD" w14:textId="77777777" w:rsidR="005D7BE8" w:rsidRDefault="005D7BE8" w:rsidP="00901636">
            <w:pPr>
              <w:pStyle w:val="Tablecopy"/>
            </w:pPr>
            <w:r w:rsidRPr="00BD1175">
              <w:t>Wages ($)</w:t>
            </w:r>
          </w:p>
        </w:tc>
        <w:tc>
          <w:tcPr>
            <w:tcW w:w="2548" w:type="dxa"/>
          </w:tcPr>
          <w:p w14:paraId="65471002" w14:textId="77777777" w:rsidR="005D7BE8"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BD1175">
              <w:t>811,162</w:t>
            </w:r>
          </w:p>
        </w:tc>
        <w:tc>
          <w:tcPr>
            <w:cnfStyle w:val="000010000000" w:firstRow="0" w:lastRow="0" w:firstColumn="0" w:lastColumn="0" w:oddVBand="1" w:evenVBand="0" w:oddHBand="0" w:evenHBand="0" w:firstRowFirstColumn="0" w:firstRowLastColumn="0" w:lastRowFirstColumn="0" w:lastRowLastColumn="0"/>
            <w:tcW w:w="2548" w:type="dxa"/>
          </w:tcPr>
          <w:p w14:paraId="723E1968" w14:textId="77777777" w:rsidR="005D7BE8" w:rsidRDefault="005D7BE8" w:rsidP="00901636">
            <w:pPr>
              <w:pStyle w:val="Tablecopy"/>
            </w:pPr>
            <w:r w:rsidRPr="00BD1175">
              <w:t>218,878</w:t>
            </w:r>
          </w:p>
        </w:tc>
        <w:tc>
          <w:tcPr>
            <w:tcW w:w="2156" w:type="dxa"/>
          </w:tcPr>
          <w:p w14:paraId="53618E36" w14:textId="77777777" w:rsidR="005D7BE8"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BD1175">
              <w:t>+592,284</w:t>
            </w:r>
          </w:p>
        </w:tc>
      </w:tr>
      <w:tr w:rsidR="005D7BE8" w14:paraId="67C4CC36" w14:textId="77777777" w:rsidTr="00901636">
        <w:trPr>
          <w:trHeight w:val="712"/>
        </w:trPr>
        <w:tc>
          <w:tcPr>
            <w:cnfStyle w:val="000010000000" w:firstRow="0" w:lastRow="0" w:firstColumn="0" w:lastColumn="0" w:oddVBand="1" w:evenVBand="0" w:oddHBand="0" w:evenHBand="0" w:firstRowFirstColumn="0" w:firstRowLastColumn="0" w:lastRowFirstColumn="0" w:lastRowLastColumn="0"/>
            <w:tcW w:w="2547" w:type="dxa"/>
          </w:tcPr>
          <w:p w14:paraId="7D27E296" w14:textId="77777777" w:rsidR="005D7BE8" w:rsidRDefault="005D7BE8" w:rsidP="00901636">
            <w:pPr>
              <w:pStyle w:val="Tablecopy"/>
            </w:pPr>
            <w:r w:rsidRPr="00BD1175">
              <w:t>FTE (#)</w:t>
            </w:r>
          </w:p>
        </w:tc>
        <w:tc>
          <w:tcPr>
            <w:tcW w:w="2548" w:type="dxa"/>
          </w:tcPr>
          <w:p w14:paraId="7E2C8E8C" w14:textId="77777777" w:rsidR="005D7BE8"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BD1175">
              <w:t>11.3</w:t>
            </w:r>
          </w:p>
        </w:tc>
        <w:tc>
          <w:tcPr>
            <w:cnfStyle w:val="000010000000" w:firstRow="0" w:lastRow="0" w:firstColumn="0" w:lastColumn="0" w:oddVBand="1" w:evenVBand="0" w:oddHBand="0" w:evenHBand="0" w:firstRowFirstColumn="0" w:firstRowLastColumn="0" w:lastRowFirstColumn="0" w:lastRowLastColumn="0"/>
            <w:tcW w:w="2548" w:type="dxa"/>
          </w:tcPr>
          <w:p w14:paraId="0E658D05" w14:textId="77777777" w:rsidR="005D7BE8" w:rsidRDefault="005D7BE8" w:rsidP="00901636">
            <w:pPr>
              <w:pStyle w:val="Tablecopy"/>
            </w:pPr>
            <w:r w:rsidRPr="00BD1175">
              <w:t>3.5</w:t>
            </w:r>
          </w:p>
        </w:tc>
        <w:tc>
          <w:tcPr>
            <w:tcW w:w="2156" w:type="dxa"/>
          </w:tcPr>
          <w:p w14:paraId="68DFAB8A" w14:textId="77777777" w:rsidR="005D7BE8"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BD1175">
              <w:t>+7.8</w:t>
            </w:r>
          </w:p>
        </w:tc>
      </w:tr>
      <w:tr w:rsidR="005D7BE8" w14:paraId="1DCF4A07" w14:textId="77777777" w:rsidTr="00901636">
        <w:trPr>
          <w:cnfStyle w:val="000000100000" w:firstRow="0" w:lastRow="0" w:firstColumn="0" w:lastColumn="0" w:oddVBand="0" w:evenVBand="0" w:oddHBand="1" w:evenHBand="0" w:firstRowFirstColumn="0" w:firstRowLastColumn="0" w:lastRowFirstColumn="0" w:lastRowLastColumn="0"/>
          <w:trHeight w:val="712"/>
        </w:trPr>
        <w:tc>
          <w:tcPr>
            <w:cnfStyle w:val="000010000000" w:firstRow="0" w:lastRow="0" w:firstColumn="0" w:lastColumn="0" w:oddVBand="1" w:evenVBand="0" w:oddHBand="0" w:evenHBand="0" w:firstRowFirstColumn="0" w:firstRowLastColumn="0" w:lastRowFirstColumn="0" w:lastRowLastColumn="0"/>
            <w:tcW w:w="2547" w:type="dxa"/>
          </w:tcPr>
          <w:p w14:paraId="03DB0FDC" w14:textId="77777777" w:rsidR="005D7BE8" w:rsidRPr="006453A2" w:rsidRDefault="005D7BE8" w:rsidP="00901636">
            <w:pPr>
              <w:pStyle w:val="Tablecopy"/>
            </w:pPr>
            <w:r w:rsidRPr="00BD1175">
              <w:t>Headcount (#)</w:t>
            </w:r>
          </w:p>
        </w:tc>
        <w:tc>
          <w:tcPr>
            <w:tcW w:w="2548" w:type="dxa"/>
          </w:tcPr>
          <w:p w14:paraId="05FC0F0B" w14:textId="77777777" w:rsidR="005D7BE8" w:rsidRPr="006453A2"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BD1175">
              <w:t>16</w:t>
            </w:r>
          </w:p>
        </w:tc>
        <w:tc>
          <w:tcPr>
            <w:cnfStyle w:val="000010000000" w:firstRow="0" w:lastRow="0" w:firstColumn="0" w:lastColumn="0" w:oddVBand="1" w:evenVBand="0" w:oddHBand="0" w:evenHBand="0" w:firstRowFirstColumn="0" w:firstRowLastColumn="0" w:lastRowFirstColumn="0" w:lastRowLastColumn="0"/>
            <w:tcW w:w="2548" w:type="dxa"/>
          </w:tcPr>
          <w:p w14:paraId="31D9BB3D" w14:textId="77777777" w:rsidR="005D7BE8" w:rsidRPr="006453A2" w:rsidRDefault="005D7BE8" w:rsidP="00901636">
            <w:pPr>
              <w:pStyle w:val="Tablecopy"/>
            </w:pPr>
            <w:r w:rsidRPr="00BD1175">
              <w:t>6</w:t>
            </w:r>
          </w:p>
        </w:tc>
        <w:tc>
          <w:tcPr>
            <w:tcW w:w="2156" w:type="dxa"/>
          </w:tcPr>
          <w:p w14:paraId="08F0ED61" w14:textId="77777777" w:rsidR="005D7BE8" w:rsidRPr="006453A2"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BD1175">
              <w:t>+10</w:t>
            </w:r>
          </w:p>
        </w:tc>
      </w:tr>
      <w:tr w:rsidR="005D7BE8" w14:paraId="5451EE04" w14:textId="77777777" w:rsidTr="00901636">
        <w:trPr>
          <w:trHeight w:val="712"/>
        </w:trPr>
        <w:tc>
          <w:tcPr>
            <w:cnfStyle w:val="000010000000" w:firstRow="0" w:lastRow="0" w:firstColumn="0" w:lastColumn="0" w:oddVBand="1" w:evenVBand="0" w:oddHBand="0" w:evenHBand="0" w:firstRowFirstColumn="0" w:firstRowLastColumn="0" w:lastRowFirstColumn="0" w:lastRowLastColumn="0"/>
            <w:tcW w:w="2547" w:type="dxa"/>
          </w:tcPr>
          <w:p w14:paraId="3457B354" w14:textId="77777777" w:rsidR="005D7BE8" w:rsidRPr="006453A2" w:rsidRDefault="005D7BE8" w:rsidP="00901636">
            <w:pPr>
              <w:pStyle w:val="Tablecopy"/>
            </w:pPr>
            <w:r w:rsidRPr="00BD1175">
              <w:t>Labour productivity ($)</w:t>
            </w:r>
          </w:p>
        </w:tc>
        <w:tc>
          <w:tcPr>
            <w:tcW w:w="2548" w:type="dxa"/>
          </w:tcPr>
          <w:p w14:paraId="23876D9E" w14:textId="77777777" w:rsidR="005D7BE8" w:rsidRPr="006453A2"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BD1175">
              <w:t>195,865</w:t>
            </w:r>
          </w:p>
        </w:tc>
        <w:tc>
          <w:tcPr>
            <w:cnfStyle w:val="000010000000" w:firstRow="0" w:lastRow="0" w:firstColumn="0" w:lastColumn="0" w:oddVBand="1" w:evenVBand="0" w:oddHBand="0" w:evenHBand="0" w:firstRowFirstColumn="0" w:firstRowLastColumn="0" w:lastRowFirstColumn="0" w:lastRowLastColumn="0"/>
            <w:tcW w:w="2548" w:type="dxa"/>
          </w:tcPr>
          <w:p w14:paraId="1D85008C" w14:textId="77777777" w:rsidR="005D7BE8" w:rsidRPr="006453A2" w:rsidRDefault="005D7BE8" w:rsidP="00901636">
            <w:pPr>
              <w:pStyle w:val="Tablecopy"/>
            </w:pPr>
            <w:r w:rsidRPr="00BD1175">
              <w:t>109,489</w:t>
            </w:r>
          </w:p>
        </w:tc>
        <w:tc>
          <w:tcPr>
            <w:tcW w:w="2156" w:type="dxa"/>
          </w:tcPr>
          <w:p w14:paraId="1272AC8A" w14:textId="77777777" w:rsidR="005D7BE8" w:rsidRPr="006453A2"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BD1175">
              <w:t>+86,376</w:t>
            </w:r>
          </w:p>
        </w:tc>
      </w:tr>
      <w:tr w:rsidR="005D7BE8" w14:paraId="3767EAF0" w14:textId="77777777" w:rsidTr="00901636">
        <w:trPr>
          <w:cnfStyle w:val="000000100000" w:firstRow="0" w:lastRow="0" w:firstColumn="0" w:lastColumn="0" w:oddVBand="0" w:evenVBand="0" w:oddHBand="1" w:evenHBand="0" w:firstRowFirstColumn="0" w:firstRowLastColumn="0" w:lastRowFirstColumn="0" w:lastRowLastColumn="0"/>
          <w:trHeight w:val="712"/>
        </w:trPr>
        <w:tc>
          <w:tcPr>
            <w:cnfStyle w:val="000010000000" w:firstRow="0" w:lastRow="0" w:firstColumn="0" w:lastColumn="0" w:oddVBand="1" w:evenVBand="0" w:oddHBand="0" w:evenHBand="0" w:firstRowFirstColumn="0" w:firstRowLastColumn="0" w:lastRowFirstColumn="0" w:lastRowLastColumn="0"/>
            <w:tcW w:w="2547" w:type="dxa"/>
          </w:tcPr>
          <w:p w14:paraId="6624FF05" w14:textId="77777777" w:rsidR="005D7BE8" w:rsidRPr="006453A2" w:rsidRDefault="005D7BE8" w:rsidP="00901636">
            <w:pPr>
              <w:pStyle w:val="Tablecopy"/>
            </w:pPr>
            <w:r w:rsidRPr="008D66C8">
              <w:t>Average wages ($)</w:t>
            </w:r>
          </w:p>
        </w:tc>
        <w:tc>
          <w:tcPr>
            <w:tcW w:w="2548" w:type="dxa"/>
          </w:tcPr>
          <w:p w14:paraId="34584E6A" w14:textId="77777777" w:rsidR="005D7BE8" w:rsidRPr="006453A2"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8D66C8">
              <w:t>54,492</w:t>
            </w:r>
          </w:p>
        </w:tc>
        <w:tc>
          <w:tcPr>
            <w:cnfStyle w:val="000010000000" w:firstRow="0" w:lastRow="0" w:firstColumn="0" w:lastColumn="0" w:oddVBand="1" w:evenVBand="0" w:oddHBand="0" w:evenHBand="0" w:firstRowFirstColumn="0" w:firstRowLastColumn="0" w:lastRowFirstColumn="0" w:lastRowLastColumn="0"/>
            <w:tcW w:w="2548" w:type="dxa"/>
          </w:tcPr>
          <w:p w14:paraId="3AC50C0E" w14:textId="77777777" w:rsidR="005D7BE8" w:rsidRPr="006453A2" w:rsidRDefault="005D7BE8" w:rsidP="00901636">
            <w:pPr>
              <w:pStyle w:val="Tablecopy"/>
            </w:pPr>
            <w:r w:rsidRPr="008D66C8">
              <w:t>36,908</w:t>
            </w:r>
          </w:p>
        </w:tc>
        <w:tc>
          <w:tcPr>
            <w:tcW w:w="2156" w:type="dxa"/>
          </w:tcPr>
          <w:p w14:paraId="346C3CDE" w14:textId="77777777" w:rsidR="005D7BE8" w:rsidRPr="006453A2" w:rsidRDefault="005D7BE8" w:rsidP="00901636">
            <w:pPr>
              <w:pStyle w:val="Tablecopy"/>
              <w:cnfStyle w:val="000000100000" w:firstRow="0" w:lastRow="0" w:firstColumn="0" w:lastColumn="0" w:oddVBand="0" w:evenVBand="0" w:oddHBand="1" w:evenHBand="0" w:firstRowFirstColumn="0" w:firstRowLastColumn="0" w:lastRowFirstColumn="0" w:lastRowLastColumn="0"/>
            </w:pPr>
            <w:r w:rsidRPr="008D66C8">
              <w:t>+17,585</w:t>
            </w:r>
          </w:p>
        </w:tc>
      </w:tr>
      <w:tr w:rsidR="005D7BE8" w14:paraId="491F682A" w14:textId="77777777" w:rsidTr="00901636">
        <w:trPr>
          <w:trHeight w:val="712"/>
        </w:trPr>
        <w:tc>
          <w:tcPr>
            <w:cnfStyle w:val="000010000000" w:firstRow="0" w:lastRow="0" w:firstColumn="0" w:lastColumn="0" w:oddVBand="1" w:evenVBand="0" w:oddHBand="0" w:evenHBand="0" w:firstRowFirstColumn="0" w:firstRowLastColumn="0" w:lastRowFirstColumn="0" w:lastRowLastColumn="0"/>
            <w:tcW w:w="2547" w:type="dxa"/>
          </w:tcPr>
          <w:p w14:paraId="28ACCE4F" w14:textId="77777777" w:rsidR="005D7BE8" w:rsidRPr="006453A2" w:rsidRDefault="005D7BE8" w:rsidP="00901636">
            <w:pPr>
              <w:pStyle w:val="Tablecopy"/>
            </w:pPr>
            <w:r w:rsidRPr="000F2658">
              <w:t>Firm age (years)</w:t>
            </w:r>
          </w:p>
        </w:tc>
        <w:tc>
          <w:tcPr>
            <w:tcW w:w="2548" w:type="dxa"/>
          </w:tcPr>
          <w:p w14:paraId="08736D5E" w14:textId="77777777" w:rsidR="005D7BE8" w:rsidRPr="006453A2"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0F2658">
              <w:t>16</w:t>
            </w:r>
          </w:p>
        </w:tc>
        <w:tc>
          <w:tcPr>
            <w:cnfStyle w:val="000010000000" w:firstRow="0" w:lastRow="0" w:firstColumn="0" w:lastColumn="0" w:oddVBand="1" w:evenVBand="0" w:oddHBand="0" w:evenHBand="0" w:firstRowFirstColumn="0" w:firstRowLastColumn="0" w:lastRowFirstColumn="0" w:lastRowLastColumn="0"/>
            <w:tcW w:w="2548" w:type="dxa"/>
          </w:tcPr>
          <w:p w14:paraId="4F375942" w14:textId="77777777" w:rsidR="005D7BE8" w:rsidRPr="006453A2" w:rsidRDefault="005D7BE8" w:rsidP="00901636">
            <w:pPr>
              <w:pStyle w:val="Tablecopy"/>
            </w:pPr>
            <w:r w:rsidRPr="000F2658">
              <w:t>6</w:t>
            </w:r>
          </w:p>
        </w:tc>
        <w:tc>
          <w:tcPr>
            <w:tcW w:w="2156" w:type="dxa"/>
          </w:tcPr>
          <w:p w14:paraId="196815F7" w14:textId="77777777" w:rsidR="005D7BE8" w:rsidRPr="006453A2" w:rsidRDefault="005D7BE8" w:rsidP="00901636">
            <w:pPr>
              <w:pStyle w:val="Tablecopy"/>
              <w:cnfStyle w:val="000000000000" w:firstRow="0" w:lastRow="0" w:firstColumn="0" w:lastColumn="0" w:oddVBand="0" w:evenVBand="0" w:oddHBand="0" w:evenHBand="0" w:firstRowFirstColumn="0" w:firstRowLastColumn="0" w:lastRowFirstColumn="0" w:lastRowLastColumn="0"/>
            </w:pPr>
            <w:r w:rsidRPr="000F2658">
              <w:t>+10</w:t>
            </w:r>
          </w:p>
        </w:tc>
      </w:tr>
    </w:tbl>
    <w:p w14:paraId="26BAEE1A" w14:textId="21332922" w:rsidR="00A93E8C" w:rsidRPr="00A93E8C" w:rsidRDefault="007E632D" w:rsidP="00A93E8C">
      <w:r>
        <w:t>.</w:t>
      </w:r>
    </w:p>
    <w:p w14:paraId="63C39F96" w14:textId="77777777" w:rsidR="004152C9" w:rsidRDefault="004152C9" w:rsidP="004152C9">
      <w:pPr>
        <w:pStyle w:val="Heading2"/>
      </w:pPr>
      <w:r w:rsidRPr="004152C9">
        <w:lastRenderedPageBreak/>
        <w:t>Overall, exporters pa</w:t>
      </w:r>
      <w:r>
        <w:t>id</w:t>
      </w:r>
      <w:r w:rsidRPr="004152C9">
        <w:t xml:space="preserve"> $17,585 higher wages on average than non-exporters in 2020-21</w:t>
      </w:r>
    </w:p>
    <w:p w14:paraId="62CE1D53" w14:textId="77777777" w:rsidR="004152C9" w:rsidRDefault="004152C9" w:rsidP="004152C9">
      <w:r w:rsidRPr="004152C9">
        <w:t>This size gap in median average wages was highest in mining and services industries including public administration and safety, financial and insurance services, information media and telecommunications, and other services</w:t>
      </w:r>
    </w:p>
    <w:p w14:paraId="1847DF35" w14:textId="77777777" w:rsidR="004152C9" w:rsidRDefault="004152C9" w:rsidP="004152C9">
      <w:pPr>
        <w:pStyle w:val="Heading3"/>
      </w:pPr>
      <w:r>
        <w:t>Figure 21. Average wage premium paid by exporters vs. non-exporters</w:t>
      </w:r>
    </w:p>
    <w:tbl>
      <w:tblPr>
        <w:tblStyle w:val="ListTable3-Accent1"/>
        <w:tblpPr w:leftFromText="180" w:rightFromText="180" w:vertAnchor="text" w:tblpY="1"/>
        <w:tblOverlap w:val="never"/>
        <w:tblW w:w="0" w:type="auto"/>
        <w:tblLook w:val="0020" w:firstRow="1" w:lastRow="0" w:firstColumn="0" w:lastColumn="0" w:noHBand="0" w:noVBand="0"/>
      </w:tblPr>
      <w:tblGrid>
        <w:gridCol w:w="4732"/>
        <w:gridCol w:w="4732"/>
      </w:tblGrid>
      <w:tr w:rsidR="004F23C0" w:rsidRPr="00823B47" w14:paraId="1F9010E3" w14:textId="77777777" w:rsidTr="00FC520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732" w:type="dxa"/>
          </w:tcPr>
          <w:p w14:paraId="73792ED7" w14:textId="77777777" w:rsidR="004F23C0" w:rsidRPr="00823B47" w:rsidRDefault="004F23C0" w:rsidP="00901636">
            <w:pPr>
              <w:pStyle w:val="Tableheadermain"/>
              <w:rPr>
                <w:b/>
                <w:bCs/>
              </w:rPr>
            </w:pPr>
            <w:r>
              <w:rPr>
                <w:b/>
                <w:bCs/>
              </w:rPr>
              <w:t>Industry</w:t>
            </w:r>
          </w:p>
        </w:tc>
        <w:tc>
          <w:tcPr>
            <w:tcW w:w="4732" w:type="dxa"/>
          </w:tcPr>
          <w:p w14:paraId="0B06D117" w14:textId="144FFFF3" w:rsidR="004F23C0" w:rsidRPr="00455244" w:rsidRDefault="00E76370"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E76370">
              <w:rPr>
                <w:b/>
                <w:bCs/>
              </w:rPr>
              <w:t>% difference</w:t>
            </w:r>
          </w:p>
        </w:tc>
      </w:tr>
      <w:tr w:rsidR="00226F2E" w14:paraId="2E82DC91"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4E48A69" w14:textId="4B9D6360" w:rsidR="00226F2E" w:rsidRPr="00206933" w:rsidRDefault="00226F2E" w:rsidP="00226F2E">
            <w:pPr>
              <w:pStyle w:val="Tablecopy"/>
            </w:pPr>
            <w:r w:rsidRPr="001C6009">
              <w:t>Agriculture, Forestry and Fishing  </w:t>
            </w:r>
          </w:p>
        </w:tc>
        <w:tc>
          <w:tcPr>
            <w:tcW w:w="4732" w:type="dxa"/>
            <w:vAlign w:val="bottom"/>
          </w:tcPr>
          <w:p w14:paraId="7E9ED5F4" w14:textId="77F0825E" w:rsidR="00226F2E"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38%</w:t>
            </w:r>
          </w:p>
        </w:tc>
      </w:tr>
      <w:tr w:rsidR="00226F2E" w14:paraId="46522546"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6D5461F1" w14:textId="6E147456" w:rsidR="00226F2E" w:rsidRDefault="00226F2E" w:rsidP="00226F2E">
            <w:pPr>
              <w:pStyle w:val="Tablecopy"/>
            </w:pPr>
            <w:r w:rsidRPr="001C6009">
              <w:t>Electricity, Water and Waste Services  </w:t>
            </w:r>
          </w:p>
        </w:tc>
        <w:tc>
          <w:tcPr>
            <w:tcW w:w="4732" w:type="dxa"/>
            <w:vAlign w:val="bottom"/>
          </w:tcPr>
          <w:p w14:paraId="593E4E64" w14:textId="332ABCB0" w:rsidR="00226F2E" w:rsidRDefault="00226F2E" w:rsidP="00226F2E">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24%</w:t>
            </w:r>
          </w:p>
        </w:tc>
      </w:tr>
      <w:tr w:rsidR="00226F2E" w14:paraId="244DDDCA"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586CCB31" w14:textId="5F0CF09B" w:rsidR="00226F2E" w:rsidRDefault="00226F2E" w:rsidP="00226F2E">
            <w:pPr>
              <w:pStyle w:val="Tablecopy"/>
            </w:pPr>
            <w:r w:rsidRPr="001C6009">
              <w:t>Healthcare and Social Assistance  </w:t>
            </w:r>
          </w:p>
        </w:tc>
        <w:tc>
          <w:tcPr>
            <w:tcW w:w="4732" w:type="dxa"/>
            <w:vAlign w:val="bottom"/>
          </w:tcPr>
          <w:p w14:paraId="60BBEBB1" w14:textId="45E12FFE" w:rsidR="00226F2E"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29%</w:t>
            </w:r>
          </w:p>
        </w:tc>
      </w:tr>
      <w:tr w:rsidR="00226F2E" w14:paraId="489E3A3C"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5A4244DB" w14:textId="158E9D27" w:rsidR="00226F2E" w:rsidRDefault="00226F2E" w:rsidP="00226F2E">
            <w:pPr>
              <w:pStyle w:val="Tablecopy"/>
            </w:pPr>
            <w:r w:rsidRPr="001C6009">
              <w:t>Accommodation and Food Services  </w:t>
            </w:r>
          </w:p>
        </w:tc>
        <w:tc>
          <w:tcPr>
            <w:tcW w:w="4732" w:type="dxa"/>
            <w:vAlign w:val="bottom"/>
          </w:tcPr>
          <w:p w14:paraId="3B58616C" w14:textId="3C53D61C" w:rsidR="00226F2E" w:rsidRPr="008E02F2" w:rsidRDefault="00226F2E" w:rsidP="00226F2E">
            <w:pPr>
              <w:pStyle w:val="Tablecopy"/>
              <w:cnfStyle w:val="000000000000" w:firstRow="0" w:lastRow="0" w:firstColumn="0" w:lastColumn="0" w:oddVBand="0" w:evenVBand="0" w:oddHBand="0" w:evenHBand="0" w:firstRowFirstColumn="0" w:firstRowLastColumn="0" w:lastRowFirstColumn="0" w:lastRowLastColumn="0"/>
              <w:rPr>
                <w:lang w:val="en-US"/>
              </w:rPr>
            </w:pPr>
            <w:r>
              <w:rPr>
                <w:rFonts w:ascii="Liberation Sans" w:hAnsi="Liberation Sans" w:cs="Calibri"/>
                <w:color w:val="000000"/>
                <w:sz w:val="20"/>
              </w:rPr>
              <w:t>69%</w:t>
            </w:r>
          </w:p>
        </w:tc>
      </w:tr>
      <w:tr w:rsidR="00226F2E" w14:paraId="0492F203"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92CED01" w14:textId="0E828BCB" w:rsidR="00226F2E" w:rsidRDefault="00226F2E" w:rsidP="00226F2E">
            <w:pPr>
              <w:pStyle w:val="Tablecopy"/>
            </w:pPr>
            <w:r w:rsidRPr="001C6009">
              <w:t>Retail Trade  </w:t>
            </w:r>
          </w:p>
        </w:tc>
        <w:tc>
          <w:tcPr>
            <w:tcW w:w="4732" w:type="dxa"/>
            <w:vAlign w:val="bottom"/>
          </w:tcPr>
          <w:p w14:paraId="4B8D3E11" w14:textId="63CF32A8" w:rsidR="00226F2E"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41%</w:t>
            </w:r>
          </w:p>
        </w:tc>
      </w:tr>
      <w:tr w:rsidR="00226F2E" w14:paraId="749407E6"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145B1CC8" w14:textId="5BCDD2FD" w:rsidR="00226F2E" w:rsidRDefault="00226F2E" w:rsidP="00226F2E">
            <w:pPr>
              <w:pStyle w:val="Tablecopy"/>
            </w:pPr>
            <w:r w:rsidRPr="001C6009">
              <w:t>Manufacturing  </w:t>
            </w:r>
          </w:p>
        </w:tc>
        <w:tc>
          <w:tcPr>
            <w:tcW w:w="4732" w:type="dxa"/>
            <w:vAlign w:val="bottom"/>
          </w:tcPr>
          <w:p w14:paraId="066BE745" w14:textId="458272BF" w:rsidR="00226F2E" w:rsidRPr="008E02F2" w:rsidRDefault="00226F2E" w:rsidP="00226F2E">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32%</w:t>
            </w:r>
          </w:p>
        </w:tc>
      </w:tr>
      <w:tr w:rsidR="00226F2E" w14:paraId="428240F0"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DFFE77B" w14:textId="3D5E22D8" w:rsidR="00226F2E" w:rsidRDefault="00226F2E" w:rsidP="00226F2E">
            <w:pPr>
              <w:pStyle w:val="Tablecopy"/>
            </w:pPr>
            <w:r w:rsidRPr="001C6009">
              <w:t>Rental, Hiring and Real Estate Services  </w:t>
            </w:r>
          </w:p>
        </w:tc>
        <w:tc>
          <w:tcPr>
            <w:tcW w:w="4732" w:type="dxa"/>
            <w:vAlign w:val="bottom"/>
          </w:tcPr>
          <w:p w14:paraId="0D604D4D" w14:textId="0FE8C2CC" w:rsidR="00226F2E" w:rsidRPr="008E02F2"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32%</w:t>
            </w:r>
          </w:p>
        </w:tc>
      </w:tr>
      <w:tr w:rsidR="00226F2E" w14:paraId="6FC7003B"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1A021959" w14:textId="3B2C7CA5" w:rsidR="00226F2E" w:rsidRDefault="00226F2E" w:rsidP="00226F2E">
            <w:pPr>
              <w:pStyle w:val="Tablecopy"/>
            </w:pPr>
            <w:r w:rsidRPr="001C6009">
              <w:t>Wholesale Trade  </w:t>
            </w:r>
          </w:p>
        </w:tc>
        <w:tc>
          <w:tcPr>
            <w:tcW w:w="4732" w:type="dxa"/>
            <w:vAlign w:val="bottom"/>
          </w:tcPr>
          <w:p w14:paraId="5D931CDC" w14:textId="7BFF0D89" w:rsidR="00226F2E" w:rsidRPr="008E02F2" w:rsidRDefault="00226F2E" w:rsidP="00226F2E">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33%</w:t>
            </w:r>
          </w:p>
        </w:tc>
      </w:tr>
      <w:tr w:rsidR="00226F2E" w14:paraId="33E2BEF9"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4060CF3F" w14:textId="5BB81D5D" w:rsidR="00226F2E" w:rsidRDefault="00226F2E" w:rsidP="00226F2E">
            <w:pPr>
              <w:pStyle w:val="Tablecopy"/>
            </w:pPr>
            <w:r w:rsidRPr="001C6009">
              <w:t>Professional, Scientific and Technical Services  </w:t>
            </w:r>
          </w:p>
        </w:tc>
        <w:tc>
          <w:tcPr>
            <w:tcW w:w="4732" w:type="dxa"/>
            <w:vAlign w:val="bottom"/>
          </w:tcPr>
          <w:p w14:paraId="5CFB6872" w14:textId="4BA05E11" w:rsidR="00226F2E" w:rsidRPr="008E02F2"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27%</w:t>
            </w:r>
          </w:p>
        </w:tc>
      </w:tr>
      <w:tr w:rsidR="00226F2E" w14:paraId="630CDCC1"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1CC51CF8" w14:textId="0373C15E" w:rsidR="00226F2E" w:rsidRDefault="00226F2E" w:rsidP="00226F2E">
            <w:pPr>
              <w:pStyle w:val="Tablecopy"/>
            </w:pPr>
            <w:r w:rsidRPr="001C6009">
              <w:t>Arts and Recreation Services  </w:t>
            </w:r>
          </w:p>
        </w:tc>
        <w:tc>
          <w:tcPr>
            <w:tcW w:w="4732" w:type="dxa"/>
            <w:vAlign w:val="bottom"/>
          </w:tcPr>
          <w:p w14:paraId="50F506A6" w14:textId="1F8F8FD9" w:rsidR="00226F2E" w:rsidRPr="008E02F2" w:rsidRDefault="00226F2E" w:rsidP="00226F2E">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68%</w:t>
            </w:r>
          </w:p>
        </w:tc>
      </w:tr>
      <w:tr w:rsidR="00226F2E" w14:paraId="77FA0D93"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F7DB8C4" w14:textId="182C58C4" w:rsidR="00226F2E" w:rsidRDefault="00226F2E" w:rsidP="00226F2E">
            <w:pPr>
              <w:pStyle w:val="Tablecopy"/>
            </w:pPr>
            <w:r w:rsidRPr="001C6009">
              <w:t>Administrative and Support Services  </w:t>
            </w:r>
          </w:p>
        </w:tc>
        <w:tc>
          <w:tcPr>
            <w:tcW w:w="4732" w:type="dxa"/>
            <w:vAlign w:val="bottom"/>
          </w:tcPr>
          <w:p w14:paraId="1526438C" w14:textId="28D22856" w:rsidR="00226F2E" w:rsidRPr="008E02F2"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48%</w:t>
            </w:r>
          </w:p>
        </w:tc>
      </w:tr>
      <w:tr w:rsidR="00226F2E" w14:paraId="5AE6FC95"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4EE7B7B0" w14:textId="18A23E5A" w:rsidR="00226F2E" w:rsidRDefault="00226F2E" w:rsidP="00226F2E">
            <w:pPr>
              <w:pStyle w:val="Tablecopy"/>
            </w:pPr>
            <w:r w:rsidRPr="001C6009">
              <w:t>Education and Training  </w:t>
            </w:r>
          </w:p>
        </w:tc>
        <w:tc>
          <w:tcPr>
            <w:tcW w:w="4732" w:type="dxa"/>
            <w:vAlign w:val="bottom"/>
          </w:tcPr>
          <w:p w14:paraId="2A7EBB5F" w14:textId="4D71FCCE" w:rsidR="00226F2E" w:rsidRPr="008E02F2" w:rsidRDefault="00226F2E" w:rsidP="00226F2E">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60%</w:t>
            </w:r>
          </w:p>
        </w:tc>
      </w:tr>
      <w:tr w:rsidR="00226F2E" w14:paraId="382BFEA3"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A74CE7F" w14:textId="64D5BE3A" w:rsidR="00226F2E" w:rsidRDefault="00226F2E" w:rsidP="00226F2E">
            <w:pPr>
              <w:pStyle w:val="Tablecopy"/>
            </w:pPr>
            <w:r w:rsidRPr="001C6009">
              <w:t>Construction </w:t>
            </w:r>
          </w:p>
        </w:tc>
        <w:tc>
          <w:tcPr>
            <w:tcW w:w="4732" w:type="dxa"/>
            <w:vAlign w:val="bottom"/>
          </w:tcPr>
          <w:p w14:paraId="1E22CD55" w14:textId="7458CAAF" w:rsidR="00226F2E" w:rsidRPr="008E02F2"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46%</w:t>
            </w:r>
          </w:p>
        </w:tc>
      </w:tr>
      <w:tr w:rsidR="00226F2E" w14:paraId="0001DBF8"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0AD47501" w14:textId="3D97B1F1" w:rsidR="00226F2E" w:rsidRDefault="00226F2E" w:rsidP="00226F2E">
            <w:pPr>
              <w:pStyle w:val="Tablecopy"/>
            </w:pPr>
            <w:r w:rsidRPr="001C6009">
              <w:t>Transport,</w:t>
            </w:r>
            <w:r w:rsidR="005116C1">
              <w:t xml:space="preserve"> </w:t>
            </w:r>
            <w:r w:rsidR="00993E5F">
              <w:t>P</w:t>
            </w:r>
            <w:r w:rsidRPr="001C6009">
              <w:t>osta</w:t>
            </w:r>
            <w:r w:rsidR="005116C1">
              <w:t xml:space="preserve">l and </w:t>
            </w:r>
            <w:r w:rsidR="00993E5F">
              <w:t>W</w:t>
            </w:r>
            <w:r w:rsidR="005116C1">
              <w:t>arehousing</w:t>
            </w:r>
          </w:p>
        </w:tc>
        <w:tc>
          <w:tcPr>
            <w:tcW w:w="4732" w:type="dxa"/>
            <w:vAlign w:val="bottom"/>
          </w:tcPr>
          <w:p w14:paraId="13996D46" w14:textId="67293981" w:rsidR="00226F2E" w:rsidRPr="008E02F2" w:rsidRDefault="00226F2E" w:rsidP="00226F2E">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55%</w:t>
            </w:r>
          </w:p>
        </w:tc>
      </w:tr>
      <w:tr w:rsidR="00226F2E" w14:paraId="2102FBDD"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62605BC9" w14:textId="5555549A" w:rsidR="00226F2E" w:rsidRDefault="00226F2E" w:rsidP="00226F2E">
            <w:pPr>
              <w:pStyle w:val="Tablecopy"/>
            </w:pPr>
            <w:r w:rsidRPr="001C6009">
              <w:lastRenderedPageBreak/>
              <w:t>Other Services </w:t>
            </w:r>
          </w:p>
        </w:tc>
        <w:tc>
          <w:tcPr>
            <w:tcW w:w="4732" w:type="dxa"/>
            <w:vAlign w:val="bottom"/>
          </w:tcPr>
          <w:p w14:paraId="25AE0BAF" w14:textId="353B7E3D" w:rsidR="00226F2E" w:rsidRPr="008E02F2"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65%</w:t>
            </w:r>
          </w:p>
        </w:tc>
      </w:tr>
      <w:tr w:rsidR="00226F2E" w14:paraId="26431AA4"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0A85051C" w14:textId="62BD336D" w:rsidR="00226F2E" w:rsidRDefault="00226F2E" w:rsidP="00226F2E">
            <w:pPr>
              <w:pStyle w:val="Tablecopy"/>
            </w:pPr>
            <w:r w:rsidRPr="001C6009">
              <w:t>Information Media and Telecommunications </w:t>
            </w:r>
          </w:p>
        </w:tc>
        <w:tc>
          <w:tcPr>
            <w:tcW w:w="4732" w:type="dxa"/>
            <w:vAlign w:val="bottom"/>
          </w:tcPr>
          <w:p w14:paraId="2C21C303" w14:textId="70D01648" w:rsidR="00226F2E" w:rsidRPr="008E02F2" w:rsidRDefault="00226F2E" w:rsidP="00226F2E">
            <w:pPr>
              <w:pStyle w:val="Tablecopy"/>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48%</w:t>
            </w:r>
          </w:p>
        </w:tc>
      </w:tr>
      <w:tr w:rsidR="00226F2E" w14:paraId="35C2062E"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761C32B" w14:textId="7C76558E" w:rsidR="00226F2E" w:rsidRDefault="00226F2E" w:rsidP="00226F2E">
            <w:pPr>
              <w:pStyle w:val="Tablecopy"/>
            </w:pPr>
            <w:r w:rsidRPr="001C6009">
              <w:t>Finance and Insurance Services </w:t>
            </w:r>
          </w:p>
        </w:tc>
        <w:tc>
          <w:tcPr>
            <w:tcW w:w="4732" w:type="dxa"/>
            <w:vAlign w:val="bottom"/>
          </w:tcPr>
          <w:p w14:paraId="7C892E4C" w14:textId="13C857BB" w:rsidR="00226F2E" w:rsidRPr="008E02F2"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48%</w:t>
            </w:r>
          </w:p>
        </w:tc>
      </w:tr>
      <w:tr w:rsidR="00226F2E" w14:paraId="1BBE916E" w14:textId="77777777" w:rsidTr="00FC6B98">
        <w:tc>
          <w:tcPr>
            <w:cnfStyle w:val="000010000000" w:firstRow="0" w:lastRow="0" w:firstColumn="0" w:lastColumn="0" w:oddVBand="1" w:evenVBand="0" w:oddHBand="0" w:evenHBand="0" w:firstRowFirstColumn="0" w:firstRowLastColumn="0" w:lastRowFirstColumn="0" w:lastRowLastColumn="0"/>
            <w:tcW w:w="4732" w:type="dxa"/>
          </w:tcPr>
          <w:p w14:paraId="6F73F431" w14:textId="28987968" w:rsidR="00226F2E" w:rsidRDefault="00226F2E" w:rsidP="00226F2E">
            <w:pPr>
              <w:pStyle w:val="Tablecopy"/>
            </w:pPr>
            <w:r w:rsidRPr="001C6009">
              <w:t>Public Administration and Safety </w:t>
            </w:r>
          </w:p>
        </w:tc>
        <w:tc>
          <w:tcPr>
            <w:tcW w:w="4732" w:type="dxa"/>
            <w:vAlign w:val="bottom"/>
          </w:tcPr>
          <w:p w14:paraId="4E6BE1B4" w14:textId="61FB62BD" w:rsidR="00226F2E" w:rsidRPr="008E02F2" w:rsidRDefault="00226F2E" w:rsidP="00226F2E">
            <w:pPr>
              <w:pStyle w:val="Tablecopy"/>
              <w:tabs>
                <w:tab w:val="left" w:pos="1629"/>
              </w:tabs>
              <w:cnfStyle w:val="000000000000" w:firstRow="0" w:lastRow="0" w:firstColumn="0" w:lastColumn="0" w:oddVBand="0" w:evenVBand="0" w:oddHBand="0" w:evenHBand="0" w:firstRowFirstColumn="0" w:firstRowLastColumn="0" w:lastRowFirstColumn="0" w:lastRowLastColumn="0"/>
            </w:pPr>
            <w:r>
              <w:rPr>
                <w:rFonts w:ascii="Liberation Sans" w:hAnsi="Liberation Sans" w:cs="Calibri"/>
                <w:color w:val="000000"/>
                <w:sz w:val="20"/>
              </w:rPr>
              <w:t>76%</w:t>
            </w:r>
          </w:p>
        </w:tc>
      </w:tr>
      <w:tr w:rsidR="00226F2E" w14:paraId="1AFA2813" w14:textId="77777777" w:rsidTr="00FC6B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32" w:type="dxa"/>
          </w:tcPr>
          <w:p w14:paraId="78DDF708" w14:textId="1DBE4CE4" w:rsidR="00226F2E" w:rsidRDefault="00226F2E" w:rsidP="00226F2E">
            <w:pPr>
              <w:pStyle w:val="Tablecopy"/>
            </w:pPr>
            <w:r w:rsidRPr="001C6009">
              <w:t>Mining </w:t>
            </w:r>
          </w:p>
        </w:tc>
        <w:tc>
          <w:tcPr>
            <w:tcW w:w="4732" w:type="dxa"/>
            <w:vAlign w:val="bottom"/>
          </w:tcPr>
          <w:p w14:paraId="765AF872" w14:textId="3E6FF375" w:rsidR="00226F2E" w:rsidRPr="008E02F2" w:rsidRDefault="00226F2E" w:rsidP="00226F2E">
            <w:pPr>
              <w:pStyle w:val="Tablecopy"/>
              <w:cnfStyle w:val="000000100000" w:firstRow="0" w:lastRow="0" w:firstColumn="0" w:lastColumn="0" w:oddVBand="0" w:evenVBand="0" w:oddHBand="1" w:evenHBand="0" w:firstRowFirstColumn="0" w:firstRowLastColumn="0" w:lastRowFirstColumn="0" w:lastRowLastColumn="0"/>
            </w:pPr>
            <w:r>
              <w:rPr>
                <w:rFonts w:ascii="Liberation Sans" w:hAnsi="Liberation Sans" w:cs="Calibri"/>
                <w:color w:val="000000"/>
                <w:sz w:val="20"/>
              </w:rPr>
              <w:t>49%</w:t>
            </w:r>
          </w:p>
        </w:tc>
      </w:tr>
    </w:tbl>
    <w:p w14:paraId="71BCCFB4" w14:textId="77777777" w:rsidR="004F23C0" w:rsidRDefault="004F23C0" w:rsidP="00C516F7">
      <w:pPr>
        <w:pStyle w:val="Caption"/>
      </w:pPr>
    </w:p>
    <w:p w14:paraId="0556287C" w14:textId="281611FD" w:rsidR="004152C9" w:rsidRDefault="004152C9" w:rsidP="00C516F7">
      <w:pPr>
        <w:pStyle w:val="Caption"/>
      </w:pPr>
      <w:r w:rsidRPr="004152C9">
        <w:t>Sources: Australian Bureau of Statistics (2022) Business Longitudinal Analysis Data Environment; Austrade Economics</w:t>
      </w:r>
    </w:p>
    <w:p w14:paraId="5D48DBAC" w14:textId="77777777" w:rsidR="007E632D" w:rsidRDefault="007E632D">
      <w:pPr>
        <w:spacing w:before="0" w:after="120" w:line="252" w:lineRule="auto"/>
        <w:rPr>
          <w:color w:val="7A4282" w:themeColor="accent1"/>
          <w:sz w:val="32"/>
          <w:szCs w:val="32"/>
        </w:rPr>
      </w:pPr>
      <w:r>
        <w:br w:type="page"/>
      </w:r>
    </w:p>
    <w:p w14:paraId="555BDB9C" w14:textId="065746EE" w:rsidR="008823DC" w:rsidRDefault="008823DC" w:rsidP="008823DC">
      <w:pPr>
        <w:pStyle w:val="Heading2"/>
      </w:pPr>
      <w:r w:rsidRPr="008823DC">
        <w:lastRenderedPageBreak/>
        <w:t>Exporters outperform non-exporters</w:t>
      </w:r>
    </w:p>
    <w:p w14:paraId="4004E336" w14:textId="77777777" w:rsidR="008823DC" w:rsidRDefault="008823DC" w:rsidP="008823DC">
      <w:r>
        <w:t>To better understand the sources of differences between Australian exporting and non-exporting firms, we used regression analysis to measure the differences for a variety of firm performance indicators.</w:t>
      </w:r>
    </w:p>
    <w:p w14:paraId="168D6BE8" w14:textId="77777777" w:rsidR="00C516F7" w:rsidRDefault="008823DC" w:rsidP="008823DC">
      <w:r>
        <w:t>Our analysis found that exporters generated 14% more employment and 65% more value</w:t>
      </w:r>
      <w:r w:rsidR="00C516F7">
        <w:t>-</w:t>
      </w:r>
      <w:r>
        <w:t>added than non- exporters. Exporters were also 64% more productive and paid 43% higher average wages. These results highlight the substantial differences between exporters and non- exporters in terms of firm performance and are consistent with Australian and international evidence.</w:t>
      </w:r>
      <w:r w:rsidR="00C516F7">
        <w:rPr>
          <w:rStyle w:val="FootnoteReference"/>
        </w:rPr>
        <w:footnoteReference w:id="23"/>
      </w:r>
    </w:p>
    <w:p w14:paraId="4A715C3A" w14:textId="77777777" w:rsidR="008823DC" w:rsidRDefault="008823DC" w:rsidP="008823DC">
      <w:r>
        <w:t>Comparisons between the two cohorts considered firm size, firm age, Australian New Zealand Standard Industrial Classification (ANZSIC) as well as location, to compare exporter and non-exporter performance against selected indicators.</w:t>
      </w:r>
    </w:p>
    <w:p w14:paraId="79EBF8B4" w14:textId="77777777" w:rsidR="00C516F7" w:rsidRDefault="008823DC" w:rsidP="008823DC">
      <w:r>
        <w:t>The regression analysis is based on the subset of industry divisions where the majority of exporters operated (N=~180,000), including wholesale trade, manufacturing, retail trade, professional, scientific, and technical services, and mining. Exporters accounted for 14% of the sample. See Appendix B for further methodological details.</w:t>
      </w:r>
    </w:p>
    <w:p w14:paraId="6CB11736" w14:textId="77777777" w:rsidR="00C516F7" w:rsidRDefault="00C516F7" w:rsidP="008823DC">
      <w:r w:rsidRPr="00C516F7">
        <w:t>Exporters generated:</w:t>
      </w:r>
    </w:p>
    <w:p w14:paraId="60D45C57" w14:textId="77777777" w:rsidR="00D839C4" w:rsidRDefault="00C516F7" w:rsidP="00C516F7">
      <w:pPr>
        <w:pStyle w:val="ListBullet"/>
      </w:pPr>
      <w:r>
        <w:t>65% more value-added than non-exporters</w:t>
      </w:r>
    </w:p>
    <w:p w14:paraId="4DE75AD5" w14:textId="77777777" w:rsidR="00C516F7" w:rsidRDefault="00C516F7" w:rsidP="00C516F7">
      <w:pPr>
        <w:pStyle w:val="ListBullet"/>
      </w:pPr>
      <w:r>
        <w:t>14% more employment than non-exporters</w:t>
      </w:r>
    </w:p>
    <w:p w14:paraId="3F94866E" w14:textId="77777777" w:rsidR="00C516F7" w:rsidRDefault="00C516F7" w:rsidP="00C516F7">
      <w:pPr>
        <w:pStyle w:val="ListBullet"/>
      </w:pPr>
      <w:r>
        <w:t>64% more productive than non-exporters</w:t>
      </w:r>
    </w:p>
    <w:p w14:paraId="3FF5F6C3" w14:textId="77777777" w:rsidR="00EA72E4" w:rsidRDefault="00EA72E4">
      <w:pPr>
        <w:spacing w:before="0" w:after="120" w:line="252" w:lineRule="auto"/>
      </w:pPr>
      <w:r>
        <w:br w:type="page"/>
      </w:r>
    </w:p>
    <w:p w14:paraId="5A0877A5" w14:textId="77777777" w:rsidR="00EA72E4" w:rsidRDefault="00EA72E4" w:rsidP="00EA72E4">
      <w:pPr>
        <w:pStyle w:val="Heading2"/>
      </w:pPr>
      <w:r>
        <w:lastRenderedPageBreak/>
        <w:t>Case study</w:t>
      </w:r>
    </w:p>
    <w:p w14:paraId="11E2E8DC" w14:textId="77777777" w:rsidR="00EA72E4" w:rsidRDefault="00EA72E4" w:rsidP="00EA72E4">
      <w:pPr>
        <w:pStyle w:val="Heading3"/>
      </w:pPr>
      <w:r>
        <w:t>An Australian exporter supporting net-zero ambitions in the global shipping industry</w:t>
      </w:r>
    </w:p>
    <w:p w14:paraId="490BF353" w14:textId="77777777" w:rsidR="007B01AC" w:rsidRDefault="00EA72E4" w:rsidP="007B01AC">
      <w:r w:rsidRPr="00EA72E4">
        <w:t xml:space="preserve">Innovative Australian exporter Spectainer is </w:t>
      </w:r>
      <w:r>
        <w:t>evolving</w:t>
      </w:r>
      <w:r w:rsidRPr="00EA72E4">
        <w:t xml:space="preserve"> the shipping and logistics industry and supporting net-zero ambitions.</w:t>
      </w:r>
    </w:p>
    <w:p w14:paraId="6A8281DB" w14:textId="77777777" w:rsidR="007B01AC" w:rsidRDefault="007B01AC" w:rsidP="007B01AC">
      <w:r>
        <w:t>“The shipping container is the backbone of the global shipping industry, but it is not ultimately efficient.</w:t>
      </w:r>
    </w:p>
    <w:p w14:paraId="2BBC8C12" w14:textId="77777777" w:rsidR="007B01AC" w:rsidRDefault="007B01AC" w:rsidP="007B01AC">
      <w:r>
        <w:t>I wanted to develop a solution that improves operational efficiency, saves costs and reduces environmental impact” Nicholas Press, founder and Managing Director.</w:t>
      </w:r>
    </w:p>
    <w:p w14:paraId="7B565C63" w14:textId="77777777" w:rsidR="007B01AC" w:rsidRDefault="007B01AC" w:rsidP="007B01AC">
      <w:r w:rsidRPr="007B01AC">
        <w:t>“COLLAPSECON can help lower costs, improve operational efficiency and reduce environmental impact on heavily imbalanced trade lanes.” Spectainer modelling shows COLLAPSECON can potentially:</w:t>
      </w:r>
    </w:p>
    <w:p w14:paraId="3B23379A" w14:textId="77777777" w:rsidR="007B01AC" w:rsidRDefault="007B01AC" w:rsidP="007B01AC">
      <w:pPr>
        <w:pStyle w:val="ListBullet"/>
      </w:pPr>
      <w:r>
        <w:t>Reduce container operating costs by between 20% to 40%</w:t>
      </w:r>
    </w:p>
    <w:p w14:paraId="5118EFAD" w14:textId="77777777" w:rsidR="007B01AC" w:rsidRDefault="007B01AC" w:rsidP="007B01AC">
      <w:pPr>
        <w:pStyle w:val="ListBullet"/>
      </w:pPr>
      <w:r>
        <w:t>Reduce empty container handling costs by up to 75%</w:t>
      </w:r>
    </w:p>
    <w:p w14:paraId="44AFACCB" w14:textId="015B09EE" w:rsidR="000A32E9" w:rsidRDefault="000A32E9" w:rsidP="007B01AC">
      <w:pPr>
        <w:pStyle w:val="ListBullet"/>
      </w:pPr>
      <w:r w:rsidRPr="000A32E9">
        <w:t>Reduce fuel burn across the supply chain by between 20% to 30%</w:t>
      </w:r>
    </w:p>
    <w:p w14:paraId="2284C5A2" w14:textId="77777777" w:rsidR="000A32E9" w:rsidRDefault="007B01AC" w:rsidP="007B01AC">
      <w:pPr>
        <w:pStyle w:val="ListBullet"/>
      </w:pPr>
      <w:r>
        <w:t xml:space="preserve">Reduce emissions from shipping by </w:t>
      </w:r>
      <w:r w:rsidR="000A32E9" w:rsidRPr="000A32E9">
        <w:t>approximately</w:t>
      </w:r>
      <w:r w:rsidR="000A32E9">
        <w:t xml:space="preserve"> </w:t>
      </w:r>
      <w:r>
        <w:t>17%</w:t>
      </w:r>
    </w:p>
    <w:p w14:paraId="5A9EA22E" w14:textId="46CEA9F6" w:rsidR="000A32E9" w:rsidRDefault="000A32E9" w:rsidP="000A32E9">
      <w:r>
        <w:t xml:space="preserve">Efficient ship movement can reduce carbon emissions </w:t>
      </w:r>
      <w:r w:rsidRPr="000A32E9">
        <w:t>by approximately 17%</w:t>
      </w:r>
      <w:r>
        <w:t xml:space="preserve">, according to Spectainer modelling. The industry will also need fewer trucks and trains to transport COLLAPSECON </w:t>
      </w:r>
      <w:r w:rsidRPr="000A32E9">
        <w:t xml:space="preserve">from manufacturing hubs, container parks and </w:t>
      </w:r>
      <w:r>
        <w:t xml:space="preserve">port terminals. Spectainer projects </w:t>
      </w:r>
      <w:r w:rsidRPr="000A32E9">
        <w:t>can</w:t>
      </w:r>
      <w:r>
        <w:t xml:space="preserve"> reduce carbon emissions by up to 37%</w:t>
      </w:r>
      <w:r w:rsidRPr="000A32E9">
        <w:t xml:space="preserve"> across the container logistics chain</w:t>
      </w:r>
      <w:r>
        <w:t>.</w:t>
      </w:r>
    </w:p>
    <w:p w14:paraId="12C09FBF" w14:textId="77777777" w:rsidR="000A32E9" w:rsidRDefault="000A32E9" w:rsidP="000A32E9">
      <w:r>
        <w:t>“Australia is not generally known as a major player in the global shipping space, but we have a history of world-class innovation. As an Australian company, we are proud to be pioneering a solution to address a significant operational, economic and environmental problem.”</w:t>
      </w:r>
    </w:p>
    <w:p w14:paraId="02BD1E7C" w14:textId="77777777" w:rsidR="00D022A7" w:rsidRDefault="000A32E9" w:rsidP="000A32E9">
      <w:r>
        <w:t xml:space="preserve">Spectainer will start rolling out its first COLLAPSECON fleet in 2023. Austrade is supporting Spectainer as it takes its innovation global. “Austrade connected us to key partners in our evolution such as A*STAR in Singapore”, says Press. “As we expand globally, Austrade’s insights advice </w:t>
      </w:r>
      <w:r w:rsidRPr="000A32E9">
        <w:t>and support</w:t>
      </w:r>
      <w:r>
        <w:t xml:space="preserve"> will help us better understand the complexities of </w:t>
      </w:r>
      <w:r w:rsidRPr="000A32E9">
        <w:t>expanding and</w:t>
      </w:r>
      <w:r>
        <w:t xml:space="preserve"> doing </w:t>
      </w:r>
      <w:r w:rsidRPr="000A32E9">
        <w:t>business</w:t>
      </w:r>
      <w:r>
        <w:t xml:space="preserve"> in </w:t>
      </w:r>
      <w:r w:rsidRPr="000A32E9">
        <w:t>global</w:t>
      </w:r>
      <w:r>
        <w:t xml:space="preserve"> markets.”</w:t>
      </w:r>
    </w:p>
    <w:p w14:paraId="2C472216" w14:textId="77777777" w:rsidR="00D022A7" w:rsidRDefault="00D022A7">
      <w:pPr>
        <w:spacing w:before="0" w:after="120" w:line="252" w:lineRule="auto"/>
      </w:pPr>
      <w:r>
        <w:br w:type="page"/>
      </w:r>
    </w:p>
    <w:p w14:paraId="3FF371D3" w14:textId="77777777" w:rsidR="00D022A7" w:rsidRDefault="00D022A7" w:rsidP="00D022A7">
      <w:pPr>
        <w:pStyle w:val="Heading2"/>
      </w:pPr>
      <w:r w:rsidRPr="00D022A7">
        <w:lastRenderedPageBreak/>
        <w:t>Summary</w:t>
      </w:r>
    </w:p>
    <w:p w14:paraId="79626F3C" w14:textId="77777777" w:rsidR="00D022A7" w:rsidRDefault="00D022A7" w:rsidP="00D022A7">
      <w:pPr>
        <w:pStyle w:val="Heading3"/>
      </w:pPr>
      <w:r w:rsidRPr="00D022A7">
        <w:t>The inaugural State of Exporters Report showcases both how exporters contribute to Australia’s economic prosperity and the benefits of exporting.</w:t>
      </w:r>
    </w:p>
    <w:p w14:paraId="50524ADB" w14:textId="77777777" w:rsidR="00D022A7" w:rsidRDefault="00D022A7" w:rsidP="00D022A7">
      <w:r>
        <w:t>Our analysis reinforces the importance of services exports such as education, tourism, professional and financial services, and technology to the Australian economy. Services exporters generated the most value added and also employed the most people. Services sectors were also the most productive and paid the highest wages after mining.</w:t>
      </w:r>
    </w:p>
    <w:p w14:paraId="000E895B" w14:textId="77777777" w:rsidR="00D022A7" w:rsidRDefault="00D022A7" w:rsidP="00D022A7">
      <w:r>
        <w:t>We find that overall, compared to non-exporting firms, exporters generate more jobs, contribute more value-added to the economy, are more productive and pay higher wages on average. Importantly, exporters were found to be 9% more likely to have survived the early years of the pandemic.</w:t>
      </w:r>
    </w:p>
    <w:p w14:paraId="48B81AB6" w14:textId="77777777" w:rsidR="00D022A7" w:rsidRDefault="00D022A7" w:rsidP="00D022A7">
      <w:r>
        <w:t>Our merchandise exporters are increasingly diversified, serving 234 export markets overall and exporting to around 3 markets on average. While China continues to be the highest value market for Australian merchandise exporters, our exporters have diversified to new markets throughout Asia, capitalising on new market opportunities.</w:t>
      </w:r>
    </w:p>
    <w:p w14:paraId="59E589DD" w14:textId="1E47E2A6" w:rsidR="00D022A7" w:rsidRDefault="00D022A7" w:rsidP="00D022A7">
      <w:r>
        <w:t>Whilst 2020-21 wasn’t a ‘typical’ year for Australian exporters given the challenging global business environment, by analysing the ‘atypical’ year of 2020-21, our results highlight how exporters have proven their adaptability and resilience to these challenges and may be indicative of larger differences in exporter and non-exporter performance in future years with a comparatively more favourable international business environment.</w:t>
      </w:r>
    </w:p>
    <w:p w14:paraId="55E6D147" w14:textId="77777777" w:rsidR="00D022A7" w:rsidRDefault="00D022A7" w:rsidP="00D022A7">
      <w:r>
        <w:t>With another tough year ahead predicted for the global economy, characterised by heightened geopolitical risk and global economic uncertainty, exporting will continue to be an important diversification and growth strategy for firms.</w:t>
      </w:r>
    </w:p>
    <w:p w14:paraId="12F78383" w14:textId="77777777" w:rsidR="00D022A7" w:rsidRDefault="00D022A7">
      <w:pPr>
        <w:spacing w:before="0" w:after="120" w:line="252" w:lineRule="auto"/>
      </w:pPr>
      <w:r>
        <w:br w:type="page"/>
      </w:r>
    </w:p>
    <w:p w14:paraId="3C7CEF96" w14:textId="77777777" w:rsidR="00D022A7" w:rsidRDefault="00D022A7" w:rsidP="00D022A7">
      <w:pPr>
        <w:pStyle w:val="Heading2"/>
      </w:pPr>
      <w:r w:rsidRPr="00D022A7">
        <w:lastRenderedPageBreak/>
        <w:t>References</w:t>
      </w:r>
    </w:p>
    <w:p w14:paraId="200033C6" w14:textId="77777777" w:rsidR="00D022A7" w:rsidRDefault="00D022A7" w:rsidP="00D022A7">
      <w:r>
        <w:t>Australian Bureau of Statistics, (2006), Labour force by Indigenous status, state/territory, sex, employment type and labour force status, census TableBuilder, accessed 30 August 2022.</w:t>
      </w:r>
    </w:p>
    <w:p w14:paraId="42CEE415" w14:textId="77777777" w:rsidR="00D022A7" w:rsidRDefault="00D022A7" w:rsidP="00D022A7">
      <w:r>
        <w:t>Australian Bureau of Statistics, (2011), Labour force by Indigenous status, state/territory, sex, employment type and labour force status, census TableBuilder, accessed 30 August 2022.</w:t>
      </w:r>
    </w:p>
    <w:p w14:paraId="1610D977" w14:textId="77777777" w:rsidR="00D022A7" w:rsidRDefault="00D022A7" w:rsidP="00D022A7">
      <w:r>
        <w:t>Australian Bureau of Statistics, (2016a), Labour force by Indigenous status, state/territory, sex, employment type and labour force status, census TableBuilder, accessed 30 August 2022.</w:t>
      </w:r>
    </w:p>
    <w:p w14:paraId="1F7369EC" w14:textId="77777777" w:rsidR="00D022A7" w:rsidRDefault="00D022A7" w:rsidP="00D022A7">
      <w:r>
        <w:t>Australian Bureau of Statistics, 2016(b), Census of Population and Housing TableBuilder: RA (UR) and INGP Indigenous Status by SEXP Sex, SIEMP Status in Employment and LFSP Labour Force Status, accessed 30 August 2022.</w:t>
      </w:r>
    </w:p>
    <w:p w14:paraId="29B34559" w14:textId="77777777" w:rsidR="00D022A7" w:rsidRDefault="00D022A7" w:rsidP="00D022A7">
      <w:r>
        <w:t>Australian Bureau of Statistics, (2022) Business Longitudinal Analysis Data Environment (BLADE), BLADE Standard Module, ABS DataLab, accessed 13 December 2022.</w:t>
      </w:r>
    </w:p>
    <w:p w14:paraId="5D782D2A" w14:textId="77777777" w:rsidR="00D022A7" w:rsidRDefault="00D022A7" w:rsidP="00D022A7">
      <w:r>
        <w:t>Australian Department of Home Affairs (2022) Integrated Cargo System (ICS) data, Australian Border Force, accessed 5 December 2022.</w:t>
      </w:r>
    </w:p>
    <w:p w14:paraId="6669892F" w14:textId="77777777" w:rsidR="00D022A7" w:rsidRDefault="00D022A7" w:rsidP="00D022A7">
      <w:r>
        <w:t>Baldwin, J. R, Gu, W., (2004), Trade liberalization: Export- market participation, productivity growth, and innovation’, Oxford Review of Economic Policy, 20(3), pp. 372-392.</w:t>
      </w:r>
    </w:p>
    <w:p w14:paraId="79C0C39C" w14:textId="77777777" w:rsidR="00D022A7" w:rsidRDefault="00D022A7" w:rsidP="00D022A7">
      <w:r>
        <w:t>Bernard A, Jensen J., (1995), Exporters, jobs and wages in US manufacturing: 1976–1987, Brookings Papers on Economic Activity, Microeconomics, pp. 67–112.</w:t>
      </w:r>
    </w:p>
    <w:p w14:paraId="731D3B51" w14:textId="77777777" w:rsidR="00D022A7" w:rsidRDefault="00D022A7" w:rsidP="00D022A7">
      <w:r>
        <w:t>Bernard, A, Jensen, J., (1999), Exceptional exporter performance: Cause, effect, or both?, Journal of International Economics, 47, pp. 1–25.</w:t>
      </w:r>
    </w:p>
    <w:p w14:paraId="4379982C" w14:textId="03CE8ADC" w:rsidR="00D022A7" w:rsidRDefault="00D022A7" w:rsidP="00D022A7">
      <w:r>
        <w:t>Department of Foreign Affairs &amp; Trade (DFAT), (2022), Australia’s Trade through Time, URL access&lt; https://www.dfat.gov.au/publications/minisite/tradethroughtimegovau/ site/index.html&gt;, accessed 15 December 2022.</w:t>
      </w:r>
    </w:p>
    <w:p w14:paraId="2ACFB2AB" w14:textId="64A7BA22" w:rsidR="00D022A7" w:rsidRDefault="00D022A7" w:rsidP="00D022A7">
      <w:r>
        <w:t xml:space="preserve">Department of Infrastructure, Transport, Regional Development, Communications and the Arts (2022a) Freight and supply chains, URL &lt; https://www.infrastructure.gov.au/infrastructure-transport-vehicles/transport-strategy-policy/freight-supply-chains&gt;, </w:t>
      </w:r>
      <w:r w:rsidRPr="00D022A7">
        <w:t>accessed 5 December 2022</w:t>
      </w:r>
      <w:r>
        <w:t>.</w:t>
      </w:r>
    </w:p>
    <w:p w14:paraId="7D06060F" w14:textId="77777777" w:rsidR="00D022A7" w:rsidRDefault="00D022A7" w:rsidP="00D022A7">
      <w:r>
        <w:t>Department of Infrastructure, Transport, Regional Development, Communications and the Arts (2022b) National key freight routes web app, URL &lt;https://spatial. infrastructure.gov.au/portal/apps/webappviewer/index. html?id=9690eb423b4f446485781ea8a61851d2&amp;_ ga=2.27105214.2078447872.1670037330-1309870315.1670037330&gt;, accessed 5 December 2022.</w:t>
      </w:r>
    </w:p>
    <w:p w14:paraId="6B2379A3" w14:textId="77777777" w:rsidR="00D022A7" w:rsidRDefault="00D022A7" w:rsidP="00D022A7">
      <w:r>
        <w:t>Hallward-Driemeier, M., Iarossi, G., and Sokoloff, K. L., (2002), Exports and manufacturing productivity in East Asia: A comparative analysis with firm-level data, NBER Working Paper No. w8894.</w:t>
      </w:r>
    </w:p>
    <w:p w14:paraId="4AFE5CB9" w14:textId="77777777" w:rsidR="00D022A7" w:rsidRDefault="00D022A7" w:rsidP="00D022A7">
      <w:r>
        <w:lastRenderedPageBreak/>
        <w:t>McCarthy, F., (1939), Trade in Aboriginal Australia, and Trade Relationships with Torres Strait, New Guinea and Malaya, Oceania, 9: 4, pp. 405-438.</w:t>
      </w:r>
    </w:p>
    <w:p w14:paraId="1B37FE73" w14:textId="77777777" w:rsidR="00D022A7" w:rsidRDefault="00D022A7" w:rsidP="00D022A7">
      <w:r>
        <w:t>New South Wales Department of Treasury, (2022), The NSW First Nations Firm Sector: A return to prosperity, October 2022, URL&lt;</w:t>
      </w:r>
      <w:hyperlink r:id="rId14" w:history="1">
        <w:r w:rsidRPr="00803692">
          <w:rPr>
            <w:rStyle w:val="Hyperlink"/>
          </w:rPr>
          <w:t>https://www.treasury.nsw.gov.au/sites/</w:t>
        </w:r>
      </w:hyperlink>
      <w:r>
        <w:t>default/files/2022-11/trp22-31-first-nations-firm-sectorreport_20221102.pdf&gt;, accessed 13 January 2023.</w:t>
      </w:r>
    </w:p>
    <w:p w14:paraId="4E294211" w14:textId="77777777" w:rsidR="00D022A7" w:rsidRDefault="00D022A7" w:rsidP="00D022A7">
      <w:r>
        <w:t>Tuhin, R., (2016), Modelling the relationship between innovation and exporting: Evidence from Australian SMEs’, Office of the Chief Economist Research Paper, 3/2016.</w:t>
      </w:r>
    </w:p>
    <w:p w14:paraId="1FD85A2C" w14:textId="77777777" w:rsidR="00D022A7" w:rsidRDefault="00D022A7" w:rsidP="00D022A7">
      <w:r>
        <w:t>Tuhin, R, Swanepoel, J, (2017), Export behaviour and firm performance: Evidence from Australian microdata, Office of the Chief Economist Research Paper, 7/2016.</w:t>
      </w:r>
    </w:p>
    <w:p w14:paraId="4A081536" w14:textId="77777777" w:rsidR="00C7052F" w:rsidRDefault="00D022A7" w:rsidP="00D022A7">
      <w:r>
        <w:t>Wagner, J., (2007), Exports and Productivity: A Survey of the Evidence from Firm level Data, World Economy, 30:1, pp. 60–82.</w:t>
      </w:r>
    </w:p>
    <w:p w14:paraId="3322A08B" w14:textId="77777777" w:rsidR="00C7052F" w:rsidRDefault="00C7052F">
      <w:pPr>
        <w:spacing w:before="0" w:after="120" w:line="252" w:lineRule="auto"/>
      </w:pPr>
      <w:r>
        <w:br w:type="page"/>
      </w:r>
    </w:p>
    <w:p w14:paraId="5275CBDD" w14:textId="77777777" w:rsidR="00C7052F" w:rsidRDefault="00C7052F" w:rsidP="00C7052F">
      <w:pPr>
        <w:pStyle w:val="Heading2"/>
      </w:pPr>
      <w:r w:rsidRPr="00C7052F">
        <w:lastRenderedPageBreak/>
        <w:t>Methodological Appendix</w:t>
      </w:r>
    </w:p>
    <w:p w14:paraId="0C1AAF2F" w14:textId="77777777" w:rsidR="00C7052F" w:rsidRDefault="00C7052F" w:rsidP="00C7052F">
      <w:pPr>
        <w:pStyle w:val="Heading3"/>
      </w:pPr>
      <w:r>
        <w:t>Section A.</w:t>
      </w:r>
      <w:r>
        <w:br/>
        <w:t>Methodological notes</w:t>
      </w:r>
    </w:p>
    <w:p w14:paraId="76BF6601" w14:textId="77777777" w:rsidR="00C7052F" w:rsidRDefault="00C7052F" w:rsidP="00C7052F">
      <w:r>
        <w:t>This paper uses data located within the Business Longitudinal Analysis Data Environment (BLADE) that integrates several administrative firm-level datasets. Within BLADE, the analysis draws on tax data from the Business Activity Statement (BAS), payroll data from Pay as you go (PAYG), firm characteristics data from the Australian Business Register and merchandise trade data from the Australian Border Force Integrated Cargo System (ICS) customs data for financial years 2014–15 to 2020–21. Data linkage occurs by using the Australian Business Number (ABN) as the primary linking variable.</w:t>
      </w:r>
    </w:p>
    <w:p w14:paraId="27B91C97" w14:textId="77777777" w:rsidR="00C7052F" w:rsidRDefault="00C7052F" w:rsidP="00C7052F">
      <w:r>
        <w:t>For the purposes of our analysis, exporters are defined as those firms employing at least a single employee, which exported more than A$2,000 in a single financial year and that supplied an ABN both to the Australian Tax Office (ATO) and Australian Border Force (ABF). Therefore, exporters are identified if they recorded a minimum of A$2,000 in exports in either their Export Declaration or Business Activity Statement in a given financial year.</w:t>
      </w:r>
    </w:p>
    <w:p w14:paraId="038A99D0" w14:textId="77777777" w:rsidR="00C7052F" w:rsidRDefault="00C7052F" w:rsidP="00C7052F">
      <w:r>
        <w:t>The specific data items utilised in the analysis are sourced as listed below:</w:t>
      </w:r>
    </w:p>
    <w:p w14:paraId="773B6294" w14:textId="77777777" w:rsidR="00C7052F" w:rsidRDefault="00C7052F" w:rsidP="00C7052F">
      <w:pPr>
        <w:pStyle w:val="ListBullet"/>
      </w:pPr>
      <w:r>
        <w:t>Business Activity Statement (BAS) — submitted by firms to report their GST obligations; data items include total sales, export sales, wages, capital and non-capital purchases, export sales.</w:t>
      </w:r>
    </w:p>
    <w:p w14:paraId="3C41B370" w14:textId="77777777" w:rsidR="00C7052F" w:rsidRDefault="00C7052F" w:rsidP="00C7052F">
      <w:pPr>
        <w:pStyle w:val="ListBullet"/>
      </w:pPr>
      <w:r>
        <w:t>Pay as you go (PAYG) — provided by firms to report personal income tax obligations of their employees; this is used to model Full-Time Equivalent (FTE) and headcount employment counts.</w:t>
      </w:r>
    </w:p>
    <w:p w14:paraId="3F8DAA47" w14:textId="77777777" w:rsidR="00C7052F" w:rsidRDefault="00C7052F" w:rsidP="00C7052F">
      <w:pPr>
        <w:pStyle w:val="ListBullet"/>
      </w:pPr>
      <w:r>
        <w:t>Australian Business Register – firm birth date, industry division, ANZSIC, state of operation, alive status.</w:t>
      </w:r>
    </w:p>
    <w:p w14:paraId="38CA306C" w14:textId="77777777" w:rsidR="00C7052F" w:rsidRDefault="00C7052F" w:rsidP="00C7052F">
      <w:pPr>
        <w:pStyle w:val="ListBullet"/>
      </w:pPr>
      <w:r w:rsidRPr="00C7052F">
        <w:t>Merchandise trade – Free on Board (FOB) (export) value</w:t>
      </w:r>
    </w:p>
    <w:p w14:paraId="3FB075C7" w14:textId="77777777" w:rsidR="00C7052F" w:rsidRDefault="00C7052F" w:rsidP="00C7052F">
      <w:r>
        <w:t xml:space="preserve">Our analysis follows the methodology of Bernard and Jensen (1999) and Tuhin and Swanepoel (2017) and focuses on employing, exporting firms which shared their ABN on their Export Declaration form, and provided </w:t>
      </w:r>
      <w:r w:rsidRPr="00C7052F">
        <w:t>their ABN</w:t>
      </w:r>
      <w:r>
        <w:t xml:space="preserve"> to the Australian Taxation Office in their Business Activity Statement. This means that any companies or individuals who export but did not provide an ABN on their Export Declaration are excluded from this analysis. Additionally, any non-employing firms, which recorded less than 1 FTE are also excluded from this analysis. By restricting the sample in this way, we generate the most comprehensive insights on Australian exporters to date and compare exporters with non-exporters across a range of key metrics.</w:t>
      </w:r>
    </w:p>
    <w:p w14:paraId="6FA32543" w14:textId="77777777" w:rsidR="00C7052F" w:rsidRDefault="00C7052F" w:rsidP="00C7052F">
      <w:r>
        <w:t>The selected sample covers approximately 95% of all goods and services export value and is unlikely to have a material impact on the overall descriptive figures and analysis generated throughout the report.</w:t>
      </w:r>
    </w:p>
    <w:p w14:paraId="60D9709A" w14:textId="77777777" w:rsidR="00C7052F" w:rsidRDefault="00C7052F">
      <w:pPr>
        <w:spacing w:before="0" w:after="120" w:line="252" w:lineRule="auto"/>
      </w:pPr>
      <w:r>
        <w:br w:type="page"/>
      </w:r>
    </w:p>
    <w:p w14:paraId="10C1A821" w14:textId="77777777" w:rsidR="00C7052F" w:rsidRDefault="00C7052F" w:rsidP="00C7052F">
      <w:pPr>
        <w:pStyle w:val="Heading3"/>
      </w:pPr>
      <w:r>
        <w:lastRenderedPageBreak/>
        <w:t>Section B.</w:t>
      </w:r>
      <w:r>
        <w:br/>
        <w:t>Model 1 specifications</w:t>
      </w:r>
    </w:p>
    <w:p w14:paraId="705BA7D7" w14:textId="77777777" w:rsidR="00C7052F" w:rsidRDefault="00C7052F" w:rsidP="00C7052F">
      <w:r>
        <w:t>We employ regression analysis to compare exporters and non-exporter performance using firm level data on around ~ 180,000 firms from selected industries where the majority of exporters operate.</w:t>
      </w:r>
    </w:p>
    <w:p w14:paraId="0742E99B" w14:textId="77777777" w:rsidR="00C7052F" w:rsidRPr="00C7052F" w:rsidRDefault="00C7052F" w:rsidP="00C7052F">
      <w:pPr>
        <w:rPr>
          <w:i/>
          <w:iCs/>
        </w:rPr>
      </w:pPr>
      <w:r w:rsidRPr="00C7052F">
        <w:rPr>
          <w:i/>
          <w:iCs/>
        </w:rPr>
        <w:t>ln Xi = αi + β1Exporteri + β2Sizei + β3Agei + β4Industryi + β5Statei + εi</w:t>
      </w:r>
    </w:p>
    <w:p w14:paraId="2D089496" w14:textId="77777777" w:rsidR="00C7052F" w:rsidRDefault="00C7052F" w:rsidP="00C7052F">
      <w:r>
        <w:t xml:space="preserve">Where </w:t>
      </w:r>
      <w:r w:rsidRPr="00C7052F">
        <w:rPr>
          <w:i/>
          <w:iCs/>
        </w:rPr>
        <w:t>ln Xi</w:t>
      </w:r>
      <w:r>
        <w:t xml:space="preserve"> is the natural logarithm of the level of the performance indicator in question,</w:t>
      </w:r>
    </w:p>
    <w:p w14:paraId="3D38F797" w14:textId="77777777" w:rsidR="00C7052F" w:rsidRDefault="00C7052F" w:rsidP="00C7052F">
      <w:r w:rsidRPr="00C7052F">
        <w:rPr>
          <w:i/>
          <w:iCs/>
        </w:rPr>
        <w:t>Exporter</w:t>
      </w:r>
      <w:r w:rsidRPr="00C7052F">
        <w:rPr>
          <w:i/>
          <w:iCs/>
          <w:vertAlign w:val="subscript"/>
        </w:rPr>
        <w:t>i</w:t>
      </w:r>
      <w:r>
        <w:t xml:space="preserve"> = 1 if firm i is an exporter and 0 otherwise,</w:t>
      </w:r>
    </w:p>
    <w:p w14:paraId="4D7F1F11" w14:textId="77777777" w:rsidR="00C7052F" w:rsidRDefault="00C7052F" w:rsidP="00C7052F">
      <w:r w:rsidRPr="00C7052F">
        <w:rPr>
          <w:i/>
          <w:iCs/>
        </w:rPr>
        <w:t>Size</w:t>
      </w:r>
      <w:r w:rsidRPr="00C7052F">
        <w:rPr>
          <w:i/>
          <w:iCs/>
          <w:vertAlign w:val="subscript"/>
        </w:rPr>
        <w:t>i</w:t>
      </w:r>
      <w:r>
        <w:t xml:space="preserve"> is measured by log value-added for the employment equation and logged employment for all other equations,</w:t>
      </w:r>
    </w:p>
    <w:p w14:paraId="20D7A665" w14:textId="77777777" w:rsidR="00C7052F" w:rsidRDefault="00C7052F" w:rsidP="00C7052F">
      <w:r w:rsidRPr="00C7052F">
        <w:rPr>
          <w:i/>
          <w:iCs/>
        </w:rPr>
        <w:t>Age</w:t>
      </w:r>
      <w:r w:rsidRPr="00C7052F">
        <w:rPr>
          <w:i/>
          <w:iCs/>
          <w:vertAlign w:val="subscript"/>
        </w:rPr>
        <w:t>i</w:t>
      </w:r>
      <w:r>
        <w:t xml:space="preserve"> is firm age in years,</w:t>
      </w:r>
    </w:p>
    <w:p w14:paraId="0C1734A8" w14:textId="77777777" w:rsidR="00C7052F" w:rsidRDefault="00C7052F" w:rsidP="00C7052F">
      <w:r w:rsidRPr="00C7052F">
        <w:rPr>
          <w:i/>
          <w:iCs/>
        </w:rPr>
        <w:t>Industry</w:t>
      </w:r>
      <w:r w:rsidRPr="00C7052F">
        <w:rPr>
          <w:i/>
          <w:iCs/>
          <w:vertAlign w:val="subscript"/>
        </w:rPr>
        <w:t>i</w:t>
      </w:r>
      <w:r>
        <w:t xml:space="preserve"> is the 4-digit ANZSIC class of firm i,</w:t>
      </w:r>
    </w:p>
    <w:p w14:paraId="714BBAD7" w14:textId="77777777" w:rsidR="00C7052F" w:rsidRDefault="00C7052F" w:rsidP="00C7052F">
      <w:r w:rsidRPr="00C7052F">
        <w:rPr>
          <w:i/>
          <w:iCs/>
        </w:rPr>
        <w:t>State</w:t>
      </w:r>
      <w:r w:rsidRPr="00C7052F">
        <w:rPr>
          <w:i/>
          <w:iCs/>
          <w:vertAlign w:val="subscript"/>
        </w:rPr>
        <w:t>i</w:t>
      </w:r>
      <w:r>
        <w:t xml:space="preserve"> is the jurisdiction of operation of firm i,</w:t>
      </w:r>
    </w:p>
    <w:p w14:paraId="014BB196" w14:textId="77777777" w:rsidR="00C7052F" w:rsidRDefault="00C7052F" w:rsidP="00C7052F">
      <w:r w:rsidRPr="00C7052F">
        <w:rPr>
          <w:i/>
          <w:iCs/>
        </w:rPr>
        <w:t>ε</w:t>
      </w:r>
      <w:r w:rsidRPr="00C7052F">
        <w:rPr>
          <w:i/>
          <w:iCs/>
          <w:vertAlign w:val="subscript"/>
        </w:rPr>
        <w:t>i</w:t>
      </w:r>
      <w:r>
        <w:t xml:space="preserve"> represents unobserved random variables.</w:t>
      </w:r>
    </w:p>
    <w:p w14:paraId="4FE8751F" w14:textId="77777777" w:rsidR="00C7052F" w:rsidRDefault="00C7052F" w:rsidP="00C7052F">
      <w:r w:rsidRPr="00C7052F">
        <w:rPr>
          <w:b/>
          <w:bCs/>
        </w:rPr>
        <w:t>Limitations</w:t>
      </w:r>
      <w:r>
        <w:t>: This analysis was limited by data availability and there may be confounding variables or potential sources of endogeneity affecting the results.</w:t>
      </w:r>
    </w:p>
    <w:p w14:paraId="531F24F5" w14:textId="77777777" w:rsidR="002A722F" w:rsidRDefault="002A722F">
      <w:pPr>
        <w:spacing w:before="0" w:after="120" w:line="252" w:lineRule="auto"/>
        <w:rPr>
          <w:b/>
          <w:bCs/>
          <w:color w:val="2E1A47" w:themeColor="text2"/>
        </w:rPr>
      </w:pPr>
      <w:r>
        <w:br w:type="page"/>
      </w:r>
    </w:p>
    <w:p w14:paraId="33B9F996" w14:textId="3A686CB5" w:rsidR="00C7052F" w:rsidRDefault="00C7052F" w:rsidP="00C7052F">
      <w:pPr>
        <w:pStyle w:val="Heading3"/>
      </w:pPr>
      <w:r w:rsidRPr="00C7052F">
        <w:lastRenderedPageBreak/>
        <w:t>Figure 22.</w:t>
      </w:r>
      <w:r>
        <w:t xml:space="preserve"> </w:t>
      </w:r>
      <w:r w:rsidRPr="00C7052F">
        <w:t>Regression table 1</w:t>
      </w:r>
    </w:p>
    <w:tbl>
      <w:tblPr>
        <w:tblStyle w:val="ListTable3-Accent1"/>
        <w:tblW w:w="0" w:type="auto"/>
        <w:tblCellMar>
          <w:left w:w="57" w:type="dxa"/>
          <w:right w:w="28" w:type="dxa"/>
        </w:tblCellMar>
        <w:tblLook w:val="0020" w:firstRow="1" w:lastRow="0" w:firstColumn="0" w:lastColumn="0" w:noHBand="0" w:noVBand="0"/>
      </w:tblPr>
      <w:tblGrid>
        <w:gridCol w:w="2310"/>
        <w:gridCol w:w="1823"/>
        <w:gridCol w:w="1838"/>
        <w:gridCol w:w="1833"/>
        <w:gridCol w:w="1824"/>
      </w:tblGrid>
      <w:tr w:rsidR="002A722F" w:rsidRPr="00823B47" w14:paraId="27B0B1A3" w14:textId="77777777" w:rsidTr="00FC520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39" w:type="dxa"/>
          </w:tcPr>
          <w:p w14:paraId="1514BFA8" w14:textId="77777777" w:rsidR="002A722F" w:rsidRPr="00823B47" w:rsidRDefault="002A722F" w:rsidP="00901636">
            <w:pPr>
              <w:pStyle w:val="Tableheadermain"/>
              <w:rPr>
                <w:b/>
                <w:bCs/>
              </w:rPr>
            </w:pPr>
          </w:p>
        </w:tc>
        <w:tc>
          <w:tcPr>
            <w:tcW w:w="1842" w:type="dxa"/>
          </w:tcPr>
          <w:p w14:paraId="58093AF7" w14:textId="77777777" w:rsidR="002A722F" w:rsidRPr="00823B47" w:rsidRDefault="002A722F"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C7052F">
              <w:rPr>
                <w:b/>
                <w:bCs/>
              </w:rPr>
              <w:t>Model 1</w:t>
            </w:r>
          </w:p>
        </w:tc>
        <w:tc>
          <w:tcPr>
            <w:cnfStyle w:val="000010000000" w:firstRow="0" w:lastRow="0" w:firstColumn="0" w:lastColumn="0" w:oddVBand="1" w:evenVBand="0" w:oddHBand="0" w:evenHBand="0" w:firstRowFirstColumn="0" w:firstRowLastColumn="0" w:lastRowFirstColumn="0" w:lastRowLastColumn="0"/>
            <w:tcW w:w="1851" w:type="dxa"/>
          </w:tcPr>
          <w:p w14:paraId="7527F2A3" w14:textId="77777777" w:rsidR="002A722F" w:rsidRPr="00823B47" w:rsidRDefault="002A722F" w:rsidP="00901636">
            <w:pPr>
              <w:pStyle w:val="Tableheadermain"/>
              <w:rPr>
                <w:b/>
                <w:bCs/>
              </w:rPr>
            </w:pPr>
            <w:r w:rsidRPr="00C7052F">
              <w:rPr>
                <w:b/>
                <w:bCs/>
              </w:rPr>
              <w:t xml:space="preserve">Model </w:t>
            </w:r>
            <w:r>
              <w:rPr>
                <w:b/>
                <w:bCs/>
              </w:rPr>
              <w:t>2</w:t>
            </w:r>
          </w:p>
        </w:tc>
        <w:tc>
          <w:tcPr>
            <w:tcW w:w="1848" w:type="dxa"/>
          </w:tcPr>
          <w:p w14:paraId="18946069" w14:textId="77777777" w:rsidR="002A722F" w:rsidRPr="00823B47" w:rsidRDefault="002A722F"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C7052F">
              <w:rPr>
                <w:b/>
                <w:bCs/>
              </w:rPr>
              <w:t xml:space="preserve">Model </w:t>
            </w:r>
            <w:r>
              <w:rPr>
                <w:b/>
                <w:bCs/>
              </w:rPr>
              <w:t>3</w:t>
            </w:r>
          </w:p>
        </w:tc>
        <w:tc>
          <w:tcPr>
            <w:cnfStyle w:val="000010000000" w:firstRow="0" w:lastRow="0" w:firstColumn="0" w:lastColumn="0" w:oddVBand="1" w:evenVBand="0" w:oddHBand="0" w:evenHBand="0" w:firstRowFirstColumn="0" w:firstRowLastColumn="0" w:lastRowFirstColumn="0" w:lastRowLastColumn="0"/>
            <w:tcW w:w="1843" w:type="dxa"/>
          </w:tcPr>
          <w:p w14:paraId="0F43661A" w14:textId="77777777" w:rsidR="002A722F" w:rsidRPr="00C7052F" w:rsidRDefault="002A722F" w:rsidP="00901636">
            <w:pPr>
              <w:pStyle w:val="Tableheadermain"/>
              <w:rPr>
                <w:b/>
                <w:bCs/>
              </w:rPr>
            </w:pPr>
            <w:r w:rsidRPr="00C7052F">
              <w:rPr>
                <w:b/>
                <w:bCs/>
              </w:rPr>
              <w:t xml:space="preserve">Model </w:t>
            </w:r>
            <w:r>
              <w:rPr>
                <w:b/>
                <w:bCs/>
              </w:rPr>
              <w:t>4</w:t>
            </w:r>
          </w:p>
        </w:tc>
      </w:tr>
      <w:tr w:rsidR="002A722F" w14:paraId="4EB24AC5"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409B8AEA" w14:textId="77777777" w:rsidR="002A722F" w:rsidRDefault="002A722F" w:rsidP="00901636">
            <w:pPr>
              <w:pStyle w:val="Tablecopy"/>
              <w:spacing w:before="120" w:after="120"/>
            </w:pPr>
            <w:r>
              <w:t>Dependent variables</w:t>
            </w:r>
          </w:p>
          <w:p w14:paraId="2A2CFE8A" w14:textId="77777777" w:rsidR="002A722F" w:rsidRPr="00206933" w:rsidRDefault="002A722F" w:rsidP="00901636">
            <w:pPr>
              <w:pStyle w:val="Tablecopy"/>
              <w:spacing w:before="120"/>
            </w:pPr>
            <w:r>
              <w:t>Independent variables</w:t>
            </w:r>
          </w:p>
        </w:tc>
        <w:tc>
          <w:tcPr>
            <w:tcW w:w="1842" w:type="dxa"/>
          </w:tcPr>
          <w:p w14:paraId="1B2DAB35"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r w:rsidRPr="00147232">
              <w:rPr>
                <w:w w:val="105"/>
                <w:sz w:val="19"/>
              </w:rPr>
              <w:t>Log</w:t>
            </w:r>
            <w:r w:rsidRPr="00147232">
              <w:rPr>
                <w:spacing w:val="-12"/>
                <w:w w:val="105"/>
                <w:sz w:val="19"/>
              </w:rPr>
              <w:t xml:space="preserve"> </w:t>
            </w:r>
            <w:r w:rsidRPr="00147232">
              <w:rPr>
                <w:w w:val="105"/>
                <w:sz w:val="19"/>
              </w:rPr>
              <w:t>value</w:t>
            </w:r>
            <w:r>
              <w:rPr>
                <w:w w:val="105"/>
                <w:sz w:val="19"/>
              </w:rPr>
              <w:t>-</w:t>
            </w:r>
            <w:r w:rsidRPr="00147232">
              <w:rPr>
                <w:spacing w:val="-2"/>
                <w:w w:val="105"/>
                <w:sz w:val="19"/>
              </w:rPr>
              <w:t>added</w:t>
            </w:r>
          </w:p>
        </w:tc>
        <w:tc>
          <w:tcPr>
            <w:cnfStyle w:val="000010000000" w:firstRow="0" w:lastRow="0" w:firstColumn="0" w:lastColumn="0" w:oddVBand="1" w:evenVBand="0" w:oddHBand="0" w:evenHBand="0" w:firstRowFirstColumn="0" w:firstRowLastColumn="0" w:lastRowFirstColumn="0" w:lastRowLastColumn="0"/>
            <w:tcW w:w="1851" w:type="dxa"/>
          </w:tcPr>
          <w:p w14:paraId="420DD723" w14:textId="77777777" w:rsidR="002A722F" w:rsidRDefault="002A722F" w:rsidP="00901636">
            <w:pPr>
              <w:pStyle w:val="Tablecopy"/>
            </w:pPr>
            <w:r w:rsidRPr="00147232">
              <w:rPr>
                <w:w w:val="105"/>
                <w:sz w:val="19"/>
              </w:rPr>
              <w:t>Log</w:t>
            </w:r>
            <w:r w:rsidRPr="00147232">
              <w:rPr>
                <w:spacing w:val="-9"/>
                <w:w w:val="105"/>
                <w:sz w:val="19"/>
              </w:rPr>
              <w:t xml:space="preserve"> </w:t>
            </w:r>
            <w:r w:rsidRPr="00147232">
              <w:rPr>
                <w:spacing w:val="-2"/>
                <w:w w:val="105"/>
                <w:sz w:val="19"/>
              </w:rPr>
              <w:t>employment</w:t>
            </w:r>
          </w:p>
        </w:tc>
        <w:tc>
          <w:tcPr>
            <w:tcW w:w="1848" w:type="dxa"/>
          </w:tcPr>
          <w:p w14:paraId="28032D1D"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r w:rsidRPr="00147232">
              <w:rPr>
                <w:w w:val="105"/>
                <w:sz w:val="19"/>
              </w:rPr>
              <w:t>Log</w:t>
            </w:r>
            <w:r w:rsidRPr="00147232">
              <w:rPr>
                <w:spacing w:val="-10"/>
                <w:w w:val="105"/>
                <w:sz w:val="19"/>
              </w:rPr>
              <w:t xml:space="preserve"> </w:t>
            </w:r>
            <w:r w:rsidRPr="00147232">
              <w:rPr>
                <w:w w:val="105"/>
                <w:sz w:val="19"/>
              </w:rPr>
              <w:t>labour</w:t>
            </w:r>
            <w:r w:rsidRPr="00147232">
              <w:rPr>
                <w:spacing w:val="-9"/>
                <w:w w:val="105"/>
                <w:sz w:val="19"/>
              </w:rPr>
              <w:t xml:space="preserve"> </w:t>
            </w:r>
            <w:r w:rsidRPr="00147232">
              <w:rPr>
                <w:spacing w:val="-2"/>
                <w:w w:val="105"/>
                <w:sz w:val="19"/>
              </w:rPr>
              <w:t>productivity</w:t>
            </w:r>
          </w:p>
        </w:tc>
        <w:tc>
          <w:tcPr>
            <w:cnfStyle w:val="000010000000" w:firstRow="0" w:lastRow="0" w:firstColumn="0" w:lastColumn="0" w:oddVBand="1" w:evenVBand="0" w:oddHBand="0" w:evenHBand="0" w:firstRowFirstColumn="0" w:firstRowLastColumn="0" w:lastRowFirstColumn="0" w:lastRowLastColumn="0"/>
            <w:tcW w:w="1843" w:type="dxa"/>
          </w:tcPr>
          <w:p w14:paraId="1CE66B62" w14:textId="77777777" w:rsidR="002A722F" w:rsidRDefault="002A722F" w:rsidP="00901636">
            <w:pPr>
              <w:pStyle w:val="Tablecopy"/>
            </w:pPr>
            <w:r w:rsidRPr="00147232">
              <w:rPr>
                <w:spacing w:val="-4"/>
                <w:w w:val="105"/>
                <w:sz w:val="19"/>
              </w:rPr>
              <w:t>Log</w:t>
            </w:r>
            <w:r w:rsidRPr="00147232">
              <w:rPr>
                <w:spacing w:val="-2"/>
                <w:w w:val="105"/>
                <w:sz w:val="19"/>
              </w:rPr>
              <w:t xml:space="preserve"> </w:t>
            </w:r>
            <w:r w:rsidRPr="00147232">
              <w:rPr>
                <w:spacing w:val="-4"/>
                <w:w w:val="105"/>
                <w:sz w:val="19"/>
              </w:rPr>
              <w:t>average</w:t>
            </w:r>
            <w:r w:rsidRPr="00147232">
              <w:rPr>
                <w:spacing w:val="-1"/>
                <w:w w:val="105"/>
                <w:sz w:val="19"/>
              </w:rPr>
              <w:t xml:space="preserve"> </w:t>
            </w:r>
            <w:r w:rsidRPr="00147232">
              <w:rPr>
                <w:spacing w:val="-4"/>
                <w:w w:val="105"/>
                <w:sz w:val="19"/>
              </w:rPr>
              <w:t>wages</w:t>
            </w:r>
          </w:p>
        </w:tc>
      </w:tr>
      <w:tr w:rsidR="002A722F" w14:paraId="3AB6CE1E"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28EB3BF0" w14:textId="77777777" w:rsidR="002A722F" w:rsidRDefault="002A722F" w:rsidP="00901636">
            <w:pPr>
              <w:pStyle w:val="Tablecopy"/>
            </w:pPr>
            <w:r w:rsidRPr="00AA3E21">
              <w:t>Exporter indicator (0,1)</w:t>
            </w:r>
          </w:p>
        </w:tc>
        <w:tc>
          <w:tcPr>
            <w:tcW w:w="1842" w:type="dxa"/>
          </w:tcPr>
          <w:p w14:paraId="63672DE4"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AA3E21">
              <w:t>0.499*** (0.007)</w:t>
            </w:r>
          </w:p>
        </w:tc>
        <w:tc>
          <w:tcPr>
            <w:cnfStyle w:val="000010000000" w:firstRow="0" w:lastRow="0" w:firstColumn="0" w:lastColumn="0" w:oddVBand="1" w:evenVBand="0" w:oddHBand="0" w:evenHBand="0" w:firstRowFirstColumn="0" w:firstRowLastColumn="0" w:lastRowFirstColumn="0" w:lastRowLastColumn="0"/>
            <w:tcW w:w="1851" w:type="dxa"/>
          </w:tcPr>
          <w:p w14:paraId="08587D84" w14:textId="77777777" w:rsidR="002A722F" w:rsidRDefault="002A722F" w:rsidP="00901636">
            <w:pPr>
              <w:pStyle w:val="Tablecopy"/>
            </w:pPr>
            <w:r w:rsidRPr="00AA3E21">
              <w:t>0.134*** (0.005)</w:t>
            </w:r>
          </w:p>
        </w:tc>
        <w:tc>
          <w:tcPr>
            <w:tcW w:w="1848" w:type="dxa"/>
          </w:tcPr>
          <w:p w14:paraId="45D3E3D4"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AA3E21">
              <w:t>0.498*** (0.007)</w:t>
            </w:r>
          </w:p>
        </w:tc>
        <w:tc>
          <w:tcPr>
            <w:cnfStyle w:val="000010000000" w:firstRow="0" w:lastRow="0" w:firstColumn="0" w:lastColumn="0" w:oddVBand="1" w:evenVBand="0" w:oddHBand="0" w:evenHBand="0" w:firstRowFirstColumn="0" w:firstRowLastColumn="0" w:lastRowFirstColumn="0" w:lastRowLastColumn="0"/>
            <w:tcW w:w="1843" w:type="dxa"/>
          </w:tcPr>
          <w:p w14:paraId="6CD822AA" w14:textId="77777777" w:rsidR="002A722F" w:rsidRDefault="002A722F" w:rsidP="00901636">
            <w:pPr>
              <w:pStyle w:val="Tablecopy"/>
            </w:pPr>
            <w:r w:rsidRPr="00AA3E21">
              <w:t>0.360*** (0.004)</w:t>
            </w:r>
          </w:p>
        </w:tc>
      </w:tr>
      <w:tr w:rsidR="002A722F" w14:paraId="62CD11DE"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120E2034" w14:textId="77777777" w:rsidR="002A722F" w:rsidRDefault="002A722F" w:rsidP="00901636">
            <w:pPr>
              <w:pStyle w:val="Tablecopy"/>
            </w:pPr>
            <w:r w:rsidRPr="00AA3E21">
              <w:t>Firm age</w:t>
            </w:r>
          </w:p>
        </w:tc>
        <w:tc>
          <w:tcPr>
            <w:tcW w:w="1842" w:type="dxa"/>
          </w:tcPr>
          <w:p w14:paraId="42F6336C"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r w:rsidRPr="00AA3E21">
              <w:t>0.004*** (0.000)</w:t>
            </w:r>
          </w:p>
        </w:tc>
        <w:tc>
          <w:tcPr>
            <w:cnfStyle w:val="000010000000" w:firstRow="0" w:lastRow="0" w:firstColumn="0" w:lastColumn="0" w:oddVBand="1" w:evenVBand="0" w:oddHBand="0" w:evenHBand="0" w:firstRowFirstColumn="0" w:firstRowLastColumn="0" w:lastRowFirstColumn="0" w:lastRowLastColumn="0"/>
            <w:tcW w:w="1851" w:type="dxa"/>
          </w:tcPr>
          <w:p w14:paraId="7A1F897A" w14:textId="77777777" w:rsidR="002A722F" w:rsidRDefault="002A722F" w:rsidP="00901636">
            <w:pPr>
              <w:pStyle w:val="Tablecopy"/>
            </w:pPr>
            <w:r w:rsidRPr="00AA3E21">
              <w:t>0.008*** (0.000)</w:t>
            </w:r>
          </w:p>
        </w:tc>
        <w:tc>
          <w:tcPr>
            <w:tcW w:w="1848" w:type="dxa"/>
          </w:tcPr>
          <w:p w14:paraId="26EA05F5"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r w:rsidRPr="00AA3E21">
              <w:t>0.003*** (0.000)</w:t>
            </w:r>
          </w:p>
        </w:tc>
        <w:tc>
          <w:tcPr>
            <w:cnfStyle w:val="000010000000" w:firstRow="0" w:lastRow="0" w:firstColumn="0" w:lastColumn="0" w:oddVBand="1" w:evenVBand="0" w:oddHBand="0" w:evenHBand="0" w:firstRowFirstColumn="0" w:firstRowLastColumn="0" w:lastRowFirstColumn="0" w:lastRowLastColumn="0"/>
            <w:tcW w:w="1843" w:type="dxa"/>
          </w:tcPr>
          <w:p w14:paraId="7AF34C8F" w14:textId="77777777" w:rsidR="002A722F" w:rsidRDefault="002A722F" w:rsidP="00901636">
            <w:pPr>
              <w:pStyle w:val="Tablecopy"/>
            </w:pPr>
            <w:r w:rsidRPr="00AA3E21">
              <w:t>0.010*** (0.000)</w:t>
            </w:r>
          </w:p>
        </w:tc>
      </w:tr>
      <w:tr w:rsidR="002A722F" w14:paraId="4F609639"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70335EAB" w14:textId="77777777" w:rsidR="002A722F" w:rsidRDefault="002A722F" w:rsidP="00901636">
            <w:pPr>
              <w:pStyle w:val="Tablecopy"/>
            </w:pPr>
            <w:r w:rsidRPr="00AA3E21">
              <w:t>Log employment</w:t>
            </w:r>
          </w:p>
        </w:tc>
        <w:tc>
          <w:tcPr>
            <w:tcW w:w="1842" w:type="dxa"/>
          </w:tcPr>
          <w:p w14:paraId="7DC3AAF9"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AA3E21">
              <w:t>0.797*** (0.002)</w:t>
            </w:r>
          </w:p>
        </w:tc>
        <w:tc>
          <w:tcPr>
            <w:cnfStyle w:val="000010000000" w:firstRow="0" w:lastRow="0" w:firstColumn="0" w:lastColumn="0" w:oddVBand="1" w:evenVBand="0" w:oddHBand="0" w:evenHBand="0" w:firstRowFirstColumn="0" w:firstRowLastColumn="0" w:lastRowFirstColumn="0" w:lastRowLastColumn="0"/>
            <w:tcW w:w="1851" w:type="dxa"/>
          </w:tcPr>
          <w:p w14:paraId="5682FF2D" w14:textId="77777777" w:rsidR="002A722F" w:rsidRDefault="002A722F" w:rsidP="00901636">
            <w:pPr>
              <w:pStyle w:val="Tablecopy"/>
            </w:pPr>
            <w:r w:rsidRPr="00AA3E21">
              <w:t>0.503*** (0.001)</w:t>
            </w:r>
          </w:p>
        </w:tc>
        <w:tc>
          <w:tcPr>
            <w:tcW w:w="1848" w:type="dxa"/>
          </w:tcPr>
          <w:p w14:paraId="7A8450C3"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AA3E21">
              <w:t>-0.203*** (0.002)</w:t>
            </w:r>
          </w:p>
        </w:tc>
        <w:tc>
          <w:tcPr>
            <w:cnfStyle w:val="000010000000" w:firstRow="0" w:lastRow="0" w:firstColumn="0" w:lastColumn="0" w:oddVBand="1" w:evenVBand="0" w:oddHBand="0" w:evenHBand="0" w:firstRowFirstColumn="0" w:firstRowLastColumn="0" w:lastRowFirstColumn="0" w:lastRowLastColumn="0"/>
            <w:tcW w:w="1843" w:type="dxa"/>
          </w:tcPr>
          <w:p w14:paraId="411B4CDD" w14:textId="77777777" w:rsidR="002A722F" w:rsidRDefault="002A722F" w:rsidP="00901636">
            <w:pPr>
              <w:pStyle w:val="Tablecopy"/>
            </w:pPr>
            <w:r w:rsidRPr="00AA3E21">
              <w:t>-0.132*** (0.001)</w:t>
            </w:r>
          </w:p>
        </w:tc>
      </w:tr>
      <w:tr w:rsidR="002A722F" w14:paraId="4F8083B2"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476FDDAD" w14:textId="77777777" w:rsidR="002A722F" w:rsidRDefault="002A722F" w:rsidP="00901636">
            <w:pPr>
              <w:pStyle w:val="Tablecopy"/>
            </w:pPr>
            <w:r w:rsidRPr="00AA3E21">
              <w:t>Log value added</w:t>
            </w:r>
          </w:p>
        </w:tc>
        <w:tc>
          <w:tcPr>
            <w:tcW w:w="1842" w:type="dxa"/>
          </w:tcPr>
          <w:p w14:paraId="29980EF0"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51" w:type="dxa"/>
          </w:tcPr>
          <w:p w14:paraId="4981E5E7" w14:textId="77777777" w:rsidR="002A722F" w:rsidRDefault="002A722F" w:rsidP="00901636">
            <w:pPr>
              <w:pStyle w:val="Tablecopy"/>
            </w:pPr>
            <w:r>
              <w:t>0.503*** (0.001)</w:t>
            </w:r>
          </w:p>
        </w:tc>
        <w:tc>
          <w:tcPr>
            <w:tcW w:w="1848" w:type="dxa"/>
          </w:tcPr>
          <w:p w14:paraId="175DAB28"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7F7BE802" w14:textId="77777777" w:rsidR="002A722F" w:rsidRDefault="002A722F" w:rsidP="00901636">
            <w:pPr>
              <w:pStyle w:val="Tablecopy"/>
            </w:pPr>
          </w:p>
        </w:tc>
      </w:tr>
      <w:tr w:rsidR="002A722F" w14:paraId="23CA92DF"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10491DF5" w14:textId="77777777" w:rsidR="002A722F" w:rsidRDefault="002A722F" w:rsidP="00901636">
            <w:pPr>
              <w:pStyle w:val="Tablecopy"/>
            </w:pPr>
            <w:r w:rsidRPr="00AA3E21">
              <w:t>Constant</w:t>
            </w:r>
          </w:p>
        </w:tc>
        <w:tc>
          <w:tcPr>
            <w:tcW w:w="1842" w:type="dxa"/>
          </w:tcPr>
          <w:p w14:paraId="600EEEC2"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AA3E21">
              <w:t>12.028***</w:t>
            </w:r>
          </w:p>
        </w:tc>
        <w:tc>
          <w:tcPr>
            <w:cnfStyle w:val="000010000000" w:firstRow="0" w:lastRow="0" w:firstColumn="0" w:lastColumn="0" w:oddVBand="1" w:evenVBand="0" w:oddHBand="0" w:evenHBand="0" w:firstRowFirstColumn="0" w:firstRowLastColumn="0" w:lastRowFirstColumn="0" w:lastRowLastColumn="0"/>
            <w:tcW w:w="1851" w:type="dxa"/>
          </w:tcPr>
          <w:p w14:paraId="37EA6F81" w14:textId="77777777" w:rsidR="002A722F" w:rsidRDefault="002A722F" w:rsidP="00901636">
            <w:pPr>
              <w:pStyle w:val="Tablecopy"/>
            </w:pPr>
            <w:r w:rsidRPr="00DC55A0">
              <w:t>-5.158*** (0.025)</w:t>
            </w:r>
          </w:p>
        </w:tc>
        <w:tc>
          <w:tcPr>
            <w:tcW w:w="1848" w:type="dxa"/>
          </w:tcPr>
          <w:p w14:paraId="37C47856"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DC55A0">
              <w:t>12.027*** (0.020)</w:t>
            </w:r>
          </w:p>
        </w:tc>
        <w:tc>
          <w:tcPr>
            <w:cnfStyle w:val="000010000000" w:firstRow="0" w:lastRow="0" w:firstColumn="0" w:lastColumn="0" w:oddVBand="1" w:evenVBand="0" w:oddHBand="0" w:evenHBand="0" w:firstRowFirstColumn="0" w:firstRowLastColumn="0" w:lastRowFirstColumn="0" w:lastRowLastColumn="0"/>
            <w:tcW w:w="1843" w:type="dxa"/>
          </w:tcPr>
          <w:p w14:paraId="0749583B" w14:textId="77777777" w:rsidR="002A722F" w:rsidRDefault="002A722F" w:rsidP="00901636">
            <w:pPr>
              <w:pStyle w:val="Tablecopy"/>
            </w:pPr>
            <w:r w:rsidRPr="00DC55A0">
              <w:t>11.215*** (0.011)</w:t>
            </w:r>
          </w:p>
        </w:tc>
      </w:tr>
      <w:tr w:rsidR="002A722F" w14:paraId="3A8E6BCB"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2D713AC5" w14:textId="77777777" w:rsidR="002A722F" w:rsidRDefault="002A722F" w:rsidP="00901636">
            <w:pPr>
              <w:pStyle w:val="Tablecopy"/>
            </w:pPr>
            <w:r w:rsidRPr="004B6C00">
              <w:t>R</w:t>
            </w:r>
            <w:r w:rsidRPr="003875D9">
              <w:rPr>
                <w:vertAlign w:val="superscript"/>
              </w:rPr>
              <w:t>2</w:t>
            </w:r>
          </w:p>
        </w:tc>
        <w:tc>
          <w:tcPr>
            <w:tcW w:w="1842" w:type="dxa"/>
          </w:tcPr>
          <w:p w14:paraId="6BE87586"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r w:rsidRPr="004B6C00">
              <w:t>0.489</w:t>
            </w:r>
          </w:p>
        </w:tc>
        <w:tc>
          <w:tcPr>
            <w:cnfStyle w:val="000010000000" w:firstRow="0" w:lastRow="0" w:firstColumn="0" w:lastColumn="0" w:oddVBand="1" w:evenVBand="0" w:oddHBand="0" w:evenHBand="0" w:firstRowFirstColumn="0" w:firstRowLastColumn="0" w:lastRowFirstColumn="0" w:lastRowLastColumn="0"/>
            <w:tcW w:w="1851" w:type="dxa"/>
          </w:tcPr>
          <w:p w14:paraId="4FF18D57" w14:textId="77777777" w:rsidR="002A722F" w:rsidRDefault="002A722F" w:rsidP="00901636">
            <w:pPr>
              <w:pStyle w:val="Tablecopy"/>
            </w:pPr>
            <w:r w:rsidRPr="004B6C00">
              <w:t>0.466</w:t>
            </w:r>
          </w:p>
        </w:tc>
        <w:tc>
          <w:tcPr>
            <w:tcW w:w="1848" w:type="dxa"/>
          </w:tcPr>
          <w:p w14:paraId="00C81F98" w14:textId="77777777" w:rsidR="002A722F" w:rsidRDefault="002A722F" w:rsidP="00901636">
            <w:pPr>
              <w:pStyle w:val="Tablecopy"/>
              <w:cnfStyle w:val="000000100000" w:firstRow="0" w:lastRow="0" w:firstColumn="0" w:lastColumn="0" w:oddVBand="0" w:evenVBand="0" w:oddHBand="1" w:evenHBand="0" w:firstRowFirstColumn="0" w:firstRowLastColumn="0" w:lastRowFirstColumn="0" w:lastRowLastColumn="0"/>
            </w:pPr>
            <w:r w:rsidRPr="004B6C00">
              <w:t>0.094</w:t>
            </w:r>
          </w:p>
        </w:tc>
        <w:tc>
          <w:tcPr>
            <w:cnfStyle w:val="000010000000" w:firstRow="0" w:lastRow="0" w:firstColumn="0" w:lastColumn="0" w:oddVBand="1" w:evenVBand="0" w:oddHBand="0" w:evenHBand="0" w:firstRowFirstColumn="0" w:firstRowLastColumn="0" w:lastRowFirstColumn="0" w:lastRowLastColumn="0"/>
            <w:tcW w:w="1843" w:type="dxa"/>
          </w:tcPr>
          <w:p w14:paraId="1870CDA8" w14:textId="77777777" w:rsidR="002A722F" w:rsidRDefault="002A722F" w:rsidP="00901636">
            <w:pPr>
              <w:pStyle w:val="Tablecopy"/>
            </w:pPr>
            <w:r w:rsidRPr="004B6C00">
              <w:t>0.234</w:t>
            </w:r>
          </w:p>
        </w:tc>
      </w:tr>
      <w:tr w:rsidR="002A722F" w14:paraId="5AC53E15"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04CA0DD9" w14:textId="77777777" w:rsidR="002A722F" w:rsidRDefault="002A722F" w:rsidP="00901636">
            <w:pPr>
              <w:pStyle w:val="Tablecopy"/>
            </w:pPr>
            <w:r w:rsidRPr="00B53104">
              <w:t>N</w:t>
            </w:r>
          </w:p>
        </w:tc>
        <w:tc>
          <w:tcPr>
            <w:tcW w:w="1842" w:type="dxa"/>
          </w:tcPr>
          <w:p w14:paraId="5681F760"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B53104">
              <w:t>177,128</w:t>
            </w:r>
          </w:p>
        </w:tc>
        <w:tc>
          <w:tcPr>
            <w:cnfStyle w:val="000010000000" w:firstRow="0" w:lastRow="0" w:firstColumn="0" w:lastColumn="0" w:oddVBand="1" w:evenVBand="0" w:oddHBand="0" w:evenHBand="0" w:firstRowFirstColumn="0" w:firstRowLastColumn="0" w:lastRowFirstColumn="0" w:lastRowLastColumn="0"/>
            <w:tcW w:w="1851" w:type="dxa"/>
          </w:tcPr>
          <w:p w14:paraId="52FC0AE5" w14:textId="77777777" w:rsidR="002A722F" w:rsidRDefault="002A722F" w:rsidP="00901636">
            <w:pPr>
              <w:pStyle w:val="Tablecopy"/>
            </w:pPr>
            <w:r w:rsidRPr="00B53104">
              <w:t>177,128</w:t>
            </w:r>
          </w:p>
        </w:tc>
        <w:tc>
          <w:tcPr>
            <w:tcW w:w="1848" w:type="dxa"/>
          </w:tcPr>
          <w:p w14:paraId="2A3AD80C" w14:textId="77777777" w:rsidR="002A722F" w:rsidRDefault="002A722F" w:rsidP="00901636">
            <w:pPr>
              <w:pStyle w:val="Tablecopy"/>
              <w:cnfStyle w:val="000000000000" w:firstRow="0" w:lastRow="0" w:firstColumn="0" w:lastColumn="0" w:oddVBand="0" w:evenVBand="0" w:oddHBand="0" w:evenHBand="0" w:firstRowFirstColumn="0" w:firstRowLastColumn="0" w:lastRowFirstColumn="0" w:lastRowLastColumn="0"/>
            </w:pPr>
            <w:r w:rsidRPr="00B53104">
              <w:t>177,128</w:t>
            </w:r>
          </w:p>
        </w:tc>
        <w:tc>
          <w:tcPr>
            <w:cnfStyle w:val="000010000000" w:firstRow="0" w:lastRow="0" w:firstColumn="0" w:lastColumn="0" w:oddVBand="1" w:evenVBand="0" w:oddHBand="0" w:evenHBand="0" w:firstRowFirstColumn="0" w:firstRowLastColumn="0" w:lastRowFirstColumn="0" w:lastRowLastColumn="0"/>
            <w:tcW w:w="1843" w:type="dxa"/>
          </w:tcPr>
          <w:p w14:paraId="2E7F0A92" w14:textId="77777777" w:rsidR="002A722F" w:rsidRDefault="002A722F" w:rsidP="00901636">
            <w:pPr>
              <w:pStyle w:val="Tablecopy"/>
            </w:pPr>
            <w:r w:rsidRPr="00B53104">
              <w:t>177,128</w:t>
            </w:r>
          </w:p>
        </w:tc>
      </w:tr>
    </w:tbl>
    <w:p w14:paraId="11C16DBF" w14:textId="69FC6224" w:rsidR="007E632D" w:rsidRDefault="007E632D" w:rsidP="007E632D"/>
    <w:p w14:paraId="49107C57" w14:textId="31407B28" w:rsidR="003875D9" w:rsidRDefault="003875D9" w:rsidP="003875D9">
      <w:pPr>
        <w:pStyle w:val="FootnoteText"/>
      </w:pPr>
      <w:r>
        <w:t>Standard error in parentheses; *** p&lt;0.01, ** p&lt;0.05, * p&lt;0.1</w:t>
      </w:r>
    </w:p>
    <w:p w14:paraId="187EF956" w14:textId="77777777" w:rsidR="003875D9" w:rsidRDefault="003875D9" w:rsidP="003875D9">
      <w:pPr>
        <w:pStyle w:val="FootnoteText"/>
      </w:pPr>
      <w:r>
        <w:t>*</w:t>
      </w:r>
      <w:r w:rsidRPr="003875D9">
        <w:t xml:space="preserve"> Nb. Industry and state dummies are excluded from the results table.</w:t>
      </w:r>
    </w:p>
    <w:p w14:paraId="5A302903" w14:textId="77777777" w:rsidR="003875D9" w:rsidRDefault="003875D9" w:rsidP="003875D9">
      <w:pPr>
        <w:pStyle w:val="Heading3"/>
      </w:pPr>
      <w:r>
        <w:t>Section C.</w:t>
      </w:r>
      <w:r>
        <w:br/>
        <w:t>Model 2 Survival Model specifications</w:t>
      </w:r>
    </w:p>
    <w:p w14:paraId="04A250F4" w14:textId="77777777" w:rsidR="003875D9" w:rsidRDefault="003875D9" w:rsidP="003875D9">
      <w:r>
        <w:t>To determine the impact of exporting on firm survival in Australia during the</w:t>
      </w:r>
    </w:p>
    <w:p w14:paraId="62085397" w14:textId="77777777" w:rsidR="003875D9" w:rsidRDefault="003875D9" w:rsidP="003875D9">
      <w:r>
        <w:t>COVID-19 pandemic shock (considered between 2018-19 and 2020-21) we employed a Probit model of the form:</w:t>
      </w:r>
    </w:p>
    <w:p w14:paraId="747BB579" w14:textId="77777777" w:rsidR="003875D9" w:rsidRPr="003875D9" w:rsidRDefault="003875D9" w:rsidP="003875D9">
      <w:pPr>
        <w:rPr>
          <w:i/>
          <w:iCs/>
        </w:rPr>
      </w:pPr>
      <w:r w:rsidRPr="003875D9">
        <w:rPr>
          <w:i/>
          <w:iCs/>
        </w:rPr>
        <w:t>S = β + β1X + β2Yit + εit</w:t>
      </w:r>
    </w:p>
    <w:p w14:paraId="48EDD932" w14:textId="77777777" w:rsidR="003875D9" w:rsidRDefault="003875D9" w:rsidP="003875D9">
      <w:r w:rsidRPr="003875D9">
        <w:t>where S equals 1 if the firm survived from year 2018-19 to 2020-21, 0 if otherwise</w:t>
      </w:r>
    </w:p>
    <w:p w14:paraId="67B21EEA" w14:textId="77777777" w:rsidR="003875D9" w:rsidRDefault="003875D9" w:rsidP="003875D9">
      <w:r w:rsidRPr="003875D9">
        <w:t>Y</w:t>
      </w:r>
      <w:r w:rsidRPr="003875D9">
        <w:rPr>
          <w:vertAlign w:val="subscript"/>
        </w:rPr>
        <w:t>it</w:t>
      </w:r>
      <w:r w:rsidRPr="003875D9">
        <w:t xml:space="preserve"> is a vector of firm performance indicators (levels of employment, value-added, labour productivity, averages wages, firm age),</w:t>
      </w:r>
    </w:p>
    <w:p w14:paraId="3758E959" w14:textId="77777777" w:rsidR="003875D9" w:rsidRDefault="003875D9" w:rsidP="003875D9">
      <w:r>
        <w:t>and X is a dummy variable referring to export status of the firm (i.e if the firm was</w:t>
      </w:r>
      <w:r w:rsidR="00CE5D0E">
        <w:t xml:space="preserve"> </w:t>
      </w:r>
      <w:r>
        <w:t>continuously exporting during this time period)</w:t>
      </w:r>
    </w:p>
    <w:p w14:paraId="4798FE80" w14:textId="77777777" w:rsidR="003875D9" w:rsidRDefault="003875D9" w:rsidP="003875D9">
      <w:pPr>
        <w:pStyle w:val="Heading3"/>
      </w:pPr>
      <w:r w:rsidRPr="00C7052F">
        <w:lastRenderedPageBreak/>
        <w:t>Figure 2</w:t>
      </w:r>
      <w:r>
        <w:t>3</w:t>
      </w:r>
      <w:r w:rsidRPr="00C7052F">
        <w:t>.</w:t>
      </w:r>
      <w:r>
        <w:t xml:space="preserve"> </w:t>
      </w:r>
      <w:r w:rsidRPr="00C7052F">
        <w:t xml:space="preserve">Regression table </w:t>
      </w:r>
      <w:r>
        <w:t>2</w:t>
      </w:r>
    </w:p>
    <w:tbl>
      <w:tblPr>
        <w:tblStyle w:val="ListTable3-Accent1"/>
        <w:tblW w:w="0" w:type="auto"/>
        <w:tblCellMar>
          <w:left w:w="57" w:type="dxa"/>
          <w:right w:w="28" w:type="dxa"/>
        </w:tblCellMar>
        <w:tblLook w:val="0020" w:firstRow="1" w:lastRow="0" w:firstColumn="0" w:lastColumn="0" w:noHBand="0" w:noVBand="0"/>
      </w:tblPr>
      <w:tblGrid>
        <w:gridCol w:w="2311"/>
        <w:gridCol w:w="1828"/>
        <w:gridCol w:w="1831"/>
        <w:gridCol w:w="1834"/>
        <w:gridCol w:w="1824"/>
      </w:tblGrid>
      <w:tr w:rsidR="00E772A4" w:rsidRPr="00823B47" w14:paraId="0D7B07FB" w14:textId="77777777" w:rsidTr="00FC520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39" w:type="dxa"/>
          </w:tcPr>
          <w:p w14:paraId="4E9AB287" w14:textId="77777777" w:rsidR="00E772A4" w:rsidRPr="00823B47" w:rsidRDefault="00E772A4" w:rsidP="00901636">
            <w:pPr>
              <w:pStyle w:val="Tableheadermain"/>
              <w:rPr>
                <w:b/>
                <w:bCs/>
              </w:rPr>
            </w:pPr>
          </w:p>
        </w:tc>
        <w:tc>
          <w:tcPr>
            <w:tcW w:w="1842" w:type="dxa"/>
          </w:tcPr>
          <w:p w14:paraId="1FBFD151" w14:textId="77777777" w:rsidR="00E772A4" w:rsidRPr="00823B47" w:rsidRDefault="00E772A4"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C7052F">
              <w:rPr>
                <w:b/>
                <w:bCs/>
              </w:rPr>
              <w:t>Model 1</w:t>
            </w:r>
          </w:p>
        </w:tc>
        <w:tc>
          <w:tcPr>
            <w:cnfStyle w:val="000010000000" w:firstRow="0" w:lastRow="0" w:firstColumn="0" w:lastColumn="0" w:oddVBand="1" w:evenVBand="0" w:oddHBand="0" w:evenHBand="0" w:firstRowFirstColumn="0" w:firstRowLastColumn="0" w:lastRowFirstColumn="0" w:lastRowLastColumn="0"/>
            <w:tcW w:w="1851" w:type="dxa"/>
          </w:tcPr>
          <w:p w14:paraId="1CCDD5F6" w14:textId="77777777" w:rsidR="00E772A4" w:rsidRPr="00823B47" w:rsidRDefault="00E772A4" w:rsidP="00901636">
            <w:pPr>
              <w:pStyle w:val="Tableheadermain"/>
              <w:rPr>
                <w:b/>
                <w:bCs/>
              </w:rPr>
            </w:pPr>
            <w:r w:rsidRPr="003875D9">
              <w:rPr>
                <w:b/>
                <w:bCs/>
              </w:rPr>
              <w:t xml:space="preserve">Average marginal effects – </w:t>
            </w:r>
            <w:r>
              <w:rPr>
                <w:b/>
                <w:bCs/>
              </w:rPr>
              <w:br/>
            </w:r>
            <w:r w:rsidRPr="003875D9">
              <w:rPr>
                <w:b/>
                <w:bCs/>
              </w:rPr>
              <w:t>Model 1</w:t>
            </w:r>
          </w:p>
        </w:tc>
        <w:tc>
          <w:tcPr>
            <w:tcW w:w="1848" w:type="dxa"/>
          </w:tcPr>
          <w:p w14:paraId="1F96076D" w14:textId="77777777" w:rsidR="00E772A4" w:rsidRPr="00823B47" w:rsidRDefault="00E772A4" w:rsidP="00901636">
            <w:pPr>
              <w:pStyle w:val="Tableheadermain"/>
              <w:cnfStyle w:val="100000000000" w:firstRow="1" w:lastRow="0" w:firstColumn="0" w:lastColumn="0" w:oddVBand="0" w:evenVBand="0" w:oddHBand="0" w:evenHBand="0" w:firstRowFirstColumn="0" w:firstRowLastColumn="0" w:lastRowFirstColumn="0" w:lastRowLastColumn="0"/>
              <w:rPr>
                <w:b/>
                <w:bCs/>
              </w:rPr>
            </w:pPr>
            <w:r w:rsidRPr="00C7052F">
              <w:rPr>
                <w:b/>
                <w:bCs/>
              </w:rPr>
              <w:t xml:space="preserve">Model </w:t>
            </w:r>
            <w:r>
              <w:rPr>
                <w:b/>
                <w:bCs/>
              </w:rPr>
              <w:t>2</w:t>
            </w:r>
          </w:p>
        </w:tc>
        <w:tc>
          <w:tcPr>
            <w:cnfStyle w:val="000010000000" w:firstRow="0" w:lastRow="0" w:firstColumn="0" w:lastColumn="0" w:oddVBand="1" w:evenVBand="0" w:oddHBand="0" w:evenHBand="0" w:firstRowFirstColumn="0" w:firstRowLastColumn="0" w:lastRowFirstColumn="0" w:lastRowLastColumn="0"/>
            <w:tcW w:w="1843" w:type="dxa"/>
          </w:tcPr>
          <w:p w14:paraId="59A797E5" w14:textId="77777777" w:rsidR="00E772A4" w:rsidRPr="00C7052F" w:rsidRDefault="00E772A4" w:rsidP="00901636">
            <w:pPr>
              <w:pStyle w:val="Tableheadermain"/>
              <w:rPr>
                <w:b/>
                <w:bCs/>
              </w:rPr>
            </w:pPr>
            <w:r w:rsidRPr="003875D9">
              <w:rPr>
                <w:b/>
                <w:bCs/>
              </w:rPr>
              <w:t xml:space="preserve">Average marginal effects – </w:t>
            </w:r>
            <w:r>
              <w:rPr>
                <w:b/>
                <w:bCs/>
              </w:rPr>
              <w:br/>
            </w:r>
            <w:r w:rsidRPr="003875D9">
              <w:rPr>
                <w:b/>
                <w:bCs/>
              </w:rPr>
              <w:t>Model 2</w:t>
            </w:r>
          </w:p>
        </w:tc>
      </w:tr>
      <w:tr w:rsidR="00E772A4" w14:paraId="577BB410"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43EDEF37" w14:textId="77777777" w:rsidR="00E772A4" w:rsidRDefault="00E772A4" w:rsidP="00901636">
            <w:pPr>
              <w:pStyle w:val="Tablecopy"/>
              <w:spacing w:before="120" w:after="120"/>
            </w:pPr>
            <w:r>
              <w:t>Dependent variables</w:t>
            </w:r>
          </w:p>
          <w:p w14:paraId="19FEF251" w14:textId="77777777" w:rsidR="00E772A4" w:rsidRPr="00206933" w:rsidRDefault="00E772A4" w:rsidP="00901636">
            <w:pPr>
              <w:pStyle w:val="Tablecopy"/>
              <w:spacing w:before="120"/>
            </w:pPr>
            <w:r>
              <w:t>Independent variables</w:t>
            </w:r>
          </w:p>
        </w:tc>
        <w:tc>
          <w:tcPr>
            <w:tcW w:w="1842" w:type="dxa"/>
          </w:tcPr>
          <w:p w14:paraId="64A2BF07"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3F656B">
              <w:t>Survival (0,1)</w:t>
            </w:r>
          </w:p>
        </w:tc>
        <w:tc>
          <w:tcPr>
            <w:cnfStyle w:val="000010000000" w:firstRow="0" w:lastRow="0" w:firstColumn="0" w:lastColumn="0" w:oddVBand="1" w:evenVBand="0" w:oddHBand="0" w:evenHBand="0" w:firstRowFirstColumn="0" w:firstRowLastColumn="0" w:lastRowFirstColumn="0" w:lastRowLastColumn="0"/>
            <w:tcW w:w="1851" w:type="dxa"/>
          </w:tcPr>
          <w:p w14:paraId="528752D2" w14:textId="77777777" w:rsidR="00E772A4" w:rsidRDefault="00E772A4" w:rsidP="00901636">
            <w:pPr>
              <w:pStyle w:val="Tablecopy"/>
            </w:pPr>
          </w:p>
        </w:tc>
        <w:tc>
          <w:tcPr>
            <w:tcW w:w="1848" w:type="dxa"/>
          </w:tcPr>
          <w:p w14:paraId="2C8135FB"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3F656B">
              <w:t>Survival (0,1)</w:t>
            </w:r>
          </w:p>
        </w:tc>
        <w:tc>
          <w:tcPr>
            <w:cnfStyle w:val="000010000000" w:firstRow="0" w:lastRow="0" w:firstColumn="0" w:lastColumn="0" w:oddVBand="1" w:evenVBand="0" w:oddHBand="0" w:evenHBand="0" w:firstRowFirstColumn="0" w:firstRowLastColumn="0" w:lastRowFirstColumn="0" w:lastRowLastColumn="0"/>
            <w:tcW w:w="1843" w:type="dxa"/>
          </w:tcPr>
          <w:p w14:paraId="7400A30A" w14:textId="77777777" w:rsidR="00E772A4" w:rsidRDefault="00E772A4" w:rsidP="00901636">
            <w:pPr>
              <w:pStyle w:val="Tablecopy"/>
            </w:pPr>
          </w:p>
        </w:tc>
      </w:tr>
      <w:tr w:rsidR="00E772A4" w14:paraId="0770833F"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3FB7A659" w14:textId="77777777" w:rsidR="00E772A4" w:rsidRDefault="00E772A4" w:rsidP="00901636">
            <w:pPr>
              <w:pStyle w:val="Tablecopy"/>
            </w:pPr>
            <w:r>
              <w:t>Covid-19 exporter indi- cator (0,1)</w:t>
            </w:r>
          </w:p>
        </w:tc>
        <w:tc>
          <w:tcPr>
            <w:tcW w:w="1842" w:type="dxa"/>
          </w:tcPr>
          <w:p w14:paraId="03758AB0"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t>1.343*** (0.028)</w:t>
            </w:r>
          </w:p>
        </w:tc>
        <w:tc>
          <w:tcPr>
            <w:cnfStyle w:val="000010000000" w:firstRow="0" w:lastRow="0" w:firstColumn="0" w:lastColumn="0" w:oddVBand="1" w:evenVBand="0" w:oddHBand="0" w:evenHBand="0" w:firstRowFirstColumn="0" w:firstRowLastColumn="0" w:lastRowFirstColumn="0" w:lastRowLastColumn="0"/>
            <w:tcW w:w="1851" w:type="dxa"/>
          </w:tcPr>
          <w:p w14:paraId="4F563A0F" w14:textId="77777777" w:rsidR="00E772A4" w:rsidRDefault="00E772A4" w:rsidP="00901636">
            <w:pPr>
              <w:pStyle w:val="Tablecopy"/>
            </w:pPr>
            <w:r w:rsidRPr="003F656B">
              <w:t>0.0912</w:t>
            </w:r>
          </w:p>
        </w:tc>
        <w:tc>
          <w:tcPr>
            <w:tcW w:w="1848" w:type="dxa"/>
          </w:tcPr>
          <w:p w14:paraId="39FE2D2A"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t>1.343*** (0.028)</w:t>
            </w:r>
          </w:p>
        </w:tc>
        <w:tc>
          <w:tcPr>
            <w:cnfStyle w:val="000010000000" w:firstRow="0" w:lastRow="0" w:firstColumn="0" w:lastColumn="0" w:oddVBand="1" w:evenVBand="0" w:oddHBand="0" w:evenHBand="0" w:firstRowFirstColumn="0" w:firstRowLastColumn="0" w:lastRowFirstColumn="0" w:lastRowLastColumn="0"/>
            <w:tcW w:w="1843" w:type="dxa"/>
          </w:tcPr>
          <w:p w14:paraId="67176452" w14:textId="77777777" w:rsidR="00E772A4" w:rsidRDefault="00E772A4" w:rsidP="00901636">
            <w:pPr>
              <w:pStyle w:val="Tablecopy"/>
            </w:pPr>
            <w:r w:rsidRPr="003F656B">
              <w:t>0.0912</w:t>
            </w:r>
          </w:p>
        </w:tc>
      </w:tr>
      <w:tr w:rsidR="00E772A4" w14:paraId="7DAABB36"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0267B91E" w14:textId="77777777" w:rsidR="00E772A4" w:rsidRDefault="00E772A4" w:rsidP="00901636">
            <w:pPr>
              <w:pStyle w:val="Tablecopy"/>
            </w:pPr>
            <w:r w:rsidRPr="003875D9">
              <w:t>Log employment</w:t>
            </w:r>
          </w:p>
        </w:tc>
        <w:tc>
          <w:tcPr>
            <w:tcW w:w="1842" w:type="dxa"/>
          </w:tcPr>
          <w:p w14:paraId="60357456"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3F656B">
              <w:t>-0.054*** (0.002)</w:t>
            </w:r>
          </w:p>
        </w:tc>
        <w:tc>
          <w:tcPr>
            <w:cnfStyle w:val="000010000000" w:firstRow="0" w:lastRow="0" w:firstColumn="0" w:lastColumn="0" w:oddVBand="1" w:evenVBand="0" w:oddHBand="0" w:evenHBand="0" w:firstRowFirstColumn="0" w:firstRowLastColumn="0" w:lastRowFirstColumn="0" w:lastRowLastColumn="0"/>
            <w:tcW w:w="1851" w:type="dxa"/>
          </w:tcPr>
          <w:p w14:paraId="7DBCE92C" w14:textId="77777777" w:rsidR="00E772A4" w:rsidRDefault="00E772A4" w:rsidP="00901636">
            <w:pPr>
              <w:pStyle w:val="Tablecopy"/>
            </w:pPr>
            <w:r w:rsidRPr="003F656B">
              <w:t>-0.008</w:t>
            </w:r>
          </w:p>
        </w:tc>
        <w:tc>
          <w:tcPr>
            <w:tcW w:w="1848" w:type="dxa"/>
          </w:tcPr>
          <w:p w14:paraId="534A3D56"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3F656B">
              <w:t>0.199*** (0.001)</w:t>
            </w:r>
          </w:p>
        </w:tc>
        <w:tc>
          <w:tcPr>
            <w:cnfStyle w:val="000010000000" w:firstRow="0" w:lastRow="0" w:firstColumn="0" w:lastColumn="0" w:oddVBand="1" w:evenVBand="0" w:oddHBand="0" w:evenHBand="0" w:firstRowFirstColumn="0" w:firstRowLastColumn="0" w:lastRowFirstColumn="0" w:lastRowLastColumn="0"/>
            <w:tcW w:w="1843" w:type="dxa"/>
          </w:tcPr>
          <w:p w14:paraId="621FEBED" w14:textId="77777777" w:rsidR="00E772A4" w:rsidRDefault="00E772A4" w:rsidP="00901636">
            <w:pPr>
              <w:pStyle w:val="Tablecopy"/>
            </w:pPr>
            <w:r w:rsidRPr="003F656B">
              <w:t>0.0304</w:t>
            </w:r>
          </w:p>
        </w:tc>
      </w:tr>
      <w:tr w:rsidR="00E772A4" w14:paraId="0B760F81"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19DCF7D6" w14:textId="77777777" w:rsidR="00E772A4" w:rsidRDefault="00E772A4" w:rsidP="00901636">
            <w:pPr>
              <w:pStyle w:val="Tablecopy"/>
            </w:pPr>
            <w:r w:rsidRPr="003875D9">
              <w:t>Log average wages</w:t>
            </w:r>
            <w:r w:rsidRPr="003875D9">
              <w:tab/>
            </w:r>
          </w:p>
        </w:tc>
        <w:tc>
          <w:tcPr>
            <w:tcW w:w="1842" w:type="dxa"/>
          </w:tcPr>
          <w:p w14:paraId="4D1C91E7" w14:textId="77777777" w:rsidR="00E772A4" w:rsidRPr="003F656B" w:rsidRDefault="00E772A4" w:rsidP="00901636">
            <w:pPr>
              <w:cnfStyle w:val="000000000000" w:firstRow="0" w:lastRow="0" w:firstColumn="0" w:lastColumn="0" w:oddVBand="0" w:evenVBand="0" w:oddHBand="0" w:evenHBand="0" w:firstRowFirstColumn="0" w:firstRowLastColumn="0" w:lastRowFirstColumn="0" w:lastRowLastColumn="0"/>
              <w:rPr>
                <w:rFonts w:ascii="Verdana" w:eastAsiaTheme="minorHAnsi" w:hAnsi="Verdana"/>
                <w:color w:val="000000" w:themeColor="text1"/>
                <w:sz w:val="18"/>
                <w:lang w:eastAsia="en-US"/>
              </w:rPr>
            </w:pPr>
            <w:r w:rsidRPr="003F656B">
              <w:rPr>
                <w:rFonts w:ascii="Verdana" w:eastAsiaTheme="minorHAnsi" w:hAnsi="Verdana"/>
                <w:color w:val="000000" w:themeColor="text1"/>
                <w:sz w:val="18"/>
                <w:lang w:eastAsia="en-US"/>
              </w:rPr>
              <w:t>0.144***</w:t>
            </w:r>
            <w:r>
              <w:rPr>
                <w:rFonts w:ascii="Verdana" w:eastAsiaTheme="minorHAnsi" w:hAnsi="Verdana"/>
                <w:color w:val="000000" w:themeColor="text1"/>
                <w:sz w:val="18"/>
                <w:lang w:eastAsia="en-US"/>
              </w:rPr>
              <w:t xml:space="preserve"> </w:t>
            </w:r>
            <w:r w:rsidRPr="003F656B">
              <w:t>(0.003)</w:t>
            </w:r>
          </w:p>
        </w:tc>
        <w:tc>
          <w:tcPr>
            <w:cnfStyle w:val="000010000000" w:firstRow="0" w:lastRow="0" w:firstColumn="0" w:lastColumn="0" w:oddVBand="1" w:evenVBand="0" w:oddHBand="0" w:evenHBand="0" w:firstRowFirstColumn="0" w:firstRowLastColumn="0" w:lastRowFirstColumn="0" w:lastRowLastColumn="0"/>
            <w:tcW w:w="1851" w:type="dxa"/>
          </w:tcPr>
          <w:p w14:paraId="5C16177E" w14:textId="77777777" w:rsidR="00E772A4" w:rsidRDefault="00E772A4" w:rsidP="00901636">
            <w:pPr>
              <w:pStyle w:val="Tablecopy"/>
            </w:pPr>
            <w:r w:rsidRPr="003F656B">
              <w:t>0.022</w:t>
            </w:r>
          </w:p>
        </w:tc>
        <w:tc>
          <w:tcPr>
            <w:tcW w:w="1848" w:type="dxa"/>
          </w:tcPr>
          <w:p w14:paraId="56902F0A"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rsidRPr="003F656B">
              <w:t>0.144***</w:t>
            </w:r>
            <w:r>
              <w:t xml:space="preserve"> </w:t>
            </w:r>
            <w:r w:rsidRPr="003F656B">
              <w:t>(0.003)</w:t>
            </w:r>
          </w:p>
        </w:tc>
        <w:tc>
          <w:tcPr>
            <w:cnfStyle w:val="000010000000" w:firstRow="0" w:lastRow="0" w:firstColumn="0" w:lastColumn="0" w:oddVBand="1" w:evenVBand="0" w:oddHBand="0" w:evenHBand="0" w:firstRowFirstColumn="0" w:firstRowLastColumn="0" w:lastRowFirstColumn="0" w:lastRowLastColumn="0"/>
            <w:tcW w:w="1843" w:type="dxa"/>
          </w:tcPr>
          <w:p w14:paraId="74696C8B" w14:textId="77777777" w:rsidR="00E772A4" w:rsidRDefault="00E772A4" w:rsidP="00901636">
            <w:pPr>
              <w:pStyle w:val="Tablecopy"/>
            </w:pPr>
            <w:r w:rsidRPr="003F656B">
              <w:t>0.022</w:t>
            </w:r>
          </w:p>
        </w:tc>
      </w:tr>
      <w:tr w:rsidR="00E772A4" w14:paraId="20055A2A"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4B3D76D8" w14:textId="77777777" w:rsidR="00E772A4" w:rsidRDefault="00E772A4" w:rsidP="00901636">
            <w:pPr>
              <w:pStyle w:val="Tablecopy"/>
            </w:pPr>
            <w:r w:rsidRPr="003875D9">
              <w:t>Log value added</w:t>
            </w:r>
          </w:p>
        </w:tc>
        <w:tc>
          <w:tcPr>
            <w:tcW w:w="1842" w:type="dxa"/>
          </w:tcPr>
          <w:p w14:paraId="1005120A"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3F656B">
              <w:t>0.254*** (0.001)</w:t>
            </w:r>
          </w:p>
        </w:tc>
        <w:tc>
          <w:tcPr>
            <w:cnfStyle w:val="000010000000" w:firstRow="0" w:lastRow="0" w:firstColumn="0" w:lastColumn="0" w:oddVBand="1" w:evenVBand="0" w:oddHBand="0" w:evenHBand="0" w:firstRowFirstColumn="0" w:firstRowLastColumn="0" w:lastRowFirstColumn="0" w:lastRowLastColumn="0"/>
            <w:tcW w:w="1851" w:type="dxa"/>
          </w:tcPr>
          <w:p w14:paraId="2D91CDBE" w14:textId="77777777" w:rsidR="00E772A4" w:rsidRDefault="00E772A4" w:rsidP="00901636">
            <w:pPr>
              <w:pStyle w:val="Tablecopy"/>
            </w:pPr>
            <w:r w:rsidRPr="003F656B">
              <w:t>0.038</w:t>
            </w:r>
          </w:p>
        </w:tc>
        <w:tc>
          <w:tcPr>
            <w:tcW w:w="1848" w:type="dxa"/>
          </w:tcPr>
          <w:p w14:paraId="4D8ED022"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3" w:type="dxa"/>
          </w:tcPr>
          <w:p w14:paraId="7AD38795" w14:textId="77777777" w:rsidR="00E772A4" w:rsidRDefault="00E772A4" w:rsidP="00901636">
            <w:pPr>
              <w:pStyle w:val="Tablecopy"/>
            </w:pPr>
            <w:r w:rsidRPr="003F656B">
              <w:t>0.038</w:t>
            </w:r>
          </w:p>
        </w:tc>
      </w:tr>
      <w:tr w:rsidR="00E772A4" w14:paraId="549E9AFF"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0860BAA1" w14:textId="77777777" w:rsidR="00E772A4" w:rsidRDefault="00E772A4" w:rsidP="00901636">
            <w:pPr>
              <w:pStyle w:val="Tablecopy"/>
            </w:pPr>
            <w:r w:rsidRPr="003875D9">
              <w:t>Log labour productivity</w:t>
            </w:r>
          </w:p>
        </w:tc>
        <w:tc>
          <w:tcPr>
            <w:tcW w:w="1842" w:type="dxa"/>
          </w:tcPr>
          <w:p w14:paraId="01E45CE7"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51" w:type="dxa"/>
          </w:tcPr>
          <w:p w14:paraId="30CCB60D" w14:textId="77777777" w:rsidR="00E772A4" w:rsidRDefault="00E772A4" w:rsidP="00901636">
            <w:pPr>
              <w:pStyle w:val="Tablecopy"/>
            </w:pPr>
          </w:p>
        </w:tc>
        <w:tc>
          <w:tcPr>
            <w:tcW w:w="1848" w:type="dxa"/>
          </w:tcPr>
          <w:p w14:paraId="3870EA0A"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rsidRPr="003F656B">
              <w:t>0.001***</w:t>
            </w:r>
            <w:r>
              <w:t xml:space="preserve"> </w:t>
            </w:r>
            <w:r w:rsidRPr="003F656B">
              <w:t>(0.001)</w:t>
            </w:r>
          </w:p>
        </w:tc>
        <w:tc>
          <w:tcPr>
            <w:cnfStyle w:val="000010000000" w:firstRow="0" w:lastRow="0" w:firstColumn="0" w:lastColumn="0" w:oddVBand="1" w:evenVBand="0" w:oddHBand="0" w:evenHBand="0" w:firstRowFirstColumn="0" w:firstRowLastColumn="0" w:lastRowFirstColumn="0" w:lastRowLastColumn="0"/>
            <w:tcW w:w="1843" w:type="dxa"/>
          </w:tcPr>
          <w:p w14:paraId="5ECF5FE4" w14:textId="77777777" w:rsidR="00E772A4" w:rsidRDefault="00E772A4" w:rsidP="00901636">
            <w:pPr>
              <w:pStyle w:val="Tablecopy"/>
            </w:pPr>
          </w:p>
        </w:tc>
      </w:tr>
      <w:tr w:rsidR="00E772A4" w14:paraId="0BBC219F"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63AD1B6D" w14:textId="77777777" w:rsidR="00E772A4" w:rsidRDefault="00E772A4" w:rsidP="00901636">
            <w:pPr>
              <w:pStyle w:val="Tablecopy"/>
            </w:pPr>
            <w:r w:rsidRPr="003875D9">
              <w:t>Firm age</w:t>
            </w:r>
          </w:p>
        </w:tc>
        <w:tc>
          <w:tcPr>
            <w:tcW w:w="1842" w:type="dxa"/>
          </w:tcPr>
          <w:p w14:paraId="030208EE"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3F656B">
              <w:t>0.004*** (0.000)</w:t>
            </w:r>
          </w:p>
        </w:tc>
        <w:tc>
          <w:tcPr>
            <w:cnfStyle w:val="000010000000" w:firstRow="0" w:lastRow="0" w:firstColumn="0" w:lastColumn="0" w:oddVBand="1" w:evenVBand="0" w:oddHBand="0" w:evenHBand="0" w:firstRowFirstColumn="0" w:firstRowLastColumn="0" w:lastRowFirstColumn="0" w:lastRowLastColumn="0"/>
            <w:tcW w:w="1851" w:type="dxa"/>
          </w:tcPr>
          <w:p w14:paraId="001D4E42" w14:textId="77777777" w:rsidR="00E772A4" w:rsidRDefault="00E772A4" w:rsidP="00901636">
            <w:pPr>
              <w:pStyle w:val="Tablecopy"/>
            </w:pPr>
          </w:p>
        </w:tc>
        <w:tc>
          <w:tcPr>
            <w:tcW w:w="1848" w:type="dxa"/>
          </w:tcPr>
          <w:p w14:paraId="7F4FEB81"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3F656B">
              <w:t>0.004 (0.180)***</w:t>
            </w:r>
          </w:p>
        </w:tc>
        <w:tc>
          <w:tcPr>
            <w:cnfStyle w:val="000010000000" w:firstRow="0" w:lastRow="0" w:firstColumn="0" w:lastColumn="0" w:oddVBand="1" w:evenVBand="0" w:oddHBand="0" w:evenHBand="0" w:firstRowFirstColumn="0" w:firstRowLastColumn="0" w:lastRowFirstColumn="0" w:lastRowLastColumn="0"/>
            <w:tcW w:w="1843" w:type="dxa"/>
          </w:tcPr>
          <w:p w14:paraId="380AA72C" w14:textId="77777777" w:rsidR="00E772A4" w:rsidRDefault="00E772A4" w:rsidP="00901636">
            <w:pPr>
              <w:pStyle w:val="Tablecopy"/>
            </w:pPr>
          </w:p>
        </w:tc>
      </w:tr>
      <w:tr w:rsidR="00E772A4" w14:paraId="0B6C6120"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4B62940C" w14:textId="77777777" w:rsidR="00E772A4" w:rsidRDefault="00E772A4" w:rsidP="00901636">
            <w:pPr>
              <w:pStyle w:val="Tablecopy"/>
            </w:pPr>
            <w:r w:rsidRPr="003875D9">
              <w:t>Constant</w:t>
            </w:r>
          </w:p>
        </w:tc>
        <w:tc>
          <w:tcPr>
            <w:tcW w:w="1842" w:type="dxa"/>
          </w:tcPr>
          <w:p w14:paraId="1FD66E8C"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t>-3.476*** (0.0308)</w:t>
            </w:r>
          </w:p>
        </w:tc>
        <w:tc>
          <w:tcPr>
            <w:cnfStyle w:val="000010000000" w:firstRow="0" w:lastRow="0" w:firstColumn="0" w:lastColumn="0" w:oddVBand="1" w:evenVBand="0" w:oddHBand="0" w:evenHBand="0" w:firstRowFirstColumn="0" w:firstRowLastColumn="0" w:lastRowFirstColumn="0" w:lastRowLastColumn="0"/>
            <w:tcW w:w="1851" w:type="dxa"/>
          </w:tcPr>
          <w:p w14:paraId="005BB0B4" w14:textId="77777777" w:rsidR="00E772A4" w:rsidRDefault="00E772A4" w:rsidP="00901636">
            <w:pPr>
              <w:pStyle w:val="Tablecopy"/>
            </w:pPr>
          </w:p>
        </w:tc>
        <w:tc>
          <w:tcPr>
            <w:tcW w:w="1848" w:type="dxa"/>
          </w:tcPr>
          <w:p w14:paraId="58969393"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t>-3.476</w:t>
            </w:r>
            <w:r>
              <w:br/>
              <w:t>(0.031)</w:t>
            </w:r>
          </w:p>
        </w:tc>
        <w:tc>
          <w:tcPr>
            <w:cnfStyle w:val="000010000000" w:firstRow="0" w:lastRow="0" w:firstColumn="0" w:lastColumn="0" w:oddVBand="1" w:evenVBand="0" w:oddHBand="0" w:evenHBand="0" w:firstRowFirstColumn="0" w:firstRowLastColumn="0" w:lastRowFirstColumn="0" w:lastRowLastColumn="0"/>
            <w:tcW w:w="1843" w:type="dxa"/>
          </w:tcPr>
          <w:p w14:paraId="23A8525C" w14:textId="77777777" w:rsidR="00E772A4" w:rsidRDefault="00E772A4" w:rsidP="00901636">
            <w:pPr>
              <w:pStyle w:val="Tablecopy"/>
            </w:pPr>
          </w:p>
        </w:tc>
      </w:tr>
      <w:tr w:rsidR="00E772A4" w14:paraId="26DD8AC5"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57D6C9F6" w14:textId="77777777" w:rsidR="00E772A4" w:rsidRDefault="00E772A4" w:rsidP="00901636">
            <w:pPr>
              <w:pStyle w:val="Tablecopy"/>
            </w:pPr>
            <w:r w:rsidRPr="003875D9">
              <w:t>Wal</w:t>
            </w:r>
            <w:r>
              <w:t>d</w:t>
            </w:r>
            <w:r w:rsidRPr="003875D9">
              <w:t xml:space="preserve"> </w:t>
            </w:r>
            <w:r>
              <w:t>C</w:t>
            </w:r>
            <w:r w:rsidRPr="003875D9">
              <w:t>hi</w:t>
            </w:r>
            <w:r w:rsidRPr="00EC59BB">
              <w:rPr>
                <w:vertAlign w:val="superscript"/>
              </w:rPr>
              <w:t>2</w:t>
            </w:r>
            <w:r w:rsidRPr="003875D9">
              <w:t xml:space="preserve"> (5)</w:t>
            </w:r>
          </w:p>
        </w:tc>
        <w:tc>
          <w:tcPr>
            <w:tcW w:w="1842" w:type="dxa"/>
          </w:tcPr>
          <w:p w14:paraId="660ECB31"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EC59BB">
              <w:t>41350.21***</w:t>
            </w:r>
          </w:p>
        </w:tc>
        <w:tc>
          <w:tcPr>
            <w:cnfStyle w:val="000010000000" w:firstRow="0" w:lastRow="0" w:firstColumn="0" w:lastColumn="0" w:oddVBand="1" w:evenVBand="0" w:oddHBand="0" w:evenHBand="0" w:firstRowFirstColumn="0" w:firstRowLastColumn="0" w:lastRowFirstColumn="0" w:lastRowLastColumn="0"/>
            <w:tcW w:w="1851" w:type="dxa"/>
          </w:tcPr>
          <w:p w14:paraId="6095F50F" w14:textId="77777777" w:rsidR="00E772A4" w:rsidRDefault="00E772A4" w:rsidP="00901636">
            <w:pPr>
              <w:pStyle w:val="Tablecopy"/>
            </w:pPr>
          </w:p>
        </w:tc>
        <w:tc>
          <w:tcPr>
            <w:tcW w:w="1848" w:type="dxa"/>
          </w:tcPr>
          <w:p w14:paraId="73E72D9E"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EC59BB">
              <w:t>41350.21***</w:t>
            </w:r>
          </w:p>
        </w:tc>
        <w:tc>
          <w:tcPr>
            <w:cnfStyle w:val="000010000000" w:firstRow="0" w:lastRow="0" w:firstColumn="0" w:lastColumn="0" w:oddVBand="1" w:evenVBand="0" w:oddHBand="0" w:evenHBand="0" w:firstRowFirstColumn="0" w:firstRowLastColumn="0" w:lastRowFirstColumn="0" w:lastRowLastColumn="0"/>
            <w:tcW w:w="1843" w:type="dxa"/>
          </w:tcPr>
          <w:p w14:paraId="06CDF931" w14:textId="77777777" w:rsidR="00E772A4" w:rsidRDefault="00E772A4" w:rsidP="00901636">
            <w:pPr>
              <w:pStyle w:val="Tablecopy"/>
            </w:pPr>
          </w:p>
        </w:tc>
      </w:tr>
      <w:tr w:rsidR="00E772A4" w14:paraId="77EA6057" w14:textId="77777777" w:rsidTr="00901636">
        <w:tc>
          <w:tcPr>
            <w:cnfStyle w:val="000010000000" w:firstRow="0" w:lastRow="0" w:firstColumn="0" w:lastColumn="0" w:oddVBand="1" w:evenVBand="0" w:oddHBand="0" w:evenHBand="0" w:firstRowFirstColumn="0" w:firstRowLastColumn="0" w:lastRowFirstColumn="0" w:lastRowLastColumn="0"/>
            <w:tcW w:w="2339" w:type="dxa"/>
          </w:tcPr>
          <w:p w14:paraId="1C21635D" w14:textId="77777777" w:rsidR="00E772A4" w:rsidRDefault="00E772A4" w:rsidP="00901636">
            <w:pPr>
              <w:pStyle w:val="Tablecopy"/>
            </w:pPr>
            <w:r w:rsidRPr="003875D9">
              <w:t>Pseudo R</w:t>
            </w:r>
            <w:r w:rsidRPr="003875D9">
              <w:rPr>
                <w:vertAlign w:val="superscript"/>
              </w:rPr>
              <w:t>2</w:t>
            </w:r>
          </w:p>
        </w:tc>
        <w:tc>
          <w:tcPr>
            <w:tcW w:w="1842" w:type="dxa"/>
          </w:tcPr>
          <w:p w14:paraId="47ED9850"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rsidRPr="00EC59BB">
              <w:t>0.092</w:t>
            </w:r>
          </w:p>
        </w:tc>
        <w:tc>
          <w:tcPr>
            <w:cnfStyle w:val="000010000000" w:firstRow="0" w:lastRow="0" w:firstColumn="0" w:lastColumn="0" w:oddVBand="1" w:evenVBand="0" w:oddHBand="0" w:evenHBand="0" w:firstRowFirstColumn="0" w:firstRowLastColumn="0" w:lastRowFirstColumn="0" w:lastRowLastColumn="0"/>
            <w:tcW w:w="1851" w:type="dxa"/>
          </w:tcPr>
          <w:p w14:paraId="00F91161" w14:textId="77777777" w:rsidR="00E772A4" w:rsidRDefault="00E772A4" w:rsidP="00901636">
            <w:pPr>
              <w:pStyle w:val="Tablecopy"/>
            </w:pPr>
          </w:p>
        </w:tc>
        <w:tc>
          <w:tcPr>
            <w:tcW w:w="1848" w:type="dxa"/>
          </w:tcPr>
          <w:p w14:paraId="6E1C6152" w14:textId="77777777" w:rsidR="00E772A4" w:rsidRDefault="00E772A4" w:rsidP="00901636">
            <w:pPr>
              <w:pStyle w:val="Tablecopy"/>
              <w:cnfStyle w:val="000000000000" w:firstRow="0" w:lastRow="0" w:firstColumn="0" w:lastColumn="0" w:oddVBand="0" w:evenVBand="0" w:oddHBand="0" w:evenHBand="0" w:firstRowFirstColumn="0" w:firstRowLastColumn="0" w:lastRowFirstColumn="0" w:lastRowLastColumn="0"/>
            </w:pPr>
            <w:r w:rsidRPr="00EC59BB">
              <w:t>0.092</w:t>
            </w:r>
          </w:p>
        </w:tc>
        <w:tc>
          <w:tcPr>
            <w:cnfStyle w:val="000010000000" w:firstRow="0" w:lastRow="0" w:firstColumn="0" w:lastColumn="0" w:oddVBand="1" w:evenVBand="0" w:oddHBand="0" w:evenHBand="0" w:firstRowFirstColumn="0" w:firstRowLastColumn="0" w:lastRowFirstColumn="0" w:lastRowLastColumn="0"/>
            <w:tcW w:w="1843" w:type="dxa"/>
          </w:tcPr>
          <w:p w14:paraId="51CE71A3" w14:textId="77777777" w:rsidR="00E772A4" w:rsidRDefault="00E772A4" w:rsidP="00901636">
            <w:pPr>
              <w:pStyle w:val="Tablecopy"/>
            </w:pPr>
          </w:p>
        </w:tc>
      </w:tr>
      <w:tr w:rsidR="00E772A4" w14:paraId="031FB5E3" w14:textId="77777777" w:rsidTr="009016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9" w:type="dxa"/>
          </w:tcPr>
          <w:p w14:paraId="757ED98C" w14:textId="77777777" w:rsidR="00E772A4" w:rsidRDefault="00E772A4" w:rsidP="00901636">
            <w:pPr>
              <w:pStyle w:val="Tablecopy"/>
            </w:pPr>
            <w:r w:rsidRPr="003875D9">
              <w:t>N</w:t>
            </w:r>
          </w:p>
        </w:tc>
        <w:tc>
          <w:tcPr>
            <w:tcW w:w="1842" w:type="dxa"/>
          </w:tcPr>
          <w:p w14:paraId="1E6CB816"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EC59BB">
              <w:t>1,063,098</w:t>
            </w:r>
          </w:p>
        </w:tc>
        <w:tc>
          <w:tcPr>
            <w:cnfStyle w:val="000010000000" w:firstRow="0" w:lastRow="0" w:firstColumn="0" w:lastColumn="0" w:oddVBand="1" w:evenVBand="0" w:oddHBand="0" w:evenHBand="0" w:firstRowFirstColumn="0" w:firstRowLastColumn="0" w:lastRowFirstColumn="0" w:lastRowLastColumn="0"/>
            <w:tcW w:w="1851" w:type="dxa"/>
          </w:tcPr>
          <w:p w14:paraId="4BDEF0F1" w14:textId="77777777" w:rsidR="00E772A4" w:rsidRDefault="00E772A4" w:rsidP="00901636">
            <w:pPr>
              <w:pStyle w:val="Tablecopy"/>
            </w:pPr>
          </w:p>
        </w:tc>
        <w:tc>
          <w:tcPr>
            <w:tcW w:w="1848" w:type="dxa"/>
          </w:tcPr>
          <w:p w14:paraId="42CE3C4C" w14:textId="77777777" w:rsidR="00E772A4" w:rsidRDefault="00E772A4" w:rsidP="00901636">
            <w:pPr>
              <w:pStyle w:val="Tablecopy"/>
              <w:cnfStyle w:val="000000100000" w:firstRow="0" w:lastRow="0" w:firstColumn="0" w:lastColumn="0" w:oddVBand="0" w:evenVBand="0" w:oddHBand="1" w:evenHBand="0" w:firstRowFirstColumn="0" w:firstRowLastColumn="0" w:lastRowFirstColumn="0" w:lastRowLastColumn="0"/>
            </w:pPr>
            <w:r w:rsidRPr="00EC59BB">
              <w:t>1,063,098</w:t>
            </w:r>
          </w:p>
        </w:tc>
        <w:tc>
          <w:tcPr>
            <w:cnfStyle w:val="000010000000" w:firstRow="0" w:lastRow="0" w:firstColumn="0" w:lastColumn="0" w:oddVBand="1" w:evenVBand="0" w:oddHBand="0" w:evenHBand="0" w:firstRowFirstColumn="0" w:firstRowLastColumn="0" w:lastRowFirstColumn="0" w:lastRowLastColumn="0"/>
            <w:tcW w:w="1843" w:type="dxa"/>
          </w:tcPr>
          <w:p w14:paraId="7CEBF4EA" w14:textId="77777777" w:rsidR="00E772A4" w:rsidRDefault="00E772A4" w:rsidP="00901636">
            <w:pPr>
              <w:pStyle w:val="Tablecopy"/>
            </w:pPr>
          </w:p>
        </w:tc>
      </w:tr>
    </w:tbl>
    <w:p w14:paraId="793A22B7" w14:textId="4C04EBDF" w:rsidR="003875D9" w:rsidRPr="003875D9" w:rsidRDefault="00EC59BB" w:rsidP="00EC59BB">
      <w:pPr>
        <w:pStyle w:val="FootnoteText"/>
      </w:pPr>
      <w:r>
        <w:t>Standard error in parentheses; *** p&lt;0.01, ** p&lt;0.05, * p&lt;0.1</w:t>
      </w:r>
    </w:p>
    <w:p w14:paraId="4652AFD4" w14:textId="0F3F5C7F" w:rsidR="004C7E33" w:rsidRDefault="00EC59BB" w:rsidP="005D25F2">
      <w:r w:rsidRPr="00EC59BB">
        <w:t xml:space="preserve">Austrade’s Go Global Toolkit - tools and support to help your business export, grow and diversify. Visit </w:t>
      </w:r>
      <w:hyperlink r:id="rId15" w:history="1">
        <w:r w:rsidRPr="00EC59BB">
          <w:rPr>
            <w:rStyle w:val="Hyperlink"/>
          </w:rPr>
          <w:t>export.business.gov.au</w:t>
        </w:r>
      </w:hyperlink>
    </w:p>
    <w:sectPr w:rsidR="004C7E33" w:rsidSect="009B44B1">
      <w:footerReference w:type="default" r:id="rId16"/>
      <w:footerReference w:type="first" r:id="rId17"/>
      <w:pgSz w:w="11906" w:h="16838" w:code="9"/>
      <w:pgMar w:top="1021" w:right="1134" w:bottom="1474" w:left="1134" w:header="454" w:footer="5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A003" w14:textId="77777777" w:rsidR="00CC15DA" w:rsidRDefault="00CC15DA" w:rsidP="004751B4">
      <w:r>
        <w:separator/>
      </w:r>
    </w:p>
  </w:endnote>
  <w:endnote w:type="continuationSeparator" w:id="0">
    <w:p w14:paraId="0ED1CEE6" w14:textId="77777777" w:rsidR="00CC15DA" w:rsidRDefault="00CC15DA"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U Sans Text">
    <w:altName w:val="Calibri"/>
    <w:panose1 w:val="00000000000000000000"/>
    <w:charset w:val="00"/>
    <w:family w:val="swiss"/>
    <w:notTrueType/>
    <w:pitch w:val="variable"/>
    <w:sig w:usb0="00000007" w:usb1="1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7D88" w14:textId="77777777" w:rsidR="005248F8" w:rsidRDefault="00047C41" w:rsidP="00EA72E4">
    <w:pPr>
      <w:pStyle w:val="Footer"/>
    </w:pPr>
    <w:r w:rsidRPr="00047C41">
      <w:t>Austrade – State of Exporters Report</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p w14:paraId="44B7BCF9" w14:textId="77777777" w:rsidR="001C6811" w:rsidRDefault="001C68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6521" w14:textId="77777777" w:rsidR="005248F8" w:rsidRDefault="00047C41" w:rsidP="00EA72E4">
    <w:pPr>
      <w:pStyle w:val="Footer"/>
    </w:pPr>
    <w:r w:rsidRPr="00047C41">
      <w:t>Austrade – State of Exporters Report</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p w14:paraId="28A775A3" w14:textId="77777777" w:rsidR="001C6811" w:rsidRDefault="001C6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6F3E" w14:textId="77777777" w:rsidR="00CC15DA" w:rsidRDefault="00CC15DA" w:rsidP="004751B4"/>
  </w:footnote>
  <w:footnote w:type="continuationSeparator" w:id="0">
    <w:p w14:paraId="13EDB4D9" w14:textId="77777777" w:rsidR="00CC15DA" w:rsidRDefault="00CC15DA" w:rsidP="004751B4">
      <w:r>
        <w:continuationSeparator/>
      </w:r>
    </w:p>
  </w:footnote>
  <w:footnote w:id="1">
    <w:p w14:paraId="11163847" w14:textId="77777777" w:rsidR="00047C41" w:rsidRDefault="00047C41" w:rsidP="00047C41">
      <w:pPr>
        <w:pStyle w:val="FootnoteText"/>
      </w:pPr>
      <w:r>
        <w:rPr>
          <w:rStyle w:val="FootnoteReference"/>
        </w:rPr>
        <w:footnoteRef/>
      </w:r>
      <w:r>
        <w:t xml:space="preserve"> 1 Bernard &amp; Jensen, 1995 &amp; 1997; Wagner, 2007; Baldwin &amp; Gu, 2004; Tuhin, 2016; Tuhin &amp; Swanepoel, 2017</w:t>
      </w:r>
    </w:p>
  </w:footnote>
  <w:footnote w:id="2">
    <w:p w14:paraId="1C79C05B" w14:textId="77777777" w:rsidR="00047C41" w:rsidRDefault="00047C41">
      <w:pPr>
        <w:pStyle w:val="FootnoteText"/>
      </w:pPr>
      <w:r>
        <w:rPr>
          <w:rStyle w:val="FootnoteReference"/>
        </w:rPr>
        <w:footnoteRef/>
      </w:r>
      <w:r>
        <w:t xml:space="preserve"> </w:t>
      </w:r>
      <w:r w:rsidRPr="00047C41">
        <w:t>Full-time equivalent</w:t>
      </w:r>
    </w:p>
  </w:footnote>
  <w:footnote w:id="3">
    <w:p w14:paraId="05D51E41" w14:textId="77777777" w:rsidR="00B04581" w:rsidRDefault="00B04581">
      <w:pPr>
        <w:pStyle w:val="FootnoteText"/>
      </w:pPr>
      <w:r>
        <w:rPr>
          <w:rStyle w:val="FootnoteReference"/>
        </w:rPr>
        <w:footnoteRef/>
      </w:r>
      <w:r>
        <w:t xml:space="preserve"> </w:t>
      </w:r>
      <w:r w:rsidRPr="00B04581">
        <w:t>The percentages of merchandise trade by sea freight and air freight are calculated based off the number of export transactions</w:t>
      </w:r>
    </w:p>
  </w:footnote>
  <w:footnote w:id="4">
    <w:p w14:paraId="5BF66A1F" w14:textId="77777777" w:rsidR="00913E57" w:rsidRDefault="00913E57">
      <w:pPr>
        <w:pStyle w:val="FootnoteText"/>
      </w:pPr>
      <w:r>
        <w:rPr>
          <w:rStyle w:val="FootnoteReference"/>
        </w:rPr>
        <w:footnoteRef/>
      </w:r>
      <w:r>
        <w:t xml:space="preserve"> </w:t>
      </w:r>
      <w:r w:rsidRPr="00913E57">
        <w:t>Department of Infrastructure, Transport, Regional Development, Communications and the Arts (2022) Freight and supply chains</w:t>
      </w:r>
    </w:p>
  </w:footnote>
  <w:footnote w:id="5">
    <w:p w14:paraId="1751FE2E" w14:textId="77777777" w:rsidR="00913E57" w:rsidRDefault="00913E57">
      <w:pPr>
        <w:pStyle w:val="FootnoteText"/>
      </w:pPr>
      <w:r>
        <w:rPr>
          <w:rStyle w:val="FootnoteReference"/>
        </w:rPr>
        <w:footnoteRef/>
      </w:r>
      <w:r>
        <w:t xml:space="preserve"> </w:t>
      </w:r>
      <w:r w:rsidR="000646CC" w:rsidRPr="000646CC">
        <w:t>Australian Bureau of Statistics (2022) International Trade: Supplementary Information, Financial Year</w:t>
      </w:r>
    </w:p>
  </w:footnote>
  <w:footnote w:id="6">
    <w:p w14:paraId="3F90F929" w14:textId="77777777" w:rsidR="00913E57" w:rsidRDefault="00913E57">
      <w:pPr>
        <w:pStyle w:val="FootnoteText"/>
      </w:pPr>
      <w:r>
        <w:rPr>
          <w:rStyle w:val="FootnoteReference"/>
        </w:rPr>
        <w:footnoteRef/>
      </w:r>
      <w:r>
        <w:t xml:space="preserve"> </w:t>
      </w:r>
      <w:r w:rsidRPr="00913E57">
        <w:t>Value added was derived from firm turnover minus firm operating expenses</w:t>
      </w:r>
    </w:p>
  </w:footnote>
  <w:footnote w:id="7">
    <w:p w14:paraId="37B37A8E" w14:textId="77777777" w:rsidR="00547870" w:rsidRDefault="00547870">
      <w:pPr>
        <w:pStyle w:val="FootnoteText"/>
      </w:pPr>
      <w:r>
        <w:rPr>
          <w:rStyle w:val="FootnoteReference"/>
        </w:rPr>
        <w:footnoteRef/>
      </w:r>
      <w:r>
        <w:t xml:space="preserve"> </w:t>
      </w:r>
      <w:r w:rsidRPr="00547870">
        <w:t>Merchandise exports only</w:t>
      </w:r>
    </w:p>
  </w:footnote>
  <w:footnote w:id="8">
    <w:p w14:paraId="7B715932" w14:textId="77777777" w:rsidR="00547870" w:rsidRDefault="00547870">
      <w:pPr>
        <w:pStyle w:val="FootnoteText"/>
      </w:pPr>
      <w:r>
        <w:rPr>
          <w:rStyle w:val="FootnoteReference"/>
        </w:rPr>
        <w:footnoteRef/>
      </w:r>
      <w:r>
        <w:t xml:space="preserve"> </w:t>
      </w:r>
      <w:r w:rsidRPr="00547870">
        <w:t>Merchandise exports only</w:t>
      </w:r>
    </w:p>
  </w:footnote>
  <w:footnote w:id="9">
    <w:p w14:paraId="4677DB89" w14:textId="77777777" w:rsidR="007501CE" w:rsidRDefault="007501CE" w:rsidP="007501CE">
      <w:pPr>
        <w:pStyle w:val="FootnoteText"/>
      </w:pPr>
      <w:r>
        <w:rPr>
          <w:rStyle w:val="FootnoteReference"/>
        </w:rPr>
        <w:footnoteRef/>
      </w:r>
      <w:r>
        <w:t xml:space="preserve"> Industry as per ANZSIC classification Sources: Australian Bureau of Statistics (2022) Business Longitudinal Analysis Data Environment; Austrade Economics</w:t>
      </w:r>
    </w:p>
  </w:footnote>
  <w:footnote w:id="10">
    <w:p w14:paraId="7F2DE0B8" w14:textId="77777777" w:rsidR="00D839C4" w:rsidRDefault="00D839C4" w:rsidP="00D839C4">
      <w:pPr>
        <w:pStyle w:val="FootnoteText"/>
      </w:pPr>
      <w:r>
        <w:rPr>
          <w:rStyle w:val="FootnoteReference"/>
        </w:rPr>
        <w:footnoteRef/>
      </w:r>
      <w:r>
        <w:t xml:space="preserve"> Industry as per ANZSIC classification Sources: Australian Bureau of Statistics (2022) Business Longitudinal Analysis Data Environment; Austrade Economics</w:t>
      </w:r>
    </w:p>
  </w:footnote>
  <w:footnote w:id="11">
    <w:p w14:paraId="1E12FDC3" w14:textId="77777777" w:rsidR="00375EC5" w:rsidRDefault="00375EC5" w:rsidP="00375EC5">
      <w:pPr>
        <w:pStyle w:val="FootnoteText"/>
      </w:pPr>
      <w:r>
        <w:rPr>
          <w:rStyle w:val="FootnoteReference"/>
        </w:rPr>
        <w:footnoteRef/>
      </w:r>
      <w:r>
        <w:t xml:space="preserve"> Industry as per ANZSIC classification Sources: Australian Bureau of Statistics (2022) Business Longitudinal Analysis Data Environment; Austrade Economics</w:t>
      </w:r>
    </w:p>
  </w:footnote>
  <w:footnote w:id="12">
    <w:p w14:paraId="599DF2B0" w14:textId="77777777" w:rsidR="00FA6E27" w:rsidRDefault="00FA6E27">
      <w:pPr>
        <w:pStyle w:val="FootnoteText"/>
      </w:pPr>
      <w:r>
        <w:rPr>
          <w:rStyle w:val="FootnoteReference"/>
        </w:rPr>
        <w:footnoteRef/>
      </w:r>
      <w:r>
        <w:t xml:space="preserve"> </w:t>
      </w:r>
      <w:r w:rsidRPr="00FA6E27">
        <w:t>Number of products refers to the distinct count of commodities at the HS code 8-digit level</w:t>
      </w:r>
    </w:p>
  </w:footnote>
  <w:footnote w:id="13">
    <w:p w14:paraId="1B742368" w14:textId="77777777" w:rsidR="00FA6E27" w:rsidRDefault="00FA6E27">
      <w:pPr>
        <w:pStyle w:val="FootnoteText"/>
      </w:pPr>
      <w:r>
        <w:rPr>
          <w:rStyle w:val="FootnoteReference"/>
        </w:rPr>
        <w:footnoteRef/>
      </w:r>
      <w:r>
        <w:t xml:space="preserve"> </w:t>
      </w:r>
      <w:r w:rsidRPr="00FA6E27">
        <w:t>Australian Department of Home Affairs (2022) Integrated Cargo System (ICS) data, Australian Border Force, accessed 5 December 2022</w:t>
      </w:r>
    </w:p>
  </w:footnote>
  <w:footnote w:id="14">
    <w:p w14:paraId="382B52E7" w14:textId="5CFE4235" w:rsidR="00BA269E" w:rsidRDefault="00BA269E" w:rsidP="00B96162">
      <w:pPr>
        <w:pStyle w:val="FootnoteText"/>
      </w:pPr>
      <w:r>
        <w:rPr>
          <w:rStyle w:val="FootnoteReference"/>
        </w:rPr>
        <w:footnoteRef/>
      </w:r>
      <w:r>
        <w:t xml:space="preserve"> </w:t>
      </w:r>
      <w:r w:rsidR="00B96162">
        <w:t>Other services industry division includes a broad range of personal services; religious, civic, professional and other interest group services, selected repair and maintenance activities, and private households employing staff</w:t>
      </w:r>
    </w:p>
  </w:footnote>
  <w:footnote w:id="15">
    <w:p w14:paraId="549DBC70" w14:textId="3C0FD7C8" w:rsidR="003507E4" w:rsidRDefault="003507E4" w:rsidP="00362BB0">
      <w:pPr>
        <w:pStyle w:val="FootnoteText"/>
      </w:pPr>
      <w:r>
        <w:rPr>
          <w:rStyle w:val="FootnoteReference"/>
        </w:rPr>
        <w:footnoteRef/>
      </w:r>
      <w:r>
        <w:t xml:space="preserve"> </w:t>
      </w:r>
      <w:r w:rsidR="00A6759E">
        <w:t>Other services industry division includes a broad range of personal services; religious, civic,</w:t>
      </w:r>
      <w:r w:rsidR="00362BB0">
        <w:t xml:space="preserve"> </w:t>
      </w:r>
      <w:r w:rsidR="00A6759E">
        <w:t>professional and other interest group services, selected repair and maintenance activities, and</w:t>
      </w:r>
      <w:r w:rsidR="00362BB0">
        <w:t xml:space="preserve"> </w:t>
      </w:r>
      <w:r w:rsidR="00A6759E">
        <w:t>private households employing staff</w:t>
      </w:r>
    </w:p>
  </w:footnote>
  <w:footnote w:id="16">
    <w:p w14:paraId="34E15E03" w14:textId="62DD1FE1" w:rsidR="00466104" w:rsidRDefault="00466104" w:rsidP="00CD7613">
      <w:pPr>
        <w:pStyle w:val="FootnoteText"/>
      </w:pPr>
      <w:r>
        <w:rPr>
          <w:rStyle w:val="FootnoteReference"/>
        </w:rPr>
        <w:footnoteRef/>
      </w:r>
      <w:r w:rsidR="00CD7613">
        <w:t>Public Administration also includes private sectors like defence. The ABS (2022) classify private sector firms engaged in public administration or military defence as forming part of the Public Administration and Safety industry Division. Firms engaged in a combination of public administration and service delivery activities are classified according to the predominant activity of the unit</w:t>
      </w:r>
    </w:p>
  </w:footnote>
  <w:footnote w:id="17">
    <w:p w14:paraId="52380841" w14:textId="0A61651A" w:rsidR="00CD7613" w:rsidRDefault="00CD7613">
      <w:pPr>
        <w:pStyle w:val="FootnoteText"/>
      </w:pPr>
      <w:r>
        <w:rPr>
          <w:rStyle w:val="FootnoteReference"/>
        </w:rPr>
        <w:footnoteRef/>
      </w:r>
      <w:r>
        <w:t xml:space="preserve"> Public Administration also includes private sectors like defence. The ABS (2022) classify private sector firms engaged in public administration or military defence as forming part of the Public Administration and Safety industry Division. Firms engaged in a combination of public administration and service delivery activities are classified according to the predominant activity of the unit</w:t>
      </w:r>
    </w:p>
  </w:footnote>
  <w:footnote w:id="18">
    <w:p w14:paraId="517EFB9C" w14:textId="77777777" w:rsidR="009200D8" w:rsidRDefault="009200D8">
      <w:pPr>
        <w:pStyle w:val="FootnoteText"/>
      </w:pPr>
      <w:r>
        <w:rPr>
          <w:rStyle w:val="FootnoteReference"/>
        </w:rPr>
        <w:footnoteRef/>
      </w:r>
      <w:r>
        <w:t xml:space="preserve"> </w:t>
      </w:r>
      <w:r w:rsidRPr="009200D8">
        <w:t>Baldwin &amp; Gu, 2004; Hallward-Driemeir, Iarossi &amp; Sokoloff, 2002</w:t>
      </w:r>
    </w:p>
  </w:footnote>
  <w:footnote w:id="19">
    <w:p w14:paraId="17B1AFA1" w14:textId="180C67B4" w:rsidR="00B46A0B" w:rsidRDefault="00B46A0B">
      <w:pPr>
        <w:pStyle w:val="FootnoteText"/>
      </w:pPr>
      <w:r>
        <w:rPr>
          <w:rStyle w:val="FootnoteReference"/>
        </w:rPr>
        <w:footnoteRef/>
      </w:r>
      <w:r>
        <w:t xml:space="preserve"> </w:t>
      </w:r>
      <w:r w:rsidRPr="00B46A0B">
        <w:t>Special Administrative Region of China</w:t>
      </w:r>
    </w:p>
  </w:footnote>
  <w:footnote w:id="20">
    <w:p w14:paraId="0F877DAB" w14:textId="77777777" w:rsidR="00113D62" w:rsidRDefault="00113D62">
      <w:pPr>
        <w:pStyle w:val="FootnoteText"/>
      </w:pPr>
      <w:r>
        <w:rPr>
          <w:rStyle w:val="FootnoteReference"/>
        </w:rPr>
        <w:footnoteRef/>
      </w:r>
      <w:r>
        <w:t xml:space="preserve"> </w:t>
      </w:r>
      <w:r w:rsidRPr="00113D62">
        <w:t>Based on available data, noting the COVID-19 pandemic impacts are ongoing and vary by industry and individual firm</w:t>
      </w:r>
    </w:p>
  </w:footnote>
  <w:footnote w:id="21">
    <w:p w14:paraId="5BECD579" w14:textId="77777777" w:rsidR="00113D62" w:rsidRDefault="00113D62">
      <w:pPr>
        <w:pStyle w:val="FootnoteText"/>
      </w:pPr>
      <w:r>
        <w:rPr>
          <w:rStyle w:val="FootnoteReference"/>
        </w:rPr>
        <w:footnoteRef/>
      </w:r>
      <w:r>
        <w:t xml:space="preserve"> </w:t>
      </w:r>
      <w:r w:rsidRPr="00113D62">
        <w:t>Wagner, 2013; Tuhin &amp; Swanepoel, 2017</w:t>
      </w:r>
    </w:p>
  </w:footnote>
  <w:footnote w:id="22">
    <w:p w14:paraId="27C66052" w14:textId="7F924762" w:rsidR="00392202" w:rsidRDefault="00392202">
      <w:pPr>
        <w:pStyle w:val="FootnoteText"/>
      </w:pPr>
      <w:r>
        <w:rPr>
          <w:rStyle w:val="FootnoteReference"/>
        </w:rPr>
        <w:footnoteRef/>
      </w:r>
      <w:r>
        <w:t xml:space="preserve"> </w:t>
      </w:r>
      <w:r w:rsidRPr="00392202">
        <w:t>Bernard &amp; Jensen, 1995 &amp; 1997; Wagner, 2007; Baldwin &amp; Gu 2004; Tuhin, 2016; Tuhin &amp; Swanepoel, 2017</w:t>
      </w:r>
    </w:p>
  </w:footnote>
  <w:footnote w:id="23">
    <w:p w14:paraId="0069E9B5" w14:textId="1C988E7C" w:rsidR="00C516F7" w:rsidRDefault="00C516F7">
      <w:pPr>
        <w:pStyle w:val="FootnoteText"/>
      </w:pPr>
      <w:r>
        <w:rPr>
          <w:rStyle w:val="FootnoteReference"/>
        </w:rPr>
        <w:footnoteRef/>
      </w:r>
      <w:r>
        <w:t xml:space="preserve"> </w:t>
      </w:r>
      <w:r w:rsidRPr="00C516F7">
        <w:t>Bernard &amp; Jensen, 1995 &amp; 1997; Wagner, 2007; Baldwin &amp; Gu 2004; Tuhin, 2016; Tuhin &amp; Swanepoel,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281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020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E77C3D88"/>
    <w:lvl w:ilvl="0">
      <w:start w:val="1"/>
      <w:numFmt w:val="lowerLetter"/>
      <w:lvlText w:val="%1)"/>
      <w:lvlJc w:val="left"/>
      <w:rPr>
        <w:rFonts w:hint="default"/>
        <w:b w:val="0"/>
        <w:bCs w:val="0"/>
        <w:i w:val="0"/>
        <w:iCs w:val="0"/>
        <w:caps w:val="0"/>
        <w:smallCaps w:val="0"/>
        <w:strike w:val="0"/>
        <w:dstrike w:val="0"/>
        <w:noProof w:val="0"/>
        <w:vanish w:val="0"/>
        <w:color w:val="1E988A" w:themeColor="background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19EA83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B0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66FEAE06"/>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FFFFFF89"/>
    <w:multiLevelType w:val="singleLevel"/>
    <w:tmpl w:val="0F7A34D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1754F1"/>
    <w:multiLevelType w:val="hybridMultilevel"/>
    <w:tmpl w:val="7A3E0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FE43BE"/>
    <w:multiLevelType w:val="multilevel"/>
    <w:tmpl w:val="BFE8BD98"/>
    <w:lvl w:ilvl="0">
      <w:start w:val="1"/>
      <w:numFmt w:val="bullet"/>
      <w:pStyle w:val="ListBullet"/>
      <w:lvlText w:val=""/>
      <w:lvlJc w:val="left"/>
      <w:pPr>
        <w:ind w:left="284" w:hanging="284"/>
      </w:pPr>
      <w:rPr>
        <w:rFonts w:ascii="Symbol" w:hAnsi="Symbol" w:hint="default"/>
        <w:color w:val="2E1A47" w:themeColor="text2"/>
      </w:rPr>
    </w:lvl>
    <w:lvl w:ilvl="1">
      <w:start w:val="1"/>
      <w:numFmt w:val="bullet"/>
      <w:pStyle w:val="ListBullet2"/>
      <w:lvlText w:val="–"/>
      <w:lvlJc w:val="left"/>
      <w:pPr>
        <w:ind w:left="568" w:hanging="284"/>
      </w:pPr>
      <w:rPr>
        <w:rFonts w:ascii="Calibri" w:hAnsi="Calibri" w:hint="default"/>
        <w:color w:val="2E1A47" w:themeColor="text2"/>
      </w:rPr>
    </w:lvl>
    <w:lvl w:ilvl="2">
      <w:start w:val="1"/>
      <w:numFmt w:val="bullet"/>
      <w:pStyle w:val="ListBullet3"/>
      <w:lvlText w:val="–"/>
      <w:lvlJc w:val="left"/>
      <w:pPr>
        <w:ind w:left="852" w:hanging="284"/>
      </w:pPr>
      <w:rPr>
        <w:rFonts w:ascii="Calibri" w:hAnsi="Calibri" w:hint="default"/>
        <w:color w:val="2E1A47"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47E5274"/>
    <w:multiLevelType w:val="multilevel"/>
    <w:tmpl w:val="3A80A07A"/>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D643664"/>
    <w:multiLevelType w:val="hybridMultilevel"/>
    <w:tmpl w:val="A2B445DE"/>
    <w:lvl w:ilvl="0" w:tplc="D1D471C8">
      <w:start w:val="1"/>
      <w:numFmt w:val="decimal"/>
      <w:pStyle w:val="Numbered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7639747">
    <w:abstractNumId w:val="9"/>
  </w:num>
  <w:num w:numId="2" w16cid:durableId="215548763">
    <w:abstractNumId w:val="11"/>
  </w:num>
  <w:num w:numId="3" w16cid:durableId="1966617903">
    <w:abstractNumId w:val="7"/>
  </w:num>
  <w:num w:numId="4" w16cid:durableId="337510768">
    <w:abstractNumId w:val="6"/>
  </w:num>
  <w:num w:numId="5" w16cid:durableId="515537158">
    <w:abstractNumId w:val="5"/>
  </w:num>
  <w:num w:numId="6" w16cid:durableId="1816025495">
    <w:abstractNumId w:val="4"/>
  </w:num>
  <w:num w:numId="7" w16cid:durableId="1863743550">
    <w:abstractNumId w:val="12"/>
  </w:num>
  <w:num w:numId="8" w16cid:durableId="119079426">
    <w:abstractNumId w:val="3"/>
  </w:num>
  <w:num w:numId="9" w16cid:durableId="1896038233">
    <w:abstractNumId w:val="2"/>
  </w:num>
  <w:num w:numId="10" w16cid:durableId="1017006923">
    <w:abstractNumId w:val="1"/>
  </w:num>
  <w:num w:numId="11" w16cid:durableId="93550411">
    <w:abstractNumId w:val="0"/>
  </w:num>
  <w:num w:numId="12" w16cid:durableId="372460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2300959">
    <w:abstractNumId w:val="12"/>
  </w:num>
  <w:num w:numId="14" w16cid:durableId="1764372303">
    <w:abstractNumId w:val="13"/>
  </w:num>
  <w:num w:numId="15" w16cid:durableId="1907451368">
    <w:abstractNumId w:val="8"/>
  </w:num>
  <w:num w:numId="16" w16cid:durableId="1700936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F1"/>
    <w:rsid w:val="00002592"/>
    <w:rsid w:val="000029DC"/>
    <w:rsid w:val="00003409"/>
    <w:rsid w:val="00007386"/>
    <w:rsid w:val="00007835"/>
    <w:rsid w:val="0001022F"/>
    <w:rsid w:val="00016E43"/>
    <w:rsid w:val="00024926"/>
    <w:rsid w:val="00026553"/>
    <w:rsid w:val="000362D9"/>
    <w:rsid w:val="00047C41"/>
    <w:rsid w:val="00056994"/>
    <w:rsid w:val="000646CC"/>
    <w:rsid w:val="00070CA7"/>
    <w:rsid w:val="000716BB"/>
    <w:rsid w:val="00071796"/>
    <w:rsid w:val="00071E18"/>
    <w:rsid w:val="00072CF1"/>
    <w:rsid w:val="000755A5"/>
    <w:rsid w:val="00080E22"/>
    <w:rsid w:val="00082067"/>
    <w:rsid w:val="00096ED6"/>
    <w:rsid w:val="000A32E9"/>
    <w:rsid w:val="000B065C"/>
    <w:rsid w:val="000B252E"/>
    <w:rsid w:val="000C322B"/>
    <w:rsid w:val="000C5156"/>
    <w:rsid w:val="000F2110"/>
    <w:rsid w:val="00113D62"/>
    <w:rsid w:val="0013534F"/>
    <w:rsid w:val="001364B9"/>
    <w:rsid w:val="00145E15"/>
    <w:rsid w:val="00170E31"/>
    <w:rsid w:val="00176934"/>
    <w:rsid w:val="00191EC9"/>
    <w:rsid w:val="00195B60"/>
    <w:rsid w:val="001A4673"/>
    <w:rsid w:val="001B1131"/>
    <w:rsid w:val="001B3266"/>
    <w:rsid w:val="001B7065"/>
    <w:rsid w:val="001C56B8"/>
    <w:rsid w:val="001C6811"/>
    <w:rsid w:val="001E5924"/>
    <w:rsid w:val="00201CD8"/>
    <w:rsid w:val="00212488"/>
    <w:rsid w:val="00221684"/>
    <w:rsid w:val="002224C8"/>
    <w:rsid w:val="00223B43"/>
    <w:rsid w:val="00226F2E"/>
    <w:rsid w:val="00235AC3"/>
    <w:rsid w:val="002426BF"/>
    <w:rsid w:val="00255B47"/>
    <w:rsid w:val="00265020"/>
    <w:rsid w:val="002713A9"/>
    <w:rsid w:val="00287CC6"/>
    <w:rsid w:val="00291828"/>
    <w:rsid w:val="002A484D"/>
    <w:rsid w:val="002A722F"/>
    <w:rsid w:val="002C1718"/>
    <w:rsid w:val="002C3A60"/>
    <w:rsid w:val="002D703B"/>
    <w:rsid w:val="002E0AC1"/>
    <w:rsid w:val="002F35A2"/>
    <w:rsid w:val="00315381"/>
    <w:rsid w:val="003179B5"/>
    <w:rsid w:val="00323411"/>
    <w:rsid w:val="003507E4"/>
    <w:rsid w:val="00350CBF"/>
    <w:rsid w:val="00352A8E"/>
    <w:rsid w:val="003541DC"/>
    <w:rsid w:val="00362BB0"/>
    <w:rsid w:val="0036799A"/>
    <w:rsid w:val="003714FB"/>
    <w:rsid w:val="00374F9F"/>
    <w:rsid w:val="00375D09"/>
    <w:rsid w:val="00375EC5"/>
    <w:rsid w:val="003875D9"/>
    <w:rsid w:val="00392202"/>
    <w:rsid w:val="00395D0B"/>
    <w:rsid w:val="00397239"/>
    <w:rsid w:val="003A64F9"/>
    <w:rsid w:val="003B0327"/>
    <w:rsid w:val="003E0A78"/>
    <w:rsid w:val="003E1BF4"/>
    <w:rsid w:val="003E7845"/>
    <w:rsid w:val="003F656B"/>
    <w:rsid w:val="00403DA0"/>
    <w:rsid w:val="004152C9"/>
    <w:rsid w:val="00417732"/>
    <w:rsid w:val="0042667C"/>
    <w:rsid w:val="0043044F"/>
    <w:rsid w:val="00444B7B"/>
    <w:rsid w:val="00445006"/>
    <w:rsid w:val="00450806"/>
    <w:rsid w:val="00455244"/>
    <w:rsid w:val="00456020"/>
    <w:rsid w:val="00462CFD"/>
    <w:rsid w:val="004631FC"/>
    <w:rsid w:val="00466104"/>
    <w:rsid w:val="00474788"/>
    <w:rsid w:val="004751B4"/>
    <w:rsid w:val="00493D98"/>
    <w:rsid w:val="004940A0"/>
    <w:rsid w:val="004963D8"/>
    <w:rsid w:val="004A0D20"/>
    <w:rsid w:val="004A67D2"/>
    <w:rsid w:val="004C7E33"/>
    <w:rsid w:val="004F23C0"/>
    <w:rsid w:val="0050351C"/>
    <w:rsid w:val="005116C1"/>
    <w:rsid w:val="0052359B"/>
    <w:rsid w:val="005248F8"/>
    <w:rsid w:val="00544F35"/>
    <w:rsid w:val="00547870"/>
    <w:rsid w:val="00553805"/>
    <w:rsid w:val="00556BE4"/>
    <w:rsid w:val="00560162"/>
    <w:rsid w:val="00562A00"/>
    <w:rsid w:val="00565BF0"/>
    <w:rsid w:val="00571FFE"/>
    <w:rsid w:val="00572276"/>
    <w:rsid w:val="0059110F"/>
    <w:rsid w:val="00594767"/>
    <w:rsid w:val="005974BF"/>
    <w:rsid w:val="005C1C74"/>
    <w:rsid w:val="005D25F2"/>
    <w:rsid w:val="005D6091"/>
    <w:rsid w:val="005D63A9"/>
    <w:rsid w:val="005D6B41"/>
    <w:rsid w:val="005D7BE8"/>
    <w:rsid w:val="005E1AF9"/>
    <w:rsid w:val="005E6919"/>
    <w:rsid w:val="005F0EEC"/>
    <w:rsid w:val="005F51E7"/>
    <w:rsid w:val="00605E7A"/>
    <w:rsid w:val="006065E9"/>
    <w:rsid w:val="006314E7"/>
    <w:rsid w:val="00633A13"/>
    <w:rsid w:val="00663209"/>
    <w:rsid w:val="006909B6"/>
    <w:rsid w:val="006A0A09"/>
    <w:rsid w:val="006A2908"/>
    <w:rsid w:val="006B3123"/>
    <w:rsid w:val="006B3279"/>
    <w:rsid w:val="006B4963"/>
    <w:rsid w:val="006B6D1C"/>
    <w:rsid w:val="006C15C8"/>
    <w:rsid w:val="006D19DF"/>
    <w:rsid w:val="006E39F9"/>
    <w:rsid w:val="006F36AD"/>
    <w:rsid w:val="00702CAA"/>
    <w:rsid w:val="00713D0D"/>
    <w:rsid w:val="00714245"/>
    <w:rsid w:val="007501CE"/>
    <w:rsid w:val="00757201"/>
    <w:rsid w:val="00761737"/>
    <w:rsid w:val="00764A9B"/>
    <w:rsid w:val="00773AF0"/>
    <w:rsid w:val="007773EC"/>
    <w:rsid w:val="00782CE1"/>
    <w:rsid w:val="00785A6B"/>
    <w:rsid w:val="00791696"/>
    <w:rsid w:val="007977CC"/>
    <w:rsid w:val="007A1CD6"/>
    <w:rsid w:val="007A69C4"/>
    <w:rsid w:val="007B01AC"/>
    <w:rsid w:val="007B33D4"/>
    <w:rsid w:val="007C494A"/>
    <w:rsid w:val="007C550A"/>
    <w:rsid w:val="007E632D"/>
    <w:rsid w:val="0080036B"/>
    <w:rsid w:val="0080458A"/>
    <w:rsid w:val="008063F9"/>
    <w:rsid w:val="00810E5B"/>
    <w:rsid w:val="00811115"/>
    <w:rsid w:val="00825DAF"/>
    <w:rsid w:val="00837D86"/>
    <w:rsid w:val="00843B6C"/>
    <w:rsid w:val="00856179"/>
    <w:rsid w:val="0086049B"/>
    <w:rsid w:val="00862EB3"/>
    <w:rsid w:val="008823DC"/>
    <w:rsid w:val="00890835"/>
    <w:rsid w:val="008A38A1"/>
    <w:rsid w:val="008A79CE"/>
    <w:rsid w:val="008B09DA"/>
    <w:rsid w:val="008B0AB4"/>
    <w:rsid w:val="008B1C8E"/>
    <w:rsid w:val="008C581E"/>
    <w:rsid w:val="008D1B67"/>
    <w:rsid w:val="008D38F5"/>
    <w:rsid w:val="008E02F2"/>
    <w:rsid w:val="008F16A1"/>
    <w:rsid w:val="008F23A1"/>
    <w:rsid w:val="00901B21"/>
    <w:rsid w:val="00905AF1"/>
    <w:rsid w:val="00913E57"/>
    <w:rsid w:val="009200D8"/>
    <w:rsid w:val="0092096C"/>
    <w:rsid w:val="00947CD5"/>
    <w:rsid w:val="00950DF6"/>
    <w:rsid w:val="00953277"/>
    <w:rsid w:val="0095604D"/>
    <w:rsid w:val="00972A67"/>
    <w:rsid w:val="0097329D"/>
    <w:rsid w:val="0097432F"/>
    <w:rsid w:val="00975B4F"/>
    <w:rsid w:val="009826BE"/>
    <w:rsid w:val="00982D63"/>
    <w:rsid w:val="00983573"/>
    <w:rsid w:val="0098798C"/>
    <w:rsid w:val="00993E5F"/>
    <w:rsid w:val="009B3592"/>
    <w:rsid w:val="009B44B1"/>
    <w:rsid w:val="009C679D"/>
    <w:rsid w:val="009D19C9"/>
    <w:rsid w:val="009D748E"/>
    <w:rsid w:val="009E34F4"/>
    <w:rsid w:val="009F7527"/>
    <w:rsid w:val="00A011DF"/>
    <w:rsid w:val="00A05009"/>
    <w:rsid w:val="00A07E7E"/>
    <w:rsid w:val="00A10031"/>
    <w:rsid w:val="00A15866"/>
    <w:rsid w:val="00A31051"/>
    <w:rsid w:val="00A37E4C"/>
    <w:rsid w:val="00A42E5C"/>
    <w:rsid w:val="00A5430A"/>
    <w:rsid w:val="00A61E8B"/>
    <w:rsid w:val="00A6759E"/>
    <w:rsid w:val="00A93E8C"/>
    <w:rsid w:val="00A966CB"/>
    <w:rsid w:val="00AA3E21"/>
    <w:rsid w:val="00AB438B"/>
    <w:rsid w:val="00AB7376"/>
    <w:rsid w:val="00AF1BF8"/>
    <w:rsid w:val="00AF51A3"/>
    <w:rsid w:val="00AF56A8"/>
    <w:rsid w:val="00B04581"/>
    <w:rsid w:val="00B229FC"/>
    <w:rsid w:val="00B26939"/>
    <w:rsid w:val="00B3152A"/>
    <w:rsid w:val="00B42252"/>
    <w:rsid w:val="00B44D3E"/>
    <w:rsid w:val="00B46A0B"/>
    <w:rsid w:val="00B54EA3"/>
    <w:rsid w:val="00B6060B"/>
    <w:rsid w:val="00B641AE"/>
    <w:rsid w:val="00B7523B"/>
    <w:rsid w:val="00B9367B"/>
    <w:rsid w:val="00B96162"/>
    <w:rsid w:val="00B96FF7"/>
    <w:rsid w:val="00BA269E"/>
    <w:rsid w:val="00BB2A03"/>
    <w:rsid w:val="00BD068C"/>
    <w:rsid w:val="00BF7BAA"/>
    <w:rsid w:val="00C10D10"/>
    <w:rsid w:val="00C3080F"/>
    <w:rsid w:val="00C35484"/>
    <w:rsid w:val="00C40840"/>
    <w:rsid w:val="00C41A75"/>
    <w:rsid w:val="00C516F7"/>
    <w:rsid w:val="00C55361"/>
    <w:rsid w:val="00C7052F"/>
    <w:rsid w:val="00C73164"/>
    <w:rsid w:val="00CA767B"/>
    <w:rsid w:val="00CB09D0"/>
    <w:rsid w:val="00CC15DA"/>
    <w:rsid w:val="00CD7293"/>
    <w:rsid w:val="00CD7613"/>
    <w:rsid w:val="00CE5CB1"/>
    <w:rsid w:val="00CE5D0E"/>
    <w:rsid w:val="00D01BAD"/>
    <w:rsid w:val="00D022A7"/>
    <w:rsid w:val="00D04994"/>
    <w:rsid w:val="00D0700F"/>
    <w:rsid w:val="00D14600"/>
    <w:rsid w:val="00D32FEA"/>
    <w:rsid w:val="00D43684"/>
    <w:rsid w:val="00D446A9"/>
    <w:rsid w:val="00D52B20"/>
    <w:rsid w:val="00D576CD"/>
    <w:rsid w:val="00D65FFD"/>
    <w:rsid w:val="00D7210D"/>
    <w:rsid w:val="00D7286E"/>
    <w:rsid w:val="00D74C0A"/>
    <w:rsid w:val="00D74FCA"/>
    <w:rsid w:val="00D839C4"/>
    <w:rsid w:val="00D87928"/>
    <w:rsid w:val="00D90FD5"/>
    <w:rsid w:val="00DA350B"/>
    <w:rsid w:val="00DB096A"/>
    <w:rsid w:val="00DB39FF"/>
    <w:rsid w:val="00DB5658"/>
    <w:rsid w:val="00DD7324"/>
    <w:rsid w:val="00DE4827"/>
    <w:rsid w:val="00DF172A"/>
    <w:rsid w:val="00E0072B"/>
    <w:rsid w:val="00E076B6"/>
    <w:rsid w:val="00E102BD"/>
    <w:rsid w:val="00E35849"/>
    <w:rsid w:val="00E554A3"/>
    <w:rsid w:val="00E630AD"/>
    <w:rsid w:val="00E6784B"/>
    <w:rsid w:val="00E73C61"/>
    <w:rsid w:val="00E75D78"/>
    <w:rsid w:val="00E76370"/>
    <w:rsid w:val="00E772A4"/>
    <w:rsid w:val="00E940E4"/>
    <w:rsid w:val="00E94643"/>
    <w:rsid w:val="00EA1A25"/>
    <w:rsid w:val="00EA5E96"/>
    <w:rsid w:val="00EA72E4"/>
    <w:rsid w:val="00EB23FD"/>
    <w:rsid w:val="00EB5D38"/>
    <w:rsid w:val="00EB75D7"/>
    <w:rsid w:val="00EC101C"/>
    <w:rsid w:val="00EC59BB"/>
    <w:rsid w:val="00EC715A"/>
    <w:rsid w:val="00EC7F94"/>
    <w:rsid w:val="00EF2E35"/>
    <w:rsid w:val="00F0107F"/>
    <w:rsid w:val="00F015CB"/>
    <w:rsid w:val="00F06BD8"/>
    <w:rsid w:val="00F16160"/>
    <w:rsid w:val="00F16618"/>
    <w:rsid w:val="00F204ED"/>
    <w:rsid w:val="00F44BE3"/>
    <w:rsid w:val="00F5033A"/>
    <w:rsid w:val="00F53D2F"/>
    <w:rsid w:val="00F54C64"/>
    <w:rsid w:val="00F70C86"/>
    <w:rsid w:val="00F73C0E"/>
    <w:rsid w:val="00F7417A"/>
    <w:rsid w:val="00F7703D"/>
    <w:rsid w:val="00F82694"/>
    <w:rsid w:val="00F9418B"/>
    <w:rsid w:val="00FA442B"/>
    <w:rsid w:val="00FA4467"/>
    <w:rsid w:val="00FA6E27"/>
    <w:rsid w:val="00FC008F"/>
    <w:rsid w:val="00FC520D"/>
    <w:rsid w:val="00FD403E"/>
    <w:rsid w:val="00FE00DE"/>
    <w:rsid w:val="00FE1D0C"/>
    <w:rsid w:val="00FF41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3BE0D"/>
  <w15:docId w15:val="{592AEA0A-C276-4918-84BC-08DD95FB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F23C0"/>
    <w:pPr>
      <w:spacing w:before="200" w:after="200" w:line="300" w:lineRule="atLeast"/>
    </w:pPr>
  </w:style>
  <w:style w:type="paragraph" w:styleId="Heading1">
    <w:name w:val="heading 1"/>
    <w:basedOn w:val="Normal"/>
    <w:next w:val="Normal"/>
    <w:link w:val="Heading1Char"/>
    <w:uiPriority w:val="9"/>
    <w:qFormat/>
    <w:rsid w:val="00825DAF"/>
    <w:pPr>
      <w:keepNext/>
      <w:keepLines/>
      <w:pageBreakBefore/>
      <w:spacing w:after="480"/>
      <w:outlineLvl w:val="0"/>
    </w:pPr>
    <w:rPr>
      <w:bCs/>
      <w:color w:val="2E1A47" w:themeColor="text2"/>
      <w:sz w:val="48"/>
      <w:szCs w:val="44"/>
    </w:rPr>
  </w:style>
  <w:style w:type="paragraph" w:styleId="Heading2">
    <w:name w:val="heading 2"/>
    <w:basedOn w:val="Normal"/>
    <w:next w:val="Normal"/>
    <w:link w:val="Heading2Char"/>
    <w:uiPriority w:val="9"/>
    <w:unhideWhenUsed/>
    <w:qFormat/>
    <w:rsid w:val="00003409"/>
    <w:pPr>
      <w:keepNext/>
      <w:keepLines/>
      <w:spacing w:before="480" w:after="360" w:line="420" w:lineRule="atLeast"/>
      <w:outlineLvl w:val="1"/>
    </w:pPr>
    <w:rPr>
      <w:color w:val="7A4282" w:themeColor="accent1"/>
      <w:sz w:val="32"/>
      <w:szCs w:val="32"/>
    </w:rPr>
  </w:style>
  <w:style w:type="paragraph" w:styleId="Heading3">
    <w:name w:val="heading 3"/>
    <w:basedOn w:val="Normal"/>
    <w:next w:val="Normal"/>
    <w:link w:val="Heading3Char"/>
    <w:uiPriority w:val="9"/>
    <w:unhideWhenUsed/>
    <w:qFormat/>
    <w:rsid w:val="00170E31"/>
    <w:pPr>
      <w:keepNext/>
      <w:keepLines/>
      <w:spacing w:before="360" w:after="240" w:line="240" w:lineRule="atLeast"/>
      <w:outlineLvl w:val="2"/>
    </w:pPr>
    <w:rPr>
      <w:b/>
      <w:bCs/>
      <w:color w:val="2E1A47" w:themeColor="text2"/>
    </w:rPr>
  </w:style>
  <w:style w:type="paragraph" w:styleId="Heading4">
    <w:name w:val="heading 4"/>
    <w:basedOn w:val="Normal"/>
    <w:next w:val="Normal"/>
    <w:link w:val="Heading4Char"/>
    <w:uiPriority w:val="9"/>
    <w:unhideWhenUsed/>
    <w:qFormat/>
    <w:rsid w:val="00702CAA"/>
    <w:pPr>
      <w:keepNext/>
      <w:keepLines/>
      <w:spacing w:before="360" w:after="240"/>
      <w:outlineLvl w:val="3"/>
    </w:pPr>
    <w:rPr>
      <w:color w:val="2E1A47" w:themeColor="text2"/>
    </w:rPr>
  </w:style>
  <w:style w:type="paragraph" w:styleId="Heading5">
    <w:name w:val="heading 5"/>
    <w:basedOn w:val="Normal"/>
    <w:next w:val="Normal"/>
    <w:link w:val="Heading5Char"/>
    <w:uiPriority w:val="9"/>
    <w:unhideWhenUsed/>
    <w:qFormat/>
    <w:rsid w:val="009B44B1"/>
    <w:pPr>
      <w:keepNext/>
      <w:keepLines/>
      <w:spacing w:before="360" w:after="240"/>
      <w:outlineLvl w:val="4"/>
    </w:pPr>
    <w:rPr>
      <w:rFonts w:asciiTheme="majorHAnsi" w:eastAsiaTheme="majorEastAsia" w:hAnsiTheme="majorHAnsi" w:cstheme="majorBidi"/>
      <w:color w:val="5B3161" w:themeColor="accent1" w:themeShade="BF"/>
    </w:rPr>
  </w:style>
  <w:style w:type="paragraph" w:styleId="Heading8">
    <w:name w:val="heading 8"/>
    <w:basedOn w:val="Normal"/>
    <w:next w:val="Normal"/>
    <w:link w:val="Heading8Char"/>
    <w:uiPriority w:val="9"/>
    <w:semiHidden/>
    <w:unhideWhenUsed/>
    <w:qFormat/>
    <w:rsid w:val="00810E5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825DAF"/>
    <w:rPr>
      <w:bCs/>
      <w:color w:val="2E1A47" w:themeColor="text2"/>
      <w:sz w:val="48"/>
      <w:szCs w:val="44"/>
    </w:rPr>
  </w:style>
  <w:style w:type="paragraph" w:customStyle="1" w:styleId="Introcopy">
    <w:name w:val="Intro copy"/>
    <w:basedOn w:val="Normal"/>
    <w:qFormat/>
    <w:rsid w:val="00A37E4C"/>
    <w:pPr>
      <w:spacing w:after="720" w:line="420" w:lineRule="exact"/>
    </w:pPr>
    <w:rPr>
      <w:color w:val="2E1A47" w:themeColor="text2"/>
      <w:sz w:val="32"/>
      <w:szCs w:val="32"/>
    </w:rPr>
  </w:style>
  <w:style w:type="character" w:customStyle="1" w:styleId="Heading2Char">
    <w:name w:val="Heading 2 Char"/>
    <w:basedOn w:val="DefaultParagraphFont"/>
    <w:link w:val="Heading2"/>
    <w:uiPriority w:val="9"/>
    <w:rsid w:val="00003409"/>
    <w:rPr>
      <w:color w:val="7A4282" w:themeColor="accent1"/>
      <w:sz w:val="32"/>
      <w:szCs w:val="32"/>
    </w:rPr>
  </w:style>
  <w:style w:type="character" w:customStyle="1" w:styleId="Heading3Char">
    <w:name w:val="Heading 3 Char"/>
    <w:basedOn w:val="DefaultParagraphFont"/>
    <w:link w:val="Heading3"/>
    <w:uiPriority w:val="9"/>
    <w:rsid w:val="00170E31"/>
    <w:rPr>
      <w:b/>
      <w:bCs/>
      <w:color w:val="2E1A47" w:themeColor="text2"/>
    </w:rPr>
  </w:style>
  <w:style w:type="character" w:customStyle="1" w:styleId="Heading4Char">
    <w:name w:val="Heading 4 Char"/>
    <w:basedOn w:val="DefaultParagraphFont"/>
    <w:link w:val="Heading4"/>
    <w:uiPriority w:val="9"/>
    <w:rsid w:val="00702CAA"/>
    <w:rPr>
      <w:color w:val="2E1A47" w:themeColor="text2"/>
    </w:rPr>
  </w:style>
  <w:style w:type="paragraph" w:styleId="ListBullet">
    <w:name w:val="List Bullet"/>
    <w:aliases w:val="BulletList"/>
    <w:basedOn w:val="Normal"/>
    <w:uiPriority w:val="99"/>
    <w:unhideWhenUsed/>
    <w:qFormat/>
    <w:rsid w:val="004751B4"/>
    <w:pPr>
      <w:numPr>
        <w:numId w:val="2"/>
      </w:numPr>
      <w:snapToGrid w:val="0"/>
      <w:spacing w:before="0"/>
    </w:pPr>
  </w:style>
  <w:style w:type="paragraph" w:styleId="ListBullet2">
    <w:name w:val="List Bullet 2"/>
    <w:aliases w:val="Bullet list 2"/>
    <w:basedOn w:val="Normal"/>
    <w:uiPriority w:val="99"/>
    <w:unhideWhenUsed/>
    <w:qFormat/>
    <w:rsid w:val="004751B4"/>
    <w:pPr>
      <w:numPr>
        <w:ilvl w:val="1"/>
        <w:numId w:val="2"/>
      </w:numPr>
      <w:snapToGrid w:val="0"/>
      <w:spacing w:before="0"/>
    </w:pPr>
  </w:style>
  <w:style w:type="paragraph" w:styleId="ListBullet3">
    <w:name w:val="List Bullet 3"/>
    <w:aliases w:val="Bullet list 3"/>
    <w:basedOn w:val="Normal"/>
    <w:uiPriority w:val="99"/>
    <w:unhideWhenUsed/>
    <w:qFormat/>
    <w:rsid w:val="009B44B1"/>
    <w:pPr>
      <w:numPr>
        <w:ilvl w:val="2"/>
        <w:numId w:val="2"/>
      </w:numPr>
      <w:snapToGrid w:val="0"/>
      <w:spacing w:before="0"/>
      <w:ind w:left="851"/>
    </w:pPr>
  </w:style>
  <w:style w:type="paragraph" w:styleId="Quote">
    <w:name w:val="Quote"/>
    <w:aliases w:val="LargeQuote"/>
    <w:basedOn w:val="Normal"/>
    <w:next w:val="Normal"/>
    <w:link w:val="QuoteChar"/>
    <w:uiPriority w:val="29"/>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aliases w:val="Large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rsid w:val="00D52B20"/>
    <w:rPr>
      <w:b/>
      <w:bCs/>
    </w:rPr>
  </w:style>
  <w:style w:type="character" w:styleId="FootnoteReference">
    <w:name w:val="footnote reference"/>
    <w:basedOn w:val="DefaultParagraphFont"/>
    <w:uiPriority w:val="99"/>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aliases w:val="Page Header,Heading level 2"/>
    <w:basedOn w:val="Normal"/>
    <w:next w:val="Normal"/>
    <w:link w:val="TitleChar"/>
    <w:uiPriority w:val="10"/>
    <w:qFormat/>
    <w:rsid w:val="007A1CD6"/>
    <w:pPr>
      <w:spacing w:after="480"/>
    </w:pPr>
    <w:rPr>
      <w:color w:val="2E1A47" w:themeColor="text2"/>
      <w:sz w:val="48"/>
      <w:szCs w:val="48"/>
    </w:rPr>
  </w:style>
  <w:style w:type="character" w:customStyle="1" w:styleId="TitleChar">
    <w:name w:val="Title Char"/>
    <w:aliases w:val="Page Header Char,Heading level 2 Char"/>
    <w:basedOn w:val="DefaultParagraphFont"/>
    <w:link w:val="Title"/>
    <w:uiPriority w:val="10"/>
    <w:rsid w:val="007A1CD6"/>
    <w:rPr>
      <w:color w:val="2E1A47" w:themeColor="text2"/>
      <w:sz w:val="48"/>
      <w:szCs w:val="48"/>
    </w:rPr>
  </w:style>
  <w:style w:type="paragraph" w:styleId="Subtitle">
    <w:name w:val="Subtitle"/>
    <w:basedOn w:val="Normal"/>
    <w:next w:val="Normal"/>
    <w:link w:val="SubtitleChar"/>
    <w:uiPriority w:val="11"/>
    <w:qFormat/>
    <w:rsid w:val="004751B4"/>
    <w:pPr>
      <w:spacing w:after="60"/>
      <w:ind w:right="1700"/>
    </w:pPr>
    <w:rPr>
      <w:color w:val="2E1A47" w:themeColor="text2"/>
      <w:sz w:val="26"/>
      <w:szCs w:val="26"/>
    </w:rPr>
  </w:style>
  <w:style w:type="character" w:customStyle="1" w:styleId="SubtitleChar">
    <w:name w:val="Subtitle Char"/>
    <w:basedOn w:val="DefaultParagraphFont"/>
    <w:link w:val="Subtitle"/>
    <w:uiPriority w:val="11"/>
    <w:rsid w:val="004751B4"/>
    <w:rPr>
      <w:color w:val="2E1A47" w:themeColor="text2"/>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rsid w:val="009B44B1"/>
    <w:pPr>
      <w:numPr>
        <w:numId w:val="13"/>
      </w:numPr>
      <w:snapToGrid w:val="0"/>
      <w:spacing w:before="0"/>
    </w:pPr>
  </w:style>
  <w:style w:type="paragraph" w:styleId="ListNumber2">
    <w:name w:val="List Number 2"/>
    <w:aliases w:val="NumberedList 3"/>
    <w:basedOn w:val="Normal"/>
    <w:uiPriority w:val="99"/>
    <w:unhideWhenUsed/>
    <w:qFormat/>
    <w:rsid w:val="009B44B1"/>
    <w:pPr>
      <w:numPr>
        <w:ilvl w:val="1"/>
        <w:numId w:val="13"/>
      </w:numPr>
      <w:spacing w:before="0"/>
    </w:pPr>
  </w:style>
  <w:style w:type="paragraph" w:styleId="ListNumber3">
    <w:name w:val="List Number 3"/>
    <w:basedOn w:val="Normal"/>
    <w:uiPriority w:val="99"/>
    <w:unhideWhenUsed/>
    <w:qFormat/>
    <w:rsid w:val="009B44B1"/>
    <w:pPr>
      <w:numPr>
        <w:ilvl w:val="2"/>
        <w:numId w:val="13"/>
      </w:numPr>
      <w:snapToGrid w:val="0"/>
      <w:spacing w:before="0"/>
      <w:ind w:left="851"/>
    </w:pPr>
  </w:style>
  <w:style w:type="character" w:styleId="PlaceholderText">
    <w:name w:val="Placeholder Text"/>
    <w:basedOn w:val="DefaultParagraphFont"/>
    <w:uiPriority w:val="99"/>
    <w:semiHidden/>
    <w:rsid w:val="00EF2E35"/>
    <w:rPr>
      <w:color w:val="808080"/>
    </w:rPr>
  </w:style>
  <w:style w:type="character" w:customStyle="1" w:styleId="Heading5Char">
    <w:name w:val="Heading 5 Char"/>
    <w:basedOn w:val="DefaultParagraphFont"/>
    <w:link w:val="Heading5"/>
    <w:uiPriority w:val="9"/>
    <w:rsid w:val="009B44B1"/>
    <w:rPr>
      <w:rFonts w:asciiTheme="majorHAnsi" w:eastAsiaTheme="majorEastAsia" w:hAnsiTheme="majorHAnsi" w:cstheme="majorBidi"/>
      <w:color w:val="5B3161" w:themeColor="accent1" w:themeShade="BF"/>
    </w:rPr>
  </w:style>
  <w:style w:type="table" w:styleId="ListTable3-Accent3">
    <w:name w:val="List Table 3 Accent 3"/>
    <w:basedOn w:val="TableNormal"/>
    <w:uiPriority w:val="48"/>
    <w:rsid w:val="00AF1BF8"/>
    <w:pPr>
      <w:spacing w:after="0" w:line="240" w:lineRule="auto"/>
    </w:pPr>
    <w:rPr>
      <w:rFonts w:eastAsiaTheme="minorHAnsi"/>
      <w:sz w:val="22"/>
      <w:szCs w:val="22"/>
      <w:lang w:eastAsia="en-US"/>
    </w:rPr>
    <w:tblPr>
      <w:tblStyleRowBandSize w:val="1"/>
      <w:tblStyleColBandSize w:val="1"/>
      <w:tblBorders>
        <w:top w:val="single" w:sz="4" w:space="0" w:color="1E988A" w:themeColor="accent3"/>
        <w:left w:val="single" w:sz="4" w:space="0" w:color="1E988A" w:themeColor="accent3"/>
        <w:bottom w:val="single" w:sz="4" w:space="0" w:color="1E988A" w:themeColor="accent3"/>
        <w:right w:val="single" w:sz="4" w:space="0" w:color="1E988A" w:themeColor="accent3"/>
      </w:tblBorders>
    </w:tblPr>
    <w:tblStylePr w:type="firstRow">
      <w:rPr>
        <w:b/>
        <w:bCs/>
        <w:color w:val="FFFFFF" w:themeColor="background1"/>
      </w:rPr>
      <w:tblPr/>
      <w:tcPr>
        <w:shd w:val="clear" w:color="auto" w:fill="1E988A" w:themeFill="accent3"/>
      </w:tcPr>
    </w:tblStylePr>
    <w:tblStylePr w:type="lastRow">
      <w:rPr>
        <w:b/>
        <w:bCs/>
      </w:rPr>
      <w:tblPr/>
      <w:tcPr>
        <w:tcBorders>
          <w:top w:val="double" w:sz="4" w:space="0" w:color="1E988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988A" w:themeColor="accent3"/>
          <w:right w:val="single" w:sz="4" w:space="0" w:color="1E988A" w:themeColor="accent3"/>
        </w:tcBorders>
      </w:tcPr>
    </w:tblStylePr>
    <w:tblStylePr w:type="band1Horz">
      <w:tblPr/>
      <w:tcPr>
        <w:tcBorders>
          <w:top w:val="single" w:sz="4" w:space="0" w:color="1E988A" w:themeColor="accent3"/>
          <w:bottom w:val="single" w:sz="4" w:space="0" w:color="1E988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988A" w:themeColor="accent3"/>
          <w:left w:val="nil"/>
        </w:tcBorders>
      </w:tcPr>
    </w:tblStylePr>
    <w:tblStylePr w:type="swCell">
      <w:tblPr/>
      <w:tcPr>
        <w:tcBorders>
          <w:top w:val="double" w:sz="4" w:space="0" w:color="1E988A" w:themeColor="accent3"/>
          <w:right w:val="nil"/>
        </w:tcBorders>
      </w:tcPr>
    </w:tblStylePr>
  </w:style>
  <w:style w:type="paragraph" w:customStyle="1" w:styleId="Tableheadermain">
    <w:name w:val="Table header (main)"/>
    <w:basedOn w:val="Normal"/>
    <w:link w:val="TableheadermainChar"/>
    <w:qFormat/>
    <w:rsid w:val="00AF1BF8"/>
    <w:pPr>
      <w:spacing w:before="120"/>
    </w:pPr>
    <w:rPr>
      <w:rFonts w:eastAsiaTheme="minorHAnsi"/>
      <w:b/>
      <w:bCs/>
      <w:color w:val="FFFFFF" w:themeColor="background1"/>
      <w:szCs w:val="18"/>
      <w:lang w:val="pt-PT" w:eastAsia="en-US"/>
    </w:rPr>
  </w:style>
  <w:style w:type="character" w:customStyle="1" w:styleId="TableheadermainChar">
    <w:name w:val="Table header (main) Char"/>
    <w:basedOn w:val="DefaultParagraphFont"/>
    <w:link w:val="Tableheadermain"/>
    <w:rsid w:val="00AF1BF8"/>
    <w:rPr>
      <w:rFonts w:eastAsiaTheme="minorHAnsi"/>
      <w:b/>
      <w:bCs/>
      <w:color w:val="FFFFFF" w:themeColor="background1"/>
      <w:szCs w:val="18"/>
      <w:lang w:val="pt-PT" w:eastAsia="en-US"/>
    </w:rPr>
  </w:style>
  <w:style w:type="paragraph" w:customStyle="1" w:styleId="Tablecopy">
    <w:name w:val="Table copy"/>
    <w:basedOn w:val="Normal"/>
    <w:link w:val="TablecopyChar"/>
    <w:qFormat/>
    <w:rsid w:val="00AF1BF8"/>
    <w:rPr>
      <w:rFonts w:ascii="Verdana" w:eastAsiaTheme="minorHAnsi" w:hAnsi="Verdana"/>
      <w:color w:val="000000" w:themeColor="text1"/>
      <w:sz w:val="18"/>
      <w:lang w:eastAsia="en-US"/>
    </w:rPr>
  </w:style>
  <w:style w:type="character" w:customStyle="1" w:styleId="TablecopyChar">
    <w:name w:val="Table copy Char"/>
    <w:basedOn w:val="DefaultParagraphFont"/>
    <w:link w:val="Tablecopy"/>
    <w:rsid w:val="00AF1BF8"/>
    <w:rPr>
      <w:rFonts w:ascii="Verdana" w:eastAsiaTheme="minorHAnsi" w:hAnsi="Verdana"/>
      <w:color w:val="000000" w:themeColor="text1"/>
      <w:sz w:val="18"/>
      <w:lang w:eastAsia="en-US"/>
    </w:rPr>
  </w:style>
  <w:style w:type="table" w:styleId="ListTable3-Accent1">
    <w:name w:val="List Table 3 Accent 1"/>
    <w:basedOn w:val="TableNormal"/>
    <w:uiPriority w:val="48"/>
    <w:rsid w:val="00AF1BF8"/>
    <w:pPr>
      <w:spacing w:after="0" w:line="240" w:lineRule="auto"/>
    </w:pPr>
    <w:tblPr>
      <w:tblStyleRowBandSize w:val="1"/>
      <w:tblStyleColBandSize w:val="1"/>
      <w:tblBorders>
        <w:top w:val="single" w:sz="4" w:space="0" w:color="7A4282" w:themeColor="accent1"/>
        <w:left w:val="single" w:sz="4" w:space="0" w:color="7A4282" w:themeColor="accent1"/>
        <w:bottom w:val="single" w:sz="4" w:space="0" w:color="7A4282" w:themeColor="accent1"/>
        <w:right w:val="single" w:sz="4" w:space="0" w:color="7A4282" w:themeColor="accent1"/>
      </w:tblBorders>
    </w:tblPr>
    <w:tblStylePr w:type="firstRow">
      <w:rPr>
        <w:b/>
        <w:bCs/>
        <w:color w:val="FFFFFF" w:themeColor="background1"/>
      </w:rPr>
      <w:tblPr/>
      <w:tcPr>
        <w:shd w:val="clear" w:color="auto" w:fill="7A4282" w:themeFill="accent1"/>
      </w:tcPr>
    </w:tblStylePr>
    <w:tblStylePr w:type="lastRow">
      <w:rPr>
        <w:b/>
        <w:bCs/>
      </w:rPr>
      <w:tblPr/>
      <w:tcPr>
        <w:tcBorders>
          <w:top w:val="double" w:sz="4" w:space="0" w:color="7A42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4282" w:themeColor="accent1"/>
          <w:right w:val="single" w:sz="4" w:space="0" w:color="7A4282" w:themeColor="accent1"/>
        </w:tcBorders>
      </w:tcPr>
    </w:tblStylePr>
    <w:tblStylePr w:type="band1Horz">
      <w:tblPr/>
      <w:tcPr>
        <w:tcBorders>
          <w:top w:val="single" w:sz="4" w:space="0" w:color="7A4282" w:themeColor="accent1"/>
          <w:bottom w:val="single" w:sz="4" w:space="0" w:color="7A42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4282" w:themeColor="accent1"/>
          <w:left w:val="nil"/>
        </w:tcBorders>
      </w:tcPr>
    </w:tblStylePr>
    <w:tblStylePr w:type="swCell">
      <w:tblPr/>
      <w:tcPr>
        <w:tcBorders>
          <w:top w:val="double" w:sz="4" w:space="0" w:color="7A4282" w:themeColor="accent1"/>
          <w:right w:val="nil"/>
        </w:tcBorders>
      </w:tcPr>
    </w:tblStylePr>
  </w:style>
  <w:style w:type="paragraph" w:customStyle="1" w:styleId="NumberedList1">
    <w:name w:val="NumberedList 1"/>
    <w:basedOn w:val="ListParagraph"/>
    <w:qFormat/>
    <w:rsid w:val="00663209"/>
    <w:pPr>
      <w:numPr>
        <w:numId w:val="14"/>
      </w:numPr>
      <w:tabs>
        <w:tab w:val="num" w:pos="360"/>
      </w:tabs>
      <w:spacing w:before="0" w:line="300" w:lineRule="exact"/>
      <w:ind w:left="284" w:hanging="284"/>
      <w:contextualSpacing w:val="0"/>
    </w:pPr>
    <w:rPr>
      <w:rFonts w:eastAsiaTheme="minorHAnsi"/>
      <w:color w:val="000000" w:themeColor="text1"/>
      <w:lang w:val="pt-PT" w:eastAsia="en-US"/>
    </w:rPr>
  </w:style>
  <w:style w:type="paragraph" w:styleId="ListParagraph">
    <w:name w:val="List Paragraph"/>
    <w:basedOn w:val="Normal"/>
    <w:uiPriority w:val="34"/>
    <w:rsid w:val="00663209"/>
    <w:pPr>
      <w:ind w:left="720"/>
      <w:contextualSpacing/>
    </w:pPr>
  </w:style>
  <w:style w:type="paragraph" w:customStyle="1" w:styleId="QuoteSource">
    <w:name w:val="QuoteSource"/>
    <w:basedOn w:val="Normal"/>
    <w:qFormat/>
    <w:rsid w:val="00EB23FD"/>
    <w:pPr>
      <w:spacing w:before="40" w:after="40" w:line="240" w:lineRule="auto"/>
    </w:pPr>
    <w:rPr>
      <w:rFonts w:eastAsiaTheme="minorHAnsi"/>
      <w:color w:val="000000" w:themeColor="text1"/>
      <w:sz w:val="18"/>
      <w:szCs w:val="16"/>
      <w:lang w:val="pt-PT" w:eastAsia="en-US"/>
    </w:rPr>
  </w:style>
  <w:style w:type="paragraph" w:customStyle="1" w:styleId="Largequote">
    <w:name w:val="Large quote"/>
    <w:basedOn w:val="Normal"/>
    <w:link w:val="LargequoteChar"/>
    <w:qFormat/>
    <w:rsid w:val="00E940E4"/>
    <w:rPr>
      <w:color w:val="7A4282" w:themeColor="accent1"/>
      <w:sz w:val="28"/>
      <w:szCs w:val="28"/>
    </w:rPr>
  </w:style>
  <w:style w:type="paragraph" w:customStyle="1" w:styleId="SmallQuote">
    <w:name w:val="SmallQuote"/>
    <w:basedOn w:val="Largequote"/>
    <w:link w:val="SmallQuoteChar"/>
    <w:qFormat/>
    <w:rsid w:val="00F70C86"/>
    <w:pPr>
      <w:spacing w:before="40" w:after="240"/>
    </w:pPr>
    <w:rPr>
      <w:sz w:val="24"/>
      <w:szCs w:val="24"/>
    </w:rPr>
  </w:style>
  <w:style w:type="character" w:customStyle="1" w:styleId="LargequoteChar">
    <w:name w:val="Large quote Char"/>
    <w:basedOn w:val="DefaultParagraphFont"/>
    <w:link w:val="Largequote"/>
    <w:rsid w:val="00E940E4"/>
    <w:rPr>
      <w:color w:val="7A4282" w:themeColor="accent1"/>
      <w:sz w:val="28"/>
      <w:szCs w:val="28"/>
    </w:rPr>
  </w:style>
  <w:style w:type="character" w:customStyle="1" w:styleId="SmallQuoteChar">
    <w:name w:val="SmallQuote Char"/>
    <w:basedOn w:val="LargequoteChar"/>
    <w:link w:val="SmallQuote"/>
    <w:rsid w:val="00F70C86"/>
    <w:rPr>
      <w:color w:val="7A4282" w:themeColor="accent1"/>
      <w:sz w:val="24"/>
      <w:szCs w:val="24"/>
    </w:rPr>
  </w:style>
  <w:style w:type="character" w:customStyle="1" w:styleId="Heading8Char">
    <w:name w:val="Heading 8 Char"/>
    <w:basedOn w:val="DefaultParagraphFont"/>
    <w:link w:val="Heading8"/>
    <w:uiPriority w:val="9"/>
    <w:semiHidden/>
    <w:rsid w:val="00810E5B"/>
    <w:rPr>
      <w:rFonts w:asciiTheme="majorHAnsi" w:eastAsiaTheme="majorEastAsia" w:hAnsiTheme="majorHAnsi" w:cstheme="majorBidi"/>
      <w:color w:val="272727" w:themeColor="text1" w:themeTint="D8"/>
      <w:sz w:val="21"/>
      <w:szCs w:val="21"/>
    </w:rPr>
  </w:style>
  <w:style w:type="paragraph" w:styleId="TOC1">
    <w:name w:val="toc 1"/>
    <w:basedOn w:val="Normal"/>
    <w:next w:val="Normal"/>
    <w:autoRedefine/>
    <w:uiPriority w:val="39"/>
    <w:unhideWhenUsed/>
    <w:rsid w:val="009F7527"/>
    <w:pPr>
      <w:tabs>
        <w:tab w:val="left" w:pos="9356"/>
      </w:tabs>
      <w:spacing w:after="100"/>
    </w:pPr>
  </w:style>
  <w:style w:type="paragraph" w:styleId="TOC2">
    <w:name w:val="toc 2"/>
    <w:basedOn w:val="Normal"/>
    <w:next w:val="Normal"/>
    <w:autoRedefine/>
    <w:uiPriority w:val="39"/>
    <w:unhideWhenUsed/>
    <w:rsid w:val="00D01BAD"/>
    <w:pPr>
      <w:spacing w:after="100"/>
      <w:ind w:left="200"/>
    </w:pPr>
  </w:style>
  <w:style w:type="character" w:styleId="Hyperlink">
    <w:name w:val="Hyperlink"/>
    <w:basedOn w:val="DefaultParagraphFont"/>
    <w:uiPriority w:val="99"/>
    <w:unhideWhenUsed/>
    <w:rsid w:val="00D01BAD"/>
    <w:rPr>
      <w:color w:val="2E1A47" w:themeColor="hyperlink"/>
      <w:u w:val="single"/>
    </w:rPr>
  </w:style>
  <w:style w:type="paragraph" w:styleId="List">
    <w:name w:val="List"/>
    <w:basedOn w:val="Normal"/>
    <w:uiPriority w:val="99"/>
    <w:unhideWhenUsed/>
    <w:rsid w:val="00EC7F94"/>
    <w:pPr>
      <w:ind w:left="283" w:hanging="283"/>
      <w:contextualSpacing/>
    </w:pPr>
  </w:style>
  <w:style w:type="paragraph" w:styleId="BodyText">
    <w:name w:val="Body Text"/>
    <w:basedOn w:val="Normal"/>
    <w:link w:val="BodyTextChar"/>
    <w:uiPriority w:val="1"/>
    <w:qFormat/>
    <w:rsid w:val="00EC7F94"/>
    <w:pPr>
      <w:widowControl w:val="0"/>
      <w:autoSpaceDE w:val="0"/>
      <w:autoSpaceDN w:val="0"/>
      <w:spacing w:before="0" w:after="0" w:line="240" w:lineRule="auto"/>
    </w:pPr>
    <w:rPr>
      <w:rFonts w:ascii="AU Sans Text" w:eastAsia="AU Sans Text" w:hAnsi="AU Sans Text" w:cs="AU Sans Text"/>
      <w:sz w:val="31"/>
      <w:szCs w:val="31"/>
      <w:lang w:val="en-US" w:eastAsia="en-US"/>
    </w:rPr>
  </w:style>
  <w:style w:type="character" w:customStyle="1" w:styleId="BodyTextChar">
    <w:name w:val="Body Text Char"/>
    <w:basedOn w:val="DefaultParagraphFont"/>
    <w:link w:val="BodyText"/>
    <w:uiPriority w:val="1"/>
    <w:rsid w:val="00EC7F94"/>
    <w:rPr>
      <w:rFonts w:ascii="AU Sans Text" w:eastAsia="AU Sans Text" w:hAnsi="AU Sans Text" w:cs="AU Sans Text"/>
      <w:sz w:val="31"/>
      <w:szCs w:val="31"/>
      <w:lang w:val="en-US" w:eastAsia="en-US"/>
    </w:rPr>
  </w:style>
  <w:style w:type="paragraph" w:styleId="NoSpacing">
    <w:name w:val="No Spacing"/>
    <w:uiPriority w:val="1"/>
    <w:rsid w:val="00EC7F94"/>
    <w:pPr>
      <w:spacing w:after="0" w:line="240" w:lineRule="auto"/>
    </w:pPr>
  </w:style>
  <w:style w:type="paragraph" w:styleId="EndnoteText">
    <w:name w:val="endnote text"/>
    <w:basedOn w:val="Normal"/>
    <w:link w:val="EndnoteTextChar"/>
    <w:uiPriority w:val="99"/>
    <w:semiHidden/>
    <w:unhideWhenUsed/>
    <w:rsid w:val="00047C41"/>
    <w:pPr>
      <w:spacing w:before="0" w:after="0" w:line="240" w:lineRule="auto"/>
    </w:pPr>
  </w:style>
  <w:style w:type="character" w:customStyle="1" w:styleId="EndnoteTextChar">
    <w:name w:val="Endnote Text Char"/>
    <w:basedOn w:val="DefaultParagraphFont"/>
    <w:link w:val="EndnoteText"/>
    <w:uiPriority w:val="99"/>
    <w:semiHidden/>
    <w:rsid w:val="00047C41"/>
  </w:style>
  <w:style w:type="character" w:styleId="EndnoteReference">
    <w:name w:val="endnote reference"/>
    <w:basedOn w:val="DefaultParagraphFont"/>
    <w:uiPriority w:val="99"/>
    <w:semiHidden/>
    <w:unhideWhenUsed/>
    <w:rsid w:val="00047C41"/>
    <w:rPr>
      <w:vertAlign w:val="superscript"/>
    </w:rPr>
  </w:style>
  <w:style w:type="character" w:styleId="IntenseReference">
    <w:name w:val="Intense Reference"/>
    <w:basedOn w:val="DefaultParagraphFont"/>
    <w:uiPriority w:val="32"/>
    <w:rsid w:val="00047C41"/>
    <w:rPr>
      <w:b/>
      <w:bCs/>
      <w:smallCaps/>
      <w:color w:val="7A4282" w:themeColor="accent1"/>
      <w:spacing w:val="5"/>
    </w:rPr>
  </w:style>
  <w:style w:type="character" w:styleId="SubtleReference">
    <w:name w:val="Subtle Reference"/>
    <w:basedOn w:val="DefaultParagraphFont"/>
    <w:uiPriority w:val="31"/>
    <w:rsid w:val="00047C41"/>
    <w:rPr>
      <w:smallCaps/>
      <w:color w:val="5A5A5A" w:themeColor="text1" w:themeTint="A5"/>
    </w:rPr>
  </w:style>
  <w:style w:type="character" w:styleId="Emphasis">
    <w:name w:val="Emphasis"/>
    <w:basedOn w:val="DefaultParagraphFont"/>
    <w:uiPriority w:val="20"/>
    <w:rsid w:val="00047C41"/>
    <w:rPr>
      <w:i/>
      <w:iCs/>
    </w:rPr>
  </w:style>
  <w:style w:type="paragraph" w:styleId="Caption">
    <w:name w:val="caption"/>
    <w:basedOn w:val="Normal"/>
    <w:next w:val="Normal"/>
    <w:uiPriority w:val="35"/>
    <w:unhideWhenUsed/>
    <w:qFormat/>
    <w:rsid w:val="00B04581"/>
    <w:pPr>
      <w:spacing w:before="0" w:line="240" w:lineRule="auto"/>
    </w:pPr>
    <w:rPr>
      <w:i/>
      <w:iCs/>
      <w:color w:val="2E1A47" w:themeColor="text2"/>
      <w:sz w:val="18"/>
      <w:szCs w:val="18"/>
    </w:rPr>
  </w:style>
  <w:style w:type="paragraph" w:customStyle="1" w:styleId="TableParagraph">
    <w:name w:val="Table Paragraph"/>
    <w:basedOn w:val="Normal"/>
    <w:uiPriority w:val="1"/>
    <w:qFormat/>
    <w:rsid w:val="002A484D"/>
    <w:pPr>
      <w:widowControl w:val="0"/>
      <w:autoSpaceDE w:val="0"/>
      <w:autoSpaceDN w:val="0"/>
      <w:spacing w:before="170" w:after="0" w:line="240" w:lineRule="auto"/>
    </w:pPr>
    <w:rPr>
      <w:rFonts w:ascii="AU Sans Text" w:eastAsia="AU Sans Text" w:hAnsi="AU Sans Text" w:cs="AU Sans Text"/>
      <w:sz w:val="22"/>
      <w:szCs w:val="22"/>
      <w:lang w:val="en-US" w:eastAsia="en-US"/>
    </w:rPr>
  </w:style>
  <w:style w:type="character" w:styleId="UnresolvedMention">
    <w:name w:val="Unresolved Mention"/>
    <w:basedOn w:val="DefaultParagraphFont"/>
    <w:uiPriority w:val="99"/>
    <w:semiHidden/>
    <w:unhideWhenUsed/>
    <w:rsid w:val="00D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2821">
      <w:bodyDiv w:val="1"/>
      <w:marLeft w:val="0"/>
      <w:marRight w:val="0"/>
      <w:marTop w:val="0"/>
      <w:marBottom w:val="0"/>
      <w:divBdr>
        <w:top w:val="none" w:sz="0" w:space="0" w:color="auto"/>
        <w:left w:val="none" w:sz="0" w:space="0" w:color="auto"/>
        <w:bottom w:val="none" w:sz="0" w:space="0" w:color="auto"/>
        <w:right w:val="none" w:sz="0" w:space="0" w:color="auto"/>
      </w:divBdr>
    </w:div>
    <w:div w:id="325284070">
      <w:bodyDiv w:val="1"/>
      <w:marLeft w:val="0"/>
      <w:marRight w:val="0"/>
      <w:marTop w:val="0"/>
      <w:marBottom w:val="0"/>
      <w:divBdr>
        <w:top w:val="none" w:sz="0" w:space="0" w:color="auto"/>
        <w:left w:val="none" w:sz="0" w:space="0" w:color="auto"/>
        <w:bottom w:val="none" w:sz="0" w:space="0" w:color="auto"/>
        <w:right w:val="none" w:sz="0" w:space="0" w:color="auto"/>
      </w:divBdr>
    </w:div>
    <w:div w:id="366639455">
      <w:bodyDiv w:val="1"/>
      <w:marLeft w:val="0"/>
      <w:marRight w:val="0"/>
      <w:marTop w:val="0"/>
      <w:marBottom w:val="0"/>
      <w:divBdr>
        <w:top w:val="none" w:sz="0" w:space="0" w:color="auto"/>
        <w:left w:val="none" w:sz="0" w:space="0" w:color="auto"/>
        <w:bottom w:val="none" w:sz="0" w:space="0" w:color="auto"/>
        <w:right w:val="none" w:sz="0" w:space="0" w:color="auto"/>
      </w:divBdr>
    </w:div>
    <w:div w:id="385615639">
      <w:bodyDiv w:val="1"/>
      <w:marLeft w:val="0"/>
      <w:marRight w:val="0"/>
      <w:marTop w:val="0"/>
      <w:marBottom w:val="0"/>
      <w:divBdr>
        <w:top w:val="none" w:sz="0" w:space="0" w:color="auto"/>
        <w:left w:val="none" w:sz="0" w:space="0" w:color="auto"/>
        <w:bottom w:val="none" w:sz="0" w:space="0" w:color="auto"/>
        <w:right w:val="none" w:sz="0" w:space="0" w:color="auto"/>
      </w:divBdr>
    </w:div>
    <w:div w:id="837311190">
      <w:bodyDiv w:val="1"/>
      <w:marLeft w:val="0"/>
      <w:marRight w:val="0"/>
      <w:marTop w:val="0"/>
      <w:marBottom w:val="0"/>
      <w:divBdr>
        <w:top w:val="none" w:sz="0" w:space="0" w:color="auto"/>
        <w:left w:val="none" w:sz="0" w:space="0" w:color="auto"/>
        <w:bottom w:val="none" w:sz="0" w:space="0" w:color="auto"/>
        <w:right w:val="none" w:sz="0" w:space="0" w:color="auto"/>
      </w:divBdr>
    </w:div>
    <w:div w:id="963534633">
      <w:bodyDiv w:val="1"/>
      <w:marLeft w:val="0"/>
      <w:marRight w:val="0"/>
      <w:marTop w:val="0"/>
      <w:marBottom w:val="0"/>
      <w:divBdr>
        <w:top w:val="none" w:sz="0" w:space="0" w:color="auto"/>
        <w:left w:val="none" w:sz="0" w:space="0" w:color="auto"/>
        <w:bottom w:val="none" w:sz="0" w:space="0" w:color="auto"/>
        <w:right w:val="none" w:sz="0" w:space="0" w:color="auto"/>
      </w:divBdr>
    </w:div>
    <w:div w:id="992216389">
      <w:bodyDiv w:val="1"/>
      <w:marLeft w:val="0"/>
      <w:marRight w:val="0"/>
      <w:marTop w:val="0"/>
      <w:marBottom w:val="0"/>
      <w:divBdr>
        <w:top w:val="none" w:sz="0" w:space="0" w:color="auto"/>
        <w:left w:val="none" w:sz="0" w:space="0" w:color="auto"/>
        <w:bottom w:val="none" w:sz="0" w:space="0" w:color="auto"/>
        <w:right w:val="none" w:sz="0" w:space="0" w:color="auto"/>
      </w:divBdr>
    </w:div>
    <w:div w:id="1134372155">
      <w:bodyDiv w:val="1"/>
      <w:marLeft w:val="0"/>
      <w:marRight w:val="0"/>
      <w:marTop w:val="0"/>
      <w:marBottom w:val="0"/>
      <w:divBdr>
        <w:top w:val="none" w:sz="0" w:space="0" w:color="auto"/>
        <w:left w:val="none" w:sz="0" w:space="0" w:color="auto"/>
        <w:bottom w:val="none" w:sz="0" w:space="0" w:color="auto"/>
        <w:right w:val="none" w:sz="0" w:space="0" w:color="auto"/>
      </w:divBdr>
    </w:div>
    <w:div w:id="1304310088">
      <w:bodyDiv w:val="1"/>
      <w:marLeft w:val="0"/>
      <w:marRight w:val="0"/>
      <w:marTop w:val="0"/>
      <w:marBottom w:val="0"/>
      <w:divBdr>
        <w:top w:val="none" w:sz="0" w:space="0" w:color="auto"/>
        <w:left w:val="none" w:sz="0" w:space="0" w:color="auto"/>
        <w:bottom w:val="none" w:sz="0" w:space="0" w:color="auto"/>
        <w:right w:val="none" w:sz="0" w:space="0" w:color="auto"/>
      </w:divBdr>
    </w:div>
    <w:div w:id="1315524097">
      <w:bodyDiv w:val="1"/>
      <w:marLeft w:val="0"/>
      <w:marRight w:val="0"/>
      <w:marTop w:val="0"/>
      <w:marBottom w:val="0"/>
      <w:divBdr>
        <w:top w:val="none" w:sz="0" w:space="0" w:color="auto"/>
        <w:left w:val="none" w:sz="0" w:space="0" w:color="auto"/>
        <w:bottom w:val="none" w:sz="0" w:space="0" w:color="auto"/>
        <w:right w:val="none" w:sz="0" w:space="0" w:color="auto"/>
      </w:divBdr>
    </w:div>
    <w:div w:id="1383989730">
      <w:bodyDiv w:val="1"/>
      <w:marLeft w:val="0"/>
      <w:marRight w:val="0"/>
      <w:marTop w:val="0"/>
      <w:marBottom w:val="0"/>
      <w:divBdr>
        <w:top w:val="none" w:sz="0" w:space="0" w:color="auto"/>
        <w:left w:val="none" w:sz="0" w:space="0" w:color="auto"/>
        <w:bottom w:val="none" w:sz="0" w:space="0" w:color="auto"/>
        <w:right w:val="none" w:sz="0" w:space="0" w:color="auto"/>
      </w:divBdr>
    </w:div>
    <w:div w:id="1840533989">
      <w:bodyDiv w:val="1"/>
      <w:marLeft w:val="0"/>
      <w:marRight w:val="0"/>
      <w:marTop w:val="0"/>
      <w:marBottom w:val="0"/>
      <w:divBdr>
        <w:top w:val="none" w:sz="0" w:space="0" w:color="auto"/>
        <w:left w:val="none" w:sz="0" w:space="0" w:color="auto"/>
        <w:bottom w:val="none" w:sz="0" w:space="0" w:color="auto"/>
        <w:right w:val="none" w:sz="0" w:space="0" w:color="auto"/>
      </w:divBdr>
    </w:div>
    <w:div w:id="1859077337">
      <w:bodyDiv w:val="1"/>
      <w:marLeft w:val="0"/>
      <w:marRight w:val="0"/>
      <w:marTop w:val="0"/>
      <w:marBottom w:val="0"/>
      <w:divBdr>
        <w:top w:val="none" w:sz="0" w:space="0" w:color="auto"/>
        <w:left w:val="none" w:sz="0" w:space="0" w:color="auto"/>
        <w:bottom w:val="none" w:sz="0" w:space="0" w:color="auto"/>
        <w:right w:val="none" w:sz="0" w:space="0" w:color="auto"/>
      </w:divBdr>
    </w:div>
    <w:div w:id="1928465778">
      <w:bodyDiv w:val="1"/>
      <w:marLeft w:val="0"/>
      <w:marRight w:val="0"/>
      <w:marTop w:val="0"/>
      <w:marBottom w:val="0"/>
      <w:divBdr>
        <w:top w:val="none" w:sz="0" w:space="0" w:color="auto"/>
        <w:left w:val="none" w:sz="0" w:space="0" w:color="auto"/>
        <w:bottom w:val="none" w:sz="0" w:space="0" w:color="auto"/>
        <w:right w:val="none" w:sz="0" w:space="0" w:color="auto"/>
      </w:divBdr>
    </w:div>
    <w:div w:id="1931037937">
      <w:bodyDiv w:val="1"/>
      <w:marLeft w:val="0"/>
      <w:marRight w:val="0"/>
      <w:marTop w:val="0"/>
      <w:marBottom w:val="0"/>
      <w:divBdr>
        <w:top w:val="none" w:sz="0" w:space="0" w:color="auto"/>
        <w:left w:val="none" w:sz="0" w:space="0" w:color="auto"/>
        <w:bottom w:val="none" w:sz="0" w:space="0" w:color="auto"/>
        <w:right w:val="none" w:sz="0" w:space="0" w:color="auto"/>
      </w:divBdr>
    </w:div>
    <w:div w:id="2037657388">
      <w:bodyDiv w:val="1"/>
      <w:marLeft w:val="0"/>
      <w:marRight w:val="0"/>
      <w:marTop w:val="0"/>
      <w:marBottom w:val="0"/>
      <w:divBdr>
        <w:top w:val="none" w:sz="0" w:space="0" w:color="auto"/>
        <w:left w:val="none" w:sz="0" w:space="0" w:color="auto"/>
        <w:bottom w:val="none" w:sz="0" w:space="0" w:color="auto"/>
        <w:right w:val="none" w:sz="0" w:space="0" w:color="auto"/>
      </w:divBdr>
    </w:div>
    <w:div w:id="205685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port.business.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asury.nsw.gov.au/si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epiol\OneDrive%20-%20Austrade\General\Projects\2212%20-%20State%20of%20Exporters\Accessible%20word%20version\State%20of%20Exporters%20Accessible%20Word%20Version.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3fdaa-479b-4334-9188-2bf4f588897d" xsi:nil="true"/>
    <lcf76f155ced4ddcb4097134ff3c332f xmlns="527f9d4f-6bf9-444c-81ba-06f3293929c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1EDAFCADD4FD47BF91CE47E1A6B945" ma:contentTypeVersion="18" ma:contentTypeDescription="Create a new document." ma:contentTypeScope="" ma:versionID="b36a3adeb6c1042b320109a56408c835">
  <xsd:schema xmlns:xsd="http://www.w3.org/2001/XMLSchema" xmlns:xs="http://www.w3.org/2001/XMLSchema" xmlns:p="http://schemas.microsoft.com/office/2006/metadata/properties" xmlns:ns1="http://schemas.microsoft.com/sharepoint/v3" xmlns:ns2="527f9d4f-6bf9-444c-81ba-06f3293929cc" xmlns:ns3="8403fdaa-479b-4334-9188-2bf4f588897d" targetNamespace="http://schemas.microsoft.com/office/2006/metadata/properties" ma:root="true" ma:fieldsID="d0764da269d539356e2987b630e0694c" ns1:_="" ns2:_="" ns3:_="">
    <xsd:import namespace="http://schemas.microsoft.com/sharepoint/v3"/>
    <xsd:import namespace="527f9d4f-6bf9-444c-81ba-06f3293929cc"/>
    <xsd:import namespace="8403fdaa-479b-4334-9188-2bf4f5888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f9d4f-6bf9-444c-81ba-06f32939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3fdaa-479b-4334-9188-2bf4f58889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7cd2cf-9bdd-4147-af53-d49f2e176e1d}" ma:internalName="TaxCatchAll" ma:showField="CatchAllData" ma:web="8403fdaa-479b-4334-9188-2bf4f5888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E9D5E-80EA-45EB-8CF6-C1C9621FB1DD}">
  <ds:schemaRefs>
    <ds:schemaRef ds:uri="http://schemas.microsoft.com/office/2006/metadata/properties"/>
    <ds:schemaRef ds:uri="http://schemas.microsoft.com/office/infopath/2007/PartnerControls"/>
    <ds:schemaRef ds:uri="8403fdaa-479b-4334-9188-2bf4f588897d"/>
    <ds:schemaRef ds:uri="527f9d4f-6bf9-444c-81ba-06f3293929cc"/>
    <ds:schemaRef ds:uri="http://schemas.microsoft.com/sharepoint/v3"/>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6C45B8AE-CA32-4CDD-BD4B-7D6BA6B6D55B}">
  <ds:schemaRefs>
    <ds:schemaRef ds:uri="http://schemas.microsoft.com/sharepoint/v3/contenttype/forms"/>
  </ds:schemaRefs>
</ds:datastoreItem>
</file>

<file path=customXml/itemProps4.xml><?xml version="1.0" encoding="utf-8"?>
<ds:datastoreItem xmlns:ds="http://schemas.openxmlformats.org/officeDocument/2006/customXml" ds:itemID="{553B768E-E060-46F0-9D9C-CB9FD5CB2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f9d4f-6bf9-444c-81ba-06f3293929cc"/>
    <ds:schemaRef ds:uri="8403fdaa-479b-4334-9188-2bf4f588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 of Exporters Accessible Word Version.dotx</Template>
  <TotalTime>42</TotalTime>
  <Pages>52</Pages>
  <Words>8685</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Australian State of Exporters Report 2022</vt:lpstr>
    </vt:vector>
  </TitlesOfParts>
  <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State of Exporters Report 2022</dc:title>
  <dc:subject/>
  <dc:creator>Andrea-Sepiol [Canberra]</dc:creator>
  <cp:keywords/>
  <dc:description/>
  <cp:lastModifiedBy>Carrie-Bengston [Sydney]</cp:lastModifiedBy>
  <cp:revision>34</cp:revision>
  <dcterms:created xsi:type="dcterms:W3CDTF">2023-01-30T04:42:00Z</dcterms:created>
  <dcterms:modified xsi:type="dcterms:W3CDTF">2023-02-02T05:48:00Z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0x010100FAE1E231E37ACD4185AEACA6D010973C</vt:lpwstr>
  </property>
  <property fmtid="{D5CDD505-2E9C-101B-9397-08002B2CF9AE}" pid="3" name="_dlc_DocIdItemGuid">
    <vt:lpwstr>ab5c0b2a-b273-4923-ab47-99f709318103</vt:lpwstr>
  </property>
  <property fmtid="{D5CDD505-2E9C-101B-9397-08002B2CF9AE}" pid="4" name="MediaServiceImageTags">
    <vt:lpwstr/>
  </property>
</Properties>
</file>