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Ex1.xml" ContentType="application/vnd.ms-office.chartex+xml"/>
  <Override PartName="/word/charts/style34.xml" ContentType="application/vnd.ms-office.chartstyle+xml"/>
  <Override PartName="/word/charts/colors34.xml" ContentType="application/vnd.ms-office.chartcolorstyle+xml"/>
  <Override PartName="/word/footer4.xml" ContentType="application/vnd.openxmlformats-officedocument.wordprocessingml.footer+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4.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5.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6.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7.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8.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49.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0.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1.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2.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3.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4.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5.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6.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7.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8.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59.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0.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1.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2.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3.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4.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5.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6.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7.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8.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69.xml" ContentType="application/vnd.openxmlformats-officedocument.drawingml.chart+xml"/>
  <Override PartName="/word/charts/style70.xml" ContentType="application/vnd.ms-office.chartstyle+xml"/>
  <Override PartName="/word/charts/colors70.xml" ContentType="application/vnd.ms-office.chartcolorstyle+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095C4" w14:textId="62793366" w:rsidR="00E16B19" w:rsidRPr="0020222C" w:rsidRDefault="00E16B19" w:rsidP="00E16B19">
      <w:pPr>
        <w:rPr>
          <w:highlight w:val="yellow"/>
        </w:rPr>
      </w:pPr>
    </w:p>
    <w:p w14:paraId="2A41DA3B" w14:textId="77777777" w:rsidR="00887047" w:rsidRPr="004F3C7E" w:rsidRDefault="00887047" w:rsidP="004F3C7E">
      <w:pPr>
        <w:pStyle w:val="TitlePageHeading"/>
      </w:pPr>
      <w:r w:rsidRPr="004F3C7E">
        <w:t>The Australia experience.</w:t>
      </w:r>
    </w:p>
    <w:p w14:paraId="3B5DC740" w14:textId="77777777" w:rsidR="00887047" w:rsidRPr="004F3C7E" w:rsidRDefault="00887047" w:rsidP="004F3C7E">
      <w:pPr>
        <w:pStyle w:val="TitlePageHeading"/>
      </w:pPr>
      <w:r w:rsidRPr="004F3C7E">
        <w:t>Perceptions of Australia’s Working Holiday Maker (WHM) program, 2019-2020</w:t>
      </w:r>
    </w:p>
    <w:p w14:paraId="2C894C53" w14:textId="77777777" w:rsidR="00887047" w:rsidRDefault="00887047" w:rsidP="00887047">
      <w:pPr>
        <w:spacing w:line="360" w:lineRule="auto"/>
        <w:rPr>
          <w:sz w:val="24"/>
        </w:rPr>
      </w:pPr>
    </w:p>
    <w:p w14:paraId="1D9C2E8A" w14:textId="660D6FDD" w:rsidR="00887047" w:rsidRDefault="00887047" w:rsidP="00887047">
      <w:pPr>
        <w:spacing w:line="360" w:lineRule="auto"/>
        <w:rPr>
          <w:sz w:val="24"/>
        </w:rPr>
      </w:pPr>
      <w:r>
        <w:rPr>
          <w:sz w:val="24"/>
        </w:rPr>
        <w:t xml:space="preserve">Ann-Louise </w:t>
      </w:r>
      <w:proofErr w:type="spellStart"/>
      <w:r>
        <w:rPr>
          <w:sz w:val="24"/>
        </w:rPr>
        <w:t>Hordacre</w:t>
      </w:r>
      <w:proofErr w:type="spellEnd"/>
      <w:r>
        <w:rPr>
          <w:sz w:val="24"/>
        </w:rPr>
        <w:t>, Cecilia Moretti, Hamish Gamble and Sarah Crossman</w:t>
      </w:r>
    </w:p>
    <w:p w14:paraId="0BB21477" w14:textId="77777777" w:rsidR="00887047" w:rsidRPr="00744066" w:rsidRDefault="00887047" w:rsidP="00887047">
      <w:pPr>
        <w:spacing w:line="360" w:lineRule="auto"/>
        <w:rPr>
          <w:sz w:val="24"/>
        </w:rPr>
      </w:pPr>
      <w:r w:rsidRPr="00744066">
        <w:rPr>
          <w:sz w:val="24"/>
        </w:rPr>
        <w:t>Australian Industrial Transformation Institute</w:t>
      </w:r>
    </w:p>
    <w:p w14:paraId="49C7D2C6" w14:textId="77777777" w:rsidR="00887047" w:rsidRPr="00C64FBB" w:rsidRDefault="00887047" w:rsidP="00887047">
      <w:pPr>
        <w:spacing w:line="360" w:lineRule="auto"/>
        <w:rPr>
          <w:sz w:val="24"/>
        </w:rPr>
      </w:pPr>
      <w:r>
        <w:rPr>
          <w:sz w:val="24"/>
        </w:rPr>
        <w:t>July</w:t>
      </w:r>
      <w:r w:rsidRPr="00744066">
        <w:rPr>
          <w:sz w:val="24"/>
        </w:rPr>
        <w:t xml:space="preserve"> 2021</w:t>
      </w:r>
    </w:p>
    <w:p w14:paraId="09B5C6E6" w14:textId="5643EDCB" w:rsidR="004F3C7E" w:rsidRDefault="004F3C7E">
      <w:pPr>
        <w:spacing w:before="0" w:after="200"/>
        <w:rPr>
          <w:highlight w:val="yellow"/>
        </w:rPr>
      </w:pPr>
      <w:r>
        <w:rPr>
          <w:highlight w:val="yellow"/>
        </w:rPr>
        <w:br w:type="page"/>
      </w:r>
    </w:p>
    <w:p w14:paraId="0B9543C0" w14:textId="77777777" w:rsidR="00E16B19" w:rsidRPr="00E328E4" w:rsidRDefault="00E16B19" w:rsidP="00E16B19">
      <w:pPr>
        <w:pStyle w:val="AcknowledgementsHeading"/>
      </w:pPr>
      <w:r w:rsidRPr="00E328E4">
        <w:lastRenderedPageBreak/>
        <w:t>Australian Industrial Transformation Institute</w:t>
      </w:r>
    </w:p>
    <w:p w14:paraId="7854C73B" w14:textId="77777777" w:rsidR="00E16B19" w:rsidRPr="00E328E4" w:rsidRDefault="00E16B19" w:rsidP="00E16B19">
      <w:pPr>
        <w:pStyle w:val="AcknowledgementsSub-head"/>
        <w:rPr>
          <w:rStyle w:val="AcknowledgementsSub-headChar"/>
          <w:b/>
        </w:rPr>
      </w:pPr>
      <w:r w:rsidRPr="00E328E4">
        <w:rPr>
          <w:rStyle w:val="AcknowledgementsSub-headChar"/>
          <w:b/>
        </w:rPr>
        <w:t>College of Business, Government and Law</w:t>
      </w:r>
    </w:p>
    <w:p w14:paraId="676C2242" w14:textId="77777777" w:rsidR="00E16B19" w:rsidRPr="00E328E4" w:rsidRDefault="00E16B19" w:rsidP="00E16B19">
      <w:pPr>
        <w:pStyle w:val="AcknowledgementsSub-head"/>
        <w:rPr>
          <w:rStyle w:val="AcknowledgementsSub-headChar"/>
          <w:b/>
        </w:rPr>
      </w:pPr>
      <w:r w:rsidRPr="00E328E4">
        <w:rPr>
          <w:rStyle w:val="AcknowledgementsSub-headChar"/>
          <w:b/>
        </w:rPr>
        <w:t>Flinders University of South Australia</w:t>
      </w:r>
    </w:p>
    <w:p w14:paraId="3A6B39AF" w14:textId="77777777" w:rsidR="00E16B19" w:rsidRPr="00E328E4" w:rsidRDefault="00E16B19" w:rsidP="00E16B19">
      <w:pPr>
        <w:pStyle w:val="Publishingpage"/>
        <w:rPr>
          <w:sz w:val="19"/>
        </w:rPr>
      </w:pPr>
      <w:r w:rsidRPr="00E328E4">
        <w:rPr>
          <w:sz w:val="19"/>
        </w:rPr>
        <w:t>1284 South Road</w:t>
      </w:r>
    </w:p>
    <w:p w14:paraId="3E90C425" w14:textId="77777777" w:rsidR="00E16B19" w:rsidRPr="00E328E4" w:rsidRDefault="00E16B19" w:rsidP="00E16B19">
      <w:pPr>
        <w:pStyle w:val="Publishingpage"/>
        <w:rPr>
          <w:sz w:val="19"/>
        </w:rPr>
      </w:pPr>
      <w:r w:rsidRPr="00E328E4">
        <w:rPr>
          <w:sz w:val="19"/>
        </w:rPr>
        <w:t>Clovelly Park</w:t>
      </w:r>
    </w:p>
    <w:p w14:paraId="52C1838D" w14:textId="77777777" w:rsidR="00E16B19" w:rsidRPr="00E328E4" w:rsidRDefault="00E16B19" w:rsidP="00E16B19">
      <w:pPr>
        <w:pStyle w:val="Publishingpage"/>
        <w:rPr>
          <w:sz w:val="19"/>
        </w:rPr>
      </w:pPr>
      <w:r w:rsidRPr="00E328E4">
        <w:rPr>
          <w:sz w:val="19"/>
        </w:rPr>
        <w:t>South Australia 5042</w:t>
      </w:r>
    </w:p>
    <w:p w14:paraId="64E09655" w14:textId="77777777" w:rsidR="00E16B19" w:rsidRPr="00E328E4" w:rsidRDefault="00E16B19" w:rsidP="00E16B19">
      <w:pPr>
        <w:pStyle w:val="Body-text"/>
      </w:pPr>
    </w:p>
    <w:p w14:paraId="16F41A1E" w14:textId="77777777" w:rsidR="00E16B19" w:rsidRPr="00E328E4" w:rsidRDefault="00CD5EE5" w:rsidP="00E16B19">
      <w:pPr>
        <w:pStyle w:val="Body-text"/>
      </w:pPr>
      <w:hyperlink r:id="rId13" w:history="1">
        <w:r w:rsidR="00E16B19" w:rsidRPr="00E328E4">
          <w:rPr>
            <w:rStyle w:val="Hyperlink"/>
          </w:rPr>
          <w:t>www.flinders.edu.au/aiti</w:t>
        </w:r>
      </w:hyperlink>
      <w:r w:rsidR="00E16B19" w:rsidRPr="00E328E4">
        <w:t xml:space="preserve"> </w:t>
      </w:r>
    </w:p>
    <w:p w14:paraId="2D9A9F35" w14:textId="77777777" w:rsidR="00E16B19" w:rsidRPr="0020222C" w:rsidRDefault="00E16B19" w:rsidP="00E16B19">
      <w:pPr>
        <w:pStyle w:val="Body-text"/>
        <w:rPr>
          <w:highlight w:val="yellow"/>
        </w:rPr>
      </w:pPr>
    </w:p>
    <w:p w14:paraId="1FDA7179" w14:textId="24DE16D9" w:rsidR="00E16B19" w:rsidRPr="00A36C05" w:rsidRDefault="00E16B19" w:rsidP="00E16B19">
      <w:pPr>
        <w:pStyle w:val="Publishingpage"/>
        <w:rPr>
          <w:rStyle w:val="Hyperlink"/>
          <w:rFonts w:ascii="Arial" w:eastAsia="Arial" w:hAnsi="Arial" w:cs="Times New Roman"/>
        </w:rPr>
      </w:pPr>
      <w:r w:rsidRPr="00A36C05">
        <w:rPr>
          <w:rStyle w:val="Hyperlink"/>
          <w:rFonts w:ascii="Arial" w:eastAsia="Arial" w:hAnsi="Arial" w:cs="Times New Roman"/>
        </w:rPr>
        <w:t>ISBN:</w:t>
      </w:r>
      <w:r w:rsidRPr="00A36C05">
        <w:rPr>
          <w:rStyle w:val="Hyperlink"/>
          <w:rFonts w:ascii="Arial" w:eastAsia="Arial" w:hAnsi="Arial" w:cs="Times New Roman"/>
        </w:rPr>
        <w:tab/>
        <w:t xml:space="preserve"> </w:t>
      </w:r>
      <w:r w:rsidR="00A36C05" w:rsidRPr="00A36C05">
        <w:t>978-0-6488941-3-1</w:t>
      </w:r>
    </w:p>
    <w:p w14:paraId="1A3FF1CC" w14:textId="77777777" w:rsidR="00E16B19" w:rsidRPr="00A36C05" w:rsidRDefault="00E16B19" w:rsidP="00E16B19">
      <w:pPr>
        <w:pStyle w:val="Publishingpage"/>
        <w:rPr>
          <w:rStyle w:val="Hyperlink"/>
          <w:rFonts w:ascii="Arial" w:eastAsia="Arial" w:hAnsi="Arial" w:cs="Times New Roman"/>
        </w:rPr>
      </w:pPr>
    </w:p>
    <w:p w14:paraId="222BD37D" w14:textId="77777777" w:rsidR="00E16B19" w:rsidRPr="00A36C05" w:rsidRDefault="00E16B19" w:rsidP="00E16B19">
      <w:pPr>
        <w:pStyle w:val="Publishingpage"/>
        <w:rPr>
          <w:rStyle w:val="Hyperlink"/>
          <w:rFonts w:ascii="Arial" w:eastAsia="Arial" w:hAnsi="Arial" w:cs="Times New Roman"/>
        </w:rPr>
      </w:pPr>
      <w:r w:rsidRPr="00A36C05">
        <w:rPr>
          <w:rStyle w:val="Hyperlink"/>
          <w:rFonts w:ascii="Arial" w:eastAsia="Arial" w:hAnsi="Arial" w:cs="Times New Roman"/>
        </w:rPr>
        <w:t>URL:</w:t>
      </w:r>
      <w:r w:rsidRPr="00A36C05">
        <w:rPr>
          <w:rStyle w:val="Hyperlink"/>
          <w:rFonts w:ascii="Arial" w:eastAsia="Arial" w:hAnsi="Arial" w:cs="Times New Roman"/>
        </w:rPr>
        <w:tab/>
      </w:r>
      <w:hyperlink r:id="rId14" w:history="1">
        <w:r w:rsidRPr="00A36C05">
          <w:rPr>
            <w:rStyle w:val="Hyperlink"/>
            <w:rFonts w:ascii="Arial" w:eastAsia="Arial" w:hAnsi="Arial" w:cs="Times New Roman"/>
          </w:rPr>
          <w:t>http://www.flinders.edu.au/aiti/</w:t>
        </w:r>
      </w:hyperlink>
      <w:r w:rsidRPr="00A36C05">
        <w:rPr>
          <w:rStyle w:val="Hyperlink"/>
          <w:rFonts w:ascii="Arial" w:eastAsia="Arial" w:hAnsi="Arial" w:cs="Times New Roman"/>
        </w:rPr>
        <w:t xml:space="preserve"> </w:t>
      </w:r>
    </w:p>
    <w:p w14:paraId="065D149E" w14:textId="77777777" w:rsidR="00E16B19" w:rsidRPr="00A36C05" w:rsidRDefault="00E16B19" w:rsidP="00E16B19">
      <w:pPr>
        <w:pStyle w:val="Publishingpage"/>
        <w:rPr>
          <w:rStyle w:val="Hyperlink"/>
          <w:rFonts w:ascii="Arial" w:eastAsia="Arial" w:hAnsi="Arial" w:cs="Times New Roman"/>
        </w:rPr>
      </w:pPr>
    </w:p>
    <w:p w14:paraId="3BEC9956" w14:textId="4EECA3C7" w:rsidR="00E16B19" w:rsidRPr="00A36C05" w:rsidRDefault="00E16B19" w:rsidP="00E16B19">
      <w:pPr>
        <w:pStyle w:val="Publishingpage"/>
        <w:rPr>
          <w:rStyle w:val="Hyperlink"/>
          <w:rFonts w:ascii="Arial" w:eastAsia="Arial" w:hAnsi="Arial" w:cs="Times New Roman"/>
        </w:rPr>
      </w:pPr>
      <w:r w:rsidRPr="00A36C05">
        <w:rPr>
          <w:rStyle w:val="Hyperlink"/>
          <w:rFonts w:ascii="Arial" w:eastAsia="Arial" w:hAnsi="Arial" w:cs="Times New Roman"/>
        </w:rPr>
        <w:t>CAT:</w:t>
      </w:r>
      <w:r w:rsidRPr="00A36C05">
        <w:rPr>
          <w:rStyle w:val="Hyperlink"/>
          <w:rFonts w:ascii="Arial" w:eastAsia="Arial" w:hAnsi="Arial" w:cs="Times New Roman"/>
        </w:rPr>
        <w:tab/>
        <w:t xml:space="preserve"> AITI20</w:t>
      </w:r>
      <w:r w:rsidR="00EE19E8" w:rsidRPr="00A36C05">
        <w:rPr>
          <w:rStyle w:val="Hyperlink"/>
          <w:rFonts w:ascii="Arial" w:eastAsia="Arial" w:hAnsi="Arial" w:cs="Times New Roman"/>
        </w:rPr>
        <w:t>21</w:t>
      </w:r>
      <w:r w:rsidR="00A36C05" w:rsidRPr="00A36C05">
        <w:rPr>
          <w:rStyle w:val="Hyperlink"/>
          <w:rFonts w:ascii="Arial" w:eastAsia="Arial" w:hAnsi="Arial" w:cs="Times New Roman"/>
        </w:rPr>
        <w:t>04</w:t>
      </w:r>
    </w:p>
    <w:p w14:paraId="7EC34AF6" w14:textId="77777777" w:rsidR="00E16B19" w:rsidRPr="00E328E4" w:rsidRDefault="00E16B19" w:rsidP="00E16B19">
      <w:pPr>
        <w:pStyle w:val="Body-text"/>
        <w:rPr>
          <w:rStyle w:val="AcknowledgementsSub-headChar"/>
          <w:b w:val="0"/>
        </w:rPr>
      </w:pPr>
    </w:p>
    <w:p w14:paraId="251FAD97" w14:textId="77777777" w:rsidR="00E16B19" w:rsidRPr="00E328E4" w:rsidRDefault="00E16B19" w:rsidP="00E16B19">
      <w:pPr>
        <w:rPr>
          <w:rStyle w:val="AcknowledgementsSub-headChar"/>
          <w:b w:val="0"/>
          <w:color w:val="auto"/>
        </w:rPr>
      </w:pPr>
      <w:r w:rsidRPr="00E328E4">
        <w:rPr>
          <w:rStyle w:val="AcknowledgementsSub-headChar"/>
          <w:b w:val="0"/>
          <w:color w:val="auto"/>
        </w:rPr>
        <w:t>Suggested citation:</w:t>
      </w:r>
    </w:p>
    <w:p w14:paraId="4B5334D3" w14:textId="77777777" w:rsidR="00E16B19" w:rsidRPr="00E328E4" w:rsidRDefault="00E16B19" w:rsidP="00E16B19">
      <w:pPr>
        <w:rPr>
          <w:rStyle w:val="AcknowledgementsSub-headChar"/>
          <w:b w:val="0"/>
          <w:color w:val="auto"/>
        </w:rPr>
      </w:pPr>
    </w:p>
    <w:p w14:paraId="521E5A9E" w14:textId="022A7B0D" w:rsidR="00E16B19" w:rsidRPr="00D71B1F" w:rsidRDefault="00E328E4" w:rsidP="00E16B19">
      <w:pPr>
        <w:rPr>
          <w:rStyle w:val="AcknowledgementsSub-headChar"/>
          <w:rFonts w:asciiTheme="minorHAnsi" w:eastAsiaTheme="minorHAnsi" w:hAnsiTheme="minorHAnsi" w:cstheme="minorBidi"/>
          <w:b w:val="0"/>
          <w:color w:val="auto"/>
          <w:lang w:val="en-US"/>
        </w:rPr>
      </w:pPr>
      <w:proofErr w:type="spellStart"/>
      <w:r w:rsidRPr="00D71B1F">
        <w:rPr>
          <w:rStyle w:val="AcknowledgementsSub-headChar"/>
          <w:b w:val="0"/>
          <w:color w:val="auto"/>
        </w:rPr>
        <w:t>Hordacre</w:t>
      </w:r>
      <w:proofErr w:type="spellEnd"/>
      <w:r w:rsidRPr="00D71B1F">
        <w:rPr>
          <w:rStyle w:val="AcknowledgementsSub-headChar"/>
          <w:b w:val="0"/>
          <w:color w:val="auto"/>
        </w:rPr>
        <w:t>, A.L, Moretti, C.</w:t>
      </w:r>
      <w:r w:rsidR="004B37E4" w:rsidRPr="00D71B1F">
        <w:rPr>
          <w:rStyle w:val="AcknowledgementsSub-headChar"/>
          <w:b w:val="0"/>
          <w:color w:val="auto"/>
        </w:rPr>
        <w:t>, Gamble, H.,</w:t>
      </w:r>
      <w:r w:rsidRPr="00D71B1F">
        <w:rPr>
          <w:rStyle w:val="AcknowledgementsSub-headChar"/>
          <w:b w:val="0"/>
          <w:color w:val="auto"/>
        </w:rPr>
        <w:t xml:space="preserve"> &amp; Crossman, S</w:t>
      </w:r>
      <w:r w:rsidR="00E16B19" w:rsidRPr="00D71B1F">
        <w:rPr>
          <w:rStyle w:val="AcknowledgementsSub-headChar"/>
          <w:b w:val="0"/>
          <w:color w:val="auto"/>
        </w:rPr>
        <w:t>. 20</w:t>
      </w:r>
      <w:r w:rsidR="00EE19E8" w:rsidRPr="00D71B1F">
        <w:rPr>
          <w:rStyle w:val="AcknowledgementsSub-headChar"/>
          <w:b w:val="0"/>
          <w:color w:val="auto"/>
        </w:rPr>
        <w:t>21</w:t>
      </w:r>
      <w:r w:rsidR="00E16B19" w:rsidRPr="00D71B1F">
        <w:rPr>
          <w:rStyle w:val="AcknowledgementsSub-headChar"/>
          <w:b w:val="0"/>
          <w:color w:val="auto"/>
        </w:rPr>
        <w:t xml:space="preserve">. </w:t>
      </w:r>
      <w:r w:rsidR="00D71B1F" w:rsidRPr="00D71B1F">
        <w:rPr>
          <w:i/>
          <w:iCs/>
          <w:lang w:val="en-US"/>
        </w:rPr>
        <w:t xml:space="preserve">The Australia experience. </w:t>
      </w:r>
      <w:r w:rsidR="00A622F6">
        <w:rPr>
          <w:i/>
          <w:iCs/>
          <w:lang w:val="en-US"/>
        </w:rPr>
        <w:t>Perceptions</w:t>
      </w:r>
      <w:r w:rsidR="00D71B1F" w:rsidRPr="00D71B1F">
        <w:rPr>
          <w:i/>
          <w:iCs/>
          <w:lang w:val="en-US"/>
        </w:rPr>
        <w:t xml:space="preserve"> of Australia’s Working Holiday Maker (WHM) </w:t>
      </w:r>
      <w:r w:rsidR="002344C4">
        <w:rPr>
          <w:i/>
          <w:iCs/>
          <w:lang w:val="en-US"/>
        </w:rPr>
        <w:t>program</w:t>
      </w:r>
      <w:r w:rsidR="00D71B1F" w:rsidRPr="00D71B1F">
        <w:rPr>
          <w:i/>
          <w:iCs/>
          <w:lang w:val="en-US"/>
        </w:rPr>
        <w:t>, 2019-2020</w:t>
      </w:r>
      <w:r w:rsidR="00E16B19" w:rsidRPr="00D71B1F">
        <w:rPr>
          <w:rStyle w:val="AcknowledgementsSub-headChar"/>
          <w:b w:val="0"/>
          <w:color w:val="auto"/>
        </w:rPr>
        <w:t>. Adelaide: Australian Industrial Transformation Institute, Flinders University of South Australia.</w:t>
      </w:r>
    </w:p>
    <w:p w14:paraId="718742AD" w14:textId="77777777" w:rsidR="00E16B19" w:rsidRPr="0020222C" w:rsidRDefault="00E16B19" w:rsidP="00E16B19">
      <w:pPr>
        <w:rPr>
          <w:rStyle w:val="AcknowledgementsSub-headChar"/>
          <w:b w:val="0"/>
          <w:color w:val="auto"/>
          <w:highlight w:val="yellow"/>
        </w:rPr>
      </w:pPr>
    </w:p>
    <w:p w14:paraId="6D15DA89" w14:textId="77777777" w:rsidR="00E16B19" w:rsidRPr="0020222C" w:rsidRDefault="00E16B19" w:rsidP="00E16B19">
      <w:pPr>
        <w:rPr>
          <w:rStyle w:val="AcknowledgementsSub-headChar"/>
          <w:b w:val="0"/>
          <w:color w:val="auto"/>
          <w:highlight w:val="yellow"/>
        </w:rPr>
      </w:pPr>
    </w:p>
    <w:p w14:paraId="7A6DA4FD" w14:textId="77777777" w:rsidR="00E16B19" w:rsidRPr="00E328E4" w:rsidRDefault="00E16B19" w:rsidP="00E16B19">
      <w:pPr>
        <w:pStyle w:val="Publishingpage"/>
        <w:rPr>
          <w:rStyle w:val="AcknowledgementsSub-headChar"/>
          <w:b w:val="0"/>
        </w:rPr>
      </w:pPr>
    </w:p>
    <w:p w14:paraId="5B5F7B6A" w14:textId="77777777" w:rsidR="00E16B19" w:rsidRPr="00E328E4" w:rsidRDefault="00E16B19" w:rsidP="00E16B19">
      <w:pPr>
        <w:rPr>
          <w:rStyle w:val="AcknowledgementsSub-headChar"/>
          <w:b w:val="0"/>
          <w:color w:val="auto"/>
        </w:rPr>
      </w:pPr>
    </w:p>
    <w:p w14:paraId="790E74EF" w14:textId="77777777" w:rsidR="00E16B19" w:rsidRPr="00E328E4" w:rsidRDefault="00E16B19" w:rsidP="00E16B19">
      <w:pPr>
        <w:rPr>
          <w:rStyle w:val="AcknowledgementsSub-headChar"/>
          <w:b w:val="0"/>
          <w:color w:val="auto"/>
        </w:rPr>
      </w:pPr>
    </w:p>
    <w:p w14:paraId="3AA8F673" w14:textId="6A192975" w:rsidR="00E16B19" w:rsidRDefault="00E16B19" w:rsidP="00E16B19">
      <w:pPr>
        <w:rPr>
          <w:rStyle w:val="AcknowledgementsSub-headChar"/>
          <w:b w:val="0"/>
          <w:i/>
          <w:color w:val="auto"/>
        </w:rPr>
      </w:pPr>
      <w:r w:rsidRPr="00E328E4">
        <w:rPr>
          <w:rStyle w:val="AcknowledgementsSub-headChar"/>
          <w:b w:val="0"/>
          <w:i/>
          <w:color w:val="auto"/>
        </w:rPr>
        <w:t>The Australian Industrial Transformation Institute (AITI) has taken care to ensure the material presented in this report is accurate and correct. However, AITI does not guarantee and accepts no legal liability or responsibility connected to the use or interpretation of data or material contained in this report.</w:t>
      </w:r>
    </w:p>
    <w:p w14:paraId="62585DAB" w14:textId="2AC249B2" w:rsidR="00FC1259" w:rsidRPr="00E328E4" w:rsidRDefault="00FC1259" w:rsidP="00E16B19">
      <w:pPr>
        <w:rPr>
          <w:rStyle w:val="AcknowledgementsSub-headChar"/>
          <w:b w:val="0"/>
          <w:i/>
          <w:color w:val="auto"/>
        </w:rPr>
      </w:pPr>
      <w:r w:rsidRPr="00FC1259">
        <w:rPr>
          <w:rStyle w:val="AcknowledgementsSub-headChar"/>
          <w:b w:val="0"/>
          <w:i/>
          <w:color w:val="auto"/>
        </w:rPr>
        <w:t>The authors wish to acknowledge the support of Austrade in preparing this report. In particular</w:t>
      </w:r>
      <w:r>
        <w:rPr>
          <w:rStyle w:val="AcknowledgementsSub-headChar"/>
          <w:b w:val="0"/>
          <w:i/>
          <w:color w:val="auto"/>
        </w:rPr>
        <w:t xml:space="preserve"> </w:t>
      </w:r>
      <w:r w:rsidRPr="00FC1259">
        <w:rPr>
          <w:rStyle w:val="AcknowledgementsSub-headChar"/>
          <w:b w:val="0"/>
          <w:i/>
          <w:color w:val="auto"/>
        </w:rPr>
        <w:t xml:space="preserve">we would like to thank Jesse </w:t>
      </w:r>
      <w:proofErr w:type="spellStart"/>
      <w:r w:rsidRPr="00FC1259">
        <w:rPr>
          <w:rStyle w:val="AcknowledgementsSub-headChar"/>
          <w:b w:val="0"/>
          <w:i/>
          <w:color w:val="auto"/>
        </w:rPr>
        <w:t>Adih</w:t>
      </w:r>
      <w:proofErr w:type="spellEnd"/>
      <w:r w:rsidRPr="00FC1259">
        <w:rPr>
          <w:rStyle w:val="AcknowledgementsSub-headChar"/>
          <w:b w:val="0"/>
          <w:i/>
          <w:color w:val="auto"/>
        </w:rPr>
        <w:t>, Nathan Davis, Lucy O’Connor and David Smith for the extensive advice they provided throughout this project</w:t>
      </w:r>
    </w:p>
    <w:p w14:paraId="5C30E46A" w14:textId="09715948" w:rsidR="00AE6A53" w:rsidRPr="00E328E4" w:rsidRDefault="00AE6A53" w:rsidP="00E16B19">
      <w:pPr>
        <w:rPr>
          <w:rStyle w:val="AcknowledgementsSub-headChar"/>
          <w:b w:val="0"/>
          <w:i/>
          <w:color w:val="auto"/>
        </w:rPr>
      </w:pPr>
      <w:r w:rsidRPr="00B125D0">
        <w:rPr>
          <w:rFonts w:ascii="Arial" w:hAnsi="Arial" w:cs="Arial"/>
          <w:i/>
          <w:sz w:val="20"/>
          <w:szCs w:val="20"/>
        </w:rPr>
        <w:t>The views expressed in this report are those of the authors and do not necessarily represent those of the Department of Home Affairs</w:t>
      </w:r>
      <w:r w:rsidR="0096407A">
        <w:rPr>
          <w:rFonts w:ascii="Arial" w:hAnsi="Arial" w:cs="Arial"/>
          <w:i/>
          <w:iCs/>
          <w:sz w:val="20"/>
          <w:szCs w:val="20"/>
        </w:rPr>
        <w:t xml:space="preserve"> or </w:t>
      </w:r>
      <w:r w:rsidR="0009316F">
        <w:rPr>
          <w:rFonts w:ascii="Arial" w:hAnsi="Arial" w:cs="Arial"/>
          <w:i/>
          <w:iCs/>
          <w:sz w:val="20"/>
          <w:szCs w:val="20"/>
        </w:rPr>
        <w:t>the Australian Trade and Investment Commission (Austrade)</w:t>
      </w:r>
      <w:r w:rsidRPr="00B125D0">
        <w:rPr>
          <w:rFonts w:ascii="Arial" w:hAnsi="Arial" w:cs="Arial"/>
          <w:i/>
          <w:iCs/>
          <w:sz w:val="20"/>
          <w:szCs w:val="20"/>
        </w:rPr>
        <w:t>.</w:t>
      </w:r>
    </w:p>
    <w:p w14:paraId="7F037CE7" w14:textId="77777777" w:rsidR="00E16B19" w:rsidRPr="00E328E4" w:rsidRDefault="00E16B19" w:rsidP="00E16B19"/>
    <w:p w14:paraId="43DBB609" w14:textId="77777777" w:rsidR="00E16B19" w:rsidRPr="0020222C" w:rsidRDefault="00E16B19" w:rsidP="00D56E63">
      <w:pPr>
        <w:pStyle w:val="TOCHeading"/>
        <w:jc w:val="left"/>
        <w:rPr>
          <w:highlight w:val="yellow"/>
        </w:rPr>
        <w:sectPr w:rsidR="00E16B19" w:rsidRPr="0020222C" w:rsidSect="00A730BA">
          <w:footerReference w:type="default" r:id="rId15"/>
          <w:type w:val="oddPage"/>
          <w:pgSz w:w="11906" w:h="16838"/>
          <w:pgMar w:top="1440" w:right="1440" w:bottom="1440" w:left="1440" w:header="708" w:footer="708" w:gutter="0"/>
          <w:pgNumType w:fmt="lowerRoman" w:start="1"/>
          <w:cols w:space="708"/>
          <w:titlePg/>
          <w:docGrid w:linePitch="360"/>
        </w:sectPr>
      </w:pPr>
    </w:p>
    <w:p w14:paraId="592EDADE" w14:textId="77777777" w:rsidR="00E16B19" w:rsidRPr="00E52203" w:rsidRDefault="00E16B19" w:rsidP="00E16B19">
      <w:pPr>
        <w:pStyle w:val="TOCHeading"/>
      </w:pPr>
      <w:r w:rsidRPr="00E52203">
        <w:lastRenderedPageBreak/>
        <w:t>Contents</w:t>
      </w:r>
    </w:p>
    <w:p w14:paraId="626BD1D0" w14:textId="4806BEB9" w:rsidR="00FA0933" w:rsidRDefault="00E16B19">
      <w:pPr>
        <w:pStyle w:val="TOC1"/>
        <w:tabs>
          <w:tab w:val="right" w:leader="dot" w:pos="9016"/>
        </w:tabs>
        <w:rPr>
          <w:rFonts w:eastAsiaTheme="minorEastAsia" w:cstheme="minorBidi"/>
          <w:b w:val="0"/>
          <w:bCs w:val="0"/>
          <w:caps w:val="0"/>
          <w:noProof/>
          <w:sz w:val="22"/>
          <w:szCs w:val="22"/>
          <w:lang w:eastAsia="en-AU"/>
        </w:rPr>
      </w:pPr>
      <w:r w:rsidRPr="0020222C">
        <w:rPr>
          <w:highlight w:val="yellow"/>
        </w:rPr>
        <w:fldChar w:fldCharType="begin"/>
      </w:r>
      <w:r w:rsidRPr="0020222C">
        <w:rPr>
          <w:highlight w:val="yellow"/>
        </w:rPr>
        <w:instrText xml:space="preserve"> TOC \o "1-3" \h \z \u </w:instrText>
      </w:r>
      <w:r w:rsidRPr="0020222C">
        <w:rPr>
          <w:highlight w:val="yellow"/>
        </w:rPr>
        <w:fldChar w:fldCharType="separate"/>
      </w:r>
      <w:hyperlink w:anchor="_Toc75878433" w:history="1">
        <w:r w:rsidR="00FA0933" w:rsidRPr="00176680">
          <w:rPr>
            <w:rStyle w:val="Hyperlink"/>
            <w:noProof/>
          </w:rPr>
          <w:t>Executive Summary</w:t>
        </w:r>
        <w:r w:rsidR="00FA0933">
          <w:rPr>
            <w:noProof/>
            <w:webHidden/>
          </w:rPr>
          <w:tab/>
        </w:r>
        <w:r w:rsidR="00FA0933">
          <w:rPr>
            <w:noProof/>
            <w:webHidden/>
          </w:rPr>
          <w:fldChar w:fldCharType="begin"/>
        </w:r>
        <w:r w:rsidR="00FA0933">
          <w:rPr>
            <w:noProof/>
            <w:webHidden/>
          </w:rPr>
          <w:instrText xml:space="preserve"> PAGEREF _Toc75878433 \h </w:instrText>
        </w:r>
        <w:r w:rsidR="00FA0933">
          <w:rPr>
            <w:noProof/>
            <w:webHidden/>
          </w:rPr>
        </w:r>
        <w:r w:rsidR="00FA0933">
          <w:rPr>
            <w:noProof/>
            <w:webHidden/>
          </w:rPr>
          <w:fldChar w:fldCharType="separate"/>
        </w:r>
        <w:r w:rsidR="00F22012">
          <w:rPr>
            <w:noProof/>
            <w:webHidden/>
          </w:rPr>
          <w:t>vii</w:t>
        </w:r>
        <w:r w:rsidR="00FA0933">
          <w:rPr>
            <w:noProof/>
            <w:webHidden/>
          </w:rPr>
          <w:fldChar w:fldCharType="end"/>
        </w:r>
      </w:hyperlink>
    </w:p>
    <w:p w14:paraId="5D5D061B" w14:textId="0C3ED814"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34" w:history="1">
        <w:r w:rsidR="00FA0933" w:rsidRPr="00176680">
          <w:rPr>
            <w:rStyle w:val="Hyperlink"/>
            <w:noProof/>
          </w:rPr>
          <w:t>1</w:t>
        </w:r>
        <w:r w:rsidR="00FA0933">
          <w:rPr>
            <w:rFonts w:eastAsiaTheme="minorEastAsia" w:cstheme="minorBidi"/>
            <w:b w:val="0"/>
            <w:bCs w:val="0"/>
            <w:caps w:val="0"/>
            <w:noProof/>
            <w:sz w:val="22"/>
            <w:szCs w:val="22"/>
            <w:lang w:eastAsia="en-AU"/>
          </w:rPr>
          <w:tab/>
        </w:r>
        <w:r w:rsidR="00FA0933" w:rsidRPr="00176680">
          <w:rPr>
            <w:rStyle w:val="Hyperlink"/>
            <w:noProof/>
          </w:rPr>
          <w:t>Introduction</w:t>
        </w:r>
        <w:r w:rsidR="00FA0933">
          <w:rPr>
            <w:noProof/>
            <w:webHidden/>
          </w:rPr>
          <w:tab/>
        </w:r>
        <w:r w:rsidR="00FA0933">
          <w:rPr>
            <w:noProof/>
            <w:webHidden/>
          </w:rPr>
          <w:fldChar w:fldCharType="begin"/>
        </w:r>
        <w:r w:rsidR="00FA0933">
          <w:rPr>
            <w:noProof/>
            <w:webHidden/>
          </w:rPr>
          <w:instrText xml:space="preserve"> PAGEREF _Toc75878434 \h </w:instrText>
        </w:r>
        <w:r w:rsidR="00FA0933">
          <w:rPr>
            <w:noProof/>
            <w:webHidden/>
          </w:rPr>
        </w:r>
        <w:r w:rsidR="00FA0933">
          <w:rPr>
            <w:noProof/>
            <w:webHidden/>
          </w:rPr>
          <w:fldChar w:fldCharType="separate"/>
        </w:r>
        <w:r w:rsidR="00F22012">
          <w:rPr>
            <w:noProof/>
            <w:webHidden/>
          </w:rPr>
          <w:t>1</w:t>
        </w:r>
        <w:r w:rsidR="00FA0933">
          <w:rPr>
            <w:noProof/>
            <w:webHidden/>
          </w:rPr>
          <w:fldChar w:fldCharType="end"/>
        </w:r>
      </w:hyperlink>
    </w:p>
    <w:p w14:paraId="54C02913" w14:textId="6D947E27"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35" w:history="1">
        <w:r w:rsidR="00FA0933" w:rsidRPr="00176680">
          <w:rPr>
            <w:rStyle w:val="Hyperlink"/>
            <w:noProof/>
          </w:rPr>
          <w:t>2</w:t>
        </w:r>
        <w:r w:rsidR="00FA0933">
          <w:rPr>
            <w:rFonts w:eastAsiaTheme="minorEastAsia" w:cstheme="minorBidi"/>
            <w:b w:val="0"/>
            <w:bCs w:val="0"/>
            <w:caps w:val="0"/>
            <w:noProof/>
            <w:sz w:val="22"/>
            <w:szCs w:val="22"/>
            <w:lang w:eastAsia="en-AU"/>
          </w:rPr>
          <w:tab/>
        </w:r>
        <w:r w:rsidR="00FA0933" w:rsidRPr="00176680">
          <w:rPr>
            <w:rStyle w:val="Hyperlink"/>
            <w:noProof/>
          </w:rPr>
          <w:t>Overview of the WHM program</w:t>
        </w:r>
        <w:r w:rsidR="00FA0933">
          <w:rPr>
            <w:noProof/>
            <w:webHidden/>
          </w:rPr>
          <w:tab/>
        </w:r>
        <w:r w:rsidR="00FA0933">
          <w:rPr>
            <w:noProof/>
            <w:webHidden/>
          </w:rPr>
          <w:fldChar w:fldCharType="begin"/>
        </w:r>
        <w:r w:rsidR="00FA0933">
          <w:rPr>
            <w:noProof/>
            <w:webHidden/>
          </w:rPr>
          <w:instrText xml:space="preserve"> PAGEREF _Toc75878435 \h </w:instrText>
        </w:r>
        <w:r w:rsidR="00FA0933">
          <w:rPr>
            <w:noProof/>
            <w:webHidden/>
          </w:rPr>
        </w:r>
        <w:r w:rsidR="00FA0933">
          <w:rPr>
            <w:noProof/>
            <w:webHidden/>
          </w:rPr>
          <w:fldChar w:fldCharType="separate"/>
        </w:r>
        <w:r w:rsidR="00F22012">
          <w:rPr>
            <w:noProof/>
            <w:webHidden/>
          </w:rPr>
          <w:t>2</w:t>
        </w:r>
        <w:r w:rsidR="00FA0933">
          <w:rPr>
            <w:noProof/>
            <w:webHidden/>
          </w:rPr>
          <w:fldChar w:fldCharType="end"/>
        </w:r>
      </w:hyperlink>
    </w:p>
    <w:p w14:paraId="6AF4B3FD" w14:textId="66B23616"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36" w:history="1">
        <w:r w:rsidR="00FA0933" w:rsidRPr="00176680">
          <w:rPr>
            <w:rStyle w:val="Hyperlink"/>
            <w:noProof/>
          </w:rPr>
          <w:t>2.1.1</w:t>
        </w:r>
        <w:r w:rsidR="00FA0933">
          <w:rPr>
            <w:rFonts w:eastAsiaTheme="minorEastAsia" w:cstheme="minorBidi"/>
            <w:i w:val="0"/>
            <w:iCs w:val="0"/>
            <w:noProof/>
            <w:sz w:val="22"/>
            <w:szCs w:val="22"/>
            <w:lang w:eastAsia="en-AU"/>
          </w:rPr>
          <w:tab/>
        </w:r>
        <w:r w:rsidR="00FA0933" w:rsidRPr="00176680">
          <w:rPr>
            <w:rStyle w:val="Hyperlink"/>
            <w:noProof/>
          </w:rPr>
          <w:t>Working Holiday visa (subclass 417)</w:t>
        </w:r>
        <w:r w:rsidR="00FA0933">
          <w:rPr>
            <w:noProof/>
            <w:webHidden/>
          </w:rPr>
          <w:tab/>
        </w:r>
        <w:r w:rsidR="00FA0933">
          <w:rPr>
            <w:noProof/>
            <w:webHidden/>
          </w:rPr>
          <w:fldChar w:fldCharType="begin"/>
        </w:r>
        <w:r w:rsidR="00FA0933">
          <w:rPr>
            <w:noProof/>
            <w:webHidden/>
          </w:rPr>
          <w:instrText xml:space="preserve"> PAGEREF _Toc75878436 \h </w:instrText>
        </w:r>
        <w:r w:rsidR="00FA0933">
          <w:rPr>
            <w:noProof/>
            <w:webHidden/>
          </w:rPr>
        </w:r>
        <w:r w:rsidR="00FA0933">
          <w:rPr>
            <w:noProof/>
            <w:webHidden/>
          </w:rPr>
          <w:fldChar w:fldCharType="separate"/>
        </w:r>
        <w:r w:rsidR="00F22012">
          <w:rPr>
            <w:noProof/>
            <w:webHidden/>
          </w:rPr>
          <w:t>2</w:t>
        </w:r>
        <w:r w:rsidR="00FA0933">
          <w:rPr>
            <w:noProof/>
            <w:webHidden/>
          </w:rPr>
          <w:fldChar w:fldCharType="end"/>
        </w:r>
      </w:hyperlink>
    </w:p>
    <w:p w14:paraId="48A9D4F0" w14:textId="55917A2F"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37" w:history="1">
        <w:r w:rsidR="00FA0933" w:rsidRPr="00176680">
          <w:rPr>
            <w:rStyle w:val="Hyperlink"/>
            <w:noProof/>
          </w:rPr>
          <w:t>2.1.2</w:t>
        </w:r>
        <w:r w:rsidR="00FA0933">
          <w:rPr>
            <w:rFonts w:eastAsiaTheme="minorEastAsia" w:cstheme="minorBidi"/>
            <w:i w:val="0"/>
            <w:iCs w:val="0"/>
            <w:noProof/>
            <w:sz w:val="22"/>
            <w:szCs w:val="22"/>
            <w:lang w:eastAsia="en-AU"/>
          </w:rPr>
          <w:tab/>
        </w:r>
        <w:r w:rsidR="00FA0933" w:rsidRPr="00176680">
          <w:rPr>
            <w:rStyle w:val="Hyperlink"/>
            <w:noProof/>
          </w:rPr>
          <w:t>Work and Holiday visa (subclass 462)</w:t>
        </w:r>
        <w:r w:rsidR="00FA0933">
          <w:rPr>
            <w:noProof/>
            <w:webHidden/>
          </w:rPr>
          <w:tab/>
        </w:r>
        <w:r w:rsidR="00FA0933">
          <w:rPr>
            <w:noProof/>
            <w:webHidden/>
          </w:rPr>
          <w:fldChar w:fldCharType="begin"/>
        </w:r>
        <w:r w:rsidR="00FA0933">
          <w:rPr>
            <w:noProof/>
            <w:webHidden/>
          </w:rPr>
          <w:instrText xml:space="preserve"> PAGEREF _Toc75878437 \h </w:instrText>
        </w:r>
        <w:r w:rsidR="00FA0933">
          <w:rPr>
            <w:noProof/>
            <w:webHidden/>
          </w:rPr>
        </w:r>
        <w:r w:rsidR="00FA0933">
          <w:rPr>
            <w:noProof/>
            <w:webHidden/>
          </w:rPr>
          <w:fldChar w:fldCharType="separate"/>
        </w:r>
        <w:r w:rsidR="00F22012">
          <w:rPr>
            <w:noProof/>
            <w:webHidden/>
          </w:rPr>
          <w:t>3</w:t>
        </w:r>
        <w:r w:rsidR="00FA0933">
          <w:rPr>
            <w:noProof/>
            <w:webHidden/>
          </w:rPr>
          <w:fldChar w:fldCharType="end"/>
        </w:r>
      </w:hyperlink>
    </w:p>
    <w:p w14:paraId="365AE7E9" w14:textId="04721F51"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38" w:history="1">
        <w:r w:rsidR="00FA0933" w:rsidRPr="00176680">
          <w:rPr>
            <w:rStyle w:val="Hyperlink"/>
            <w:noProof/>
          </w:rPr>
          <w:t>2.2</w:t>
        </w:r>
        <w:r w:rsidR="00FA0933">
          <w:rPr>
            <w:rFonts w:eastAsiaTheme="minorEastAsia" w:cstheme="minorBidi"/>
            <w:smallCaps w:val="0"/>
            <w:noProof/>
            <w:sz w:val="22"/>
            <w:szCs w:val="22"/>
            <w:lang w:eastAsia="en-AU"/>
          </w:rPr>
          <w:tab/>
        </w:r>
        <w:r w:rsidR="00FA0933" w:rsidRPr="00176680">
          <w:rPr>
            <w:rStyle w:val="Hyperlink"/>
            <w:noProof/>
          </w:rPr>
          <w:t>Policy context</w:t>
        </w:r>
        <w:r w:rsidR="00FA0933">
          <w:rPr>
            <w:noProof/>
            <w:webHidden/>
          </w:rPr>
          <w:tab/>
        </w:r>
        <w:r w:rsidR="00FA0933">
          <w:rPr>
            <w:noProof/>
            <w:webHidden/>
          </w:rPr>
          <w:fldChar w:fldCharType="begin"/>
        </w:r>
        <w:r w:rsidR="00FA0933">
          <w:rPr>
            <w:noProof/>
            <w:webHidden/>
          </w:rPr>
          <w:instrText xml:space="preserve"> PAGEREF _Toc75878438 \h </w:instrText>
        </w:r>
        <w:r w:rsidR="00FA0933">
          <w:rPr>
            <w:noProof/>
            <w:webHidden/>
          </w:rPr>
        </w:r>
        <w:r w:rsidR="00FA0933">
          <w:rPr>
            <w:noProof/>
            <w:webHidden/>
          </w:rPr>
          <w:fldChar w:fldCharType="separate"/>
        </w:r>
        <w:r w:rsidR="00F22012">
          <w:rPr>
            <w:noProof/>
            <w:webHidden/>
          </w:rPr>
          <w:t>4</w:t>
        </w:r>
        <w:r w:rsidR="00FA0933">
          <w:rPr>
            <w:noProof/>
            <w:webHidden/>
          </w:rPr>
          <w:fldChar w:fldCharType="end"/>
        </w:r>
      </w:hyperlink>
    </w:p>
    <w:p w14:paraId="587F9EA0" w14:textId="0408F27D"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39" w:history="1">
        <w:r w:rsidR="00FA0933" w:rsidRPr="00176680">
          <w:rPr>
            <w:rStyle w:val="Hyperlink"/>
            <w:noProof/>
          </w:rPr>
          <w:t>2.3</w:t>
        </w:r>
        <w:r w:rsidR="00FA0933">
          <w:rPr>
            <w:rFonts w:eastAsiaTheme="minorEastAsia" w:cstheme="minorBidi"/>
            <w:smallCaps w:val="0"/>
            <w:noProof/>
            <w:sz w:val="22"/>
            <w:szCs w:val="22"/>
            <w:lang w:eastAsia="en-AU"/>
          </w:rPr>
          <w:tab/>
        </w:r>
        <w:r w:rsidR="00FA0933" w:rsidRPr="00176680">
          <w:rPr>
            <w:rStyle w:val="Hyperlink"/>
            <w:noProof/>
          </w:rPr>
          <w:t>Developments in the WHM program</w:t>
        </w:r>
        <w:r w:rsidR="00FA0933">
          <w:rPr>
            <w:noProof/>
            <w:webHidden/>
          </w:rPr>
          <w:tab/>
        </w:r>
        <w:r w:rsidR="00FA0933">
          <w:rPr>
            <w:noProof/>
            <w:webHidden/>
          </w:rPr>
          <w:fldChar w:fldCharType="begin"/>
        </w:r>
        <w:r w:rsidR="00FA0933">
          <w:rPr>
            <w:noProof/>
            <w:webHidden/>
          </w:rPr>
          <w:instrText xml:space="preserve"> PAGEREF _Toc75878439 \h </w:instrText>
        </w:r>
        <w:r w:rsidR="00FA0933">
          <w:rPr>
            <w:noProof/>
            <w:webHidden/>
          </w:rPr>
        </w:r>
        <w:r w:rsidR="00FA0933">
          <w:rPr>
            <w:noProof/>
            <w:webHidden/>
          </w:rPr>
          <w:fldChar w:fldCharType="separate"/>
        </w:r>
        <w:r w:rsidR="00F22012">
          <w:rPr>
            <w:noProof/>
            <w:webHidden/>
          </w:rPr>
          <w:t>7</w:t>
        </w:r>
        <w:r w:rsidR="00FA0933">
          <w:rPr>
            <w:noProof/>
            <w:webHidden/>
          </w:rPr>
          <w:fldChar w:fldCharType="end"/>
        </w:r>
      </w:hyperlink>
    </w:p>
    <w:p w14:paraId="32F536D1" w14:textId="7353117F"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40" w:history="1">
        <w:r w:rsidR="00FA0933" w:rsidRPr="00176680">
          <w:rPr>
            <w:rStyle w:val="Hyperlink"/>
            <w:noProof/>
          </w:rPr>
          <w:t>2.3.1</w:t>
        </w:r>
        <w:r w:rsidR="00FA0933">
          <w:rPr>
            <w:rFonts w:eastAsiaTheme="minorEastAsia" w:cstheme="minorBidi"/>
            <w:i w:val="0"/>
            <w:iCs w:val="0"/>
            <w:noProof/>
            <w:sz w:val="22"/>
            <w:szCs w:val="22"/>
            <w:lang w:eastAsia="en-AU"/>
          </w:rPr>
          <w:tab/>
        </w:r>
        <w:r w:rsidR="00FA0933" w:rsidRPr="00176680">
          <w:rPr>
            <w:rStyle w:val="Hyperlink"/>
            <w:noProof/>
          </w:rPr>
          <w:t>Increases in partner countries and caps</w:t>
        </w:r>
        <w:r w:rsidR="00FA0933">
          <w:rPr>
            <w:noProof/>
            <w:webHidden/>
          </w:rPr>
          <w:tab/>
        </w:r>
        <w:r w:rsidR="00FA0933">
          <w:rPr>
            <w:noProof/>
            <w:webHidden/>
          </w:rPr>
          <w:fldChar w:fldCharType="begin"/>
        </w:r>
        <w:r w:rsidR="00FA0933">
          <w:rPr>
            <w:noProof/>
            <w:webHidden/>
          </w:rPr>
          <w:instrText xml:space="preserve"> PAGEREF _Toc75878440 \h </w:instrText>
        </w:r>
        <w:r w:rsidR="00FA0933">
          <w:rPr>
            <w:noProof/>
            <w:webHidden/>
          </w:rPr>
        </w:r>
        <w:r w:rsidR="00FA0933">
          <w:rPr>
            <w:noProof/>
            <w:webHidden/>
          </w:rPr>
          <w:fldChar w:fldCharType="separate"/>
        </w:r>
        <w:r w:rsidR="00F22012">
          <w:rPr>
            <w:noProof/>
            <w:webHidden/>
          </w:rPr>
          <w:t>7</w:t>
        </w:r>
        <w:r w:rsidR="00FA0933">
          <w:rPr>
            <w:noProof/>
            <w:webHidden/>
          </w:rPr>
          <w:fldChar w:fldCharType="end"/>
        </w:r>
      </w:hyperlink>
    </w:p>
    <w:p w14:paraId="0444CFD7" w14:textId="44702AD6"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41" w:history="1">
        <w:r w:rsidR="00FA0933" w:rsidRPr="00176680">
          <w:rPr>
            <w:rStyle w:val="Hyperlink"/>
            <w:noProof/>
          </w:rPr>
          <w:t>2.3.2</w:t>
        </w:r>
        <w:r w:rsidR="00FA0933">
          <w:rPr>
            <w:rFonts w:eastAsiaTheme="minorEastAsia" w:cstheme="minorBidi"/>
            <w:i w:val="0"/>
            <w:iCs w:val="0"/>
            <w:noProof/>
            <w:sz w:val="22"/>
            <w:szCs w:val="22"/>
            <w:lang w:eastAsia="en-AU"/>
          </w:rPr>
          <w:tab/>
        </w:r>
        <w:r w:rsidR="00FA0933" w:rsidRPr="00176680">
          <w:rPr>
            <w:rStyle w:val="Hyperlink"/>
            <w:noProof/>
          </w:rPr>
          <w:t>Options for extending WHM visas into a second and third visa</w:t>
        </w:r>
        <w:r w:rsidR="00FA0933">
          <w:rPr>
            <w:noProof/>
            <w:webHidden/>
          </w:rPr>
          <w:tab/>
        </w:r>
        <w:r w:rsidR="00FA0933">
          <w:rPr>
            <w:noProof/>
            <w:webHidden/>
          </w:rPr>
          <w:fldChar w:fldCharType="begin"/>
        </w:r>
        <w:r w:rsidR="00FA0933">
          <w:rPr>
            <w:noProof/>
            <w:webHidden/>
          </w:rPr>
          <w:instrText xml:space="preserve"> PAGEREF _Toc75878441 \h </w:instrText>
        </w:r>
        <w:r w:rsidR="00FA0933">
          <w:rPr>
            <w:noProof/>
            <w:webHidden/>
          </w:rPr>
        </w:r>
        <w:r w:rsidR="00FA0933">
          <w:rPr>
            <w:noProof/>
            <w:webHidden/>
          </w:rPr>
          <w:fldChar w:fldCharType="separate"/>
        </w:r>
        <w:r w:rsidR="00F22012">
          <w:rPr>
            <w:noProof/>
            <w:webHidden/>
          </w:rPr>
          <w:t>7</w:t>
        </w:r>
        <w:r w:rsidR="00FA0933">
          <w:rPr>
            <w:noProof/>
            <w:webHidden/>
          </w:rPr>
          <w:fldChar w:fldCharType="end"/>
        </w:r>
      </w:hyperlink>
    </w:p>
    <w:p w14:paraId="5EE60B66" w14:textId="0791917C"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42" w:history="1">
        <w:r w:rsidR="00FA0933" w:rsidRPr="00176680">
          <w:rPr>
            <w:rStyle w:val="Hyperlink"/>
            <w:noProof/>
          </w:rPr>
          <w:t>2.3.3</w:t>
        </w:r>
        <w:r w:rsidR="00FA0933">
          <w:rPr>
            <w:rFonts w:eastAsiaTheme="minorEastAsia" w:cstheme="minorBidi"/>
            <w:i w:val="0"/>
            <w:iCs w:val="0"/>
            <w:noProof/>
            <w:sz w:val="22"/>
            <w:szCs w:val="22"/>
            <w:lang w:eastAsia="en-AU"/>
          </w:rPr>
          <w:tab/>
        </w:r>
        <w:r w:rsidR="00FA0933" w:rsidRPr="00176680">
          <w:rPr>
            <w:rStyle w:val="Hyperlink"/>
            <w:noProof/>
          </w:rPr>
          <w:t>Extended time working for a single employer</w:t>
        </w:r>
        <w:r w:rsidR="00FA0933">
          <w:rPr>
            <w:noProof/>
            <w:webHidden/>
          </w:rPr>
          <w:tab/>
        </w:r>
        <w:r w:rsidR="00FA0933">
          <w:rPr>
            <w:noProof/>
            <w:webHidden/>
          </w:rPr>
          <w:fldChar w:fldCharType="begin"/>
        </w:r>
        <w:r w:rsidR="00FA0933">
          <w:rPr>
            <w:noProof/>
            <w:webHidden/>
          </w:rPr>
          <w:instrText xml:space="preserve"> PAGEREF _Toc75878442 \h </w:instrText>
        </w:r>
        <w:r w:rsidR="00FA0933">
          <w:rPr>
            <w:noProof/>
            <w:webHidden/>
          </w:rPr>
        </w:r>
        <w:r w:rsidR="00FA0933">
          <w:rPr>
            <w:noProof/>
            <w:webHidden/>
          </w:rPr>
          <w:fldChar w:fldCharType="separate"/>
        </w:r>
        <w:r w:rsidR="00F22012">
          <w:rPr>
            <w:noProof/>
            <w:webHidden/>
          </w:rPr>
          <w:t>8</w:t>
        </w:r>
        <w:r w:rsidR="00FA0933">
          <w:rPr>
            <w:noProof/>
            <w:webHidden/>
          </w:rPr>
          <w:fldChar w:fldCharType="end"/>
        </w:r>
      </w:hyperlink>
    </w:p>
    <w:p w14:paraId="3A502CE9" w14:textId="3215CC65"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43" w:history="1">
        <w:r w:rsidR="00FA0933" w:rsidRPr="00176680">
          <w:rPr>
            <w:rStyle w:val="Hyperlink"/>
            <w:noProof/>
          </w:rPr>
          <w:t>2.3.4</w:t>
        </w:r>
        <w:r w:rsidR="00FA0933">
          <w:rPr>
            <w:rFonts w:eastAsiaTheme="minorEastAsia" w:cstheme="minorBidi"/>
            <w:i w:val="0"/>
            <w:iCs w:val="0"/>
            <w:noProof/>
            <w:sz w:val="22"/>
            <w:szCs w:val="22"/>
            <w:lang w:eastAsia="en-AU"/>
          </w:rPr>
          <w:tab/>
        </w:r>
        <w:r w:rsidR="00FA0933" w:rsidRPr="00176680">
          <w:rPr>
            <w:rStyle w:val="Hyperlink"/>
            <w:noProof/>
          </w:rPr>
          <w:t>New taxation arrangements for WHMs</w:t>
        </w:r>
        <w:r w:rsidR="00FA0933">
          <w:rPr>
            <w:noProof/>
            <w:webHidden/>
          </w:rPr>
          <w:tab/>
        </w:r>
        <w:r w:rsidR="00FA0933">
          <w:rPr>
            <w:noProof/>
            <w:webHidden/>
          </w:rPr>
          <w:fldChar w:fldCharType="begin"/>
        </w:r>
        <w:r w:rsidR="00FA0933">
          <w:rPr>
            <w:noProof/>
            <w:webHidden/>
          </w:rPr>
          <w:instrText xml:space="preserve"> PAGEREF _Toc75878443 \h </w:instrText>
        </w:r>
        <w:r w:rsidR="00FA0933">
          <w:rPr>
            <w:noProof/>
            <w:webHidden/>
          </w:rPr>
        </w:r>
        <w:r w:rsidR="00FA0933">
          <w:rPr>
            <w:noProof/>
            <w:webHidden/>
          </w:rPr>
          <w:fldChar w:fldCharType="separate"/>
        </w:r>
        <w:r w:rsidR="00F22012">
          <w:rPr>
            <w:noProof/>
            <w:webHidden/>
          </w:rPr>
          <w:t>8</w:t>
        </w:r>
        <w:r w:rsidR="00FA0933">
          <w:rPr>
            <w:noProof/>
            <w:webHidden/>
          </w:rPr>
          <w:fldChar w:fldCharType="end"/>
        </w:r>
      </w:hyperlink>
    </w:p>
    <w:p w14:paraId="30D7ACDB" w14:textId="3B755F2E"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44" w:history="1">
        <w:r w:rsidR="00FA0933" w:rsidRPr="00176680">
          <w:rPr>
            <w:rStyle w:val="Hyperlink"/>
            <w:noProof/>
          </w:rPr>
          <w:t>2.4</w:t>
        </w:r>
        <w:r w:rsidR="00FA0933">
          <w:rPr>
            <w:rFonts w:eastAsiaTheme="minorEastAsia" w:cstheme="minorBidi"/>
            <w:smallCaps w:val="0"/>
            <w:noProof/>
            <w:sz w:val="22"/>
            <w:szCs w:val="22"/>
            <w:lang w:eastAsia="en-AU"/>
          </w:rPr>
          <w:tab/>
        </w:r>
        <w:r w:rsidR="00FA0933" w:rsidRPr="00176680">
          <w:rPr>
            <w:rStyle w:val="Hyperlink"/>
            <w:noProof/>
          </w:rPr>
          <w:t>Recent trends in the number of WHM visas granted</w:t>
        </w:r>
        <w:r w:rsidR="00FA0933">
          <w:rPr>
            <w:noProof/>
            <w:webHidden/>
          </w:rPr>
          <w:tab/>
        </w:r>
        <w:r w:rsidR="00FA0933">
          <w:rPr>
            <w:noProof/>
            <w:webHidden/>
          </w:rPr>
          <w:fldChar w:fldCharType="begin"/>
        </w:r>
        <w:r w:rsidR="00FA0933">
          <w:rPr>
            <w:noProof/>
            <w:webHidden/>
          </w:rPr>
          <w:instrText xml:space="preserve"> PAGEREF _Toc75878444 \h </w:instrText>
        </w:r>
        <w:r w:rsidR="00FA0933">
          <w:rPr>
            <w:noProof/>
            <w:webHidden/>
          </w:rPr>
        </w:r>
        <w:r w:rsidR="00FA0933">
          <w:rPr>
            <w:noProof/>
            <w:webHidden/>
          </w:rPr>
          <w:fldChar w:fldCharType="separate"/>
        </w:r>
        <w:r w:rsidR="00F22012">
          <w:rPr>
            <w:noProof/>
            <w:webHidden/>
          </w:rPr>
          <w:t>9</w:t>
        </w:r>
        <w:r w:rsidR="00FA0933">
          <w:rPr>
            <w:noProof/>
            <w:webHidden/>
          </w:rPr>
          <w:fldChar w:fldCharType="end"/>
        </w:r>
      </w:hyperlink>
    </w:p>
    <w:p w14:paraId="5D0F089A" w14:textId="1767C8EA"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45" w:history="1">
        <w:r w:rsidR="00FA0933" w:rsidRPr="00176680">
          <w:rPr>
            <w:rStyle w:val="Hyperlink"/>
            <w:noProof/>
          </w:rPr>
          <w:t>2.5</w:t>
        </w:r>
        <w:r w:rsidR="00FA0933">
          <w:rPr>
            <w:rFonts w:eastAsiaTheme="minorEastAsia" w:cstheme="minorBidi"/>
            <w:smallCaps w:val="0"/>
            <w:noProof/>
            <w:sz w:val="22"/>
            <w:szCs w:val="22"/>
            <w:lang w:eastAsia="en-AU"/>
          </w:rPr>
          <w:tab/>
        </w:r>
        <w:r w:rsidR="00FA0933" w:rsidRPr="00176680">
          <w:rPr>
            <w:rStyle w:val="Hyperlink"/>
            <w:noProof/>
          </w:rPr>
          <w:t>Impact of COVID-19 on WHM movements into and out of Australia</w:t>
        </w:r>
        <w:r w:rsidR="00FA0933">
          <w:rPr>
            <w:noProof/>
            <w:webHidden/>
          </w:rPr>
          <w:tab/>
        </w:r>
        <w:r w:rsidR="00FA0933">
          <w:rPr>
            <w:noProof/>
            <w:webHidden/>
          </w:rPr>
          <w:fldChar w:fldCharType="begin"/>
        </w:r>
        <w:r w:rsidR="00FA0933">
          <w:rPr>
            <w:noProof/>
            <w:webHidden/>
          </w:rPr>
          <w:instrText xml:space="preserve"> PAGEREF _Toc75878445 \h </w:instrText>
        </w:r>
        <w:r w:rsidR="00FA0933">
          <w:rPr>
            <w:noProof/>
            <w:webHidden/>
          </w:rPr>
        </w:r>
        <w:r w:rsidR="00FA0933">
          <w:rPr>
            <w:noProof/>
            <w:webHidden/>
          </w:rPr>
          <w:fldChar w:fldCharType="separate"/>
        </w:r>
        <w:r w:rsidR="00F22012">
          <w:rPr>
            <w:noProof/>
            <w:webHidden/>
          </w:rPr>
          <w:t>10</w:t>
        </w:r>
        <w:r w:rsidR="00FA0933">
          <w:rPr>
            <w:noProof/>
            <w:webHidden/>
          </w:rPr>
          <w:fldChar w:fldCharType="end"/>
        </w:r>
      </w:hyperlink>
    </w:p>
    <w:p w14:paraId="24C9DAE2" w14:textId="4AC9964E"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46" w:history="1">
        <w:r w:rsidR="00FA0933" w:rsidRPr="00176680">
          <w:rPr>
            <w:rStyle w:val="Hyperlink"/>
            <w:noProof/>
          </w:rPr>
          <w:t>2.6</w:t>
        </w:r>
        <w:r w:rsidR="00FA0933">
          <w:rPr>
            <w:rFonts w:eastAsiaTheme="minorEastAsia" w:cstheme="minorBidi"/>
            <w:smallCaps w:val="0"/>
            <w:noProof/>
            <w:sz w:val="22"/>
            <w:szCs w:val="22"/>
            <w:lang w:eastAsia="en-AU"/>
          </w:rPr>
          <w:tab/>
        </w:r>
        <w:r w:rsidR="00FA0933" w:rsidRPr="00176680">
          <w:rPr>
            <w:rStyle w:val="Hyperlink"/>
            <w:noProof/>
          </w:rPr>
          <w:t>Temporary changes due to the 2019/2020 bushfires and COVID-19</w:t>
        </w:r>
        <w:r w:rsidR="00FA0933">
          <w:rPr>
            <w:noProof/>
            <w:webHidden/>
          </w:rPr>
          <w:tab/>
        </w:r>
        <w:r w:rsidR="00FA0933">
          <w:rPr>
            <w:noProof/>
            <w:webHidden/>
          </w:rPr>
          <w:fldChar w:fldCharType="begin"/>
        </w:r>
        <w:r w:rsidR="00FA0933">
          <w:rPr>
            <w:noProof/>
            <w:webHidden/>
          </w:rPr>
          <w:instrText xml:space="preserve"> PAGEREF _Toc75878446 \h </w:instrText>
        </w:r>
        <w:r w:rsidR="00FA0933">
          <w:rPr>
            <w:noProof/>
            <w:webHidden/>
          </w:rPr>
        </w:r>
        <w:r w:rsidR="00FA0933">
          <w:rPr>
            <w:noProof/>
            <w:webHidden/>
          </w:rPr>
          <w:fldChar w:fldCharType="separate"/>
        </w:r>
        <w:r w:rsidR="00F22012">
          <w:rPr>
            <w:noProof/>
            <w:webHidden/>
          </w:rPr>
          <w:t>11</w:t>
        </w:r>
        <w:r w:rsidR="00FA0933">
          <w:rPr>
            <w:noProof/>
            <w:webHidden/>
          </w:rPr>
          <w:fldChar w:fldCharType="end"/>
        </w:r>
      </w:hyperlink>
    </w:p>
    <w:p w14:paraId="6EDEC8E5" w14:textId="0BA14D7E"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47" w:history="1">
        <w:r w:rsidR="00FA0933" w:rsidRPr="00176680">
          <w:rPr>
            <w:rStyle w:val="Hyperlink"/>
            <w:noProof/>
          </w:rPr>
          <w:t>3</w:t>
        </w:r>
        <w:r w:rsidR="00FA0933">
          <w:rPr>
            <w:rFonts w:eastAsiaTheme="minorEastAsia" w:cstheme="minorBidi"/>
            <w:b w:val="0"/>
            <w:bCs w:val="0"/>
            <w:caps w:val="0"/>
            <w:noProof/>
            <w:sz w:val="22"/>
            <w:szCs w:val="22"/>
            <w:lang w:eastAsia="en-AU"/>
          </w:rPr>
          <w:tab/>
        </w:r>
        <w:r w:rsidR="00FA0933" w:rsidRPr="00176680">
          <w:rPr>
            <w:rStyle w:val="Hyperlink"/>
            <w:noProof/>
          </w:rPr>
          <w:t>Study methodology</w:t>
        </w:r>
        <w:r w:rsidR="00FA0933">
          <w:rPr>
            <w:noProof/>
            <w:webHidden/>
          </w:rPr>
          <w:tab/>
        </w:r>
        <w:r w:rsidR="00FA0933">
          <w:rPr>
            <w:noProof/>
            <w:webHidden/>
          </w:rPr>
          <w:fldChar w:fldCharType="begin"/>
        </w:r>
        <w:r w:rsidR="00FA0933">
          <w:rPr>
            <w:noProof/>
            <w:webHidden/>
          </w:rPr>
          <w:instrText xml:space="preserve"> PAGEREF _Toc75878447 \h </w:instrText>
        </w:r>
        <w:r w:rsidR="00FA0933">
          <w:rPr>
            <w:noProof/>
            <w:webHidden/>
          </w:rPr>
        </w:r>
        <w:r w:rsidR="00FA0933">
          <w:rPr>
            <w:noProof/>
            <w:webHidden/>
          </w:rPr>
          <w:fldChar w:fldCharType="separate"/>
        </w:r>
        <w:r w:rsidR="00F22012">
          <w:rPr>
            <w:noProof/>
            <w:webHidden/>
          </w:rPr>
          <w:t>12</w:t>
        </w:r>
        <w:r w:rsidR="00FA0933">
          <w:rPr>
            <w:noProof/>
            <w:webHidden/>
          </w:rPr>
          <w:fldChar w:fldCharType="end"/>
        </w:r>
      </w:hyperlink>
    </w:p>
    <w:p w14:paraId="73CDED41" w14:textId="4F238AD2"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48" w:history="1">
        <w:r w:rsidR="00FA0933" w:rsidRPr="00176680">
          <w:rPr>
            <w:rStyle w:val="Hyperlink"/>
            <w:noProof/>
          </w:rPr>
          <w:t>4</w:t>
        </w:r>
        <w:r w:rsidR="00FA0933">
          <w:rPr>
            <w:rFonts w:eastAsiaTheme="minorEastAsia" w:cstheme="minorBidi"/>
            <w:b w:val="0"/>
            <w:bCs w:val="0"/>
            <w:caps w:val="0"/>
            <w:noProof/>
            <w:sz w:val="22"/>
            <w:szCs w:val="22"/>
            <w:lang w:eastAsia="en-AU"/>
          </w:rPr>
          <w:tab/>
        </w:r>
        <w:r w:rsidR="00FA0933" w:rsidRPr="00176680">
          <w:rPr>
            <w:rStyle w:val="Hyperlink"/>
            <w:noProof/>
          </w:rPr>
          <w:t>WHM: Profile of respondents</w:t>
        </w:r>
        <w:r w:rsidR="00FA0933">
          <w:rPr>
            <w:noProof/>
            <w:webHidden/>
          </w:rPr>
          <w:tab/>
        </w:r>
        <w:r w:rsidR="00FA0933">
          <w:rPr>
            <w:noProof/>
            <w:webHidden/>
          </w:rPr>
          <w:fldChar w:fldCharType="begin"/>
        </w:r>
        <w:r w:rsidR="00FA0933">
          <w:rPr>
            <w:noProof/>
            <w:webHidden/>
          </w:rPr>
          <w:instrText xml:space="preserve"> PAGEREF _Toc75878448 \h </w:instrText>
        </w:r>
        <w:r w:rsidR="00FA0933">
          <w:rPr>
            <w:noProof/>
            <w:webHidden/>
          </w:rPr>
        </w:r>
        <w:r w:rsidR="00FA0933">
          <w:rPr>
            <w:noProof/>
            <w:webHidden/>
          </w:rPr>
          <w:fldChar w:fldCharType="separate"/>
        </w:r>
        <w:r w:rsidR="00F22012">
          <w:rPr>
            <w:noProof/>
            <w:webHidden/>
          </w:rPr>
          <w:t>13</w:t>
        </w:r>
        <w:r w:rsidR="00FA0933">
          <w:rPr>
            <w:noProof/>
            <w:webHidden/>
          </w:rPr>
          <w:fldChar w:fldCharType="end"/>
        </w:r>
      </w:hyperlink>
    </w:p>
    <w:p w14:paraId="3E13BE64" w14:textId="63633032"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49" w:history="1">
        <w:r w:rsidR="00FA0933" w:rsidRPr="00176680">
          <w:rPr>
            <w:rStyle w:val="Hyperlink"/>
            <w:noProof/>
          </w:rPr>
          <w:t>4.1</w:t>
        </w:r>
        <w:r w:rsidR="00FA0933">
          <w:rPr>
            <w:rFonts w:eastAsiaTheme="minorEastAsia" w:cstheme="minorBidi"/>
            <w:smallCaps w:val="0"/>
            <w:noProof/>
            <w:sz w:val="22"/>
            <w:szCs w:val="22"/>
            <w:lang w:eastAsia="en-AU"/>
          </w:rPr>
          <w:tab/>
        </w:r>
        <w:r w:rsidR="00FA0933" w:rsidRPr="00176680">
          <w:rPr>
            <w:rStyle w:val="Hyperlink"/>
            <w:noProof/>
          </w:rPr>
          <w:t>Reasons for visit</w:t>
        </w:r>
        <w:r w:rsidR="00FA0933">
          <w:rPr>
            <w:noProof/>
            <w:webHidden/>
          </w:rPr>
          <w:tab/>
        </w:r>
        <w:r w:rsidR="00FA0933">
          <w:rPr>
            <w:noProof/>
            <w:webHidden/>
          </w:rPr>
          <w:fldChar w:fldCharType="begin"/>
        </w:r>
        <w:r w:rsidR="00FA0933">
          <w:rPr>
            <w:noProof/>
            <w:webHidden/>
          </w:rPr>
          <w:instrText xml:space="preserve"> PAGEREF _Toc75878449 \h </w:instrText>
        </w:r>
        <w:r w:rsidR="00FA0933">
          <w:rPr>
            <w:noProof/>
            <w:webHidden/>
          </w:rPr>
        </w:r>
        <w:r w:rsidR="00FA0933">
          <w:rPr>
            <w:noProof/>
            <w:webHidden/>
          </w:rPr>
          <w:fldChar w:fldCharType="separate"/>
        </w:r>
        <w:r w:rsidR="00F22012">
          <w:rPr>
            <w:noProof/>
            <w:webHidden/>
          </w:rPr>
          <w:t>13</w:t>
        </w:r>
        <w:r w:rsidR="00FA0933">
          <w:rPr>
            <w:noProof/>
            <w:webHidden/>
          </w:rPr>
          <w:fldChar w:fldCharType="end"/>
        </w:r>
      </w:hyperlink>
    </w:p>
    <w:p w14:paraId="167BCBD6" w14:textId="0A449ADE"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0" w:history="1">
        <w:r w:rsidR="00FA0933" w:rsidRPr="00176680">
          <w:rPr>
            <w:rStyle w:val="Hyperlink"/>
            <w:noProof/>
          </w:rPr>
          <w:t>4.2</w:t>
        </w:r>
        <w:r w:rsidR="00FA0933">
          <w:rPr>
            <w:rFonts w:eastAsiaTheme="minorEastAsia" w:cstheme="minorBidi"/>
            <w:smallCaps w:val="0"/>
            <w:noProof/>
            <w:sz w:val="22"/>
            <w:szCs w:val="22"/>
            <w:lang w:eastAsia="en-AU"/>
          </w:rPr>
          <w:tab/>
        </w:r>
        <w:r w:rsidR="00FA0933" w:rsidRPr="00176680">
          <w:rPr>
            <w:rStyle w:val="Hyperlink"/>
            <w:noProof/>
          </w:rPr>
          <w:t>Origin nations</w:t>
        </w:r>
        <w:r w:rsidR="00FA0933">
          <w:rPr>
            <w:noProof/>
            <w:webHidden/>
          </w:rPr>
          <w:tab/>
        </w:r>
        <w:r w:rsidR="00FA0933">
          <w:rPr>
            <w:noProof/>
            <w:webHidden/>
          </w:rPr>
          <w:fldChar w:fldCharType="begin"/>
        </w:r>
        <w:r w:rsidR="00FA0933">
          <w:rPr>
            <w:noProof/>
            <w:webHidden/>
          </w:rPr>
          <w:instrText xml:space="preserve"> PAGEREF _Toc75878450 \h </w:instrText>
        </w:r>
        <w:r w:rsidR="00FA0933">
          <w:rPr>
            <w:noProof/>
            <w:webHidden/>
          </w:rPr>
        </w:r>
        <w:r w:rsidR="00FA0933">
          <w:rPr>
            <w:noProof/>
            <w:webHidden/>
          </w:rPr>
          <w:fldChar w:fldCharType="separate"/>
        </w:r>
        <w:r w:rsidR="00F22012">
          <w:rPr>
            <w:noProof/>
            <w:webHidden/>
          </w:rPr>
          <w:t>14</w:t>
        </w:r>
        <w:r w:rsidR="00FA0933">
          <w:rPr>
            <w:noProof/>
            <w:webHidden/>
          </w:rPr>
          <w:fldChar w:fldCharType="end"/>
        </w:r>
      </w:hyperlink>
    </w:p>
    <w:p w14:paraId="26478B7D" w14:textId="67633378"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1" w:history="1">
        <w:r w:rsidR="00FA0933" w:rsidRPr="00176680">
          <w:rPr>
            <w:rStyle w:val="Hyperlink"/>
            <w:noProof/>
          </w:rPr>
          <w:t>4.3</w:t>
        </w:r>
        <w:r w:rsidR="00FA0933">
          <w:rPr>
            <w:rFonts w:eastAsiaTheme="minorEastAsia" w:cstheme="minorBidi"/>
            <w:smallCaps w:val="0"/>
            <w:noProof/>
            <w:sz w:val="22"/>
            <w:szCs w:val="22"/>
            <w:lang w:eastAsia="en-AU"/>
          </w:rPr>
          <w:tab/>
        </w:r>
        <w:r w:rsidR="00FA0933" w:rsidRPr="00176680">
          <w:rPr>
            <w:rStyle w:val="Hyperlink"/>
            <w:noProof/>
          </w:rPr>
          <w:t>Age and sex</w:t>
        </w:r>
        <w:r w:rsidR="00FA0933">
          <w:rPr>
            <w:noProof/>
            <w:webHidden/>
          </w:rPr>
          <w:tab/>
        </w:r>
        <w:r w:rsidR="00FA0933">
          <w:rPr>
            <w:noProof/>
            <w:webHidden/>
          </w:rPr>
          <w:fldChar w:fldCharType="begin"/>
        </w:r>
        <w:r w:rsidR="00FA0933">
          <w:rPr>
            <w:noProof/>
            <w:webHidden/>
          </w:rPr>
          <w:instrText xml:space="preserve"> PAGEREF _Toc75878451 \h </w:instrText>
        </w:r>
        <w:r w:rsidR="00FA0933">
          <w:rPr>
            <w:noProof/>
            <w:webHidden/>
          </w:rPr>
        </w:r>
        <w:r w:rsidR="00FA0933">
          <w:rPr>
            <w:noProof/>
            <w:webHidden/>
          </w:rPr>
          <w:fldChar w:fldCharType="separate"/>
        </w:r>
        <w:r w:rsidR="00F22012">
          <w:rPr>
            <w:noProof/>
            <w:webHidden/>
          </w:rPr>
          <w:t>15</w:t>
        </w:r>
        <w:r w:rsidR="00FA0933">
          <w:rPr>
            <w:noProof/>
            <w:webHidden/>
          </w:rPr>
          <w:fldChar w:fldCharType="end"/>
        </w:r>
      </w:hyperlink>
    </w:p>
    <w:p w14:paraId="21BEFD79" w14:textId="03C2EE99"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2" w:history="1">
        <w:r w:rsidR="00FA0933" w:rsidRPr="00176680">
          <w:rPr>
            <w:rStyle w:val="Hyperlink"/>
            <w:noProof/>
          </w:rPr>
          <w:t>4.4</w:t>
        </w:r>
        <w:r w:rsidR="00FA0933">
          <w:rPr>
            <w:rFonts w:eastAsiaTheme="minorEastAsia" w:cstheme="minorBidi"/>
            <w:smallCaps w:val="0"/>
            <w:noProof/>
            <w:sz w:val="22"/>
            <w:szCs w:val="22"/>
            <w:lang w:eastAsia="en-AU"/>
          </w:rPr>
          <w:tab/>
        </w:r>
        <w:r w:rsidR="00FA0933" w:rsidRPr="00176680">
          <w:rPr>
            <w:rStyle w:val="Hyperlink"/>
            <w:noProof/>
          </w:rPr>
          <w:t>Educational attainment</w:t>
        </w:r>
        <w:r w:rsidR="00FA0933">
          <w:rPr>
            <w:noProof/>
            <w:webHidden/>
          </w:rPr>
          <w:tab/>
        </w:r>
        <w:r w:rsidR="00FA0933">
          <w:rPr>
            <w:noProof/>
            <w:webHidden/>
          </w:rPr>
          <w:fldChar w:fldCharType="begin"/>
        </w:r>
        <w:r w:rsidR="00FA0933">
          <w:rPr>
            <w:noProof/>
            <w:webHidden/>
          </w:rPr>
          <w:instrText xml:space="preserve"> PAGEREF _Toc75878452 \h </w:instrText>
        </w:r>
        <w:r w:rsidR="00FA0933">
          <w:rPr>
            <w:noProof/>
            <w:webHidden/>
          </w:rPr>
        </w:r>
        <w:r w:rsidR="00FA0933">
          <w:rPr>
            <w:noProof/>
            <w:webHidden/>
          </w:rPr>
          <w:fldChar w:fldCharType="separate"/>
        </w:r>
        <w:r w:rsidR="00F22012">
          <w:rPr>
            <w:noProof/>
            <w:webHidden/>
          </w:rPr>
          <w:t>16</w:t>
        </w:r>
        <w:r w:rsidR="00FA0933">
          <w:rPr>
            <w:noProof/>
            <w:webHidden/>
          </w:rPr>
          <w:fldChar w:fldCharType="end"/>
        </w:r>
      </w:hyperlink>
    </w:p>
    <w:p w14:paraId="370ED43D" w14:textId="30646F3A"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3" w:history="1">
        <w:r w:rsidR="00FA0933" w:rsidRPr="00176680">
          <w:rPr>
            <w:rStyle w:val="Hyperlink"/>
            <w:noProof/>
          </w:rPr>
          <w:t>4.5</w:t>
        </w:r>
        <w:r w:rsidR="00FA0933">
          <w:rPr>
            <w:rFonts w:eastAsiaTheme="minorEastAsia" w:cstheme="minorBidi"/>
            <w:smallCaps w:val="0"/>
            <w:noProof/>
            <w:sz w:val="22"/>
            <w:szCs w:val="22"/>
            <w:lang w:eastAsia="en-AU"/>
          </w:rPr>
          <w:tab/>
        </w:r>
        <w:r w:rsidR="00FA0933" w:rsidRPr="00176680">
          <w:rPr>
            <w:rStyle w:val="Hyperlink"/>
            <w:noProof/>
          </w:rPr>
          <w:t>Duration of stay in Australia</w:t>
        </w:r>
        <w:r w:rsidR="00FA0933">
          <w:rPr>
            <w:noProof/>
            <w:webHidden/>
          </w:rPr>
          <w:tab/>
        </w:r>
        <w:r w:rsidR="00FA0933">
          <w:rPr>
            <w:noProof/>
            <w:webHidden/>
          </w:rPr>
          <w:fldChar w:fldCharType="begin"/>
        </w:r>
        <w:r w:rsidR="00FA0933">
          <w:rPr>
            <w:noProof/>
            <w:webHidden/>
          </w:rPr>
          <w:instrText xml:space="preserve"> PAGEREF _Toc75878453 \h </w:instrText>
        </w:r>
        <w:r w:rsidR="00FA0933">
          <w:rPr>
            <w:noProof/>
            <w:webHidden/>
          </w:rPr>
        </w:r>
        <w:r w:rsidR="00FA0933">
          <w:rPr>
            <w:noProof/>
            <w:webHidden/>
          </w:rPr>
          <w:fldChar w:fldCharType="separate"/>
        </w:r>
        <w:r w:rsidR="00F22012">
          <w:rPr>
            <w:noProof/>
            <w:webHidden/>
          </w:rPr>
          <w:t>17</w:t>
        </w:r>
        <w:r w:rsidR="00FA0933">
          <w:rPr>
            <w:noProof/>
            <w:webHidden/>
          </w:rPr>
          <w:fldChar w:fldCharType="end"/>
        </w:r>
      </w:hyperlink>
    </w:p>
    <w:p w14:paraId="4EF0F45D" w14:textId="17CEE208"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54" w:history="1">
        <w:r w:rsidR="00FA0933" w:rsidRPr="00176680">
          <w:rPr>
            <w:rStyle w:val="Hyperlink"/>
            <w:noProof/>
          </w:rPr>
          <w:t>5</w:t>
        </w:r>
        <w:r w:rsidR="00FA0933">
          <w:rPr>
            <w:rFonts w:eastAsiaTheme="minorEastAsia" w:cstheme="minorBidi"/>
            <w:b w:val="0"/>
            <w:bCs w:val="0"/>
            <w:caps w:val="0"/>
            <w:noProof/>
            <w:sz w:val="22"/>
            <w:szCs w:val="22"/>
            <w:lang w:eastAsia="en-AU"/>
          </w:rPr>
          <w:tab/>
        </w:r>
        <w:r w:rsidR="00FA0933" w:rsidRPr="00176680">
          <w:rPr>
            <w:rStyle w:val="Hyperlink"/>
            <w:noProof/>
          </w:rPr>
          <w:t>WHM: Employment, wages and spending</w:t>
        </w:r>
        <w:r w:rsidR="00FA0933">
          <w:rPr>
            <w:noProof/>
            <w:webHidden/>
          </w:rPr>
          <w:tab/>
        </w:r>
        <w:r w:rsidR="00FA0933">
          <w:rPr>
            <w:noProof/>
            <w:webHidden/>
          </w:rPr>
          <w:fldChar w:fldCharType="begin"/>
        </w:r>
        <w:r w:rsidR="00FA0933">
          <w:rPr>
            <w:noProof/>
            <w:webHidden/>
          </w:rPr>
          <w:instrText xml:space="preserve"> PAGEREF _Toc75878454 \h </w:instrText>
        </w:r>
        <w:r w:rsidR="00FA0933">
          <w:rPr>
            <w:noProof/>
            <w:webHidden/>
          </w:rPr>
        </w:r>
        <w:r w:rsidR="00FA0933">
          <w:rPr>
            <w:noProof/>
            <w:webHidden/>
          </w:rPr>
          <w:fldChar w:fldCharType="separate"/>
        </w:r>
        <w:r w:rsidR="00F22012">
          <w:rPr>
            <w:noProof/>
            <w:webHidden/>
          </w:rPr>
          <w:t>19</w:t>
        </w:r>
        <w:r w:rsidR="00FA0933">
          <w:rPr>
            <w:noProof/>
            <w:webHidden/>
          </w:rPr>
          <w:fldChar w:fldCharType="end"/>
        </w:r>
      </w:hyperlink>
    </w:p>
    <w:p w14:paraId="0CDB6336" w14:textId="0AA40C24"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5" w:history="1">
        <w:r w:rsidR="00FA0933" w:rsidRPr="00176680">
          <w:rPr>
            <w:rStyle w:val="Hyperlink"/>
            <w:noProof/>
          </w:rPr>
          <w:t>5.1</w:t>
        </w:r>
        <w:r w:rsidR="00FA0933">
          <w:rPr>
            <w:rFonts w:eastAsiaTheme="minorEastAsia" w:cstheme="minorBidi"/>
            <w:smallCaps w:val="0"/>
            <w:noProof/>
            <w:sz w:val="22"/>
            <w:szCs w:val="22"/>
            <w:lang w:eastAsia="en-AU"/>
          </w:rPr>
          <w:tab/>
        </w:r>
        <w:r w:rsidR="00FA0933" w:rsidRPr="00176680">
          <w:rPr>
            <w:rStyle w:val="Hyperlink"/>
            <w:noProof/>
          </w:rPr>
          <w:t>Employment in Australia</w:t>
        </w:r>
        <w:r w:rsidR="00FA0933">
          <w:rPr>
            <w:noProof/>
            <w:webHidden/>
          </w:rPr>
          <w:tab/>
        </w:r>
        <w:r w:rsidR="00FA0933">
          <w:rPr>
            <w:noProof/>
            <w:webHidden/>
          </w:rPr>
          <w:fldChar w:fldCharType="begin"/>
        </w:r>
        <w:r w:rsidR="00FA0933">
          <w:rPr>
            <w:noProof/>
            <w:webHidden/>
          </w:rPr>
          <w:instrText xml:space="preserve"> PAGEREF _Toc75878455 \h </w:instrText>
        </w:r>
        <w:r w:rsidR="00FA0933">
          <w:rPr>
            <w:noProof/>
            <w:webHidden/>
          </w:rPr>
        </w:r>
        <w:r w:rsidR="00FA0933">
          <w:rPr>
            <w:noProof/>
            <w:webHidden/>
          </w:rPr>
          <w:fldChar w:fldCharType="separate"/>
        </w:r>
        <w:r w:rsidR="00F22012">
          <w:rPr>
            <w:noProof/>
            <w:webHidden/>
          </w:rPr>
          <w:t>19</w:t>
        </w:r>
        <w:r w:rsidR="00FA0933">
          <w:rPr>
            <w:noProof/>
            <w:webHidden/>
          </w:rPr>
          <w:fldChar w:fldCharType="end"/>
        </w:r>
      </w:hyperlink>
    </w:p>
    <w:p w14:paraId="5779D6C6" w14:textId="0C053C3A"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56" w:history="1">
        <w:r w:rsidR="00FA0933" w:rsidRPr="00176680">
          <w:rPr>
            <w:rStyle w:val="Hyperlink"/>
            <w:noProof/>
          </w:rPr>
          <w:t>5.1.1</w:t>
        </w:r>
        <w:r w:rsidR="00FA0933">
          <w:rPr>
            <w:rFonts w:eastAsiaTheme="minorEastAsia" w:cstheme="minorBidi"/>
            <w:i w:val="0"/>
            <w:iCs w:val="0"/>
            <w:noProof/>
            <w:sz w:val="22"/>
            <w:szCs w:val="22"/>
            <w:lang w:eastAsia="en-AU"/>
          </w:rPr>
          <w:tab/>
        </w:r>
        <w:r w:rsidR="00FA0933" w:rsidRPr="00176680">
          <w:rPr>
            <w:rStyle w:val="Hyperlink"/>
            <w:noProof/>
          </w:rPr>
          <w:t>Jobs and industries of employment in Australia</w:t>
        </w:r>
        <w:r w:rsidR="00FA0933">
          <w:rPr>
            <w:noProof/>
            <w:webHidden/>
          </w:rPr>
          <w:tab/>
        </w:r>
        <w:r w:rsidR="00FA0933">
          <w:rPr>
            <w:noProof/>
            <w:webHidden/>
          </w:rPr>
          <w:fldChar w:fldCharType="begin"/>
        </w:r>
        <w:r w:rsidR="00FA0933">
          <w:rPr>
            <w:noProof/>
            <w:webHidden/>
          </w:rPr>
          <w:instrText xml:space="preserve"> PAGEREF _Toc75878456 \h </w:instrText>
        </w:r>
        <w:r w:rsidR="00FA0933">
          <w:rPr>
            <w:noProof/>
            <w:webHidden/>
          </w:rPr>
        </w:r>
        <w:r w:rsidR="00FA0933">
          <w:rPr>
            <w:noProof/>
            <w:webHidden/>
          </w:rPr>
          <w:fldChar w:fldCharType="separate"/>
        </w:r>
        <w:r w:rsidR="00F22012">
          <w:rPr>
            <w:noProof/>
            <w:webHidden/>
          </w:rPr>
          <w:t>20</w:t>
        </w:r>
        <w:r w:rsidR="00FA0933">
          <w:rPr>
            <w:noProof/>
            <w:webHidden/>
          </w:rPr>
          <w:fldChar w:fldCharType="end"/>
        </w:r>
      </w:hyperlink>
    </w:p>
    <w:p w14:paraId="783140B2" w14:textId="30E4F3FF"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57" w:history="1">
        <w:r w:rsidR="00FA0933" w:rsidRPr="00176680">
          <w:rPr>
            <w:rStyle w:val="Hyperlink"/>
            <w:noProof/>
          </w:rPr>
          <w:t>5.1.2</w:t>
        </w:r>
        <w:r w:rsidR="00FA0933">
          <w:rPr>
            <w:rFonts w:eastAsiaTheme="minorEastAsia" w:cstheme="minorBidi"/>
            <w:i w:val="0"/>
            <w:iCs w:val="0"/>
            <w:noProof/>
            <w:sz w:val="22"/>
            <w:szCs w:val="22"/>
            <w:lang w:eastAsia="en-AU"/>
          </w:rPr>
          <w:tab/>
        </w:r>
        <w:r w:rsidR="00FA0933" w:rsidRPr="00176680">
          <w:rPr>
            <w:rStyle w:val="Hyperlink"/>
            <w:noProof/>
          </w:rPr>
          <w:t>Methods used to find jobs</w:t>
        </w:r>
        <w:r w:rsidR="00FA0933">
          <w:rPr>
            <w:noProof/>
            <w:webHidden/>
          </w:rPr>
          <w:tab/>
        </w:r>
        <w:r w:rsidR="00FA0933">
          <w:rPr>
            <w:noProof/>
            <w:webHidden/>
          </w:rPr>
          <w:fldChar w:fldCharType="begin"/>
        </w:r>
        <w:r w:rsidR="00FA0933">
          <w:rPr>
            <w:noProof/>
            <w:webHidden/>
          </w:rPr>
          <w:instrText xml:space="preserve"> PAGEREF _Toc75878457 \h </w:instrText>
        </w:r>
        <w:r w:rsidR="00FA0933">
          <w:rPr>
            <w:noProof/>
            <w:webHidden/>
          </w:rPr>
        </w:r>
        <w:r w:rsidR="00FA0933">
          <w:rPr>
            <w:noProof/>
            <w:webHidden/>
          </w:rPr>
          <w:fldChar w:fldCharType="separate"/>
        </w:r>
        <w:r w:rsidR="00F22012">
          <w:rPr>
            <w:noProof/>
            <w:webHidden/>
          </w:rPr>
          <w:t>23</w:t>
        </w:r>
        <w:r w:rsidR="00FA0933">
          <w:rPr>
            <w:noProof/>
            <w:webHidden/>
          </w:rPr>
          <w:fldChar w:fldCharType="end"/>
        </w:r>
      </w:hyperlink>
    </w:p>
    <w:p w14:paraId="148BD38B" w14:textId="48A03BB8"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58" w:history="1">
        <w:r w:rsidR="00FA0933" w:rsidRPr="00176680">
          <w:rPr>
            <w:rStyle w:val="Hyperlink"/>
            <w:noProof/>
          </w:rPr>
          <w:t>5.2</w:t>
        </w:r>
        <w:r w:rsidR="00FA0933">
          <w:rPr>
            <w:rFonts w:eastAsiaTheme="minorEastAsia" w:cstheme="minorBidi"/>
            <w:smallCaps w:val="0"/>
            <w:noProof/>
            <w:sz w:val="22"/>
            <w:szCs w:val="22"/>
            <w:lang w:eastAsia="en-AU"/>
          </w:rPr>
          <w:tab/>
        </w:r>
        <w:r w:rsidR="00FA0933" w:rsidRPr="00176680">
          <w:rPr>
            <w:rStyle w:val="Hyperlink"/>
            <w:noProof/>
          </w:rPr>
          <w:t>Wages</w:t>
        </w:r>
        <w:r w:rsidR="00FA0933">
          <w:rPr>
            <w:noProof/>
            <w:webHidden/>
          </w:rPr>
          <w:tab/>
        </w:r>
        <w:r w:rsidR="00FA0933">
          <w:rPr>
            <w:noProof/>
            <w:webHidden/>
          </w:rPr>
          <w:fldChar w:fldCharType="begin"/>
        </w:r>
        <w:r w:rsidR="00FA0933">
          <w:rPr>
            <w:noProof/>
            <w:webHidden/>
          </w:rPr>
          <w:instrText xml:space="preserve"> PAGEREF _Toc75878458 \h </w:instrText>
        </w:r>
        <w:r w:rsidR="00FA0933">
          <w:rPr>
            <w:noProof/>
            <w:webHidden/>
          </w:rPr>
        </w:r>
        <w:r w:rsidR="00FA0933">
          <w:rPr>
            <w:noProof/>
            <w:webHidden/>
          </w:rPr>
          <w:fldChar w:fldCharType="separate"/>
        </w:r>
        <w:r w:rsidR="00F22012">
          <w:rPr>
            <w:noProof/>
            <w:webHidden/>
          </w:rPr>
          <w:t>23</w:t>
        </w:r>
        <w:r w:rsidR="00FA0933">
          <w:rPr>
            <w:noProof/>
            <w:webHidden/>
          </w:rPr>
          <w:fldChar w:fldCharType="end"/>
        </w:r>
      </w:hyperlink>
    </w:p>
    <w:p w14:paraId="533F3E1B" w14:textId="4CC8F670"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59" w:history="1">
        <w:r w:rsidR="00FA0933" w:rsidRPr="00176680">
          <w:rPr>
            <w:rStyle w:val="Hyperlink"/>
            <w:noProof/>
          </w:rPr>
          <w:t>5.2.1</w:t>
        </w:r>
        <w:r w:rsidR="00FA0933">
          <w:rPr>
            <w:rFonts w:eastAsiaTheme="minorEastAsia" w:cstheme="minorBidi"/>
            <w:i w:val="0"/>
            <w:iCs w:val="0"/>
            <w:noProof/>
            <w:sz w:val="22"/>
            <w:szCs w:val="22"/>
            <w:lang w:eastAsia="en-AU"/>
          </w:rPr>
          <w:tab/>
        </w:r>
        <w:r w:rsidR="00FA0933" w:rsidRPr="00176680">
          <w:rPr>
            <w:rStyle w:val="Hyperlink"/>
            <w:noProof/>
          </w:rPr>
          <w:t>Hourly rate of pay</w:t>
        </w:r>
        <w:r w:rsidR="00FA0933">
          <w:rPr>
            <w:noProof/>
            <w:webHidden/>
          </w:rPr>
          <w:tab/>
        </w:r>
        <w:r w:rsidR="00FA0933">
          <w:rPr>
            <w:noProof/>
            <w:webHidden/>
          </w:rPr>
          <w:fldChar w:fldCharType="begin"/>
        </w:r>
        <w:r w:rsidR="00FA0933">
          <w:rPr>
            <w:noProof/>
            <w:webHidden/>
          </w:rPr>
          <w:instrText xml:space="preserve"> PAGEREF _Toc75878459 \h </w:instrText>
        </w:r>
        <w:r w:rsidR="00FA0933">
          <w:rPr>
            <w:noProof/>
            <w:webHidden/>
          </w:rPr>
        </w:r>
        <w:r w:rsidR="00FA0933">
          <w:rPr>
            <w:noProof/>
            <w:webHidden/>
          </w:rPr>
          <w:fldChar w:fldCharType="separate"/>
        </w:r>
        <w:r w:rsidR="00F22012">
          <w:rPr>
            <w:noProof/>
            <w:webHidden/>
          </w:rPr>
          <w:t>23</w:t>
        </w:r>
        <w:r w:rsidR="00FA0933">
          <w:rPr>
            <w:noProof/>
            <w:webHidden/>
          </w:rPr>
          <w:fldChar w:fldCharType="end"/>
        </w:r>
      </w:hyperlink>
    </w:p>
    <w:p w14:paraId="3C3E7E01" w14:textId="0EADF1D2"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0" w:history="1">
        <w:r w:rsidR="00FA0933" w:rsidRPr="00176680">
          <w:rPr>
            <w:rStyle w:val="Hyperlink"/>
            <w:noProof/>
          </w:rPr>
          <w:t>5.2.2</w:t>
        </w:r>
        <w:r w:rsidR="00FA0933">
          <w:rPr>
            <w:rFonts w:eastAsiaTheme="minorEastAsia" w:cstheme="minorBidi"/>
            <w:i w:val="0"/>
            <w:iCs w:val="0"/>
            <w:noProof/>
            <w:sz w:val="22"/>
            <w:szCs w:val="22"/>
            <w:lang w:eastAsia="en-AU"/>
          </w:rPr>
          <w:tab/>
        </w:r>
        <w:r w:rsidR="00FA0933" w:rsidRPr="00176680">
          <w:rPr>
            <w:rStyle w:val="Hyperlink"/>
            <w:noProof/>
          </w:rPr>
          <w:t>Hours per week</w:t>
        </w:r>
        <w:r w:rsidR="00FA0933">
          <w:rPr>
            <w:noProof/>
            <w:webHidden/>
          </w:rPr>
          <w:tab/>
        </w:r>
        <w:r w:rsidR="00FA0933">
          <w:rPr>
            <w:noProof/>
            <w:webHidden/>
          </w:rPr>
          <w:fldChar w:fldCharType="begin"/>
        </w:r>
        <w:r w:rsidR="00FA0933">
          <w:rPr>
            <w:noProof/>
            <w:webHidden/>
          </w:rPr>
          <w:instrText xml:space="preserve"> PAGEREF _Toc75878460 \h </w:instrText>
        </w:r>
        <w:r w:rsidR="00FA0933">
          <w:rPr>
            <w:noProof/>
            <w:webHidden/>
          </w:rPr>
        </w:r>
        <w:r w:rsidR="00FA0933">
          <w:rPr>
            <w:noProof/>
            <w:webHidden/>
          </w:rPr>
          <w:fldChar w:fldCharType="separate"/>
        </w:r>
        <w:r w:rsidR="00F22012">
          <w:rPr>
            <w:noProof/>
            <w:webHidden/>
          </w:rPr>
          <w:t>28</w:t>
        </w:r>
        <w:r w:rsidR="00FA0933">
          <w:rPr>
            <w:noProof/>
            <w:webHidden/>
          </w:rPr>
          <w:fldChar w:fldCharType="end"/>
        </w:r>
      </w:hyperlink>
    </w:p>
    <w:p w14:paraId="4474D14B" w14:textId="470BE06A"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1" w:history="1">
        <w:r w:rsidR="00FA0933" w:rsidRPr="00176680">
          <w:rPr>
            <w:rStyle w:val="Hyperlink"/>
            <w:noProof/>
          </w:rPr>
          <w:t>5.2.3</w:t>
        </w:r>
        <w:r w:rsidR="00FA0933">
          <w:rPr>
            <w:rFonts w:eastAsiaTheme="minorEastAsia" w:cstheme="minorBidi"/>
            <w:i w:val="0"/>
            <w:iCs w:val="0"/>
            <w:noProof/>
            <w:sz w:val="22"/>
            <w:szCs w:val="22"/>
            <w:lang w:eastAsia="en-AU"/>
          </w:rPr>
          <w:tab/>
        </w:r>
        <w:r w:rsidR="00FA0933" w:rsidRPr="00176680">
          <w:rPr>
            <w:rStyle w:val="Hyperlink"/>
            <w:noProof/>
          </w:rPr>
          <w:t>Duration of work</w:t>
        </w:r>
        <w:r w:rsidR="00FA0933">
          <w:rPr>
            <w:noProof/>
            <w:webHidden/>
          </w:rPr>
          <w:tab/>
        </w:r>
        <w:r w:rsidR="00FA0933">
          <w:rPr>
            <w:noProof/>
            <w:webHidden/>
          </w:rPr>
          <w:fldChar w:fldCharType="begin"/>
        </w:r>
        <w:r w:rsidR="00FA0933">
          <w:rPr>
            <w:noProof/>
            <w:webHidden/>
          </w:rPr>
          <w:instrText xml:space="preserve"> PAGEREF _Toc75878461 \h </w:instrText>
        </w:r>
        <w:r w:rsidR="00FA0933">
          <w:rPr>
            <w:noProof/>
            <w:webHidden/>
          </w:rPr>
        </w:r>
        <w:r w:rsidR="00FA0933">
          <w:rPr>
            <w:noProof/>
            <w:webHidden/>
          </w:rPr>
          <w:fldChar w:fldCharType="separate"/>
        </w:r>
        <w:r w:rsidR="00F22012">
          <w:rPr>
            <w:noProof/>
            <w:webHidden/>
          </w:rPr>
          <w:t>32</w:t>
        </w:r>
        <w:r w:rsidR="00FA0933">
          <w:rPr>
            <w:noProof/>
            <w:webHidden/>
          </w:rPr>
          <w:fldChar w:fldCharType="end"/>
        </w:r>
      </w:hyperlink>
    </w:p>
    <w:p w14:paraId="508DF76C" w14:textId="627EF286"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2" w:history="1">
        <w:r w:rsidR="00FA0933" w:rsidRPr="00176680">
          <w:rPr>
            <w:rStyle w:val="Hyperlink"/>
            <w:noProof/>
          </w:rPr>
          <w:t>5.2.4</w:t>
        </w:r>
        <w:r w:rsidR="00FA0933">
          <w:rPr>
            <w:rFonts w:eastAsiaTheme="minorEastAsia" w:cstheme="minorBidi"/>
            <w:i w:val="0"/>
            <w:iCs w:val="0"/>
            <w:noProof/>
            <w:sz w:val="22"/>
            <w:szCs w:val="22"/>
            <w:lang w:eastAsia="en-AU"/>
          </w:rPr>
          <w:tab/>
        </w:r>
        <w:r w:rsidR="00FA0933" w:rsidRPr="00176680">
          <w:rPr>
            <w:rStyle w:val="Hyperlink"/>
            <w:noProof/>
          </w:rPr>
          <w:t>Total pay</w:t>
        </w:r>
        <w:r w:rsidR="00FA0933">
          <w:rPr>
            <w:noProof/>
            <w:webHidden/>
          </w:rPr>
          <w:tab/>
        </w:r>
        <w:r w:rsidR="00FA0933">
          <w:rPr>
            <w:noProof/>
            <w:webHidden/>
          </w:rPr>
          <w:fldChar w:fldCharType="begin"/>
        </w:r>
        <w:r w:rsidR="00FA0933">
          <w:rPr>
            <w:noProof/>
            <w:webHidden/>
          </w:rPr>
          <w:instrText xml:space="preserve"> PAGEREF _Toc75878462 \h </w:instrText>
        </w:r>
        <w:r w:rsidR="00FA0933">
          <w:rPr>
            <w:noProof/>
            <w:webHidden/>
          </w:rPr>
        </w:r>
        <w:r w:rsidR="00FA0933">
          <w:rPr>
            <w:noProof/>
            <w:webHidden/>
          </w:rPr>
          <w:fldChar w:fldCharType="separate"/>
        </w:r>
        <w:r w:rsidR="00F22012">
          <w:rPr>
            <w:noProof/>
            <w:webHidden/>
          </w:rPr>
          <w:t>34</w:t>
        </w:r>
        <w:r w:rsidR="00FA0933">
          <w:rPr>
            <w:noProof/>
            <w:webHidden/>
          </w:rPr>
          <w:fldChar w:fldCharType="end"/>
        </w:r>
      </w:hyperlink>
    </w:p>
    <w:p w14:paraId="7159C784" w14:textId="77B5617C"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63" w:history="1">
        <w:r w:rsidR="00FA0933" w:rsidRPr="00176680">
          <w:rPr>
            <w:rStyle w:val="Hyperlink"/>
            <w:noProof/>
          </w:rPr>
          <w:t>5.3</w:t>
        </w:r>
        <w:r w:rsidR="00FA0933">
          <w:rPr>
            <w:rFonts w:eastAsiaTheme="minorEastAsia" w:cstheme="minorBidi"/>
            <w:smallCaps w:val="0"/>
            <w:noProof/>
            <w:sz w:val="22"/>
            <w:szCs w:val="22"/>
            <w:lang w:eastAsia="en-AU"/>
          </w:rPr>
          <w:tab/>
        </w:r>
        <w:r w:rsidR="00FA0933" w:rsidRPr="00176680">
          <w:rPr>
            <w:rStyle w:val="Hyperlink"/>
            <w:noProof/>
          </w:rPr>
          <w:t>Spending</w:t>
        </w:r>
        <w:r w:rsidR="00FA0933">
          <w:rPr>
            <w:noProof/>
            <w:webHidden/>
          </w:rPr>
          <w:tab/>
        </w:r>
        <w:r w:rsidR="00FA0933">
          <w:rPr>
            <w:noProof/>
            <w:webHidden/>
          </w:rPr>
          <w:fldChar w:fldCharType="begin"/>
        </w:r>
        <w:r w:rsidR="00FA0933">
          <w:rPr>
            <w:noProof/>
            <w:webHidden/>
          </w:rPr>
          <w:instrText xml:space="preserve"> PAGEREF _Toc75878463 \h </w:instrText>
        </w:r>
        <w:r w:rsidR="00FA0933">
          <w:rPr>
            <w:noProof/>
            <w:webHidden/>
          </w:rPr>
        </w:r>
        <w:r w:rsidR="00FA0933">
          <w:rPr>
            <w:noProof/>
            <w:webHidden/>
          </w:rPr>
          <w:fldChar w:fldCharType="separate"/>
        </w:r>
        <w:r w:rsidR="00F22012">
          <w:rPr>
            <w:noProof/>
            <w:webHidden/>
          </w:rPr>
          <w:t>38</w:t>
        </w:r>
        <w:r w:rsidR="00FA0933">
          <w:rPr>
            <w:noProof/>
            <w:webHidden/>
          </w:rPr>
          <w:fldChar w:fldCharType="end"/>
        </w:r>
      </w:hyperlink>
    </w:p>
    <w:p w14:paraId="1C4818A1" w14:textId="66A8E18D"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4" w:history="1">
        <w:r w:rsidR="00FA0933" w:rsidRPr="00176680">
          <w:rPr>
            <w:rStyle w:val="Hyperlink"/>
            <w:noProof/>
          </w:rPr>
          <w:t>5.3.1</w:t>
        </w:r>
        <w:r w:rsidR="00FA0933">
          <w:rPr>
            <w:rFonts w:eastAsiaTheme="minorEastAsia" w:cstheme="minorBidi"/>
            <w:i w:val="0"/>
            <w:iCs w:val="0"/>
            <w:noProof/>
            <w:sz w:val="22"/>
            <w:szCs w:val="22"/>
            <w:lang w:eastAsia="en-AU"/>
          </w:rPr>
          <w:tab/>
        </w:r>
        <w:r w:rsidR="00FA0933" w:rsidRPr="00176680">
          <w:rPr>
            <w:rStyle w:val="Hyperlink"/>
            <w:noProof/>
          </w:rPr>
          <w:t>Structure of expenditure</w:t>
        </w:r>
        <w:r w:rsidR="00FA0933">
          <w:rPr>
            <w:noProof/>
            <w:webHidden/>
          </w:rPr>
          <w:tab/>
        </w:r>
        <w:r w:rsidR="00FA0933">
          <w:rPr>
            <w:noProof/>
            <w:webHidden/>
          </w:rPr>
          <w:fldChar w:fldCharType="begin"/>
        </w:r>
        <w:r w:rsidR="00FA0933">
          <w:rPr>
            <w:noProof/>
            <w:webHidden/>
          </w:rPr>
          <w:instrText xml:space="preserve"> PAGEREF _Toc75878464 \h </w:instrText>
        </w:r>
        <w:r w:rsidR="00FA0933">
          <w:rPr>
            <w:noProof/>
            <w:webHidden/>
          </w:rPr>
        </w:r>
        <w:r w:rsidR="00FA0933">
          <w:rPr>
            <w:noProof/>
            <w:webHidden/>
          </w:rPr>
          <w:fldChar w:fldCharType="separate"/>
        </w:r>
        <w:r w:rsidR="00F22012">
          <w:rPr>
            <w:noProof/>
            <w:webHidden/>
          </w:rPr>
          <w:t>38</w:t>
        </w:r>
        <w:r w:rsidR="00FA0933">
          <w:rPr>
            <w:noProof/>
            <w:webHidden/>
          </w:rPr>
          <w:fldChar w:fldCharType="end"/>
        </w:r>
      </w:hyperlink>
    </w:p>
    <w:p w14:paraId="14E58DC4" w14:textId="2E35F7BF"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5" w:history="1">
        <w:r w:rsidR="00FA0933" w:rsidRPr="00176680">
          <w:rPr>
            <w:rStyle w:val="Hyperlink"/>
            <w:noProof/>
          </w:rPr>
          <w:t>5.3.2</w:t>
        </w:r>
        <w:r w:rsidR="00FA0933">
          <w:rPr>
            <w:rFonts w:eastAsiaTheme="minorEastAsia" w:cstheme="minorBidi"/>
            <w:i w:val="0"/>
            <w:iCs w:val="0"/>
            <w:noProof/>
            <w:sz w:val="22"/>
            <w:szCs w:val="22"/>
            <w:lang w:eastAsia="en-AU"/>
          </w:rPr>
          <w:tab/>
        </w:r>
        <w:r w:rsidR="00FA0933" w:rsidRPr="00176680">
          <w:rPr>
            <w:rStyle w:val="Hyperlink"/>
            <w:noProof/>
          </w:rPr>
          <w:t>Total expenditure</w:t>
        </w:r>
        <w:r w:rsidR="00FA0933">
          <w:rPr>
            <w:noProof/>
            <w:webHidden/>
          </w:rPr>
          <w:tab/>
        </w:r>
        <w:r w:rsidR="00FA0933">
          <w:rPr>
            <w:noProof/>
            <w:webHidden/>
          </w:rPr>
          <w:fldChar w:fldCharType="begin"/>
        </w:r>
        <w:r w:rsidR="00FA0933">
          <w:rPr>
            <w:noProof/>
            <w:webHidden/>
          </w:rPr>
          <w:instrText xml:space="preserve"> PAGEREF _Toc75878465 \h </w:instrText>
        </w:r>
        <w:r w:rsidR="00FA0933">
          <w:rPr>
            <w:noProof/>
            <w:webHidden/>
          </w:rPr>
        </w:r>
        <w:r w:rsidR="00FA0933">
          <w:rPr>
            <w:noProof/>
            <w:webHidden/>
          </w:rPr>
          <w:fldChar w:fldCharType="separate"/>
        </w:r>
        <w:r w:rsidR="00F22012">
          <w:rPr>
            <w:noProof/>
            <w:webHidden/>
          </w:rPr>
          <w:t>41</w:t>
        </w:r>
        <w:r w:rsidR="00FA0933">
          <w:rPr>
            <w:noProof/>
            <w:webHidden/>
          </w:rPr>
          <w:fldChar w:fldCharType="end"/>
        </w:r>
      </w:hyperlink>
    </w:p>
    <w:p w14:paraId="457C514C" w14:textId="08103B2E"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66" w:history="1">
        <w:r w:rsidR="00FA0933" w:rsidRPr="00176680">
          <w:rPr>
            <w:rStyle w:val="Hyperlink"/>
            <w:noProof/>
          </w:rPr>
          <w:t>5.3.3</w:t>
        </w:r>
        <w:r w:rsidR="00FA0933">
          <w:rPr>
            <w:rFonts w:eastAsiaTheme="minorEastAsia" w:cstheme="minorBidi"/>
            <w:i w:val="0"/>
            <w:iCs w:val="0"/>
            <w:noProof/>
            <w:sz w:val="22"/>
            <w:szCs w:val="22"/>
            <w:lang w:eastAsia="en-AU"/>
          </w:rPr>
          <w:tab/>
        </w:r>
        <w:r w:rsidR="00FA0933" w:rsidRPr="00176680">
          <w:rPr>
            <w:rStyle w:val="Hyperlink"/>
            <w:noProof/>
          </w:rPr>
          <w:t>Expenditure and employment</w:t>
        </w:r>
        <w:r w:rsidR="00FA0933">
          <w:rPr>
            <w:noProof/>
            <w:webHidden/>
          </w:rPr>
          <w:tab/>
        </w:r>
        <w:r w:rsidR="00FA0933">
          <w:rPr>
            <w:noProof/>
            <w:webHidden/>
          </w:rPr>
          <w:fldChar w:fldCharType="begin"/>
        </w:r>
        <w:r w:rsidR="00FA0933">
          <w:rPr>
            <w:noProof/>
            <w:webHidden/>
          </w:rPr>
          <w:instrText xml:space="preserve"> PAGEREF _Toc75878466 \h </w:instrText>
        </w:r>
        <w:r w:rsidR="00FA0933">
          <w:rPr>
            <w:noProof/>
            <w:webHidden/>
          </w:rPr>
        </w:r>
        <w:r w:rsidR="00FA0933">
          <w:rPr>
            <w:noProof/>
            <w:webHidden/>
          </w:rPr>
          <w:fldChar w:fldCharType="separate"/>
        </w:r>
        <w:r w:rsidR="00F22012">
          <w:rPr>
            <w:noProof/>
            <w:webHidden/>
          </w:rPr>
          <w:t>41</w:t>
        </w:r>
        <w:r w:rsidR="00FA0933">
          <w:rPr>
            <w:noProof/>
            <w:webHidden/>
          </w:rPr>
          <w:fldChar w:fldCharType="end"/>
        </w:r>
      </w:hyperlink>
    </w:p>
    <w:p w14:paraId="4D47BA2F" w14:textId="2ED610B2"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67" w:history="1">
        <w:r w:rsidR="00FA0933" w:rsidRPr="00176680">
          <w:rPr>
            <w:rStyle w:val="Hyperlink"/>
            <w:noProof/>
          </w:rPr>
          <w:t>6</w:t>
        </w:r>
        <w:r w:rsidR="00FA0933">
          <w:rPr>
            <w:rFonts w:eastAsiaTheme="minorEastAsia" w:cstheme="minorBidi"/>
            <w:b w:val="0"/>
            <w:bCs w:val="0"/>
            <w:caps w:val="0"/>
            <w:noProof/>
            <w:sz w:val="22"/>
            <w:szCs w:val="22"/>
            <w:lang w:eastAsia="en-AU"/>
          </w:rPr>
          <w:tab/>
        </w:r>
        <w:r w:rsidR="00FA0933" w:rsidRPr="00176680">
          <w:rPr>
            <w:rStyle w:val="Hyperlink"/>
            <w:noProof/>
          </w:rPr>
          <w:t>WHM: Domestic travel</w:t>
        </w:r>
        <w:r w:rsidR="00FA0933">
          <w:rPr>
            <w:noProof/>
            <w:webHidden/>
          </w:rPr>
          <w:tab/>
        </w:r>
        <w:r w:rsidR="00FA0933">
          <w:rPr>
            <w:noProof/>
            <w:webHidden/>
          </w:rPr>
          <w:fldChar w:fldCharType="begin"/>
        </w:r>
        <w:r w:rsidR="00FA0933">
          <w:rPr>
            <w:noProof/>
            <w:webHidden/>
          </w:rPr>
          <w:instrText xml:space="preserve"> PAGEREF _Toc75878467 \h </w:instrText>
        </w:r>
        <w:r w:rsidR="00FA0933">
          <w:rPr>
            <w:noProof/>
            <w:webHidden/>
          </w:rPr>
        </w:r>
        <w:r w:rsidR="00FA0933">
          <w:rPr>
            <w:noProof/>
            <w:webHidden/>
          </w:rPr>
          <w:fldChar w:fldCharType="separate"/>
        </w:r>
        <w:r w:rsidR="00F22012">
          <w:rPr>
            <w:noProof/>
            <w:webHidden/>
          </w:rPr>
          <w:t>43</w:t>
        </w:r>
        <w:r w:rsidR="00FA0933">
          <w:rPr>
            <w:noProof/>
            <w:webHidden/>
          </w:rPr>
          <w:fldChar w:fldCharType="end"/>
        </w:r>
      </w:hyperlink>
    </w:p>
    <w:p w14:paraId="53BE744A" w14:textId="17115B3A"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68" w:history="1">
        <w:r w:rsidR="00FA0933" w:rsidRPr="00176680">
          <w:rPr>
            <w:rStyle w:val="Hyperlink"/>
            <w:noProof/>
          </w:rPr>
          <w:t>6.1</w:t>
        </w:r>
        <w:r w:rsidR="00FA0933">
          <w:rPr>
            <w:rFonts w:eastAsiaTheme="minorEastAsia" w:cstheme="minorBidi"/>
            <w:smallCaps w:val="0"/>
            <w:noProof/>
            <w:sz w:val="22"/>
            <w:szCs w:val="22"/>
            <w:lang w:eastAsia="en-AU"/>
          </w:rPr>
          <w:tab/>
        </w:r>
        <w:r w:rsidR="00FA0933" w:rsidRPr="00176680">
          <w:rPr>
            <w:rStyle w:val="Hyperlink"/>
            <w:noProof/>
          </w:rPr>
          <w:t>Mobility between states and territories</w:t>
        </w:r>
        <w:r w:rsidR="00FA0933">
          <w:rPr>
            <w:noProof/>
            <w:webHidden/>
          </w:rPr>
          <w:tab/>
        </w:r>
        <w:r w:rsidR="00FA0933">
          <w:rPr>
            <w:noProof/>
            <w:webHidden/>
          </w:rPr>
          <w:fldChar w:fldCharType="begin"/>
        </w:r>
        <w:r w:rsidR="00FA0933">
          <w:rPr>
            <w:noProof/>
            <w:webHidden/>
          </w:rPr>
          <w:instrText xml:space="preserve"> PAGEREF _Toc75878468 \h </w:instrText>
        </w:r>
        <w:r w:rsidR="00FA0933">
          <w:rPr>
            <w:noProof/>
            <w:webHidden/>
          </w:rPr>
        </w:r>
        <w:r w:rsidR="00FA0933">
          <w:rPr>
            <w:noProof/>
            <w:webHidden/>
          </w:rPr>
          <w:fldChar w:fldCharType="separate"/>
        </w:r>
        <w:r w:rsidR="00F22012">
          <w:rPr>
            <w:noProof/>
            <w:webHidden/>
          </w:rPr>
          <w:t>43</w:t>
        </w:r>
        <w:r w:rsidR="00FA0933">
          <w:rPr>
            <w:noProof/>
            <w:webHidden/>
          </w:rPr>
          <w:fldChar w:fldCharType="end"/>
        </w:r>
      </w:hyperlink>
    </w:p>
    <w:p w14:paraId="4C802535" w14:textId="720442B7"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69" w:history="1">
        <w:r w:rsidR="00FA0933" w:rsidRPr="00176680">
          <w:rPr>
            <w:rStyle w:val="Hyperlink"/>
            <w:noProof/>
          </w:rPr>
          <w:t>6.2</w:t>
        </w:r>
        <w:r w:rsidR="00FA0933">
          <w:rPr>
            <w:rFonts w:eastAsiaTheme="minorEastAsia" w:cstheme="minorBidi"/>
            <w:smallCaps w:val="0"/>
            <w:noProof/>
            <w:sz w:val="22"/>
            <w:szCs w:val="22"/>
            <w:lang w:eastAsia="en-AU"/>
          </w:rPr>
          <w:tab/>
        </w:r>
        <w:r w:rsidR="00FA0933" w:rsidRPr="00176680">
          <w:rPr>
            <w:rStyle w:val="Hyperlink"/>
            <w:noProof/>
          </w:rPr>
          <w:t>Reasons for visiting destinations</w:t>
        </w:r>
        <w:r w:rsidR="00FA0933">
          <w:rPr>
            <w:noProof/>
            <w:webHidden/>
          </w:rPr>
          <w:tab/>
        </w:r>
        <w:r w:rsidR="00FA0933">
          <w:rPr>
            <w:noProof/>
            <w:webHidden/>
          </w:rPr>
          <w:fldChar w:fldCharType="begin"/>
        </w:r>
        <w:r w:rsidR="00FA0933">
          <w:rPr>
            <w:noProof/>
            <w:webHidden/>
          </w:rPr>
          <w:instrText xml:space="preserve"> PAGEREF _Toc75878469 \h </w:instrText>
        </w:r>
        <w:r w:rsidR="00FA0933">
          <w:rPr>
            <w:noProof/>
            <w:webHidden/>
          </w:rPr>
        </w:r>
        <w:r w:rsidR="00FA0933">
          <w:rPr>
            <w:noProof/>
            <w:webHidden/>
          </w:rPr>
          <w:fldChar w:fldCharType="separate"/>
        </w:r>
        <w:r w:rsidR="00F22012">
          <w:rPr>
            <w:noProof/>
            <w:webHidden/>
          </w:rPr>
          <w:t>45</w:t>
        </w:r>
        <w:r w:rsidR="00FA0933">
          <w:rPr>
            <w:noProof/>
            <w:webHidden/>
          </w:rPr>
          <w:fldChar w:fldCharType="end"/>
        </w:r>
      </w:hyperlink>
    </w:p>
    <w:p w14:paraId="6B20326D" w14:textId="611297C4"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70" w:history="1">
        <w:r w:rsidR="00FA0933" w:rsidRPr="00176680">
          <w:rPr>
            <w:rStyle w:val="Hyperlink"/>
            <w:noProof/>
          </w:rPr>
          <w:t>6.3</w:t>
        </w:r>
        <w:r w:rsidR="00FA0933">
          <w:rPr>
            <w:rFonts w:eastAsiaTheme="minorEastAsia" w:cstheme="minorBidi"/>
            <w:smallCaps w:val="0"/>
            <w:noProof/>
            <w:sz w:val="22"/>
            <w:szCs w:val="22"/>
            <w:lang w:eastAsia="en-AU"/>
          </w:rPr>
          <w:tab/>
        </w:r>
        <w:r w:rsidR="00FA0933" w:rsidRPr="00176680">
          <w:rPr>
            <w:rStyle w:val="Hyperlink"/>
            <w:noProof/>
          </w:rPr>
          <w:t>Accommodation types in various locations</w:t>
        </w:r>
        <w:r w:rsidR="00FA0933">
          <w:rPr>
            <w:noProof/>
            <w:webHidden/>
          </w:rPr>
          <w:tab/>
        </w:r>
        <w:r w:rsidR="00FA0933">
          <w:rPr>
            <w:noProof/>
            <w:webHidden/>
          </w:rPr>
          <w:fldChar w:fldCharType="begin"/>
        </w:r>
        <w:r w:rsidR="00FA0933">
          <w:rPr>
            <w:noProof/>
            <w:webHidden/>
          </w:rPr>
          <w:instrText xml:space="preserve"> PAGEREF _Toc75878470 \h </w:instrText>
        </w:r>
        <w:r w:rsidR="00FA0933">
          <w:rPr>
            <w:noProof/>
            <w:webHidden/>
          </w:rPr>
        </w:r>
        <w:r w:rsidR="00FA0933">
          <w:rPr>
            <w:noProof/>
            <w:webHidden/>
          </w:rPr>
          <w:fldChar w:fldCharType="separate"/>
        </w:r>
        <w:r w:rsidR="00F22012">
          <w:rPr>
            <w:noProof/>
            <w:webHidden/>
          </w:rPr>
          <w:t>48</w:t>
        </w:r>
        <w:r w:rsidR="00FA0933">
          <w:rPr>
            <w:noProof/>
            <w:webHidden/>
          </w:rPr>
          <w:fldChar w:fldCharType="end"/>
        </w:r>
      </w:hyperlink>
    </w:p>
    <w:p w14:paraId="4D3B6713" w14:textId="5CFF2157"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71" w:history="1">
        <w:r w:rsidR="00FA0933" w:rsidRPr="00176680">
          <w:rPr>
            <w:rStyle w:val="Hyperlink"/>
            <w:noProof/>
          </w:rPr>
          <w:t>7</w:t>
        </w:r>
        <w:r w:rsidR="00FA0933">
          <w:rPr>
            <w:rFonts w:eastAsiaTheme="minorEastAsia" w:cstheme="minorBidi"/>
            <w:b w:val="0"/>
            <w:bCs w:val="0"/>
            <w:caps w:val="0"/>
            <w:noProof/>
            <w:sz w:val="22"/>
            <w:szCs w:val="22"/>
            <w:lang w:eastAsia="en-AU"/>
          </w:rPr>
          <w:tab/>
        </w:r>
        <w:r w:rsidR="00FA0933" w:rsidRPr="00176680">
          <w:rPr>
            <w:rStyle w:val="Hyperlink"/>
            <w:noProof/>
          </w:rPr>
          <w:t>WHM: Training and education</w:t>
        </w:r>
        <w:r w:rsidR="00FA0933">
          <w:rPr>
            <w:noProof/>
            <w:webHidden/>
          </w:rPr>
          <w:tab/>
        </w:r>
        <w:r w:rsidR="00FA0933">
          <w:rPr>
            <w:noProof/>
            <w:webHidden/>
          </w:rPr>
          <w:fldChar w:fldCharType="begin"/>
        </w:r>
        <w:r w:rsidR="00FA0933">
          <w:rPr>
            <w:noProof/>
            <w:webHidden/>
          </w:rPr>
          <w:instrText xml:space="preserve"> PAGEREF _Toc75878471 \h </w:instrText>
        </w:r>
        <w:r w:rsidR="00FA0933">
          <w:rPr>
            <w:noProof/>
            <w:webHidden/>
          </w:rPr>
        </w:r>
        <w:r w:rsidR="00FA0933">
          <w:rPr>
            <w:noProof/>
            <w:webHidden/>
          </w:rPr>
          <w:fldChar w:fldCharType="separate"/>
        </w:r>
        <w:r w:rsidR="00F22012">
          <w:rPr>
            <w:noProof/>
            <w:webHidden/>
          </w:rPr>
          <w:t>53</w:t>
        </w:r>
        <w:r w:rsidR="00FA0933">
          <w:rPr>
            <w:noProof/>
            <w:webHidden/>
          </w:rPr>
          <w:fldChar w:fldCharType="end"/>
        </w:r>
      </w:hyperlink>
    </w:p>
    <w:p w14:paraId="7AEE17E5" w14:textId="4D018343"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72" w:history="1">
        <w:r w:rsidR="00FA0933" w:rsidRPr="00176680">
          <w:rPr>
            <w:rStyle w:val="Hyperlink"/>
            <w:noProof/>
          </w:rPr>
          <w:t>7.1</w:t>
        </w:r>
        <w:r w:rsidR="00FA0933">
          <w:rPr>
            <w:rFonts w:eastAsiaTheme="minorEastAsia" w:cstheme="minorBidi"/>
            <w:smallCaps w:val="0"/>
            <w:noProof/>
            <w:sz w:val="22"/>
            <w:szCs w:val="22"/>
            <w:lang w:eastAsia="en-AU"/>
          </w:rPr>
          <w:tab/>
        </w:r>
        <w:r w:rsidR="00FA0933" w:rsidRPr="00176680">
          <w:rPr>
            <w:rStyle w:val="Hyperlink"/>
            <w:noProof/>
          </w:rPr>
          <w:t>On-the-job training</w:t>
        </w:r>
        <w:r w:rsidR="00FA0933">
          <w:rPr>
            <w:noProof/>
            <w:webHidden/>
          </w:rPr>
          <w:tab/>
        </w:r>
        <w:r w:rsidR="00FA0933">
          <w:rPr>
            <w:noProof/>
            <w:webHidden/>
          </w:rPr>
          <w:fldChar w:fldCharType="begin"/>
        </w:r>
        <w:r w:rsidR="00FA0933">
          <w:rPr>
            <w:noProof/>
            <w:webHidden/>
          </w:rPr>
          <w:instrText xml:space="preserve"> PAGEREF _Toc75878472 \h </w:instrText>
        </w:r>
        <w:r w:rsidR="00FA0933">
          <w:rPr>
            <w:noProof/>
            <w:webHidden/>
          </w:rPr>
        </w:r>
        <w:r w:rsidR="00FA0933">
          <w:rPr>
            <w:noProof/>
            <w:webHidden/>
          </w:rPr>
          <w:fldChar w:fldCharType="separate"/>
        </w:r>
        <w:r w:rsidR="00F22012">
          <w:rPr>
            <w:noProof/>
            <w:webHidden/>
          </w:rPr>
          <w:t>53</w:t>
        </w:r>
        <w:r w:rsidR="00FA0933">
          <w:rPr>
            <w:noProof/>
            <w:webHidden/>
          </w:rPr>
          <w:fldChar w:fldCharType="end"/>
        </w:r>
      </w:hyperlink>
    </w:p>
    <w:p w14:paraId="1B179DC9" w14:textId="2A7975FF"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73" w:history="1">
        <w:r w:rsidR="00FA0933" w:rsidRPr="00176680">
          <w:rPr>
            <w:rStyle w:val="Hyperlink"/>
            <w:noProof/>
          </w:rPr>
          <w:t>7.2</w:t>
        </w:r>
        <w:r w:rsidR="00FA0933">
          <w:rPr>
            <w:rFonts w:eastAsiaTheme="minorEastAsia" w:cstheme="minorBidi"/>
            <w:smallCaps w:val="0"/>
            <w:noProof/>
            <w:sz w:val="22"/>
            <w:szCs w:val="22"/>
            <w:lang w:eastAsia="en-AU"/>
          </w:rPr>
          <w:tab/>
        </w:r>
        <w:r w:rsidR="00FA0933" w:rsidRPr="00176680">
          <w:rPr>
            <w:rStyle w:val="Hyperlink"/>
            <w:noProof/>
          </w:rPr>
          <w:t>Formal study</w:t>
        </w:r>
        <w:r w:rsidR="00FA0933">
          <w:rPr>
            <w:noProof/>
            <w:webHidden/>
          </w:rPr>
          <w:tab/>
        </w:r>
        <w:r w:rsidR="00FA0933">
          <w:rPr>
            <w:noProof/>
            <w:webHidden/>
          </w:rPr>
          <w:fldChar w:fldCharType="begin"/>
        </w:r>
        <w:r w:rsidR="00FA0933">
          <w:rPr>
            <w:noProof/>
            <w:webHidden/>
          </w:rPr>
          <w:instrText xml:space="preserve"> PAGEREF _Toc75878473 \h </w:instrText>
        </w:r>
        <w:r w:rsidR="00FA0933">
          <w:rPr>
            <w:noProof/>
            <w:webHidden/>
          </w:rPr>
        </w:r>
        <w:r w:rsidR="00FA0933">
          <w:rPr>
            <w:noProof/>
            <w:webHidden/>
          </w:rPr>
          <w:fldChar w:fldCharType="separate"/>
        </w:r>
        <w:r w:rsidR="00F22012">
          <w:rPr>
            <w:noProof/>
            <w:webHidden/>
          </w:rPr>
          <w:t>54</w:t>
        </w:r>
        <w:r w:rsidR="00FA0933">
          <w:rPr>
            <w:noProof/>
            <w:webHidden/>
          </w:rPr>
          <w:fldChar w:fldCharType="end"/>
        </w:r>
      </w:hyperlink>
    </w:p>
    <w:p w14:paraId="740CE994" w14:textId="5C37DBA0"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74" w:history="1">
        <w:r w:rsidR="00FA0933" w:rsidRPr="00176680">
          <w:rPr>
            <w:rStyle w:val="Hyperlink"/>
            <w:noProof/>
          </w:rPr>
          <w:t>7.2.1</w:t>
        </w:r>
        <w:r w:rsidR="00FA0933">
          <w:rPr>
            <w:rFonts w:eastAsiaTheme="minorEastAsia" w:cstheme="minorBidi"/>
            <w:i w:val="0"/>
            <w:iCs w:val="0"/>
            <w:noProof/>
            <w:sz w:val="22"/>
            <w:szCs w:val="22"/>
            <w:lang w:eastAsia="en-AU"/>
          </w:rPr>
          <w:tab/>
        </w:r>
        <w:r w:rsidR="00FA0933" w:rsidRPr="00176680">
          <w:rPr>
            <w:rStyle w:val="Hyperlink"/>
            <w:noProof/>
          </w:rPr>
          <w:t>Study expenditure</w:t>
        </w:r>
        <w:r w:rsidR="00FA0933">
          <w:rPr>
            <w:noProof/>
            <w:webHidden/>
          </w:rPr>
          <w:tab/>
        </w:r>
        <w:r w:rsidR="00FA0933">
          <w:rPr>
            <w:noProof/>
            <w:webHidden/>
          </w:rPr>
          <w:fldChar w:fldCharType="begin"/>
        </w:r>
        <w:r w:rsidR="00FA0933">
          <w:rPr>
            <w:noProof/>
            <w:webHidden/>
          </w:rPr>
          <w:instrText xml:space="preserve"> PAGEREF _Toc75878474 \h </w:instrText>
        </w:r>
        <w:r w:rsidR="00FA0933">
          <w:rPr>
            <w:noProof/>
            <w:webHidden/>
          </w:rPr>
        </w:r>
        <w:r w:rsidR="00FA0933">
          <w:rPr>
            <w:noProof/>
            <w:webHidden/>
          </w:rPr>
          <w:fldChar w:fldCharType="separate"/>
        </w:r>
        <w:r w:rsidR="00F22012">
          <w:rPr>
            <w:noProof/>
            <w:webHidden/>
          </w:rPr>
          <w:t>56</w:t>
        </w:r>
        <w:r w:rsidR="00FA0933">
          <w:rPr>
            <w:noProof/>
            <w:webHidden/>
          </w:rPr>
          <w:fldChar w:fldCharType="end"/>
        </w:r>
      </w:hyperlink>
    </w:p>
    <w:p w14:paraId="2E69D07F" w14:textId="7C81E074"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75" w:history="1">
        <w:r w:rsidR="00FA0933" w:rsidRPr="00176680">
          <w:rPr>
            <w:rStyle w:val="Hyperlink"/>
            <w:noProof/>
          </w:rPr>
          <w:t>8</w:t>
        </w:r>
        <w:r w:rsidR="00FA0933">
          <w:rPr>
            <w:rFonts w:eastAsiaTheme="minorEastAsia" w:cstheme="minorBidi"/>
            <w:b w:val="0"/>
            <w:bCs w:val="0"/>
            <w:caps w:val="0"/>
            <w:noProof/>
            <w:sz w:val="22"/>
            <w:szCs w:val="22"/>
            <w:lang w:eastAsia="en-AU"/>
          </w:rPr>
          <w:tab/>
        </w:r>
        <w:r w:rsidR="00FA0933" w:rsidRPr="00176680">
          <w:rPr>
            <w:rStyle w:val="Hyperlink"/>
            <w:noProof/>
          </w:rPr>
          <w:t>WHM: Motivations and experiences</w:t>
        </w:r>
        <w:r w:rsidR="00FA0933">
          <w:rPr>
            <w:noProof/>
            <w:webHidden/>
          </w:rPr>
          <w:tab/>
        </w:r>
        <w:r w:rsidR="00FA0933">
          <w:rPr>
            <w:noProof/>
            <w:webHidden/>
          </w:rPr>
          <w:fldChar w:fldCharType="begin"/>
        </w:r>
        <w:r w:rsidR="00FA0933">
          <w:rPr>
            <w:noProof/>
            <w:webHidden/>
          </w:rPr>
          <w:instrText xml:space="preserve"> PAGEREF _Toc75878475 \h </w:instrText>
        </w:r>
        <w:r w:rsidR="00FA0933">
          <w:rPr>
            <w:noProof/>
            <w:webHidden/>
          </w:rPr>
        </w:r>
        <w:r w:rsidR="00FA0933">
          <w:rPr>
            <w:noProof/>
            <w:webHidden/>
          </w:rPr>
          <w:fldChar w:fldCharType="separate"/>
        </w:r>
        <w:r w:rsidR="00F22012">
          <w:rPr>
            <w:noProof/>
            <w:webHidden/>
          </w:rPr>
          <w:t>58</w:t>
        </w:r>
        <w:r w:rsidR="00FA0933">
          <w:rPr>
            <w:noProof/>
            <w:webHidden/>
          </w:rPr>
          <w:fldChar w:fldCharType="end"/>
        </w:r>
      </w:hyperlink>
    </w:p>
    <w:p w14:paraId="2C706A2F" w14:textId="3BFFDC07"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76" w:history="1">
        <w:r w:rsidR="00FA0933" w:rsidRPr="00176680">
          <w:rPr>
            <w:rStyle w:val="Hyperlink"/>
            <w:noProof/>
          </w:rPr>
          <w:t>8.1</w:t>
        </w:r>
        <w:r w:rsidR="00FA0933">
          <w:rPr>
            <w:rFonts w:eastAsiaTheme="minorEastAsia" w:cstheme="minorBidi"/>
            <w:smallCaps w:val="0"/>
            <w:noProof/>
            <w:sz w:val="22"/>
            <w:szCs w:val="22"/>
            <w:lang w:eastAsia="en-AU"/>
          </w:rPr>
          <w:tab/>
        </w:r>
        <w:r w:rsidR="00FA0933" w:rsidRPr="00176680">
          <w:rPr>
            <w:rStyle w:val="Hyperlink"/>
            <w:noProof/>
          </w:rPr>
          <w:t>Job satisfaction</w:t>
        </w:r>
        <w:r w:rsidR="00FA0933">
          <w:rPr>
            <w:noProof/>
            <w:webHidden/>
          </w:rPr>
          <w:tab/>
        </w:r>
        <w:r w:rsidR="00FA0933">
          <w:rPr>
            <w:noProof/>
            <w:webHidden/>
          </w:rPr>
          <w:fldChar w:fldCharType="begin"/>
        </w:r>
        <w:r w:rsidR="00FA0933">
          <w:rPr>
            <w:noProof/>
            <w:webHidden/>
          </w:rPr>
          <w:instrText xml:space="preserve"> PAGEREF _Toc75878476 \h </w:instrText>
        </w:r>
        <w:r w:rsidR="00FA0933">
          <w:rPr>
            <w:noProof/>
            <w:webHidden/>
          </w:rPr>
        </w:r>
        <w:r w:rsidR="00FA0933">
          <w:rPr>
            <w:noProof/>
            <w:webHidden/>
          </w:rPr>
          <w:fldChar w:fldCharType="separate"/>
        </w:r>
        <w:r w:rsidR="00F22012">
          <w:rPr>
            <w:noProof/>
            <w:webHidden/>
          </w:rPr>
          <w:t>58</w:t>
        </w:r>
        <w:r w:rsidR="00FA0933">
          <w:rPr>
            <w:noProof/>
            <w:webHidden/>
          </w:rPr>
          <w:fldChar w:fldCharType="end"/>
        </w:r>
      </w:hyperlink>
    </w:p>
    <w:p w14:paraId="6FA662F1" w14:textId="2664D6B6"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77" w:history="1">
        <w:r w:rsidR="00FA0933" w:rsidRPr="00176680">
          <w:rPr>
            <w:rStyle w:val="Hyperlink"/>
            <w:noProof/>
          </w:rPr>
          <w:t>8.2</w:t>
        </w:r>
        <w:r w:rsidR="00FA0933">
          <w:rPr>
            <w:rFonts w:eastAsiaTheme="minorEastAsia" w:cstheme="minorBidi"/>
            <w:smallCaps w:val="0"/>
            <w:noProof/>
            <w:sz w:val="22"/>
            <w:szCs w:val="22"/>
            <w:lang w:eastAsia="en-AU"/>
          </w:rPr>
          <w:tab/>
        </w:r>
        <w:r w:rsidR="00FA0933" w:rsidRPr="00176680">
          <w:rPr>
            <w:rStyle w:val="Hyperlink"/>
            <w:noProof/>
          </w:rPr>
          <w:t>WHM perspective</w:t>
        </w:r>
        <w:r w:rsidR="00FA0933">
          <w:rPr>
            <w:noProof/>
            <w:webHidden/>
          </w:rPr>
          <w:tab/>
        </w:r>
        <w:r w:rsidR="00FA0933">
          <w:rPr>
            <w:noProof/>
            <w:webHidden/>
          </w:rPr>
          <w:fldChar w:fldCharType="begin"/>
        </w:r>
        <w:r w:rsidR="00FA0933">
          <w:rPr>
            <w:noProof/>
            <w:webHidden/>
          </w:rPr>
          <w:instrText xml:space="preserve"> PAGEREF _Toc75878477 \h </w:instrText>
        </w:r>
        <w:r w:rsidR="00FA0933">
          <w:rPr>
            <w:noProof/>
            <w:webHidden/>
          </w:rPr>
        </w:r>
        <w:r w:rsidR="00FA0933">
          <w:rPr>
            <w:noProof/>
            <w:webHidden/>
          </w:rPr>
          <w:fldChar w:fldCharType="separate"/>
        </w:r>
        <w:r w:rsidR="00F22012">
          <w:rPr>
            <w:noProof/>
            <w:webHidden/>
          </w:rPr>
          <w:t>60</w:t>
        </w:r>
        <w:r w:rsidR="00FA0933">
          <w:rPr>
            <w:noProof/>
            <w:webHidden/>
          </w:rPr>
          <w:fldChar w:fldCharType="end"/>
        </w:r>
      </w:hyperlink>
    </w:p>
    <w:p w14:paraId="5D2E9788" w14:textId="2E01B7C1"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78" w:history="1">
        <w:r w:rsidR="00FA0933" w:rsidRPr="00176680">
          <w:rPr>
            <w:rStyle w:val="Hyperlink"/>
            <w:noProof/>
          </w:rPr>
          <w:t>8.2.1</w:t>
        </w:r>
        <w:r w:rsidR="00FA0933">
          <w:rPr>
            <w:rFonts w:eastAsiaTheme="minorEastAsia" w:cstheme="minorBidi"/>
            <w:i w:val="0"/>
            <w:iCs w:val="0"/>
            <w:noProof/>
            <w:sz w:val="22"/>
            <w:szCs w:val="22"/>
            <w:lang w:eastAsia="en-AU"/>
          </w:rPr>
          <w:tab/>
        </w:r>
        <w:r w:rsidR="00FA0933" w:rsidRPr="00176680">
          <w:rPr>
            <w:rStyle w:val="Hyperlink"/>
            <w:noProof/>
          </w:rPr>
          <w:t>Finding out about the WHM program</w:t>
        </w:r>
        <w:r w:rsidR="00FA0933">
          <w:rPr>
            <w:noProof/>
            <w:webHidden/>
          </w:rPr>
          <w:tab/>
        </w:r>
        <w:r w:rsidR="00FA0933">
          <w:rPr>
            <w:noProof/>
            <w:webHidden/>
          </w:rPr>
          <w:fldChar w:fldCharType="begin"/>
        </w:r>
        <w:r w:rsidR="00FA0933">
          <w:rPr>
            <w:noProof/>
            <w:webHidden/>
          </w:rPr>
          <w:instrText xml:space="preserve"> PAGEREF _Toc75878478 \h </w:instrText>
        </w:r>
        <w:r w:rsidR="00FA0933">
          <w:rPr>
            <w:noProof/>
            <w:webHidden/>
          </w:rPr>
        </w:r>
        <w:r w:rsidR="00FA0933">
          <w:rPr>
            <w:noProof/>
            <w:webHidden/>
          </w:rPr>
          <w:fldChar w:fldCharType="separate"/>
        </w:r>
        <w:r w:rsidR="00F22012">
          <w:rPr>
            <w:noProof/>
            <w:webHidden/>
          </w:rPr>
          <w:t>60</w:t>
        </w:r>
        <w:r w:rsidR="00FA0933">
          <w:rPr>
            <w:noProof/>
            <w:webHidden/>
          </w:rPr>
          <w:fldChar w:fldCharType="end"/>
        </w:r>
      </w:hyperlink>
    </w:p>
    <w:p w14:paraId="5F783078" w14:textId="19463FDC"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79" w:history="1">
        <w:r w:rsidR="00FA0933" w:rsidRPr="00176680">
          <w:rPr>
            <w:rStyle w:val="Hyperlink"/>
            <w:noProof/>
          </w:rPr>
          <w:t>8.2.2</w:t>
        </w:r>
        <w:r w:rsidR="00FA0933">
          <w:rPr>
            <w:rFonts w:eastAsiaTheme="minorEastAsia" w:cstheme="minorBidi"/>
            <w:i w:val="0"/>
            <w:iCs w:val="0"/>
            <w:noProof/>
            <w:sz w:val="22"/>
            <w:szCs w:val="22"/>
            <w:lang w:eastAsia="en-AU"/>
          </w:rPr>
          <w:tab/>
        </w:r>
        <w:r w:rsidR="00FA0933" w:rsidRPr="00176680">
          <w:rPr>
            <w:rStyle w:val="Hyperlink"/>
            <w:noProof/>
          </w:rPr>
          <w:t>Decisions about applying for subsequent WHM visa</w:t>
        </w:r>
        <w:r w:rsidR="00FA0933">
          <w:rPr>
            <w:noProof/>
            <w:webHidden/>
          </w:rPr>
          <w:tab/>
        </w:r>
        <w:r w:rsidR="00FA0933">
          <w:rPr>
            <w:noProof/>
            <w:webHidden/>
          </w:rPr>
          <w:fldChar w:fldCharType="begin"/>
        </w:r>
        <w:r w:rsidR="00FA0933">
          <w:rPr>
            <w:noProof/>
            <w:webHidden/>
          </w:rPr>
          <w:instrText xml:space="preserve"> PAGEREF _Toc75878479 \h </w:instrText>
        </w:r>
        <w:r w:rsidR="00FA0933">
          <w:rPr>
            <w:noProof/>
            <w:webHidden/>
          </w:rPr>
        </w:r>
        <w:r w:rsidR="00FA0933">
          <w:rPr>
            <w:noProof/>
            <w:webHidden/>
          </w:rPr>
          <w:fldChar w:fldCharType="separate"/>
        </w:r>
        <w:r w:rsidR="00F22012">
          <w:rPr>
            <w:noProof/>
            <w:webHidden/>
          </w:rPr>
          <w:t>61</w:t>
        </w:r>
        <w:r w:rsidR="00FA0933">
          <w:rPr>
            <w:noProof/>
            <w:webHidden/>
          </w:rPr>
          <w:fldChar w:fldCharType="end"/>
        </w:r>
      </w:hyperlink>
    </w:p>
    <w:p w14:paraId="20E8534C" w14:textId="77721437"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0" w:history="1">
        <w:r w:rsidR="00FA0933" w:rsidRPr="00176680">
          <w:rPr>
            <w:rStyle w:val="Hyperlink"/>
            <w:noProof/>
          </w:rPr>
          <w:t>8.2.3</w:t>
        </w:r>
        <w:r w:rsidR="00FA0933">
          <w:rPr>
            <w:rFonts w:eastAsiaTheme="minorEastAsia" w:cstheme="minorBidi"/>
            <w:i w:val="0"/>
            <w:iCs w:val="0"/>
            <w:noProof/>
            <w:sz w:val="22"/>
            <w:szCs w:val="22"/>
            <w:lang w:eastAsia="en-AU"/>
          </w:rPr>
          <w:tab/>
        </w:r>
        <w:r w:rsidR="00FA0933" w:rsidRPr="00176680">
          <w:rPr>
            <w:rStyle w:val="Hyperlink"/>
            <w:noProof/>
          </w:rPr>
          <w:t>Recommending the WHM program</w:t>
        </w:r>
        <w:r w:rsidR="00FA0933">
          <w:rPr>
            <w:noProof/>
            <w:webHidden/>
          </w:rPr>
          <w:tab/>
        </w:r>
        <w:r w:rsidR="00FA0933">
          <w:rPr>
            <w:noProof/>
            <w:webHidden/>
          </w:rPr>
          <w:fldChar w:fldCharType="begin"/>
        </w:r>
        <w:r w:rsidR="00FA0933">
          <w:rPr>
            <w:noProof/>
            <w:webHidden/>
          </w:rPr>
          <w:instrText xml:space="preserve"> PAGEREF _Toc75878480 \h </w:instrText>
        </w:r>
        <w:r w:rsidR="00FA0933">
          <w:rPr>
            <w:noProof/>
            <w:webHidden/>
          </w:rPr>
        </w:r>
        <w:r w:rsidR="00FA0933">
          <w:rPr>
            <w:noProof/>
            <w:webHidden/>
          </w:rPr>
          <w:fldChar w:fldCharType="separate"/>
        </w:r>
        <w:r w:rsidR="00F22012">
          <w:rPr>
            <w:noProof/>
            <w:webHidden/>
          </w:rPr>
          <w:t>63</w:t>
        </w:r>
        <w:r w:rsidR="00FA0933">
          <w:rPr>
            <w:noProof/>
            <w:webHidden/>
          </w:rPr>
          <w:fldChar w:fldCharType="end"/>
        </w:r>
      </w:hyperlink>
    </w:p>
    <w:p w14:paraId="0BD04D13" w14:textId="05B13E45"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81" w:history="1">
        <w:r w:rsidR="00FA0933" w:rsidRPr="00176680">
          <w:rPr>
            <w:rStyle w:val="Hyperlink"/>
            <w:noProof/>
          </w:rPr>
          <w:t>8.3</w:t>
        </w:r>
        <w:r w:rsidR="00FA0933">
          <w:rPr>
            <w:rFonts w:eastAsiaTheme="minorEastAsia" w:cstheme="minorBidi"/>
            <w:smallCaps w:val="0"/>
            <w:noProof/>
            <w:sz w:val="22"/>
            <w:szCs w:val="22"/>
            <w:lang w:eastAsia="en-AU"/>
          </w:rPr>
          <w:tab/>
        </w:r>
        <w:r w:rsidR="00FA0933" w:rsidRPr="00176680">
          <w:rPr>
            <w:rStyle w:val="Hyperlink"/>
            <w:noProof/>
          </w:rPr>
          <w:t>Travel to and in Australia</w:t>
        </w:r>
        <w:r w:rsidR="00FA0933">
          <w:rPr>
            <w:noProof/>
            <w:webHidden/>
          </w:rPr>
          <w:tab/>
        </w:r>
        <w:r w:rsidR="00FA0933">
          <w:rPr>
            <w:noProof/>
            <w:webHidden/>
          </w:rPr>
          <w:fldChar w:fldCharType="begin"/>
        </w:r>
        <w:r w:rsidR="00FA0933">
          <w:rPr>
            <w:noProof/>
            <w:webHidden/>
          </w:rPr>
          <w:instrText xml:space="preserve"> PAGEREF _Toc75878481 \h </w:instrText>
        </w:r>
        <w:r w:rsidR="00FA0933">
          <w:rPr>
            <w:noProof/>
            <w:webHidden/>
          </w:rPr>
        </w:r>
        <w:r w:rsidR="00FA0933">
          <w:rPr>
            <w:noProof/>
            <w:webHidden/>
          </w:rPr>
          <w:fldChar w:fldCharType="separate"/>
        </w:r>
        <w:r w:rsidR="00F22012">
          <w:rPr>
            <w:noProof/>
            <w:webHidden/>
          </w:rPr>
          <w:t>65</w:t>
        </w:r>
        <w:r w:rsidR="00FA0933">
          <w:rPr>
            <w:noProof/>
            <w:webHidden/>
          </w:rPr>
          <w:fldChar w:fldCharType="end"/>
        </w:r>
      </w:hyperlink>
    </w:p>
    <w:p w14:paraId="512989CC" w14:textId="75A9569C"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82" w:history="1">
        <w:r w:rsidR="00FA0933" w:rsidRPr="00176680">
          <w:rPr>
            <w:rStyle w:val="Hyperlink"/>
            <w:noProof/>
          </w:rPr>
          <w:t>8.4</w:t>
        </w:r>
        <w:r w:rsidR="00FA0933">
          <w:rPr>
            <w:rFonts w:eastAsiaTheme="minorEastAsia" w:cstheme="minorBidi"/>
            <w:smallCaps w:val="0"/>
            <w:noProof/>
            <w:sz w:val="22"/>
            <w:szCs w:val="22"/>
            <w:lang w:eastAsia="en-AU"/>
          </w:rPr>
          <w:tab/>
        </w:r>
        <w:r w:rsidR="00FA0933" w:rsidRPr="00176680">
          <w:rPr>
            <w:rStyle w:val="Hyperlink"/>
            <w:noProof/>
          </w:rPr>
          <w:t>Destination decisions</w:t>
        </w:r>
        <w:r w:rsidR="00FA0933">
          <w:rPr>
            <w:noProof/>
            <w:webHidden/>
          </w:rPr>
          <w:tab/>
        </w:r>
        <w:r w:rsidR="00FA0933">
          <w:rPr>
            <w:noProof/>
            <w:webHidden/>
          </w:rPr>
          <w:fldChar w:fldCharType="begin"/>
        </w:r>
        <w:r w:rsidR="00FA0933">
          <w:rPr>
            <w:noProof/>
            <w:webHidden/>
          </w:rPr>
          <w:instrText xml:space="preserve"> PAGEREF _Toc75878482 \h </w:instrText>
        </w:r>
        <w:r w:rsidR="00FA0933">
          <w:rPr>
            <w:noProof/>
            <w:webHidden/>
          </w:rPr>
        </w:r>
        <w:r w:rsidR="00FA0933">
          <w:rPr>
            <w:noProof/>
            <w:webHidden/>
          </w:rPr>
          <w:fldChar w:fldCharType="separate"/>
        </w:r>
        <w:r w:rsidR="00F22012">
          <w:rPr>
            <w:noProof/>
            <w:webHidden/>
          </w:rPr>
          <w:t>69</w:t>
        </w:r>
        <w:r w:rsidR="00FA0933">
          <w:rPr>
            <w:noProof/>
            <w:webHidden/>
          </w:rPr>
          <w:fldChar w:fldCharType="end"/>
        </w:r>
      </w:hyperlink>
    </w:p>
    <w:p w14:paraId="41984448" w14:textId="6CD5D79B" w:rsidR="00FA0933" w:rsidRDefault="00CD5EE5">
      <w:pPr>
        <w:pStyle w:val="TOC1"/>
        <w:tabs>
          <w:tab w:val="left" w:pos="420"/>
          <w:tab w:val="right" w:leader="dot" w:pos="9016"/>
        </w:tabs>
        <w:rPr>
          <w:rFonts w:eastAsiaTheme="minorEastAsia" w:cstheme="minorBidi"/>
          <w:b w:val="0"/>
          <w:bCs w:val="0"/>
          <w:caps w:val="0"/>
          <w:noProof/>
          <w:sz w:val="22"/>
          <w:szCs w:val="22"/>
          <w:lang w:eastAsia="en-AU"/>
        </w:rPr>
      </w:pPr>
      <w:hyperlink w:anchor="_Toc75878483" w:history="1">
        <w:r w:rsidR="00FA0933" w:rsidRPr="00176680">
          <w:rPr>
            <w:rStyle w:val="Hyperlink"/>
            <w:noProof/>
          </w:rPr>
          <w:t>9</w:t>
        </w:r>
        <w:r w:rsidR="00FA0933">
          <w:rPr>
            <w:rFonts w:eastAsiaTheme="minorEastAsia" w:cstheme="minorBidi"/>
            <w:b w:val="0"/>
            <w:bCs w:val="0"/>
            <w:caps w:val="0"/>
            <w:noProof/>
            <w:sz w:val="22"/>
            <w:szCs w:val="22"/>
            <w:lang w:eastAsia="en-AU"/>
          </w:rPr>
          <w:tab/>
        </w:r>
        <w:r w:rsidR="00FA0933" w:rsidRPr="00176680">
          <w:rPr>
            <w:rStyle w:val="Hyperlink"/>
            <w:noProof/>
          </w:rPr>
          <w:t>Employers: Perspectives on the WHM program</w:t>
        </w:r>
        <w:r w:rsidR="00FA0933">
          <w:rPr>
            <w:noProof/>
            <w:webHidden/>
          </w:rPr>
          <w:tab/>
        </w:r>
        <w:r w:rsidR="00FA0933">
          <w:rPr>
            <w:noProof/>
            <w:webHidden/>
          </w:rPr>
          <w:fldChar w:fldCharType="begin"/>
        </w:r>
        <w:r w:rsidR="00FA0933">
          <w:rPr>
            <w:noProof/>
            <w:webHidden/>
          </w:rPr>
          <w:instrText xml:space="preserve"> PAGEREF _Toc75878483 \h </w:instrText>
        </w:r>
        <w:r w:rsidR="00FA0933">
          <w:rPr>
            <w:noProof/>
            <w:webHidden/>
          </w:rPr>
        </w:r>
        <w:r w:rsidR="00FA0933">
          <w:rPr>
            <w:noProof/>
            <w:webHidden/>
          </w:rPr>
          <w:fldChar w:fldCharType="separate"/>
        </w:r>
        <w:r w:rsidR="00F22012">
          <w:rPr>
            <w:noProof/>
            <w:webHidden/>
          </w:rPr>
          <w:t>71</w:t>
        </w:r>
        <w:r w:rsidR="00FA0933">
          <w:rPr>
            <w:noProof/>
            <w:webHidden/>
          </w:rPr>
          <w:fldChar w:fldCharType="end"/>
        </w:r>
      </w:hyperlink>
    </w:p>
    <w:p w14:paraId="09804A96" w14:textId="0FF1891B"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84" w:history="1">
        <w:r w:rsidR="00FA0933" w:rsidRPr="00176680">
          <w:rPr>
            <w:rStyle w:val="Hyperlink"/>
            <w:noProof/>
          </w:rPr>
          <w:t>9.1</w:t>
        </w:r>
        <w:r w:rsidR="00FA0933">
          <w:rPr>
            <w:rFonts w:eastAsiaTheme="minorEastAsia" w:cstheme="minorBidi"/>
            <w:smallCaps w:val="0"/>
            <w:noProof/>
            <w:sz w:val="22"/>
            <w:szCs w:val="22"/>
            <w:lang w:eastAsia="en-AU"/>
          </w:rPr>
          <w:tab/>
        </w:r>
        <w:r w:rsidR="00FA0933" w:rsidRPr="00176680">
          <w:rPr>
            <w:rStyle w:val="Hyperlink"/>
            <w:noProof/>
          </w:rPr>
          <w:t>Importance of WHMs to Australian businesses</w:t>
        </w:r>
        <w:r w:rsidR="00FA0933">
          <w:rPr>
            <w:noProof/>
            <w:webHidden/>
          </w:rPr>
          <w:tab/>
        </w:r>
        <w:r w:rsidR="00FA0933">
          <w:rPr>
            <w:noProof/>
            <w:webHidden/>
          </w:rPr>
          <w:fldChar w:fldCharType="begin"/>
        </w:r>
        <w:r w:rsidR="00FA0933">
          <w:rPr>
            <w:noProof/>
            <w:webHidden/>
          </w:rPr>
          <w:instrText xml:space="preserve"> PAGEREF _Toc75878484 \h </w:instrText>
        </w:r>
        <w:r w:rsidR="00FA0933">
          <w:rPr>
            <w:noProof/>
            <w:webHidden/>
          </w:rPr>
        </w:r>
        <w:r w:rsidR="00FA0933">
          <w:rPr>
            <w:noProof/>
            <w:webHidden/>
          </w:rPr>
          <w:fldChar w:fldCharType="separate"/>
        </w:r>
        <w:r w:rsidR="00F22012">
          <w:rPr>
            <w:noProof/>
            <w:webHidden/>
          </w:rPr>
          <w:t>71</w:t>
        </w:r>
        <w:r w:rsidR="00FA0933">
          <w:rPr>
            <w:noProof/>
            <w:webHidden/>
          </w:rPr>
          <w:fldChar w:fldCharType="end"/>
        </w:r>
      </w:hyperlink>
    </w:p>
    <w:p w14:paraId="19BA1A76" w14:textId="7A4DD651"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5" w:history="1">
        <w:r w:rsidR="00FA0933" w:rsidRPr="00176680">
          <w:rPr>
            <w:rStyle w:val="Hyperlink"/>
            <w:noProof/>
          </w:rPr>
          <w:t>9.1.1</w:t>
        </w:r>
        <w:r w:rsidR="00FA0933">
          <w:rPr>
            <w:rFonts w:eastAsiaTheme="minorEastAsia" w:cstheme="minorBidi"/>
            <w:i w:val="0"/>
            <w:iCs w:val="0"/>
            <w:noProof/>
            <w:sz w:val="22"/>
            <w:szCs w:val="22"/>
            <w:lang w:eastAsia="en-AU"/>
          </w:rPr>
          <w:tab/>
        </w:r>
        <w:r w:rsidR="00FA0933" w:rsidRPr="00176680">
          <w:rPr>
            <w:rStyle w:val="Hyperlink"/>
            <w:noProof/>
          </w:rPr>
          <w:t>Critical support in peak season</w:t>
        </w:r>
        <w:r w:rsidR="00FA0933">
          <w:rPr>
            <w:noProof/>
            <w:webHidden/>
          </w:rPr>
          <w:tab/>
        </w:r>
        <w:r w:rsidR="00FA0933">
          <w:rPr>
            <w:noProof/>
            <w:webHidden/>
          </w:rPr>
          <w:fldChar w:fldCharType="begin"/>
        </w:r>
        <w:r w:rsidR="00FA0933">
          <w:rPr>
            <w:noProof/>
            <w:webHidden/>
          </w:rPr>
          <w:instrText xml:space="preserve"> PAGEREF _Toc75878485 \h </w:instrText>
        </w:r>
        <w:r w:rsidR="00FA0933">
          <w:rPr>
            <w:noProof/>
            <w:webHidden/>
          </w:rPr>
        </w:r>
        <w:r w:rsidR="00FA0933">
          <w:rPr>
            <w:noProof/>
            <w:webHidden/>
          </w:rPr>
          <w:fldChar w:fldCharType="separate"/>
        </w:r>
        <w:r w:rsidR="00F22012">
          <w:rPr>
            <w:noProof/>
            <w:webHidden/>
          </w:rPr>
          <w:t>73</w:t>
        </w:r>
        <w:r w:rsidR="00FA0933">
          <w:rPr>
            <w:noProof/>
            <w:webHidden/>
          </w:rPr>
          <w:fldChar w:fldCharType="end"/>
        </w:r>
      </w:hyperlink>
    </w:p>
    <w:p w14:paraId="1395DCAA" w14:textId="572088D2"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6" w:history="1">
        <w:r w:rsidR="00FA0933" w:rsidRPr="00176680">
          <w:rPr>
            <w:rStyle w:val="Hyperlink"/>
            <w:noProof/>
          </w:rPr>
          <w:t>9.1.2</w:t>
        </w:r>
        <w:r w:rsidR="00FA0933">
          <w:rPr>
            <w:rFonts w:eastAsiaTheme="minorEastAsia" w:cstheme="minorBidi"/>
            <w:i w:val="0"/>
            <w:iCs w:val="0"/>
            <w:noProof/>
            <w:sz w:val="22"/>
            <w:szCs w:val="22"/>
            <w:lang w:eastAsia="en-AU"/>
          </w:rPr>
          <w:tab/>
        </w:r>
        <w:r w:rsidR="00FA0933" w:rsidRPr="00176680">
          <w:rPr>
            <w:rStyle w:val="Hyperlink"/>
            <w:noProof/>
          </w:rPr>
          <w:t>Filling a local void in regions</w:t>
        </w:r>
        <w:r w:rsidR="00FA0933">
          <w:rPr>
            <w:noProof/>
            <w:webHidden/>
          </w:rPr>
          <w:tab/>
        </w:r>
        <w:r w:rsidR="00FA0933">
          <w:rPr>
            <w:noProof/>
            <w:webHidden/>
          </w:rPr>
          <w:fldChar w:fldCharType="begin"/>
        </w:r>
        <w:r w:rsidR="00FA0933">
          <w:rPr>
            <w:noProof/>
            <w:webHidden/>
          </w:rPr>
          <w:instrText xml:space="preserve"> PAGEREF _Toc75878486 \h </w:instrText>
        </w:r>
        <w:r w:rsidR="00FA0933">
          <w:rPr>
            <w:noProof/>
            <w:webHidden/>
          </w:rPr>
        </w:r>
        <w:r w:rsidR="00FA0933">
          <w:rPr>
            <w:noProof/>
            <w:webHidden/>
          </w:rPr>
          <w:fldChar w:fldCharType="separate"/>
        </w:r>
        <w:r w:rsidR="00F22012">
          <w:rPr>
            <w:noProof/>
            <w:webHidden/>
          </w:rPr>
          <w:t>74</w:t>
        </w:r>
        <w:r w:rsidR="00FA0933">
          <w:rPr>
            <w:noProof/>
            <w:webHidden/>
          </w:rPr>
          <w:fldChar w:fldCharType="end"/>
        </w:r>
      </w:hyperlink>
    </w:p>
    <w:p w14:paraId="773F1748" w14:textId="7774C5AD"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7" w:history="1">
        <w:r w:rsidR="00FA0933" w:rsidRPr="00176680">
          <w:rPr>
            <w:rStyle w:val="Hyperlink"/>
            <w:noProof/>
          </w:rPr>
          <w:t>9.1.3</w:t>
        </w:r>
        <w:r w:rsidR="00FA0933">
          <w:rPr>
            <w:rFonts w:eastAsiaTheme="minorEastAsia" w:cstheme="minorBidi"/>
            <w:i w:val="0"/>
            <w:iCs w:val="0"/>
            <w:noProof/>
            <w:sz w:val="22"/>
            <w:szCs w:val="22"/>
            <w:lang w:eastAsia="en-AU"/>
          </w:rPr>
          <w:tab/>
        </w:r>
        <w:r w:rsidR="00FA0933" w:rsidRPr="00176680">
          <w:rPr>
            <w:rStyle w:val="Hyperlink"/>
            <w:noProof/>
          </w:rPr>
          <w:t>Nature of the work</w:t>
        </w:r>
        <w:r w:rsidR="00FA0933">
          <w:rPr>
            <w:noProof/>
            <w:webHidden/>
          </w:rPr>
          <w:tab/>
        </w:r>
        <w:r w:rsidR="00FA0933">
          <w:rPr>
            <w:noProof/>
            <w:webHidden/>
          </w:rPr>
          <w:fldChar w:fldCharType="begin"/>
        </w:r>
        <w:r w:rsidR="00FA0933">
          <w:rPr>
            <w:noProof/>
            <w:webHidden/>
          </w:rPr>
          <w:instrText xml:space="preserve"> PAGEREF _Toc75878487 \h </w:instrText>
        </w:r>
        <w:r w:rsidR="00FA0933">
          <w:rPr>
            <w:noProof/>
            <w:webHidden/>
          </w:rPr>
        </w:r>
        <w:r w:rsidR="00FA0933">
          <w:rPr>
            <w:noProof/>
            <w:webHidden/>
          </w:rPr>
          <w:fldChar w:fldCharType="separate"/>
        </w:r>
        <w:r w:rsidR="00F22012">
          <w:rPr>
            <w:noProof/>
            <w:webHidden/>
          </w:rPr>
          <w:t>75</w:t>
        </w:r>
        <w:r w:rsidR="00FA0933">
          <w:rPr>
            <w:noProof/>
            <w:webHidden/>
          </w:rPr>
          <w:fldChar w:fldCharType="end"/>
        </w:r>
      </w:hyperlink>
    </w:p>
    <w:p w14:paraId="4A6D27D5" w14:textId="3B46E179"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8" w:history="1">
        <w:r w:rsidR="00FA0933" w:rsidRPr="00176680">
          <w:rPr>
            <w:rStyle w:val="Hyperlink"/>
            <w:noProof/>
          </w:rPr>
          <w:t>9.1.4</w:t>
        </w:r>
        <w:r w:rsidR="00FA0933">
          <w:rPr>
            <w:rFonts w:eastAsiaTheme="minorEastAsia" w:cstheme="minorBidi"/>
            <w:i w:val="0"/>
            <w:iCs w:val="0"/>
            <w:noProof/>
            <w:sz w:val="22"/>
            <w:szCs w:val="22"/>
            <w:lang w:eastAsia="en-AU"/>
          </w:rPr>
          <w:tab/>
        </w:r>
        <w:r w:rsidR="00FA0933" w:rsidRPr="00176680">
          <w:rPr>
            <w:rStyle w:val="Hyperlink"/>
            <w:noProof/>
          </w:rPr>
          <w:t>A flexible mobile workforce</w:t>
        </w:r>
        <w:r w:rsidR="00FA0933">
          <w:rPr>
            <w:noProof/>
            <w:webHidden/>
          </w:rPr>
          <w:tab/>
        </w:r>
        <w:r w:rsidR="00FA0933">
          <w:rPr>
            <w:noProof/>
            <w:webHidden/>
          </w:rPr>
          <w:fldChar w:fldCharType="begin"/>
        </w:r>
        <w:r w:rsidR="00FA0933">
          <w:rPr>
            <w:noProof/>
            <w:webHidden/>
          </w:rPr>
          <w:instrText xml:space="preserve"> PAGEREF _Toc75878488 \h </w:instrText>
        </w:r>
        <w:r w:rsidR="00FA0933">
          <w:rPr>
            <w:noProof/>
            <w:webHidden/>
          </w:rPr>
        </w:r>
        <w:r w:rsidR="00FA0933">
          <w:rPr>
            <w:noProof/>
            <w:webHidden/>
          </w:rPr>
          <w:fldChar w:fldCharType="separate"/>
        </w:r>
        <w:r w:rsidR="00F22012">
          <w:rPr>
            <w:noProof/>
            <w:webHidden/>
          </w:rPr>
          <w:t>75</w:t>
        </w:r>
        <w:r w:rsidR="00FA0933">
          <w:rPr>
            <w:noProof/>
            <w:webHidden/>
          </w:rPr>
          <w:fldChar w:fldCharType="end"/>
        </w:r>
      </w:hyperlink>
    </w:p>
    <w:p w14:paraId="589DE7D3" w14:textId="4A0277D8"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89" w:history="1">
        <w:r w:rsidR="00FA0933" w:rsidRPr="00176680">
          <w:rPr>
            <w:rStyle w:val="Hyperlink"/>
            <w:noProof/>
          </w:rPr>
          <w:t>9.1.5</w:t>
        </w:r>
        <w:r w:rsidR="00FA0933">
          <w:rPr>
            <w:rFonts w:eastAsiaTheme="minorEastAsia" w:cstheme="minorBidi"/>
            <w:i w:val="0"/>
            <w:iCs w:val="0"/>
            <w:noProof/>
            <w:sz w:val="22"/>
            <w:szCs w:val="22"/>
            <w:lang w:eastAsia="en-AU"/>
          </w:rPr>
          <w:tab/>
        </w:r>
        <w:r w:rsidR="00FA0933" w:rsidRPr="00176680">
          <w:rPr>
            <w:rStyle w:val="Hyperlink"/>
            <w:noProof/>
          </w:rPr>
          <w:t>A motivated workforce</w:t>
        </w:r>
        <w:r w:rsidR="00FA0933">
          <w:rPr>
            <w:noProof/>
            <w:webHidden/>
          </w:rPr>
          <w:tab/>
        </w:r>
        <w:r w:rsidR="00FA0933">
          <w:rPr>
            <w:noProof/>
            <w:webHidden/>
          </w:rPr>
          <w:fldChar w:fldCharType="begin"/>
        </w:r>
        <w:r w:rsidR="00FA0933">
          <w:rPr>
            <w:noProof/>
            <w:webHidden/>
          </w:rPr>
          <w:instrText xml:space="preserve"> PAGEREF _Toc75878489 \h </w:instrText>
        </w:r>
        <w:r w:rsidR="00FA0933">
          <w:rPr>
            <w:noProof/>
            <w:webHidden/>
          </w:rPr>
        </w:r>
        <w:r w:rsidR="00FA0933">
          <w:rPr>
            <w:noProof/>
            <w:webHidden/>
          </w:rPr>
          <w:fldChar w:fldCharType="separate"/>
        </w:r>
        <w:r w:rsidR="00F22012">
          <w:rPr>
            <w:noProof/>
            <w:webHidden/>
          </w:rPr>
          <w:t>76</w:t>
        </w:r>
        <w:r w:rsidR="00FA0933">
          <w:rPr>
            <w:noProof/>
            <w:webHidden/>
          </w:rPr>
          <w:fldChar w:fldCharType="end"/>
        </w:r>
      </w:hyperlink>
    </w:p>
    <w:p w14:paraId="3CD37480" w14:textId="69583B95"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90" w:history="1">
        <w:r w:rsidR="00FA0933" w:rsidRPr="00176680">
          <w:rPr>
            <w:rStyle w:val="Hyperlink"/>
            <w:noProof/>
          </w:rPr>
          <w:t>9.1.6</w:t>
        </w:r>
        <w:r w:rsidR="00FA0933">
          <w:rPr>
            <w:rFonts w:eastAsiaTheme="minorEastAsia" w:cstheme="minorBidi"/>
            <w:i w:val="0"/>
            <w:iCs w:val="0"/>
            <w:noProof/>
            <w:sz w:val="22"/>
            <w:szCs w:val="22"/>
            <w:lang w:eastAsia="en-AU"/>
          </w:rPr>
          <w:tab/>
        </w:r>
        <w:r w:rsidR="00FA0933" w:rsidRPr="00176680">
          <w:rPr>
            <w:rStyle w:val="Hyperlink"/>
            <w:noProof/>
          </w:rPr>
          <w:t>Managing transience</w:t>
        </w:r>
        <w:r w:rsidR="00FA0933">
          <w:rPr>
            <w:noProof/>
            <w:webHidden/>
          </w:rPr>
          <w:tab/>
        </w:r>
        <w:r w:rsidR="00FA0933">
          <w:rPr>
            <w:noProof/>
            <w:webHidden/>
          </w:rPr>
          <w:fldChar w:fldCharType="begin"/>
        </w:r>
        <w:r w:rsidR="00FA0933">
          <w:rPr>
            <w:noProof/>
            <w:webHidden/>
          </w:rPr>
          <w:instrText xml:space="preserve"> PAGEREF _Toc75878490 \h </w:instrText>
        </w:r>
        <w:r w:rsidR="00FA0933">
          <w:rPr>
            <w:noProof/>
            <w:webHidden/>
          </w:rPr>
        </w:r>
        <w:r w:rsidR="00FA0933">
          <w:rPr>
            <w:noProof/>
            <w:webHidden/>
          </w:rPr>
          <w:fldChar w:fldCharType="separate"/>
        </w:r>
        <w:r w:rsidR="00F22012">
          <w:rPr>
            <w:noProof/>
            <w:webHidden/>
          </w:rPr>
          <w:t>77</w:t>
        </w:r>
        <w:r w:rsidR="00FA0933">
          <w:rPr>
            <w:noProof/>
            <w:webHidden/>
          </w:rPr>
          <w:fldChar w:fldCharType="end"/>
        </w:r>
      </w:hyperlink>
    </w:p>
    <w:p w14:paraId="17292D17" w14:textId="11AA232B"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91" w:history="1">
        <w:r w:rsidR="00FA0933" w:rsidRPr="00176680">
          <w:rPr>
            <w:rStyle w:val="Hyperlink"/>
            <w:noProof/>
          </w:rPr>
          <w:t>9.2</w:t>
        </w:r>
        <w:r w:rsidR="00FA0933">
          <w:rPr>
            <w:rFonts w:eastAsiaTheme="minorEastAsia" w:cstheme="minorBidi"/>
            <w:smallCaps w:val="0"/>
            <w:noProof/>
            <w:sz w:val="22"/>
            <w:szCs w:val="22"/>
            <w:lang w:eastAsia="en-AU"/>
          </w:rPr>
          <w:tab/>
        </w:r>
        <w:r w:rsidR="00FA0933" w:rsidRPr="00176680">
          <w:rPr>
            <w:rStyle w:val="Hyperlink"/>
            <w:noProof/>
          </w:rPr>
          <w:t>Employer perceptions of the WHM program</w:t>
        </w:r>
        <w:r w:rsidR="00FA0933">
          <w:rPr>
            <w:noProof/>
            <w:webHidden/>
          </w:rPr>
          <w:tab/>
        </w:r>
        <w:r w:rsidR="00FA0933">
          <w:rPr>
            <w:noProof/>
            <w:webHidden/>
          </w:rPr>
          <w:fldChar w:fldCharType="begin"/>
        </w:r>
        <w:r w:rsidR="00FA0933">
          <w:rPr>
            <w:noProof/>
            <w:webHidden/>
          </w:rPr>
          <w:instrText xml:space="preserve"> PAGEREF _Toc75878491 \h </w:instrText>
        </w:r>
        <w:r w:rsidR="00FA0933">
          <w:rPr>
            <w:noProof/>
            <w:webHidden/>
          </w:rPr>
        </w:r>
        <w:r w:rsidR="00FA0933">
          <w:rPr>
            <w:noProof/>
            <w:webHidden/>
          </w:rPr>
          <w:fldChar w:fldCharType="separate"/>
        </w:r>
        <w:r w:rsidR="00F22012">
          <w:rPr>
            <w:noProof/>
            <w:webHidden/>
          </w:rPr>
          <w:t>77</w:t>
        </w:r>
        <w:r w:rsidR="00FA0933">
          <w:rPr>
            <w:noProof/>
            <w:webHidden/>
          </w:rPr>
          <w:fldChar w:fldCharType="end"/>
        </w:r>
      </w:hyperlink>
    </w:p>
    <w:p w14:paraId="21B395FC" w14:textId="635395B2"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92" w:history="1">
        <w:r w:rsidR="00FA0933" w:rsidRPr="00176680">
          <w:rPr>
            <w:rStyle w:val="Hyperlink"/>
            <w:noProof/>
          </w:rPr>
          <w:t>9.2.1</w:t>
        </w:r>
        <w:r w:rsidR="00FA0933">
          <w:rPr>
            <w:rFonts w:eastAsiaTheme="minorEastAsia" w:cstheme="minorBidi"/>
            <w:i w:val="0"/>
            <w:iCs w:val="0"/>
            <w:noProof/>
            <w:sz w:val="22"/>
            <w:szCs w:val="22"/>
            <w:lang w:eastAsia="en-AU"/>
          </w:rPr>
          <w:tab/>
        </w:r>
        <w:r w:rsidR="00FA0933" w:rsidRPr="00176680">
          <w:rPr>
            <w:rStyle w:val="Hyperlink"/>
            <w:noProof/>
          </w:rPr>
          <w:t>Benefits of the WHM program</w:t>
        </w:r>
        <w:r w:rsidR="00FA0933">
          <w:rPr>
            <w:noProof/>
            <w:webHidden/>
          </w:rPr>
          <w:tab/>
        </w:r>
        <w:r w:rsidR="00FA0933">
          <w:rPr>
            <w:noProof/>
            <w:webHidden/>
          </w:rPr>
          <w:fldChar w:fldCharType="begin"/>
        </w:r>
        <w:r w:rsidR="00FA0933">
          <w:rPr>
            <w:noProof/>
            <w:webHidden/>
          </w:rPr>
          <w:instrText xml:space="preserve"> PAGEREF _Toc75878492 \h </w:instrText>
        </w:r>
        <w:r w:rsidR="00FA0933">
          <w:rPr>
            <w:noProof/>
            <w:webHidden/>
          </w:rPr>
        </w:r>
        <w:r w:rsidR="00FA0933">
          <w:rPr>
            <w:noProof/>
            <w:webHidden/>
          </w:rPr>
          <w:fldChar w:fldCharType="separate"/>
        </w:r>
        <w:r w:rsidR="00F22012">
          <w:rPr>
            <w:noProof/>
            <w:webHidden/>
          </w:rPr>
          <w:t>77</w:t>
        </w:r>
        <w:r w:rsidR="00FA0933">
          <w:rPr>
            <w:noProof/>
            <w:webHidden/>
          </w:rPr>
          <w:fldChar w:fldCharType="end"/>
        </w:r>
      </w:hyperlink>
    </w:p>
    <w:p w14:paraId="018DBB18" w14:textId="3625AD53"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93" w:history="1">
        <w:r w:rsidR="00FA0933" w:rsidRPr="00176680">
          <w:rPr>
            <w:rStyle w:val="Hyperlink"/>
            <w:noProof/>
          </w:rPr>
          <w:t>9.2.2</w:t>
        </w:r>
        <w:r w:rsidR="00FA0933">
          <w:rPr>
            <w:rFonts w:eastAsiaTheme="minorEastAsia" w:cstheme="minorBidi"/>
            <w:i w:val="0"/>
            <w:iCs w:val="0"/>
            <w:noProof/>
            <w:sz w:val="22"/>
            <w:szCs w:val="22"/>
            <w:lang w:eastAsia="en-AU"/>
          </w:rPr>
          <w:tab/>
        </w:r>
        <w:r w:rsidR="00FA0933" w:rsidRPr="00176680">
          <w:rPr>
            <w:rStyle w:val="Hyperlink"/>
            <w:noProof/>
          </w:rPr>
          <w:t>Program restrictions</w:t>
        </w:r>
        <w:r w:rsidR="00FA0933">
          <w:rPr>
            <w:noProof/>
            <w:webHidden/>
          </w:rPr>
          <w:tab/>
        </w:r>
        <w:r w:rsidR="00FA0933">
          <w:rPr>
            <w:noProof/>
            <w:webHidden/>
          </w:rPr>
          <w:fldChar w:fldCharType="begin"/>
        </w:r>
        <w:r w:rsidR="00FA0933">
          <w:rPr>
            <w:noProof/>
            <w:webHidden/>
          </w:rPr>
          <w:instrText xml:space="preserve"> PAGEREF _Toc75878493 \h </w:instrText>
        </w:r>
        <w:r w:rsidR="00FA0933">
          <w:rPr>
            <w:noProof/>
            <w:webHidden/>
          </w:rPr>
        </w:r>
        <w:r w:rsidR="00FA0933">
          <w:rPr>
            <w:noProof/>
            <w:webHidden/>
          </w:rPr>
          <w:fldChar w:fldCharType="separate"/>
        </w:r>
        <w:r w:rsidR="00F22012">
          <w:rPr>
            <w:noProof/>
            <w:webHidden/>
          </w:rPr>
          <w:t>79</w:t>
        </w:r>
        <w:r w:rsidR="00FA0933">
          <w:rPr>
            <w:noProof/>
            <w:webHidden/>
          </w:rPr>
          <w:fldChar w:fldCharType="end"/>
        </w:r>
      </w:hyperlink>
    </w:p>
    <w:p w14:paraId="354F3354" w14:textId="1B0201E6"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94" w:history="1">
        <w:r w:rsidR="00FA0933" w:rsidRPr="00176680">
          <w:rPr>
            <w:rStyle w:val="Hyperlink"/>
            <w:noProof/>
          </w:rPr>
          <w:t>9.2.3</w:t>
        </w:r>
        <w:r w:rsidR="00FA0933">
          <w:rPr>
            <w:rFonts w:eastAsiaTheme="minorEastAsia" w:cstheme="minorBidi"/>
            <w:i w:val="0"/>
            <w:iCs w:val="0"/>
            <w:noProof/>
            <w:sz w:val="22"/>
            <w:szCs w:val="22"/>
            <w:lang w:eastAsia="en-AU"/>
          </w:rPr>
          <w:tab/>
        </w:r>
        <w:r w:rsidR="00FA0933" w:rsidRPr="00176680">
          <w:rPr>
            <w:rStyle w:val="Hyperlink"/>
            <w:noProof/>
          </w:rPr>
          <w:t>Complex arrangements</w:t>
        </w:r>
        <w:r w:rsidR="00FA0933">
          <w:rPr>
            <w:noProof/>
            <w:webHidden/>
          </w:rPr>
          <w:tab/>
        </w:r>
        <w:r w:rsidR="00FA0933">
          <w:rPr>
            <w:noProof/>
            <w:webHidden/>
          </w:rPr>
          <w:fldChar w:fldCharType="begin"/>
        </w:r>
        <w:r w:rsidR="00FA0933">
          <w:rPr>
            <w:noProof/>
            <w:webHidden/>
          </w:rPr>
          <w:instrText xml:space="preserve"> PAGEREF _Toc75878494 \h </w:instrText>
        </w:r>
        <w:r w:rsidR="00FA0933">
          <w:rPr>
            <w:noProof/>
            <w:webHidden/>
          </w:rPr>
        </w:r>
        <w:r w:rsidR="00FA0933">
          <w:rPr>
            <w:noProof/>
            <w:webHidden/>
          </w:rPr>
          <w:fldChar w:fldCharType="separate"/>
        </w:r>
        <w:r w:rsidR="00F22012">
          <w:rPr>
            <w:noProof/>
            <w:webHidden/>
          </w:rPr>
          <w:t>80</w:t>
        </w:r>
        <w:r w:rsidR="00FA0933">
          <w:rPr>
            <w:noProof/>
            <w:webHidden/>
          </w:rPr>
          <w:fldChar w:fldCharType="end"/>
        </w:r>
      </w:hyperlink>
    </w:p>
    <w:p w14:paraId="3A70EC6B" w14:textId="697AF13B" w:rsidR="00FA0933" w:rsidRDefault="00CD5EE5">
      <w:pPr>
        <w:pStyle w:val="TOC3"/>
        <w:tabs>
          <w:tab w:val="left" w:pos="1050"/>
          <w:tab w:val="right" w:leader="dot" w:pos="9016"/>
        </w:tabs>
        <w:rPr>
          <w:rFonts w:eastAsiaTheme="minorEastAsia" w:cstheme="minorBidi"/>
          <w:i w:val="0"/>
          <w:iCs w:val="0"/>
          <w:noProof/>
          <w:sz w:val="22"/>
          <w:szCs w:val="22"/>
          <w:lang w:eastAsia="en-AU"/>
        </w:rPr>
      </w:pPr>
      <w:hyperlink w:anchor="_Toc75878495" w:history="1">
        <w:r w:rsidR="00FA0933" w:rsidRPr="00176680">
          <w:rPr>
            <w:rStyle w:val="Hyperlink"/>
            <w:noProof/>
          </w:rPr>
          <w:t>9.2.4</w:t>
        </w:r>
        <w:r w:rsidR="00FA0933">
          <w:rPr>
            <w:rFonts w:eastAsiaTheme="minorEastAsia" w:cstheme="minorBidi"/>
            <w:i w:val="0"/>
            <w:iCs w:val="0"/>
            <w:noProof/>
            <w:sz w:val="22"/>
            <w:szCs w:val="22"/>
            <w:lang w:eastAsia="en-AU"/>
          </w:rPr>
          <w:tab/>
        </w:r>
        <w:r w:rsidR="00FA0933" w:rsidRPr="00176680">
          <w:rPr>
            <w:rStyle w:val="Hyperlink"/>
            <w:noProof/>
          </w:rPr>
          <w:t>Increased support for employers</w:t>
        </w:r>
        <w:r w:rsidR="00FA0933">
          <w:rPr>
            <w:noProof/>
            <w:webHidden/>
          </w:rPr>
          <w:tab/>
        </w:r>
        <w:r w:rsidR="00FA0933">
          <w:rPr>
            <w:noProof/>
            <w:webHidden/>
          </w:rPr>
          <w:fldChar w:fldCharType="begin"/>
        </w:r>
        <w:r w:rsidR="00FA0933">
          <w:rPr>
            <w:noProof/>
            <w:webHidden/>
          </w:rPr>
          <w:instrText xml:space="preserve"> PAGEREF _Toc75878495 \h </w:instrText>
        </w:r>
        <w:r w:rsidR="00FA0933">
          <w:rPr>
            <w:noProof/>
            <w:webHidden/>
          </w:rPr>
        </w:r>
        <w:r w:rsidR="00FA0933">
          <w:rPr>
            <w:noProof/>
            <w:webHidden/>
          </w:rPr>
          <w:fldChar w:fldCharType="separate"/>
        </w:r>
        <w:r w:rsidR="00F22012">
          <w:rPr>
            <w:noProof/>
            <w:webHidden/>
          </w:rPr>
          <w:t>81</w:t>
        </w:r>
        <w:r w:rsidR="00FA0933">
          <w:rPr>
            <w:noProof/>
            <w:webHidden/>
          </w:rPr>
          <w:fldChar w:fldCharType="end"/>
        </w:r>
      </w:hyperlink>
    </w:p>
    <w:p w14:paraId="192A8E1E" w14:textId="139DDC76" w:rsidR="00FA0933" w:rsidRDefault="00CD5EE5">
      <w:pPr>
        <w:pStyle w:val="TOC1"/>
        <w:tabs>
          <w:tab w:val="left" w:pos="630"/>
          <w:tab w:val="right" w:leader="dot" w:pos="9016"/>
        </w:tabs>
        <w:rPr>
          <w:rFonts w:eastAsiaTheme="minorEastAsia" w:cstheme="minorBidi"/>
          <w:b w:val="0"/>
          <w:bCs w:val="0"/>
          <w:caps w:val="0"/>
          <w:noProof/>
          <w:sz w:val="22"/>
          <w:szCs w:val="22"/>
          <w:lang w:eastAsia="en-AU"/>
        </w:rPr>
      </w:pPr>
      <w:hyperlink w:anchor="_Toc75878496" w:history="1">
        <w:r w:rsidR="00FA0933" w:rsidRPr="00176680">
          <w:rPr>
            <w:rStyle w:val="Hyperlink"/>
            <w:noProof/>
          </w:rPr>
          <w:t>10</w:t>
        </w:r>
        <w:r w:rsidR="00FA0933">
          <w:rPr>
            <w:rFonts w:eastAsiaTheme="minorEastAsia" w:cstheme="minorBidi"/>
            <w:b w:val="0"/>
            <w:bCs w:val="0"/>
            <w:caps w:val="0"/>
            <w:noProof/>
            <w:sz w:val="22"/>
            <w:szCs w:val="22"/>
            <w:lang w:eastAsia="en-AU"/>
          </w:rPr>
          <w:tab/>
        </w:r>
        <w:r w:rsidR="00FA0933" w:rsidRPr="00176680">
          <w:rPr>
            <w:rStyle w:val="Hyperlink"/>
            <w:noProof/>
          </w:rPr>
          <w:t>Employers: Impact of COVID-19</w:t>
        </w:r>
        <w:r w:rsidR="00FA0933">
          <w:rPr>
            <w:noProof/>
            <w:webHidden/>
          </w:rPr>
          <w:tab/>
        </w:r>
        <w:r w:rsidR="00FA0933">
          <w:rPr>
            <w:noProof/>
            <w:webHidden/>
          </w:rPr>
          <w:fldChar w:fldCharType="begin"/>
        </w:r>
        <w:r w:rsidR="00FA0933">
          <w:rPr>
            <w:noProof/>
            <w:webHidden/>
          </w:rPr>
          <w:instrText xml:space="preserve"> PAGEREF _Toc75878496 \h </w:instrText>
        </w:r>
        <w:r w:rsidR="00FA0933">
          <w:rPr>
            <w:noProof/>
            <w:webHidden/>
          </w:rPr>
        </w:r>
        <w:r w:rsidR="00FA0933">
          <w:rPr>
            <w:noProof/>
            <w:webHidden/>
          </w:rPr>
          <w:fldChar w:fldCharType="separate"/>
        </w:r>
        <w:r w:rsidR="00F22012">
          <w:rPr>
            <w:noProof/>
            <w:webHidden/>
          </w:rPr>
          <w:t>83</w:t>
        </w:r>
        <w:r w:rsidR="00FA0933">
          <w:rPr>
            <w:noProof/>
            <w:webHidden/>
          </w:rPr>
          <w:fldChar w:fldCharType="end"/>
        </w:r>
      </w:hyperlink>
    </w:p>
    <w:p w14:paraId="109ACA67" w14:textId="0DB15BC8"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97" w:history="1">
        <w:r w:rsidR="00FA0933" w:rsidRPr="00176680">
          <w:rPr>
            <w:rStyle w:val="Hyperlink"/>
            <w:noProof/>
          </w:rPr>
          <w:t>10.1</w:t>
        </w:r>
        <w:r w:rsidR="00FA0933">
          <w:rPr>
            <w:rFonts w:eastAsiaTheme="minorEastAsia" w:cstheme="minorBidi"/>
            <w:smallCaps w:val="0"/>
            <w:noProof/>
            <w:sz w:val="22"/>
            <w:szCs w:val="22"/>
            <w:lang w:eastAsia="en-AU"/>
          </w:rPr>
          <w:tab/>
        </w:r>
        <w:r w:rsidR="00FA0933" w:rsidRPr="00176680">
          <w:rPr>
            <w:rStyle w:val="Hyperlink"/>
            <w:noProof/>
          </w:rPr>
          <w:t>Change in business size, 2019-2020</w:t>
        </w:r>
        <w:r w:rsidR="00FA0933">
          <w:rPr>
            <w:noProof/>
            <w:webHidden/>
          </w:rPr>
          <w:tab/>
        </w:r>
        <w:r w:rsidR="00FA0933">
          <w:rPr>
            <w:noProof/>
            <w:webHidden/>
          </w:rPr>
          <w:fldChar w:fldCharType="begin"/>
        </w:r>
        <w:r w:rsidR="00FA0933">
          <w:rPr>
            <w:noProof/>
            <w:webHidden/>
          </w:rPr>
          <w:instrText xml:space="preserve"> PAGEREF _Toc75878497 \h </w:instrText>
        </w:r>
        <w:r w:rsidR="00FA0933">
          <w:rPr>
            <w:noProof/>
            <w:webHidden/>
          </w:rPr>
        </w:r>
        <w:r w:rsidR="00FA0933">
          <w:rPr>
            <w:noProof/>
            <w:webHidden/>
          </w:rPr>
          <w:fldChar w:fldCharType="separate"/>
        </w:r>
        <w:r w:rsidR="00F22012">
          <w:rPr>
            <w:noProof/>
            <w:webHidden/>
          </w:rPr>
          <w:t>83</w:t>
        </w:r>
        <w:r w:rsidR="00FA0933">
          <w:rPr>
            <w:noProof/>
            <w:webHidden/>
          </w:rPr>
          <w:fldChar w:fldCharType="end"/>
        </w:r>
      </w:hyperlink>
    </w:p>
    <w:p w14:paraId="1D53790F" w14:textId="66FC7CD4"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498" w:history="1">
        <w:r w:rsidR="00FA0933" w:rsidRPr="00176680">
          <w:rPr>
            <w:rStyle w:val="Hyperlink"/>
            <w:noProof/>
          </w:rPr>
          <w:t>10.2</w:t>
        </w:r>
        <w:r w:rsidR="00FA0933">
          <w:rPr>
            <w:rFonts w:eastAsiaTheme="minorEastAsia" w:cstheme="minorBidi"/>
            <w:smallCaps w:val="0"/>
            <w:noProof/>
            <w:sz w:val="22"/>
            <w:szCs w:val="22"/>
            <w:lang w:eastAsia="en-AU"/>
          </w:rPr>
          <w:tab/>
        </w:r>
        <w:r w:rsidR="00FA0933" w:rsidRPr="00176680">
          <w:rPr>
            <w:rStyle w:val="Hyperlink"/>
            <w:noProof/>
          </w:rPr>
          <w:t>Access to seasonal workers</w:t>
        </w:r>
        <w:r w:rsidR="00FA0933">
          <w:rPr>
            <w:noProof/>
            <w:webHidden/>
          </w:rPr>
          <w:tab/>
        </w:r>
        <w:r w:rsidR="00FA0933">
          <w:rPr>
            <w:noProof/>
            <w:webHidden/>
          </w:rPr>
          <w:fldChar w:fldCharType="begin"/>
        </w:r>
        <w:r w:rsidR="00FA0933">
          <w:rPr>
            <w:noProof/>
            <w:webHidden/>
          </w:rPr>
          <w:instrText xml:space="preserve"> PAGEREF _Toc75878498 \h </w:instrText>
        </w:r>
        <w:r w:rsidR="00FA0933">
          <w:rPr>
            <w:noProof/>
            <w:webHidden/>
          </w:rPr>
        </w:r>
        <w:r w:rsidR="00FA0933">
          <w:rPr>
            <w:noProof/>
            <w:webHidden/>
          </w:rPr>
          <w:fldChar w:fldCharType="separate"/>
        </w:r>
        <w:r w:rsidR="00F22012">
          <w:rPr>
            <w:noProof/>
            <w:webHidden/>
          </w:rPr>
          <w:t>83</w:t>
        </w:r>
        <w:r w:rsidR="00FA0933">
          <w:rPr>
            <w:noProof/>
            <w:webHidden/>
          </w:rPr>
          <w:fldChar w:fldCharType="end"/>
        </w:r>
      </w:hyperlink>
    </w:p>
    <w:p w14:paraId="2657EB4C" w14:textId="64E7BF77"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499" w:history="1">
        <w:r w:rsidR="00FA0933" w:rsidRPr="00176680">
          <w:rPr>
            <w:rStyle w:val="Hyperlink"/>
            <w:noProof/>
          </w:rPr>
          <w:t>10.2.1</w:t>
        </w:r>
        <w:r w:rsidR="00FA0933">
          <w:rPr>
            <w:rFonts w:eastAsiaTheme="minorEastAsia" w:cstheme="minorBidi"/>
            <w:i w:val="0"/>
            <w:iCs w:val="0"/>
            <w:noProof/>
            <w:sz w:val="22"/>
            <w:szCs w:val="22"/>
            <w:lang w:eastAsia="en-AU"/>
          </w:rPr>
          <w:tab/>
        </w:r>
        <w:r w:rsidR="00FA0933" w:rsidRPr="00176680">
          <w:rPr>
            <w:rStyle w:val="Hyperlink"/>
            <w:noProof/>
          </w:rPr>
          <w:t>Seasonal workers required, 2019-2020</w:t>
        </w:r>
        <w:r w:rsidR="00FA0933">
          <w:rPr>
            <w:noProof/>
            <w:webHidden/>
          </w:rPr>
          <w:tab/>
        </w:r>
        <w:r w:rsidR="00FA0933">
          <w:rPr>
            <w:noProof/>
            <w:webHidden/>
          </w:rPr>
          <w:fldChar w:fldCharType="begin"/>
        </w:r>
        <w:r w:rsidR="00FA0933">
          <w:rPr>
            <w:noProof/>
            <w:webHidden/>
          </w:rPr>
          <w:instrText xml:space="preserve"> PAGEREF _Toc75878499 \h </w:instrText>
        </w:r>
        <w:r w:rsidR="00FA0933">
          <w:rPr>
            <w:noProof/>
            <w:webHidden/>
          </w:rPr>
        </w:r>
        <w:r w:rsidR="00FA0933">
          <w:rPr>
            <w:noProof/>
            <w:webHidden/>
          </w:rPr>
          <w:fldChar w:fldCharType="separate"/>
        </w:r>
        <w:r w:rsidR="00F22012">
          <w:rPr>
            <w:noProof/>
            <w:webHidden/>
          </w:rPr>
          <w:t>83</w:t>
        </w:r>
        <w:r w:rsidR="00FA0933">
          <w:rPr>
            <w:noProof/>
            <w:webHidden/>
          </w:rPr>
          <w:fldChar w:fldCharType="end"/>
        </w:r>
      </w:hyperlink>
    </w:p>
    <w:p w14:paraId="15EA9AF4" w14:textId="59BEE4D3"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500" w:history="1">
        <w:r w:rsidR="00FA0933" w:rsidRPr="00176680">
          <w:rPr>
            <w:rStyle w:val="Hyperlink"/>
            <w:noProof/>
          </w:rPr>
          <w:t>10.2.2</w:t>
        </w:r>
        <w:r w:rsidR="00FA0933">
          <w:rPr>
            <w:rFonts w:eastAsiaTheme="minorEastAsia" w:cstheme="minorBidi"/>
            <w:i w:val="0"/>
            <w:iCs w:val="0"/>
            <w:noProof/>
            <w:sz w:val="22"/>
            <w:szCs w:val="22"/>
            <w:lang w:eastAsia="en-AU"/>
          </w:rPr>
          <w:tab/>
        </w:r>
        <w:r w:rsidR="00FA0933" w:rsidRPr="00176680">
          <w:rPr>
            <w:rStyle w:val="Hyperlink"/>
            <w:noProof/>
          </w:rPr>
          <w:t>Seasonal positions filled, 2019-2020</w:t>
        </w:r>
        <w:r w:rsidR="00FA0933">
          <w:rPr>
            <w:noProof/>
            <w:webHidden/>
          </w:rPr>
          <w:tab/>
        </w:r>
        <w:r w:rsidR="00FA0933">
          <w:rPr>
            <w:noProof/>
            <w:webHidden/>
          </w:rPr>
          <w:fldChar w:fldCharType="begin"/>
        </w:r>
        <w:r w:rsidR="00FA0933">
          <w:rPr>
            <w:noProof/>
            <w:webHidden/>
          </w:rPr>
          <w:instrText xml:space="preserve"> PAGEREF _Toc75878500 \h </w:instrText>
        </w:r>
        <w:r w:rsidR="00FA0933">
          <w:rPr>
            <w:noProof/>
            <w:webHidden/>
          </w:rPr>
        </w:r>
        <w:r w:rsidR="00FA0933">
          <w:rPr>
            <w:noProof/>
            <w:webHidden/>
          </w:rPr>
          <w:fldChar w:fldCharType="separate"/>
        </w:r>
        <w:r w:rsidR="00F22012">
          <w:rPr>
            <w:noProof/>
            <w:webHidden/>
          </w:rPr>
          <w:t>84</w:t>
        </w:r>
        <w:r w:rsidR="00FA0933">
          <w:rPr>
            <w:noProof/>
            <w:webHidden/>
          </w:rPr>
          <w:fldChar w:fldCharType="end"/>
        </w:r>
      </w:hyperlink>
    </w:p>
    <w:p w14:paraId="64473C09" w14:textId="18D2E6D7" w:rsidR="00FA0933" w:rsidRDefault="00CD5EE5">
      <w:pPr>
        <w:pStyle w:val="TOC2"/>
        <w:tabs>
          <w:tab w:val="left" w:pos="840"/>
          <w:tab w:val="right" w:leader="dot" w:pos="9016"/>
        </w:tabs>
        <w:rPr>
          <w:rFonts w:eastAsiaTheme="minorEastAsia" w:cstheme="minorBidi"/>
          <w:smallCaps w:val="0"/>
          <w:noProof/>
          <w:sz w:val="22"/>
          <w:szCs w:val="22"/>
          <w:lang w:eastAsia="en-AU"/>
        </w:rPr>
      </w:pPr>
      <w:hyperlink w:anchor="_Toc75878501" w:history="1">
        <w:r w:rsidR="00FA0933" w:rsidRPr="00176680">
          <w:rPr>
            <w:rStyle w:val="Hyperlink"/>
            <w:noProof/>
          </w:rPr>
          <w:t>10.3</w:t>
        </w:r>
        <w:r w:rsidR="00FA0933">
          <w:rPr>
            <w:rFonts w:eastAsiaTheme="minorEastAsia" w:cstheme="minorBidi"/>
            <w:smallCaps w:val="0"/>
            <w:noProof/>
            <w:sz w:val="22"/>
            <w:szCs w:val="22"/>
            <w:lang w:eastAsia="en-AU"/>
          </w:rPr>
          <w:tab/>
        </w:r>
        <w:r w:rsidR="00FA0933" w:rsidRPr="00176680">
          <w:rPr>
            <w:rStyle w:val="Hyperlink"/>
            <w:noProof/>
          </w:rPr>
          <w:t>Business challenges in the wake of COVID-19</w:t>
        </w:r>
        <w:r w:rsidR="00FA0933">
          <w:rPr>
            <w:noProof/>
            <w:webHidden/>
          </w:rPr>
          <w:tab/>
        </w:r>
        <w:r w:rsidR="00FA0933">
          <w:rPr>
            <w:noProof/>
            <w:webHidden/>
          </w:rPr>
          <w:fldChar w:fldCharType="begin"/>
        </w:r>
        <w:r w:rsidR="00FA0933">
          <w:rPr>
            <w:noProof/>
            <w:webHidden/>
          </w:rPr>
          <w:instrText xml:space="preserve"> PAGEREF _Toc75878501 \h </w:instrText>
        </w:r>
        <w:r w:rsidR="00FA0933">
          <w:rPr>
            <w:noProof/>
            <w:webHidden/>
          </w:rPr>
        </w:r>
        <w:r w:rsidR="00FA0933">
          <w:rPr>
            <w:noProof/>
            <w:webHidden/>
          </w:rPr>
          <w:fldChar w:fldCharType="separate"/>
        </w:r>
        <w:r w:rsidR="00F22012">
          <w:rPr>
            <w:noProof/>
            <w:webHidden/>
          </w:rPr>
          <w:t>86</w:t>
        </w:r>
        <w:r w:rsidR="00FA0933">
          <w:rPr>
            <w:noProof/>
            <w:webHidden/>
          </w:rPr>
          <w:fldChar w:fldCharType="end"/>
        </w:r>
      </w:hyperlink>
    </w:p>
    <w:p w14:paraId="1BD7045B" w14:textId="723689BA"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502" w:history="1">
        <w:r w:rsidR="00FA0933" w:rsidRPr="00176680">
          <w:rPr>
            <w:rStyle w:val="Hyperlink"/>
            <w:noProof/>
          </w:rPr>
          <w:t>10.3.1</w:t>
        </w:r>
        <w:r w:rsidR="00FA0933">
          <w:rPr>
            <w:rFonts w:eastAsiaTheme="minorEastAsia" w:cstheme="minorBidi"/>
            <w:i w:val="0"/>
            <w:iCs w:val="0"/>
            <w:noProof/>
            <w:sz w:val="22"/>
            <w:szCs w:val="22"/>
            <w:lang w:eastAsia="en-AU"/>
          </w:rPr>
          <w:tab/>
        </w:r>
        <w:r w:rsidR="00FA0933" w:rsidRPr="00176680">
          <w:rPr>
            <w:rStyle w:val="Hyperlink"/>
            <w:noProof/>
          </w:rPr>
          <w:t>Workforce recruitment, by industry and location</w:t>
        </w:r>
        <w:r w:rsidR="00FA0933">
          <w:rPr>
            <w:noProof/>
            <w:webHidden/>
          </w:rPr>
          <w:tab/>
        </w:r>
        <w:r w:rsidR="00FA0933">
          <w:rPr>
            <w:noProof/>
            <w:webHidden/>
          </w:rPr>
          <w:fldChar w:fldCharType="begin"/>
        </w:r>
        <w:r w:rsidR="00FA0933">
          <w:rPr>
            <w:noProof/>
            <w:webHidden/>
          </w:rPr>
          <w:instrText xml:space="preserve"> PAGEREF _Toc75878502 \h </w:instrText>
        </w:r>
        <w:r w:rsidR="00FA0933">
          <w:rPr>
            <w:noProof/>
            <w:webHidden/>
          </w:rPr>
        </w:r>
        <w:r w:rsidR="00FA0933">
          <w:rPr>
            <w:noProof/>
            <w:webHidden/>
          </w:rPr>
          <w:fldChar w:fldCharType="separate"/>
        </w:r>
        <w:r w:rsidR="00F22012">
          <w:rPr>
            <w:noProof/>
            <w:webHidden/>
          </w:rPr>
          <w:t>86</w:t>
        </w:r>
        <w:r w:rsidR="00FA0933">
          <w:rPr>
            <w:noProof/>
            <w:webHidden/>
          </w:rPr>
          <w:fldChar w:fldCharType="end"/>
        </w:r>
      </w:hyperlink>
    </w:p>
    <w:p w14:paraId="22CEDDCB" w14:textId="30001E18"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503" w:history="1">
        <w:r w:rsidR="00FA0933" w:rsidRPr="00176680">
          <w:rPr>
            <w:rStyle w:val="Hyperlink"/>
            <w:noProof/>
          </w:rPr>
          <w:t>10.3.2</w:t>
        </w:r>
        <w:r w:rsidR="00FA0933">
          <w:rPr>
            <w:rFonts w:eastAsiaTheme="minorEastAsia" w:cstheme="minorBidi"/>
            <w:i w:val="0"/>
            <w:iCs w:val="0"/>
            <w:noProof/>
            <w:sz w:val="22"/>
            <w:szCs w:val="22"/>
            <w:lang w:eastAsia="en-AU"/>
          </w:rPr>
          <w:tab/>
        </w:r>
        <w:r w:rsidR="00FA0933" w:rsidRPr="00176680">
          <w:rPr>
            <w:rStyle w:val="Hyperlink"/>
            <w:noProof/>
          </w:rPr>
          <w:t>The agriculture industry experience</w:t>
        </w:r>
        <w:r w:rsidR="00FA0933">
          <w:rPr>
            <w:noProof/>
            <w:webHidden/>
          </w:rPr>
          <w:tab/>
        </w:r>
        <w:r w:rsidR="00FA0933">
          <w:rPr>
            <w:noProof/>
            <w:webHidden/>
          </w:rPr>
          <w:fldChar w:fldCharType="begin"/>
        </w:r>
        <w:r w:rsidR="00FA0933">
          <w:rPr>
            <w:noProof/>
            <w:webHidden/>
          </w:rPr>
          <w:instrText xml:space="preserve"> PAGEREF _Toc75878503 \h </w:instrText>
        </w:r>
        <w:r w:rsidR="00FA0933">
          <w:rPr>
            <w:noProof/>
            <w:webHidden/>
          </w:rPr>
        </w:r>
        <w:r w:rsidR="00FA0933">
          <w:rPr>
            <w:noProof/>
            <w:webHidden/>
          </w:rPr>
          <w:fldChar w:fldCharType="separate"/>
        </w:r>
        <w:r w:rsidR="00F22012">
          <w:rPr>
            <w:noProof/>
            <w:webHidden/>
          </w:rPr>
          <w:t>87</w:t>
        </w:r>
        <w:r w:rsidR="00FA0933">
          <w:rPr>
            <w:noProof/>
            <w:webHidden/>
          </w:rPr>
          <w:fldChar w:fldCharType="end"/>
        </w:r>
      </w:hyperlink>
    </w:p>
    <w:p w14:paraId="751F7A34" w14:textId="064B79E5"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504" w:history="1">
        <w:r w:rsidR="00FA0933" w:rsidRPr="00176680">
          <w:rPr>
            <w:rStyle w:val="Hyperlink"/>
            <w:noProof/>
          </w:rPr>
          <w:t>10.3.3</w:t>
        </w:r>
        <w:r w:rsidR="00FA0933">
          <w:rPr>
            <w:rFonts w:eastAsiaTheme="minorEastAsia" w:cstheme="minorBidi"/>
            <w:i w:val="0"/>
            <w:iCs w:val="0"/>
            <w:noProof/>
            <w:sz w:val="22"/>
            <w:szCs w:val="22"/>
            <w:lang w:eastAsia="en-AU"/>
          </w:rPr>
          <w:tab/>
        </w:r>
        <w:r w:rsidR="00FA0933" w:rsidRPr="00176680">
          <w:rPr>
            <w:rStyle w:val="Hyperlink"/>
            <w:noProof/>
          </w:rPr>
          <w:t>The tourism and hospitality industry experience</w:t>
        </w:r>
        <w:r w:rsidR="00FA0933">
          <w:rPr>
            <w:noProof/>
            <w:webHidden/>
          </w:rPr>
          <w:tab/>
        </w:r>
        <w:r w:rsidR="00FA0933">
          <w:rPr>
            <w:noProof/>
            <w:webHidden/>
          </w:rPr>
          <w:fldChar w:fldCharType="begin"/>
        </w:r>
        <w:r w:rsidR="00FA0933">
          <w:rPr>
            <w:noProof/>
            <w:webHidden/>
          </w:rPr>
          <w:instrText xml:space="preserve"> PAGEREF _Toc75878504 \h </w:instrText>
        </w:r>
        <w:r w:rsidR="00FA0933">
          <w:rPr>
            <w:noProof/>
            <w:webHidden/>
          </w:rPr>
        </w:r>
        <w:r w:rsidR="00FA0933">
          <w:rPr>
            <w:noProof/>
            <w:webHidden/>
          </w:rPr>
          <w:fldChar w:fldCharType="separate"/>
        </w:r>
        <w:r w:rsidR="00F22012">
          <w:rPr>
            <w:noProof/>
            <w:webHidden/>
          </w:rPr>
          <w:t>88</w:t>
        </w:r>
        <w:r w:rsidR="00FA0933">
          <w:rPr>
            <w:noProof/>
            <w:webHidden/>
          </w:rPr>
          <w:fldChar w:fldCharType="end"/>
        </w:r>
      </w:hyperlink>
    </w:p>
    <w:p w14:paraId="53A00557" w14:textId="6907A8A8" w:rsidR="00FA0933" w:rsidRDefault="00CD5EE5">
      <w:pPr>
        <w:pStyle w:val="TOC3"/>
        <w:tabs>
          <w:tab w:val="left" w:pos="1260"/>
          <w:tab w:val="right" w:leader="dot" w:pos="9016"/>
        </w:tabs>
        <w:rPr>
          <w:rFonts w:eastAsiaTheme="minorEastAsia" w:cstheme="minorBidi"/>
          <w:i w:val="0"/>
          <w:iCs w:val="0"/>
          <w:noProof/>
          <w:sz w:val="22"/>
          <w:szCs w:val="22"/>
          <w:lang w:eastAsia="en-AU"/>
        </w:rPr>
      </w:pPr>
      <w:hyperlink w:anchor="_Toc75878505" w:history="1">
        <w:r w:rsidR="00FA0933" w:rsidRPr="00176680">
          <w:rPr>
            <w:rStyle w:val="Hyperlink"/>
            <w:noProof/>
          </w:rPr>
          <w:t>10.3.4</w:t>
        </w:r>
        <w:r w:rsidR="00FA0933">
          <w:rPr>
            <w:rFonts w:eastAsiaTheme="minorEastAsia" w:cstheme="minorBidi"/>
            <w:i w:val="0"/>
            <w:iCs w:val="0"/>
            <w:noProof/>
            <w:sz w:val="22"/>
            <w:szCs w:val="22"/>
            <w:lang w:eastAsia="en-AU"/>
          </w:rPr>
          <w:tab/>
        </w:r>
        <w:r w:rsidR="00FA0933" w:rsidRPr="00176680">
          <w:rPr>
            <w:rStyle w:val="Hyperlink"/>
            <w:noProof/>
          </w:rPr>
          <w:t>Perceptions of future business prospects</w:t>
        </w:r>
        <w:r w:rsidR="00FA0933">
          <w:rPr>
            <w:noProof/>
            <w:webHidden/>
          </w:rPr>
          <w:tab/>
        </w:r>
        <w:r w:rsidR="00FA0933">
          <w:rPr>
            <w:noProof/>
            <w:webHidden/>
          </w:rPr>
          <w:fldChar w:fldCharType="begin"/>
        </w:r>
        <w:r w:rsidR="00FA0933">
          <w:rPr>
            <w:noProof/>
            <w:webHidden/>
          </w:rPr>
          <w:instrText xml:space="preserve"> PAGEREF _Toc75878505 \h </w:instrText>
        </w:r>
        <w:r w:rsidR="00FA0933">
          <w:rPr>
            <w:noProof/>
            <w:webHidden/>
          </w:rPr>
        </w:r>
        <w:r w:rsidR="00FA0933">
          <w:rPr>
            <w:noProof/>
            <w:webHidden/>
          </w:rPr>
          <w:fldChar w:fldCharType="separate"/>
        </w:r>
        <w:r w:rsidR="00F22012">
          <w:rPr>
            <w:noProof/>
            <w:webHidden/>
          </w:rPr>
          <w:t>90</w:t>
        </w:r>
        <w:r w:rsidR="00FA0933">
          <w:rPr>
            <w:noProof/>
            <w:webHidden/>
          </w:rPr>
          <w:fldChar w:fldCharType="end"/>
        </w:r>
      </w:hyperlink>
    </w:p>
    <w:p w14:paraId="3CF9BC8A" w14:textId="1870B330" w:rsidR="00FA0933" w:rsidRDefault="00CD5EE5">
      <w:pPr>
        <w:pStyle w:val="TOC1"/>
        <w:tabs>
          <w:tab w:val="left" w:pos="630"/>
          <w:tab w:val="right" w:leader="dot" w:pos="9016"/>
        </w:tabs>
        <w:rPr>
          <w:rFonts w:eastAsiaTheme="minorEastAsia" w:cstheme="minorBidi"/>
          <w:b w:val="0"/>
          <w:bCs w:val="0"/>
          <w:caps w:val="0"/>
          <w:noProof/>
          <w:sz w:val="22"/>
          <w:szCs w:val="22"/>
          <w:lang w:eastAsia="en-AU"/>
        </w:rPr>
      </w:pPr>
      <w:hyperlink w:anchor="_Toc75878506" w:history="1">
        <w:r w:rsidR="00FA0933" w:rsidRPr="00176680">
          <w:rPr>
            <w:rStyle w:val="Hyperlink"/>
            <w:noProof/>
          </w:rPr>
          <w:t>11</w:t>
        </w:r>
        <w:r w:rsidR="00FA0933">
          <w:rPr>
            <w:rFonts w:eastAsiaTheme="minorEastAsia" w:cstheme="minorBidi"/>
            <w:b w:val="0"/>
            <w:bCs w:val="0"/>
            <w:caps w:val="0"/>
            <w:noProof/>
            <w:sz w:val="22"/>
            <w:szCs w:val="22"/>
            <w:lang w:eastAsia="en-AU"/>
          </w:rPr>
          <w:tab/>
        </w:r>
        <w:r w:rsidR="00FA0933" w:rsidRPr="00176680">
          <w:rPr>
            <w:rStyle w:val="Hyperlink"/>
            <w:noProof/>
          </w:rPr>
          <w:t>Conclusion</w:t>
        </w:r>
        <w:r w:rsidR="00FA0933">
          <w:rPr>
            <w:noProof/>
            <w:webHidden/>
          </w:rPr>
          <w:tab/>
        </w:r>
        <w:r w:rsidR="00FA0933">
          <w:rPr>
            <w:noProof/>
            <w:webHidden/>
          </w:rPr>
          <w:fldChar w:fldCharType="begin"/>
        </w:r>
        <w:r w:rsidR="00FA0933">
          <w:rPr>
            <w:noProof/>
            <w:webHidden/>
          </w:rPr>
          <w:instrText xml:space="preserve"> PAGEREF _Toc75878506 \h </w:instrText>
        </w:r>
        <w:r w:rsidR="00FA0933">
          <w:rPr>
            <w:noProof/>
            <w:webHidden/>
          </w:rPr>
        </w:r>
        <w:r w:rsidR="00FA0933">
          <w:rPr>
            <w:noProof/>
            <w:webHidden/>
          </w:rPr>
          <w:fldChar w:fldCharType="separate"/>
        </w:r>
        <w:r w:rsidR="00F22012">
          <w:rPr>
            <w:noProof/>
            <w:webHidden/>
          </w:rPr>
          <w:t>91</w:t>
        </w:r>
        <w:r w:rsidR="00FA0933">
          <w:rPr>
            <w:noProof/>
            <w:webHidden/>
          </w:rPr>
          <w:fldChar w:fldCharType="end"/>
        </w:r>
      </w:hyperlink>
    </w:p>
    <w:p w14:paraId="53C2BD1E" w14:textId="584C9183" w:rsidR="00FA0933" w:rsidRDefault="00CD5EE5">
      <w:pPr>
        <w:pStyle w:val="TOC1"/>
        <w:tabs>
          <w:tab w:val="right" w:leader="dot" w:pos="9016"/>
        </w:tabs>
        <w:rPr>
          <w:rFonts w:eastAsiaTheme="minorEastAsia" w:cstheme="minorBidi"/>
          <w:b w:val="0"/>
          <w:bCs w:val="0"/>
          <w:caps w:val="0"/>
          <w:noProof/>
          <w:sz w:val="22"/>
          <w:szCs w:val="22"/>
          <w:lang w:eastAsia="en-AU"/>
        </w:rPr>
      </w:pPr>
      <w:hyperlink w:anchor="_Toc75878507" w:history="1">
        <w:r w:rsidR="00FA0933" w:rsidRPr="00176680">
          <w:rPr>
            <w:rStyle w:val="Hyperlink"/>
            <w:noProof/>
          </w:rPr>
          <w:t>References</w:t>
        </w:r>
        <w:r w:rsidR="00FA0933">
          <w:rPr>
            <w:noProof/>
            <w:webHidden/>
          </w:rPr>
          <w:tab/>
        </w:r>
        <w:r w:rsidR="00FA0933">
          <w:rPr>
            <w:noProof/>
            <w:webHidden/>
          </w:rPr>
          <w:fldChar w:fldCharType="begin"/>
        </w:r>
        <w:r w:rsidR="00FA0933">
          <w:rPr>
            <w:noProof/>
            <w:webHidden/>
          </w:rPr>
          <w:instrText xml:space="preserve"> PAGEREF _Toc75878507 \h </w:instrText>
        </w:r>
        <w:r w:rsidR="00FA0933">
          <w:rPr>
            <w:noProof/>
            <w:webHidden/>
          </w:rPr>
        </w:r>
        <w:r w:rsidR="00FA0933">
          <w:rPr>
            <w:noProof/>
            <w:webHidden/>
          </w:rPr>
          <w:fldChar w:fldCharType="separate"/>
        </w:r>
        <w:r w:rsidR="00F22012">
          <w:rPr>
            <w:noProof/>
            <w:webHidden/>
          </w:rPr>
          <w:t>92</w:t>
        </w:r>
        <w:r w:rsidR="00FA0933">
          <w:rPr>
            <w:noProof/>
            <w:webHidden/>
          </w:rPr>
          <w:fldChar w:fldCharType="end"/>
        </w:r>
      </w:hyperlink>
    </w:p>
    <w:p w14:paraId="70DE1092" w14:textId="558FD084" w:rsidR="00FA0933" w:rsidRDefault="00CD5EE5">
      <w:pPr>
        <w:pStyle w:val="TOC1"/>
        <w:tabs>
          <w:tab w:val="left" w:pos="1470"/>
          <w:tab w:val="right" w:leader="dot" w:pos="9016"/>
        </w:tabs>
        <w:rPr>
          <w:rFonts w:eastAsiaTheme="minorEastAsia" w:cstheme="minorBidi"/>
          <w:b w:val="0"/>
          <w:bCs w:val="0"/>
          <w:caps w:val="0"/>
          <w:noProof/>
          <w:sz w:val="22"/>
          <w:szCs w:val="22"/>
          <w:lang w:eastAsia="en-AU"/>
        </w:rPr>
      </w:pPr>
      <w:hyperlink w:anchor="_Toc75878508" w:history="1">
        <w:r w:rsidR="00FA0933" w:rsidRPr="00176680">
          <w:rPr>
            <w:rStyle w:val="Hyperlink"/>
            <w:noProof/>
            <w14:scene3d>
              <w14:camera w14:prst="orthographicFront"/>
              <w14:lightRig w14:rig="threePt" w14:dir="t">
                <w14:rot w14:lat="0" w14:lon="0" w14:rev="0"/>
              </w14:lightRig>
            </w14:scene3d>
          </w:rPr>
          <w:t>Appendix A.</w:t>
        </w:r>
        <w:r w:rsidR="00FA0933">
          <w:rPr>
            <w:rFonts w:eastAsiaTheme="minorEastAsia" w:cstheme="minorBidi"/>
            <w:b w:val="0"/>
            <w:bCs w:val="0"/>
            <w:caps w:val="0"/>
            <w:noProof/>
            <w:sz w:val="22"/>
            <w:szCs w:val="22"/>
            <w:lang w:eastAsia="en-AU"/>
          </w:rPr>
          <w:tab/>
        </w:r>
        <w:r w:rsidR="00FA0933" w:rsidRPr="00176680">
          <w:rPr>
            <w:rStyle w:val="Hyperlink"/>
            <w:noProof/>
          </w:rPr>
          <w:t>Labour market contribution of WHMs to the Australian economy: Modelling employment, hours, wages, and job satisfaction</w:t>
        </w:r>
        <w:r w:rsidR="00FA0933">
          <w:rPr>
            <w:noProof/>
            <w:webHidden/>
          </w:rPr>
          <w:tab/>
        </w:r>
        <w:r w:rsidR="00FA0933">
          <w:rPr>
            <w:noProof/>
            <w:webHidden/>
          </w:rPr>
          <w:fldChar w:fldCharType="begin"/>
        </w:r>
        <w:r w:rsidR="00FA0933">
          <w:rPr>
            <w:noProof/>
            <w:webHidden/>
          </w:rPr>
          <w:instrText xml:space="preserve"> PAGEREF _Toc75878508 \h </w:instrText>
        </w:r>
        <w:r w:rsidR="00FA0933">
          <w:rPr>
            <w:noProof/>
            <w:webHidden/>
          </w:rPr>
        </w:r>
        <w:r w:rsidR="00FA0933">
          <w:rPr>
            <w:noProof/>
            <w:webHidden/>
          </w:rPr>
          <w:fldChar w:fldCharType="separate"/>
        </w:r>
        <w:r w:rsidR="00F22012">
          <w:rPr>
            <w:noProof/>
            <w:webHidden/>
          </w:rPr>
          <w:t>94</w:t>
        </w:r>
        <w:r w:rsidR="00FA0933">
          <w:rPr>
            <w:noProof/>
            <w:webHidden/>
          </w:rPr>
          <w:fldChar w:fldCharType="end"/>
        </w:r>
      </w:hyperlink>
    </w:p>
    <w:p w14:paraId="122EA7BB" w14:textId="594EDFF1" w:rsidR="00FA0933" w:rsidRDefault="00CD5EE5">
      <w:pPr>
        <w:pStyle w:val="TOC2"/>
        <w:tabs>
          <w:tab w:val="right" w:leader="dot" w:pos="9016"/>
        </w:tabs>
        <w:rPr>
          <w:rFonts w:eastAsiaTheme="minorEastAsia" w:cstheme="minorBidi"/>
          <w:smallCaps w:val="0"/>
          <w:noProof/>
          <w:sz w:val="22"/>
          <w:szCs w:val="22"/>
          <w:lang w:eastAsia="en-AU"/>
        </w:rPr>
      </w:pPr>
      <w:hyperlink w:anchor="_Toc75878509" w:history="1">
        <w:r w:rsidR="00FA0933" w:rsidRPr="00176680">
          <w:rPr>
            <w:rStyle w:val="Hyperlink"/>
            <w:noProof/>
          </w:rPr>
          <w:t>Employment</w:t>
        </w:r>
        <w:r w:rsidR="00FA0933">
          <w:rPr>
            <w:noProof/>
            <w:webHidden/>
          </w:rPr>
          <w:tab/>
        </w:r>
        <w:r w:rsidR="00FA0933">
          <w:rPr>
            <w:noProof/>
            <w:webHidden/>
          </w:rPr>
          <w:fldChar w:fldCharType="begin"/>
        </w:r>
        <w:r w:rsidR="00FA0933">
          <w:rPr>
            <w:noProof/>
            <w:webHidden/>
          </w:rPr>
          <w:instrText xml:space="preserve"> PAGEREF _Toc75878509 \h </w:instrText>
        </w:r>
        <w:r w:rsidR="00FA0933">
          <w:rPr>
            <w:noProof/>
            <w:webHidden/>
          </w:rPr>
        </w:r>
        <w:r w:rsidR="00FA0933">
          <w:rPr>
            <w:noProof/>
            <w:webHidden/>
          </w:rPr>
          <w:fldChar w:fldCharType="separate"/>
        </w:r>
        <w:r w:rsidR="00F22012">
          <w:rPr>
            <w:noProof/>
            <w:webHidden/>
          </w:rPr>
          <w:t>94</w:t>
        </w:r>
        <w:r w:rsidR="00FA0933">
          <w:rPr>
            <w:noProof/>
            <w:webHidden/>
          </w:rPr>
          <w:fldChar w:fldCharType="end"/>
        </w:r>
      </w:hyperlink>
    </w:p>
    <w:p w14:paraId="22E5599F" w14:textId="7CC62CFC" w:rsidR="00FA0933" w:rsidRDefault="00CD5EE5">
      <w:pPr>
        <w:pStyle w:val="TOC2"/>
        <w:tabs>
          <w:tab w:val="right" w:leader="dot" w:pos="9016"/>
        </w:tabs>
        <w:rPr>
          <w:rFonts w:eastAsiaTheme="minorEastAsia" w:cstheme="minorBidi"/>
          <w:smallCaps w:val="0"/>
          <w:noProof/>
          <w:sz w:val="22"/>
          <w:szCs w:val="22"/>
          <w:lang w:eastAsia="en-AU"/>
        </w:rPr>
      </w:pPr>
      <w:hyperlink w:anchor="_Toc75878510" w:history="1">
        <w:r w:rsidR="00FA0933" w:rsidRPr="00176680">
          <w:rPr>
            <w:rStyle w:val="Hyperlink"/>
            <w:noProof/>
          </w:rPr>
          <w:t>Hours per day, wages, job satisfaction</w:t>
        </w:r>
        <w:r w:rsidR="00FA0933">
          <w:rPr>
            <w:noProof/>
            <w:webHidden/>
          </w:rPr>
          <w:tab/>
        </w:r>
        <w:r w:rsidR="00FA0933">
          <w:rPr>
            <w:noProof/>
            <w:webHidden/>
          </w:rPr>
          <w:fldChar w:fldCharType="begin"/>
        </w:r>
        <w:r w:rsidR="00FA0933">
          <w:rPr>
            <w:noProof/>
            <w:webHidden/>
          </w:rPr>
          <w:instrText xml:space="preserve"> PAGEREF _Toc75878510 \h </w:instrText>
        </w:r>
        <w:r w:rsidR="00FA0933">
          <w:rPr>
            <w:noProof/>
            <w:webHidden/>
          </w:rPr>
        </w:r>
        <w:r w:rsidR="00FA0933">
          <w:rPr>
            <w:noProof/>
            <w:webHidden/>
          </w:rPr>
          <w:fldChar w:fldCharType="separate"/>
        </w:r>
        <w:r w:rsidR="00F22012">
          <w:rPr>
            <w:noProof/>
            <w:webHidden/>
          </w:rPr>
          <w:t>95</w:t>
        </w:r>
        <w:r w:rsidR="00FA0933">
          <w:rPr>
            <w:noProof/>
            <w:webHidden/>
          </w:rPr>
          <w:fldChar w:fldCharType="end"/>
        </w:r>
      </w:hyperlink>
    </w:p>
    <w:p w14:paraId="53ABF470" w14:textId="20C34D5D" w:rsidR="00FA0933" w:rsidRDefault="00CD5EE5">
      <w:pPr>
        <w:pStyle w:val="TOC3"/>
        <w:tabs>
          <w:tab w:val="right" w:leader="dot" w:pos="9016"/>
        </w:tabs>
        <w:rPr>
          <w:rFonts w:eastAsiaTheme="minorEastAsia" w:cstheme="minorBidi"/>
          <w:i w:val="0"/>
          <w:iCs w:val="0"/>
          <w:noProof/>
          <w:sz w:val="22"/>
          <w:szCs w:val="22"/>
          <w:lang w:eastAsia="en-AU"/>
        </w:rPr>
      </w:pPr>
      <w:hyperlink w:anchor="_Toc75878511" w:history="1">
        <w:r w:rsidR="00FA0933" w:rsidRPr="00176680">
          <w:rPr>
            <w:rStyle w:val="Hyperlink"/>
            <w:noProof/>
          </w:rPr>
          <w:t>Hours per week</w:t>
        </w:r>
        <w:r w:rsidR="00FA0933">
          <w:rPr>
            <w:noProof/>
            <w:webHidden/>
          </w:rPr>
          <w:tab/>
        </w:r>
        <w:r w:rsidR="00FA0933">
          <w:rPr>
            <w:noProof/>
            <w:webHidden/>
          </w:rPr>
          <w:fldChar w:fldCharType="begin"/>
        </w:r>
        <w:r w:rsidR="00FA0933">
          <w:rPr>
            <w:noProof/>
            <w:webHidden/>
          </w:rPr>
          <w:instrText xml:space="preserve"> PAGEREF _Toc75878511 \h </w:instrText>
        </w:r>
        <w:r w:rsidR="00FA0933">
          <w:rPr>
            <w:noProof/>
            <w:webHidden/>
          </w:rPr>
        </w:r>
        <w:r w:rsidR="00FA0933">
          <w:rPr>
            <w:noProof/>
            <w:webHidden/>
          </w:rPr>
          <w:fldChar w:fldCharType="separate"/>
        </w:r>
        <w:r w:rsidR="00F22012">
          <w:rPr>
            <w:noProof/>
            <w:webHidden/>
          </w:rPr>
          <w:t>95</w:t>
        </w:r>
        <w:r w:rsidR="00FA0933">
          <w:rPr>
            <w:noProof/>
            <w:webHidden/>
          </w:rPr>
          <w:fldChar w:fldCharType="end"/>
        </w:r>
      </w:hyperlink>
    </w:p>
    <w:p w14:paraId="06CD5810" w14:textId="44F29ED4" w:rsidR="00FA0933" w:rsidRDefault="00CD5EE5">
      <w:pPr>
        <w:pStyle w:val="TOC3"/>
        <w:tabs>
          <w:tab w:val="right" w:leader="dot" w:pos="9016"/>
        </w:tabs>
        <w:rPr>
          <w:rFonts w:eastAsiaTheme="minorEastAsia" w:cstheme="minorBidi"/>
          <w:i w:val="0"/>
          <w:iCs w:val="0"/>
          <w:noProof/>
          <w:sz w:val="22"/>
          <w:szCs w:val="22"/>
          <w:lang w:eastAsia="en-AU"/>
        </w:rPr>
      </w:pPr>
      <w:hyperlink w:anchor="_Toc75878512" w:history="1">
        <w:r w:rsidR="00FA0933" w:rsidRPr="00176680">
          <w:rPr>
            <w:rStyle w:val="Hyperlink"/>
            <w:noProof/>
          </w:rPr>
          <w:t>Hourly rate of pay</w:t>
        </w:r>
        <w:r w:rsidR="00FA0933">
          <w:rPr>
            <w:noProof/>
            <w:webHidden/>
          </w:rPr>
          <w:tab/>
        </w:r>
        <w:r w:rsidR="00FA0933">
          <w:rPr>
            <w:noProof/>
            <w:webHidden/>
          </w:rPr>
          <w:fldChar w:fldCharType="begin"/>
        </w:r>
        <w:r w:rsidR="00FA0933">
          <w:rPr>
            <w:noProof/>
            <w:webHidden/>
          </w:rPr>
          <w:instrText xml:space="preserve"> PAGEREF _Toc75878512 \h </w:instrText>
        </w:r>
        <w:r w:rsidR="00FA0933">
          <w:rPr>
            <w:noProof/>
            <w:webHidden/>
          </w:rPr>
        </w:r>
        <w:r w:rsidR="00FA0933">
          <w:rPr>
            <w:noProof/>
            <w:webHidden/>
          </w:rPr>
          <w:fldChar w:fldCharType="separate"/>
        </w:r>
        <w:r w:rsidR="00F22012">
          <w:rPr>
            <w:noProof/>
            <w:webHidden/>
          </w:rPr>
          <w:t>96</w:t>
        </w:r>
        <w:r w:rsidR="00FA0933">
          <w:rPr>
            <w:noProof/>
            <w:webHidden/>
          </w:rPr>
          <w:fldChar w:fldCharType="end"/>
        </w:r>
      </w:hyperlink>
    </w:p>
    <w:p w14:paraId="0EB81C75" w14:textId="3F11BF2D" w:rsidR="00FA0933" w:rsidRDefault="00CD5EE5">
      <w:pPr>
        <w:pStyle w:val="TOC3"/>
        <w:tabs>
          <w:tab w:val="right" w:leader="dot" w:pos="9016"/>
        </w:tabs>
        <w:rPr>
          <w:rFonts w:eastAsiaTheme="minorEastAsia" w:cstheme="minorBidi"/>
          <w:i w:val="0"/>
          <w:iCs w:val="0"/>
          <w:noProof/>
          <w:sz w:val="22"/>
          <w:szCs w:val="22"/>
          <w:lang w:eastAsia="en-AU"/>
        </w:rPr>
      </w:pPr>
      <w:hyperlink w:anchor="_Toc75878513" w:history="1">
        <w:r w:rsidR="00FA0933" w:rsidRPr="00176680">
          <w:rPr>
            <w:rStyle w:val="Hyperlink"/>
            <w:noProof/>
          </w:rPr>
          <w:t>Job satisfaction</w:t>
        </w:r>
        <w:r w:rsidR="00FA0933">
          <w:rPr>
            <w:noProof/>
            <w:webHidden/>
          </w:rPr>
          <w:tab/>
        </w:r>
        <w:r w:rsidR="00FA0933">
          <w:rPr>
            <w:noProof/>
            <w:webHidden/>
          </w:rPr>
          <w:fldChar w:fldCharType="begin"/>
        </w:r>
        <w:r w:rsidR="00FA0933">
          <w:rPr>
            <w:noProof/>
            <w:webHidden/>
          </w:rPr>
          <w:instrText xml:space="preserve"> PAGEREF _Toc75878513 \h </w:instrText>
        </w:r>
        <w:r w:rsidR="00FA0933">
          <w:rPr>
            <w:noProof/>
            <w:webHidden/>
          </w:rPr>
        </w:r>
        <w:r w:rsidR="00FA0933">
          <w:rPr>
            <w:noProof/>
            <w:webHidden/>
          </w:rPr>
          <w:fldChar w:fldCharType="separate"/>
        </w:r>
        <w:r w:rsidR="00F22012">
          <w:rPr>
            <w:noProof/>
            <w:webHidden/>
          </w:rPr>
          <w:t>97</w:t>
        </w:r>
        <w:r w:rsidR="00FA0933">
          <w:rPr>
            <w:noProof/>
            <w:webHidden/>
          </w:rPr>
          <w:fldChar w:fldCharType="end"/>
        </w:r>
      </w:hyperlink>
    </w:p>
    <w:p w14:paraId="6EBDBE47" w14:textId="48286249" w:rsidR="00E16B19" w:rsidRPr="00E52203" w:rsidRDefault="00E16B19" w:rsidP="00E16B19">
      <w:r w:rsidRPr="0020222C">
        <w:rPr>
          <w:highlight w:val="yellow"/>
        </w:rPr>
        <w:fldChar w:fldCharType="end"/>
      </w:r>
    </w:p>
    <w:p w14:paraId="00399372" w14:textId="77777777" w:rsidR="00E16B19" w:rsidRPr="00E52203" w:rsidRDefault="00E16B19" w:rsidP="00E16B19">
      <w:pPr>
        <w:pStyle w:val="TOCHeading"/>
        <w:pageBreakBefore w:val="0"/>
      </w:pPr>
      <w:r w:rsidRPr="00E52203">
        <w:t>List of Figures</w:t>
      </w:r>
    </w:p>
    <w:p w14:paraId="0AE43F1A" w14:textId="51AE35F5" w:rsidR="00FA0933" w:rsidRDefault="00E16B19">
      <w:pPr>
        <w:pStyle w:val="TableofFigures"/>
        <w:rPr>
          <w:rFonts w:asciiTheme="minorHAnsi" w:eastAsiaTheme="minorEastAsia" w:hAnsiTheme="minorHAnsi" w:cstheme="minorBidi"/>
          <w:smallCaps w:val="0"/>
          <w:szCs w:val="22"/>
          <w:lang w:eastAsia="en-AU"/>
        </w:rPr>
      </w:pPr>
      <w:r w:rsidRPr="0020222C">
        <w:rPr>
          <w:rFonts w:cstheme="minorHAnsi"/>
          <w:b/>
          <w:sz w:val="20"/>
          <w:highlight w:val="yellow"/>
        </w:rPr>
        <w:fldChar w:fldCharType="begin"/>
      </w:r>
      <w:r w:rsidRPr="0020222C">
        <w:rPr>
          <w:rFonts w:cstheme="minorHAnsi"/>
          <w:b/>
          <w:sz w:val="20"/>
          <w:highlight w:val="yellow"/>
        </w:rPr>
        <w:instrText xml:space="preserve"> TOC \h \z \c "Figure" </w:instrText>
      </w:r>
      <w:r w:rsidRPr="0020222C">
        <w:rPr>
          <w:rFonts w:cstheme="minorHAnsi"/>
          <w:b/>
          <w:sz w:val="20"/>
          <w:highlight w:val="yellow"/>
        </w:rPr>
        <w:fldChar w:fldCharType="separate"/>
      </w:r>
      <w:hyperlink w:anchor="_Toc75878514" w:history="1">
        <w:r w:rsidR="00FA0933" w:rsidRPr="00CD4783">
          <w:rPr>
            <w:rStyle w:val="Hyperlink"/>
          </w:rPr>
          <w:t>Figure 2</w:t>
        </w:r>
        <w:r w:rsidR="00FA0933" w:rsidRPr="00CD4783">
          <w:rPr>
            <w:rStyle w:val="Hyperlink"/>
          </w:rPr>
          <w:noBreakHyphen/>
          <w:t>1: Number of WHM granted by visa type, since 2017-18</w:t>
        </w:r>
        <w:r w:rsidR="00FA0933">
          <w:rPr>
            <w:webHidden/>
          </w:rPr>
          <w:tab/>
        </w:r>
        <w:r w:rsidR="00FA0933">
          <w:rPr>
            <w:webHidden/>
          </w:rPr>
          <w:fldChar w:fldCharType="begin"/>
        </w:r>
        <w:r w:rsidR="00FA0933">
          <w:rPr>
            <w:webHidden/>
          </w:rPr>
          <w:instrText xml:space="preserve"> PAGEREF _Toc75878514 \h </w:instrText>
        </w:r>
        <w:r w:rsidR="00FA0933">
          <w:rPr>
            <w:webHidden/>
          </w:rPr>
        </w:r>
        <w:r w:rsidR="00FA0933">
          <w:rPr>
            <w:webHidden/>
          </w:rPr>
          <w:fldChar w:fldCharType="separate"/>
        </w:r>
        <w:r w:rsidR="00F22012">
          <w:rPr>
            <w:webHidden/>
          </w:rPr>
          <w:t>9</w:t>
        </w:r>
        <w:r w:rsidR="00FA0933">
          <w:rPr>
            <w:webHidden/>
          </w:rPr>
          <w:fldChar w:fldCharType="end"/>
        </w:r>
      </w:hyperlink>
    </w:p>
    <w:p w14:paraId="71557147" w14:textId="23B32368" w:rsidR="00FA0933" w:rsidRDefault="00CD5EE5">
      <w:pPr>
        <w:pStyle w:val="TableofFigures"/>
        <w:rPr>
          <w:rFonts w:asciiTheme="minorHAnsi" w:eastAsiaTheme="minorEastAsia" w:hAnsiTheme="minorHAnsi" w:cstheme="minorBidi"/>
          <w:smallCaps w:val="0"/>
          <w:szCs w:val="22"/>
          <w:lang w:eastAsia="en-AU"/>
        </w:rPr>
      </w:pPr>
      <w:hyperlink w:anchor="_Toc75878515" w:history="1">
        <w:r w:rsidR="00FA0933" w:rsidRPr="00CD4783">
          <w:rPr>
            <w:rStyle w:val="Hyperlink"/>
          </w:rPr>
          <w:t>Figure 4</w:t>
        </w:r>
        <w:r w:rsidR="00FA0933" w:rsidRPr="00CD4783">
          <w:rPr>
            <w:rStyle w:val="Hyperlink"/>
          </w:rPr>
          <w:noBreakHyphen/>
          <w:t>1: Age distribution of WHM survey respondents &amp; population, by sex</w:t>
        </w:r>
        <w:r w:rsidR="00FA0933">
          <w:rPr>
            <w:webHidden/>
          </w:rPr>
          <w:tab/>
        </w:r>
        <w:r w:rsidR="00FA0933">
          <w:rPr>
            <w:webHidden/>
          </w:rPr>
          <w:fldChar w:fldCharType="begin"/>
        </w:r>
        <w:r w:rsidR="00FA0933">
          <w:rPr>
            <w:webHidden/>
          </w:rPr>
          <w:instrText xml:space="preserve"> PAGEREF _Toc75878515 \h </w:instrText>
        </w:r>
        <w:r w:rsidR="00FA0933">
          <w:rPr>
            <w:webHidden/>
          </w:rPr>
        </w:r>
        <w:r w:rsidR="00FA0933">
          <w:rPr>
            <w:webHidden/>
          </w:rPr>
          <w:fldChar w:fldCharType="separate"/>
        </w:r>
        <w:r w:rsidR="00F22012">
          <w:rPr>
            <w:webHidden/>
          </w:rPr>
          <w:t>15</w:t>
        </w:r>
        <w:r w:rsidR="00FA0933">
          <w:rPr>
            <w:webHidden/>
          </w:rPr>
          <w:fldChar w:fldCharType="end"/>
        </w:r>
      </w:hyperlink>
    </w:p>
    <w:p w14:paraId="75E7B0C4" w14:textId="10346D2C" w:rsidR="00FA0933" w:rsidRDefault="00CD5EE5">
      <w:pPr>
        <w:pStyle w:val="TableofFigures"/>
        <w:rPr>
          <w:rFonts w:asciiTheme="minorHAnsi" w:eastAsiaTheme="minorEastAsia" w:hAnsiTheme="minorHAnsi" w:cstheme="minorBidi"/>
          <w:smallCaps w:val="0"/>
          <w:szCs w:val="22"/>
          <w:lang w:eastAsia="en-AU"/>
        </w:rPr>
      </w:pPr>
      <w:hyperlink w:anchor="_Toc75878516" w:history="1">
        <w:r w:rsidR="00FA0933" w:rsidRPr="00CD4783">
          <w:rPr>
            <w:rStyle w:val="Hyperlink"/>
          </w:rPr>
          <w:t>Figure 4</w:t>
        </w:r>
        <w:r w:rsidR="00FA0933" w:rsidRPr="00CD4783">
          <w:rPr>
            <w:rStyle w:val="Hyperlink"/>
          </w:rPr>
          <w:noBreakHyphen/>
          <w:t>2: Age characteristics of WHMs, by Top 10 counties</w:t>
        </w:r>
        <w:r w:rsidR="00FA0933">
          <w:rPr>
            <w:webHidden/>
          </w:rPr>
          <w:tab/>
        </w:r>
        <w:r w:rsidR="00FA0933">
          <w:rPr>
            <w:webHidden/>
          </w:rPr>
          <w:fldChar w:fldCharType="begin"/>
        </w:r>
        <w:r w:rsidR="00FA0933">
          <w:rPr>
            <w:webHidden/>
          </w:rPr>
          <w:instrText xml:space="preserve"> PAGEREF _Toc75878516 \h </w:instrText>
        </w:r>
        <w:r w:rsidR="00FA0933">
          <w:rPr>
            <w:webHidden/>
          </w:rPr>
        </w:r>
        <w:r w:rsidR="00FA0933">
          <w:rPr>
            <w:webHidden/>
          </w:rPr>
          <w:fldChar w:fldCharType="separate"/>
        </w:r>
        <w:r w:rsidR="00F22012">
          <w:rPr>
            <w:webHidden/>
          </w:rPr>
          <w:t>16</w:t>
        </w:r>
        <w:r w:rsidR="00FA0933">
          <w:rPr>
            <w:webHidden/>
          </w:rPr>
          <w:fldChar w:fldCharType="end"/>
        </w:r>
      </w:hyperlink>
    </w:p>
    <w:p w14:paraId="547558B2" w14:textId="10FEDC5C" w:rsidR="00FA0933" w:rsidRDefault="00CD5EE5">
      <w:pPr>
        <w:pStyle w:val="TableofFigures"/>
        <w:rPr>
          <w:rFonts w:asciiTheme="minorHAnsi" w:eastAsiaTheme="minorEastAsia" w:hAnsiTheme="minorHAnsi" w:cstheme="minorBidi"/>
          <w:smallCaps w:val="0"/>
          <w:szCs w:val="22"/>
          <w:lang w:eastAsia="en-AU"/>
        </w:rPr>
      </w:pPr>
      <w:hyperlink w:anchor="_Toc75878517" w:history="1">
        <w:r w:rsidR="00FA0933" w:rsidRPr="00CD4783">
          <w:rPr>
            <w:rStyle w:val="Hyperlink"/>
          </w:rPr>
          <w:t>Figure 4</w:t>
        </w:r>
        <w:r w:rsidR="00FA0933" w:rsidRPr="00CD4783">
          <w:rPr>
            <w:rStyle w:val="Hyperlink"/>
          </w:rPr>
          <w:noBreakHyphen/>
          <w:t>3: Highest completed educational attainment of WHMs, by Top 10 counties</w:t>
        </w:r>
        <w:r w:rsidR="00FA0933">
          <w:rPr>
            <w:webHidden/>
          </w:rPr>
          <w:tab/>
        </w:r>
        <w:r w:rsidR="00FA0933">
          <w:rPr>
            <w:webHidden/>
          </w:rPr>
          <w:fldChar w:fldCharType="begin"/>
        </w:r>
        <w:r w:rsidR="00FA0933">
          <w:rPr>
            <w:webHidden/>
          </w:rPr>
          <w:instrText xml:space="preserve"> PAGEREF _Toc75878517 \h </w:instrText>
        </w:r>
        <w:r w:rsidR="00FA0933">
          <w:rPr>
            <w:webHidden/>
          </w:rPr>
        </w:r>
        <w:r w:rsidR="00FA0933">
          <w:rPr>
            <w:webHidden/>
          </w:rPr>
          <w:fldChar w:fldCharType="separate"/>
        </w:r>
        <w:r w:rsidR="00F22012">
          <w:rPr>
            <w:webHidden/>
          </w:rPr>
          <w:t>17</w:t>
        </w:r>
        <w:r w:rsidR="00FA0933">
          <w:rPr>
            <w:webHidden/>
          </w:rPr>
          <w:fldChar w:fldCharType="end"/>
        </w:r>
      </w:hyperlink>
    </w:p>
    <w:p w14:paraId="34D88A7E" w14:textId="062A77D3" w:rsidR="00FA0933" w:rsidRDefault="00CD5EE5">
      <w:pPr>
        <w:pStyle w:val="TableofFigures"/>
        <w:rPr>
          <w:rFonts w:asciiTheme="minorHAnsi" w:eastAsiaTheme="minorEastAsia" w:hAnsiTheme="minorHAnsi" w:cstheme="minorBidi"/>
          <w:smallCaps w:val="0"/>
          <w:szCs w:val="22"/>
          <w:lang w:eastAsia="en-AU"/>
        </w:rPr>
      </w:pPr>
      <w:hyperlink w:anchor="_Toc75878518" w:history="1">
        <w:r w:rsidR="00FA0933" w:rsidRPr="00CD4783">
          <w:rPr>
            <w:rStyle w:val="Hyperlink"/>
          </w:rPr>
          <w:t>Figure 4</w:t>
        </w:r>
        <w:r w:rsidR="00FA0933" w:rsidRPr="00CD4783">
          <w:rPr>
            <w:rStyle w:val="Hyperlink"/>
          </w:rPr>
          <w:noBreakHyphen/>
          <w:t>4: Average (mean and median) duration (months) of stay in Australia, by Top 10 countries</w:t>
        </w:r>
        <w:r w:rsidR="00FA0933">
          <w:rPr>
            <w:webHidden/>
          </w:rPr>
          <w:tab/>
        </w:r>
        <w:r w:rsidR="00FA0933">
          <w:rPr>
            <w:webHidden/>
          </w:rPr>
          <w:fldChar w:fldCharType="begin"/>
        </w:r>
        <w:r w:rsidR="00FA0933">
          <w:rPr>
            <w:webHidden/>
          </w:rPr>
          <w:instrText xml:space="preserve"> PAGEREF _Toc75878518 \h </w:instrText>
        </w:r>
        <w:r w:rsidR="00FA0933">
          <w:rPr>
            <w:webHidden/>
          </w:rPr>
        </w:r>
        <w:r w:rsidR="00FA0933">
          <w:rPr>
            <w:webHidden/>
          </w:rPr>
          <w:fldChar w:fldCharType="separate"/>
        </w:r>
        <w:r w:rsidR="00F22012">
          <w:rPr>
            <w:webHidden/>
          </w:rPr>
          <w:t>18</w:t>
        </w:r>
        <w:r w:rsidR="00FA0933">
          <w:rPr>
            <w:webHidden/>
          </w:rPr>
          <w:fldChar w:fldCharType="end"/>
        </w:r>
      </w:hyperlink>
    </w:p>
    <w:p w14:paraId="7245D7D7" w14:textId="0B38FDC1" w:rsidR="00FA0933" w:rsidRDefault="00CD5EE5">
      <w:pPr>
        <w:pStyle w:val="TableofFigures"/>
        <w:rPr>
          <w:rFonts w:asciiTheme="minorHAnsi" w:eastAsiaTheme="minorEastAsia" w:hAnsiTheme="minorHAnsi" w:cstheme="minorBidi"/>
          <w:smallCaps w:val="0"/>
          <w:szCs w:val="22"/>
          <w:lang w:eastAsia="en-AU"/>
        </w:rPr>
      </w:pPr>
      <w:hyperlink w:anchor="_Toc75878519" w:history="1">
        <w:r w:rsidR="00FA0933" w:rsidRPr="00CD4783">
          <w:rPr>
            <w:rStyle w:val="Hyperlink"/>
          </w:rPr>
          <w:t>Figure 4</w:t>
        </w:r>
        <w:r w:rsidR="00FA0933" w:rsidRPr="00CD4783">
          <w:rPr>
            <w:rStyle w:val="Hyperlink"/>
          </w:rPr>
          <w:noBreakHyphen/>
          <w:t>5: Duration (months) of stay in Australia, by Top 10 counties</w:t>
        </w:r>
        <w:r w:rsidR="00FA0933">
          <w:rPr>
            <w:webHidden/>
          </w:rPr>
          <w:tab/>
        </w:r>
        <w:r w:rsidR="00FA0933">
          <w:rPr>
            <w:webHidden/>
          </w:rPr>
          <w:fldChar w:fldCharType="begin"/>
        </w:r>
        <w:r w:rsidR="00FA0933">
          <w:rPr>
            <w:webHidden/>
          </w:rPr>
          <w:instrText xml:space="preserve"> PAGEREF _Toc75878519 \h </w:instrText>
        </w:r>
        <w:r w:rsidR="00FA0933">
          <w:rPr>
            <w:webHidden/>
          </w:rPr>
        </w:r>
        <w:r w:rsidR="00FA0933">
          <w:rPr>
            <w:webHidden/>
          </w:rPr>
          <w:fldChar w:fldCharType="separate"/>
        </w:r>
        <w:r w:rsidR="00F22012">
          <w:rPr>
            <w:webHidden/>
          </w:rPr>
          <w:t>18</w:t>
        </w:r>
        <w:r w:rsidR="00FA0933">
          <w:rPr>
            <w:webHidden/>
          </w:rPr>
          <w:fldChar w:fldCharType="end"/>
        </w:r>
      </w:hyperlink>
    </w:p>
    <w:p w14:paraId="7C764BA9" w14:textId="4E32A5B5" w:rsidR="00FA0933" w:rsidRDefault="00CD5EE5">
      <w:pPr>
        <w:pStyle w:val="TableofFigures"/>
        <w:rPr>
          <w:rFonts w:asciiTheme="minorHAnsi" w:eastAsiaTheme="minorEastAsia" w:hAnsiTheme="minorHAnsi" w:cstheme="minorBidi"/>
          <w:smallCaps w:val="0"/>
          <w:szCs w:val="22"/>
          <w:lang w:eastAsia="en-AU"/>
        </w:rPr>
      </w:pPr>
      <w:hyperlink w:anchor="_Toc75878520" w:history="1">
        <w:r w:rsidR="00FA0933" w:rsidRPr="00CD4783">
          <w:rPr>
            <w:rStyle w:val="Hyperlink"/>
          </w:rPr>
          <w:t>Figure 5</w:t>
        </w:r>
        <w:r w:rsidR="00FA0933" w:rsidRPr="00CD4783">
          <w:rPr>
            <w:rStyle w:val="Hyperlink"/>
          </w:rPr>
          <w:noBreakHyphen/>
          <w:t>1: Number of WHMs worked in Australia by number of jobs</w:t>
        </w:r>
        <w:r w:rsidR="00FA0933">
          <w:rPr>
            <w:webHidden/>
          </w:rPr>
          <w:tab/>
        </w:r>
        <w:r w:rsidR="00FA0933">
          <w:rPr>
            <w:webHidden/>
          </w:rPr>
          <w:fldChar w:fldCharType="begin"/>
        </w:r>
        <w:r w:rsidR="00FA0933">
          <w:rPr>
            <w:webHidden/>
          </w:rPr>
          <w:instrText xml:space="preserve"> PAGEREF _Toc75878520 \h </w:instrText>
        </w:r>
        <w:r w:rsidR="00FA0933">
          <w:rPr>
            <w:webHidden/>
          </w:rPr>
        </w:r>
        <w:r w:rsidR="00FA0933">
          <w:rPr>
            <w:webHidden/>
          </w:rPr>
          <w:fldChar w:fldCharType="separate"/>
        </w:r>
        <w:r w:rsidR="00F22012">
          <w:rPr>
            <w:webHidden/>
          </w:rPr>
          <w:t>19</w:t>
        </w:r>
        <w:r w:rsidR="00FA0933">
          <w:rPr>
            <w:webHidden/>
          </w:rPr>
          <w:fldChar w:fldCharType="end"/>
        </w:r>
      </w:hyperlink>
    </w:p>
    <w:p w14:paraId="61419CA3" w14:textId="4A704F32" w:rsidR="00FA0933" w:rsidRDefault="00CD5EE5">
      <w:pPr>
        <w:pStyle w:val="TableofFigures"/>
        <w:rPr>
          <w:rFonts w:asciiTheme="minorHAnsi" w:eastAsiaTheme="minorEastAsia" w:hAnsiTheme="minorHAnsi" w:cstheme="minorBidi"/>
          <w:smallCaps w:val="0"/>
          <w:szCs w:val="22"/>
          <w:lang w:eastAsia="en-AU"/>
        </w:rPr>
      </w:pPr>
      <w:hyperlink w:anchor="_Toc75878521" w:history="1">
        <w:r w:rsidR="00FA0933" w:rsidRPr="00CD4783">
          <w:rPr>
            <w:rStyle w:val="Hyperlink"/>
          </w:rPr>
          <w:t>Figure 5</w:t>
        </w:r>
        <w:r w:rsidR="00FA0933" w:rsidRPr="00CD4783">
          <w:rPr>
            <w:rStyle w:val="Hyperlink"/>
          </w:rPr>
          <w:noBreakHyphen/>
          <w:t>2: Number of jobs by state</w:t>
        </w:r>
        <w:r w:rsidR="00FA0933">
          <w:rPr>
            <w:webHidden/>
          </w:rPr>
          <w:tab/>
        </w:r>
        <w:r w:rsidR="00FA0933">
          <w:rPr>
            <w:webHidden/>
          </w:rPr>
          <w:fldChar w:fldCharType="begin"/>
        </w:r>
        <w:r w:rsidR="00FA0933">
          <w:rPr>
            <w:webHidden/>
          </w:rPr>
          <w:instrText xml:space="preserve"> PAGEREF _Toc75878521 \h </w:instrText>
        </w:r>
        <w:r w:rsidR="00FA0933">
          <w:rPr>
            <w:webHidden/>
          </w:rPr>
        </w:r>
        <w:r w:rsidR="00FA0933">
          <w:rPr>
            <w:webHidden/>
          </w:rPr>
          <w:fldChar w:fldCharType="separate"/>
        </w:r>
        <w:r w:rsidR="00F22012">
          <w:rPr>
            <w:webHidden/>
          </w:rPr>
          <w:t>20</w:t>
        </w:r>
        <w:r w:rsidR="00FA0933">
          <w:rPr>
            <w:webHidden/>
          </w:rPr>
          <w:fldChar w:fldCharType="end"/>
        </w:r>
      </w:hyperlink>
    </w:p>
    <w:p w14:paraId="2D22F800" w14:textId="432A60BC" w:rsidR="00FA0933" w:rsidRDefault="00CD5EE5">
      <w:pPr>
        <w:pStyle w:val="TableofFigures"/>
        <w:rPr>
          <w:rFonts w:asciiTheme="minorHAnsi" w:eastAsiaTheme="minorEastAsia" w:hAnsiTheme="minorHAnsi" w:cstheme="minorBidi"/>
          <w:smallCaps w:val="0"/>
          <w:szCs w:val="22"/>
          <w:lang w:eastAsia="en-AU"/>
        </w:rPr>
      </w:pPr>
      <w:hyperlink w:anchor="_Toc75878522" w:history="1">
        <w:r w:rsidR="00FA0933" w:rsidRPr="00CD4783">
          <w:rPr>
            <w:rStyle w:val="Hyperlink"/>
          </w:rPr>
          <w:t>Figure 5</w:t>
        </w:r>
        <w:r w:rsidR="00FA0933" w:rsidRPr="00CD4783">
          <w:rPr>
            <w:rStyle w:val="Hyperlink"/>
          </w:rPr>
          <w:noBreakHyphen/>
          <w:t>3: Hourly rate of pay, by state</w:t>
        </w:r>
        <w:r w:rsidR="00FA0933">
          <w:rPr>
            <w:webHidden/>
          </w:rPr>
          <w:tab/>
        </w:r>
        <w:r w:rsidR="00FA0933">
          <w:rPr>
            <w:webHidden/>
          </w:rPr>
          <w:fldChar w:fldCharType="begin"/>
        </w:r>
        <w:r w:rsidR="00FA0933">
          <w:rPr>
            <w:webHidden/>
          </w:rPr>
          <w:instrText xml:space="preserve"> PAGEREF _Toc75878522 \h </w:instrText>
        </w:r>
        <w:r w:rsidR="00FA0933">
          <w:rPr>
            <w:webHidden/>
          </w:rPr>
        </w:r>
        <w:r w:rsidR="00FA0933">
          <w:rPr>
            <w:webHidden/>
          </w:rPr>
          <w:fldChar w:fldCharType="separate"/>
        </w:r>
        <w:r w:rsidR="00F22012">
          <w:rPr>
            <w:webHidden/>
          </w:rPr>
          <w:t>24</w:t>
        </w:r>
        <w:r w:rsidR="00FA0933">
          <w:rPr>
            <w:webHidden/>
          </w:rPr>
          <w:fldChar w:fldCharType="end"/>
        </w:r>
      </w:hyperlink>
    </w:p>
    <w:p w14:paraId="3190E939" w14:textId="3544BB6A" w:rsidR="00FA0933" w:rsidRDefault="00CD5EE5">
      <w:pPr>
        <w:pStyle w:val="TableofFigures"/>
        <w:rPr>
          <w:rFonts w:asciiTheme="minorHAnsi" w:eastAsiaTheme="minorEastAsia" w:hAnsiTheme="minorHAnsi" w:cstheme="minorBidi"/>
          <w:smallCaps w:val="0"/>
          <w:szCs w:val="22"/>
          <w:lang w:eastAsia="en-AU"/>
        </w:rPr>
      </w:pPr>
      <w:hyperlink w:anchor="_Toc75878523" w:history="1">
        <w:r w:rsidR="00FA0933" w:rsidRPr="00CD4783">
          <w:rPr>
            <w:rStyle w:val="Hyperlink"/>
          </w:rPr>
          <w:t>Figure 5</w:t>
        </w:r>
        <w:r w:rsidR="00FA0933" w:rsidRPr="00CD4783">
          <w:rPr>
            <w:rStyle w:val="Hyperlink"/>
          </w:rPr>
          <w:noBreakHyphen/>
          <w:t>4: Average hourly rate of pay, by state.</w:t>
        </w:r>
        <w:r w:rsidR="00FA0933">
          <w:rPr>
            <w:webHidden/>
          </w:rPr>
          <w:tab/>
        </w:r>
        <w:r w:rsidR="00FA0933">
          <w:rPr>
            <w:webHidden/>
          </w:rPr>
          <w:fldChar w:fldCharType="begin"/>
        </w:r>
        <w:r w:rsidR="00FA0933">
          <w:rPr>
            <w:webHidden/>
          </w:rPr>
          <w:instrText xml:space="preserve"> PAGEREF _Toc75878523 \h </w:instrText>
        </w:r>
        <w:r w:rsidR="00FA0933">
          <w:rPr>
            <w:webHidden/>
          </w:rPr>
        </w:r>
        <w:r w:rsidR="00FA0933">
          <w:rPr>
            <w:webHidden/>
          </w:rPr>
          <w:fldChar w:fldCharType="separate"/>
        </w:r>
        <w:r w:rsidR="00F22012">
          <w:rPr>
            <w:webHidden/>
          </w:rPr>
          <w:t>25</w:t>
        </w:r>
        <w:r w:rsidR="00FA0933">
          <w:rPr>
            <w:webHidden/>
          </w:rPr>
          <w:fldChar w:fldCharType="end"/>
        </w:r>
      </w:hyperlink>
    </w:p>
    <w:p w14:paraId="1F5005A7" w14:textId="4BB246F2" w:rsidR="00FA0933" w:rsidRDefault="00CD5EE5">
      <w:pPr>
        <w:pStyle w:val="TableofFigures"/>
        <w:rPr>
          <w:rFonts w:asciiTheme="minorHAnsi" w:eastAsiaTheme="minorEastAsia" w:hAnsiTheme="minorHAnsi" w:cstheme="minorBidi"/>
          <w:smallCaps w:val="0"/>
          <w:szCs w:val="22"/>
          <w:lang w:eastAsia="en-AU"/>
        </w:rPr>
      </w:pPr>
      <w:hyperlink w:anchor="_Toc75878524" w:history="1">
        <w:r w:rsidR="00FA0933" w:rsidRPr="00CD4783">
          <w:rPr>
            <w:rStyle w:val="Hyperlink"/>
          </w:rPr>
          <w:t>Figure 5</w:t>
        </w:r>
        <w:r w:rsidR="00FA0933" w:rsidRPr="00CD4783">
          <w:rPr>
            <w:rStyle w:val="Hyperlink"/>
          </w:rPr>
          <w:noBreakHyphen/>
          <w:t>5: Hourly rate of pay for WHMs, by sex</w:t>
        </w:r>
        <w:r w:rsidR="00FA0933">
          <w:rPr>
            <w:webHidden/>
          </w:rPr>
          <w:tab/>
        </w:r>
        <w:r w:rsidR="00FA0933">
          <w:rPr>
            <w:webHidden/>
          </w:rPr>
          <w:fldChar w:fldCharType="begin"/>
        </w:r>
        <w:r w:rsidR="00FA0933">
          <w:rPr>
            <w:webHidden/>
          </w:rPr>
          <w:instrText xml:space="preserve"> PAGEREF _Toc75878524 \h </w:instrText>
        </w:r>
        <w:r w:rsidR="00FA0933">
          <w:rPr>
            <w:webHidden/>
          </w:rPr>
        </w:r>
        <w:r w:rsidR="00FA0933">
          <w:rPr>
            <w:webHidden/>
          </w:rPr>
          <w:fldChar w:fldCharType="separate"/>
        </w:r>
        <w:r w:rsidR="00F22012">
          <w:rPr>
            <w:webHidden/>
          </w:rPr>
          <w:t>25</w:t>
        </w:r>
        <w:r w:rsidR="00FA0933">
          <w:rPr>
            <w:webHidden/>
          </w:rPr>
          <w:fldChar w:fldCharType="end"/>
        </w:r>
      </w:hyperlink>
    </w:p>
    <w:p w14:paraId="5BF59841" w14:textId="0FF5BA42" w:rsidR="00FA0933" w:rsidRDefault="00CD5EE5">
      <w:pPr>
        <w:pStyle w:val="TableofFigures"/>
        <w:rPr>
          <w:rFonts w:asciiTheme="minorHAnsi" w:eastAsiaTheme="minorEastAsia" w:hAnsiTheme="minorHAnsi" w:cstheme="minorBidi"/>
          <w:smallCaps w:val="0"/>
          <w:szCs w:val="22"/>
          <w:lang w:eastAsia="en-AU"/>
        </w:rPr>
      </w:pPr>
      <w:hyperlink w:anchor="_Toc75878525" w:history="1">
        <w:r w:rsidR="00FA0933" w:rsidRPr="00CD4783">
          <w:rPr>
            <w:rStyle w:val="Hyperlink"/>
          </w:rPr>
          <w:t>Figure 5</w:t>
        </w:r>
        <w:r w:rsidR="00FA0933" w:rsidRPr="00CD4783">
          <w:rPr>
            <w:rStyle w:val="Hyperlink"/>
          </w:rPr>
          <w:noBreakHyphen/>
          <w:t>6: Hourly rate of pay for WHMs, by age group</w:t>
        </w:r>
        <w:r w:rsidR="00FA0933">
          <w:rPr>
            <w:webHidden/>
          </w:rPr>
          <w:tab/>
        </w:r>
        <w:r w:rsidR="00FA0933">
          <w:rPr>
            <w:webHidden/>
          </w:rPr>
          <w:fldChar w:fldCharType="begin"/>
        </w:r>
        <w:r w:rsidR="00FA0933">
          <w:rPr>
            <w:webHidden/>
          </w:rPr>
          <w:instrText xml:space="preserve"> PAGEREF _Toc75878525 \h </w:instrText>
        </w:r>
        <w:r w:rsidR="00FA0933">
          <w:rPr>
            <w:webHidden/>
          </w:rPr>
        </w:r>
        <w:r w:rsidR="00FA0933">
          <w:rPr>
            <w:webHidden/>
          </w:rPr>
          <w:fldChar w:fldCharType="separate"/>
        </w:r>
        <w:r w:rsidR="00F22012">
          <w:rPr>
            <w:webHidden/>
          </w:rPr>
          <w:t>26</w:t>
        </w:r>
        <w:r w:rsidR="00FA0933">
          <w:rPr>
            <w:webHidden/>
          </w:rPr>
          <w:fldChar w:fldCharType="end"/>
        </w:r>
      </w:hyperlink>
    </w:p>
    <w:p w14:paraId="77DEE57A" w14:textId="06C16483" w:rsidR="00FA0933" w:rsidRDefault="00CD5EE5">
      <w:pPr>
        <w:pStyle w:val="TableofFigures"/>
        <w:rPr>
          <w:rFonts w:asciiTheme="minorHAnsi" w:eastAsiaTheme="minorEastAsia" w:hAnsiTheme="minorHAnsi" w:cstheme="minorBidi"/>
          <w:smallCaps w:val="0"/>
          <w:szCs w:val="22"/>
          <w:lang w:eastAsia="en-AU"/>
        </w:rPr>
      </w:pPr>
      <w:hyperlink w:anchor="_Toc75878526" w:history="1">
        <w:r w:rsidR="00FA0933" w:rsidRPr="00CD4783">
          <w:rPr>
            <w:rStyle w:val="Hyperlink"/>
          </w:rPr>
          <w:t>Figure 5</w:t>
        </w:r>
        <w:r w:rsidR="00FA0933" w:rsidRPr="00CD4783">
          <w:rPr>
            <w:rStyle w:val="Hyperlink"/>
          </w:rPr>
          <w:noBreakHyphen/>
          <w:t>7: Hourly rate of pay for Top 10 WHM jobs</w:t>
        </w:r>
        <w:r w:rsidR="00FA0933">
          <w:rPr>
            <w:webHidden/>
          </w:rPr>
          <w:tab/>
        </w:r>
        <w:r w:rsidR="00FA0933">
          <w:rPr>
            <w:webHidden/>
          </w:rPr>
          <w:fldChar w:fldCharType="begin"/>
        </w:r>
        <w:r w:rsidR="00FA0933">
          <w:rPr>
            <w:webHidden/>
          </w:rPr>
          <w:instrText xml:space="preserve"> PAGEREF _Toc75878526 \h </w:instrText>
        </w:r>
        <w:r w:rsidR="00FA0933">
          <w:rPr>
            <w:webHidden/>
          </w:rPr>
        </w:r>
        <w:r w:rsidR="00FA0933">
          <w:rPr>
            <w:webHidden/>
          </w:rPr>
          <w:fldChar w:fldCharType="separate"/>
        </w:r>
        <w:r w:rsidR="00F22012">
          <w:rPr>
            <w:webHidden/>
          </w:rPr>
          <w:t>27</w:t>
        </w:r>
        <w:r w:rsidR="00FA0933">
          <w:rPr>
            <w:webHidden/>
          </w:rPr>
          <w:fldChar w:fldCharType="end"/>
        </w:r>
      </w:hyperlink>
    </w:p>
    <w:p w14:paraId="3D1680CB" w14:textId="73CCDAB2" w:rsidR="00FA0933" w:rsidRDefault="00CD5EE5">
      <w:pPr>
        <w:pStyle w:val="TableofFigures"/>
        <w:rPr>
          <w:rFonts w:asciiTheme="minorHAnsi" w:eastAsiaTheme="minorEastAsia" w:hAnsiTheme="minorHAnsi" w:cstheme="minorBidi"/>
          <w:smallCaps w:val="0"/>
          <w:szCs w:val="22"/>
          <w:lang w:eastAsia="en-AU"/>
        </w:rPr>
      </w:pPr>
      <w:hyperlink w:anchor="_Toc75878527" w:history="1">
        <w:r w:rsidR="00FA0933" w:rsidRPr="00CD4783">
          <w:rPr>
            <w:rStyle w:val="Hyperlink"/>
          </w:rPr>
          <w:t>Figure 5</w:t>
        </w:r>
        <w:r w:rsidR="00FA0933" w:rsidRPr="00CD4783">
          <w:rPr>
            <w:rStyle w:val="Hyperlink"/>
          </w:rPr>
          <w:noBreakHyphen/>
          <w:t>8: Hourly rate of pay for Top 10 WHM countries</w:t>
        </w:r>
        <w:r w:rsidR="00FA0933">
          <w:rPr>
            <w:webHidden/>
          </w:rPr>
          <w:tab/>
        </w:r>
        <w:r w:rsidR="00FA0933">
          <w:rPr>
            <w:webHidden/>
          </w:rPr>
          <w:fldChar w:fldCharType="begin"/>
        </w:r>
        <w:r w:rsidR="00FA0933">
          <w:rPr>
            <w:webHidden/>
          </w:rPr>
          <w:instrText xml:space="preserve"> PAGEREF _Toc75878527 \h </w:instrText>
        </w:r>
        <w:r w:rsidR="00FA0933">
          <w:rPr>
            <w:webHidden/>
          </w:rPr>
        </w:r>
        <w:r w:rsidR="00FA0933">
          <w:rPr>
            <w:webHidden/>
          </w:rPr>
          <w:fldChar w:fldCharType="separate"/>
        </w:r>
        <w:r w:rsidR="00F22012">
          <w:rPr>
            <w:webHidden/>
          </w:rPr>
          <w:t>28</w:t>
        </w:r>
        <w:r w:rsidR="00FA0933">
          <w:rPr>
            <w:webHidden/>
          </w:rPr>
          <w:fldChar w:fldCharType="end"/>
        </w:r>
      </w:hyperlink>
    </w:p>
    <w:p w14:paraId="2357AECF" w14:textId="2C2D8DB5" w:rsidR="00FA0933" w:rsidRDefault="00CD5EE5">
      <w:pPr>
        <w:pStyle w:val="TableofFigures"/>
        <w:rPr>
          <w:rFonts w:asciiTheme="minorHAnsi" w:eastAsiaTheme="minorEastAsia" w:hAnsiTheme="minorHAnsi" w:cstheme="minorBidi"/>
          <w:smallCaps w:val="0"/>
          <w:szCs w:val="22"/>
          <w:lang w:eastAsia="en-AU"/>
        </w:rPr>
      </w:pPr>
      <w:hyperlink w:anchor="_Toc75878528" w:history="1">
        <w:r w:rsidR="00FA0933" w:rsidRPr="00CD4783">
          <w:rPr>
            <w:rStyle w:val="Hyperlink"/>
          </w:rPr>
          <w:t>Figure 5</w:t>
        </w:r>
        <w:r w:rsidR="00FA0933" w:rsidRPr="00CD4783">
          <w:rPr>
            <w:rStyle w:val="Hyperlink"/>
          </w:rPr>
          <w:noBreakHyphen/>
          <w:t>9: Hours worked per week, by state</w:t>
        </w:r>
        <w:r w:rsidR="00FA0933">
          <w:rPr>
            <w:webHidden/>
          </w:rPr>
          <w:tab/>
        </w:r>
        <w:r w:rsidR="00FA0933">
          <w:rPr>
            <w:webHidden/>
          </w:rPr>
          <w:fldChar w:fldCharType="begin"/>
        </w:r>
        <w:r w:rsidR="00FA0933">
          <w:rPr>
            <w:webHidden/>
          </w:rPr>
          <w:instrText xml:space="preserve"> PAGEREF _Toc75878528 \h </w:instrText>
        </w:r>
        <w:r w:rsidR="00FA0933">
          <w:rPr>
            <w:webHidden/>
          </w:rPr>
        </w:r>
        <w:r w:rsidR="00FA0933">
          <w:rPr>
            <w:webHidden/>
          </w:rPr>
          <w:fldChar w:fldCharType="separate"/>
        </w:r>
        <w:r w:rsidR="00F22012">
          <w:rPr>
            <w:webHidden/>
          </w:rPr>
          <w:t>29</w:t>
        </w:r>
        <w:r w:rsidR="00FA0933">
          <w:rPr>
            <w:webHidden/>
          </w:rPr>
          <w:fldChar w:fldCharType="end"/>
        </w:r>
      </w:hyperlink>
    </w:p>
    <w:p w14:paraId="75DA047A" w14:textId="6A9E6CD9" w:rsidR="00FA0933" w:rsidRDefault="00CD5EE5">
      <w:pPr>
        <w:pStyle w:val="TableofFigures"/>
        <w:rPr>
          <w:rFonts w:asciiTheme="minorHAnsi" w:eastAsiaTheme="minorEastAsia" w:hAnsiTheme="minorHAnsi" w:cstheme="minorBidi"/>
          <w:smallCaps w:val="0"/>
          <w:szCs w:val="22"/>
          <w:lang w:eastAsia="en-AU"/>
        </w:rPr>
      </w:pPr>
      <w:hyperlink w:anchor="_Toc75878529" w:history="1">
        <w:r w:rsidR="00FA0933" w:rsidRPr="00CD4783">
          <w:rPr>
            <w:rStyle w:val="Hyperlink"/>
          </w:rPr>
          <w:t>Figure 5</w:t>
        </w:r>
        <w:r w:rsidR="00FA0933" w:rsidRPr="00CD4783">
          <w:rPr>
            <w:rStyle w:val="Hyperlink"/>
          </w:rPr>
          <w:noBreakHyphen/>
          <w:t>10: Hours worked per week, by sex</w:t>
        </w:r>
        <w:r w:rsidR="00FA0933">
          <w:rPr>
            <w:webHidden/>
          </w:rPr>
          <w:tab/>
        </w:r>
        <w:r w:rsidR="00FA0933">
          <w:rPr>
            <w:webHidden/>
          </w:rPr>
          <w:fldChar w:fldCharType="begin"/>
        </w:r>
        <w:r w:rsidR="00FA0933">
          <w:rPr>
            <w:webHidden/>
          </w:rPr>
          <w:instrText xml:space="preserve"> PAGEREF _Toc75878529 \h </w:instrText>
        </w:r>
        <w:r w:rsidR="00FA0933">
          <w:rPr>
            <w:webHidden/>
          </w:rPr>
        </w:r>
        <w:r w:rsidR="00FA0933">
          <w:rPr>
            <w:webHidden/>
          </w:rPr>
          <w:fldChar w:fldCharType="separate"/>
        </w:r>
        <w:r w:rsidR="00F22012">
          <w:rPr>
            <w:webHidden/>
          </w:rPr>
          <w:t>30</w:t>
        </w:r>
        <w:r w:rsidR="00FA0933">
          <w:rPr>
            <w:webHidden/>
          </w:rPr>
          <w:fldChar w:fldCharType="end"/>
        </w:r>
      </w:hyperlink>
    </w:p>
    <w:p w14:paraId="47EAAEE3" w14:textId="7832D8F4" w:rsidR="00FA0933" w:rsidRDefault="00CD5EE5">
      <w:pPr>
        <w:pStyle w:val="TableofFigures"/>
        <w:rPr>
          <w:rFonts w:asciiTheme="minorHAnsi" w:eastAsiaTheme="minorEastAsia" w:hAnsiTheme="minorHAnsi" w:cstheme="minorBidi"/>
          <w:smallCaps w:val="0"/>
          <w:szCs w:val="22"/>
          <w:lang w:eastAsia="en-AU"/>
        </w:rPr>
      </w:pPr>
      <w:hyperlink w:anchor="_Toc75878530" w:history="1">
        <w:r w:rsidR="00FA0933" w:rsidRPr="00CD4783">
          <w:rPr>
            <w:rStyle w:val="Hyperlink"/>
          </w:rPr>
          <w:t>Figure 5</w:t>
        </w:r>
        <w:r w:rsidR="00FA0933" w:rsidRPr="00CD4783">
          <w:rPr>
            <w:rStyle w:val="Hyperlink"/>
          </w:rPr>
          <w:noBreakHyphen/>
          <w:t>11: Hours worked per week, by age group</w:t>
        </w:r>
        <w:r w:rsidR="00FA0933">
          <w:rPr>
            <w:webHidden/>
          </w:rPr>
          <w:tab/>
        </w:r>
        <w:r w:rsidR="00FA0933">
          <w:rPr>
            <w:webHidden/>
          </w:rPr>
          <w:fldChar w:fldCharType="begin"/>
        </w:r>
        <w:r w:rsidR="00FA0933">
          <w:rPr>
            <w:webHidden/>
          </w:rPr>
          <w:instrText xml:space="preserve"> PAGEREF _Toc75878530 \h </w:instrText>
        </w:r>
        <w:r w:rsidR="00FA0933">
          <w:rPr>
            <w:webHidden/>
          </w:rPr>
        </w:r>
        <w:r w:rsidR="00FA0933">
          <w:rPr>
            <w:webHidden/>
          </w:rPr>
          <w:fldChar w:fldCharType="separate"/>
        </w:r>
        <w:r w:rsidR="00F22012">
          <w:rPr>
            <w:webHidden/>
          </w:rPr>
          <w:t>30</w:t>
        </w:r>
        <w:r w:rsidR="00FA0933">
          <w:rPr>
            <w:webHidden/>
          </w:rPr>
          <w:fldChar w:fldCharType="end"/>
        </w:r>
      </w:hyperlink>
    </w:p>
    <w:p w14:paraId="114409F8" w14:textId="673A4C13" w:rsidR="00FA0933" w:rsidRDefault="00CD5EE5">
      <w:pPr>
        <w:pStyle w:val="TableofFigures"/>
        <w:rPr>
          <w:rFonts w:asciiTheme="minorHAnsi" w:eastAsiaTheme="minorEastAsia" w:hAnsiTheme="minorHAnsi" w:cstheme="minorBidi"/>
          <w:smallCaps w:val="0"/>
          <w:szCs w:val="22"/>
          <w:lang w:eastAsia="en-AU"/>
        </w:rPr>
      </w:pPr>
      <w:hyperlink w:anchor="_Toc75878531" w:history="1">
        <w:r w:rsidR="00FA0933" w:rsidRPr="00CD4783">
          <w:rPr>
            <w:rStyle w:val="Hyperlink"/>
          </w:rPr>
          <w:t>Figure 5</w:t>
        </w:r>
        <w:r w:rsidR="00FA0933" w:rsidRPr="00CD4783">
          <w:rPr>
            <w:rStyle w:val="Hyperlink"/>
          </w:rPr>
          <w:noBreakHyphen/>
          <w:t>12: Hours worked per week in Top 10 jobs</w:t>
        </w:r>
        <w:r w:rsidR="00FA0933">
          <w:rPr>
            <w:webHidden/>
          </w:rPr>
          <w:tab/>
        </w:r>
        <w:r w:rsidR="00FA0933">
          <w:rPr>
            <w:webHidden/>
          </w:rPr>
          <w:fldChar w:fldCharType="begin"/>
        </w:r>
        <w:r w:rsidR="00FA0933">
          <w:rPr>
            <w:webHidden/>
          </w:rPr>
          <w:instrText xml:space="preserve"> PAGEREF _Toc75878531 \h </w:instrText>
        </w:r>
        <w:r w:rsidR="00FA0933">
          <w:rPr>
            <w:webHidden/>
          </w:rPr>
        </w:r>
        <w:r w:rsidR="00FA0933">
          <w:rPr>
            <w:webHidden/>
          </w:rPr>
          <w:fldChar w:fldCharType="separate"/>
        </w:r>
        <w:r w:rsidR="00F22012">
          <w:rPr>
            <w:webHidden/>
          </w:rPr>
          <w:t>31</w:t>
        </w:r>
        <w:r w:rsidR="00FA0933">
          <w:rPr>
            <w:webHidden/>
          </w:rPr>
          <w:fldChar w:fldCharType="end"/>
        </w:r>
      </w:hyperlink>
    </w:p>
    <w:p w14:paraId="7A3F17DA" w14:textId="13B10C94" w:rsidR="00FA0933" w:rsidRDefault="00CD5EE5">
      <w:pPr>
        <w:pStyle w:val="TableofFigures"/>
        <w:rPr>
          <w:rFonts w:asciiTheme="minorHAnsi" w:eastAsiaTheme="minorEastAsia" w:hAnsiTheme="minorHAnsi" w:cstheme="minorBidi"/>
          <w:smallCaps w:val="0"/>
          <w:szCs w:val="22"/>
          <w:lang w:eastAsia="en-AU"/>
        </w:rPr>
      </w:pPr>
      <w:hyperlink w:anchor="_Toc75878532" w:history="1">
        <w:r w:rsidR="00FA0933" w:rsidRPr="00CD4783">
          <w:rPr>
            <w:rStyle w:val="Hyperlink"/>
          </w:rPr>
          <w:t>Figure 5</w:t>
        </w:r>
        <w:r w:rsidR="00FA0933" w:rsidRPr="00CD4783">
          <w:rPr>
            <w:rStyle w:val="Hyperlink"/>
          </w:rPr>
          <w:noBreakHyphen/>
          <w:t>13: Average hours worked per week for Top 10 countries</w:t>
        </w:r>
        <w:r w:rsidR="00FA0933">
          <w:rPr>
            <w:webHidden/>
          </w:rPr>
          <w:tab/>
        </w:r>
        <w:r w:rsidR="00FA0933">
          <w:rPr>
            <w:webHidden/>
          </w:rPr>
          <w:fldChar w:fldCharType="begin"/>
        </w:r>
        <w:r w:rsidR="00FA0933">
          <w:rPr>
            <w:webHidden/>
          </w:rPr>
          <w:instrText xml:space="preserve"> PAGEREF _Toc75878532 \h </w:instrText>
        </w:r>
        <w:r w:rsidR="00FA0933">
          <w:rPr>
            <w:webHidden/>
          </w:rPr>
        </w:r>
        <w:r w:rsidR="00FA0933">
          <w:rPr>
            <w:webHidden/>
          </w:rPr>
          <w:fldChar w:fldCharType="separate"/>
        </w:r>
        <w:r w:rsidR="00F22012">
          <w:rPr>
            <w:webHidden/>
          </w:rPr>
          <w:t>32</w:t>
        </w:r>
        <w:r w:rsidR="00FA0933">
          <w:rPr>
            <w:webHidden/>
          </w:rPr>
          <w:fldChar w:fldCharType="end"/>
        </w:r>
      </w:hyperlink>
    </w:p>
    <w:p w14:paraId="6182FF34" w14:textId="48087707" w:rsidR="00FA0933" w:rsidRDefault="00CD5EE5">
      <w:pPr>
        <w:pStyle w:val="TableofFigures"/>
        <w:rPr>
          <w:rFonts w:asciiTheme="minorHAnsi" w:eastAsiaTheme="minorEastAsia" w:hAnsiTheme="minorHAnsi" w:cstheme="minorBidi"/>
          <w:smallCaps w:val="0"/>
          <w:szCs w:val="22"/>
          <w:lang w:eastAsia="en-AU"/>
        </w:rPr>
      </w:pPr>
      <w:hyperlink w:anchor="_Toc75878533" w:history="1">
        <w:r w:rsidR="00FA0933" w:rsidRPr="00CD4783">
          <w:rPr>
            <w:rStyle w:val="Hyperlink"/>
          </w:rPr>
          <w:t>Figure 5</w:t>
        </w:r>
        <w:r w:rsidR="00FA0933" w:rsidRPr="00CD4783">
          <w:rPr>
            <w:rStyle w:val="Hyperlink"/>
          </w:rPr>
          <w:noBreakHyphen/>
          <w:t>14: Weeks worked per job</w:t>
        </w:r>
        <w:r w:rsidR="00FA0933">
          <w:rPr>
            <w:webHidden/>
          </w:rPr>
          <w:tab/>
        </w:r>
        <w:r w:rsidR="00FA0933">
          <w:rPr>
            <w:webHidden/>
          </w:rPr>
          <w:fldChar w:fldCharType="begin"/>
        </w:r>
        <w:r w:rsidR="00FA0933">
          <w:rPr>
            <w:webHidden/>
          </w:rPr>
          <w:instrText xml:space="preserve"> PAGEREF _Toc75878533 \h </w:instrText>
        </w:r>
        <w:r w:rsidR="00FA0933">
          <w:rPr>
            <w:webHidden/>
          </w:rPr>
        </w:r>
        <w:r w:rsidR="00FA0933">
          <w:rPr>
            <w:webHidden/>
          </w:rPr>
          <w:fldChar w:fldCharType="separate"/>
        </w:r>
        <w:r w:rsidR="00F22012">
          <w:rPr>
            <w:webHidden/>
          </w:rPr>
          <w:t>32</w:t>
        </w:r>
        <w:r w:rsidR="00FA0933">
          <w:rPr>
            <w:webHidden/>
          </w:rPr>
          <w:fldChar w:fldCharType="end"/>
        </w:r>
      </w:hyperlink>
    </w:p>
    <w:p w14:paraId="79855537" w14:textId="14B8B634" w:rsidR="00FA0933" w:rsidRDefault="00CD5EE5">
      <w:pPr>
        <w:pStyle w:val="TableofFigures"/>
        <w:rPr>
          <w:rFonts w:asciiTheme="minorHAnsi" w:eastAsiaTheme="minorEastAsia" w:hAnsiTheme="minorHAnsi" w:cstheme="minorBidi"/>
          <w:smallCaps w:val="0"/>
          <w:szCs w:val="22"/>
          <w:lang w:eastAsia="en-AU"/>
        </w:rPr>
      </w:pPr>
      <w:hyperlink w:anchor="_Toc75878534" w:history="1">
        <w:r w:rsidR="00FA0933" w:rsidRPr="00CD4783">
          <w:rPr>
            <w:rStyle w:val="Hyperlink"/>
          </w:rPr>
          <w:t>Figure 5</w:t>
        </w:r>
        <w:r w:rsidR="00FA0933" w:rsidRPr="00CD4783">
          <w:rPr>
            <w:rStyle w:val="Hyperlink"/>
          </w:rPr>
          <w:noBreakHyphen/>
          <w:t>15: Average weeks worked per job, by state</w:t>
        </w:r>
        <w:r w:rsidR="00FA0933">
          <w:rPr>
            <w:webHidden/>
          </w:rPr>
          <w:tab/>
        </w:r>
        <w:r w:rsidR="00FA0933">
          <w:rPr>
            <w:webHidden/>
          </w:rPr>
          <w:fldChar w:fldCharType="begin"/>
        </w:r>
        <w:r w:rsidR="00FA0933">
          <w:rPr>
            <w:webHidden/>
          </w:rPr>
          <w:instrText xml:space="preserve"> PAGEREF _Toc75878534 \h </w:instrText>
        </w:r>
        <w:r w:rsidR="00FA0933">
          <w:rPr>
            <w:webHidden/>
          </w:rPr>
        </w:r>
        <w:r w:rsidR="00FA0933">
          <w:rPr>
            <w:webHidden/>
          </w:rPr>
          <w:fldChar w:fldCharType="separate"/>
        </w:r>
        <w:r w:rsidR="00F22012">
          <w:rPr>
            <w:webHidden/>
          </w:rPr>
          <w:t>33</w:t>
        </w:r>
        <w:r w:rsidR="00FA0933">
          <w:rPr>
            <w:webHidden/>
          </w:rPr>
          <w:fldChar w:fldCharType="end"/>
        </w:r>
      </w:hyperlink>
    </w:p>
    <w:p w14:paraId="0B230B55" w14:textId="68D97D00" w:rsidR="00FA0933" w:rsidRDefault="00CD5EE5">
      <w:pPr>
        <w:pStyle w:val="TableofFigures"/>
        <w:rPr>
          <w:rFonts w:asciiTheme="minorHAnsi" w:eastAsiaTheme="minorEastAsia" w:hAnsiTheme="minorHAnsi" w:cstheme="minorBidi"/>
          <w:smallCaps w:val="0"/>
          <w:szCs w:val="22"/>
          <w:lang w:eastAsia="en-AU"/>
        </w:rPr>
      </w:pPr>
      <w:hyperlink w:anchor="_Toc75878535" w:history="1">
        <w:r w:rsidR="00FA0933" w:rsidRPr="00CD4783">
          <w:rPr>
            <w:rStyle w:val="Hyperlink"/>
          </w:rPr>
          <w:t>Figure 5</w:t>
        </w:r>
        <w:r w:rsidR="00FA0933" w:rsidRPr="00CD4783">
          <w:rPr>
            <w:rStyle w:val="Hyperlink"/>
          </w:rPr>
          <w:noBreakHyphen/>
          <w:t>16: Job duration by industry group</w:t>
        </w:r>
        <w:r w:rsidR="00FA0933">
          <w:rPr>
            <w:webHidden/>
          </w:rPr>
          <w:tab/>
        </w:r>
        <w:r w:rsidR="00FA0933">
          <w:rPr>
            <w:webHidden/>
          </w:rPr>
          <w:fldChar w:fldCharType="begin"/>
        </w:r>
        <w:r w:rsidR="00FA0933">
          <w:rPr>
            <w:webHidden/>
          </w:rPr>
          <w:instrText xml:space="preserve"> PAGEREF _Toc75878535 \h </w:instrText>
        </w:r>
        <w:r w:rsidR="00FA0933">
          <w:rPr>
            <w:webHidden/>
          </w:rPr>
        </w:r>
        <w:r w:rsidR="00FA0933">
          <w:rPr>
            <w:webHidden/>
          </w:rPr>
          <w:fldChar w:fldCharType="separate"/>
        </w:r>
        <w:r w:rsidR="00F22012">
          <w:rPr>
            <w:webHidden/>
          </w:rPr>
          <w:t>33</w:t>
        </w:r>
        <w:r w:rsidR="00FA0933">
          <w:rPr>
            <w:webHidden/>
          </w:rPr>
          <w:fldChar w:fldCharType="end"/>
        </w:r>
      </w:hyperlink>
    </w:p>
    <w:p w14:paraId="5A76622A" w14:textId="01A37B0B" w:rsidR="00FA0933" w:rsidRDefault="00CD5EE5">
      <w:pPr>
        <w:pStyle w:val="TableofFigures"/>
        <w:rPr>
          <w:rFonts w:asciiTheme="minorHAnsi" w:eastAsiaTheme="minorEastAsia" w:hAnsiTheme="minorHAnsi" w:cstheme="minorBidi"/>
          <w:smallCaps w:val="0"/>
          <w:szCs w:val="22"/>
          <w:lang w:eastAsia="en-AU"/>
        </w:rPr>
      </w:pPr>
      <w:hyperlink w:anchor="_Toc75878536" w:history="1">
        <w:r w:rsidR="00FA0933" w:rsidRPr="00CD4783">
          <w:rPr>
            <w:rStyle w:val="Hyperlink"/>
          </w:rPr>
          <w:t>Figure 5</w:t>
        </w:r>
        <w:r w:rsidR="00FA0933" w:rsidRPr="00CD4783">
          <w:rPr>
            <w:rStyle w:val="Hyperlink"/>
          </w:rPr>
          <w:noBreakHyphen/>
          <w:t>17: Total pay per job, by state</w:t>
        </w:r>
        <w:r w:rsidR="00FA0933">
          <w:rPr>
            <w:webHidden/>
          </w:rPr>
          <w:tab/>
        </w:r>
        <w:r w:rsidR="00FA0933">
          <w:rPr>
            <w:webHidden/>
          </w:rPr>
          <w:fldChar w:fldCharType="begin"/>
        </w:r>
        <w:r w:rsidR="00FA0933">
          <w:rPr>
            <w:webHidden/>
          </w:rPr>
          <w:instrText xml:space="preserve"> PAGEREF _Toc75878536 \h </w:instrText>
        </w:r>
        <w:r w:rsidR="00FA0933">
          <w:rPr>
            <w:webHidden/>
          </w:rPr>
        </w:r>
        <w:r w:rsidR="00FA0933">
          <w:rPr>
            <w:webHidden/>
          </w:rPr>
          <w:fldChar w:fldCharType="separate"/>
        </w:r>
        <w:r w:rsidR="00F22012">
          <w:rPr>
            <w:webHidden/>
          </w:rPr>
          <w:t>35</w:t>
        </w:r>
        <w:r w:rsidR="00FA0933">
          <w:rPr>
            <w:webHidden/>
          </w:rPr>
          <w:fldChar w:fldCharType="end"/>
        </w:r>
      </w:hyperlink>
    </w:p>
    <w:p w14:paraId="0AA0DE7F" w14:textId="5196118B" w:rsidR="00FA0933" w:rsidRDefault="00CD5EE5">
      <w:pPr>
        <w:pStyle w:val="TableofFigures"/>
        <w:rPr>
          <w:rFonts w:asciiTheme="minorHAnsi" w:eastAsiaTheme="minorEastAsia" w:hAnsiTheme="minorHAnsi" w:cstheme="minorBidi"/>
          <w:smallCaps w:val="0"/>
          <w:szCs w:val="22"/>
          <w:lang w:eastAsia="en-AU"/>
        </w:rPr>
      </w:pPr>
      <w:hyperlink w:anchor="_Toc75878537" w:history="1">
        <w:r w:rsidR="00FA0933" w:rsidRPr="00CD4783">
          <w:rPr>
            <w:rStyle w:val="Hyperlink"/>
          </w:rPr>
          <w:t>Figure 5</w:t>
        </w:r>
        <w:r w:rsidR="00FA0933" w:rsidRPr="00CD4783">
          <w:rPr>
            <w:rStyle w:val="Hyperlink"/>
          </w:rPr>
          <w:noBreakHyphen/>
          <w:t>18: Total pay per job, by sex</w:t>
        </w:r>
        <w:r w:rsidR="00FA0933">
          <w:rPr>
            <w:webHidden/>
          </w:rPr>
          <w:tab/>
        </w:r>
        <w:r w:rsidR="00FA0933">
          <w:rPr>
            <w:webHidden/>
          </w:rPr>
          <w:fldChar w:fldCharType="begin"/>
        </w:r>
        <w:r w:rsidR="00FA0933">
          <w:rPr>
            <w:webHidden/>
          </w:rPr>
          <w:instrText xml:space="preserve"> PAGEREF _Toc75878537 \h </w:instrText>
        </w:r>
        <w:r w:rsidR="00FA0933">
          <w:rPr>
            <w:webHidden/>
          </w:rPr>
        </w:r>
        <w:r w:rsidR="00FA0933">
          <w:rPr>
            <w:webHidden/>
          </w:rPr>
          <w:fldChar w:fldCharType="separate"/>
        </w:r>
        <w:r w:rsidR="00F22012">
          <w:rPr>
            <w:webHidden/>
          </w:rPr>
          <w:t>35</w:t>
        </w:r>
        <w:r w:rsidR="00FA0933">
          <w:rPr>
            <w:webHidden/>
          </w:rPr>
          <w:fldChar w:fldCharType="end"/>
        </w:r>
      </w:hyperlink>
    </w:p>
    <w:p w14:paraId="58845D91" w14:textId="7E0609DC" w:rsidR="00FA0933" w:rsidRDefault="00CD5EE5">
      <w:pPr>
        <w:pStyle w:val="TableofFigures"/>
        <w:rPr>
          <w:rFonts w:asciiTheme="minorHAnsi" w:eastAsiaTheme="minorEastAsia" w:hAnsiTheme="minorHAnsi" w:cstheme="minorBidi"/>
          <w:smallCaps w:val="0"/>
          <w:szCs w:val="22"/>
          <w:lang w:eastAsia="en-AU"/>
        </w:rPr>
      </w:pPr>
      <w:hyperlink w:anchor="_Toc75878538" w:history="1">
        <w:r w:rsidR="00FA0933" w:rsidRPr="00CD4783">
          <w:rPr>
            <w:rStyle w:val="Hyperlink"/>
          </w:rPr>
          <w:t>Figure 5</w:t>
        </w:r>
        <w:r w:rsidR="00FA0933" w:rsidRPr="00CD4783">
          <w:rPr>
            <w:rStyle w:val="Hyperlink"/>
          </w:rPr>
          <w:noBreakHyphen/>
          <w:t>19: Total pay per job, by age group</w:t>
        </w:r>
        <w:r w:rsidR="00FA0933">
          <w:rPr>
            <w:webHidden/>
          </w:rPr>
          <w:tab/>
        </w:r>
        <w:r w:rsidR="00FA0933">
          <w:rPr>
            <w:webHidden/>
          </w:rPr>
          <w:fldChar w:fldCharType="begin"/>
        </w:r>
        <w:r w:rsidR="00FA0933">
          <w:rPr>
            <w:webHidden/>
          </w:rPr>
          <w:instrText xml:space="preserve"> PAGEREF _Toc75878538 \h </w:instrText>
        </w:r>
        <w:r w:rsidR="00FA0933">
          <w:rPr>
            <w:webHidden/>
          </w:rPr>
        </w:r>
        <w:r w:rsidR="00FA0933">
          <w:rPr>
            <w:webHidden/>
          </w:rPr>
          <w:fldChar w:fldCharType="separate"/>
        </w:r>
        <w:r w:rsidR="00F22012">
          <w:rPr>
            <w:webHidden/>
          </w:rPr>
          <w:t>36</w:t>
        </w:r>
        <w:r w:rsidR="00FA0933">
          <w:rPr>
            <w:webHidden/>
          </w:rPr>
          <w:fldChar w:fldCharType="end"/>
        </w:r>
      </w:hyperlink>
    </w:p>
    <w:p w14:paraId="69065CB0" w14:textId="6B8F4B06" w:rsidR="00FA0933" w:rsidRDefault="00CD5EE5">
      <w:pPr>
        <w:pStyle w:val="TableofFigures"/>
        <w:rPr>
          <w:rFonts w:asciiTheme="minorHAnsi" w:eastAsiaTheme="minorEastAsia" w:hAnsiTheme="minorHAnsi" w:cstheme="minorBidi"/>
          <w:smallCaps w:val="0"/>
          <w:szCs w:val="22"/>
          <w:lang w:eastAsia="en-AU"/>
        </w:rPr>
      </w:pPr>
      <w:hyperlink w:anchor="_Toc75878539" w:history="1">
        <w:r w:rsidR="00FA0933" w:rsidRPr="00CD4783">
          <w:rPr>
            <w:rStyle w:val="Hyperlink"/>
          </w:rPr>
          <w:t>Figure 5</w:t>
        </w:r>
        <w:r w:rsidR="00FA0933" w:rsidRPr="00CD4783">
          <w:rPr>
            <w:rStyle w:val="Hyperlink"/>
          </w:rPr>
          <w:noBreakHyphen/>
          <w:t>20: Total pay per job in Top 10 WHMs jobs</w:t>
        </w:r>
        <w:r w:rsidR="00FA0933">
          <w:rPr>
            <w:webHidden/>
          </w:rPr>
          <w:tab/>
        </w:r>
        <w:r w:rsidR="00FA0933">
          <w:rPr>
            <w:webHidden/>
          </w:rPr>
          <w:fldChar w:fldCharType="begin"/>
        </w:r>
        <w:r w:rsidR="00FA0933">
          <w:rPr>
            <w:webHidden/>
          </w:rPr>
          <w:instrText xml:space="preserve"> PAGEREF _Toc75878539 \h </w:instrText>
        </w:r>
        <w:r w:rsidR="00FA0933">
          <w:rPr>
            <w:webHidden/>
          </w:rPr>
        </w:r>
        <w:r w:rsidR="00FA0933">
          <w:rPr>
            <w:webHidden/>
          </w:rPr>
          <w:fldChar w:fldCharType="separate"/>
        </w:r>
        <w:r w:rsidR="00F22012">
          <w:rPr>
            <w:webHidden/>
          </w:rPr>
          <w:t>37</w:t>
        </w:r>
        <w:r w:rsidR="00FA0933">
          <w:rPr>
            <w:webHidden/>
          </w:rPr>
          <w:fldChar w:fldCharType="end"/>
        </w:r>
      </w:hyperlink>
    </w:p>
    <w:p w14:paraId="341EC40C" w14:textId="32638FF8" w:rsidR="00FA0933" w:rsidRDefault="00CD5EE5">
      <w:pPr>
        <w:pStyle w:val="TableofFigures"/>
        <w:rPr>
          <w:rFonts w:asciiTheme="minorHAnsi" w:eastAsiaTheme="minorEastAsia" w:hAnsiTheme="minorHAnsi" w:cstheme="minorBidi"/>
          <w:smallCaps w:val="0"/>
          <w:szCs w:val="22"/>
          <w:lang w:eastAsia="en-AU"/>
        </w:rPr>
      </w:pPr>
      <w:hyperlink w:anchor="_Toc75878540" w:history="1">
        <w:r w:rsidR="00FA0933" w:rsidRPr="00CD4783">
          <w:rPr>
            <w:rStyle w:val="Hyperlink"/>
          </w:rPr>
          <w:t>Figure 5</w:t>
        </w:r>
        <w:r w:rsidR="00FA0933" w:rsidRPr="00CD4783">
          <w:rPr>
            <w:rStyle w:val="Hyperlink"/>
          </w:rPr>
          <w:noBreakHyphen/>
          <w:t>21: Average pay per job for Top 10 countries</w:t>
        </w:r>
        <w:r w:rsidR="00FA0933">
          <w:rPr>
            <w:webHidden/>
          </w:rPr>
          <w:tab/>
        </w:r>
        <w:r w:rsidR="00FA0933">
          <w:rPr>
            <w:webHidden/>
          </w:rPr>
          <w:fldChar w:fldCharType="begin"/>
        </w:r>
        <w:r w:rsidR="00FA0933">
          <w:rPr>
            <w:webHidden/>
          </w:rPr>
          <w:instrText xml:space="preserve"> PAGEREF _Toc75878540 \h </w:instrText>
        </w:r>
        <w:r w:rsidR="00FA0933">
          <w:rPr>
            <w:webHidden/>
          </w:rPr>
        </w:r>
        <w:r w:rsidR="00FA0933">
          <w:rPr>
            <w:webHidden/>
          </w:rPr>
          <w:fldChar w:fldCharType="separate"/>
        </w:r>
        <w:r w:rsidR="00F22012">
          <w:rPr>
            <w:webHidden/>
          </w:rPr>
          <w:t>37</w:t>
        </w:r>
        <w:r w:rsidR="00FA0933">
          <w:rPr>
            <w:webHidden/>
          </w:rPr>
          <w:fldChar w:fldCharType="end"/>
        </w:r>
      </w:hyperlink>
    </w:p>
    <w:p w14:paraId="1B53E0B8" w14:textId="26982E05" w:rsidR="00FA0933" w:rsidRDefault="00CD5EE5">
      <w:pPr>
        <w:pStyle w:val="TableofFigures"/>
        <w:rPr>
          <w:rFonts w:asciiTheme="minorHAnsi" w:eastAsiaTheme="minorEastAsia" w:hAnsiTheme="minorHAnsi" w:cstheme="minorBidi"/>
          <w:smallCaps w:val="0"/>
          <w:szCs w:val="22"/>
          <w:lang w:eastAsia="en-AU"/>
        </w:rPr>
      </w:pPr>
      <w:hyperlink w:anchor="_Toc75878541" w:history="1">
        <w:r w:rsidR="00FA0933" w:rsidRPr="00CD4783">
          <w:rPr>
            <w:rStyle w:val="Hyperlink"/>
          </w:rPr>
          <w:t>Figure 5</w:t>
        </w:r>
        <w:r w:rsidR="00FA0933" w:rsidRPr="00CD4783">
          <w:rPr>
            <w:rStyle w:val="Hyperlink"/>
          </w:rPr>
          <w:noBreakHyphen/>
          <w:t>22: Pay per job for Top 10 countries</w:t>
        </w:r>
        <w:r w:rsidR="00FA0933">
          <w:rPr>
            <w:webHidden/>
          </w:rPr>
          <w:tab/>
        </w:r>
        <w:r w:rsidR="00FA0933">
          <w:rPr>
            <w:webHidden/>
          </w:rPr>
          <w:fldChar w:fldCharType="begin"/>
        </w:r>
        <w:r w:rsidR="00FA0933">
          <w:rPr>
            <w:webHidden/>
          </w:rPr>
          <w:instrText xml:space="preserve"> PAGEREF _Toc75878541 \h </w:instrText>
        </w:r>
        <w:r w:rsidR="00FA0933">
          <w:rPr>
            <w:webHidden/>
          </w:rPr>
        </w:r>
        <w:r w:rsidR="00FA0933">
          <w:rPr>
            <w:webHidden/>
          </w:rPr>
          <w:fldChar w:fldCharType="separate"/>
        </w:r>
        <w:r w:rsidR="00F22012">
          <w:rPr>
            <w:webHidden/>
          </w:rPr>
          <w:t>38</w:t>
        </w:r>
        <w:r w:rsidR="00FA0933">
          <w:rPr>
            <w:webHidden/>
          </w:rPr>
          <w:fldChar w:fldCharType="end"/>
        </w:r>
      </w:hyperlink>
    </w:p>
    <w:p w14:paraId="7BE0BCF2" w14:textId="6C197EE4" w:rsidR="00FA0933" w:rsidRDefault="00CD5EE5">
      <w:pPr>
        <w:pStyle w:val="TableofFigures"/>
        <w:rPr>
          <w:rFonts w:asciiTheme="minorHAnsi" w:eastAsiaTheme="minorEastAsia" w:hAnsiTheme="minorHAnsi" w:cstheme="minorBidi"/>
          <w:smallCaps w:val="0"/>
          <w:szCs w:val="22"/>
          <w:lang w:eastAsia="en-AU"/>
        </w:rPr>
      </w:pPr>
      <w:hyperlink w:anchor="_Toc75878542" w:history="1">
        <w:r w:rsidR="00FA0933" w:rsidRPr="00CD4783">
          <w:rPr>
            <w:rStyle w:val="Hyperlink"/>
          </w:rPr>
          <w:t>Figure 5</w:t>
        </w:r>
        <w:r w:rsidR="00FA0933" w:rsidRPr="00CD4783">
          <w:rPr>
            <w:rStyle w:val="Hyperlink"/>
          </w:rPr>
          <w:noBreakHyphen/>
          <w:t>23: Expenditure category, by sex</w:t>
        </w:r>
        <w:r w:rsidR="00FA0933">
          <w:rPr>
            <w:webHidden/>
          </w:rPr>
          <w:tab/>
        </w:r>
        <w:r w:rsidR="00FA0933">
          <w:rPr>
            <w:webHidden/>
          </w:rPr>
          <w:fldChar w:fldCharType="begin"/>
        </w:r>
        <w:r w:rsidR="00FA0933">
          <w:rPr>
            <w:webHidden/>
          </w:rPr>
          <w:instrText xml:space="preserve"> PAGEREF _Toc75878542 \h </w:instrText>
        </w:r>
        <w:r w:rsidR="00FA0933">
          <w:rPr>
            <w:webHidden/>
          </w:rPr>
        </w:r>
        <w:r w:rsidR="00FA0933">
          <w:rPr>
            <w:webHidden/>
          </w:rPr>
          <w:fldChar w:fldCharType="separate"/>
        </w:r>
        <w:r w:rsidR="00F22012">
          <w:rPr>
            <w:webHidden/>
          </w:rPr>
          <w:t>39</w:t>
        </w:r>
        <w:r w:rsidR="00FA0933">
          <w:rPr>
            <w:webHidden/>
          </w:rPr>
          <w:fldChar w:fldCharType="end"/>
        </w:r>
      </w:hyperlink>
    </w:p>
    <w:p w14:paraId="77BD8267" w14:textId="2F4C1547" w:rsidR="00FA0933" w:rsidRDefault="00CD5EE5">
      <w:pPr>
        <w:pStyle w:val="TableofFigures"/>
        <w:rPr>
          <w:rFonts w:asciiTheme="minorHAnsi" w:eastAsiaTheme="minorEastAsia" w:hAnsiTheme="minorHAnsi" w:cstheme="minorBidi"/>
          <w:smallCaps w:val="0"/>
          <w:szCs w:val="22"/>
          <w:lang w:eastAsia="en-AU"/>
        </w:rPr>
      </w:pPr>
      <w:hyperlink w:anchor="_Toc75878543" w:history="1">
        <w:r w:rsidR="00FA0933" w:rsidRPr="00CD4783">
          <w:rPr>
            <w:rStyle w:val="Hyperlink"/>
          </w:rPr>
          <w:t>Figure 5</w:t>
        </w:r>
        <w:r w:rsidR="00FA0933" w:rsidRPr="00CD4783">
          <w:rPr>
            <w:rStyle w:val="Hyperlink"/>
          </w:rPr>
          <w:noBreakHyphen/>
          <w:t>24: Expenditure category, by age group</w:t>
        </w:r>
        <w:r w:rsidR="00FA0933">
          <w:rPr>
            <w:webHidden/>
          </w:rPr>
          <w:tab/>
        </w:r>
        <w:r w:rsidR="00FA0933">
          <w:rPr>
            <w:webHidden/>
          </w:rPr>
          <w:fldChar w:fldCharType="begin"/>
        </w:r>
        <w:r w:rsidR="00FA0933">
          <w:rPr>
            <w:webHidden/>
          </w:rPr>
          <w:instrText xml:space="preserve"> PAGEREF _Toc75878543 \h </w:instrText>
        </w:r>
        <w:r w:rsidR="00FA0933">
          <w:rPr>
            <w:webHidden/>
          </w:rPr>
        </w:r>
        <w:r w:rsidR="00FA0933">
          <w:rPr>
            <w:webHidden/>
          </w:rPr>
          <w:fldChar w:fldCharType="separate"/>
        </w:r>
        <w:r w:rsidR="00F22012">
          <w:rPr>
            <w:webHidden/>
          </w:rPr>
          <w:t>40</w:t>
        </w:r>
        <w:r w:rsidR="00FA0933">
          <w:rPr>
            <w:webHidden/>
          </w:rPr>
          <w:fldChar w:fldCharType="end"/>
        </w:r>
      </w:hyperlink>
    </w:p>
    <w:p w14:paraId="3C40983D" w14:textId="63BED4F8" w:rsidR="00FA0933" w:rsidRDefault="00CD5EE5">
      <w:pPr>
        <w:pStyle w:val="TableofFigures"/>
        <w:rPr>
          <w:rFonts w:asciiTheme="minorHAnsi" w:eastAsiaTheme="minorEastAsia" w:hAnsiTheme="minorHAnsi" w:cstheme="minorBidi"/>
          <w:smallCaps w:val="0"/>
          <w:szCs w:val="22"/>
          <w:lang w:eastAsia="en-AU"/>
        </w:rPr>
      </w:pPr>
      <w:hyperlink w:anchor="_Toc75878544" w:history="1">
        <w:r w:rsidR="00FA0933" w:rsidRPr="00CD4783">
          <w:rPr>
            <w:rStyle w:val="Hyperlink"/>
          </w:rPr>
          <w:t>Figure 5</w:t>
        </w:r>
        <w:r w:rsidR="00FA0933" w:rsidRPr="00CD4783">
          <w:rPr>
            <w:rStyle w:val="Hyperlink"/>
          </w:rPr>
          <w:noBreakHyphen/>
          <w:t>25: Expenditure category, by Top 10 countries</w:t>
        </w:r>
        <w:r w:rsidR="00FA0933">
          <w:rPr>
            <w:webHidden/>
          </w:rPr>
          <w:tab/>
        </w:r>
        <w:r w:rsidR="00FA0933">
          <w:rPr>
            <w:webHidden/>
          </w:rPr>
          <w:fldChar w:fldCharType="begin"/>
        </w:r>
        <w:r w:rsidR="00FA0933">
          <w:rPr>
            <w:webHidden/>
          </w:rPr>
          <w:instrText xml:space="preserve"> PAGEREF _Toc75878544 \h </w:instrText>
        </w:r>
        <w:r w:rsidR="00FA0933">
          <w:rPr>
            <w:webHidden/>
          </w:rPr>
        </w:r>
        <w:r w:rsidR="00FA0933">
          <w:rPr>
            <w:webHidden/>
          </w:rPr>
          <w:fldChar w:fldCharType="separate"/>
        </w:r>
        <w:r w:rsidR="00F22012">
          <w:rPr>
            <w:webHidden/>
          </w:rPr>
          <w:t>40</w:t>
        </w:r>
        <w:r w:rsidR="00FA0933">
          <w:rPr>
            <w:webHidden/>
          </w:rPr>
          <w:fldChar w:fldCharType="end"/>
        </w:r>
      </w:hyperlink>
    </w:p>
    <w:p w14:paraId="151D2884" w14:textId="495F7F66" w:rsidR="00FA0933" w:rsidRDefault="00CD5EE5">
      <w:pPr>
        <w:pStyle w:val="TableofFigures"/>
        <w:rPr>
          <w:rFonts w:asciiTheme="minorHAnsi" w:eastAsiaTheme="minorEastAsia" w:hAnsiTheme="minorHAnsi" w:cstheme="minorBidi"/>
          <w:smallCaps w:val="0"/>
          <w:szCs w:val="22"/>
          <w:lang w:eastAsia="en-AU"/>
        </w:rPr>
      </w:pPr>
      <w:hyperlink w:anchor="_Toc75878545" w:history="1">
        <w:r w:rsidR="00FA0933" w:rsidRPr="00CD4783">
          <w:rPr>
            <w:rStyle w:val="Hyperlink"/>
          </w:rPr>
          <w:t>Figure 5</w:t>
        </w:r>
        <w:r w:rsidR="00FA0933" w:rsidRPr="00CD4783">
          <w:rPr>
            <w:rStyle w:val="Hyperlink"/>
          </w:rPr>
          <w:noBreakHyphen/>
          <w:t>26: Expenditure by category by industry group</w:t>
        </w:r>
        <w:r w:rsidR="00FA0933">
          <w:rPr>
            <w:webHidden/>
          </w:rPr>
          <w:tab/>
        </w:r>
        <w:r w:rsidR="00FA0933">
          <w:rPr>
            <w:webHidden/>
          </w:rPr>
          <w:fldChar w:fldCharType="begin"/>
        </w:r>
        <w:r w:rsidR="00FA0933">
          <w:rPr>
            <w:webHidden/>
          </w:rPr>
          <w:instrText xml:space="preserve"> PAGEREF _Toc75878545 \h </w:instrText>
        </w:r>
        <w:r w:rsidR="00FA0933">
          <w:rPr>
            <w:webHidden/>
          </w:rPr>
        </w:r>
        <w:r w:rsidR="00FA0933">
          <w:rPr>
            <w:webHidden/>
          </w:rPr>
          <w:fldChar w:fldCharType="separate"/>
        </w:r>
        <w:r w:rsidR="00F22012">
          <w:rPr>
            <w:webHidden/>
          </w:rPr>
          <w:t>42</w:t>
        </w:r>
        <w:r w:rsidR="00FA0933">
          <w:rPr>
            <w:webHidden/>
          </w:rPr>
          <w:fldChar w:fldCharType="end"/>
        </w:r>
      </w:hyperlink>
    </w:p>
    <w:p w14:paraId="1AA806F4" w14:textId="00CC4160" w:rsidR="00FA0933" w:rsidRDefault="00CD5EE5">
      <w:pPr>
        <w:pStyle w:val="TableofFigures"/>
        <w:rPr>
          <w:rFonts w:asciiTheme="minorHAnsi" w:eastAsiaTheme="minorEastAsia" w:hAnsiTheme="minorHAnsi" w:cstheme="minorBidi"/>
          <w:smallCaps w:val="0"/>
          <w:szCs w:val="22"/>
          <w:lang w:eastAsia="en-AU"/>
        </w:rPr>
      </w:pPr>
      <w:hyperlink w:anchor="_Toc75878546" w:history="1">
        <w:r w:rsidR="00FA0933" w:rsidRPr="00CD4783">
          <w:rPr>
            <w:rStyle w:val="Hyperlink"/>
          </w:rPr>
          <w:t>Figure 6</w:t>
        </w:r>
        <w:r w:rsidR="00FA0933" w:rsidRPr="00CD4783">
          <w:rPr>
            <w:rStyle w:val="Hyperlink"/>
          </w:rPr>
          <w:noBreakHyphen/>
          <w:t>1: Proportion of WHM visiting states and territories</w:t>
        </w:r>
        <w:r w:rsidR="00FA0933">
          <w:rPr>
            <w:webHidden/>
          </w:rPr>
          <w:tab/>
        </w:r>
        <w:r w:rsidR="00FA0933">
          <w:rPr>
            <w:webHidden/>
          </w:rPr>
          <w:fldChar w:fldCharType="begin"/>
        </w:r>
        <w:r w:rsidR="00FA0933">
          <w:rPr>
            <w:webHidden/>
          </w:rPr>
          <w:instrText xml:space="preserve"> PAGEREF _Toc75878546 \h </w:instrText>
        </w:r>
        <w:r w:rsidR="00FA0933">
          <w:rPr>
            <w:webHidden/>
          </w:rPr>
        </w:r>
        <w:r w:rsidR="00FA0933">
          <w:rPr>
            <w:webHidden/>
          </w:rPr>
          <w:fldChar w:fldCharType="separate"/>
        </w:r>
        <w:r w:rsidR="00F22012">
          <w:rPr>
            <w:webHidden/>
          </w:rPr>
          <w:t>43</w:t>
        </w:r>
        <w:r w:rsidR="00FA0933">
          <w:rPr>
            <w:webHidden/>
          </w:rPr>
          <w:fldChar w:fldCharType="end"/>
        </w:r>
      </w:hyperlink>
    </w:p>
    <w:p w14:paraId="3B1F7E8E" w14:textId="626F2DF0" w:rsidR="00FA0933" w:rsidRDefault="00CD5EE5">
      <w:pPr>
        <w:pStyle w:val="TableofFigures"/>
        <w:rPr>
          <w:rFonts w:asciiTheme="minorHAnsi" w:eastAsiaTheme="minorEastAsia" w:hAnsiTheme="minorHAnsi" w:cstheme="minorBidi"/>
          <w:smallCaps w:val="0"/>
          <w:szCs w:val="22"/>
          <w:lang w:eastAsia="en-AU"/>
        </w:rPr>
      </w:pPr>
      <w:hyperlink w:anchor="_Toc75878547" w:history="1">
        <w:r w:rsidR="00FA0933" w:rsidRPr="00CD4783">
          <w:rPr>
            <w:rStyle w:val="Hyperlink"/>
          </w:rPr>
          <w:t>Figure 6</w:t>
        </w:r>
        <w:r w:rsidR="00FA0933" w:rsidRPr="00CD4783">
          <w:rPr>
            <w:rStyle w:val="Hyperlink"/>
          </w:rPr>
          <w:noBreakHyphen/>
          <w:t>2: Major localities (SA3) visited by WHMs</w:t>
        </w:r>
        <w:r w:rsidR="00FA0933">
          <w:rPr>
            <w:webHidden/>
          </w:rPr>
          <w:tab/>
        </w:r>
        <w:r w:rsidR="00FA0933">
          <w:rPr>
            <w:webHidden/>
          </w:rPr>
          <w:fldChar w:fldCharType="begin"/>
        </w:r>
        <w:r w:rsidR="00FA0933">
          <w:rPr>
            <w:webHidden/>
          </w:rPr>
          <w:instrText xml:space="preserve"> PAGEREF _Toc75878547 \h </w:instrText>
        </w:r>
        <w:r w:rsidR="00FA0933">
          <w:rPr>
            <w:webHidden/>
          </w:rPr>
        </w:r>
        <w:r w:rsidR="00FA0933">
          <w:rPr>
            <w:webHidden/>
          </w:rPr>
          <w:fldChar w:fldCharType="separate"/>
        </w:r>
        <w:r w:rsidR="00F22012">
          <w:rPr>
            <w:webHidden/>
          </w:rPr>
          <w:t>44</w:t>
        </w:r>
        <w:r w:rsidR="00FA0933">
          <w:rPr>
            <w:webHidden/>
          </w:rPr>
          <w:fldChar w:fldCharType="end"/>
        </w:r>
      </w:hyperlink>
    </w:p>
    <w:p w14:paraId="4246E51A" w14:textId="2F55520C" w:rsidR="00FA0933" w:rsidRDefault="00CD5EE5">
      <w:pPr>
        <w:pStyle w:val="TableofFigures"/>
        <w:rPr>
          <w:rFonts w:asciiTheme="minorHAnsi" w:eastAsiaTheme="minorEastAsia" w:hAnsiTheme="minorHAnsi" w:cstheme="minorBidi"/>
          <w:smallCaps w:val="0"/>
          <w:szCs w:val="22"/>
          <w:lang w:eastAsia="en-AU"/>
        </w:rPr>
      </w:pPr>
      <w:hyperlink w:anchor="_Toc75878548" w:history="1">
        <w:r w:rsidR="00FA0933" w:rsidRPr="00CD4783">
          <w:rPr>
            <w:rStyle w:val="Hyperlink"/>
          </w:rPr>
          <w:t>Figure 6</w:t>
        </w:r>
        <w:r w:rsidR="00FA0933" w:rsidRPr="00CD4783">
          <w:rPr>
            <w:rStyle w:val="Hyperlink"/>
          </w:rPr>
          <w:noBreakHyphen/>
          <w:t>3: Main reason for visit to location (SA2)</w:t>
        </w:r>
        <w:r w:rsidR="00FA0933">
          <w:rPr>
            <w:webHidden/>
          </w:rPr>
          <w:tab/>
        </w:r>
        <w:r w:rsidR="00FA0933">
          <w:rPr>
            <w:webHidden/>
          </w:rPr>
          <w:fldChar w:fldCharType="begin"/>
        </w:r>
        <w:r w:rsidR="00FA0933">
          <w:rPr>
            <w:webHidden/>
          </w:rPr>
          <w:instrText xml:space="preserve"> PAGEREF _Toc75878548 \h </w:instrText>
        </w:r>
        <w:r w:rsidR="00FA0933">
          <w:rPr>
            <w:webHidden/>
          </w:rPr>
        </w:r>
        <w:r w:rsidR="00FA0933">
          <w:rPr>
            <w:webHidden/>
          </w:rPr>
          <w:fldChar w:fldCharType="separate"/>
        </w:r>
        <w:r w:rsidR="00F22012">
          <w:rPr>
            <w:webHidden/>
          </w:rPr>
          <w:t>45</w:t>
        </w:r>
        <w:r w:rsidR="00FA0933">
          <w:rPr>
            <w:webHidden/>
          </w:rPr>
          <w:fldChar w:fldCharType="end"/>
        </w:r>
      </w:hyperlink>
    </w:p>
    <w:p w14:paraId="34CFF648" w14:textId="6F7E5E1F" w:rsidR="00FA0933" w:rsidRDefault="00CD5EE5">
      <w:pPr>
        <w:pStyle w:val="TableofFigures"/>
        <w:rPr>
          <w:rFonts w:asciiTheme="minorHAnsi" w:eastAsiaTheme="minorEastAsia" w:hAnsiTheme="minorHAnsi" w:cstheme="minorBidi"/>
          <w:smallCaps w:val="0"/>
          <w:szCs w:val="22"/>
          <w:lang w:eastAsia="en-AU"/>
        </w:rPr>
      </w:pPr>
      <w:hyperlink w:anchor="_Toc75878549" w:history="1">
        <w:r w:rsidR="00FA0933" w:rsidRPr="00CD4783">
          <w:rPr>
            <w:rStyle w:val="Hyperlink"/>
          </w:rPr>
          <w:t>Figure 6</w:t>
        </w:r>
        <w:r w:rsidR="00FA0933" w:rsidRPr="00CD4783">
          <w:rPr>
            <w:rStyle w:val="Hyperlink"/>
          </w:rPr>
          <w:noBreakHyphen/>
          <w:t>4: Visited location (SA2) for work reasons</w:t>
        </w:r>
        <w:r w:rsidR="00FA0933">
          <w:rPr>
            <w:webHidden/>
          </w:rPr>
          <w:tab/>
        </w:r>
        <w:r w:rsidR="00FA0933">
          <w:rPr>
            <w:webHidden/>
          </w:rPr>
          <w:fldChar w:fldCharType="begin"/>
        </w:r>
        <w:r w:rsidR="00FA0933">
          <w:rPr>
            <w:webHidden/>
          </w:rPr>
          <w:instrText xml:space="preserve"> PAGEREF _Toc75878549 \h </w:instrText>
        </w:r>
        <w:r w:rsidR="00FA0933">
          <w:rPr>
            <w:webHidden/>
          </w:rPr>
        </w:r>
        <w:r w:rsidR="00FA0933">
          <w:rPr>
            <w:webHidden/>
          </w:rPr>
          <w:fldChar w:fldCharType="separate"/>
        </w:r>
        <w:r w:rsidR="00F22012">
          <w:rPr>
            <w:webHidden/>
          </w:rPr>
          <w:t>46</w:t>
        </w:r>
        <w:r w:rsidR="00FA0933">
          <w:rPr>
            <w:webHidden/>
          </w:rPr>
          <w:fldChar w:fldCharType="end"/>
        </w:r>
      </w:hyperlink>
    </w:p>
    <w:p w14:paraId="2927E7D9" w14:textId="05DA2F09" w:rsidR="00FA0933" w:rsidRDefault="00CD5EE5">
      <w:pPr>
        <w:pStyle w:val="TableofFigures"/>
        <w:rPr>
          <w:rFonts w:asciiTheme="minorHAnsi" w:eastAsiaTheme="minorEastAsia" w:hAnsiTheme="minorHAnsi" w:cstheme="minorBidi"/>
          <w:smallCaps w:val="0"/>
          <w:szCs w:val="22"/>
          <w:lang w:eastAsia="en-AU"/>
        </w:rPr>
      </w:pPr>
      <w:hyperlink w:anchor="_Toc75878550" w:history="1">
        <w:r w:rsidR="00FA0933" w:rsidRPr="00CD4783">
          <w:rPr>
            <w:rStyle w:val="Hyperlink"/>
          </w:rPr>
          <w:t>Figure 6</w:t>
        </w:r>
        <w:r w:rsidR="00FA0933" w:rsidRPr="00CD4783">
          <w:rPr>
            <w:rStyle w:val="Hyperlink"/>
          </w:rPr>
          <w:noBreakHyphen/>
          <w:t>5: Visited location (SA2) for tourism reasons</w:t>
        </w:r>
        <w:r w:rsidR="00FA0933">
          <w:rPr>
            <w:webHidden/>
          </w:rPr>
          <w:tab/>
        </w:r>
        <w:r w:rsidR="00FA0933">
          <w:rPr>
            <w:webHidden/>
          </w:rPr>
          <w:fldChar w:fldCharType="begin"/>
        </w:r>
        <w:r w:rsidR="00FA0933">
          <w:rPr>
            <w:webHidden/>
          </w:rPr>
          <w:instrText xml:space="preserve"> PAGEREF _Toc75878550 \h </w:instrText>
        </w:r>
        <w:r w:rsidR="00FA0933">
          <w:rPr>
            <w:webHidden/>
          </w:rPr>
        </w:r>
        <w:r w:rsidR="00FA0933">
          <w:rPr>
            <w:webHidden/>
          </w:rPr>
          <w:fldChar w:fldCharType="separate"/>
        </w:r>
        <w:r w:rsidR="00F22012">
          <w:rPr>
            <w:webHidden/>
          </w:rPr>
          <w:t>47</w:t>
        </w:r>
        <w:r w:rsidR="00FA0933">
          <w:rPr>
            <w:webHidden/>
          </w:rPr>
          <w:fldChar w:fldCharType="end"/>
        </w:r>
      </w:hyperlink>
    </w:p>
    <w:p w14:paraId="7AF63271" w14:textId="4144A89F" w:rsidR="00FA0933" w:rsidRDefault="00CD5EE5">
      <w:pPr>
        <w:pStyle w:val="TableofFigures"/>
        <w:rPr>
          <w:rFonts w:asciiTheme="minorHAnsi" w:eastAsiaTheme="minorEastAsia" w:hAnsiTheme="minorHAnsi" w:cstheme="minorBidi"/>
          <w:smallCaps w:val="0"/>
          <w:szCs w:val="22"/>
          <w:lang w:eastAsia="en-AU"/>
        </w:rPr>
      </w:pPr>
      <w:hyperlink w:anchor="_Toc75878551" w:history="1">
        <w:r w:rsidR="00FA0933" w:rsidRPr="00CD4783">
          <w:rPr>
            <w:rStyle w:val="Hyperlink"/>
          </w:rPr>
          <w:t>Figure 6</w:t>
        </w:r>
        <w:r w:rsidR="00FA0933" w:rsidRPr="00CD4783">
          <w:rPr>
            <w:rStyle w:val="Hyperlink"/>
          </w:rPr>
          <w:noBreakHyphen/>
          <w:t>6: Visited location (SA2) for study reasons</w:t>
        </w:r>
        <w:r w:rsidR="00FA0933">
          <w:rPr>
            <w:webHidden/>
          </w:rPr>
          <w:tab/>
        </w:r>
        <w:r w:rsidR="00FA0933">
          <w:rPr>
            <w:webHidden/>
          </w:rPr>
          <w:fldChar w:fldCharType="begin"/>
        </w:r>
        <w:r w:rsidR="00FA0933">
          <w:rPr>
            <w:webHidden/>
          </w:rPr>
          <w:instrText xml:space="preserve"> PAGEREF _Toc75878551 \h </w:instrText>
        </w:r>
        <w:r w:rsidR="00FA0933">
          <w:rPr>
            <w:webHidden/>
          </w:rPr>
        </w:r>
        <w:r w:rsidR="00FA0933">
          <w:rPr>
            <w:webHidden/>
          </w:rPr>
          <w:fldChar w:fldCharType="separate"/>
        </w:r>
        <w:r w:rsidR="00F22012">
          <w:rPr>
            <w:webHidden/>
          </w:rPr>
          <w:t>48</w:t>
        </w:r>
        <w:r w:rsidR="00FA0933">
          <w:rPr>
            <w:webHidden/>
          </w:rPr>
          <w:fldChar w:fldCharType="end"/>
        </w:r>
      </w:hyperlink>
    </w:p>
    <w:p w14:paraId="51FA053F" w14:textId="30794218" w:rsidR="00FA0933" w:rsidRDefault="00CD5EE5">
      <w:pPr>
        <w:pStyle w:val="TableofFigures"/>
        <w:rPr>
          <w:rFonts w:asciiTheme="minorHAnsi" w:eastAsiaTheme="minorEastAsia" w:hAnsiTheme="minorHAnsi" w:cstheme="minorBidi"/>
          <w:smallCaps w:val="0"/>
          <w:szCs w:val="22"/>
          <w:lang w:eastAsia="en-AU"/>
        </w:rPr>
      </w:pPr>
      <w:hyperlink w:anchor="_Toc75878552" w:history="1">
        <w:r w:rsidR="00FA0933" w:rsidRPr="00CD4783">
          <w:rPr>
            <w:rStyle w:val="Hyperlink"/>
          </w:rPr>
          <w:t>Figure 6</w:t>
        </w:r>
        <w:r w:rsidR="00FA0933" w:rsidRPr="00CD4783">
          <w:rPr>
            <w:rStyle w:val="Hyperlink"/>
          </w:rPr>
          <w:noBreakHyphen/>
          <w:t>7: Visited location (SA2) to see family and friends</w:t>
        </w:r>
        <w:r w:rsidR="00FA0933">
          <w:rPr>
            <w:webHidden/>
          </w:rPr>
          <w:tab/>
        </w:r>
        <w:r w:rsidR="00FA0933">
          <w:rPr>
            <w:webHidden/>
          </w:rPr>
          <w:fldChar w:fldCharType="begin"/>
        </w:r>
        <w:r w:rsidR="00FA0933">
          <w:rPr>
            <w:webHidden/>
          </w:rPr>
          <w:instrText xml:space="preserve"> PAGEREF _Toc75878552 \h </w:instrText>
        </w:r>
        <w:r w:rsidR="00FA0933">
          <w:rPr>
            <w:webHidden/>
          </w:rPr>
        </w:r>
        <w:r w:rsidR="00FA0933">
          <w:rPr>
            <w:webHidden/>
          </w:rPr>
          <w:fldChar w:fldCharType="separate"/>
        </w:r>
        <w:r w:rsidR="00F22012">
          <w:rPr>
            <w:webHidden/>
          </w:rPr>
          <w:t>48</w:t>
        </w:r>
        <w:r w:rsidR="00FA0933">
          <w:rPr>
            <w:webHidden/>
          </w:rPr>
          <w:fldChar w:fldCharType="end"/>
        </w:r>
      </w:hyperlink>
    </w:p>
    <w:p w14:paraId="7FA826D0" w14:textId="2F8725B6" w:rsidR="00FA0933" w:rsidRDefault="00CD5EE5">
      <w:pPr>
        <w:pStyle w:val="TableofFigures"/>
        <w:rPr>
          <w:rFonts w:asciiTheme="minorHAnsi" w:eastAsiaTheme="minorEastAsia" w:hAnsiTheme="minorHAnsi" w:cstheme="minorBidi"/>
          <w:smallCaps w:val="0"/>
          <w:szCs w:val="22"/>
          <w:lang w:eastAsia="en-AU"/>
        </w:rPr>
      </w:pPr>
      <w:hyperlink w:anchor="_Toc75878553" w:history="1">
        <w:r w:rsidR="00FA0933" w:rsidRPr="00CD4783">
          <w:rPr>
            <w:rStyle w:val="Hyperlink"/>
          </w:rPr>
          <w:t>Figure 6</w:t>
        </w:r>
        <w:r w:rsidR="00FA0933" w:rsidRPr="00CD4783">
          <w:rPr>
            <w:rStyle w:val="Hyperlink"/>
          </w:rPr>
          <w:noBreakHyphen/>
          <w:t>8: Accommodation type, by state and territory</w:t>
        </w:r>
        <w:r w:rsidR="00FA0933">
          <w:rPr>
            <w:webHidden/>
          </w:rPr>
          <w:tab/>
        </w:r>
        <w:r w:rsidR="00FA0933">
          <w:rPr>
            <w:webHidden/>
          </w:rPr>
          <w:fldChar w:fldCharType="begin"/>
        </w:r>
        <w:r w:rsidR="00FA0933">
          <w:rPr>
            <w:webHidden/>
          </w:rPr>
          <w:instrText xml:space="preserve"> PAGEREF _Toc75878553 \h </w:instrText>
        </w:r>
        <w:r w:rsidR="00FA0933">
          <w:rPr>
            <w:webHidden/>
          </w:rPr>
        </w:r>
        <w:r w:rsidR="00FA0933">
          <w:rPr>
            <w:webHidden/>
          </w:rPr>
          <w:fldChar w:fldCharType="separate"/>
        </w:r>
        <w:r w:rsidR="00F22012">
          <w:rPr>
            <w:webHidden/>
          </w:rPr>
          <w:t>49</w:t>
        </w:r>
        <w:r w:rsidR="00FA0933">
          <w:rPr>
            <w:webHidden/>
          </w:rPr>
          <w:fldChar w:fldCharType="end"/>
        </w:r>
      </w:hyperlink>
    </w:p>
    <w:p w14:paraId="70E5ED19" w14:textId="1B1A4EBD" w:rsidR="00FA0933" w:rsidRDefault="00CD5EE5">
      <w:pPr>
        <w:pStyle w:val="TableofFigures"/>
        <w:rPr>
          <w:rFonts w:asciiTheme="minorHAnsi" w:eastAsiaTheme="minorEastAsia" w:hAnsiTheme="minorHAnsi" w:cstheme="minorBidi"/>
          <w:smallCaps w:val="0"/>
          <w:szCs w:val="22"/>
          <w:lang w:eastAsia="en-AU"/>
        </w:rPr>
      </w:pPr>
      <w:hyperlink w:anchor="_Toc75878554" w:history="1">
        <w:r w:rsidR="00FA0933" w:rsidRPr="00CD4783">
          <w:rPr>
            <w:rStyle w:val="Hyperlink"/>
          </w:rPr>
          <w:t>Figure 6</w:t>
        </w:r>
        <w:r w:rsidR="00FA0933" w:rsidRPr="00CD4783">
          <w:rPr>
            <w:rStyle w:val="Hyperlink"/>
          </w:rPr>
          <w:noBreakHyphen/>
          <w:t>9: Accommodation type used by WHMs, by region</w:t>
        </w:r>
        <w:r w:rsidR="00FA0933">
          <w:rPr>
            <w:webHidden/>
          </w:rPr>
          <w:tab/>
        </w:r>
        <w:r w:rsidR="00FA0933">
          <w:rPr>
            <w:webHidden/>
          </w:rPr>
          <w:fldChar w:fldCharType="begin"/>
        </w:r>
        <w:r w:rsidR="00FA0933">
          <w:rPr>
            <w:webHidden/>
          </w:rPr>
          <w:instrText xml:space="preserve"> PAGEREF _Toc75878554 \h </w:instrText>
        </w:r>
        <w:r w:rsidR="00FA0933">
          <w:rPr>
            <w:webHidden/>
          </w:rPr>
        </w:r>
        <w:r w:rsidR="00FA0933">
          <w:rPr>
            <w:webHidden/>
          </w:rPr>
          <w:fldChar w:fldCharType="separate"/>
        </w:r>
        <w:r w:rsidR="00F22012">
          <w:rPr>
            <w:webHidden/>
          </w:rPr>
          <w:t>50</w:t>
        </w:r>
        <w:r w:rsidR="00FA0933">
          <w:rPr>
            <w:webHidden/>
          </w:rPr>
          <w:fldChar w:fldCharType="end"/>
        </w:r>
      </w:hyperlink>
    </w:p>
    <w:p w14:paraId="3FC5DBE2" w14:textId="747983A0" w:rsidR="00FA0933" w:rsidRDefault="00CD5EE5">
      <w:pPr>
        <w:pStyle w:val="TableofFigures"/>
        <w:rPr>
          <w:rFonts w:asciiTheme="minorHAnsi" w:eastAsiaTheme="minorEastAsia" w:hAnsiTheme="minorHAnsi" w:cstheme="minorBidi"/>
          <w:smallCaps w:val="0"/>
          <w:szCs w:val="22"/>
          <w:lang w:eastAsia="en-AU"/>
        </w:rPr>
      </w:pPr>
      <w:hyperlink w:anchor="_Toc75878555" w:history="1">
        <w:r w:rsidR="00FA0933" w:rsidRPr="00CD4783">
          <w:rPr>
            <w:rStyle w:val="Hyperlink"/>
          </w:rPr>
          <w:t>Figure 6</w:t>
        </w:r>
        <w:r w:rsidR="00FA0933" w:rsidRPr="00CD4783">
          <w:rPr>
            <w:rStyle w:val="Hyperlink"/>
          </w:rPr>
          <w:noBreakHyphen/>
          <w:t>10: Accommodation type by industry group</w:t>
        </w:r>
        <w:r w:rsidR="00FA0933">
          <w:rPr>
            <w:webHidden/>
          </w:rPr>
          <w:tab/>
        </w:r>
        <w:r w:rsidR="00FA0933">
          <w:rPr>
            <w:webHidden/>
          </w:rPr>
          <w:fldChar w:fldCharType="begin"/>
        </w:r>
        <w:r w:rsidR="00FA0933">
          <w:rPr>
            <w:webHidden/>
          </w:rPr>
          <w:instrText xml:space="preserve"> PAGEREF _Toc75878555 \h </w:instrText>
        </w:r>
        <w:r w:rsidR="00FA0933">
          <w:rPr>
            <w:webHidden/>
          </w:rPr>
        </w:r>
        <w:r w:rsidR="00FA0933">
          <w:rPr>
            <w:webHidden/>
          </w:rPr>
          <w:fldChar w:fldCharType="separate"/>
        </w:r>
        <w:r w:rsidR="00F22012">
          <w:rPr>
            <w:webHidden/>
          </w:rPr>
          <w:t>51</w:t>
        </w:r>
        <w:r w:rsidR="00FA0933">
          <w:rPr>
            <w:webHidden/>
          </w:rPr>
          <w:fldChar w:fldCharType="end"/>
        </w:r>
      </w:hyperlink>
    </w:p>
    <w:p w14:paraId="24913410" w14:textId="5AC8D501" w:rsidR="00FA0933" w:rsidRDefault="00CD5EE5">
      <w:pPr>
        <w:pStyle w:val="TableofFigures"/>
        <w:rPr>
          <w:rFonts w:asciiTheme="minorHAnsi" w:eastAsiaTheme="minorEastAsia" w:hAnsiTheme="minorHAnsi" w:cstheme="minorBidi"/>
          <w:smallCaps w:val="0"/>
          <w:szCs w:val="22"/>
          <w:lang w:eastAsia="en-AU"/>
        </w:rPr>
      </w:pPr>
      <w:hyperlink w:anchor="_Toc75878556" w:history="1">
        <w:r w:rsidR="00FA0933" w:rsidRPr="00CD4783">
          <w:rPr>
            <w:rStyle w:val="Hyperlink"/>
          </w:rPr>
          <w:t>Figure 6</w:t>
        </w:r>
        <w:r w:rsidR="00FA0933" w:rsidRPr="00CD4783">
          <w:rPr>
            <w:rStyle w:val="Hyperlink"/>
          </w:rPr>
          <w:noBreakHyphen/>
          <w:t>11: Accommodation arranged by employer by accommodation type</w:t>
        </w:r>
        <w:r w:rsidR="00FA0933">
          <w:rPr>
            <w:webHidden/>
          </w:rPr>
          <w:tab/>
        </w:r>
        <w:r w:rsidR="00FA0933">
          <w:rPr>
            <w:webHidden/>
          </w:rPr>
          <w:fldChar w:fldCharType="begin"/>
        </w:r>
        <w:r w:rsidR="00FA0933">
          <w:rPr>
            <w:webHidden/>
          </w:rPr>
          <w:instrText xml:space="preserve"> PAGEREF _Toc75878556 \h </w:instrText>
        </w:r>
        <w:r w:rsidR="00FA0933">
          <w:rPr>
            <w:webHidden/>
          </w:rPr>
        </w:r>
        <w:r w:rsidR="00FA0933">
          <w:rPr>
            <w:webHidden/>
          </w:rPr>
          <w:fldChar w:fldCharType="separate"/>
        </w:r>
        <w:r w:rsidR="00F22012">
          <w:rPr>
            <w:webHidden/>
          </w:rPr>
          <w:t>52</w:t>
        </w:r>
        <w:r w:rsidR="00FA0933">
          <w:rPr>
            <w:webHidden/>
          </w:rPr>
          <w:fldChar w:fldCharType="end"/>
        </w:r>
      </w:hyperlink>
    </w:p>
    <w:p w14:paraId="7186FDCF" w14:textId="547E9C68" w:rsidR="00FA0933" w:rsidRDefault="00CD5EE5">
      <w:pPr>
        <w:pStyle w:val="TableofFigures"/>
        <w:rPr>
          <w:rFonts w:asciiTheme="minorHAnsi" w:eastAsiaTheme="minorEastAsia" w:hAnsiTheme="minorHAnsi" w:cstheme="minorBidi"/>
          <w:smallCaps w:val="0"/>
          <w:szCs w:val="22"/>
          <w:lang w:eastAsia="en-AU"/>
        </w:rPr>
      </w:pPr>
      <w:hyperlink w:anchor="_Toc75878557" w:history="1">
        <w:r w:rsidR="00FA0933" w:rsidRPr="00CD4783">
          <w:rPr>
            <w:rStyle w:val="Hyperlink"/>
          </w:rPr>
          <w:t>Figure 7</w:t>
        </w:r>
        <w:r w:rsidR="00FA0933" w:rsidRPr="00CD4783">
          <w:rPr>
            <w:rStyle w:val="Hyperlink"/>
          </w:rPr>
          <w:noBreakHyphen/>
          <w:t>1: Types of on-the-job training undertaken specific to job</w:t>
        </w:r>
        <w:r w:rsidR="00FA0933">
          <w:rPr>
            <w:webHidden/>
          </w:rPr>
          <w:tab/>
        </w:r>
        <w:r w:rsidR="00FA0933">
          <w:rPr>
            <w:webHidden/>
          </w:rPr>
          <w:fldChar w:fldCharType="begin"/>
        </w:r>
        <w:r w:rsidR="00FA0933">
          <w:rPr>
            <w:webHidden/>
          </w:rPr>
          <w:instrText xml:space="preserve"> PAGEREF _Toc75878557 \h </w:instrText>
        </w:r>
        <w:r w:rsidR="00FA0933">
          <w:rPr>
            <w:webHidden/>
          </w:rPr>
        </w:r>
        <w:r w:rsidR="00FA0933">
          <w:rPr>
            <w:webHidden/>
          </w:rPr>
          <w:fldChar w:fldCharType="separate"/>
        </w:r>
        <w:r w:rsidR="00F22012">
          <w:rPr>
            <w:webHidden/>
          </w:rPr>
          <w:t>53</w:t>
        </w:r>
        <w:r w:rsidR="00FA0933">
          <w:rPr>
            <w:webHidden/>
          </w:rPr>
          <w:fldChar w:fldCharType="end"/>
        </w:r>
      </w:hyperlink>
    </w:p>
    <w:p w14:paraId="62C3F0A6" w14:textId="638CDD27" w:rsidR="00FA0933" w:rsidRDefault="00CD5EE5">
      <w:pPr>
        <w:pStyle w:val="TableofFigures"/>
        <w:rPr>
          <w:rFonts w:asciiTheme="minorHAnsi" w:eastAsiaTheme="minorEastAsia" w:hAnsiTheme="minorHAnsi" w:cstheme="minorBidi"/>
          <w:smallCaps w:val="0"/>
          <w:szCs w:val="22"/>
          <w:lang w:eastAsia="en-AU"/>
        </w:rPr>
      </w:pPr>
      <w:hyperlink w:anchor="_Toc75878558" w:history="1">
        <w:r w:rsidR="00FA0933" w:rsidRPr="00CD4783">
          <w:rPr>
            <w:rStyle w:val="Hyperlink"/>
          </w:rPr>
          <w:t>Figure 7</w:t>
        </w:r>
        <w:r w:rsidR="00FA0933" w:rsidRPr="00CD4783">
          <w:rPr>
            <w:rStyle w:val="Hyperlink"/>
          </w:rPr>
          <w:noBreakHyphen/>
          <w:t>2: Fields of study of Australian WHMs</w:t>
        </w:r>
        <w:r w:rsidR="00FA0933">
          <w:rPr>
            <w:webHidden/>
          </w:rPr>
          <w:tab/>
        </w:r>
        <w:r w:rsidR="00FA0933">
          <w:rPr>
            <w:webHidden/>
          </w:rPr>
          <w:fldChar w:fldCharType="begin"/>
        </w:r>
        <w:r w:rsidR="00FA0933">
          <w:rPr>
            <w:webHidden/>
          </w:rPr>
          <w:instrText xml:space="preserve"> PAGEREF _Toc75878558 \h </w:instrText>
        </w:r>
        <w:r w:rsidR="00FA0933">
          <w:rPr>
            <w:webHidden/>
          </w:rPr>
        </w:r>
        <w:r w:rsidR="00FA0933">
          <w:rPr>
            <w:webHidden/>
          </w:rPr>
          <w:fldChar w:fldCharType="separate"/>
        </w:r>
        <w:r w:rsidR="00F22012">
          <w:rPr>
            <w:webHidden/>
          </w:rPr>
          <w:t>55</w:t>
        </w:r>
        <w:r w:rsidR="00FA0933">
          <w:rPr>
            <w:webHidden/>
          </w:rPr>
          <w:fldChar w:fldCharType="end"/>
        </w:r>
      </w:hyperlink>
    </w:p>
    <w:p w14:paraId="11F3F34A" w14:textId="46C66234" w:rsidR="00FA0933" w:rsidRDefault="00CD5EE5">
      <w:pPr>
        <w:pStyle w:val="TableofFigures"/>
        <w:rPr>
          <w:rFonts w:asciiTheme="minorHAnsi" w:eastAsiaTheme="minorEastAsia" w:hAnsiTheme="minorHAnsi" w:cstheme="minorBidi"/>
          <w:smallCaps w:val="0"/>
          <w:szCs w:val="22"/>
          <w:lang w:eastAsia="en-AU"/>
        </w:rPr>
      </w:pPr>
      <w:hyperlink w:anchor="_Toc75878559" w:history="1">
        <w:r w:rsidR="00FA0933" w:rsidRPr="00CD4783">
          <w:rPr>
            <w:rStyle w:val="Hyperlink"/>
          </w:rPr>
          <w:t>Figure 7</w:t>
        </w:r>
        <w:r w:rsidR="00FA0933" w:rsidRPr="00CD4783">
          <w:rPr>
            <w:rStyle w:val="Hyperlink"/>
          </w:rPr>
          <w:noBreakHyphen/>
          <w:t>3: Average WHM expenditure on study while in Australia</w:t>
        </w:r>
        <w:r w:rsidR="00FA0933">
          <w:rPr>
            <w:webHidden/>
          </w:rPr>
          <w:tab/>
        </w:r>
        <w:r w:rsidR="00FA0933">
          <w:rPr>
            <w:webHidden/>
          </w:rPr>
          <w:fldChar w:fldCharType="begin"/>
        </w:r>
        <w:r w:rsidR="00FA0933">
          <w:rPr>
            <w:webHidden/>
          </w:rPr>
          <w:instrText xml:space="preserve"> PAGEREF _Toc75878559 \h </w:instrText>
        </w:r>
        <w:r w:rsidR="00FA0933">
          <w:rPr>
            <w:webHidden/>
          </w:rPr>
        </w:r>
        <w:r w:rsidR="00FA0933">
          <w:rPr>
            <w:webHidden/>
          </w:rPr>
          <w:fldChar w:fldCharType="separate"/>
        </w:r>
        <w:r w:rsidR="00F22012">
          <w:rPr>
            <w:webHidden/>
          </w:rPr>
          <w:t>56</w:t>
        </w:r>
        <w:r w:rsidR="00FA0933">
          <w:rPr>
            <w:webHidden/>
          </w:rPr>
          <w:fldChar w:fldCharType="end"/>
        </w:r>
      </w:hyperlink>
    </w:p>
    <w:p w14:paraId="56C90F56" w14:textId="28BE565D" w:rsidR="00FA0933" w:rsidRDefault="00CD5EE5">
      <w:pPr>
        <w:pStyle w:val="TableofFigures"/>
        <w:rPr>
          <w:rFonts w:asciiTheme="minorHAnsi" w:eastAsiaTheme="minorEastAsia" w:hAnsiTheme="minorHAnsi" w:cstheme="minorBidi"/>
          <w:smallCaps w:val="0"/>
          <w:szCs w:val="22"/>
          <w:lang w:eastAsia="en-AU"/>
        </w:rPr>
      </w:pPr>
      <w:hyperlink w:anchor="_Toc75878560" w:history="1">
        <w:r w:rsidR="00FA0933" w:rsidRPr="00CD4783">
          <w:rPr>
            <w:rStyle w:val="Hyperlink"/>
          </w:rPr>
          <w:t>Figure 7</w:t>
        </w:r>
        <w:r w:rsidR="00FA0933" w:rsidRPr="00CD4783">
          <w:rPr>
            <w:rStyle w:val="Hyperlink"/>
          </w:rPr>
          <w:noBreakHyphen/>
          <w:t>4: Qualifications received from courses in Australia</w:t>
        </w:r>
        <w:r w:rsidR="00FA0933">
          <w:rPr>
            <w:webHidden/>
          </w:rPr>
          <w:tab/>
        </w:r>
        <w:r w:rsidR="00FA0933">
          <w:rPr>
            <w:webHidden/>
          </w:rPr>
          <w:fldChar w:fldCharType="begin"/>
        </w:r>
        <w:r w:rsidR="00FA0933">
          <w:rPr>
            <w:webHidden/>
          </w:rPr>
          <w:instrText xml:space="preserve"> PAGEREF _Toc75878560 \h </w:instrText>
        </w:r>
        <w:r w:rsidR="00FA0933">
          <w:rPr>
            <w:webHidden/>
          </w:rPr>
        </w:r>
        <w:r w:rsidR="00FA0933">
          <w:rPr>
            <w:webHidden/>
          </w:rPr>
          <w:fldChar w:fldCharType="separate"/>
        </w:r>
        <w:r w:rsidR="00F22012">
          <w:rPr>
            <w:webHidden/>
          </w:rPr>
          <w:t>57</w:t>
        </w:r>
        <w:r w:rsidR="00FA0933">
          <w:rPr>
            <w:webHidden/>
          </w:rPr>
          <w:fldChar w:fldCharType="end"/>
        </w:r>
      </w:hyperlink>
    </w:p>
    <w:p w14:paraId="7A5E2B95" w14:textId="1A7D189C" w:rsidR="00FA0933" w:rsidRDefault="00CD5EE5">
      <w:pPr>
        <w:pStyle w:val="TableofFigures"/>
        <w:rPr>
          <w:rFonts w:asciiTheme="minorHAnsi" w:eastAsiaTheme="minorEastAsia" w:hAnsiTheme="minorHAnsi" w:cstheme="minorBidi"/>
          <w:smallCaps w:val="0"/>
          <w:szCs w:val="22"/>
          <w:lang w:eastAsia="en-AU"/>
        </w:rPr>
      </w:pPr>
      <w:hyperlink w:anchor="_Toc75878561" w:history="1">
        <w:r w:rsidR="00FA0933" w:rsidRPr="00CD4783">
          <w:rPr>
            <w:rStyle w:val="Hyperlink"/>
          </w:rPr>
          <w:t>Figure 7</w:t>
        </w:r>
        <w:r w:rsidR="00FA0933" w:rsidRPr="00CD4783">
          <w:rPr>
            <w:rStyle w:val="Hyperlink"/>
          </w:rPr>
          <w:noBreakHyphen/>
          <w:t>5: Expectations that qualifications received in Australia would be recognised at home</w:t>
        </w:r>
        <w:r w:rsidR="00FA0933">
          <w:rPr>
            <w:webHidden/>
          </w:rPr>
          <w:tab/>
        </w:r>
        <w:r w:rsidR="00FA0933">
          <w:rPr>
            <w:webHidden/>
          </w:rPr>
          <w:fldChar w:fldCharType="begin"/>
        </w:r>
        <w:r w:rsidR="00FA0933">
          <w:rPr>
            <w:webHidden/>
          </w:rPr>
          <w:instrText xml:space="preserve"> PAGEREF _Toc75878561 \h </w:instrText>
        </w:r>
        <w:r w:rsidR="00FA0933">
          <w:rPr>
            <w:webHidden/>
          </w:rPr>
        </w:r>
        <w:r w:rsidR="00FA0933">
          <w:rPr>
            <w:webHidden/>
          </w:rPr>
          <w:fldChar w:fldCharType="separate"/>
        </w:r>
        <w:r w:rsidR="00F22012">
          <w:rPr>
            <w:webHidden/>
          </w:rPr>
          <w:t>57</w:t>
        </w:r>
        <w:r w:rsidR="00FA0933">
          <w:rPr>
            <w:webHidden/>
          </w:rPr>
          <w:fldChar w:fldCharType="end"/>
        </w:r>
      </w:hyperlink>
    </w:p>
    <w:p w14:paraId="09BAEF10" w14:textId="63E9FEE2" w:rsidR="00FA0933" w:rsidRDefault="00CD5EE5">
      <w:pPr>
        <w:pStyle w:val="TableofFigures"/>
        <w:rPr>
          <w:rFonts w:asciiTheme="minorHAnsi" w:eastAsiaTheme="minorEastAsia" w:hAnsiTheme="minorHAnsi" w:cstheme="minorBidi"/>
          <w:smallCaps w:val="0"/>
          <w:szCs w:val="22"/>
          <w:lang w:eastAsia="en-AU"/>
        </w:rPr>
      </w:pPr>
      <w:hyperlink w:anchor="_Toc75878562" w:history="1">
        <w:r w:rsidR="00FA0933" w:rsidRPr="00CD4783">
          <w:rPr>
            <w:rStyle w:val="Hyperlink"/>
          </w:rPr>
          <w:t>Figure 8</w:t>
        </w:r>
        <w:r w:rsidR="00FA0933" w:rsidRPr="00CD4783">
          <w:rPr>
            <w:rStyle w:val="Hyperlink"/>
          </w:rPr>
          <w:noBreakHyphen/>
          <w:t>1: Job satisfaction by state</w:t>
        </w:r>
        <w:r w:rsidR="00FA0933">
          <w:rPr>
            <w:webHidden/>
          </w:rPr>
          <w:tab/>
        </w:r>
        <w:r w:rsidR="00FA0933">
          <w:rPr>
            <w:webHidden/>
          </w:rPr>
          <w:fldChar w:fldCharType="begin"/>
        </w:r>
        <w:r w:rsidR="00FA0933">
          <w:rPr>
            <w:webHidden/>
          </w:rPr>
          <w:instrText xml:space="preserve"> PAGEREF _Toc75878562 \h </w:instrText>
        </w:r>
        <w:r w:rsidR="00FA0933">
          <w:rPr>
            <w:webHidden/>
          </w:rPr>
        </w:r>
        <w:r w:rsidR="00FA0933">
          <w:rPr>
            <w:webHidden/>
          </w:rPr>
          <w:fldChar w:fldCharType="separate"/>
        </w:r>
        <w:r w:rsidR="00F22012">
          <w:rPr>
            <w:webHidden/>
          </w:rPr>
          <w:t>58</w:t>
        </w:r>
        <w:r w:rsidR="00FA0933">
          <w:rPr>
            <w:webHidden/>
          </w:rPr>
          <w:fldChar w:fldCharType="end"/>
        </w:r>
      </w:hyperlink>
    </w:p>
    <w:p w14:paraId="6371FD12" w14:textId="24D8DB71" w:rsidR="00FA0933" w:rsidRDefault="00CD5EE5">
      <w:pPr>
        <w:pStyle w:val="TableofFigures"/>
        <w:rPr>
          <w:rFonts w:asciiTheme="minorHAnsi" w:eastAsiaTheme="minorEastAsia" w:hAnsiTheme="minorHAnsi" w:cstheme="minorBidi"/>
          <w:smallCaps w:val="0"/>
          <w:szCs w:val="22"/>
          <w:lang w:eastAsia="en-AU"/>
        </w:rPr>
      </w:pPr>
      <w:hyperlink w:anchor="_Toc75878563" w:history="1">
        <w:r w:rsidR="00FA0933" w:rsidRPr="00CD4783">
          <w:rPr>
            <w:rStyle w:val="Hyperlink"/>
          </w:rPr>
          <w:t>Figure 8</w:t>
        </w:r>
        <w:r w:rsidR="00FA0933" w:rsidRPr="00CD4783">
          <w:rPr>
            <w:rStyle w:val="Hyperlink"/>
          </w:rPr>
          <w:noBreakHyphen/>
          <w:t>2: Job satisfaction by industry</w:t>
        </w:r>
        <w:r w:rsidR="00FA0933">
          <w:rPr>
            <w:webHidden/>
          </w:rPr>
          <w:tab/>
        </w:r>
        <w:r w:rsidR="00FA0933">
          <w:rPr>
            <w:webHidden/>
          </w:rPr>
          <w:fldChar w:fldCharType="begin"/>
        </w:r>
        <w:r w:rsidR="00FA0933">
          <w:rPr>
            <w:webHidden/>
          </w:rPr>
          <w:instrText xml:space="preserve"> PAGEREF _Toc75878563 \h </w:instrText>
        </w:r>
        <w:r w:rsidR="00FA0933">
          <w:rPr>
            <w:webHidden/>
          </w:rPr>
        </w:r>
        <w:r w:rsidR="00FA0933">
          <w:rPr>
            <w:webHidden/>
          </w:rPr>
          <w:fldChar w:fldCharType="separate"/>
        </w:r>
        <w:r w:rsidR="00F22012">
          <w:rPr>
            <w:webHidden/>
          </w:rPr>
          <w:t>59</w:t>
        </w:r>
        <w:r w:rsidR="00FA0933">
          <w:rPr>
            <w:webHidden/>
          </w:rPr>
          <w:fldChar w:fldCharType="end"/>
        </w:r>
      </w:hyperlink>
    </w:p>
    <w:p w14:paraId="27068796" w14:textId="4AC3B89B" w:rsidR="00FA0933" w:rsidRDefault="00CD5EE5">
      <w:pPr>
        <w:pStyle w:val="TableofFigures"/>
        <w:rPr>
          <w:rFonts w:asciiTheme="minorHAnsi" w:eastAsiaTheme="minorEastAsia" w:hAnsiTheme="minorHAnsi" w:cstheme="minorBidi"/>
          <w:smallCaps w:val="0"/>
          <w:szCs w:val="22"/>
          <w:lang w:eastAsia="en-AU"/>
        </w:rPr>
      </w:pPr>
      <w:hyperlink w:anchor="_Toc75878564" w:history="1">
        <w:r w:rsidR="00FA0933" w:rsidRPr="00CD4783">
          <w:rPr>
            <w:rStyle w:val="Hyperlink"/>
          </w:rPr>
          <w:t>Figure 8</w:t>
        </w:r>
        <w:r w:rsidR="00FA0933" w:rsidRPr="00CD4783">
          <w:rPr>
            <w:rStyle w:val="Hyperlink"/>
          </w:rPr>
          <w:noBreakHyphen/>
          <w:t>3: Job satisfaction by country of citizenship, by Top 10 countries</w:t>
        </w:r>
        <w:r w:rsidR="00FA0933">
          <w:rPr>
            <w:webHidden/>
          </w:rPr>
          <w:tab/>
        </w:r>
        <w:r w:rsidR="00FA0933">
          <w:rPr>
            <w:webHidden/>
          </w:rPr>
          <w:fldChar w:fldCharType="begin"/>
        </w:r>
        <w:r w:rsidR="00FA0933">
          <w:rPr>
            <w:webHidden/>
          </w:rPr>
          <w:instrText xml:space="preserve"> PAGEREF _Toc75878564 \h </w:instrText>
        </w:r>
        <w:r w:rsidR="00FA0933">
          <w:rPr>
            <w:webHidden/>
          </w:rPr>
        </w:r>
        <w:r w:rsidR="00FA0933">
          <w:rPr>
            <w:webHidden/>
          </w:rPr>
          <w:fldChar w:fldCharType="separate"/>
        </w:r>
        <w:r w:rsidR="00F22012">
          <w:rPr>
            <w:webHidden/>
          </w:rPr>
          <w:t>60</w:t>
        </w:r>
        <w:r w:rsidR="00FA0933">
          <w:rPr>
            <w:webHidden/>
          </w:rPr>
          <w:fldChar w:fldCharType="end"/>
        </w:r>
      </w:hyperlink>
    </w:p>
    <w:p w14:paraId="408C5C7C" w14:textId="4F77DF25" w:rsidR="00FA0933" w:rsidRDefault="00CD5EE5">
      <w:pPr>
        <w:pStyle w:val="TableofFigures"/>
        <w:rPr>
          <w:rFonts w:asciiTheme="minorHAnsi" w:eastAsiaTheme="minorEastAsia" w:hAnsiTheme="minorHAnsi" w:cstheme="minorBidi"/>
          <w:smallCaps w:val="0"/>
          <w:szCs w:val="22"/>
          <w:lang w:eastAsia="en-AU"/>
        </w:rPr>
      </w:pPr>
      <w:hyperlink w:anchor="_Toc75878565" w:history="1">
        <w:r w:rsidR="00FA0933" w:rsidRPr="00CD4783">
          <w:rPr>
            <w:rStyle w:val="Hyperlink"/>
          </w:rPr>
          <w:t>Figure 8</w:t>
        </w:r>
        <w:r w:rsidR="00FA0933" w:rsidRPr="00CD4783">
          <w:rPr>
            <w:rStyle w:val="Hyperlink"/>
          </w:rPr>
          <w:noBreakHyphen/>
          <w:t>4: Methods used for finding out about the WHM program</w:t>
        </w:r>
        <w:r w:rsidR="00FA0933">
          <w:rPr>
            <w:webHidden/>
          </w:rPr>
          <w:tab/>
        </w:r>
        <w:r w:rsidR="00FA0933">
          <w:rPr>
            <w:webHidden/>
          </w:rPr>
          <w:fldChar w:fldCharType="begin"/>
        </w:r>
        <w:r w:rsidR="00FA0933">
          <w:rPr>
            <w:webHidden/>
          </w:rPr>
          <w:instrText xml:space="preserve"> PAGEREF _Toc75878565 \h </w:instrText>
        </w:r>
        <w:r w:rsidR="00FA0933">
          <w:rPr>
            <w:webHidden/>
          </w:rPr>
        </w:r>
        <w:r w:rsidR="00FA0933">
          <w:rPr>
            <w:webHidden/>
          </w:rPr>
          <w:fldChar w:fldCharType="separate"/>
        </w:r>
        <w:r w:rsidR="00F22012">
          <w:rPr>
            <w:webHidden/>
          </w:rPr>
          <w:t>61</w:t>
        </w:r>
        <w:r w:rsidR="00FA0933">
          <w:rPr>
            <w:webHidden/>
          </w:rPr>
          <w:fldChar w:fldCharType="end"/>
        </w:r>
      </w:hyperlink>
    </w:p>
    <w:p w14:paraId="63C4D677" w14:textId="7248DB08" w:rsidR="00FA0933" w:rsidRDefault="00CD5EE5">
      <w:pPr>
        <w:pStyle w:val="TableofFigures"/>
        <w:rPr>
          <w:rFonts w:asciiTheme="minorHAnsi" w:eastAsiaTheme="minorEastAsia" w:hAnsiTheme="minorHAnsi" w:cstheme="minorBidi"/>
          <w:smallCaps w:val="0"/>
          <w:szCs w:val="22"/>
          <w:lang w:eastAsia="en-AU"/>
        </w:rPr>
      </w:pPr>
      <w:hyperlink w:anchor="_Toc75878566" w:history="1">
        <w:r w:rsidR="00FA0933" w:rsidRPr="00CD4783">
          <w:rPr>
            <w:rStyle w:val="Hyperlink"/>
          </w:rPr>
          <w:t>Figure 8</w:t>
        </w:r>
        <w:r w:rsidR="00FA0933" w:rsidRPr="00CD4783">
          <w:rPr>
            <w:rStyle w:val="Hyperlink"/>
          </w:rPr>
          <w:noBreakHyphen/>
          <w:t>5: Intention to apply for a subsequent WHM visa by sex</w:t>
        </w:r>
        <w:r w:rsidR="00FA0933">
          <w:rPr>
            <w:webHidden/>
          </w:rPr>
          <w:tab/>
        </w:r>
        <w:r w:rsidR="00FA0933">
          <w:rPr>
            <w:webHidden/>
          </w:rPr>
          <w:fldChar w:fldCharType="begin"/>
        </w:r>
        <w:r w:rsidR="00FA0933">
          <w:rPr>
            <w:webHidden/>
          </w:rPr>
          <w:instrText xml:space="preserve"> PAGEREF _Toc75878566 \h </w:instrText>
        </w:r>
        <w:r w:rsidR="00FA0933">
          <w:rPr>
            <w:webHidden/>
          </w:rPr>
        </w:r>
        <w:r w:rsidR="00FA0933">
          <w:rPr>
            <w:webHidden/>
          </w:rPr>
          <w:fldChar w:fldCharType="separate"/>
        </w:r>
        <w:r w:rsidR="00F22012">
          <w:rPr>
            <w:webHidden/>
          </w:rPr>
          <w:t>62</w:t>
        </w:r>
        <w:r w:rsidR="00FA0933">
          <w:rPr>
            <w:webHidden/>
          </w:rPr>
          <w:fldChar w:fldCharType="end"/>
        </w:r>
      </w:hyperlink>
    </w:p>
    <w:p w14:paraId="11646FC5" w14:textId="72DCD2DE" w:rsidR="00FA0933" w:rsidRDefault="00CD5EE5">
      <w:pPr>
        <w:pStyle w:val="TableofFigures"/>
        <w:rPr>
          <w:rFonts w:asciiTheme="minorHAnsi" w:eastAsiaTheme="minorEastAsia" w:hAnsiTheme="minorHAnsi" w:cstheme="minorBidi"/>
          <w:smallCaps w:val="0"/>
          <w:szCs w:val="22"/>
          <w:lang w:eastAsia="en-AU"/>
        </w:rPr>
      </w:pPr>
      <w:hyperlink w:anchor="_Toc75878567" w:history="1">
        <w:r w:rsidR="00FA0933" w:rsidRPr="00CD4783">
          <w:rPr>
            <w:rStyle w:val="Hyperlink"/>
          </w:rPr>
          <w:t>Figure 8</w:t>
        </w:r>
        <w:r w:rsidR="00FA0933" w:rsidRPr="00CD4783">
          <w:rPr>
            <w:rStyle w:val="Hyperlink"/>
          </w:rPr>
          <w:noBreakHyphen/>
          <w:t>6: Intention to apply for a subsequent WHM visa by age group</w:t>
        </w:r>
        <w:r w:rsidR="00FA0933">
          <w:rPr>
            <w:webHidden/>
          </w:rPr>
          <w:tab/>
        </w:r>
        <w:r w:rsidR="00FA0933">
          <w:rPr>
            <w:webHidden/>
          </w:rPr>
          <w:fldChar w:fldCharType="begin"/>
        </w:r>
        <w:r w:rsidR="00FA0933">
          <w:rPr>
            <w:webHidden/>
          </w:rPr>
          <w:instrText xml:space="preserve"> PAGEREF _Toc75878567 \h </w:instrText>
        </w:r>
        <w:r w:rsidR="00FA0933">
          <w:rPr>
            <w:webHidden/>
          </w:rPr>
        </w:r>
        <w:r w:rsidR="00FA0933">
          <w:rPr>
            <w:webHidden/>
          </w:rPr>
          <w:fldChar w:fldCharType="separate"/>
        </w:r>
        <w:r w:rsidR="00F22012">
          <w:rPr>
            <w:webHidden/>
          </w:rPr>
          <w:t>63</w:t>
        </w:r>
        <w:r w:rsidR="00FA0933">
          <w:rPr>
            <w:webHidden/>
          </w:rPr>
          <w:fldChar w:fldCharType="end"/>
        </w:r>
      </w:hyperlink>
    </w:p>
    <w:p w14:paraId="5520988E" w14:textId="3B0C6F23" w:rsidR="00FA0933" w:rsidRDefault="00CD5EE5">
      <w:pPr>
        <w:pStyle w:val="TableofFigures"/>
        <w:rPr>
          <w:rFonts w:asciiTheme="minorHAnsi" w:eastAsiaTheme="minorEastAsia" w:hAnsiTheme="minorHAnsi" w:cstheme="minorBidi"/>
          <w:smallCaps w:val="0"/>
          <w:szCs w:val="22"/>
          <w:lang w:eastAsia="en-AU"/>
        </w:rPr>
      </w:pPr>
      <w:hyperlink w:anchor="_Toc75878568" w:history="1">
        <w:r w:rsidR="00FA0933" w:rsidRPr="00CD4783">
          <w:rPr>
            <w:rStyle w:val="Hyperlink"/>
          </w:rPr>
          <w:t>Figure 8</w:t>
        </w:r>
        <w:r w:rsidR="00FA0933" w:rsidRPr="00CD4783">
          <w:rPr>
            <w:rStyle w:val="Hyperlink"/>
          </w:rPr>
          <w:noBreakHyphen/>
          <w:t>7: Intention to apply for a subsequent WHM visa by Top 10 countries</w:t>
        </w:r>
        <w:r w:rsidR="00FA0933">
          <w:rPr>
            <w:webHidden/>
          </w:rPr>
          <w:tab/>
        </w:r>
        <w:r w:rsidR="00FA0933">
          <w:rPr>
            <w:webHidden/>
          </w:rPr>
          <w:fldChar w:fldCharType="begin"/>
        </w:r>
        <w:r w:rsidR="00FA0933">
          <w:rPr>
            <w:webHidden/>
          </w:rPr>
          <w:instrText xml:space="preserve"> PAGEREF _Toc75878568 \h </w:instrText>
        </w:r>
        <w:r w:rsidR="00FA0933">
          <w:rPr>
            <w:webHidden/>
          </w:rPr>
        </w:r>
        <w:r w:rsidR="00FA0933">
          <w:rPr>
            <w:webHidden/>
          </w:rPr>
          <w:fldChar w:fldCharType="separate"/>
        </w:r>
        <w:r w:rsidR="00F22012">
          <w:rPr>
            <w:webHidden/>
          </w:rPr>
          <w:t>63</w:t>
        </w:r>
        <w:r w:rsidR="00FA0933">
          <w:rPr>
            <w:webHidden/>
          </w:rPr>
          <w:fldChar w:fldCharType="end"/>
        </w:r>
      </w:hyperlink>
    </w:p>
    <w:p w14:paraId="5E895E12" w14:textId="799C738B" w:rsidR="00FA0933" w:rsidRDefault="00CD5EE5">
      <w:pPr>
        <w:pStyle w:val="TableofFigures"/>
        <w:rPr>
          <w:rFonts w:asciiTheme="minorHAnsi" w:eastAsiaTheme="minorEastAsia" w:hAnsiTheme="minorHAnsi" w:cstheme="minorBidi"/>
          <w:smallCaps w:val="0"/>
          <w:szCs w:val="22"/>
          <w:lang w:eastAsia="en-AU"/>
        </w:rPr>
      </w:pPr>
      <w:hyperlink w:anchor="_Toc75878569" w:history="1">
        <w:r w:rsidR="00FA0933" w:rsidRPr="00CD4783">
          <w:rPr>
            <w:rStyle w:val="Hyperlink"/>
          </w:rPr>
          <w:t>Figure 8</w:t>
        </w:r>
        <w:r w:rsidR="00FA0933" w:rsidRPr="00CD4783">
          <w:rPr>
            <w:rStyle w:val="Hyperlink"/>
          </w:rPr>
          <w:noBreakHyphen/>
          <w:t>8: Would recommend the WHM program, by age</w:t>
        </w:r>
        <w:r w:rsidR="00FA0933">
          <w:rPr>
            <w:webHidden/>
          </w:rPr>
          <w:tab/>
        </w:r>
        <w:r w:rsidR="00FA0933">
          <w:rPr>
            <w:webHidden/>
          </w:rPr>
          <w:fldChar w:fldCharType="begin"/>
        </w:r>
        <w:r w:rsidR="00FA0933">
          <w:rPr>
            <w:webHidden/>
          </w:rPr>
          <w:instrText xml:space="preserve"> PAGEREF _Toc75878569 \h </w:instrText>
        </w:r>
        <w:r w:rsidR="00FA0933">
          <w:rPr>
            <w:webHidden/>
          </w:rPr>
        </w:r>
        <w:r w:rsidR="00FA0933">
          <w:rPr>
            <w:webHidden/>
          </w:rPr>
          <w:fldChar w:fldCharType="separate"/>
        </w:r>
        <w:r w:rsidR="00F22012">
          <w:rPr>
            <w:webHidden/>
          </w:rPr>
          <w:t>64</w:t>
        </w:r>
        <w:r w:rsidR="00FA0933">
          <w:rPr>
            <w:webHidden/>
          </w:rPr>
          <w:fldChar w:fldCharType="end"/>
        </w:r>
      </w:hyperlink>
    </w:p>
    <w:p w14:paraId="56EAB440" w14:textId="43AA2ABD" w:rsidR="00FA0933" w:rsidRDefault="00CD5EE5">
      <w:pPr>
        <w:pStyle w:val="TableofFigures"/>
        <w:rPr>
          <w:rFonts w:asciiTheme="minorHAnsi" w:eastAsiaTheme="minorEastAsia" w:hAnsiTheme="minorHAnsi" w:cstheme="minorBidi"/>
          <w:smallCaps w:val="0"/>
          <w:szCs w:val="22"/>
          <w:lang w:eastAsia="en-AU"/>
        </w:rPr>
      </w:pPr>
      <w:hyperlink w:anchor="_Toc75878570" w:history="1">
        <w:r w:rsidR="00FA0933" w:rsidRPr="00CD4783">
          <w:rPr>
            <w:rStyle w:val="Hyperlink"/>
          </w:rPr>
          <w:t>Figure 8</w:t>
        </w:r>
        <w:r w:rsidR="00FA0933" w:rsidRPr="00CD4783">
          <w:rPr>
            <w:rStyle w:val="Hyperlink"/>
          </w:rPr>
          <w:noBreakHyphen/>
          <w:t>9: Would recommend the WHM program, by citizenship</w:t>
        </w:r>
        <w:r w:rsidR="00FA0933">
          <w:rPr>
            <w:webHidden/>
          </w:rPr>
          <w:tab/>
        </w:r>
        <w:r w:rsidR="00FA0933">
          <w:rPr>
            <w:webHidden/>
          </w:rPr>
          <w:fldChar w:fldCharType="begin"/>
        </w:r>
        <w:r w:rsidR="00FA0933">
          <w:rPr>
            <w:webHidden/>
          </w:rPr>
          <w:instrText xml:space="preserve"> PAGEREF _Toc75878570 \h </w:instrText>
        </w:r>
        <w:r w:rsidR="00FA0933">
          <w:rPr>
            <w:webHidden/>
          </w:rPr>
        </w:r>
        <w:r w:rsidR="00FA0933">
          <w:rPr>
            <w:webHidden/>
          </w:rPr>
          <w:fldChar w:fldCharType="separate"/>
        </w:r>
        <w:r w:rsidR="00F22012">
          <w:rPr>
            <w:webHidden/>
          </w:rPr>
          <w:t>64</w:t>
        </w:r>
        <w:r w:rsidR="00FA0933">
          <w:rPr>
            <w:webHidden/>
          </w:rPr>
          <w:fldChar w:fldCharType="end"/>
        </w:r>
      </w:hyperlink>
    </w:p>
    <w:p w14:paraId="0511E1AE" w14:textId="2F5394FE" w:rsidR="00FA0933" w:rsidRDefault="00CD5EE5">
      <w:pPr>
        <w:pStyle w:val="TableofFigures"/>
        <w:rPr>
          <w:rFonts w:asciiTheme="minorHAnsi" w:eastAsiaTheme="minorEastAsia" w:hAnsiTheme="minorHAnsi" w:cstheme="minorBidi"/>
          <w:smallCaps w:val="0"/>
          <w:szCs w:val="22"/>
          <w:lang w:eastAsia="en-AU"/>
        </w:rPr>
      </w:pPr>
      <w:hyperlink w:anchor="_Toc75878571" w:history="1">
        <w:r w:rsidR="00FA0933" w:rsidRPr="00CD4783">
          <w:rPr>
            <w:rStyle w:val="Hyperlink"/>
          </w:rPr>
          <w:t>Figure 8</w:t>
        </w:r>
        <w:r w:rsidR="00FA0933" w:rsidRPr="00CD4783">
          <w:rPr>
            <w:rStyle w:val="Hyperlink"/>
          </w:rPr>
          <w:noBreakHyphen/>
          <w:t>10: Factors making WHM travel to and within Australia easy</w:t>
        </w:r>
        <w:r w:rsidR="00FA0933">
          <w:rPr>
            <w:webHidden/>
          </w:rPr>
          <w:tab/>
        </w:r>
        <w:r w:rsidR="00FA0933">
          <w:rPr>
            <w:webHidden/>
          </w:rPr>
          <w:fldChar w:fldCharType="begin"/>
        </w:r>
        <w:r w:rsidR="00FA0933">
          <w:rPr>
            <w:webHidden/>
          </w:rPr>
          <w:instrText xml:space="preserve"> PAGEREF _Toc75878571 \h </w:instrText>
        </w:r>
        <w:r w:rsidR="00FA0933">
          <w:rPr>
            <w:webHidden/>
          </w:rPr>
        </w:r>
        <w:r w:rsidR="00FA0933">
          <w:rPr>
            <w:webHidden/>
          </w:rPr>
          <w:fldChar w:fldCharType="separate"/>
        </w:r>
        <w:r w:rsidR="00F22012">
          <w:rPr>
            <w:webHidden/>
          </w:rPr>
          <w:t>65</w:t>
        </w:r>
        <w:r w:rsidR="00FA0933">
          <w:rPr>
            <w:webHidden/>
          </w:rPr>
          <w:fldChar w:fldCharType="end"/>
        </w:r>
      </w:hyperlink>
    </w:p>
    <w:p w14:paraId="1A0B8F4E" w14:textId="5240F673" w:rsidR="00FA0933" w:rsidRDefault="00CD5EE5">
      <w:pPr>
        <w:pStyle w:val="TableofFigures"/>
        <w:rPr>
          <w:rFonts w:asciiTheme="minorHAnsi" w:eastAsiaTheme="minorEastAsia" w:hAnsiTheme="minorHAnsi" w:cstheme="minorBidi"/>
          <w:smallCaps w:val="0"/>
          <w:szCs w:val="22"/>
          <w:lang w:eastAsia="en-AU"/>
        </w:rPr>
      </w:pPr>
      <w:hyperlink w:anchor="_Toc75878572" w:history="1">
        <w:r w:rsidR="00FA0933" w:rsidRPr="00CD4783">
          <w:rPr>
            <w:rStyle w:val="Hyperlink"/>
          </w:rPr>
          <w:t>Figure 8</w:t>
        </w:r>
        <w:r w:rsidR="00FA0933" w:rsidRPr="00CD4783">
          <w:rPr>
            <w:rStyle w:val="Hyperlink"/>
          </w:rPr>
          <w:noBreakHyphen/>
          <w:t>11: Easy to obtain information about coming to Australia, by Top 10 countries</w:t>
        </w:r>
        <w:r w:rsidR="00FA0933">
          <w:rPr>
            <w:webHidden/>
          </w:rPr>
          <w:tab/>
        </w:r>
        <w:r w:rsidR="00FA0933">
          <w:rPr>
            <w:webHidden/>
          </w:rPr>
          <w:fldChar w:fldCharType="begin"/>
        </w:r>
        <w:r w:rsidR="00FA0933">
          <w:rPr>
            <w:webHidden/>
          </w:rPr>
          <w:instrText xml:space="preserve"> PAGEREF _Toc75878572 \h </w:instrText>
        </w:r>
        <w:r w:rsidR="00FA0933">
          <w:rPr>
            <w:webHidden/>
          </w:rPr>
        </w:r>
        <w:r w:rsidR="00FA0933">
          <w:rPr>
            <w:webHidden/>
          </w:rPr>
          <w:fldChar w:fldCharType="separate"/>
        </w:r>
        <w:r w:rsidR="00F22012">
          <w:rPr>
            <w:webHidden/>
          </w:rPr>
          <w:t>66</w:t>
        </w:r>
        <w:r w:rsidR="00FA0933">
          <w:rPr>
            <w:webHidden/>
          </w:rPr>
          <w:fldChar w:fldCharType="end"/>
        </w:r>
      </w:hyperlink>
    </w:p>
    <w:p w14:paraId="48855490" w14:textId="037B674B" w:rsidR="00FA0933" w:rsidRDefault="00CD5EE5">
      <w:pPr>
        <w:pStyle w:val="TableofFigures"/>
        <w:rPr>
          <w:rFonts w:asciiTheme="minorHAnsi" w:eastAsiaTheme="minorEastAsia" w:hAnsiTheme="minorHAnsi" w:cstheme="minorBidi"/>
          <w:smallCaps w:val="0"/>
          <w:szCs w:val="22"/>
          <w:lang w:eastAsia="en-AU"/>
        </w:rPr>
      </w:pPr>
      <w:hyperlink w:anchor="_Toc75878573" w:history="1">
        <w:r w:rsidR="00FA0933" w:rsidRPr="00CD4783">
          <w:rPr>
            <w:rStyle w:val="Hyperlink"/>
          </w:rPr>
          <w:t>Figure 8</w:t>
        </w:r>
        <w:r w:rsidR="00FA0933" w:rsidRPr="00CD4783">
          <w:rPr>
            <w:rStyle w:val="Hyperlink"/>
          </w:rPr>
          <w:noBreakHyphen/>
          <w:t>12: Easy to obtain a WHM Visa, by Top 10 countries</w:t>
        </w:r>
        <w:r w:rsidR="00FA0933">
          <w:rPr>
            <w:webHidden/>
          </w:rPr>
          <w:tab/>
        </w:r>
        <w:r w:rsidR="00FA0933">
          <w:rPr>
            <w:webHidden/>
          </w:rPr>
          <w:fldChar w:fldCharType="begin"/>
        </w:r>
        <w:r w:rsidR="00FA0933">
          <w:rPr>
            <w:webHidden/>
          </w:rPr>
          <w:instrText xml:space="preserve"> PAGEREF _Toc75878573 \h </w:instrText>
        </w:r>
        <w:r w:rsidR="00FA0933">
          <w:rPr>
            <w:webHidden/>
          </w:rPr>
        </w:r>
        <w:r w:rsidR="00FA0933">
          <w:rPr>
            <w:webHidden/>
          </w:rPr>
          <w:fldChar w:fldCharType="separate"/>
        </w:r>
        <w:r w:rsidR="00F22012">
          <w:rPr>
            <w:webHidden/>
          </w:rPr>
          <w:t>66</w:t>
        </w:r>
        <w:r w:rsidR="00FA0933">
          <w:rPr>
            <w:webHidden/>
          </w:rPr>
          <w:fldChar w:fldCharType="end"/>
        </w:r>
      </w:hyperlink>
    </w:p>
    <w:p w14:paraId="3E09FF1D" w14:textId="32D67DF2" w:rsidR="00FA0933" w:rsidRDefault="00CD5EE5">
      <w:pPr>
        <w:pStyle w:val="TableofFigures"/>
        <w:rPr>
          <w:rFonts w:asciiTheme="minorHAnsi" w:eastAsiaTheme="minorEastAsia" w:hAnsiTheme="minorHAnsi" w:cstheme="minorBidi"/>
          <w:smallCaps w:val="0"/>
          <w:szCs w:val="22"/>
          <w:lang w:eastAsia="en-AU"/>
        </w:rPr>
      </w:pPr>
      <w:hyperlink w:anchor="_Toc75878574" w:history="1">
        <w:r w:rsidR="00FA0933" w:rsidRPr="00CD4783">
          <w:rPr>
            <w:rStyle w:val="Hyperlink"/>
          </w:rPr>
          <w:t>Figure 8</w:t>
        </w:r>
        <w:r w:rsidR="00FA0933" w:rsidRPr="00CD4783">
          <w:rPr>
            <w:rStyle w:val="Hyperlink"/>
          </w:rPr>
          <w:noBreakHyphen/>
          <w:t>13: Easy to pay for travel to Australia, by Top 10 countries</w:t>
        </w:r>
        <w:r w:rsidR="00FA0933">
          <w:rPr>
            <w:webHidden/>
          </w:rPr>
          <w:tab/>
        </w:r>
        <w:r w:rsidR="00FA0933">
          <w:rPr>
            <w:webHidden/>
          </w:rPr>
          <w:fldChar w:fldCharType="begin"/>
        </w:r>
        <w:r w:rsidR="00FA0933">
          <w:rPr>
            <w:webHidden/>
          </w:rPr>
          <w:instrText xml:space="preserve"> PAGEREF _Toc75878574 \h </w:instrText>
        </w:r>
        <w:r w:rsidR="00FA0933">
          <w:rPr>
            <w:webHidden/>
          </w:rPr>
        </w:r>
        <w:r w:rsidR="00FA0933">
          <w:rPr>
            <w:webHidden/>
          </w:rPr>
          <w:fldChar w:fldCharType="separate"/>
        </w:r>
        <w:r w:rsidR="00F22012">
          <w:rPr>
            <w:webHidden/>
          </w:rPr>
          <w:t>67</w:t>
        </w:r>
        <w:r w:rsidR="00FA0933">
          <w:rPr>
            <w:webHidden/>
          </w:rPr>
          <w:fldChar w:fldCharType="end"/>
        </w:r>
      </w:hyperlink>
    </w:p>
    <w:p w14:paraId="208CDD78" w14:textId="4CC43A03" w:rsidR="00FA0933" w:rsidRDefault="00CD5EE5">
      <w:pPr>
        <w:pStyle w:val="TableofFigures"/>
        <w:rPr>
          <w:rFonts w:asciiTheme="minorHAnsi" w:eastAsiaTheme="minorEastAsia" w:hAnsiTheme="minorHAnsi" w:cstheme="minorBidi"/>
          <w:smallCaps w:val="0"/>
          <w:szCs w:val="22"/>
          <w:lang w:eastAsia="en-AU"/>
        </w:rPr>
      </w:pPr>
      <w:hyperlink w:anchor="_Toc75878575" w:history="1">
        <w:r w:rsidR="00FA0933" w:rsidRPr="00CD4783">
          <w:rPr>
            <w:rStyle w:val="Hyperlink"/>
          </w:rPr>
          <w:t>Figure 8</w:t>
        </w:r>
        <w:r w:rsidR="00FA0933" w:rsidRPr="00CD4783">
          <w:rPr>
            <w:rStyle w:val="Hyperlink"/>
          </w:rPr>
          <w:noBreakHyphen/>
          <w:t xml:space="preserve">14: Easy to </w:t>
        </w:r>
        <w:r w:rsidR="00FA0933" w:rsidRPr="00CD4783">
          <w:rPr>
            <w:rStyle w:val="Hyperlink"/>
            <w:i/>
          </w:rPr>
          <w:t>bring</w:t>
        </w:r>
        <w:r w:rsidR="00FA0933" w:rsidRPr="00CD4783">
          <w:rPr>
            <w:rStyle w:val="Hyperlink"/>
          </w:rPr>
          <w:t xml:space="preserve"> enough money in Australia for support, by Top 10 countries</w:t>
        </w:r>
        <w:r w:rsidR="00FA0933">
          <w:rPr>
            <w:webHidden/>
          </w:rPr>
          <w:tab/>
        </w:r>
        <w:r w:rsidR="00FA0933">
          <w:rPr>
            <w:webHidden/>
          </w:rPr>
          <w:fldChar w:fldCharType="begin"/>
        </w:r>
        <w:r w:rsidR="00FA0933">
          <w:rPr>
            <w:webHidden/>
          </w:rPr>
          <w:instrText xml:space="preserve"> PAGEREF _Toc75878575 \h </w:instrText>
        </w:r>
        <w:r w:rsidR="00FA0933">
          <w:rPr>
            <w:webHidden/>
          </w:rPr>
        </w:r>
        <w:r w:rsidR="00FA0933">
          <w:rPr>
            <w:webHidden/>
          </w:rPr>
          <w:fldChar w:fldCharType="separate"/>
        </w:r>
        <w:r w:rsidR="00F22012">
          <w:rPr>
            <w:webHidden/>
          </w:rPr>
          <w:t>68</w:t>
        </w:r>
        <w:r w:rsidR="00FA0933">
          <w:rPr>
            <w:webHidden/>
          </w:rPr>
          <w:fldChar w:fldCharType="end"/>
        </w:r>
      </w:hyperlink>
    </w:p>
    <w:p w14:paraId="57190794" w14:textId="52112F11" w:rsidR="00FA0933" w:rsidRDefault="00CD5EE5">
      <w:pPr>
        <w:pStyle w:val="TableofFigures"/>
        <w:rPr>
          <w:rFonts w:asciiTheme="minorHAnsi" w:eastAsiaTheme="minorEastAsia" w:hAnsiTheme="minorHAnsi" w:cstheme="minorBidi"/>
          <w:smallCaps w:val="0"/>
          <w:szCs w:val="22"/>
          <w:lang w:eastAsia="en-AU"/>
        </w:rPr>
      </w:pPr>
      <w:hyperlink w:anchor="_Toc75878576" w:history="1">
        <w:r w:rsidR="00FA0933" w:rsidRPr="00CD4783">
          <w:rPr>
            <w:rStyle w:val="Hyperlink"/>
          </w:rPr>
          <w:t>Figure 8</w:t>
        </w:r>
        <w:r w:rsidR="00FA0933" w:rsidRPr="00CD4783">
          <w:rPr>
            <w:rStyle w:val="Hyperlink"/>
          </w:rPr>
          <w:noBreakHyphen/>
          <w:t xml:space="preserve">15: Easy to </w:t>
        </w:r>
        <w:r w:rsidR="00FA0933" w:rsidRPr="00CD4783">
          <w:rPr>
            <w:rStyle w:val="Hyperlink"/>
            <w:i/>
          </w:rPr>
          <w:t>make</w:t>
        </w:r>
        <w:r w:rsidR="00FA0933" w:rsidRPr="00CD4783">
          <w:rPr>
            <w:rStyle w:val="Hyperlink"/>
          </w:rPr>
          <w:t xml:space="preserve"> enough money in Australia for support, by Top 10 countries</w:t>
        </w:r>
        <w:r w:rsidR="00FA0933">
          <w:rPr>
            <w:webHidden/>
          </w:rPr>
          <w:tab/>
        </w:r>
        <w:r w:rsidR="00FA0933">
          <w:rPr>
            <w:webHidden/>
          </w:rPr>
          <w:fldChar w:fldCharType="begin"/>
        </w:r>
        <w:r w:rsidR="00FA0933">
          <w:rPr>
            <w:webHidden/>
          </w:rPr>
          <w:instrText xml:space="preserve"> PAGEREF _Toc75878576 \h </w:instrText>
        </w:r>
        <w:r w:rsidR="00FA0933">
          <w:rPr>
            <w:webHidden/>
          </w:rPr>
        </w:r>
        <w:r w:rsidR="00FA0933">
          <w:rPr>
            <w:webHidden/>
          </w:rPr>
          <w:fldChar w:fldCharType="separate"/>
        </w:r>
        <w:r w:rsidR="00F22012">
          <w:rPr>
            <w:webHidden/>
          </w:rPr>
          <w:t>68</w:t>
        </w:r>
        <w:r w:rsidR="00FA0933">
          <w:rPr>
            <w:webHidden/>
          </w:rPr>
          <w:fldChar w:fldCharType="end"/>
        </w:r>
      </w:hyperlink>
    </w:p>
    <w:p w14:paraId="7644A170" w14:textId="676DB1F8" w:rsidR="00FA0933" w:rsidRDefault="00CD5EE5">
      <w:pPr>
        <w:pStyle w:val="TableofFigures"/>
        <w:rPr>
          <w:rFonts w:asciiTheme="minorHAnsi" w:eastAsiaTheme="minorEastAsia" w:hAnsiTheme="minorHAnsi" w:cstheme="minorBidi"/>
          <w:smallCaps w:val="0"/>
          <w:szCs w:val="22"/>
          <w:lang w:eastAsia="en-AU"/>
        </w:rPr>
      </w:pPr>
      <w:hyperlink w:anchor="_Toc75878577" w:history="1">
        <w:r w:rsidR="00FA0933" w:rsidRPr="00CD4783">
          <w:rPr>
            <w:rStyle w:val="Hyperlink"/>
          </w:rPr>
          <w:t>Figure 8</w:t>
        </w:r>
        <w:r w:rsidR="00FA0933" w:rsidRPr="00CD4783">
          <w:rPr>
            <w:rStyle w:val="Hyperlink"/>
          </w:rPr>
          <w:noBreakHyphen/>
          <w:t>16: Proportion (%) considered for a working holiday in alternate country</w:t>
        </w:r>
        <w:r w:rsidR="00FA0933">
          <w:rPr>
            <w:webHidden/>
          </w:rPr>
          <w:tab/>
        </w:r>
        <w:r w:rsidR="00FA0933">
          <w:rPr>
            <w:webHidden/>
          </w:rPr>
          <w:fldChar w:fldCharType="begin"/>
        </w:r>
        <w:r w:rsidR="00FA0933">
          <w:rPr>
            <w:webHidden/>
          </w:rPr>
          <w:instrText xml:space="preserve"> PAGEREF _Toc75878577 \h </w:instrText>
        </w:r>
        <w:r w:rsidR="00FA0933">
          <w:rPr>
            <w:webHidden/>
          </w:rPr>
        </w:r>
        <w:r w:rsidR="00FA0933">
          <w:rPr>
            <w:webHidden/>
          </w:rPr>
          <w:fldChar w:fldCharType="separate"/>
        </w:r>
        <w:r w:rsidR="00F22012">
          <w:rPr>
            <w:webHidden/>
          </w:rPr>
          <w:t>69</w:t>
        </w:r>
        <w:r w:rsidR="00FA0933">
          <w:rPr>
            <w:webHidden/>
          </w:rPr>
          <w:fldChar w:fldCharType="end"/>
        </w:r>
      </w:hyperlink>
    </w:p>
    <w:p w14:paraId="41F23C60" w14:textId="2D467CB3" w:rsidR="00FA0933" w:rsidRDefault="00CD5EE5">
      <w:pPr>
        <w:pStyle w:val="TableofFigures"/>
        <w:rPr>
          <w:rFonts w:asciiTheme="minorHAnsi" w:eastAsiaTheme="minorEastAsia" w:hAnsiTheme="minorHAnsi" w:cstheme="minorBidi"/>
          <w:smallCaps w:val="0"/>
          <w:szCs w:val="22"/>
          <w:lang w:eastAsia="en-AU"/>
        </w:rPr>
      </w:pPr>
      <w:hyperlink w:anchor="_Toc75878578" w:history="1">
        <w:r w:rsidR="00FA0933" w:rsidRPr="00CD4783">
          <w:rPr>
            <w:rStyle w:val="Hyperlink"/>
          </w:rPr>
          <w:t>Figure 8</w:t>
        </w:r>
        <w:r w:rsidR="00FA0933" w:rsidRPr="00CD4783">
          <w:rPr>
            <w:rStyle w:val="Hyperlink"/>
          </w:rPr>
          <w:noBreakHyphen/>
          <w:t>17: Top 5 considered WH destinations for Top 10 countries</w:t>
        </w:r>
        <w:r w:rsidR="00FA0933">
          <w:rPr>
            <w:webHidden/>
          </w:rPr>
          <w:tab/>
        </w:r>
        <w:r w:rsidR="00FA0933">
          <w:rPr>
            <w:webHidden/>
          </w:rPr>
          <w:fldChar w:fldCharType="begin"/>
        </w:r>
        <w:r w:rsidR="00FA0933">
          <w:rPr>
            <w:webHidden/>
          </w:rPr>
          <w:instrText xml:space="preserve"> PAGEREF _Toc75878578 \h </w:instrText>
        </w:r>
        <w:r w:rsidR="00FA0933">
          <w:rPr>
            <w:webHidden/>
          </w:rPr>
        </w:r>
        <w:r w:rsidR="00FA0933">
          <w:rPr>
            <w:webHidden/>
          </w:rPr>
          <w:fldChar w:fldCharType="separate"/>
        </w:r>
        <w:r w:rsidR="00F22012">
          <w:rPr>
            <w:webHidden/>
          </w:rPr>
          <w:t>70</w:t>
        </w:r>
        <w:r w:rsidR="00FA0933">
          <w:rPr>
            <w:webHidden/>
          </w:rPr>
          <w:fldChar w:fldCharType="end"/>
        </w:r>
      </w:hyperlink>
    </w:p>
    <w:p w14:paraId="0502FDEE" w14:textId="72039C5C" w:rsidR="00FA0933" w:rsidRDefault="00CD5EE5">
      <w:pPr>
        <w:pStyle w:val="TableofFigures"/>
        <w:rPr>
          <w:rFonts w:asciiTheme="minorHAnsi" w:eastAsiaTheme="minorEastAsia" w:hAnsiTheme="minorHAnsi" w:cstheme="minorBidi"/>
          <w:smallCaps w:val="0"/>
          <w:szCs w:val="22"/>
          <w:lang w:eastAsia="en-AU"/>
        </w:rPr>
      </w:pPr>
      <w:hyperlink w:anchor="_Toc75878579" w:history="1">
        <w:r w:rsidR="00FA0933" w:rsidRPr="00CD4783">
          <w:rPr>
            <w:rStyle w:val="Hyperlink"/>
          </w:rPr>
          <w:t>Figure 9</w:t>
        </w:r>
        <w:r w:rsidR="00FA0933" w:rsidRPr="00CD4783">
          <w:rPr>
            <w:rStyle w:val="Hyperlink"/>
          </w:rPr>
          <w:noBreakHyphen/>
          <w:t>1: Employer respondents, by industry</w:t>
        </w:r>
        <w:r w:rsidR="00FA0933">
          <w:rPr>
            <w:webHidden/>
          </w:rPr>
          <w:tab/>
        </w:r>
        <w:r w:rsidR="00FA0933">
          <w:rPr>
            <w:webHidden/>
          </w:rPr>
          <w:fldChar w:fldCharType="begin"/>
        </w:r>
        <w:r w:rsidR="00FA0933">
          <w:rPr>
            <w:webHidden/>
          </w:rPr>
          <w:instrText xml:space="preserve"> PAGEREF _Toc75878579 \h </w:instrText>
        </w:r>
        <w:r w:rsidR="00FA0933">
          <w:rPr>
            <w:webHidden/>
          </w:rPr>
        </w:r>
        <w:r w:rsidR="00FA0933">
          <w:rPr>
            <w:webHidden/>
          </w:rPr>
          <w:fldChar w:fldCharType="separate"/>
        </w:r>
        <w:r w:rsidR="00F22012">
          <w:rPr>
            <w:webHidden/>
          </w:rPr>
          <w:t>71</w:t>
        </w:r>
        <w:r w:rsidR="00FA0933">
          <w:rPr>
            <w:webHidden/>
          </w:rPr>
          <w:fldChar w:fldCharType="end"/>
        </w:r>
      </w:hyperlink>
    </w:p>
    <w:p w14:paraId="5ED438C6" w14:textId="7C4ABFD3" w:rsidR="00FA0933" w:rsidRDefault="00CD5EE5">
      <w:pPr>
        <w:pStyle w:val="TableofFigures"/>
        <w:rPr>
          <w:rFonts w:asciiTheme="minorHAnsi" w:eastAsiaTheme="minorEastAsia" w:hAnsiTheme="minorHAnsi" w:cstheme="minorBidi"/>
          <w:smallCaps w:val="0"/>
          <w:szCs w:val="22"/>
          <w:lang w:eastAsia="en-AU"/>
        </w:rPr>
      </w:pPr>
      <w:hyperlink w:anchor="_Toc75878580" w:history="1">
        <w:r w:rsidR="00FA0933" w:rsidRPr="00CD4783">
          <w:rPr>
            <w:rStyle w:val="Hyperlink"/>
          </w:rPr>
          <w:t>Figure 9</w:t>
        </w:r>
        <w:r w:rsidR="00FA0933" w:rsidRPr="00CD4783">
          <w:rPr>
            <w:rStyle w:val="Hyperlink"/>
          </w:rPr>
          <w:noBreakHyphen/>
          <w:t>2: Importance of WHMs to employers</w:t>
        </w:r>
        <w:r w:rsidR="00FA0933">
          <w:rPr>
            <w:webHidden/>
          </w:rPr>
          <w:tab/>
        </w:r>
        <w:r w:rsidR="00FA0933">
          <w:rPr>
            <w:webHidden/>
          </w:rPr>
          <w:fldChar w:fldCharType="begin"/>
        </w:r>
        <w:r w:rsidR="00FA0933">
          <w:rPr>
            <w:webHidden/>
          </w:rPr>
          <w:instrText xml:space="preserve"> PAGEREF _Toc75878580 \h </w:instrText>
        </w:r>
        <w:r w:rsidR="00FA0933">
          <w:rPr>
            <w:webHidden/>
          </w:rPr>
        </w:r>
        <w:r w:rsidR="00FA0933">
          <w:rPr>
            <w:webHidden/>
          </w:rPr>
          <w:fldChar w:fldCharType="separate"/>
        </w:r>
        <w:r w:rsidR="00F22012">
          <w:rPr>
            <w:webHidden/>
          </w:rPr>
          <w:t>72</w:t>
        </w:r>
        <w:r w:rsidR="00FA0933">
          <w:rPr>
            <w:webHidden/>
          </w:rPr>
          <w:fldChar w:fldCharType="end"/>
        </w:r>
      </w:hyperlink>
    </w:p>
    <w:p w14:paraId="0E92EF4E" w14:textId="5DA181B9" w:rsidR="00FA0933" w:rsidRDefault="00CD5EE5">
      <w:pPr>
        <w:pStyle w:val="TableofFigures"/>
        <w:rPr>
          <w:rFonts w:asciiTheme="minorHAnsi" w:eastAsiaTheme="minorEastAsia" w:hAnsiTheme="minorHAnsi" w:cstheme="minorBidi"/>
          <w:smallCaps w:val="0"/>
          <w:szCs w:val="22"/>
          <w:lang w:eastAsia="en-AU"/>
        </w:rPr>
      </w:pPr>
      <w:hyperlink w:anchor="_Toc75878581" w:history="1">
        <w:r w:rsidR="00FA0933" w:rsidRPr="00CD4783">
          <w:rPr>
            <w:rStyle w:val="Hyperlink"/>
          </w:rPr>
          <w:t>Figure 9</w:t>
        </w:r>
        <w:r w:rsidR="00FA0933" w:rsidRPr="00CD4783">
          <w:rPr>
            <w:rStyle w:val="Hyperlink"/>
          </w:rPr>
          <w:noBreakHyphen/>
          <w:t>3: Reasons WHMs are important to employers</w:t>
        </w:r>
        <w:r w:rsidR="00FA0933">
          <w:rPr>
            <w:webHidden/>
          </w:rPr>
          <w:tab/>
        </w:r>
        <w:r w:rsidR="00FA0933">
          <w:rPr>
            <w:webHidden/>
          </w:rPr>
          <w:fldChar w:fldCharType="begin"/>
        </w:r>
        <w:r w:rsidR="00FA0933">
          <w:rPr>
            <w:webHidden/>
          </w:rPr>
          <w:instrText xml:space="preserve"> PAGEREF _Toc75878581 \h </w:instrText>
        </w:r>
        <w:r w:rsidR="00FA0933">
          <w:rPr>
            <w:webHidden/>
          </w:rPr>
        </w:r>
        <w:r w:rsidR="00FA0933">
          <w:rPr>
            <w:webHidden/>
          </w:rPr>
          <w:fldChar w:fldCharType="separate"/>
        </w:r>
        <w:r w:rsidR="00F22012">
          <w:rPr>
            <w:webHidden/>
          </w:rPr>
          <w:t>73</w:t>
        </w:r>
        <w:r w:rsidR="00FA0933">
          <w:rPr>
            <w:webHidden/>
          </w:rPr>
          <w:fldChar w:fldCharType="end"/>
        </w:r>
      </w:hyperlink>
    </w:p>
    <w:p w14:paraId="35F341FA" w14:textId="0252385D" w:rsidR="00FA0933" w:rsidRDefault="00CD5EE5">
      <w:pPr>
        <w:pStyle w:val="TableofFigures"/>
        <w:rPr>
          <w:rFonts w:asciiTheme="minorHAnsi" w:eastAsiaTheme="minorEastAsia" w:hAnsiTheme="minorHAnsi" w:cstheme="minorBidi"/>
          <w:smallCaps w:val="0"/>
          <w:szCs w:val="22"/>
          <w:lang w:eastAsia="en-AU"/>
        </w:rPr>
      </w:pPr>
      <w:hyperlink w:anchor="_Toc75878582" w:history="1">
        <w:r w:rsidR="00FA0933" w:rsidRPr="00CD4783">
          <w:rPr>
            <w:rStyle w:val="Hyperlink"/>
          </w:rPr>
          <w:t>Figure 9</w:t>
        </w:r>
        <w:r w:rsidR="00FA0933" w:rsidRPr="00CD4783">
          <w:rPr>
            <w:rStyle w:val="Hyperlink"/>
          </w:rPr>
          <w:noBreakHyphen/>
          <w:t>4: Features of WHM program that businesses like</w:t>
        </w:r>
        <w:r w:rsidR="00FA0933">
          <w:rPr>
            <w:webHidden/>
          </w:rPr>
          <w:tab/>
        </w:r>
        <w:r w:rsidR="00FA0933">
          <w:rPr>
            <w:webHidden/>
          </w:rPr>
          <w:fldChar w:fldCharType="begin"/>
        </w:r>
        <w:r w:rsidR="00FA0933">
          <w:rPr>
            <w:webHidden/>
          </w:rPr>
          <w:instrText xml:space="preserve"> PAGEREF _Toc75878582 \h </w:instrText>
        </w:r>
        <w:r w:rsidR="00FA0933">
          <w:rPr>
            <w:webHidden/>
          </w:rPr>
        </w:r>
        <w:r w:rsidR="00FA0933">
          <w:rPr>
            <w:webHidden/>
          </w:rPr>
          <w:fldChar w:fldCharType="separate"/>
        </w:r>
        <w:r w:rsidR="00F22012">
          <w:rPr>
            <w:webHidden/>
          </w:rPr>
          <w:t>78</w:t>
        </w:r>
        <w:r w:rsidR="00FA0933">
          <w:rPr>
            <w:webHidden/>
          </w:rPr>
          <w:fldChar w:fldCharType="end"/>
        </w:r>
      </w:hyperlink>
    </w:p>
    <w:p w14:paraId="5036E7F7" w14:textId="3834CFFC" w:rsidR="00FA0933" w:rsidRDefault="00CD5EE5">
      <w:pPr>
        <w:pStyle w:val="TableofFigures"/>
        <w:rPr>
          <w:rFonts w:asciiTheme="minorHAnsi" w:eastAsiaTheme="minorEastAsia" w:hAnsiTheme="minorHAnsi" w:cstheme="minorBidi"/>
          <w:smallCaps w:val="0"/>
          <w:szCs w:val="22"/>
          <w:lang w:eastAsia="en-AU"/>
        </w:rPr>
      </w:pPr>
      <w:hyperlink w:anchor="_Toc75878583" w:history="1">
        <w:r w:rsidR="00FA0933" w:rsidRPr="00CD4783">
          <w:rPr>
            <w:rStyle w:val="Hyperlink"/>
          </w:rPr>
          <w:t>Figure 9</w:t>
        </w:r>
        <w:r w:rsidR="00FA0933" w:rsidRPr="00CD4783">
          <w:rPr>
            <w:rStyle w:val="Hyperlink"/>
          </w:rPr>
          <w:noBreakHyphen/>
          <w:t>5: Features of WHM program that businesses dislike</w:t>
        </w:r>
        <w:r w:rsidR="00FA0933">
          <w:rPr>
            <w:webHidden/>
          </w:rPr>
          <w:tab/>
        </w:r>
        <w:r w:rsidR="00FA0933">
          <w:rPr>
            <w:webHidden/>
          </w:rPr>
          <w:fldChar w:fldCharType="begin"/>
        </w:r>
        <w:r w:rsidR="00FA0933">
          <w:rPr>
            <w:webHidden/>
          </w:rPr>
          <w:instrText xml:space="preserve"> PAGEREF _Toc75878583 \h </w:instrText>
        </w:r>
        <w:r w:rsidR="00FA0933">
          <w:rPr>
            <w:webHidden/>
          </w:rPr>
        </w:r>
        <w:r w:rsidR="00FA0933">
          <w:rPr>
            <w:webHidden/>
          </w:rPr>
          <w:fldChar w:fldCharType="separate"/>
        </w:r>
        <w:r w:rsidR="00F22012">
          <w:rPr>
            <w:webHidden/>
          </w:rPr>
          <w:t>79</w:t>
        </w:r>
        <w:r w:rsidR="00FA0933">
          <w:rPr>
            <w:webHidden/>
          </w:rPr>
          <w:fldChar w:fldCharType="end"/>
        </w:r>
      </w:hyperlink>
    </w:p>
    <w:p w14:paraId="656DC7E5" w14:textId="0FDF6E96" w:rsidR="00FA0933" w:rsidRDefault="00CD5EE5">
      <w:pPr>
        <w:pStyle w:val="TableofFigures"/>
        <w:rPr>
          <w:rFonts w:asciiTheme="minorHAnsi" w:eastAsiaTheme="minorEastAsia" w:hAnsiTheme="minorHAnsi" w:cstheme="minorBidi"/>
          <w:smallCaps w:val="0"/>
          <w:szCs w:val="22"/>
          <w:lang w:eastAsia="en-AU"/>
        </w:rPr>
      </w:pPr>
      <w:hyperlink w:anchor="_Toc75878584" w:history="1">
        <w:r w:rsidR="00FA0933" w:rsidRPr="00CD4783">
          <w:rPr>
            <w:rStyle w:val="Hyperlink"/>
          </w:rPr>
          <w:t>Figure 10</w:t>
        </w:r>
        <w:r w:rsidR="00FA0933" w:rsidRPr="00CD4783">
          <w:rPr>
            <w:rStyle w:val="Hyperlink"/>
          </w:rPr>
          <w:noBreakHyphen/>
          <w:t>1: Business size by year</w:t>
        </w:r>
        <w:r w:rsidR="00FA0933">
          <w:rPr>
            <w:webHidden/>
          </w:rPr>
          <w:tab/>
        </w:r>
        <w:r w:rsidR="00FA0933">
          <w:rPr>
            <w:webHidden/>
          </w:rPr>
          <w:fldChar w:fldCharType="begin"/>
        </w:r>
        <w:r w:rsidR="00FA0933">
          <w:rPr>
            <w:webHidden/>
          </w:rPr>
          <w:instrText xml:space="preserve"> PAGEREF _Toc75878584 \h </w:instrText>
        </w:r>
        <w:r w:rsidR="00FA0933">
          <w:rPr>
            <w:webHidden/>
          </w:rPr>
        </w:r>
        <w:r w:rsidR="00FA0933">
          <w:rPr>
            <w:webHidden/>
          </w:rPr>
          <w:fldChar w:fldCharType="separate"/>
        </w:r>
        <w:r w:rsidR="00F22012">
          <w:rPr>
            <w:webHidden/>
          </w:rPr>
          <w:t>83</w:t>
        </w:r>
        <w:r w:rsidR="00FA0933">
          <w:rPr>
            <w:webHidden/>
          </w:rPr>
          <w:fldChar w:fldCharType="end"/>
        </w:r>
      </w:hyperlink>
    </w:p>
    <w:p w14:paraId="3F9A7BE0" w14:textId="2EFC93BB" w:rsidR="00FA0933" w:rsidRDefault="00CD5EE5">
      <w:pPr>
        <w:pStyle w:val="TableofFigures"/>
        <w:rPr>
          <w:rFonts w:asciiTheme="minorHAnsi" w:eastAsiaTheme="minorEastAsia" w:hAnsiTheme="minorHAnsi" w:cstheme="minorBidi"/>
          <w:smallCaps w:val="0"/>
          <w:szCs w:val="22"/>
          <w:lang w:eastAsia="en-AU"/>
        </w:rPr>
      </w:pPr>
      <w:hyperlink w:anchor="_Toc75878585" w:history="1">
        <w:r w:rsidR="00FA0933" w:rsidRPr="00CD4783">
          <w:rPr>
            <w:rStyle w:val="Hyperlink"/>
          </w:rPr>
          <w:t>Figure 10</w:t>
        </w:r>
        <w:r w:rsidR="00FA0933" w:rsidRPr="00CD4783">
          <w:rPr>
            <w:rStyle w:val="Hyperlink"/>
          </w:rPr>
          <w:noBreakHyphen/>
          <w:t>2: Number of additional high demand positions required, by business size</w:t>
        </w:r>
        <w:r w:rsidR="00FA0933">
          <w:rPr>
            <w:webHidden/>
          </w:rPr>
          <w:tab/>
        </w:r>
        <w:r w:rsidR="00FA0933">
          <w:rPr>
            <w:webHidden/>
          </w:rPr>
          <w:fldChar w:fldCharType="begin"/>
        </w:r>
        <w:r w:rsidR="00FA0933">
          <w:rPr>
            <w:webHidden/>
          </w:rPr>
          <w:instrText xml:space="preserve"> PAGEREF _Toc75878585 \h </w:instrText>
        </w:r>
        <w:r w:rsidR="00FA0933">
          <w:rPr>
            <w:webHidden/>
          </w:rPr>
        </w:r>
        <w:r w:rsidR="00FA0933">
          <w:rPr>
            <w:webHidden/>
          </w:rPr>
          <w:fldChar w:fldCharType="separate"/>
        </w:r>
        <w:r w:rsidR="00F22012">
          <w:rPr>
            <w:webHidden/>
          </w:rPr>
          <w:t>84</w:t>
        </w:r>
        <w:r w:rsidR="00FA0933">
          <w:rPr>
            <w:webHidden/>
          </w:rPr>
          <w:fldChar w:fldCharType="end"/>
        </w:r>
      </w:hyperlink>
    </w:p>
    <w:p w14:paraId="248F187E" w14:textId="0F64E01C" w:rsidR="00FA0933" w:rsidRDefault="00CD5EE5">
      <w:pPr>
        <w:pStyle w:val="TableofFigures"/>
        <w:rPr>
          <w:rFonts w:asciiTheme="minorHAnsi" w:eastAsiaTheme="minorEastAsia" w:hAnsiTheme="minorHAnsi" w:cstheme="minorBidi"/>
          <w:smallCaps w:val="0"/>
          <w:szCs w:val="22"/>
          <w:lang w:eastAsia="en-AU"/>
        </w:rPr>
      </w:pPr>
      <w:hyperlink w:anchor="_Toc75878586" w:history="1">
        <w:r w:rsidR="00FA0933" w:rsidRPr="00CD4783">
          <w:rPr>
            <w:rStyle w:val="Hyperlink"/>
          </w:rPr>
          <w:t>Figure 10</w:t>
        </w:r>
        <w:r w:rsidR="00FA0933" w:rsidRPr="00CD4783">
          <w:rPr>
            <w:rStyle w:val="Hyperlink"/>
          </w:rPr>
          <w:noBreakHyphen/>
          <w:t>3: Number of core and additional positions filled, by industry</w:t>
        </w:r>
        <w:r w:rsidR="00FA0933">
          <w:rPr>
            <w:webHidden/>
          </w:rPr>
          <w:tab/>
        </w:r>
        <w:r w:rsidR="00FA0933">
          <w:rPr>
            <w:webHidden/>
          </w:rPr>
          <w:fldChar w:fldCharType="begin"/>
        </w:r>
        <w:r w:rsidR="00FA0933">
          <w:rPr>
            <w:webHidden/>
          </w:rPr>
          <w:instrText xml:space="preserve"> PAGEREF _Toc75878586 \h </w:instrText>
        </w:r>
        <w:r w:rsidR="00FA0933">
          <w:rPr>
            <w:webHidden/>
          </w:rPr>
        </w:r>
        <w:r w:rsidR="00FA0933">
          <w:rPr>
            <w:webHidden/>
          </w:rPr>
          <w:fldChar w:fldCharType="separate"/>
        </w:r>
        <w:r w:rsidR="00F22012">
          <w:rPr>
            <w:webHidden/>
          </w:rPr>
          <w:t>85</w:t>
        </w:r>
        <w:r w:rsidR="00FA0933">
          <w:rPr>
            <w:webHidden/>
          </w:rPr>
          <w:fldChar w:fldCharType="end"/>
        </w:r>
      </w:hyperlink>
    </w:p>
    <w:p w14:paraId="20AB64A1" w14:textId="25501B25" w:rsidR="00FA0933" w:rsidRDefault="00CD5EE5">
      <w:pPr>
        <w:pStyle w:val="TableofFigures"/>
        <w:rPr>
          <w:rFonts w:asciiTheme="minorHAnsi" w:eastAsiaTheme="minorEastAsia" w:hAnsiTheme="minorHAnsi" w:cstheme="minorBidi"/>
          <w:smallCaps w:val="0"/>
          <w:szCs w:val="22"/>
          <w:lang w:eastAsia="en-AU"/>
        </w:rPr>
      </w:pPr>
      <w:hyperlink w:anchor="_Toc75878587" w:history="1">
        <w:r w:rsidR="00FA0933" w:rsidRPr="00CD4783">
          <w:rPr>
            <w:rStyle w:val="Hyperlink"/>
          </w:rPr>
          <w:t>Figure 10</w:t>
        </w:r>
        <w:r w:rsidR="00FA0933" w:rsidRPr="00CD4783">
          <w:rPr>
            <w:rStyle w:val="Hyperlink"/>
          </w:rPr>
          <w:noBreakHyphen/>
          <w:t>4: Filling of additional positions, by seasonal worker type</w:t>
        </w:r>
        <w:r w:rsidR="00FA0933">
          <w:rPr>
            <w:webHidden/>
          </w:rPr>
          <w:tab/>
        </w:r>
        <w:r w:rsidR="00FA0933">
          <w:rPr>
            <w:webHidden/>
          </w:rPr>
          <w:fldChar w:fldCharType="begin"/>
        </w:r>
        <w:r w:rsidR="00FA0933">
          <w:rPr>
            <w:webHidden/>
          </w:rPr>
          <w:instrText xml:space="preserve"> PAGEREF _Toc75878587 \h </w:instrText>
        </w:r>
        <w:r w:rsidR="00FA0933">
          <w:rPr>
            <w:webHidden/>
          </w:rPr>
        </w:r>
        <w:r w:rsidR="00FA0933">
          <w:rPr>
            <w:webHidden/>
          </w:rPr>
          <w:fldChar w:fldCharType="separate"/>
        </w:r>
        <w:r w:rsidR="00F22012">
          <w:rPr>
            <w:webHidden/>
          </w:rPr>
          <w:t>85</w:t>
        </w:r>
        <w:r w:rsidR="00FA0933">
          <w:rPr>
            <w:webHidden/>
          </w:rPr>
          <w:fldChar w:fldCharType="end"/>
        </w:r>
      </w:hyperlink>
    </w:p>
    <w:p w14:paraId="6A403992" w14:textId="4008C64B" w:rsidR="00FA0933" w:rsidRDefault="00CD5EE5">
      <w:pPr>
        <w:pStyle w:val="TableofFigures"/>
        <w:rPr>
          <w:rFonts w:asciiTheme="minorHAnsi" w:eastAsiaTheme="minorEastAsia" w:hAnsiTheme="minorHAnsi" w:cstheme="minorBidi"/>
          <w:smallCaps w:val="0"/>
          <w:szCs w:val="22"/>
          <w:lang w:eastAsia="en-AU"/>
        </w:rPr>
      </w:pPr>
      <w:hyperlink w:anchor="_Toc75878588" w:history="1">
        <w:r w:rsidR="00FA0933" w:rsidRPr="00CD4783">
          <w:rPr>
            <w:rStyle w:val="Hyperlink"/>
          </w:rPr>
          <w:t>Figure 10</w:t>
        </w:r>
        <w:r w:rsidR="00FA0933" w:rsidRPr="00CD4783">
          <w:rPr>
            <w:rStyle w:val="Hyperlink"/>
          </w:rPr>
          <w:noBreakHyphen/>
          <w:t>5: Ability to recruit workforce in 2020</w:t>
        </w:r>
        <w:r w:rsidR="00FA0933">
          <w:rPr>
            <w:webHidden/>
          </w:rPr>
          <w:tab/>
        </w:r>
        <w:r w:rsidR="00FA0933">
          <w:rPr>
            <w:webHidden/>
          </w:rPr>
          <w:fldChar w:fldCharType="begin"/>
        </w:r>
        <w:r w:rsidR="00FA0933">
          <w:rPr>
            <w:webHidden/>
          </w:rPr>
          <w:instrText xml:space="preserve"> PAGEREF _Toc75878588 \h </w:instrText>
        </w:r>
        <w:r w:rsidR="00FA0933">
          <w:rPr>
            <w:webHidden/>
          </w:rPr>
        </w:r>
        <w:r w:rsidR="00FA0933">
          <w:rPr>
            <w:webHidden/>
          </w:rPr>
          <w:fldChar w:fldCharType="separate"/>
        </w:r>
        <w:r w:rsidR="00F22012">
          <w:rPr>
            <w:webHidden/>
          </w:rPr>
          <w:t>86</w:t>
        </w:r>
        <w:r w:rsidR="00FA0933">
          <w:rPr>
            <w:webHidden/>
          </w:rPr>
          <w:fldChar w:fldCharType="end"/>
        </w:r>
      </w:hyperlink>
    </w:p>
    <w:p w14:paraId="3CED8203" w14:textId="035CD6DF" w:rsidR="00FA0933" w:rsidRDefault="00CD5EE5">
      <w:pPr>
        <w:pStyle w:val="TableofFigures"/>
        <w:rPr>
          <w:rFonts w:asciiTheme="minorHAnsi" w:eastAsiaTheme="minorEastAsia" w:hAnsiTheme="minorHAnsi" w:cstheme="minorBidi"/>
          <w:smallCaps w:val="0"/>
          <w:szCs w:val="22"/>
          <w:lang w:eastAsia="en-AU"/>
        </w:rPr>
      </w:pPr>
      <w:hyperlink w:anchor="_Toc75878589" w:history="1">
        <w:r w:rsidR="00FA0933" w:rsidRPr="00CD4783">
          <w:rPr>
            <w:rStyle w:val="Hyperlink"/>
          </w:rPr>
          <w:t>Figure 10</w:t>
        </w:r>
        <w:r w:rsidR="00FA0933" w:rsidRPr="00CD4783">
          <w:rPr>
            <w:rStyle w:val="Hyperlink"/>
          </w:rPr>
          <w:noBreakHyphen/>
          <w:t>6: Reasons for difficulties recruiting workers in 2020, by location</w:t>
        </w:r>
        <w:r w:rsidR="00FA0933">
          <w:rPr>
            <w:webHidden/>
          </w:rPr>
          <w:tab/>
        </w:r>
        <w:r w:rsidR="00FA0933">
          <w:rPr>
            <w:webHidden/>
          </w:rPr>
          <w:fldChar w:fldCharType="begin"/>
        </w:r>
        <w:r w:rsidR="00FA0933">
          <w:rPr>
            <w:webHidden/>
          </w:rPr>
          <w:instrText xml:space="preserve"> PAGEREF _Toc75878589 \h </w:instrText>
        </w:r>
        <w:r w:rsidR="00FA0933">
          <w:rPr>
            <w:webHidden/>
          </w:rPr>
        </w:r>
        <w:r w:rsidR="00FA0933">
          <w:rPr>
            <w:webHidden/>
          </w:rPr>
          <w:fldChar w:fldCharType="separate"/>
        </w:r>
        <w:r w:rsidR="00F22012">
          <w:rPr>
            <w:webHidden/>
          </w:rPr>
          <w:t>87</w:t>
        </w:r>
        <w:r w:rsidR="00FA0933">
          <w:rPr>
            <w:webHidden/>
          </w:rPr>
          <w:fldChar w:fldCharType="end"/>
        </w:r>
      </w:hyperlink>
    </w:p>
    <w:p w14:paraId="63B19066" w14:textId="7EA17D1C" w:rsidR="00E16B19" w:rsidRPr="0020222C" w:rsidRDefault="00E16B19" w:rsidP="00E16B19">
      <w:pPr>
        <w:rPr>
          <w:highlight w:val="yellow"/>
        </w:rPr>
      </w:pPr>
      <w:r w:rsidRPr="0020222C">
        <w:rPr>
          <w:rFonts w:ascii="Arial" w:eastAsia="Arial" w:hAnsi="Arial" w:cstheme="minorHAnsi"/>
          <w:b/>
          <w:smallCaps/>
          <w:noProof/>
          <w:sz w:val="20"/>
          <w:szCs w:val="20"/>
          <w:highlight w:val="yellow"/>
        </w:rPr>
        <w:fldChar w:fldCharType="end"/>
      </w:r>
    </w:p>
    <w:p w14:paraId="71FC2C87" w14:textId="77777777" w:rsidR="00E16B19" w:rsidRPr="00E52203" w:rsidRDefault="00E16B19" w:rsidP="00E16B19">
      <w:pPr>
        <w:pStyle w:val="TOCHeading"/>
        <w:pageBreakBefore w:val="0"/>
      </w:pPr>
      <w:r w:rsidRPr="00E52203">
        <w:t>List of Tables</w:t>
      </w:r>
    </w:p>
    <w:p w14:paraId="72453C56" w14:textId="77777777" w:rsidR="00E16B19" w:rsidRPr="0020222C" w:rsidRDefault="00E16B19" w:rsidP="00E16B19">
      <w:pPr>
        <w:rPr>
          <w:rFonts w:ascii="Arial" w:eastAsia="Arial" w:hAnsi="Arial" w:cstheme="minorHAnsi"/>
          <w:b/>
          <w:smallCaps/>
          <w:noProof/>
          <w:sz w:val="20"/>
          <w:szCs w:val="20"/>
          <w:highlight w:val="yellow"/>
        </w:rPr>
      </w:pPr>
    </w:p>
    <w:p w14:paraId="05CFF7EF" w14:textId="2C7E2A57" w:rsidR="00FA0933" w:rsidRDefault="00E16B19">
      <w:pPr>
        <w:pStyle w:val="TableofFigures"/>
        <w:rPr>
          <w:rFonts w:asciiTheme="minorHAnsi" w:eastAsiaTheme="minorEastAsia" w:hAnsiTheme="minorHAnsi" w:cstheme="minorBidi"/>
          <w:smallCaps w:val="0"/>
          <w:szCs w:val="22"/>
          <w:lang w:eastAsia="en-AU"/>
        </w:rPr>
      </w:pPr>
      <w:r w:rsidRPr="0020222C">
        <w:rPr>
          <w:rFonts w:cstheme="minorHAnsi"/>
          <w:b/>
          <w:sz w:val="20"/>
          <w:highlight w:val="yellow"/>
        </w:rPr>
        <w:fldChar w:fldCharType="begin"/>
      </w:r>
      <w:r w:rsidRPr="0020222C">
        <w:rPr>
          <w:rFonts w:cstheme="minorHAnsi"/>
          <w:b/>
          <w:sz w:val="20"/>
          <w:highlight w:val="yellow"/>
        </w:rPr>
        <w:instrText xml:space="preserve"> TOC \h \z \c "Table" </w:instrText>
      </w:r>
      <w:r w:rsidRPr="0020222C">
        <w:rPr>
          <w:rFonts w:cstheme="minorHAnsi"/>
          <w:b/>
          <w:sz w:val="20"/>
          <w:highlight w:val="yellow"/>
        </w:rPr>
        <w:fldChar w:fldCharType="separate"/>
      </w:r>
      <w:hyperlink w:anchor="_Toc75878590" w:history="1">
        <w:r w:rsidR="00FA0933" w:rsidRPr="0060766B">
          <w:rPr>
            <w:rStyle w:val="Hyperlink"/>
          </w:rPr>
          <w:t>Table 2</w:t>
        </w:r>
        <w:r w:rsidR="00FA0933" w:rsidRPr="0060766B">
          <w:rPr>
            <w:rStyle w:val="Hyperlink"/>
          </w:rPr>
          <w:noBreakHyphen/>
          <w:t>1: Increases in sub-class 462 visa caps, July 2013 to December 2019</w:t>
        </w:r>
        <w:r w:rsidR="00FA0933">
          <w:rPr>
            <w:webHidden/>
          </w:rPr>
          <w:tab/>
        </w:r>
        <w:r w:rsidR="00FA0933">
          <w:rPr>
            <w:webHidden/>
          </w:rPr>
          <w:fldChar w:fldCharType="begin"/>
        </w:r>
        <w:r w:rsidR="00FA0933">
          <w:rPr>
            <w:webHidden/>
          </w:rPr>
          <w:instrText xml:space="preserve"> PAGEREF _Toc75878590 \h </w:instrText>
        </w:r>
        <w:r w:rsidR="00FA0933">
          <w:rPr>
            <w:webHidden/>
          </w:rPr>
        </w:r>
        <w:r w:rsidR="00FA0933">
          <w:rPr>
            <w:webHidden/>
          </w:rPr>
          <w:fldChar w:fldCharType="separate"/>
        </w:r>
        <w:r w:rsidR="00F22012">
          <w:rPr>
            <w:webHidden/>
          </w:rPr>
          <w:t>7</w:t>
        </w:r>
        <w:r w:rsidR="00FA0933">
          <w:rPr>
            <w:webHidden/>
          </w:rPr>
          <w:fldChar w:fldCharType="end"/>
        </w:r>
      </w:hyperlink>
    </w:p>
    <w:p w14:paraId="16674034" w14:textId="33CCE928" w:rsidR="00FA0933" w:rsidRDefault="00CD5EE5">
      <w:pPr>
        <w:pStyle w:val="TableofFigures"/>
        <w:rPr>
          <w:rFonts w:asciiTheme="minorHAnsi" w:eastAsiaTheme="minorEastAsia" w:hAnsiTheme="minorHAnsi" w:cstheme="minorBidi"/>
          <w:smallCaps w:val="0"/>
          <w:szCs w:val="22"/>
          <w:lang w:eastAsia="en-AU"/>
        </w:rPr>
      </w:pPr>
      <w:hyperlink w:anchor="_Toc75878591" w:history="1">
        <w:r w:rsidR="00FA0933" w:rsidRPr="0060766B">
          <w:rPr>
            <w:rStyle w:val="Hyperlink"/>
          </w:rPr>
          <w:t>Table 2</w:t>
        </w:r>
        <w:r w:rsidR="00FA0933" w:rsidRPr="0060766B">
          <w:rPr>
            <w:rStyle w:val="Hyperlink"/>
          </w:rPr>
          <w:noBreakHyphen/>
          <w:t>2: Number of WHM visa granted by citizenship, since 2013-14</w:t>
        </w:r>
        <w:r w:rsidR="00FA0933">
          <w:rPr>
            <w:webHidden/>
          </w:rPr>
          <w:tab/>
        </w:r>
        <w:r w:rsidR="00FA0933">
          <w:rPr>
            <w:webHidden/>
          </w:rPr>
          <w:fldChar w:fldCharType="begin"/>
        </w:r>
        <w:r w:rsidR="00FA0933">
          <w:rPr>
            <w:webHidden/>
          </w:rPr>
          <w:instrText xml:space="preserve"> PAGEREF _Toc75878591 \h </w:instrText>
        </w:r>
        <w:r w:rsidR="00FA0933">
          <w:rPr>
            <w:webHidden/>
          </w:rPr>
        </w:r>
        <w:r w:rsidR="00FA0933">
          <w:rPr>
            <w:webHidden/>
          </w:rPr>
          <w:fldChar w:fldCharType="separate"/>
        </w:r>
        <w:r w:rsidR="00F22012">
          <w:rPr>
            <w:webHidden/>
          </w:rPr>
          <w:t>10</w:t>
        </w:r>
        <w:r w:rsidR="00FA0933">
          <w:rPr>
            <w:webHidden/>
          </w:rPr>
          <w:fldChar w:fldCharType="end"/>
        </w:r>
      </w:hyperlink>
    </w:p>
    <w:p w14:paraId="1216BD19" w14:textId="08E86BCE" w:rsidR="00FA0933" w:rsidRDefault="00CD5EE5">
      <w:pPr>
        <w:pStyle w:val="TableofFigures"/>
        <w:rPr>
          <w:rFonts w:asciiTheme="minorHAnsi" w:eastAsiaTheme="minorEastAsia" w:hAnsiTheme="minorHAnsi" w:cstheme="minorBidi"/>
          <w:smallCaps w:val="0"/>
          <w:szCs w:val="22"/>
          <w:lang w:eastAsia="en-AU"/>
        </w:rPr>
      </w:pPr>
      <w:hyperlink w:anchor="_Toc75878592" w:history="1">
        <w:r w:rsidR="00FA0933" w:rsidRPr="0060766B">
          <w:rPr>
            <w:rStyle w:val="Hyperlink"/>
          </w:rPr>
          <w:t>Table 4</w:t>
        </w:r>
        <w:r w:rsidR="00FA0933" w:rsidRPr="0060766B">
          <w:rPr>
            <w:rStyle w:val="Hyperlink"/>
          </w:rPr>
          <w:noBreakHyphen/>
          <w:t>1: Distribution by WHM visa subclasses</w:t>
        </w:r>
        <w:r w:rsidR="00FA0933">
          <w:rPr>
            <w:webHidden/>
          </w:rPr>
          <w:tab/>
        </w:r>
        <w:r w:rsidR="00FA0933">
          <w:rPr>
            <w:webHidden/>
          </w:rPr>
          <w:fldChar w:fldCharType="begin"/>
        </w:r>
        <w:r w:rsidR="00FA0933">
          <w:rPr>
            <w:webHidden/>
          </w:rPr>
          <w:instrText xml:space="preserve"> PAGEREF _Toc75878592 \h </w:instrText>
        </w:r>
        <w:r w:rsidR="00FA0933">
          <w:rPr>
            <w:webHidden/>
          </w:rPr>
        </w:r>
        <w:r w:rsidR="00FA0933">
          <w:rPr>
            <w:webHidden/>
          </w:rPr>
          <w:fldChar w:fldCharType="separate"/>
        </w:r>
        <w:r w:rsidR="00F22012">
          <w:rPr>
            <w:webHidden/>
          </w:rPr>
          <w:t>13</w:t>
        </w:r>
        <w:r w:rsidR="00FA0933">
          <w:rPr>
            <w:webHidden/>
          </w:rPr>
          <w:fldChar w:fldCharType="end"/>
        </w:r>
      </w:hyperlink>
    </w:p>
    <w:p w14:paraId="0D611006" w14:textId="5F27784C" w:rsidR="00FA0933" w:rsidRDefault="00CD5EE5">
      <w:pPr>
        <w:pStyle w:val="TableofFigures"/>
        <w:rPr>
          <w:rFonts w:asciiTheme="minorHAnsi" w:eastAsiaTheme="minorEastAsia" w:hAnsiTheme="minorHAnsi" w:cstheme="minorBidi"/>
          <w:smallCaps w:val="0"/>
          <w:szCs w:val="22"/>
          <w:lang w:eastAsia="en-AU"/>
        </w:rPr>
      </w:pPr>
      <w:hyperlink w:anchor="_Toc75878593" w:history="1">
        <w:r w:rsidR="00FA0933" w:rsidRPr="0060766B">
          <w:rPr>
            <w:rStyle w:val="Hyperlink"/>
          </w:rPr>
          <w:t>Table 4</w:t>
        </w:r>
        <w:r w:rsidR="00FA0933" w:rsidRPr="0060766B">
          <w:rPr>
            <w:rStyle w:val="Hyperlink"/>
          </w:rPr>
          <w:noBreakHyphen/>
          <w:t>2: Principal reasons for WHMS coming to Australia</w:t>
        </w:r>
        <w:r w:rsidR="00FA0933">
          <w:rPr>
            <w:webHidden/>
          </w:rPr>
          <w:tab/>
        </w:r>
        <w:r w:rsidR="00FA0933">
          <w:rPr>
            <w:webHidden/>
          </w:rPr>
          <w:fldChar w:fldCharType="begin"/>
        </w:r>
        <w:r w:rsidR="00FA0933">
          <w:rPr>
            <w:webHidden/>
          </w:rPr>
          <w:instrText xml:space="preserve"> PAGEREF _Toc75878593 \h </w:instrText>
        </w:r>
        <w:r w:rsidR="00FA0933">
          <w:rPr>
            <w:webHidden/>
          </w:rPr>
        </w:r>
        <w:r w:rsidR="00FA0933">
          <w:rPr>
            <w:webHidden/>
          </w:rPr>
          <w:fldChar w:fldCharType="separate"/>
        </w:r>
        <w:r w:rsidR="00F22012">
          <w:rPr>
            <w:webHidden/>
          </w:rPr>
          <w:t>13</w:t>
        </w:r>
        <w:r w:rsidR="00FA0933">
          <w:rPr>
            <w:webHidden/>
          </w:rPr>
          <w:fldChar w:fldCharType="end"/>
        </w:r>
      </w:hyperlink>
    </w:p>
    <w:p w14:paraId="5FB06289" w14:textId="70BFC9B8" w:rsidR="00FA0933" w:rsidRDefault="00CD5EE5">
      <w:pPr>
        <w:pStyle w:val="TableofFigures"/>
        <w:rPr>
          <w:rFonts w:asciiTheme="minorHAnsi" w:eastAsiaTheme="minorEastAsia" w:hAnsiTheme="minorHAnsi" w:cstheme="minorBidi"/>
          <w:smallCaps w:val="0"/>
          <w:szCs w:val="22"/>
          <w:lang w:eastAsia="en-AU"/>
        </w:rPr>
      </w:pPr>
      <w:hyperlink w:anchor="_Toc75878594" w:history="1">
        <w:r w:rsidR="00FA0933" w:rsidRPr="0060766B">
          <w:rPr>
            <w:rStyle w:val="Hyperlink"/>
          </w:rPr>
          <w:t>Table 4</w:t>
        </w:r>
        <w:r w:rsidR="00FA0933" w:rsidRPr="0060766B">
          <w:rPr>
            <w:rStyle w:val="Hyperlink"/>
          </w:rPr>
          <w:noBreakHyphen/>
          <w:t>3: Citizenship and sex of WHMs surveyed and total WHM population</w:t>
        </w:r>
        <w:r w:rsidR="00FA0933">
          <w:rPr>
            <w:webHidden/>
          </w:rPr>
          <w:tab/>
        </w:r>
        <w:r w:rsidR="00FA0933">
          <w:rPr>
            <w:webHidden/>
          </w:rPr>
          <w:fldChar w:fldCharType="begin"/>
        </w:r>
        <w:r w:rsidR="00FA0933">
          <w:rPr>
            <w:webHidden/>
          </w:rPr>
          <w:instrText xml:space="preserve"> PAGEREF _Toc75878594 \h </w:instrText>
        </w:r>
        <w:r w:rsidR="00FA0933">
          <w:rPr>
            <w:webHidden/>
          </w:rPr>
        </w:r>
        <w:r w:rsidR="00FA0933">
          <w:rPr>
            <w:webHidden/>
          </w:rPr>
          <w:fldChar w:fldCharType="separate"/>
        </w:r>
        <w:r w:rsidR="00F22012">
          <w:rPr>
            <w:webHidden/>
          </w:rPr>
          <w:t>14</w:t>
        </w:r>
        <w:r w:rsidR="00FA0933">
          <w:rPr>
            <w:webHidden/>
          </w:rPr>
          <w:fldChar w:fldCharType="end"/>
        </w:r>
      </w:hyperlink>
    </w:p>
    <w:p w14:paraId="0CC10FFE" w14:textId="109B3883" w:rsidR="00FA0933" w:rsidRDefault="00CD5EE5">
      <w:pPr>
        <w:pStyle w:val="TableofFigures"/>
        <w:rPr>
          <w:rFonts w:asciiTheme="minorHAnsi" w:eastAsiaTheme="minorEastAsia" w:hAnsiTheme="minorHAnsi" w:cstheme="minorBidi"/>
          <w:smallCaps w:val="0"/>
          <w:szCs w:val="22"/>
          <w:lang w:eastAsia="en-AU"/>
        </w:rPr>
      </w:pPr>
      <w:hyperlink w:anchor="_Toc75878595" w:history="1">
        <w:r w:rsidR="00FA0933" w:rsidRPr="0060766B">
          <w:rPr>
            <w:rStyle w:val="Hyperlink"/>
          </w:rPr>
          <w:t>Table 5</w:t>
        </w:r>
        <w:r w:rsidR="00FA0933" w:rsidRPr="0060766B">
          <w:rPr>
            <w:rStyle w:val="Hyperlink"/>
          </w:rPr>
          <w:noBreakHyphen/>
          <w:t>1: Jobs of WHMs in Australia</w:t>
        </w:r>
        <w:r w:rsidR="00FA0933">
          <w:rPr>
            <w:webHidden/>
          </w:rPr>
          <w:tab/>
        </w:r>
        <w:r w:rsidR="00FA0933">
          <w:rPr>
            <w:webHidden/>
          </w:rPr>
          <w:fldChar w:fldCharType="begin"/>
        </w:r>
        <w:r w:rsidR="00FA0933">
          <w:rPr>
            <w:webHidden/>
          </w:rPr>
          <w:instrText xml:space="preserve"> PAGEREF _Toc75878595 \h </w:instrText>
        </w:r>
        <w:r w:rsidR="00FA0933">
          <w:rPr>
            <w:webHidden/>
          </w:rPr>
        </w:r>
        <w:r w:rsidR="00FA0933">
          <w:rPr>
            <w:webHidden/>
          </w:rPr>
          <w:fldChar w:fldCharType="separate"/>
        </w:r>
        <w:r w:rsidR="00F22012">
          <w:rPr>
            <w:webHidden/>
          </w:rPr>
          <w:t>21</w:t>
        </w:r>
        <w:r w:rsidR="00FA0933">
          <w:rPr>
            <w:webHidden/>
          </w:rPr>
          <w:fldChar w:fldCharType="end"/>
        </w:r>
      </w:hyperlink>
    </w:p>
    <w:p w14:paraId="658F3E2A" w14:textId="2B2AA7CA" w:rsidR="00FA0933" w:rsidRDefault="00CD5EE5">
      <w:pPr>
        <w:pStyle w:val="TableofFigures"/>
        <w:rPr>
          <w:rFonts w:asciiTheme="minorHAnsi" w:eastAsiaTheme="minorEastAsia" w:hAnsiTheme="minorHAnsi" w:cstheme="minorBidi"/>
          <w:smallCaps w:val="0"/>
          <w:szCs w:val="22"/>
          <w:lang w:eastAsia="en-AU"/>
        </w:rPr>
      </w:pPr>
      <w:hyperlink w:anchor="_Toc75878596" w:history="1">
        <w:r w:rsidR="00FA0933" w:rsidRPr="0060766B">
          <w:rPr>
            <w:rStyle w:val="Hyperlink"/>
          </w:rPr>
          <w:t>Table 5</w:t>
        </w:r>
        <w:r w:rsidR="00FA0933" w:rsidRPr="0060766B">
          <w:rPr>
            <w:rStyle w:val="Hyperlink"/>
          </w:rPr>
          <w:noBreakHyphen/>
          <w:t>2: Occupations by state, Top 10 occupations</w:t>
        </w:r>
        <w:r w:rsidR="00FA0933">
          <w:rPr>
            <w:webHidden/>
          </w:rPr>
          <w:tab/>
        </w:r>
        <w:r w:rsidR="00FA0933">
          <w:rPr>
            <w:webHidden/>
          </w:rPr>
          <w:fldChar w:fldCharType="begin"/>
        </w:r>
        <w:r w:rsidR="00FA0933">
          <w:rPr>
            <w:webHidden/>
          </w:rPr>
          <w:instrText xml:space="preserve"> PAGEREF _Toc75878596 \h </w:instrText>
        </w:r>
        <w:r w:rsidR="00FA0933">
          <w:rPr>
            <w:webHidden/>
          </w:rPr>
        </w:r>
        <w:r w:rsidR="00FA0933">
          <w:rPr>
            <w:webHidden/>
          </w:rPr>
          <w:fldChar w:fldCharType="separate"/>
        </w:r>
        <w:r w:rsidR="00F22012">
          <w:rPr>
            <w:webHidden/>
          </w:rPr>
          <w:t>22</w:t>
        </w:r>
        <w:r w:rsidR="00FA0933">
          <w:rPr>
            <w:webHidden/>
          </w:rPr>
          <w:fldChar w:fldCharType="end"/>
        </w:r>
      </w:hyperlink>
    </w:p>
    <w:p w14:paraId="4350C89E" w14:textId="5B7ADA5E" w:rsidR="00FA0933" w:rsidRDefault="00CD5EE5">
      <w:pPr>
        <w:pStyle w:val="TableofFigures"/>
        <w:rPr>
          <w:rFonts w:asciiTheme="minorHAnsi" w:eastAsiaTheme="minorEastAsia" w:hAnsiTheme="minorHAnsi" w:cstheme="minorBidi"/>
          <w:smallCaps w:val="0"/>
          <w:szCs w:val="22"/>
          <w:lang w:eastAsia="en-AU"/>
        </w:rPr>
      </w:pPr>
      <w:hyperlink w:anchor="_Toc75878597" w:history="1">
        <w:r w:rsidR="00FA0933" w:rsidRPr="0060766B">
          <w:rPr>
            <w:rStyle w:val="Hyperlink"/>
          </w:rPr>
          <w:t>Table 5</w:t>
        </w:r>
        <w:r w:rsidR="00FA0933" w:rsidRPr="0060766B">
          <w:rPr>
            <w:rStyle w:val="Hyperlink"/>
          </w:rPr>
          <w:noBreakHyphen/>
          <w:t>3: Industry group by state</w:t>
        </w:r>
        <w:r w:rsidR="00FA0933">
          <w:rPr>
            <w:webHidden/>
          </w:rPr>
          <w:tab/>
        </w:r>
        <w:r w:rsidR="00FA0933">
          <w:rPr>
            <w:webHidden/>
          </w:rPr>
          <w:fldChar w:fldCharType="begin"/>
        </w:r>
        <w:r w:rsidR="00FA0933">
          <w:rPr>
            <w:webHidden/>
          </w:rPr>
          <w:instrText xml:space="preserve"> PAGEREF _Toc75878597 \h </w:instrText>
        </w:r>
        <w:r w:rsidR="00FA0933">
          <w:rPr>
            <w:webHidden/>
          </w:rPr>
        </w:r>
        <w:r w:rsidR="00FA0933">
          <w:rPr>
            <w:webHidden/>
          </w:rPr>
          <w:fldChar w:fldCharType="separate"/>
        </w:r>
        <w:r w:rsidR="00F22012">
          <w:rPr>
            <w:webHidden/>
          </w:rPr>
          <w:t>22</w:t>
        </w:r>
        <w:r w:rsidR="00FA0933">
          <w:rPr>
            <w:webHidden/>
          </w:rPr>
          <w:fldChar w:fldCharType="end"/>
        </w:r>
      </w:hyperlink>
    </w:p>
    <w:p w14:paraId="0D2D3CCE" w14:textId="23A56D00" w:rsidR="00FA0933" w:rsidRDefault="00CD5EE5">
      <w:pPr>
        <w:pStyle w:val="TableofFigures"/>
        <w:rPr>
          <w:rFonts w:asciiTheme="minorHAnsi" w:eastAsiaTheme="minorEastAsia" w:hAnsiTheme="minorHAnsi" w:cstheme="minorBidi"/>
          <w:smallCaps w:val="0"/>
          <w:szCs w:val="22"/>
          <w:lang w:eastAsia="en-AU"/>
        </w:rPr>
      </w:pPr>
      <w:hyperlink w:anchor="_Toc75878598" w:history="1">
        <w:r w:rsidR="00FA0933" w:rsidRPr="0060766B">
          <w:rPr>
            <w:rStyle w:val="Hyperlink"/>
          </w:rPr>
          <w:t>Table 5</w:t>
        </w:r>
        <w:r w:rsidR="00FA0933" w:rsidRPr="0060766B">
          <w:rPr>
            <w:rStyle w:val="Hyperlink"/>
          </w:rPr>
          <w:noBreakHyphen/>
          <w:t>4: Job-seeking methods and their success</w:t>
        </w:r>
        <w:r w:rsidR="00FA0933">
          <w:rPr>
            <w:webHidden/>
          </w:rPr>
          <w:tab/>
        </w:r>
        <w:r w:rsidR="00FA0933">
          <w:rPr>
            <w:webHidden/>
          </w:rPr>
          <w:fldChar w:fldCharType="begin"/>
        </w:r>
        <w:r w:rsidR="00FA0933">
          <w:rPr>
            <w:webHidden/>
          </w:rPr>
          <w:instrText xml:space="preserve"> PAGEREF _Toc75878598 \h </w:instrText>
        </w:r>
        <w:r w:rsidR="00FA0933">
          <w:rPr>
            <w:webHidden/>
          </w:rPr>
        </w:r>
        <w:r w:rsidR="00FA0933">
          <w:rPr>
            <w:webHidden/>
          </w:rPr>
          <w:fldChar w:fldCharType="separate"/>
        </w:r>
        <w:r w:rsidR="00F22012">
          <w:rPr>
            <w:webHidden/>
          </w:rPr>
          <w:t>23</w:t>
        </w:r>
        <w:r w:rsidR="00FA0933">
          <w:rPr>
            <w:webHidden/>
          </w:rPr>
          <w:fldChar w:fldCharType="end"/>
        </w:r>
      </w:hyperlink>
    </w:p>
    <w:p w14:paraId="1B82516D" w14:textId="473021E0" w:rsidR="00FA0933" w:rsidRDefault="00CD5EE5">
      <w:pPr>
        <w:pStyle w:val="TableofFigures"/>
        <w:rPr>
          <w:rFonts w:asciiTheme="minorHAnsi" w:eastAsiaTheme="minorEastAsia" w:hAnsiTheme="minorHAnsi" w:cstheme="minorBidi"/>
          <w:smallCaps w:val="0"/>
          <w:szCs w:val="22"/>
          <w:lang w:eastAsia="en-AU"/>
        </w:rPr>
      </w:pPr>
      <w:hyperlink w:anchor="_Toc75878599" w:history="1">
        <w:r w:rsidR="00FA0933" w:rsidRPr="0060766B">
          <w:rPr>
            <w:rStyle w:val="Hyperlink"/>
          </w:rPr>
          <w:t>Table 5</w:t>
        </w:r>
        <w:r w:rsidR="00FA0933" w:rsidRPr="0060766B">
          <w:rPr>
            <w:rStyle w:val="Hyperlink"/>
          </w:rPr>
          <w:noBreakHyphen/>
          <w:t>5: Hourly rate of pay</w:t>
        </w:r>
        <w:r w:rsidR="00FA0933">
          <w:rPr>
            <w:webHidden/>
          </w:rPr>
          <w:tab/>
        </w:r>
        <w:r w:rsidR="00FA0933">
          <w:rPr>
            <w:webHidden/>
          </w:rPr>
          <w:fldChar w:fldCharType="begin"/>
        </w:r>
        <w:r w:rsidR="00FA0933">
          <w:rPr>
            <w:webHidden/>
          </w:rPr>
          <w:instrText xml:space="preserve"> PAGEREF _Toc75878599 \h </w:instrText>
        </w:r>
        <w:r w:rsidR="00FA0933">
          <w:rPr>
            <w:webHidden/>
          </w:rPr>
        </w:r>
        <w:r w:rsidR="00FA0933">
          <w:rPr>
            <w:webHidden/>
          </w:rPr>
          <w:fldChar w:fldCharType="separate"/>
        </w:r>
        <w:r w:rsidR="00F22012">
          <w:rPr>
            <w:webHidden/>
          </w:rPr>
          <w:t>24</w:t>
        </w:r>
        <w:r w:rsidR="00FA0933">
          <w:rPr>
            <w:webHidden/>
          </w:rPr>
          <w:fldChar w:fldCharType="end"/>
        </w:r>
      </w:hyperlink>
    </w:p>
    <w:p w14:paraId="717A8AFA" w14:textId="693D4BB2" w:rsidR="00FA0933" w:rsidRDefault="00CD5EE5">
      <w:pPr>
        <w:pStyle w:val="TableofFigures"/>
        <w:rPr>
          <w:rFonts w:asciiTheme="minorHAnsi" w:eastAsiaTheme="minorEastAsia" w:hAnsiTheme="minorHAnsi" w:cstheme="minorBidi"/>
          <w:smallCaps w:val="0"/>
          <w:szCs w:val="22"/>
          <w:lang w:eastAsia="en-AU"/>
        </w:rPr>
      </w:pPr>
      <w:hyperlink w:anchor="_Toc75878600" w:history="1">
        <w:r w:rsidR="00FA0933" w:rsidRPr="0060766B">
          <w:rPr>
            <w:rStyle w:val="Hyperlink"/>
          </w:rPr>
          <w:t>Table 5</w:t>
        </w:r>
        <w:r w:rsidR="00FA0933" w:rsidRPr="0060766B">
          <w:rPr>
            <w:rStyle w:val="Hyperlink"/>
          </w:rPr>
          <w:noBreakHyphen/>
          <w:t>6: Hours worked per week</w:t>
        </w:r>
        <w:r w:rsidR="00FA0933">
          <w:rPr>
            <w:webHidden/>
          </w:rPr>
          <w:tab/>
        </w:r>
        <w:r w:rsidR="00FA0933">
          <w:rPr>
            <w:webHidden/>
          </w:rPr>
          <w:fldChar w:fldCharType="begin"/>
        </w:r>
        <w:r w:rsidR="00FA0933">
          <w:rPr>
            <w:webHidden/>
          </w:rPr>
          <w:instrText xml:space="preserve"> PAGEREF _Toc75878600 \h </w:instrText>
        </w:r>
        <w:r w:rsidR="00FA0933">
          <w:rPr>
            <w:webHidden/>
          </w:rPr>
        </w:r>
        <w:r w:rsidR="00FA0933">
          <w:rPr>
            <w:webHidden/>
          </w:rPr>
          <w:fldChar w:fldCharType="separate"/>
        </w:r>
        <w:r w:rsidR="00F22012">
          <w:rPr>
            <w:webHidden/>
          </w:rPr>
          <w:t>29</w:t>
        </w:r>
        <w:r w:rsidR="00FA0933">
          <w:rPr>
            <w:webHidden/>
          </w:rPr>
          <w:fldChar w:fldCharType="end"/>
        </w:r>
      </w:hyperlink>
    </w:p>
    <w:p w14:paraId="0532847F" w14:textId="308AAD3F" w:rsidR="00FA0933" w:rsidRDefault="00CD5EE5">
      <w:pPr>
        <w:pStyle w:val="TableofFigures"/>
        <w:rPr>
          <w:rFonts w:asciiTheme="minorHAnsi" w:eastAsiaTheme="minorEastAsia" w:hAnsiTheme="minorHAnsi" w:cstheme="minorBidi"/>
          <w:smallCaps w:val="0"/>
          <w:szCs w:val="22"/>
          <w:lang w:eastAsia="en-AU"/>
        </w:rPr>
      </w:pPr>
      <w:hyperlink w:anchor="_Toc75878601" w:history="1">
        <w:r w:rsidR="00FA0933" w:rsidRPr="0060766B">
          <w:rPr>
            <w:rStyle w:val="Hyperlink"/>
          </w:rPr>
          <w:t>Table 5</w:t>
        </w:r>
        <w:r w:rsidR="00FA0933" w:rsidRPr="0060766B">
          <w:rPr>
            <w:rStyle w:val="Hyperlink"/>
          </w:rPr>
          <w:noBreakHyphen/>
          <w:t>7: Total pay per job</w:t>
        </w:r>
        <w:r w:rsidR="00FA0933">
          <w:rPr>
            <w:webHidden/>
          </w:rPr>
          <w:tab/>
        </w:r>
        <w:r w:rsidR="00FA0933">
          <w:rPr>
            <w:webHidden/>
          </w:rPr>
          <w:fldChar w:fldCharType="begin"/>
        </w:r>
        <w:r w:rsidR="00FA0933">
          <w:rPr>
            <w:webHidden/>
          </w:rPr>
          <w:instrText xml:space="preserve"> PAGEREF _Toc75878601 \h </w:instrText>
        </w:r>
        <w:r w:rsidR="00FA0933">
          <w:rPr>
            <w:webHidden/>
          </w:rPr>
        </w:r>
        <w:r w:rsidR="00FA0933">
          <w:rPr>
            <w:webHidden/>
          </w:rPr>
          <w:fldChar w:fldCharType="separate"/>
        </w:r>
        <w:r w:rsidR="00F22012">
          <w:rPr>
            <w:webHidden/>
          </w:rPr>
          <w:t>34</w:t>
        </w:r>
        <w:r w:rsidR="00FA0933">
          <w:rPr>
            <w:webHidden/>
          </w:rPr>
          <w:fldChar w:fldCharType="end"/>
        </w:r>
      </w:hyperlink>
    </w:p>
    <w:p w14:paraId="7E11B05C" w14:textId="520F314B" w:rsidR="00FA0933" w:rsidRDefault="00CD5EE5">
      <w:pPr>
        <w:pStyle w:val="TableofFigures"/>
        <w:rPr>
          <w:rFonts w:asciiTheme="minorHAnsi" w:eastAsiaTheme="minorEastAsia" w:hAnsiTheme="minorHAnsi" w:cstheme="minorBidi"/>
          <w:smallCaps w:val="0"/>
          <w:szCs w:val="22"/>
          <w:lang w:eastAsia="en-AU"/>
        </w:rPr>
      </w:pPr>
      <w:hyperlink w:anchor="_Toc75878602" w:history="1">
        <w:r w:rsidR="00FA0933" w:rsidRPr="0060766B">
          <w:rPr>
            <w:rStyle w:val="Hyperlink"/>
          </w:rPr>
          <w:t>Table 5</w:t>
        </w:r>
        <w:r w:rsidR="00FA0933" w:rsidRPr="0060766B">
          <w:rPr>
            <w:rStyle w:val="Hyperlink"/>
          </w:rPr>
          <w:noBreakHyphen/>
          <w:t>8: Average expenditure categories by sex, age group, and Top 10 countries</w:t>
        </w:r>
        <w:r w:rsidR="00FA0933">
          <w:rPr>
            <w:webHidden/>
          </w:rPr>
          <w:tab/>
        </w:r>
        <w:r w:rsidR="00FA0933">
          <w:rPr>
            <w:webHidden/>
          </w:rPr>
          <w:fldChar w:fldCharType="begin"/>
        </w:r>
        <w:r w:rsidR="00FA0933">
          <w:rPr>
            <w:webHidden/>
          </w:rPr>
          <w:instrText xml:space="preserve"> PAGEREF _Toc75878602 \h </w:instrText>
        </w:r>
        <w:r w:rsidR="00FA0933">
          <w:rPr>
            <w:webHidden/>
          </w:rPr>
        </w:r>
        <w:r w:rsidR="00FA0933">
          <w:rPr>
            <w:webHidden/>
          </w:rPr>
          <w:fldChar w:fldCharType="separate"/>
        </w:r>
        <w:r w:rsidR="00F22012">
          <w:rPr>
            <w:webHidden/>
          </w:rPr>
          <w:t>39</w:t>
        </w:r>
        <w:r w:rsidR="00FA0933">
          <w:rPr>
            <w:webHidden/>
          </w:rPr>
          <w:fldChar w:fldCharType="end"/>
        </w:r>
      </w:hyperlink>
    </w:p>
    <w:p w14:paraId="07A7AA6B" w14:textId="3D40500A" w:rsidR="00FA0933" w:rsidRDefault="00CD5EE5">
      <w:pPr>
        <w:pStyle w:val="TableofFigures"/>
        <w:rPr>
          <w:rFonts w:asciiTheme="minorHAnsi" w:eastAsiaTheme="minorEastAsia" w:hAnsiTheme="minorHAnsi" w:cstheme="minorBidi"/>
          <w:smallCaps w:val="0"/>
          <w:szCs w:val="22"/>
          <w:lang w:eastAsia="en-AU"/>
        </w:rPr>
      </w:pPr>
      <w:hyperlink w:anchor="_Toc75878603" w:history="1">
        <w:r w:rsidR="00FA0933" w:rsidRPr="0060766B">
          <w:rPr>
            <w:rStyle w:val="Hyperlink"/>
          </w:rPr>
          <w:t>Table 5</w:t>
        </w:r>
        <w:r w:rsidR="00FA0933" w:rsidRPr="0060766B">
          <w:rPr>
            <w:rStyle w:val="Hyperlink"/>
          </w:rPr>
          <w:noBreakHyphen/>
          <w:t>9: Total expenditure by sex, age group, and Top 10 countries.</w:t>
        </w:r>
        <w:r w:rsidR="00FA0933">
          <w:rPr>
            <w:webHidden/>
          </w:rPr>
          <w:tab/>
        </w:r>
        <w:r w:rsidR="00FA0933">
          <w:rPr>
            <w:webHidden/>
          </w:rPr>
          <w:fldChar w:fldCharType="begin"/>
        </w:r>
        <w:r w:rsidR="00FA0933">
          <w:rPr>
            <w:webHidden/>
          </w:rPr>
          <w:instrText xml:space="preserve"> PAGEREF _Toc75878603 \h </w:instrText>
        </w:r>
        <w:r w:rsidR="00FA0933">
          <w:rPr>
            <w:webHidden/>
          </w:rPr>
        </w:r>
        <w:r w:rsidR="00FA0933">
          <w:rPr>
            <w:webHidden/>
          </w:rPr>
          <w:fldChar w:fldCharType="separate"/>
        </w:r>
        <w:r w:rsidR="00F22012">
          <w:rPr>
            <w:webHidden/>
          </w:rPr>
          <w:t>41</w:t>
        </w:r>
        <w:r w:rsidR="00FA0933">
          <w:rPr>
            <w:webHidden/>
          </w:rPr>
          <w:fldChar w:fldCharType="end"/>
        </w:r>
      </w:hyperlink>
    </w:p>
    <w:p w14:paraId="46417B0D" w14:textId="537054C0" w:rsidR="00FA0933" w:rsidRDefault="00CD5EE5">
      <w:pPr>
        <w:pStyle w:val="TableofFigures"/>
        <w:rPr>
          <w:rFonts w:asciiTheme="minorHAnsi" w:eastAsiaTheme="minorEastAsia" w:hAnsiTheme="minorHAnsi" w:cstheme="minorBidi"/>
          <w:smallCaps w:val="0"/>
          <w:szCs w:val="22"/>
          <w:lang w:eastAsia="en-AU"/>
        </w:rPr>
      </w:pPr>
      <w:hyperlink w:anchor="_Toc75878604" w:history="1">
        <w:r w:rsidR="00FA0933" w:rsidRPr="0060766B">
          <w:rPr>
            <w:rStyle w:val="Hyperlink"/>
          </w:rPr>
          <w:t>Table 6</w:t>
        </w:r>
        <w:r w:rsidR="00FA0933" w:rsidRPr="0060766B">
          <w:rPr>
            <w:rStyle w:val="Hyperlink"/>
          </w:rPr>
          <w:noBreakHyphen/>
          <w:t>1: Duration of accommodation stay, by state or territory</w:t>
        </w:r>
        <w:r w:rsidR="00FA0933">
          <w:rPr>
            <w:webHidden/>
          </w:rPr>
          <w:tab/>
        </w:r>
        <w:r w:rsidR="00FA0933">
          <w:rPr>
            <w:webHidden/>
          </w:rPr>
          <w:fldChar w:fldCharType="begin"/>
        </w:r>
        <w:r w:rsidR="00FA0933">
          <w:rPr>
            <w:webHidden/>
          </w:rPr>
          <w:instrText xml:space="preserve"> PAGEREF _Toc75878604 \h </w:instrText>
        </w:r>
        <w:r w:rsidR="00FA0933">
          <w:rPr>
            <w:webHidden/>
          </w:rPr>
        </w:r>
        <w:r w:rsidR="00FA0933">
          <w:rPr>
            <w:webHidden/>
          </w:rPr>
          <w:fldChar w:fldCharType="separate"/>
        </w:r>
        <w:r w:rsidR="00F22012">
          <w:rPr>
            <w:webHidden/>
          </w:rPr>
          <w:t>50</w:t>
        </w:r>
        <w:r w:rsidR="00FA0933">
          <w:rPr>
            <w:webHidden/>
          </w:rPr>
          <w:fldChar w:fldCharType="end"/>
        </w:r>
      </w:hyperlink>
    </w:p>
    <w:p w14:paraId="591A73B1" w14:textId="42B9390C" w:rsidR="00FA0933" w:rsidRDefault="00CD5EE5">
      <w:pPr>
        <w:pStyle w:val="TableofFigures"/>
        <w:rPr>
          <w:rFonts w:asciiTheme="minorHAnsi" w:eastAsiaTheme="minorEastAsia" w:hAnsiTheme="minorHAnsi" w:cstheme="minorBidi"/>
          <w:smallCaps w:val="0"/>
          <w:szCs w:val="22"/>
          <w:lang w:eastAsia="en-AU"/>
        </w:rPr>
      </w:pPr>
      <w:hyperlink w:anchor="_Toc75878605" w:history="1">
        <w:r w:rsidR="00FA0933" w:rsidRPr="0060766B">
          <w:rPr>
            <w:rStyle w:val="Hyperlink"/>
          </w:rPr>
          <w:t>Table 7</w:t>
        </w:r>
        <w:r w:rsidR="00FA0933" w:rsidRPr="0060766B">
          <w:rPr>
            <w:rStyle w:val="Hyperlink"/>
          </w:rPr>
          <w:noBreakHyphen/>
          <w:t>1: On-the-job training by industry group</w:t>
        </w:r>
        <w:r w:rsidR="00FA0933">
          <w:rPr>
            <w:webHidden/>
          </w:rPr>
          <w:tab/>
        </w:r>
        <w:r w:rsidR="00FA0933">
          <w:rPr>
            <w:webHidden/>
          </w:rPr>
          <w:fldChar w:fldCharType="begin"/>
        </w:r>
        <w:r w:rsidR="00FA0933">
          <w:rPr>
            <w:webHidden/>
          </w:rPr>
          <w:instrText xml:space="preserve"> PAGEREF _Toc75878605 \h </w:instrText>
        </w:r>
        <w:r w:rsidR="00FA0933">
          <w:rPr>
            <w:webHidden/>
          </w:rPr>
        </w:r>
        <w:r w:rsidR="00FA0933">
          <w:rPr>
            <w:webHidden/>
          </w:rPr>
          <w:fldChar w:fldCharType="separate"/>
        </w:r>
        <w:r w:rsidR="00F22012">
          <w:rPr>
            <w:webHidden/>
          </w:rPr>
          <w:t>54</w:t>
        </w:r>
        <w:r w:rsidR="00FA0933">
          <w:rPr>
            <w:webHidden/>
          </w:rPr>
          <w:fldChar w:fldCharType="end"/>
        </w:r>
      </w:hyperlink>
    </w:p>
    <w:p w14:paraId="66D54290" w14:textId="44DB4D38" w:rsidR="00FA0933" w:rsidRDefault="00CD5EE5">
      <w:pPr>
        <w:pStyle w:val="TableofFigures"/>
        <w:rPr>
          <w:rFonts w:asciiTheme="minorHAnsi" w:eastAsiaTheme="minorEastAsia" w:hAnsiTheme="minorHAnsi" w:cstheme="minorBidi"/>
          <w:smallCaps w:val="0"/>
          <w:szCs w:val="22"/>
          <w:lang w:eastAsia="en-AU"/>
        </w:rPr>
      </w:pPr>
      <w:hyperlink w:anchor="_Toc75878606" w:history="1">
        <w:r w:rsidR="00FA0933" w:rsidRPr="0060766B">
          <w:rPr>
            <w:rStyle w:val="Hyperlink"/>
          </w:rPr>
          <w:t>Table 7</w:t>
        </w:r>
        <w:r w:rsidR="00FA0933" w:rsidRPr="0060766B">
          <w:rPr>
            <w:rStyle w:val="Hyperlink"/>
          </w:rPr>
          <w:noBreakHyphen/>
          <w:t>2: Courses WHMs enrolled, by state/territory and sex</w:t>
        </w:r>
        <w:r w:rsidR="00FA0933">
          <w:rPr>
            <w:webHidden/>
          </w:rPr>
          <w:tab/>
        </w:r>
        <w:r w:rsidR="00FA0933">
          <w:rPr>
            <w:webHidden/>
          </w:rPr>
          <w:fldChar w:fldCharType="begin"/>
        </w:r>
        <w:r w:rsidR="00FA0933">
          <w:rPr>
            <w:webHidden/>
          </w:rPr>
          <w:instrText xml:space="preserve"> PAGEREF _Toc75878606 \h </w:instrText>
        </w:r>
        <w:r w:rsidR="00FA0933">
          <w:rPr>
            <w:webHidden/>
          </w:rPr>
        </w:r>
        <w:r w:rsidR="00FA0933">
          <w:rPr>
            <w:webHidden/>
          </w:rPr>
          <w:fldChar w:fldCharType="separate"/>
        </w:r>
        <w:r w:rsidR="00F22012">
          <w:rPr>
            <w:webHidden/>
          </w:rPr>
          <w:t>54</w:t>
        </w:r>
        <w:r w:rsidR="00FA0933">
          <w:rPr>
            <w:webHidden/>
          </w:rPr>
          <w:fldChar w:fldCharType="end"/>
        </w:r>
      </w:hyperlink>
    </w:p>
    <w:p w14:paraId="1E67726B" w14:textId="02026F07" w:rsidR="00FA0933" w:rsidRDefault="00CD5EE5">
      <w:pPr>
        <w:pStyle w:val="TableofFigures"/>
        <w:rPr>
          <w:rFonts w:asciiTheme="minorHAnsi" w:eastAsiaTheme="minorEastAsia" w:hAnsiTheme="minorHAnsi" w:cstheme="minorBidi"/>
          <w:smallCaps w:val="0"/>
          <w:szCs w:val="22"/>
          <w:lang w:eastAsia="en-AU"/>
        </w:rPr>
      </w:pPr>
      <w:hyperlink w:anchor="_Toc75878607" w:history="1">
        <w:r w:rsidR="00FA0933" w:rsidRPr="0060766B">
          <w:rPr>
            <w:rStyle w:val="Hyperlink"/>
          </w:rPr>
          <w:t>Table 7</w:t>
        </w:r>
        <w:r w:rsidR="00FA0933" w:rsidRPr="0060766B">
          <w:rPr>
            <w:rStyle w:val="Hyperlink"/>
          </w:rPr>
          <w:noBreakHyphen/>
          <w:t>3: Average weeks of courses, by sex, age group, and country</w:t>
        </w:r>
        <w:r w:rsidR="00FA0933">
          <w:rPr>
            <w:webHidden/>
          </w:rPr>
          <w:tab/>
        </w:r>
        <w:r w:rsidR="00FA0933">
          <w:rPr>
            <w:webHidden/>
          </w:rPr>
          <w:fldChar w:fldCharType="begin"/>
        </w:r>
        <w:r w:rsidR="00FA0933">
          <w:rPr>
            <w:webHidden/>
          </w:rPr>
          <w:instrText xml:space="preserve"> PAGEREF _Toc75878607 \h </w:instrText>
        </w:r>
        <w:r w:rsidR="00FA0933">
          <w:rPr>
            <w:webHidden/>
          </w:rPr>
        </w:r>
        <w:r w:rsidR="00FA0933">
          <w:rPr>
            <w:webHidden/>
          </w:rPr>
          <w:fldChar w:fldCharType="separate"/>
        </w:r>
        <w:r w:rsidR="00F22012">
          <w:rPr>
            <w:webHidden/>
          </w:rPr>
          <w:t>55</w:t>
        </w:r>
        <w:r w:rsidR="00FA0933">
          <w:rPr>
            <w:webHidden/>
          </w:rPr>
          <w:fldChar w:fldCharType="end"/>
        </w:r>
      </w:hyperlink>
    </w:p>
    <w:p w14:paraId="5A0C798C" w14:textId="019D4020" w:rsidR="00E16B19" w:rsidRPr="0020222C" w:rsidRDefault="00E16B19" w:rsidP="00E16B19">
      <w:pPr>
        <w:rPr>
          <w:rFonts w:ascii="Arial" w:eastAsia="Arial" w:hAnsi="Arial" w:cstheme="minorHAnsi"/>
          <w:b/>
          <w:smallCaps/>
          <w:noProof/>
          <w:sz w:val="20"/>
          <w:szCs w:val="20"/>
          <w:highlight w:val="yellow"/>
        </w:rPr>
      </w:pPr>
      <w:r w:rsidRPr="0020222C">
        <w:rPr>
          <w:rFonts w:ascii="Arial" w:eastAsia="Arial" w:hAnsi="Arial" w:cstheme="minorHAnsi"/>
          <w:b/>
          <w:smallCaps/>
          <w:noProof/>
          <w:sz w:val="20"/>
          <w:szCs w:val="20"/>
          <w:highlight w:val="yellow"/>
        </w:rPr>
        <w:fldChar w:fldCharType="end"/>
      </w:r>
    </w:p>
    <w:p w14:paraId="2B9FE234" w14:textId="77777777" w:rsidR="00E16B19" w:rsidRPr="0020222C" w:rsidRDefault="00E16B19" w:rsidP="00E16B19">
      <w:pPr>
        <w:rPr>
          <w:highlight w:val="yellow"/>
        </w:rPr>
      </w:pPr>
    </w:p>
    <w:p w14:paraId="2FB59F69" w14:textId="77777777" w:rsidR="00E16B19" w:rsidRPr="0020222C" w:rsidRDefault="00E16B19" w:rsidP="00E16B19">
      <w:pPr>
        <w:rPr>
          <w:highlight w:val="yellow"/>
        </w:rPr>
        <w:sectPr w:rsidR="00E16B19" w:rsidRPr="0020222C" w:rsidSect="00524E41">
          <w:footerReference w:type="even" r:id="rId16"/>
          <w:footerReference w:type="default" r:id="rId17"/>
          <w:headerReference w:type="first" r:id="rId18"/>
          <w:pgSz w:w="11906" w:h="16838"/>
          <w:pgMar w:top="1440" w:right="1440" w:bottom="1440" w:left="1440" w:header="708" w:footer="708" w:gutter="0"/>
          <w:pgNumType w:fmt="lowerRoman" w:start="1"/>
          <w:cols w:space="708"/>
          <w:docGrid w:linePitch="360"/>
        </w:sectPr>
      </w:pPr>
    </w:p>
    <w:p w14:paraId="034E88BC" w14:textId="58900157" w:rsidR="003A5A81" w:rsidRPr="00837006" w:rsidRDefault="0014540F" w:rsidP="003A5A81">
      <w:pPr>
        <w:pStyle w:val="Heading1"/>
        <w:numPr>
          <w:ilvl w:val="0"/>
          <w:numId w:val="0"/>
        </w:numPr>
      </w:pPr>
      <w:bookmarkStart w:id="0" w:name="_Toc75878433"/>
      <w:r>
        <w:t>Executive</w:t>
      </w:r>
      <w:r w:rsidR="003A5A81" w:rsidRPr="00837006">
        <w:t xml:space="preserve"> Summary</w:t>
      </w:r>
      <w:bookmarkEnd w:id="0"/>
    </w:p>
    <w:p w14:paraId="611343E3" w14:textId="77777777" w:rsidR="00CA3DEC" w:rsidRDefault="00CA3DEC" w:rsidP="00CA3DEC">
      <w:r w:rsidRPr="00F03B6F">
        <w:t xml:space="preserve">The Working Holiday Maker (WHM) program is a reciprocal program that allows young adults from selected countries </w:t>
      </w:r>
      <w:r>
        <w:t xml:space="preserve">to </w:t>
      </w:r>
      <w:r w:rsidRPr="00F03B6F">
        <w:t>visit Australia for an initial 12-month holiday during which time they are permitted to undertake short-term work and study.</w:t>
      </w:r>
      <w:r>
        <w:t xml:space="preserve"> The program commenced in 1975 for a small number of countries and now includes 44 partner countries from around the world.</w:t>
      </w:r>
    </w:p>
    <w:p w14:paraId="1772EE7C" w14:textId="1CA90325" w:rsidR="003A5A81" w:rsidRDefault="003A5A81" w:rsidP="003A5A81">
      <w:r>
        <w:t>The Australian Industrial Transformation Institute (AITI) was engaged by</w:t>
      </w:r>
      <w:r w:rsidR="046D09F1">
        <w:t xml:space="preserve"> the Australian Trade and Investment Commission</w:t>
      </w:r>
      <w:r>
        <w:t xml:space="preserve"> </w:t>
      </w:r>
      <w:r w:rsidR="339CC5D7">
        <w:t>(</w:t>
      </w:r>
      <w:r>
        <w:t>Austrade</w:t>
      </w:r>
      <w:r w:rsidR="25D7769A">
        <w:t>)</w:t>
      </w:r>
      <w:r>
        <w:t xml:space="preserve"> to examine WHMs perceptions of Australia as a destination to travel, work and study; provide information on the locations and occupations of WHMs; and provide insights into employer expectations of WHM visa holders with regard to their skills and experience in </w:t>
      </w:r>
      <w:r w:rsidR="0051034F">
        <w:t>the agriculture,</w:t>
      </w:r>
      <w:r>
        <w:t xml:space="preserve"> tourism and hospitality</w:t>
      </w:r>
      <w:r w:rsidR="0051034F">
        <w:t xml:space="preserve"> sectors</w:t>
      </w:r>
      <w:r>
        <w:t xml:space="preserve">. The current </w:t>
      </w:r>
      <w:r w:rsidR="00FE30E5">
        <w:t>examination</w:t>
      </w:r>
      <w:r w:rsidR="00197F43">
        <w:t xml:space="preserve"> of WHM and employer perceptions</w:t>
      </w:r>
      <w:r w:rsidR="004824DD">
        <w:t xml:space="preserve"> undertaken </w:t>
      </w:r>
      <w:r w:rsidR="00C441B6">
        <w:t>for the</w:t>
      </w:r>
      <w:r w:rsidR="004824DD">
        <w:t xml:space="preserve"> 2019-2020</w:t>
      </w:r>
      <w:r>
        <w:t xml:space="preserve"> </w:t>
      </w:r>
      <w:r w:rsidR="00C441B6">
        <w:t xml:space="preserve">period </w:t>
      </w:r>
      <w:r>
        <w:t>revisits the scope and impact of the WHM program examined in a</w:t>
      </w:r>
      <w:r w:rsidR="00C441B6">
        <w:t xml:space="preserve">n </w:t>
      </w:r>
      <w:r>
        <w:t>evaluation undertaken for the 2007-</w:t>
      </w:r>
      <w:r w:rsidR="00C16254">
        <w:t>20</w:t>
      </w:r>
      <w:r>
        <w:t xml:space="preserve">08 period </w:t>
      </w:r>
      <w:r>
        <w:fldChar w:fldCharType="begin"/>
      </w:r>
      <w:r>
        <w:instrText xml:space="preserve"> ADDIN EN.CITE &lt;EndNote&gt;&lt;Cite&gt;&lt;Author&gt;Tan&lt;/Author&gt;&lt;Year&gt;2009&lt;/Year&gt;&lt;RecNum&gt;19&lt;/RecNum&gt;&lt;DisplayText&gt;(Tan, Richardson, Lester, Bai, &amp;amp; Sun, 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fldChar w:fldCharType="separate"/>
      </w:r>
      <w:r w:rsidR="0080450E" w:rsidRPr="7EF40915">
        <w:rPr>
          <w:noProof/>
        </w:rPr>
        <w:t>(Tan, Richardson, Lester, Bai, &amp; Sun, 2009)</w:t>
      </w:r>
      <w:r>
        <w:fldChar w:fldCharType="end"/>
      </w:r>
      <w:r>
        <w:t xml:space="preserve">. It utilises a survey of WHMs, a survey of WHM employers and a series of interviews with WHM employers. The report also updates developments in policy and program settings in the intervening period, with special reference to the impact of COVID-19 which struck towards the end of the </w:t>
      </w:r>
      <w:r w:rsidR="00984393">
        <w:t>current study</w:t>
      </w:r>
      <w:r>
        <w:t>.</w:t>
      </w:r>
    </w:p>
    <w:p w14:paraId="2D0DCAE3" w14:textId="77777777"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Australia has strong appeal for WHMs as a safe place to visit with valuable work opportunities</w:t>
      </w:r>
    </w:p>
    <w:p w14:paraId="052D2C14" w14:textId="77777777" w:rsidR="003A5A81" w:rsidRDefault="003A5A81" w:rsidP="003A5A81">
      <w:r w:rsidRPr="0071638A">
        <w:t>A total of 21,315 WHMs</w:t>
      </w:r>
      <w:r>
        <w:t xml:space="preserve"> from 41 countries</w:t>
      </w:r>
      <w:r w:rsidRPr="0071638A">
        <w:t xml:space="preserve"> participated in the 2019-2020 WHM survey, nine in ten of whom were on the 417 visa and three quarters of whom were on their first visa. </w:t>
      </w:r>
      <w:r>
        <w:t xml:space="preserve">Interestingly, the proportion of WHMs holding university degrees or higher has increased by more than 10 percentage points compared with the 2007-08 evaluation findings. </w:t>
      </w:r>
      <w:r w:rsidRPr="0071638A">
        <w:t xml:space="preserve">WHMs predominantly came to Australia for travel, although the opportunity to work was also a strong motivator. Participants also viewed Australia as a good place to improve English language competency and </w:t>
      </w:r>
      <w:r>
        <w:t xml:space="preserve">perceived it </w:t>
      </w:r>
      <w:r w:rsidRPr="0071638A">
        <w:t>as a safe place to visit.</w:t>
      </w:r>
      <w:r>
        <w:t xml:space="preserve"> WHMs stayed an average of 9.4 months in Australia.</w:t>
      </w:r>
    </w:p>
    <w:p w14:paraId="3100A4ED" w14:textId="411CECC6"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WHMs gravitate to Queensland, New South Wales and Victoria for work, mainly for agriculture jobs, but hospitality</w:t>
      </w:r>
      <w:r w:rsidR="0068642C">
        <w:rPr>
          <w:color w:val="1A5D9B" w:themeColor="accent1"/>
        </w:rPr>
        <w:t xml:space="preserve"> and</w:t>
      </w:r>
      <w:r w:rsidRPr="00E26390">
        <w:rPr>
          <w:color w:val="1A5D9B" w:themeColor="accent1"/>
        </w:rPr>
        <w:t xml:space="preserve"> tourism</w:t>
      </w:r>
      <w:r w:rsidR="009472F9">
        <w:rPr>
          <w:color w:val="1A5D9B" w:themeColor="accent1"/>
        </w:rPr>
        <w:t xml:space="preserve"> jobs</w:t>
      </w:r>
      <w:r w:rsidR="00742F5D">
        <w:rPr>
          <w:color w:val="1A5D9B" w:themeColor="accent1"/>
        </w:rPr>
        <w:t xml:space="preserve"> also figur</w:t>
      </w:r>
      <w:r w:rsidR="009472F9">
        <w:rPr>
          <w:color w:val="1A5D9B" w:themeColor="accent1"/>
        </w:rPr>
        <w:t>e</w:t>
      </w:r>
      <w:r w:rsidR="00742F5D">
        <w:rPr>
          <w:color w:val="1A5D9B" w:themeColor="accent1"/>
        </w:rPr>
        <w:t xml:space="preserve"> strongly</w:t>
      </w:r>
    </w:p>
    <w:p w14:paraId="00C3F1A4" w14:textId="3ACD05CC" w:rsidR="003A5A81" w:rsidRDefault="00A97A6C" w:rsidP="003A5A81">
      <w:r>
        <w:t xml:space="preserve">WHMs </w:t>
      </w:r>
      <w:r w:rsidR="008D2AD9">
        <w:t xml:space="preserve">who </w:t>
      </w:r>
      <w:r>
        <w:t>provid</w:t>
      </w:r>
      <w:r w:rsidR="008D2AD9">
        <w:t>ed</w:t>
      </w:r>
      <w:r>
        <w:t xml:space="preserve"> information about </w:t>
      </w:r>
      <w:r w:rsidR="00D0472F">
        <w:t>employment</w:t>
      </w:r>
      <w:r w:rsidR="003A5A81">
        <w:t xml:space="preserve"> in Australia, work</w:t>
      </w:r>
      <w:r w:rsidR="008D2AD9">
        <w:t>ed</w:t>
      </w:r>
      <w:r w:rsidR="003A5A81">
        <w:t xml:space="preserve"> </w:t>
      </w:r>
      <w:r w:rsidR="006F0F4B">
        <w:t>an</w:t>
      </w:r>
      <w:r w:rsidR="003A5A81">
        <w:t xml:space="preserve"> average </w:t>
      </w:r>
      <w:r w:rsidR="006F0F4B">
        <w:t xml:space="preserve">of </w:t>
      </w:r>
      <w:r w:rsidR="003A5A81">
        <w:t xml:space="preserve">two jobs. The majority of jobs were undertaken in Queensland (26.8%), NSW (27.3%) and Victoria (22.2%), with fewer jobs in </w:t>
      </w:r>
      <w:r w:rsidR="003A5A81">
        <w:rPr>
          <w:lang w:eastAsia="en-AU"/>
        </w:rPr>
        <w:t>South Australia (4.0%), Tasmania</w:t>
      </w:r>
      <w:r w:rsidR="003A5A81" w:rsidRPr="009301E0">
        <w:rPr>
          <w:lang w:eastAsia="en-AU"/>
        </w:rPr>
        <w:t xml:space="preserve"> </w:t>
      </w:r>
      <w:r w:rsidR="003A5A81">
        <w:rPr>
          <w:lang w:eastAsia="en-AU"/>
        </w:rPr>
        <w:t>(3.9%), Northern Territory (3.1%) and the Australian Capital Territory (0.8%)</w:t>
      </w:r>
      <w:r w:rsidR="003A5A81">
        <w:t xml:space="preserve">. </w:t>
      </w:r>
    </w:p>
    <w:p w14:paraId="7819D660" w14:textId="41207C88" w:rsidR="003A5A81" w:rsidRDefault="003A5A81" w:rsidP="003A5A81">
      <w:r>
        <w:t>Two in five (39.9%) WHM jobs were in agriculture and transport, which accounted for the highest proportion of jobs in Tasmania, South Australia, Queensland, Western Australia and Victoria. Three in ten (29.6%) WHM jobs were in hospitality</w:t>
      </w:r>
      <w:r w:rsidR="00165D5C">
        <w:t xml:space="preserve"> and</w:t>
      </w:r>
      <w:r>
        <w:t xml:space="preserve"> tourism (notably comprising 46.6% of jobs</w:t>
      </w:r>
      <w:r w:rsidR="00F00E4E">
        <w:t xml:space="preserve"> in the Northern Territory</w:t>
      </w:r>
      <w:r>
        <w:t xml:space="preserve">). The remainder of jobs were spread across other </w:t>
      </w:r>
      <w:r w:rsidR="00CB0F04">
        <w:t>sectors</w:t>
      </w:r>
      <w:r>
        <w:t xml:space="preserve"> such as construction and mining, sales and marketing and others. The most common jobs reported were crop farm worker (21.8%), waiter (8.5%) and bar attendant/barista (6.3%). </w:t>
      </w:r>
    </w:p>
    <w:p w14:paraId="12420AC1" w14:textId="203DBF14" w:rsidR="003A5A81" w:rsidRPr="00E26390" w:rsidRDefault="003A5A81" w:rsidP="00E26390">
      <w:pPr>
        <w:pStyle w:val="IntenseQuote"/>
        <w:spacing w:before="120" w:after="60"/>
        <w:ind w:left="0" w:right="862"/>
        <w:jc w:val="left"/>
        <w:rPr>
          <w:color w:val="1A5D9B" w:themeColor="accent1"/>
        </w:rPr>
      </w:pPr>
      <w:r w:rsidRPr="004F6D77">
        <w:rPr>
          <w:color w:val="1A5D9B" w:themeColor="accent1"/>
        </w:rPr>
        <w:t>The average hourly rate for WHM jobs in Australia in 2019-</w:t>
      </w:r>
      <w:r w:rsidR="00784964">
        <w:rPr>
          <w:color w:val="1A5D9B" w:themeColor="accent1"/>
        </w:rPr>
        <w:t>20</w:t>
      </w:r>
      <w:r w:rsidRPr="004F6D77">
        <w:rPr>
          <w:color w:val="1A5D9B" w:themeColor="accent1"/>
        </w:rPr>
        <w:t>20 was $22.15 per hour</w:t>
      </w:r>
      <w:r w:rsidRPr="00E26390">
        <w:rPr>
          <w:color w:val="1A5D9B" w:themeColor="accent1"/>
        </w:rPr>
        <w:t xml:space="preserve">. On average WHMs worked 15 weeks per job and were paid $13,053 per job in Australia. </w:t>
      </w:r>
    </w:p>
    <w:p w14:paraId="1DEE1FEA" w14:textId="66CD6632" w:rsidR="00500F71" w:rsidRDefault="59CEE552" w:rsidP="00500F71">
      <w:r>
        <w:t>On</w:t>
      </w:r>
      <w:r w:rsidR="00500F71">
        <w:t xml:space="preserve"> 1 July 2020, the national minimum wage was $19.84 per hour ($753.80 per week for 38 hours).  The average hourly rate for WHM jobs in Australia in 2019-2020 was $22.15 per hour, rising to $22.66 when excluding those who reported receiving $0 per hour. </w:t>
      </w:r>
    </w:p>
    <w:p w14:paraId="33DE921D" w14:textId="70D66840" w:rsidR="003A5A81" w:rsidRDefault="003A5A81" w:rsidP="003A5A81">
      <w:r>
        <w:t>Most WHM</w:t>
      </w:r>
      <w:r w:rsidR="4F7A195E">
        <w:t>s</w:t>
      </w:r>
      <w:r>
        <w:t xml:space="preserve"> were paid between $15 and $30 per hour. Two in five (43.5%) WHM jobs paid between $20 and $25 per hour; 19.8% of jobs paid between $15 and $20 per hour; 16.7% of jobs paid between $25 and $30 per hour. </w:t>
      </w:r>
    </w:p>
    <w:p w14:paraId="37B28CB3" w14:textId="2DBDF042" w:rsidR="004C04EA" w:rsidRDefault="003A5A81" w:rsidP="003A5A81">
      <w:r>
        <w:t xml:space="preserve">Nationally, 14% of jobs paid less than $15 per hour; </w:t>
      </w:r>
      <w:r w:rsidR="004B795B">
        <w:t xml:space="preserve">with females twice as likely as males to receive this hourly pay rate. </w:t>
      </w:r>
      <w:r w:rsidR="00C10C89">
        <w:t>H</w:t>
      </w:r>
      <w:r>
        <w:t>owever</w:t>
      </w:r>
      <w:r w:rsidR="00C10C89">
        <w:t xml:space="preserve">, this rate is likely to </w:t>
      </w:r>
      <w:r w:rsidR="00206D59">
        <w:t xml:space="preserve">account for jobs such as </w:t>
      </w:r>
      <w:r>
        <w:t>nannies</w:t>
      </w:r>
      <w:r w:rsidR="002F3F71">
        <w:t xml:space="preserve"> and </w:t>
      </w:r>
      <w:r>
        <w:t xml:space="preserve">au pairs where food and board are </w:t>
      </w:r>
      <w:r w:rsidR="00AB68A8">
        <w:t xml:space="preserve">generally </w:t>
      </w:r>
      <w:r>
        <w:t>offset against wages. Similar arrangements also apply in remote</w:t>
      </w:r>
      <w:r w:rsidR="00080131">
        <w:t xml:space="preserve"> and </w:t>
      </w:r>
      <w:r>
        <w:t xml:space="preserve">isolated settings, for example pastoral agribusiness and wilderness holiday resorts. </w:t>
      </w:r>
    </w:p>
    <w:p w14:paraId="126F0020" w14:textId="65FB2628" w:rsidR="00617A04" w:rsidRDefault="00617A04" w:rsidP="00617A04">
      <w:r>
        <w:t>Most WHMs with a job worked the equivalent of full-time, indicating the value of this workforce</w:t>
      </w:r>
      <w:r w:rsidR="007878BC">
        <w:t xml:space="preserve"> to Australian employers</w:t>
      </w:r>
      <w:r>
        <w:t xml:space="preserve">. One in five (20.1%) jobs exceeded 40 hours per week, with this most often the case in the Northern Territory and Western Australia. </w:t>
      </w:r>
      <w:r w:rsidRPr="00530000">
        <w:t xml:space="preserve">At industry level, WHMs in </w:t>
      </w:r>
      <w:r>
        <w:t>tourism and hospitality</w:t>
      </w:r>
      <w:r w:rsidRPr="00530000">
        <w:t xml:space="preserve"> (</w:t>
      </w:r>
      <w:r>
        <w:t xml:space="preserve">e.g. </w:t>
      </w:r>
      <w:r w:rsidRPr="00530000">
        <w:t xml:space="preserve">waiters, bar attendants/baristas, kitchen hands) worked fewer hours on average than WHMs in </w:t>
      </w:r>
      <w:r>
        <w:t>agriculture and transport</w:t>
      </w:r>
      <w:r w:rsidRPr="00530000">
        <w:t>. Building labourer</w:t>
      </w:r>
      <w:r>
        <w:t xml:space="preserve"> WHMs</w:t>
      </w:r>
      <w:r w:rsidRPr="00530000">
        <w:t xml:space="preserve"> worked the longest hours</w:t>
      </w:r>
      <w:r>
        <w:t xml:space="preserve">, </w:t>
      </w:r>
      <w:r w:rsidRPr="00530000">
        <w:t>39.8 h</w:t>
      </w:r>
      <w:r>
        <w:t>ours per week on average.</w:t>
      </w:r>
    </w:p>
    <w:p w14:paraId="57CC935B" w14:textId="4EFFFB25" w:rsidR="004C04EA" w:rsidRPr="00E26390" w:rsidRDefault="00DD38F3" w:rsidP="003724DB">
      <w:pPr>
        <w:pStyle w:val="IntenseQuote"/>
        <w:keepNext/>
        <w:keepLines/>
        <w:spacing w:before="120" w:after="60"/>
        <w:ind w:left="0" w:right="862"/>
        <w:jc w:val="left"/>
        <w:rPr>
          <w:color w:val="1A5D9B" w:themeColor="accent1"/>
        </w:rPr>
      </w:pPr>
      <w:r>
        <w:rPr>
          <w:color w:val="1A5D9B" w:themeColor="accent1"/>
        </w:rPr>
        <w:t xml:space="preserve">WHMs </w:t>
      </w:r>
      <w:r w:rsidR="0075697A">
        <w:rPr>
          <w:color w:val="1A5D9B" w:themeColor="accent1"/>
        </w:rPr>
        <w:t>worked</w:t>
      </w:r>
      <w:r w:rsidR="00F55FD4">
        <w:rPr>
          <w:color w:val="1A5D9B" w:themeColor="accent1"/>
        </w:rPr>
        <w:t xml:space="preserve"> around three months on average per job. </w:t>
      </w:r>
      <w:r w:rsidR="004C04EA" w:rsidRPr="00E26390">
        <w:rPr>
          <w:color w:val="1A5D9B" w:themeColor="accent1"/>
        </w:rPr>
        <w:t>Meat, chicken and fish process workers worked the longest duration (19.6 weeks) and earned the highest average pay per job ($17,</w:t>
      </w:r>
      <w:r w:rsidR="00C564CE">
        <w:rPr>
          <w:color w:val="1A5D9B" w:themeColor="accent1"/>
        </w:rPr>
        <w:t>700</w:t>
      </w:r>
      <w:r w:rsidR="004C04EA" w:rsidRPr="00E26390">
        <w:rPr>
          <w:color w:val="1A5D9B" w:themeColor="accent1"/>
        </w:rPr>
        <w:t>)</w:t>
      </w:r>
    </w:p>
    <w:p w14:paraId="5E4F57BE" w14:textId="77777777" w:rsidR="003A5A81" w:rsidRDefault="003A5A81" w:rsidP="003A5A81">
      <w:r w:rsidRPr="00E27CA9">
        <w:t>WHMs work</w:t>
      </w:r>
      <w:r>
        <w:t>ed</w:t>
      </w:r>
      <w:r w:rsidRPr="00E27CA9">
        <w:t xml:space="preserve"> 15 weeks per job</w:t>
      </w:r>
      <w:r w:rsidRPr="00530000">
        <w:t xml:space="preserve"> </w:t>
      </w:r>
      <w:r>
        <w:t>on</w:t>
      </w:r>
      <w:r w:rsidRPr="00E27CA9">
        <w:t xml:space="preserve"> average</w:t>
      </w:r>
      <w:r>
        <w:t>. A</w:t>
      </w:r>
      <w:r w:rsidRPr="00E27CA9">
        <w:t xml:space="preserve"> third (34.4%) of jobs </w:t>
      </w:r>
      <w:r>
        <w:t xml:space="preserve">were </w:t>
      </w:r>
      <w:r w:rsidRPr="00E27CA9">
        <w:t>held for between three and six months (13 to 26 weeks)</w:t>
      </w:r>
      <w:r>
        <w:t>. In terms of work intensity, WHMs in agriculture worked higher average weekly hours for fewer weeks compared with WHMs in tourism and hospitality who worked fewer average weekly hours for more weeks in total.</w:t>
      </w:r>
    </w:p>
    <w:p w14:paraId="24E5FCC6" w14:textId="11C154B3" w:rsidR="003A5A81" w:rsidRPr="00DF534A" w:rsidRDefault="003A5A81" w:rsidP="003A5A81">
      <w:r>
        <w:t>On average WHMs were paid $13,0</w:t>
      </w:r>
      <w:r w:rsidR="00DD13B2">
        <w:t>00</w:t>
      </w:r>
      <w:r>
        <w:t xml:space="preserve"> per Australian job. In New South Wales, Western Australia and Victoria WHMs earnt around $14,000 per job</w:t>
      </w:r>
      <w:r w:rsidR="3A1A1D91">
        <w:t>,</w:t>
      </w:r>
      <w:r>
        <w:t xml:space="preserve"> noting that the amount earned per job is related to length of time spent in the job and WHMs tended to spend more time in jobs in these states. Male WHMs were paid almost $2,000 more per job than females ($14,1</w:t>
      </w:r>
      <w:r w:rsidR="00DD13B2">
        <w:t>00</w:t>
      </w:r>
      <w:r>
        <w:t xml:space="preserve"> and $12,</w:t>
      </w:r>
      <w:r w:rsidR="00DD13B2">
        <w:t>400</w:t>
      </w:r>
      <w:r>
        <w:t xml:space="preserve"> respectively). Meat, chicken and fish process workers worked the longest duration (19.6 weeks) and earned the highest average pay per job ($17,</w:t>
      </w:r>
      <w:r w:rsidR="00DD13B2">
        <w:t>700</w:t>
      </w:r>
      <w:r>
        <w:t>). Crop farm workers earned $9,</w:t>
      </w:r>
      <w:r w:rsidR="00DD13B2">
        <w:t>600</w:t>
      </w:r>
      <w:r>
        <w:t xml:space="preserve"> per job for 11.8 weeks work.</w:t>
      </w:r>
    </w:p>
    <w:p w14:paraId="261F0F39" w14:textId="41402D7B"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WHMs</w:t>
      </w:r>
      <w:r w:rsidR="00500741">
        <w:rPr>
          <w:color w:val="1A5D9B" w:themeColor="accent1"/>
        </w:rPr>
        <w:t xml:space="preserve"> spent on average $65</w:t>
      </w:r>
      <w:r w:rsidR="00110972">
        <w:rPr>
          <w:color w:val="1A5D9B" w:themeColor="accent1"/>
        </w:rPr>
        <w:t>8 per week</w:t>
      </w:r>
      <w:r w:rsidR="00DF632C">
        <w:rPr>
          <w:color w:val="1A5D9B" w:themeColor="accent1"/>
        </w:rPr>
        <w:t>, for an average total of $26,</w:t>
      </w:r>
      <w:r w:rsidR="008A7BB0">
        <w:rPr>
          <w:color w:val="1A5D9B" w:themeColor="accent1"/>
        </w:rPr>
        <w:t>787 per stay</w:t>
      </w:r>
    </w:p>
    <w:p w14:paraId="1097C8A3" w14:textId="34AF2739" w:rsidR="003A5A81" w:rsidRDefault="003A5A81" w:rsidP="003A5A81">
      <w:pPr>
        <w:spacing w:before="80"/>
      </w:pPr>
      <w:r>
        <w:t>The average weekly expenditure of a WHM was estimated to be $658. Given an average duration of 9.4 months, the average total expenditure of a WHM (aggregated over the duration of their stay) was estimated to be $26,</w:t>
      </w:r>
      <w:r w:rsidR="00785F95">
        <w:t>800</w:t>
      </w:r>
      <w:r>
        <w:t>. Accommodation was identified as</w:t>
      </w:r>
      <w:r w:rsidRPr="00CB4A6E">
        <w:t xml:space="preserve"> the largest expenditure category for WHMs with average total expenditure of $8,0</w:t>
      </w:r>
      <w:r w:rsidR="00785F95">
        <w:t>00</w:t>
      </w:r>
      <w:r w:rsidRPr="00CB4A6E">
        <w:t xml:space="preserve">. The next largest categories were </w:t>
      </w:r>
      <w:r>
        <w:t>f</w:t>
      </w:r>
      <w:r w:rsidRPr="00CB4A6E">
        <w:t xml:space="preserve">ood and </w:t>
      </w:r>
      <w:r>
        <w:t>d</w:t>
      </w:r>
      <w:r w:rsidRPr="00CB4A6E">
        <w:t>rink</w:t>
      </w:r>
      <w:r>
        <w:t xml:space="preserve"> (</w:t>
      </w:r>
      <w:r w:rsidRPr="00CB4A6E">
        <w:t>$4,6</w:t>
      </w:r>
      <w:r w:rsidR="00785F95">
        <w:t>00</w:t>
      </w:r>
      <w:r>
        <w:t>) followed by</w:t>
      </w:r>
      <w:r w:rsidRPr="00CB4A6E">
        <w:t xml:space="preserve"> </w:t>
      </w:r>
      <w:r>
        <w:t>e</w:t>
      </w:r>
      <w:r w:rsidRPr="00CB4A6E">
        <w:t xml:space="preserve">ntertainment </w:t>
      </w:r>
      <w:r>
        <w:t>(</w:t>
      </w:r>
      <w:r w:rsidRPr="00CB4A6E">
        <w:t>$3,</w:t>
      </w:r>
      <w:r w:rsidR="00785F95">
        <w:t>300</w:t>
      </w:r>
      <w:r>
        <w:t>)</w:t>
      </w:r>
      <w:r w:rsidRPr="00CB4A6E">
        <w:t>.</w:t>
      </w:r>
    </w:p>
    <w:p w14:paraId="37537B5C" w14:textId="78238596" w:rsidR="00AC696A" w:rsidRDefault="003A5A81" w:rsidP="003A5A81">
      <w:r>
        <w:t>WHMs working</w:t>
      </w:r>
      <w:r w:rsidRPr="002B48B4">
        <w:t xml:space="preserve"> in the construction and mining industry </w:t>
      </w:r>
      <w:r>
        <w:t>spent</w:t>
      </w:r>
      <w:r w:rsidRPr="002B48B4">
        <w:t xml:space="preserve"> the most</w:t>
      </w:r>
      <w:r>
        <w:t xml:space="preserve"> (</w:t>
      </w:r>
      <w:r w:rsidRPr="002B48B4">
        <w:t>$31,7</w:t>
      </w:r>
      <w:r w:rsidR="00785F95">
        <w:t>00</w:t>
      </w:r>
      <w:r>
        <w:t xml:space="preserve"> on average). T</w:t>
      </w:r>
      <w:r w:rsidRPr="002B48B4">
        <w:t>hos</w:t>
      </w:r>
      <w:r>
        <w:t>e</w:t>
      </w:r>
      <w:r w:rsidRPr="002B48B4">
        <w:t xml:space="preserve"> in </w:t>
      </w:r>
      <w:r>
        <w:t>e</w:t>
      </w:r>
      <w:r w:rsidRPr="002B48B4">
        <w:t xml:space="preserve">ducation </w:t>
      </w:r>
      <w:r>
        <w:t>spent t</w:t>
      </w:r>
      <w:r w:rsidRPr="002B48B4">
        <w:t>he least</w:t>
      </w:r>
      <w:r>
        <w:t xml:space="preserve"> ($21,</w:t>
      </w:r>
      <w:r w:rsidR="00785F95">
        <w:t>600</w:t>
      </w:r>
      <w:r>
        <w:t xml:space="preserve"> on average). WHMs who reported education as their industry were most likely to be au pairs, explaining the low expenditure. </w:t>
      </w:r>
      <w:r w:rsidRPr="002B48B4">
        <w:t xml:space="preserve"> </w:t>
      </w:r>
      <w:r w:rsidR="00AC696A">
        <w:t>Where data was available, respondents indicated they spent more than they</w:t>
      </w:r>
      <w:r w:rsidR="003B434C" w:rsidRPr="002A00B3">
        <w:t xml:space="preserve"> received in income</w:t>
      </w:r>
      <w:r w:rsidR="003B434C">
        <w:t xml:space="preserve"> during their stay. </w:t>
      </w:r>
    </w:p>
    <w:p w14:paraId="4BE6D58E" w14:textId="55E3E76B" w:rsidR="003A5A81" w:rsidRPr="00E26390" w:rsidRDefault="00E22EB8" w:rsidP="00E26390">
      <w:pPr>
        <w:pStyle w:val="IntenseQuote"/>
        <w:spacing w:before="120" w:after="60"/>
        <w:ind w:left="0" w:right="862"/>
        <w:jc w:val="left"/>
        <w:rPr>
          <w:color w:val="1A5D9B" w:themeColor="accent1"/>
        </w:rPr>
      </w:pPr>
      <w:r>
        <w:rPr>
          <w:color w:val="1A5D9B" w:themeColor="accent1"/>
        </w:rPr>
        <w:t>New South Wales</w:t>
      </w:r>
      <w:r w:rsidR="00402384">
        <w:rPr>
          <w:color w:val="1A5D9B" w:themeColor="accent1"/>
        </w:rPr>
        <w:t>, Queensland and Victoria were the preferred destinations to visit</w:t>
      </w:r>
      <w:r w:rsidR="008C144A">
        <w:rPr>
          <w:color w:val="1A5D9B" w:themeColor="accent1"/>
        </w:rPr>
        <w:t xml:space="preserve"> and backpackers/hostels were the </w:t>
      </w:r>
      <w:r w:rsidR="00587CF1">
        <w:rPr>
          <w:color w:val="1A5D9B" w:themeColor="accent1"/>
        </w:rPr>
        <w:t>most typical type of accommodation used</w:t>
      </w:r>
    </w:p>
    <w:p w14:paraId="719B78FB" w14:textId="65EF5298" w:rsidR="003A5A81" w:rsidRDefault="003A5A81" w:rsidP="003A5A81">
      <w:r>
        <w:t>WHMs were most likely to visit New South Wales (69.8%), Queensland (64.2%) and Victoria (60.7%), with fewer visiting W</w:t>
      </w:r>
      <w:r w:rsidR="4518A176">
        <w:t xml:space="preserve">estern </w:t>
      </w:r>
      <w:r>
        <w:t>A</w:t>
      </w:r>
      <w:r w:rsidR="1CE37D0A">
        <w:t>ustralia</w:t>
      </w:r>
      <w:r>
        <w:t xml:space="preserve"> (27.6%), South Australia (24.2%), the Northern Territory (19.3%), Tasmania (17.2%) and the Australian Capital Territory (16.0%). More than half (55.7%) of WHMs visited both New South Wales and Queensland. WHMs selected urban areas, specifically capital cities, as their main visitation location in the state or territory. Greater Sydney, Melbourne, Brisbane and Perth topped the list of primary locations</w:t>
      </w:r>
    </w:p>
    <w:p w14:paraId="01E34F3D" w14:textId="5BFA7166" w:rsidR="003A5A81" w:rsidRDefault="003A5A81" w:rsidP="003A5A81">
      <w:pPr>
        <w:spacing w:before="80"/>
      </w:pPr>
      <w:r w:rsidRPr="00517386">
        <w:t>The most common type</w:t>
      </w:r>
      <w:r>
        <w:t>s</w:t>
      </w:r>
      <w:r w:rsidRPr="00517386">
        <w:t xml:space="preserve"> of accommodation for WHMs </w:t>
      </w:r>
      <w:r>
        <w:t>were</w:t>
      </w:r>
      <w:r w:rsidRPr="00517386">
        <w:t xml:space="preserve"> backpackers/hostels (</w:t>
      </w:r>
      <w:r>
        <w:t>27.8%</w:t>
      </w:r>
      <w:r w:rsidRPr="00517386">
        <w:t>) and rental properties (</w:t>
      </w:r>
      <w:r>
        <w:t xml:space="preserve">20.5%). </w:t>
      </w:r>
      <w:r w:rsidRPr="00517386">
        <w:t xml:space="preserve">Compared </w:t>
      </w:r>
      <w:r>
        <w:t>with</w:t>
      </w:r>
      <w:r w:rsidR="00EE5F3A">
        <w:t xml:space="preserve"> the evaluation undertaken by</w:t>
      </w:r>
      <w:r w:rsidRPr="00517386">
        <w:t xml:space="preserve"> </w:t>
      </w:r>
      <w:r w:rsidR="00D016D8">
        <w:t>Tan et al</w:t>
      </w:r>
      <w:r w:rsidR="00A06CBD">
        <w:t>.</w:t>
      </w:r>
      <w:r>
        <w:t xml:space="preserve"> </w:t>
      </w:r>
      <w:r>
        <w:fldChar w:fldCharType="begin"/>
      </w:r>
      <w:r w:rsidR="00EE5F3A">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fldChar w:fldCharType="separate"/>
      </w:r>
      <w:r w:rsidR="00EE5F3A">
        <w:rPr>
          <w:noProof/>
        </w:rPr>
        <w:t>(2009)</w:t>
      </w:r>
      <w:r>
        <w:fldChar w:fldCharType="end"/>
      </w:r>
      <w:r w:rsidRPr="00517386">
        <w:t xml:space="preserve">, the proportion of WHMs staying in hostels has decreased by about </w:t>
      </w:r>
      <w:r>
        <w:t>ten</w:t>
      </w:r>
      <w:r w:rsidRPr="00517386">
        <w:t xml:space="preserve"> percentage points. This </w:t>
      </w:r>
      <w:r>
        <w:t>is likely to</w:t>
      </w:r>
      <w:r w:rsidRPr="00517386">
        <w:t xml:space="preserve"> be due to the increased prevalence of short-term </w:t>
      </w:r>
      <w:r>
        <w:t>‘A</w:t>
      </w:r>
      <w:r w:rsidRPr="00517386">
        <w:t>irbnb</w:t>
      </w:r>
      <w:r>
        <w:t>’</w:t>
      </w:r>
      <w:r w:rsidRPr="00517386">
        <w:t xml:space="preserve"> style accommodation options </w:t>
      </w:r>
      <w:r>
        <w:t>as reported in</w:t>
      </w:r>
      <w:r w:rsidRPr="00517386">
        <w:t xml:space="preserve"> </w:t>
      </w:r>
      <w:r>
        <w:t>9.</w:t>
      </w:r>
      <w:r w:rsidRPr="00517386">
        <w:t xml:space="preserve">5% of </w:t>
      </w:r>
      <w:r>
        <w:t>stays</w:t>
      </w:r>
      <w:r w:rsidRPr="00517386">
        <w:t>.</w:t>
      </w:r>
      <w:r w:rsidR="00CF384C">
        <w:t xml:space="preserve"> </w:t>
      </w:r>
      <w:r w:rsidRPr="009D375A">
        <w:t>In outer regional and remote areas more than one quarter of WHM stays were at backpackers and hostels, while 25.9% of stays in very remote Australia were in caravan parks or camping grounds, closely followed by backpacker and hostel stays (24.2%)</w:t>
      </w:r>
    </w:p>
    <w:p w14:paraId="08637642" w14:textId="73B89EEA"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WHM</w:t>
      </w:r>
      <w:r w:rsidR="00075C99">
        <w:rPr>
          <w:color w:val="1A5D9B" w:themeColor="accent1"/>
        </w:rPr>
        <w:t xml:space="preserve">s </w:t>
      </w:r>
      <w:r w:rsidR="00CB6BF8">
        <w:rPr>
          <w:color w:val="1A5D9B" w:themeColor="accent1"/>
        </w:rPr>
        <w:t>were mostly satisfied with their jobs</w:t>
      </w:r>
      <w:r w:rsidR="00214D6C">
        <w:rPr>
          <w:color w:val="1A5D9B" w:themeColor="accent1"/>
        </w:rPr>
        <w:t xml:space="preserve">, although </w:t>
      </w:r>
      <w:r w:rsidR="003240AD">
        <w:rPr>
          <w:color w:val="1A5D9B" w:themeColor="accent1"/>
        </w:rPr>
        <w:t xml:space="preserve">dissatisfaction was registered with </w:t>
      </w:r>
      <w:r w:rsidR="00214D6C">
        <w:rPr>
          <w:color w:val="1A5D9B" w:themeColor="accent1"/>
        </w:rPr>
        <w:t xml:space="preserve">one quarter of </w:t>
      </w:r>
      <w:r w:rsidR="0079150B">
        <w:rPr>
          <w:color w:val="1A5D9B" w:themeColor="accent1"/>
        </w:rPr>
        <w:t xml:space="preserve">crop farming jobs </w:t>
      </w:r>
    </w:p>
    <w:p w14:paraId="6ABC8410" w14:textId="7A961671" w:rsidR="003A5A81" w:rsidRDefault="003A5A81" w:rsidP="003A5A81">
      <w:r w:rsidRPr="003E5E90">
        <w:t xml:space="preserve">WHMs </w:t>
      </w:r>
      <w:r>
        <w:t xml:space="preserve">tended to be </w:t>
      </w:r>
      <w:r w:rsidRPr="003E5E90">
        <w:t>satisfied in their jobs</w:t>
      </w:r>
      <w:r>
        <w:t>. M</w:t>
      </w:r>
      <w:r w:rsidRPr="003E5E90">
        <w:t xml:space="preserve">ore than </w:t>
      </w:r>
      <w:r>
        <w:t>seven</w:t>
      </w:r>
      <w:r w:rsidRPr="003E5E90">
        <w:t xml:space="preserve"> in </w:t>
      </w:r>
      <w:r>
        <w:t>ten</w:t>
      </w:r>
      <w:r w:rsidRPr="003E5E90">
        <w:t xml:space="preserve"> jobs</w:t>
      </w:r>
      <w:r>
        <w:t xml:space="preserve"> were</w:t>
      </w:r>
      <w:r w:rsidRPr="003E5E90">
        <w:t xml:space="preserve"> reported as satisfying</w:t>
      </w:r>
      <w:r>
        <w:t xml:space="preserve"> to some extent (</w:t>
      </w:r>
      <w:r w:rsidRPr="003E5E90">
        <w:t>31.8% very satisfied</w:t>
      </w:r>
      <w:r>
        <w:t>;</w:t>
      </w:r>
      <w:r w:rsidRPr="003E5E90">
        <w:t xml:space="preserve"> and 40% satisfied</w:t>
      </w:r>
      <w:r>
        <w:t>)</w:t>
      </w:r>
      <w:r w:rsidRPr="003E5E90">
        <w:t>.</w:t>
      </w:r>
      <w:r>
        <w:t xml:space="preserve"> Satisfaction was highest in health and aged care jobs and lowest in agriculture and transport, where one in five jobs (20.3%) were reported as dissatisfying </w:t>
      </w:r>
      <w:r w:rsidR="00A149D7">
        <w:t>to some extent</w:t>
      </w:r>
      <w:r>
        <w:t xml:space="preserve">. </w:t>
      </w:r>
      <w:r w:rsidR="00531E9E">
        <w:t>W</w:t>
      </w:r>
      <w:r>
        <w:t xml:space="preserve">ithin this industry group, one quarter (25.1%) of crop farming jobs were considered dissatisfying. </w:t>
      </w:r>
    </w:p>
    <w:p w14:paraId="5D235296" w14:textId="0D9853F1" w:rsidR="003A5A81" w:rsidRDefault="003A5A81" w:rsidP="003A5A81">
      <w:r>
        <w:t xml:space="preserve">About two in five surveyed </w:t>
      </w:r>
      <w:r w:rsidRPr="00191246">
        <w:t>WHMs reported receiving at least one type of on</w:t>
      </w:r>
      <w:r>
        <w:t>-</w:t>
      </w:r>
      <w:r w:rsidRPr="00191246">
        <w:t>the</w:t>
      </w:r>
      <w:r>
        <w:t>-</w:t>
      </w:r>
      <w:r w:rsidRPr="00191246">
        <w:t xml:space="preserve">job training in their main reported job in each </w:t>
      </w:r>
      <w:r>
        <w:t>state or territory</w:t>
      </w:r>
      <w:r w:rsidRPr="00191246">
        <w:t xml:space="preserve"> worked</w:t>
      </w:r>
      <w:r>
        <w:t>. Most</w:t>
      </w:r>
      <w:r w:rsidDel="001D795A">
        <w:t xml:space="preserve"> </w:t>
      </w:r>
      <w:r>
        <w:t>on-</w:t>
      </w:r>
      <w:r w:rsidDel="001D795A">
        <w:t>the</w:t>
      </w:r>
      <w:r>
        <w:t>-job training was reported in two industry groups – hospitality, tourism and sport (34.0%) and agriculture and transport (28.8%).</w:t>
      </w:r>
    </w:p>
    <w:p w14:paraId="2F242DEB" w14:textId="32F39FE8" w:rsidR="003A5A81" w:rsidRDefault="003A5A81" w:rsidP="003A5A81">
      <w:r>
        <w:t xml:space="preserve">Five percent of survey respondents provided information about formal </w:t>
      </w:r>
      <w:r w:rsidRPr="006A15C8">
        <w:t>courses</w:t>
      </w:r>
      <w:r>
        <w:t xml:space="preserve"> of study undertaken</w:t>
      </w:r>
      <w:r w:rsidRPr="006A15C8">
        <w:t xml:space="preserve"> during their working holiday in Australia</w:t>
      </w:r>
      <w:r>
        <w:t xml:space="preserve">. More than half were English language courses, with </w:t>
      </w:r>
      <w:r w:rsidRPr="008F05EE">
        <w:t>business or management courses</w:t>
      </w:r>
      <w:r>
        <w:t>,</w:t>
      </w:r>
      <w:r w:rsidRPr="008F05EE">
        <w:t xml:space="preserve"> and food and hospitality courses</w:t>
      </w:r>
      <w:r>
        <w:t xml:space="preserve"> accounting for just 10% of courses undertaken respectively</w:t>
      </w:r>
      <w:r w:rsidRPr="008F05EE">
        <w:t>. The low number of responses for this question, as well as the preponderance of English courses indicate that formal study options are likely not a significant pull factor for WHMs coming to Australia.</w:t>
      </w:r>
      <w:r>
        <w:t xml:space="preserve"> </w:t>
      </w:r>
      <w:r w:rsidRPr="009E4278">
        <w:t>Business and management courses were the most expensive of the specified course types, averaging $9,</w:t>
      </w:r>
      <w:r w:rsidR="009C4F7F">
        <w:t>80</w:t>
      </w:r>
      <w:r w:rsidRPr="009E4278">
        <w:t>0</w:t>
      </w:r>
      <w:r>
        <w:t>.</w:t>
      </w:r>
    </w:p>
    <w:p w14:paraId="1A0259A7" w14:textId="625ED51B"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WHM</w:t>
      </w:r>
      <w:r w:rsidR="00775E21">
        <w:rPr>
          <w:color w:val="1A5D9B" w:themeColor="accent1"/>
        </w:rPr>
        <w:t>s</w:t>
      </w:r>
      <w:r w:rsidRPr="00E26390">
        <w:rPr>
          <w:color w:val="1A5D9B" w:themeColor="accent1"/>
        </w:rPr>
        <w:t xml:space="preserve"> </w:t>
      </w:r>
      <w:r w:rsidR="008C72C9">
        <w:rPr>
          <w:color w:val="1A5D9B" w:themeColor="accent1"/>
        </w:rPr>
        <w:t>generally found</w:t>
      </w:r>
      <w:r w:rsidRPr="00E26390">
        <w:rPr>
          <w:color w:val="1A5D9B" w:themeColor="accent1"/>
        </w:rPr>
        <w:t xml:space="preserve"> the WHM program</w:t>
      </w:r>
      <w:r w:rsidR="008C72C9">
        <w:rPr>
          <w:color w:val="1A5D9B" w:themeColor="accent1"/>
        </w:rPr>
        <w:t xml:space="preserve"> easy to navigate</w:t>
      </w:r>
      <w:r w:rsidR="00FE6ED4">
        <w:rPr>
          <w:color w:val="1A5D9B" w:themeColor="accent1"/>
        </w:rPr>
        <w:t xml:space="preserve"> and around a third </w:t>
      </w:r>
      <w:r w:rsidR="002F7164">
        <w:rPr>
          <w:color w:val="1A5D9B" w:themeColor="accent1"/>
        </w:rPr>
        <w:t>report</w:t>
      </w:r>
      <w:r w:rsidR="00FE6ED4">
        <w:rPr>
          <w:color w:val="1A5D9B" w:themeColor="accent1"/>
        </w:rPr>
        <w:t xml:space="preserve"> an intention to apply for a subsequent visa – slightly more males than females</w:t>
      </w:r>
    </w:p>
    <w:p w14:paraId="673627DE" w14:textId="77777777" w:rsidR="003A5A81" w:rsidRDefault="003A5A81" w:rsidP="003A5A81">
      <w:r>
        <w:t>Most</w:t>
      </w:r>
      <w:r w:rsidRPr="006D057C">
        <w:t xml:space="preserve"> WHMs (59.1%) learned about the program from friends or family, signalling the importance of positive experiences and word of mouth in spruiking the program. Social media (11.8%) and the Department of Home Affairs website (10.1%) </w:t>
      </w:r>
      <w:r>
        <w:t>were</w:t>
      </w:r>
      <w:r w:rsidRPr="006D057C">
        <w:t xml:space="preserve"> the next </w:t>
      </w:r>
      <w:r>
        <w:t>most common</w:t>
      </w:r>
      <w:r w:rsidRPr="006D057C">
        <w:t xml:space="preserve"> </w:t>
      </w:r>
      <w:r>
        <w:t>sources of information</w:t>
      </w:r>
      <w:r w:rsidRPr="006D057C">
        <w:t>.</w:t>
      </w:r>
      <w:r>
        <w:t xml:space="preserve"> </w:t>
      </w:r>
      <w:r w:rsidRPr="006D057C">
        <w:t>In a strong endorsement of the program, 94.2% of WHM survey respondents would recommend the program to their friends.</w:t>
      </w:r>
    </w:p>
    <w:p w14:paraId="23A46570" w14:textId="77777777" w:rsidR="003A5A81" w:rsidRDefault="003A5A81" w:rsidP="003A5A81">
      <w:r>
        <w:t>Around one in five WHMs want to apply for a subsequent visa but don’t meet the requirements. Slightly more males than females intend to apply (14.9%, 12.5%), or have applied (3.4%, 2.9%) or have been granted a subsequent WHM visa (18.4%, 17.1%). Japanese and Taiwanese WHMs were most active in applying for a subsequent visa (42.3% and 41.3% respectively).</w:t>
      </w:r>
    </w:p>
    <w:p w14:paraId="74D441D7" w14:textId="1D0F0751"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Most employers see the WHM program as critical for the</w:t>
      </w:r>
      <w:r w:rsidR="00133CA1">
        <w:rPr>
          <w:color w:val="1A5D9B" w:themeColor="accent1"/>
        </w:rPr>
        <w:t xml:space="preserve"> ongoing viability of their </w:t>
      </w:r>
      <w:r w:rsidRPr="00E26390">
        <w:rPr>
          <w:color w:val="1A5D9B" w:themeColor="accent1"/>
        </w:rPr>
        <w:t xml:space="preserve">business </w:t>
      </w:r>
    </w:p>
    <w:p w14:paraId="223F4713" w14:textId="4DE231F6" w:rsidR="00CA3DEC" w:rsidRPr="00FF3D88" w:rsidRDefault="00CA3DEC" w:rsidP="00CA3DEC">
      <w:r>
        <w:t>Four in five employers from the agriculture, and tourism and hospitality industries reported WHMs were very important to their business. More than nine in ten employers in agricultur</w:t>
      </w:r>
      <w:r w:rsidR="00614F3C">
        <w:t>al businesses</w:t>
      </w:r>
      <w:r>
        <w:t xml:space="preserve"> and fewer from tourism and hospitality</w:t>
      </w:r>
      <w:r w:rsidR="00614F3C">
        <w:t xml:space="preserve"> businesses</w:t>
      </w:r>
      <w:r>
        <w:t xml:space="preserve"> reported it was difficult to get local workers to do the jobs WHMs had been traditionally engaged in</w:t>
      </w:r>
      <w:r w:rsidR="003A5A81">
        <w:t>.</w:t>
      </w:r>
      <w:r w:rsidR="0005106B">
        <w:t xml:space="preserve"> They also reported</w:t>
      </w:r>
      <w:r>
        <w:t xml:space="preserve"> WHMs were valued as they were willing to work in short-term and seasonal</w:t>
      </w:r>
      <w:r w:rsidR="0005106B">
        <w:t xml:space="preserve"> work</w:t>
      </w:r>
      <w:r>
        <w:t xml:space="preserve">. Interview feedback from WHM employers strongly reinforced the message that WHMs fill a critical niche in the Australian job market, and without them business operations and viability would be compromised. </w:t>
      </w:r>
    </w:p>
    <w:p w14:paraId="70965D4B" w14:textId="41AD0794" w:rsidR="00CA3DEC" w:rsidRDefault="00CA3DEC" w:rsidP="00CA3DEC">
      <w:r w:rsidRPr="00CD2DE7">
        <w:t>Businesses that rely on WHMs are typically seasonal in nature. All have core staff who work year-round but rely on additional workers to manage the volume of demand generated in peak season</w:t>
      </w:r>
      <w:r>
        <w:t>. S</w:t>
      </w:r>
      <w:r w:rsidRPr="005E7774">
        <w:t xml:space="preserve">hort-term work </w:t>
      </w:r>
      <w:r>
        <w:t xml:space="preserve">is </w:t>
      </w:r>
      <w:r w:rsidRPr="005E7774">
        <w:t>not</w:t>
      </w:r>
      <w:r>
        <w:t xml:space="preserve"> viewed as</w:t>
      </w:r>
      <w:r w:rsidRPr="005E7774">
        <w:t xml:space="preserve"> attract</w:t>
      </w:r>
      <w:r w:rsidR="00980D18">
        <w:t>ing</w:t>
      </w:r>
      <w:r w:rsidRPr="005E7774">
        <w:t xml:space="preserve"> interest within the local labour market</w:t>
      </w:r>
      <w:r>
        <w:t xml:space="preserve">, </w:t>
      </w:r>
      <w:r w:rsidR="00F26876">
        <w:t xml:space="preserve">and </w:t>
      </w:r>
      <w:r>
        <w:t>y</w:t>
      </w:r>
      <w:r w:rsidRPr="005E7774">
        <w:t>oung people and students do not offer a consistent, reliable solution to cyclical workforce shortages</w:t>
      </w:r>
      <w:r>
        <w:t xml:space="preserve">. </w:t>
      </w:r>
      <w:r w:rsidRPr="008E271C">
        <w:t xml:space="preserve">A further perceived barrier to recruiting local labour is the </w:t>
      </w:r>
      <w:r w:rsidR="00391FA6">
        <w:t xml:space="preserve">physically demanding, </w:t>
      </w:r>
      <w:r w:rsidR="009A0DF5">
        <w:t xml:space="preserve">repetitive </w:t>
      </w:r>
      <w:r w:rsidRPr="008E271C">
        <w:t xml:space="preserve">nature of the work in WHM-employing businesses. </w:t>
      </w:r>
    </w:p>
    <w:p w14:paraId="587B7278" w14:textId="7E346C3C" w:rsidR="00CA3DEC" w:rsidRDefault="00CA3DEC" w:rsidP="00CA3DEC">
      <w:r>
        <w:t xml:space="preserve">Foremost among the reasons WHMs are valued is their mobility and amenability to seasonal work. </w:t>
      </w:r>
      <w:r w:rsidR="00983910">
        <w:t xml:space="preserve">Employers see </w:t>
      </w:r>
      <w:r>
        <w:t xml:space="preserve">WHMs </w:t>
      </w:r>
      <w:r w:rsidR="00983910">
        <w:t>as</w:t>
      </w:r>
      <w:r>
        <w:t xml:space="preserve"> singularly motivated to work </w:t>
      </w:r>
      <w:r w:rsidR="00983910">
        <w:t xml:space="preserve">in order </w:t>
      </w:r>
      <w:r>
        <w:t xml:space="preserve">to </w:t>
      </w:r>
      <w:r w:rsidR="00983910">
        <w:t>save</w:t>
      </w:r>
      <w:r>
        <w:t xml:space="preserve"> money</w:t>
      </w:r>
      <w:r w:rsidDel="00DA075D">
        <w:t xml:space="preserve"> </w:t>
      </w:r>
      <w:r>
        <w:t>to continue with their travels</w:t>
      </w:r>
      <w:r w:rsidR="00983910">
        <w:t>, thereby</w:t>
      </w:r>
      <w:r>
        <w:t xml:space="preserve"> maximis</w:t>
      </w:r>
      <w:r w:rsidR="00983910">
        <w:t>ing</w:t>
      </w:r>
      <w:r>
        <w:t xml:space="preserve"> their working holiday experience. WHMs are generally perceived to have a strong work ethic, the ability to be flexible, a preparedness to try new things and a willingness to learn and adapt. </w:t>
      </w:r>
      <w:r w:rsidR="00AC54D0">
        <w:t>However, w</w:t>
      </w:r>
      <w:r w:rsidR="00D032DD">
        <w:t>hile</w:t>
      </w:r>
      <w:r>
        <w:t xml:space="preserve"> </w:t>
      </w:r>
      <w:r w:rsidRPr="00BE1E3C">
        <w:t>WHM mobility is a bonus for seasonal</w:t>
      </w:r>
      <w:r>
        <w:t xml:space="preserve"> work, it is also viewed as a liability because WHMs can pack up and leave a job early with minimal notice</w:t>
      </w:r>
      <w:r w:rsidR="00AC54D0">
        <w:t xml:space="preserve"> (high level of transience).</w:t>
      </w:r>
    </w:p>
    <w:p w14:paraId="0BEE199D" w14:textId="4A6D9F33"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Employer</w:t>
      </w:r>
      <w:r w:rsidR="008962CF">
        <w:rPr>
          <w:color w:val="1A5D9B" w:themeColor="accent1"/>
        </w:rPr>
        <w:t xml:space="preserve">s would like to see some tweaking of the </w:t>
      </w:r>
      <w:r w:rsidRPr="00E26390">
        <w:rPr>
          <w:color w:val="1A5D9B" w:themeColor="accent1"/>
        </w:rPr>
        <w:t>WHM program</w:t>
      </w:r>
      <w:r w:rsidR="00A8253A">
        <w:rPr>
          <w:color w:val="1A5D9B" w:themeColor="accent1"/>
        </w:rPr>
        <w:t xml:space="preserve"> to make it more responsive to </w:t>
      </w:r>
      <w:r w:rsidR="006251BB">
        <w:rPr>
          <w:color w:val="1A5D9B" w:themeColor="accent1"/>
        </w:rPr>
        <w:t>employer and WHM needs</w:t>
      </w:r>
    </w:p>
    <w:p w14:paraId="36C28BEE" w14:textId="3C294610" w:rsidR="00CA3DEC" w:rsidRDefault="00CA3DEC" w:rsidP="00CA3DEC">
      <w:r>
        <w:t>N</w:t>
      </w:r>
      <w:r w:rsidRPr="00261AD5">
        <w:t>ine in ten</w:t>
      </w:r>
      <w:r>
        <w:t xml:space="preserve"> </w:t>
      </w:r>
      <w:r w:rsidRPr="00261AD5">
        <w:t xml:space="preserve">employers reported </w:t>
      </w:r>
      <w:r>
        <w:t xml:space="preserve">the WHM </w:t>
      </w:r>
      <w:r w:rsidR="003A5A81">
        <w:t>program</w:t>
      </w:r>
      <w:r w:rsidRPr="00261AD5">
        <w:t xml:space="preserve"> provided an essential workforce</w:t>
      </w:r>
      <w:r>
        <w:t xml:space="preserve">, </w:t>
      </w:r>
      <w:r w:rsidRPr="00261AD5">
        <w:t>with three quarters indicating it provided an economic boost to the local area</w:t>
      </w:r>
      <w:r w:rsidR="001D126A">
        <w:t>:</w:t>
      </w:r>
      <w:r>
        <w:t xml:space="preserve"> “</w:t>
      </w:r>
      <w:r w:rsidRPr="00FF3D88">
        <w:t>backpackers are very important to our small town</w:t>
      </w:r>
      <w:r>
        <w:t xml:space="preserve"> - t</w:t>
      </w:r>
      <w:r w:rsidRPr="00FF3D88">
        <w:t>hey earn good money and they spend a fair portion of that here</w:t>
      </w:r>
      <w:r>
        <w:t xml:space="preserve">.” The second and third-year visa extension option was well liked. </w:t>
      </w:r>
    </w:p>
    <w:p w14:paraId="607F0B9E" w14:textId="164053CA" w:rsidR="00CA3DEC" w:rsidRDefault="00CA3DEC" w:rsidP="00CA3DEC">
      <w:r w:rsidRPr="000D31B6">
        <w:t>Program dislikes</w:t>
      </w:r>
      <w:r>
        <w:t xml:space="preserve"> were related to visa restrictions. The six-month limitation on work with a single employer was regularly raised by employers - a key issue for this is realising return on the time and investment involved in training workers</w:t>
      </w:r>
      <w:r w:rsidR="000E0FA4">
        <w:t>.</w:t>
      </w:r>
      <w:r>
        <w:t xml:space="preserve"> Changes to the taxation system (removal of the tax-free threshold) was considered an unfair impost on already low-paid WHMs impacting their motivation level. </w:t>
      </w:r>
      <w:r w:rsidR="00B60A03">
        <w:t xml:space="preserve">Participating employers also questioned the merits of WHMs being required to contribute to </w:t>
      </w:r>
      <w:r w:rsidR="003A5A81">
        <w:t>superannuation</w:t>
      </w:r>
      <w:r w:rsidR="00C81132">
        <w:t xml:space="preserve"> when these funds could be used</w:t>
      </w:r>
      <w:r>
        <w:t xml:space="preserve"> </w:t>
      </w:r>
      <w:r w:rsidR="003A5A81">
        <w:t>on</w:t>
      </w:r>
      <w:r>
        <w:t xml:space="preserve"> their travels.</w:t>
      </w:r>
    </w:p>
    <w:p w14:paraId="35FACC71" w14:textId="6BB515B7" w:rsidR="003A5A81" w:rsidRDefault="003A5A81" w:rsidP="003A5A81">
      <w:r>
        <w:t>In reflecting on the WHM program</w:t>
      </w:r>
      <w:r w:rsidR="00303692">
        <w:t xml:space="preserve">, </w:t>
      </w:r>
      <w:r>
        <w:t>employers argued strongly to extend the six-month working with a single employer provision to twelve months, in recognition of the extensive training and investment required. Participants suggested a number of practical measures to help employers access the program, including: a centralised employment register or job board hosted on a government website; clearer information and point of contact to assist new (and existing) employers to better understand the program’s complexities; improved regulation (rather than placing the onus on growers); and greater consistency in labour hire arrangements across the industry to help address any exploitative practices.</w:t>
      </w:r>
    </w:p>
    <w:p w14:paraId="4ED7EF48" w14:textId="146E1C9A" w:rsidR="003A5A81" w:rsidRPr="00E26390" w:rsidRDefault="003A5A81" w:rsidP="00E26390">
      <w:pPr>
        <w:pStyle w:val="IntenseQuote"/>
        <w:spacing w:before="120" w:after="60"/>
        <w:ind w:left="0" w:right="862"/>
        <w:jc w:val="left"/>
        <w:rPr>
          <w:color w:val="1A5D9B" w:themeColor="accent1"/>
        </w:rPr>
      </w:pPr>
      <w:r w:rsidRPr="00E26390">
        <w:rPr>
          <w:color w:val="1A5D9B" w:themeColor="accent1"/>
        </w:rPr>
        <w:t>COVID-19</w:t>
      </w:r>
      <w:r w:rsidR="006251BB">
        <w:rPr>
          <w:color w:val="1A5D9B" w:themeColor="accent1"/>
        </w:rPr>
        <w:t xml:space="preserve"> has been a </w:t>
      </w:r>
      <w:r w:rsidR="006010E7">
        <w:rPr>
          <w:color w:val="1A5D9B" w:themeColor="accent1"/>
        </w:rPr>
        <w:t xml:space="preserve">huge shock to the system; employers </w:t>
      </w:r>
      <w:r w:rsidR="00874732">
        <w:rPr>
          <w:color w:val="1A5D9B" w:themeColor="accent1"/>
        </w:rPr>
        <w:t xml:space="preserve">plead for the WHM program to reboot as soon as safely possible to </w:t>
      </w:r>
      <w:r w:rsidR="004526BD">
        <w:rPr>
          <w:color w:val="1A5D9B" w:themeColor="accent1"/>
        </w:rPr>
        <w:t>ensure a sufficient workforce</w:t>
      </w:r>
    </w:p>
    <w:p w14:paraId="1829EF9F" w14:textId="2D827FAB" w:rsidR="003A5A81" w:rsidRDefault="003A5A81" w:rsidP="003A5A81">
      <w:r>
        <w:t xml:space="preserve">COVID-19 related border closures preceded a 28.6% decline in all visas granted in 2019-2020, most notably in first 417 visas which dropped by 64.6%. Second visas granted during this period were slightly down in numbers, with third visas trending up. The greater resilience in second and third visa numbers </w:t>
      </w:r>
      <w:r w:rsidR="00436D6B">
        <w:t>wa</w:t>
      </w:r>
      <w:r>
        <w:t>s possibly due to Australia being perceived as a safer option in the midst of the international COVID-19 crisis.</w:t>
      </w:r>
      <w:r w:rsidR="005072F0">
        <w:t xml:space="preserve"> </w:t>
      </w:r>
      <w:r>
        <w:t xml:space="preserve">COVID-19 had a significant impact on tourism </w:t>
      </w:r>
      <w:r w:rsidR="000D6F1D">
        <w:t>and hospital</w:t>
      </w:r>
      <w:r w:rsidR="3D5B23FA">
        <w:t>ity</w:t>
      </w:r>
      <w:r w:rsidR="000D6F1D">
        <w:t xml:space="preserve"> businesses</w:t>
      </w:r>
      <w:r>
        <w:t>, which experienced a 14.5% decline in core staff and 20.5% in high demand staff (i.e. additional to core staff to help manage peak season operations).  Agriculture</w:t>
      </w:r>
      <w:r w:rsidR="00C525BA">
        <w:t xml:space="preserve"> businesses</w:t>
      </w:r>
      <w:r>
        <w:t xml:space="preserve"> reported a somewhat lesser 7.4% decline in core staff and a 12.9% decline in high demand staff compared with 2019. </w:t>
      </w:r>
    </w:p>
    <w:p w14:paraId="1BDA75F7" w14:textId="48C3EDDB" w:rsidR="003A5A81" w:rsidRDefault="00974F55" w:rsidP="003A5A81">
      <w:r>
        <w:t>One fifth</w:t>
      </w:r>
      <w:r w:rsidR="003A5A81">
        <w:t xml:space="preserve"> of surveyed businesses reported a decline in their ability to recruit WHMs to fill necessary additional positions during periods of high demand. Recruitment of farm hands and fruit or vegetable packers and graders proved the most successful whereas hospitality staff proved the most difficult to recruit. Businesses in locations outside the greater capital cities reported the greatest difficulties with workforce availability.</w:t>
      </w:r>
    </w:p>
    <w:p w14:paraId="1DB29A21" w14:textId="1F6F6304" w:rsidR="00E16B19" w:rsidRPr="0020222C" w:rsidRDefault="003A5A81" w:rsidP="00E16B19">
      <w:pPr>
        <w:rPr>
          <w:highlight w:val="yellow"/>
        </w:rPr>
        <w:sectPr w:rsidR="00E16B19" w:rsidRPr="0020222C" w:rsidSect="009F2D6D">
          <w:type w:val="oddPage"/>
          <w:pgSz w:w="11906" w:h="16838"/>
          <w:pgMar w:top="1440" w:right="1440" w:bottom="1440" w:left="1440" w:header="708" w:footer="708" w:gutter="0"/>
          <w:pgNumType w:fmt="lowerRoman"/>
          <w:cols w:space="708"/>
          <w:docGrid w:linePitch="360"/>
        </w:sectPr>
      </w:pPr>
      <w:r>
        <w:t xml:space="preserve">Some employers responded by developing new approaches to worker recruitment such as developing a cooperative worker-sharing arrangement within the local supply chain and turning to grey nomads and travelling families to fill the gap left by WHMs. Some absorbed the overflow of work into the existing core workforce, becoming overwhelmed and exhausted in the process, or by closing/cancelling services. While some employers indicated they would seek greater self-sufficiency and to reduce their reliance on WHMs post-COVID-19, most reinforced the need to reboot the WHM program. Employers consistently reported that strong growth trajectories were interrupted by COVID-19 and it was essential to revitalise the WHM program in order to </w:t>
      </w:r>
      <w:r w:rsidR="3FCE37AD">
        <w:t xml:space="preserve">help with </w:t>
      </w:r>
      <w:r>
        <w:t xml:space="preserve">recovery. </w:t>
      </w:r>
      <w:r w:rsidR="001B425C">
        <w:t>A consistent message was to open the borders as soon as feasibly and safely possible, and to fast track the entry of WHMs not just for agriculture but across all industries experiencing acute workforce shortages.</w:t>
      </w:r>
    </w:p>
    <w:p w14:paraId="60FAF6AE" w14:textId="7D6680B8" w:rsidR="00C71900" w:rsidRDefault="00C71900" w:rsidP="00463AF2">
      <w:pPr>
        <w:pStyle w:val="Heading1"/>
      </w:pPr>
      <w:bookmarkStart w:id="1" w:name="_Ref75783429"/>
      <w:bookmarkStart w:id="2" w:name="_Toc75878434"/>
      <w:bookmarkStart w:id="3" w:name="_Ref69896586"/>
      <w:bookmarkStart w:id="4" w:name="_Hlk48636405"/>
      <w:bookmarkStart w:id="5" w:name="_Toc449079534"/>
      <w:r>
        <w:t>Introduction</w:t>
      </w:r>
      <w:bookmarkEnd w:id="1"/>
      <w:bookmarkEnd w:id="2"/>
    </w:p>
    <w:p w14:paraId="2DB852AB" w14:textId="0F365577" w:rsidR="00762072" w:rsidRDefault="00762072" w:rsidP="00762072">
      <w:r>
        <w:t xml:space="preserve">The </w:t>
      </w:r>
      <w:r w:rsidR="00100764">
        <w:t>Working Holiday Maker (</w:t>
      </w:r>
      <w:r>
        <w:t>WHM</w:t>
      </w:r>
      <w:r w:rsidR="00100764">
        <w:t>)</w:t>
      </w:r>
      <w:r>
        <w:t xml:space="preserve"> program is a reciprocal initiative </w:t>
      </w:r>
      <w:r w:rsidR="00E13D5F">
        <w:t>designed</w:t>
      </w:r>
      <w:r>
        <w:t xml:space="preserve"> to encourage young people from partner countries </w:t>
      </w:r>
      <w:r w:rsidR="00822D4E">
        <w:t xml:space="preserve">to </w:t>
      </w:r>
      <w:r w:rsidR="00176246">
        <w:t>visit and work in Australia</w:t>
      </w:r>
      <w:r w:rsidR="000C428C">
        <w:t xml:space="preserve"> for </w:t>
      </w:r>
      <w:r w:rsidR="08B657F1">
        <w:t>an initial one-year period</w:t>
      </w:r>
      <w:r w:rsidR="008A28AF">
        <w:t xml:space="preserve">, with young Australians </w:t>
      </w:r>
      <w:r w:rsidR="00CE2BD1">
        <w:t>able to do likewise</w:t>
      </w:r>
      <w:r w:rsidR="000C428C">
        <w:t xml:space="preserve"> in partner countries.</w:t>
      </w:r>
      <w:r>
        <w:t xml:space="preserve"> The program </w:t>
      </w:r>
      <w:r w:rsidR="0064019D">
        <w:t>gives</w:t>
      </w:r>
      <w:r>
        <w:t xml:space="preserve"> young people rich travel experiences</w:t>
      </w:r>
      <w:r w:rsidR="00A97C70">
        <w:t>, provides</w:t>
      </w:r>
      <w:r>
        <w:t xml:space="preserve"> opportunities for cultural exchange, foster</w:t>
      </w:r>
      <w:r w:rsidR="0064019D">
        <w:t>s</w:t>
      </w:r>
      <w:r>
        <w:t xml:space="preserve"> new connections</w:t>
      </w:r>
      <w:r w:rsidR="008C23E5">
        <w:t xml:space="preserve">, </w:t>
      </w:r>
      <w:r>
        <w:t>strengthen</w:t>
      </w:r>
      <w:r w:rsidR="008C23E5">
        <w:t>s</w:t>
      </w:r>
      <w:r>
        <w:t xml:space="preserve"> bilateral relationships</w:t>
      </w:r>
      <w:r w:rsidR="00E47EB4">
        <w:t xml:space="preserve"> and </w:t>
      </w:r>
      <w:r w:rsidR="003D12B4">
        <w:t>promote</w:t>
      </w:r>
      <w:r w:rsidR="00E47EB4">
        <w:t>s</w:t>
      </w:r>
      <w:r>
        <w:t xml:space="preserve"> Australia</w:t>
      </w:r>
      <w:r w:rsidR="003D12B4">
        <w:t xml:space="preserve"> as a destination of choice</w:t>
      </w:r>
      <w:r w:rsidR="003F1B87">
        <w:t xml:space="preserve"> for international markets</w:t>
      </w:r>
      <w:r>
        <w:t xml:space="preserve"> </w:t>
      </w:r>
      <w:r>
        <w:fldChar w:fldCharType="begin"/>
      </w:r>
      <w:r>
        <w:instrText xml:space="preserve"> ADDIN EN.CITE &lt;EndNote&gt;&lt;Cite&gt;&lt;Author&gt;Australian Government Austrade&lt;/Author&gt;&lt;Year&gt;2020&lt;/Year&gt;&lt;RecNum&gt;33&lt;/RecNum&gt;&lt;DisplayText&gt;(Australian Government Austrade, 2020)&lt;/DisplayText&gt;&lt;record&gt;&lt;rec-number&gt;33&lt;/rec-number&gt;&lt;foreign-keys&gt;&lt;key app="EN" db-id="r5sv9zwer2dw2pexz935edzbrpsweevtw5ed" timestamp="1621237374"&gt;33&lt;/key&gt;&lt;/foreign-keys&gt;&lt;ref-type name="Government Document"&gt;46&lt;/ref-type&gt;&lt;contributors&gt;&lt;authors&gt;&lt;author&gt;Australian Government Austrade,&lt;/author&gt;&lt;/authors&gt;&lt;secondary-authors&gt;&lt;author&gt;Austrade &lt;/author&gt;&lt;/secondary-authors&gt;&lt;/contributors&gt;&lt;titles&gt;&lt;title&gt;Foreign Affairs and Trade Portfolio Submission to the Inquiry into the Working Holiday Maker Program by the Joint Standing Committee on Migration, Submission 69&lt;/title&gt;&lt;/titles&gt;&lt;dates&gt;&lt;year&gt;2020&lt;/year&gt;&lt;/dates&gt;&lt;urls&gt;&lt;/urls&gt;&lt;/record&gt;&lt;/Cite&gt;&lt;/EndNote&gt;</w:instrText>
      </w:r>
      <w:r>
        <w:fldChar w:fldCharType="separate"/>
      </w:r>
      <w:r w:rsidRPr="29D6F3C6">
        <w:rPr>
          <w:noProof/>
        </w:rPr>
        <w:t>(Australian Government Austrade, 2020)</w:t>
      </w:r>
      <w:r>
        <w:fldChar w:fldCharType="end"/>
      </w:r>
      <w:r>
        <w:t xml:space="preserve">. </w:t>
      </w:r>
    </w:p>
    <w:p w14:paraId="3DBFDCBF" w14:textId="46B70759" w:rsidR="002565B7" w:rsidRPr="009C7C1E" w:rsidRDefault="00412836" w:rsidP="00412836">
      <w:r>
        <w:t xml:space="preserve">The Australian Industrial Transformation Institute (AITI) was engaged by the Australian Trade and Investment Commission (Austrade) to examine WHMs perceptions of Australia as a destination to travel, work and study; provide information on the locations and occupations of WHMs; and provide insights into employer expectations of WHM visa holders with regard to their skills and experience, with an emphasis on the tourism and hospitality industry. </w:t>
      </w:r>
      <w:r w:rsidR="00243919">
        <w:t xml:space="preserve">The </w:t>
      </w:r>
      <w:r w:rsidR="00884CBA">
        <w:t xml:space="preserve">current </w:t>
      </w:r>
      <w:r w:rsidR="008C7276">
        <w:t xml:space="preserve">study covering the </w:t>
      </w:r>
      <w:r w:rsidR="004F76C4">
        <w:t xml:space="preserve">2019-2020 </w:t>
      </w:r>
      <w:r w:rsidR="008C7276">
        <w:t xml:space="preserve">period </w:t>
      </w:r>
      <w:r w:rsidR="00F0179E">
        <w:t xml:space="preserve">revisits the </w:t>
      </w:r>
      <w:r w:rsidR="00BA6888">
        <w:t xml:space="preserve">scope and </w:t>
      </w:r>
      <w:r w:rsidR="00F0179E">
        <w:t>impact of</w:t>
      </w:r>
      <w:r w:rsidR="002A211E">
        <w:t xml:space="preserve"> </w:t>
      </w:r>
      <w:r w:rsidR="00AE1A0B">
        <w:t>a</w:t>
      </w:r>
      <w:r w:rsidR="001D69A1">
        <w:t xml:space="preserve"> </w:t>
      </w:r>
      <w:r w:rsidR="006A454C">
        <w:t xml:space="preserve">WHM </w:t>
      </w:r>
      <w:r w:rsidR="001D69A1">
        <w:t>program</w:t>
      </w:r>
      <w:r w:rsidR="00D10912">
        <w:t xml:space="preserve"> evaluation </w:t>
      </w:r>
      <w:r w:rsidR="001D69A1">
        <w:t>undertaken</w:t>
      </w:r>
      <w:r w:rsidR="007375CD">
        <w:t xml:space="preserve"> for </w:t>
      </w:r>
      <w:r w:rsidR="006A454C">
        <w:t>the</w:t>
      </w:r>
      <w:r w:rsidR="007375CD">
        <w:t xml:space="preserve"> 2007-08</w:t>
      </w:r>
      <w:r w:rsidR="006A454C">
        <w:t xml:space="preserve"> period</w:t>
      </w:r>
      <w:r w:rsidR="00B360D4">
        <w:t xml:space="preserve"> </w:t>
      </w:r>
      <w:r>
        <w:fldChar w:fldCharType="begin"/>
      </w:r>
      <w:r>
        <w:instrText xml:space="preserve"> ADDIN EN.CITE &lt;EndNote&gt;&lt;Cite&gt;&lt;Author&gt;Tan&lt;/Author&gt;&lt;Year&gt;2009&lt;/Year&gt;&lt;RecNum&gt;19&lt;/RecNum&gt;&lt;DisplayText&gt;(Tan et al., 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fldChar w:fldCharType="separate"/>
      </w:r>
      <w:r w:rsidR="00B360D4" w:rsidRPr="29D6F3C6">
        <w:rPr>
          <w:noProof/>
        </w:rPr>
        <w:t>(Tan et al., 2009)</w:t>
      </w:r>
      <w:r>
        <w:fldChar w:fldCharType="end"/>
      </w:r>
      <w:r w:rsidR="007C2549">
        <w:t>.</w:t>
      </w:r>
      <w:r w:rsidR="001D69A1">
        <w:t xml:space="preserve"> </w:t>
      </w:r>
      <w:r w:rsidR="005C55A8">
        <w:t xml:space="preserve">It </w:t>
      </w:r>
      <w:r w:rsidR="009D78C5">
        <w:t>also</w:t>
      </w:r>
      <w:r w:rsidR="005C55A8">
        <w:t xml:space="preserve"> updates developments in </w:t>
      </w:r>
      <w:r w:rsidR="00F6796A">
        <w:t xml:space="preserve">policy and </w:t>
      </w:r>
      <w:r w:rsidR="005435F5">
        <w:t xml:space="preserve">program settings </w:t>
      </w:r>
      <w:r w:rsidR="00541630">
        <w:t>in the intervening period</w:t>
      </w:r>
      <w:r w:rsidR="00A8216E">
        <w:t>,</w:t>
      </w:r>
      <w:r w:rsidR="005E31B2">
        <w:t xml:space="preserve"> with </w:t>
      </w:r>
      <w:r w:rsidR="006025F8">
        <w:t>special</w:t>
      </w:r>
      <w:r w:rsidR="005E31B2">
        <w:t xml:space="preserve"> reference to the impact of COVID-19</w:t>
      </w:r>
      <w:r w:rsidR="00A8216E">
        <w:t xml:space="preserve"> which struck towards </w:t>
      </w:r>
      <w:r w:rsidR="009F1D10">
        <w:t xml:space="preserve">the end of the </w:t>
      </w:r>
      <w:r w:rsidR="00214C68">
        <w:t>current study.</w:t>
      </w:r>
    </w:p>
    <w:p w14:paraId="3C3007D4" w14:textId="1F21A1C0" w:rsidR="009F1D10" w:rsidRDefault="0086161C" w:rsidP="00412836">
      <w:r>
        <w:t xml:space="preserve">The </w:t>
      </w:r>
      <w:r w:rsidR="00DE1846">
        <w:t>current examination of WHM and</w:t>
      </w:r>
      <w:r w:rsidR="00EE4953">
        <w:t xml:space="preserve"> </w:t>
      </w:r>
      <w:r w:rsidR="00DE1846">
        <w:t>employer perceptions</w:t>
      </w:r>
      <w:r>
        <w:t xml:space="preserve"> </w:t>
      </w:r>
      <w:r w:rsidR="0026742F">
        <w:t>is</w:t>
      </w:r>
      <w:r w:rsidR="00173A7B">
        <w:t xml:space="preserve"> based on a survey of WHMs, a survey of WHM employers and a series of interviews with WHM employer</w:t>
      </w:r>
      <w:r w:rsidR="00155615">
        <w:t>s</w:t>
      </w:r>
      <w:r w:rsidR="00173A7B">
        <w:t>. The</w:t>
      </w:r>
      <w:r w:rsidR="00841261" w:rsidRPr="00841261">
        <w:t xml:space="preserve"> WHM survey was distributed in quarterly tranches to over 180,000 WHM visa holders whose entry visa expiry date occurred between 1 March 2019 and 29 February 2020.</w:t>
      </w:r>
      <w:r w:rsidR="00CC6D78">
        <w:t xml:space="preserve"> </w:t>
      </w:r>
      <w:r w:rsidR="000F2537" w:rsidRPr="000F2537">
        <w:t xml:space="preserve">The </w:t>
      </w:r>
      <w:r w:rsidR="00E161D0">
        <w:t>WHM</w:t>
      </w:r>
      <w:r w:rsidR="000F2537" w:rsidRPr="000F2537">
        <w:t xml:space="preserve"> Employers </w:t>
      </w:r>
      <w:r w:rsidR="004C36E2">
        <w:t>S</w:t>
      </w:r>
      <w:r w:rsidR="004C36E2" w:rsidRPr="000F2537">
        <w:t xml:space="preserve">urvey </w:t>
      </w:r>
      <w:r w:rsidR="000F2537" w:rsidRPr="000F2537">
        <w:t xml:space="preserve">gathered information about employer experience of WHMs and the WHM program. The survey was targeted to the agriculture, forestry and fishing (‘agriculture’) industry </w:t>
      </w:r>
      <w:r w:rsidR="0056362A">
        <w:t>along with</w:t>
      </w:r>
      <w:r w:rsidR="000F2537" w:rsidRPr="000F2537">
        <w:t xml:space="preserve"> tourism and hospitality </w:t>
      </w:r>
      <w:r w:rsidR="0056362A">
        <w:t>businesses</w:t>
      </w:r>
      <w:r w:rsidR="000F2537" w:rsidRPr="000F2537">
        <w:t xml:space="preserve">. </w:t>
      </w:r>
      <w:r w:rsidR="00D940D4">
        <w:t>Telephone i</w:t>
      </w:r>
      <w:r w:rsidR="000F2537" w:rsidRPr="000F2537">
        <w:t>nterviews of employers from the</w:t>
      </w:r>
      <w:r w:rsidR="00F74DEB">
        <w:t>se sectors</w:t>
      </w:r>
      <w:r w:rsidR="000F2537" w:rsidRPr="000F2537">
        <w:t xml:space="preserve"> were subsequently conducted to gather contextual information</w:t>
      </w:r>
      <w:r w:rsidR="00D940D4">
        <w:t>.</w:t>
      </w:r>
      <w:r w:rsidR="00D15939">
        <w:t xml:space="preserve"> </w:t>
      </w:r>
      <w:r w:rsidR="00FB4880">
        <w:t xml:space="preserve">Further information about the methodology is provided in Section </w:t>
      </w:r>
      <w:r w:rsidR="009B224B">
        <w:fldChar w:fldCharType="begin"/>
      </w:r>
      <w:r w:rsidR="009B224B">
        <w:instrText xml:space="preserve"> REF _Ref84504860 \r \h </w:instrText>
      </w:r>
      <w:r w:rsidR="009B224B">
        <w:fldChar w:fldCharType="separate"/>
      </w:r>
      <w:r w:rsidR="00F22012">
        <w:t>3</w:t>
      </w:r>
      <w:r w:rsidR="009B224B">
        <w:fldChar w:fldCharType="end"/>
      </w:r>
      <w:r w:rsidR="009B224B">
        <w:t xml:space="preserve">. </w:t>
      </w:r>
    </w:p>
    <w:p w14:paraId="57955378" w14:textId="546A36BA" w:rsidR="00643767" w:rsidRDefault="00E603DB" w:rsidP="00412836">
      <w:r>
        <w:t xml:space="preserve">The </w:t>
      </w:r>
      <w:r w:rsidR="000B675C">
        <w:t>study</w:t>
      </w:r>
      <w:r>
        <w:t xml:space="preserve"> findings </w:t>
      </w:r>
      <w:r w:rsidR="00B35EC2">
        <w:t xml:space="preserve">present demographic </w:t>
      </w:r>
      <w:r w:rsidR="004172EB">
        <w:t>features of WHMs</w:t>
      </w:r>
      <w:r w:rsidR="002E6F1F">
        <w:t>, employment</w:t>
      </w:r>
      <w:r w:rsidR="004172EB">
        <w:t>,</w:t>
      </w:r>
      <w:r w:rsidR="00296801">
        <w:t xml:space="preserve"> wages and spending patterns</w:t>
      </w:r>
      <w:r w:rsidR="003419FB">
        <w:t xml:space="preserve"> and</w:t>
      </w:r>
      <w:r w:rsidR="00296801">
        <w:t xml:space="preserve"> </w:t>
      </w:r>
      <w:r w:rsidR="009B75A8">
        <w:t xml:space="preserve">WHM </w:t>
      </w:r>
      <w:r w:rsidR="00296801">
        <w:t>domestic travel</w:t>
      </w:r>
      <w:r w:rsidR="003419FB">
        <w:t xml:space="preserve"> </w:t>
      </w:r>
      <w:r w:rsidR="009B75A8">
        <w:t>habits</w:t>
      </w:r>
      <w:r w:rsidR="003C07D9">
        <w:t>, including mobility between states and territories, reasons for visiting destinations and types of accommodation used</w:t>
      </w:r>
      <w:r w:rsidR="009B75A8">
        <w:t xml:space="preserve">. </w:t>
      </w:r>
      <w:r w:rsidR="004933C0">
        <w:t>WHM motivations and experiences were also explored</w:t>
      </w:r>
      <w:r w:rsidR="002D5D65">
        <w:t>, including job satisfaction, on-the</w:t>
      </w:r>
      <w:r w:rsidR="009C37DD">
        <w:t>-</w:t>
      </w:r>
      <w:r w:rsidR="002D5D65">
        <w:t>job</w:t>
      </w:r>
      <w:r w:rsidR="009C37DD">
        <w:t xml:space="preserve"> </w:t>
      </w:r>
      <w:r w:rsidR="002D5D65">
        <w:t>training</w:t>
      </w:r>
      <w:r w:rsidR="009C37DD">
        <w:t xml:space="preserve"> received</w:t>
      </w:r>
      <w:r w:rsidR="00A33324">
        <w:t>,</w:t>
      </w:r>
      <w:r w:rsidR="001D0016">
        <w:t xml:space="preserve"> and formal study undertaken. </w:t>
      </w:r>
      <w:r w:rsidR="003404E8">
        <w:t>The survey explored</w:t>
      </w:r>
      <w:r w:rsidR="00A33324">
        <w:t xml:space="preserve"> </w:t>
      </w:r>
      <w:r w:rsidR="007A4AEA">
        <w:t xml:space="preserve">how </w:t>
      </w:r>
      <w:r w:rsidR="003404E8">
        <w:t>WHMs</w:t>
      </w:r>
      <w:r w:rsidR="007A4AEA">
        <w:t xml:space="preserve"> found out about the program, </w:t>
      </w:r>
      <w:r w:rsidR="004B3671">
        <w:t xml:space="preserve">their </w:t>
      </w:r>
      <w:r w:rsidR="00621CCA">
        <w:t>approach to applying for subsequent visas</w:t>
      </w:r>
      <w:r w:rsidR="00E8089B">
        <w:t>,</w:t>
      </w:r>
      <w:r w:rsidR="00621CCA">
        <w:t xml:space="preserve"> whether they would recommend the program to others</w:t>
      </w:r>
      <w:r w:rsidR="00247151">
        <w:t xml:space="preserve">, </w:t>
      </w:r>
      <w:r w:rsidR="00577C80">
        <w:t xml:space="preserve">the ease of </w:t>
      </w:r>
      <w:r w:rsidR="00E8089B">
        <w:t>ap</w:t>
      </w:r>
      <w:r w:rsidR="006E0896">
        <w:t xml:space="preserve">plying for a WHM visa and </w:t>
      </w:r>
      <w:r w:rsidR="00577C80">
        <w:t>travelling to Australia</w:t>
      </w:r>
      <w:r w:rsidR="006E0896">
        <w:t>,</w:t>
      </w:r>
      <w:r w:rsidR="00247151">
        <w:t xml:space="preserve"> and what other countries they considered</w:t>
      </w:r>
      <w:r w:rsidR="00577C80">
        <w:t xml:space="preserve"> </w:t>
      </w:r>
      <w:r w:rsidR="00886C5A">
        <w:t>travelling to.</w:t>
      </w:r>
    </w:p>
    <w:p w14:paraId="02E7AAE0" w14:textId="589CB4FE" w:rsidR="00886C5A" w:rsidRDefault="00706B22" w:rsidP="00412836">
      <w:r>
        <w:t xml:space="preserve">Employer perspectives </w:t>
      </w:r>
      <w:r w:rsidR="00EC121E">
        <w:t>include t</w:t>
      </w:r>
      <w:r w:rsidR="007F4DCC">
        <w:t xml:space="preserve">he importance of WHMs </w:t>
      </w:r>
      <w:r w:rsidR="007434A4">
        <w:t>to Australian businesses</w:t>
      </w:r>
      <w:r w:rsidR="00296FDF">
        <w:t xml:space="preserve"> and </w:t>
      </w:r>
      <w:r w:rsidR="00EC121E">
        <w:t>their</w:t>
      </w:r>
      <w:r w:rsidR="00CB7474">
        <w:t xml:space="preserve"> experience</w:t>
      </w:r>
      <w:r w:rsidR="00EC121E">
        <w:t xml:space="preserve"> of</w:t>
      </w:r>
      <w:r w:rsidR="00CB7474">
        <w:t xml:space="preserve"> the program</w:t>
      </w:r>
      <w:r w:rsidR="00563A37">
        <w:t xml:space="preserve">. </w:t>
      </w:r>
      <w:r w:rsidR="00110F10">
        <w:t xml:space="preserve">Insights </w:t>
      </w:r>
      <w:r w:rsidR="00277305">
        <w:t>are</w:t>
      </w:r>
      <w:r w:rsidR="00110F10">
        <w:t xml:space="preserve"> provided into perceived strengths and</w:t>
      </w:r>
      <w:r w:rsidR="00BA014F">
        <w:t xml:space="preserve"> </w:t>
      </w:r>
      <w:r w:rsidR="00110F10">
        <w:t xml:space="preserve">limitations of the program and </w:t>
      </w:r>
      <w:r w:rsidR="00277305">
        <w:t>potential</w:t>
      </w:r>
      <w:r w:rsidR="00110F10">
        <w:t xml:space="preserve"> improvements</w:t>
      </w:r>
      <w:r w:rsidR="00F57DFC">
        <w:t xml:space="preserve"> into the future</w:t>
      </w:r>
      <w:r w:rsidR="00682B8E">
        <w:t xml:space="preserve">. </w:t>
      </w:r>
      <w:r w:rsidR="00D92114">
        <w:t xml:space="preserve">With the interviews coinciding with </w:t>
      </w:r>
      <w:r w:rsidR="00BE1E9C">
        <w:t>the fall-out of</w:t>
      </w:r>
      <w:r w:rsidR="00D92114">
        <w:t xml:space="preserve"> </w:t>
      </w:r>
      <w:r w:rsidR="00A30289">
        <w:t>COVID-19</w:t>
      </w:r>
      <w:r w:rsidR="00BE1E9C">
        <w:t xml:space="preserve">, employers </w:t>
      </w:r>
      <w:r w:rsidR="00FC1C55">
        <w:t>discuss</w:t>
      </w:r>
      <w:r w:rsidR="00BE1E9C">
        <w:t xml:space="preserve"> </w:t>
      </w:r>
      <w:r w:rsidR="00D42846">
        <w:t xml:space="preserve">the impact in terms of </w:t>
      </w:r>
      <w:r w:rsidR="004933BB">
        <w:t xml:space="preserve">workforce size and composition, </w:t>
      </w:r>
      <w:r w:rsidR="000263E0">
        <w:t xml:space="preserve">their </w:t>
      </w:r>
      <w:r w:rsidR="00D42846">
        <w:t xml:space="preserve">access to </w:t>
      </w:r>
      <w:r w:rsidR="00D75D44">
        <w:t xml:space="preserve">necessary </w:t>
      </w:r>
      <w:r w:rsidR="00D42846">
        <w:t xml:space="preserve">workers </w:t>
      </w:r>
      <w:r w:rsidR="00D75D44">
        <w:t xml:space="preserve">and what they needed to </w:t>
      </w:r>
      <w:r w:rsidR="00AB5E0D">
        <w:t>aid in their COVID-19 recovery.</w:t>
      </w:r>
    </w:p>
    <w:p w14:paraId="2022AA7C" w14:textId="6A214717" w:rsidR="00C71900" w:rsidRPr="00C71900" w:rsidRDefault="00CF2A42" w:rsidP="00C71900">
      <w:r>
        <w:t>Th</w:t>
      </w:r>
      <w:r w:rsidR="00FE5495">
        <w:t xml:space="preserve">is report </w:t>
      </w:r>
      <w:r w:rsidR="006B4A5A">
        <w:t xml:space="preserve">is a timely </w:t>
      </w:r>
      <w:r w:rsidR="00906AA7">
        <w:t xml:space="preserve">assessment </w:t>
      </w:r>
      <w:r w:rsidR="0038252A">
        <w:t>of employer and participant perceptions of the program</w:t>
      </w:r>
      <w:r w:rsidR="00C80B37">
        <w:t xml:space="preserve">, as well as how it </w:t>
      </w:r>
      <w:r w:rsidR="00D44641">
        <w:t xml:space="preserve">has fared under the exceptional circumstances of COVID-19. </w:t>
      </w:r>
      <w:r w:rsidR="004A4DF1">
        <w:t xml:space="preserve">The information provided in this report is designed to </w:t>
      </w:r>
      <w:r w:rsidR="00D0532B">
        <w:t xml:space="preserve">support government and industry stakeholders to </w:t>
      </w:r>
      <w:r w:rsidR="009579DB">
        <w:t>market Australia as a WHM destination to partner countries and promote careers and influence training pathways in the tourism and hospitality industry.</w:t>
      </w:r>
    </w:p>
    <w:p w14:paraId="6A1415D1" w14:textId="39327D3A" w:rsidR="00FC75A4" w:rsidRPr="00F03B6F" w:rsidRDefault="00FC75A4" w:rsidP="00463AF2">
      <w:pPr>
        <w:pStyle w:val="Heading1"/>
      </w:pPr>
      <w:bookmarkStart w:id="6" w:name="_Toc75878435"/>
      <w:bookmarkStart w:id="7" w:name="_Ref84505173"/>
      <w:r w:rsidRPr="00F03B6F">
        <w:t>Overview of the WHM program</w:t>
      </w:r>
      <w:bookmarkEnd w:id="3"/>
      <w:bookmarkEnd w:id="6"/>
      <w:bookmarkEnd w:id="7"/>
    </w:p>
    <w:p w14:paraId="5864CA0B" w14:textId="0F8CA0A0" w:rsidR="00FC75A4" w:rsidRPr="00F03B6F" w:rsidRDefault="00FC75A4" w:rsidP="00FC75A4">
      <w:r w:rsidRPr="00F03B6F">
        <w:t xml:space="preserve">The WHM program is a reciprocal program that allows young adults from selected countries </w:t>
      </w:r>
      <w:r w:rsidR="008D2142">
        <w:t xml:space="preserve">to </w:t>
      </w:r>
      <w:r w:rsidRPr="00F03B6F">
        <w:t xml:space="preserve">visit Australia for an initial 12-month holiday during which time they are permitted to undertake short-term work and study. The program commenced in 1975 for young people from the United Kingdom (UK), Ireland and Canada visiting Australia and has since expanded to include many other partner countries. There are currently 44 partner countries from various regions across the world </w:t>
      </w:r>
      <w:r w:rsidRPr="00F03B6F">
        <w:fldChar w:fldCharType="begin"/>
      </w:r>
      <w:r w:rsidR="003D331A">
        <w:instrText xml:space="preserve"> ADDIN EN.CITE &lt;EndNote&gt;&lt;Cite&gt;&lt;Author&gt;Australian Government Department of Home Affairs&lt;/Author&gt;&lt;Year&gt;2020&lt;/Year&gt;&lt;RecNum&gt;11&lt;/RecNum&gt;&lt;DisplayText&gt;(Australian Government Department of Home Affairs, 2020c)&lt;/DisplayText&gt;&lt;record&gt;&lt;rec-number&gt;11&lt;/rec-number&gt;&lt;foreign-keys&gt;&lt;key app="EN" db-id="r5sv9zwer2dw2pexz935edzbrpsweevtw5ed" timestamp="1599113220"&gt;11&lt;/key&gt;&lt;/foreign-keys&gt;&lt;ref-type name="Web Page"&gt;12&lt;/ref-type&gt;&lt;contributors&gt;&lt;authors&gt;&lt;author&gt;Australian Government Department of Home Affairs,&lt;/author&gt;&lt;/authors&gt;&lt;/contributors&gt;&lt;titles&gt;&lt;title&gt;Working Holiday Maker (WHM) program&lt;/title&gt;&lt;/titles&gt;&lt;volume&gt;2020&lt;/volume&gt;&lt;number&gt;3 September 2020&lt;/number&gt;&lt;dates&gt;&lt;year&gt;2020&lt;/year&gt;&lt;pub-dates&gt;&lt;date&gt;17 January 2020&lt;/date&gt;&lt;/pub-dates&gt;&lt;/dates&gt;&lt;urls&gt;&lt;related-urls&gt;&lt;url&gt;https://immi.homeaffairs.gov.au/what-we-do/whm-program&lt;/url&gt;&lt;/related-urls&gt;&lt;/urls&gt;&lt;/record&gt;&lt;/Cite&gt;&lt;/EndNote&gt;</w:instrText>
      </w:r>
      <w:r w:rsidRPr="00F03B6F">
        <w:fldChar w:fldCharType="separate"/>
      </w:r>
      <w:r w:rsidRPr="00F03B6F">
        <w:rPr>
          <w:noProof/>
        </w:rPr>
        <w:t>(Australian Government Department of Home Affairs, 2020c)</w:t>
      </w:r>
      <w:r w:rsidRPr="00F03B6F">
        <w:fldChar w:fldCharType="end"/>
      </w:r>
      <w:r w:rsidRPr="00F03B6F">
        <w:t>.</w:t>
      </w:r>
    </w:p>
    <w:p w14:paraId="2DA7DB78" w14:textId="77777777" w:rsidR="00FC75A4" w:rsidRPr="00F03B6F" w:rsidRDefault="00FC75A4" w:rsidP="00FC75A4">
      <w:r w:rsidRPr="00F03B6F">
        <w:t xml:space="preserve">There are two sub-classes of Working Holiday Visa, the </w:t>
      </w:r>
      <w:r w:rsidRPr="00F03B6F">
        <w:rPr>
          <w:i/>
          <w:iCs/>
        </w:rPr>
        <w:t>Working Holiday visa (subclass 417)</w:t>
      </w:r>
      <w:r w:rsidRPr="00F03B6F">
        <w:t xml:space="preserve"> and the </w:t>
      </w:r>
      <w:r w:rsidRPr="00F03B6F">
        <w:rPr>
          <w:i/>
          <w:iCs/>
        </w:rPr>
        <w:t>Work and Holiday visa (subclass 462).</w:t>
      </w:r>
      <w:r w:rsidRPr="00F03B6F">
        <w:t xml:space="preserve"> </w:t>
      </w:r>
    </w:p>
    <w:p w14:paraId="1B9B4B69" w14:textId="77777777" w:rsidR="00FC75A4" w:rsidRPr="00F03B6F" w:rsidRDefault="00FC75A4" w:rsidP="008A55F1">
      <w:pPr>
        <w:pStyle w:val="Heading3"/>
      </w:pPr>
      <w:bookmarkStart w:id="8" w:name="_Toc75878436"/>
      <w:r w:rsidRPr="00F03B6F">
        <w:t>Working Holiday visa (subclass 417)</w:t>
      </w:r>
      <w:bookmarkEnd w:id="8"/>
    </w:p>
    <w:p w14:paraId="2FA8B331" w14:textId="606F01D0" w:rsidR="00FC75A4" w:rsidRPr="00F03B6F" w:rsidRDefault="00FC75A4" w:rsidP="00FC75A4">
      <w:r w:rsidRPr="00F03B6F">
        <w:t xml:space="preserve">First introduced in 1975, the </w:t>
      </w:r>
      <w:r w:rsidRPr="00F03B6F">
        <w:rPr>
          <w:i/>
          <w:iCs/>
        </w:rPr>
        <w:t>Working Holiday visa (subclass 417)</w:t>
      </w:r>
      <w:r w:rsidRPr="00F03B6F">
        <w:t xml:space="preserve"> is open to people who hold a passport from Belgium, Canada, Cyprus, Denmark, Estonia, Finland, France, Germany, Hong Kong, Republic of Ireland, Italy, Japan, Republic of Korea, Malta, Netherlands, Norway, Sweden, Taiwan and the United Kingdom </w:t>
      </w:r>
      <w:r w:rsidRPr="00F03B6F">
        <w:fldChar w:fldCharType="begin"/>
      </w:r>
      <w:r w:rsidR="003D331A">
        <w:instrText xml:space="preserve"> ADDIN EN.CITE &lt;EndNote&gt;&lt;Cite&gt;&lt;Author&gt;Australian Government Department of Home Affairs&lt;/Author&gt;&lt;Year&gt;2020&lt;/Year&gt;&lt;RecNum&gt;12&lt;/RecNum&gt;&lt;DisplayText&gt;(Australian Government Department of Home Affairs, 2020a)&lt;/DisplayText&gt;&lt;record&gt;&lt;rec-number&gt;12&lt;/rec-number&gt;&lt;foreign-keys&gt;&lt;key app="EN" db-id="r5sv9zwer2dw2pexz935edzbrpsweevtw5ed" timestamp="1599113428"&gt;12&lt;/key&gt;&lt;/foreign-keys&gt;&lt;ref-type name="Web Page"&gt;12&lt;/ref-type&gt;&lt;contributors&gt;&lt;authors&gt;&lt;author&gt;Australian Government Department of Home Affairs,&lt;/author&gt;&lt;/authors&gt;&lt;/contributors&gt;&lt;titles&gt;&lt;title&gt;(Subclass 417) Working Holiday Visa&lt;/title&gt;&lt;/titles&gt;&lt;volume&gt;2020&lt;/volume&gt;&lt;number&gt;3 September 2020&lt;/number&gt;&lt;dates&gt;&lt;year&gt;2020&lt;/year&gt;&lt;pub-dates&gt;&lt;date&gt;22 April 2020&lt;/date&gt;&lt;/pub-dates&gt;&lt;/dates&gt;&lt;urls&gt;&lt;related-urls&gt;&lt;url&gt;https://immi.homeaffairs.gov.au/visas/getting-a-visa/visa-listing/work-holiday-417&lt;/url&gt;&lt;/related-urls&gt;&lt;/urls&gt;&lt;/record&gt;&lt;/Cite&gt;&lt;/EndNote&gt;</w:instrText>
      </w:r>
      <w:r w:rsidRPr="00F03B6F">
        <w:fldChar w:fldCharType="separate"/>
      </w:r>
      <w:r w:rsidRPr="00F03B6F">
        <w:rPr>
          <w:noProof/>
        </w:rPr>
        <w:t>(Australian Government Department of Home Affairs, 2020a)</w:t>
      </w:r>
      <w:r w:rsidRPr="00F03B6F">
        <w:fldChar w:fldCharType="end"/>
      </w:r>
      <w:r w:rsidRPr="00F03B6F">
        <w:t>.</w:t>
      </w:r>
    </w:p>
    <w:p w14:paraId="75EF338B" w14:textId="66C71E61" w:rsidR="00FC75A4" w:rsidRPr="00F03B6F" w:rsidRDefault="00FC75A4" w:rsidP="00FC75A4">
      <w:r w:rsidRPr="00F03B6F">
        <w:t>As of the time of reporting, Working Holiday 417</w:t>
      </w:r>
      <w:r w:rsidR="00BC0B7C">
        <w:t xml:space="preserve"> </w:t>
      </w:r>
      <w:r w:rsidRPr="00F03B6F">
        <w:t>visas allow people aged 18 to 30 years (except for Canadian, French and Irish citizens where the upper limit is 35 years) to have an extended working holiday in Australia. Visas are applicable for stays of up to 12 months during which time people may do up to four months of study and any amount of work in a full-time, part-time, casual, paid or voluntary work. Applicants may do any kind of work however they are restricted to</w:t>
      </w:r>
      <w:r w:rsidR="00F851CF">
        <w:t xml:space="preserve"> a maximum </w:t>
      </w:r>
      <w:r w:rsidR="00CD16A9">
        <w:t>six months</w:t>
      </w:r>
      <w:r w:rsidRPr="00F03B6F">
        <w:t xml:space="preserve"> working for the same employer, except where the work is:</w:t>
      </w:r>
    </w:p>
    <w:p w14:paraId="7499460B" w14:textId="77777777" w:rsidR="00FC75A4" w:rsidRPr="00F03B6F" w:rsidRDefault="00FC75A4" w:rsidP="00FC75A4">
      <w:pPr>
        <w:pStyle w:val="ListParagraph"/>
        <w:numPr>
          <w:ilvl w:val="0"/>
          <w:numId w:val="14"/>
        </w:numPr>
      </w:pPr>
      <w:r w:rsidRPr="00F03B6F">
        <w:t>in different locations and work in any one location does not exceed 6 months</w:t>
      </w:r>
    </w:p>
    <w:p w14:paraId="3720F93A" w14:textId="77777777" w:rsidR="00FC75A4" w:rsidRPr="00F03B6F" w:rsidRDefault="00FC75A4" w:rsidP="00FC75A4">
      <w:pPr>
        <w:pStyle w:val="ListParagraph"/>
        <w:numPr>
          <w:ilvl w:val="0"/>
          <w:numId w:val="14"/>
        </w:numPr>
      </w:pPr>
      <w:r w:rsidRPr="00F03B6F">
        <w:t>in plant and animal cultivation anywhere in Australia</w:t>
      </w:r>
    </w:p>
    <w:p w14:paraId="0705E8D6" w14:textId="77777777" w:rsidR="00FC75A4" w:rsidRPr="00F03B6F" w:rsidRDefault="00FC75A4" w:rsidP="00FC75A4">
      <w:pPr>
        <w:pStyle w:val="ListParagraph"/>
        <w:numPr>
          <w:ilvl w:val="0"/>
          <w:numId w:val="14"/>
        </w:numPr>
      </w:pPr>
      <w:r w:rsidRPr="00F03B6F">
        <w:t>in certain industries in northern Australia only</w:t>
      </w:r>
    </w:p>
    <w:p w14:paraId="08C20727" w14:textId="77777777" w:rsidR="00FC75A4" w:rsidRPr="00F03B6F" w:rsidRDefault="00FC75A4" w:rsidP="00FC75A4">
      <w:pPr>
        <w:pStyle w:val="ListParagraph"/>
        <w:numPr>
          <w:ilvl w:val="0"/>
          <w:numId w:val="14"/>
        </w:numPr>
      </w:pPr>
      <w:r w:rsidRPr="00F03B6F">
        <w:t>assisting bushfire recovery efforts</w:t>
      </w:r>
    </w:p>
    <w:p w14:paraId="1699197E" w14:textId="77777777" w:rsidR="00FC75A4" w:rsidRPr="00F03B6F" w:rsidRDefault="00FC75A4" w:rsidP="00FC75A4">
      <w:pPr>
        <w:pStyle w:val="ListParagraph"/>
        <w:numPr>
          <w:ilvl w:val="0"/>
          <w:numId w:val="14"/>
        </w:numPr>
      </w:pPr>
      <w:r w:rsidRPr="00F03B6F">
        <w:t>in critical sectors during the COVID-19 pandemic including agriculture, food processing, health, aged and disability care and childcare</w:t>
      </w:r>
    </w:p>
    <w:p w14:paraId="0A73C4B4" w14:textId="4DDDA812" w:rsidR="00FC75A4" w:rsidRPr="00F03B6F" w:rsidRDefault="00FC75A4" w:rsidP="00FC75A4">
      <w:pPr>
        <w:pStyle w:val="ListParagraph"/>
        <w:numPr>
          <w:ilvl w:val="0"/>
          <w:numId w:val="14"/>
        </w:numPr>
      </w:pPr>
      <w:r w:rsidRPr="00F03B6F">
        <w:t>or where permission is requested and granted in writing by the Secretary</w:t>
      </w:r>
      <w:r w:rsidR="007E77B4">
        <w:t xml:space="preserve"> of the Department of Home Affairs</w:t>
      </w:r>
      <w:r w:rsidRPr="00F03B6F">
        <w:t>.</w:t>
      </w:r>
    </w:p>
    <w:p w14:paraId="164DDD46" w14:textId="6A8CFC0C" w:rsidR="00FC75A4" w:rsidRPr="00F03B6F" w:rsidRDefault="00FC75A4" w:rsidP="00FC75A4">
      <w:r w:rsidRPr="00F03B6F">
        <w:t>People who hold or have held a first Working Holiday visa</w:t>
      </w:r>
      <w:r w:rsidR="00514C91">
        <w:t>,</w:t>
      </w:r>
      <w:r w:rsidRPr="00F03B6F">
        <w:t xml:space="preserve"> and who remain in the eligible age range</w:t>
      </w:r>
      <w:r w:rsidR="00514C91">
        <w:t>,</w:t>
      </w:r>
      <w:r w:rsidRPr="00F03B6F">
        <w:t xml:space="preserve"> are able to apply for a second and a third Working Holiday visa, provided certain conditions are met. Second and third Working Holiday visas are applicable for stays up to 12 </w:t>
      </w:r>
      <w:r w:rsidR="00400629">
        <w:t xml:space="preserve">months </w:t>
      </w:r>
      <w:r w:rsidRPr="00F03B6F">
        <w:t>respectively. Notable distinctions include:</w:t>
      </w:r>
    </w:p>
    <w:p w14:paraId="442E7C87" w14:textId="77777777" w:rsidR="00FC75A4" w:rsidRPr="00F03B6F" w:rsidRDefault="00FC75A4" w:rsidP="00FC75A4">
      <w:pPr>
        <w:pStyle w:val="ListParagraph"/>
        <w:numPr>
          <w:ilvl w:val="0"/>
          <w:numId w:val="15"/>
        </w:numPr>
      </w:pPr>
      <w:r w:rsidRPr="00F03B6F">
        <w:t xml:space="preserve">first Working Holiday visas allow people to do </w:t>
      </w:r>
      <w:r w:rsidRPr="00F03B6F">
        <w:rPr>
          <w:i/>
          <w:iCs/>
        </w:rPr>
        <w:t>any kind of work</w:t>
      </w:r>
      <w:r w:rsidRPr="00F03B6F">
        <w:t xml:space="preserve"> during the 12-month period</w:t>
      </w:r>
    </w:p>
    <w:p w14:paraId="466C266D" w14:textId="77777777" w:rsidR="00FC75A4" w:rsidRPr="00F03B6F" w:rsidRDefault="00FC75A4" w:rsidP="00FC75A4">
      <w:pPr>
        <w:pStyle w:val="ListParagraph"/>
        <w:numPr>
          <w:ilvl w:val="0"/>
          <w:numId w:val="15"/>
        </w:numPr>
      </w:pPr>
      <w:r w:rsidRPr="00F03B6F">
        <w:t xml:space="preserve">second Working Holiday visa holders can do any kind of work but must have completed </w:t>
      </w:r>
      <w:r w:rsidRPr="00F03B6F">
        <w:rPr>
          <w:i/>
          <w:iCs/>
        </w:rPr>
        <w:t>3 months of specified work</w:t>
      </w:r>
      <w:r w:rsidRPr="00F03B6F">
        <w:t xml:space="preserve"> </w:t>
      </w:r>
      <w:r w:rsidRPr="00F03B6F">
        <w:rPr>
          <w:i/>
          <w:iCs/>
        </w:rPr>
        <w:t>in regional areas</w:t>
      </w:r>
      <w:r w:rsidRPr="00F03B6F">
        <w:t xml:space="preserve"> while holding their </w:t>
      </w:r>
      <w:r w:rsidRPr="00F03B6F">
        <w:rPr>
          <w:i/>
          <w:iCs/>
        </w:rPr>
        <w:t>first</w:t>
      </w:r>
      <w:r w:rsidRPr="00F03B6F">
        <w:t xml:space="preserve"> Working Holiday visa</w:t>
      </w:r>
    </w:p>
    <w:p w14:paraId="3E0B0634" w14:textId="77777777" w:rsidR="00FC75A4" w:rsidRPr="00F03B6F" w:rsidRDefault="00FC75A4" w:rsidP="00FC75A4">
      <w:pPr>
        <w:pStyle w:val="ListParagraph"/>
        <w:numPr>
          <w:ilvl w:val="0"/>
          <w:numId w:val="15"/>
        </w:numPr>
      </w:pPr>
      <w:r w:rsidRPr="00F03B6F">
        <w:t xml:space="preserve">third Working Holiday visa applicants can do any kind of work but must have completed </w:t>
      </w:r>
      <w:r w:rsidRPr="00F03B6F">
        <w:rPr>
          <w:i/>
          <w:iCs/>
        </w:rPr>
        <w:t>6 months of specified work</w:t>
      </w:r>
      <w:r w:rsidRPr="00F03B6F">
        <w:t xml:space="preserve"> </w:t>
      </w:r>
      <w:r w:rsidRPr="00F03B6F">
        <w:rPr>
          <w:i/>
          <w:iCs/>
        </w:rPr>
        <w:t>in regional areas</w:t>
      </w:r>
      <w:r w:rsidRPr="00F03B6F">
        <w:t xml:space="preserve"> while holding their </w:t>
      </w:r>
      <w:r w:rsidRPr="00F03B6F">
        <w:rPr>
          <w:i/>
          <w:iCs/>
        </w:rPr>
        <w:t>second</w:t>
      </w:r>
      <w:r w:rsidRPr="00F03B6F">
        <w:t xml:space="preserve"> Working Holiday visa.</w:t>
      </w:r>
    </w:p>
    <w:p w14:paraId="47F9D43A" w14:textId="77777777" w:rsidR="00FC75A4" w:rsidRPr="00F03B6F" w:rsidRDefault="00FC75A4" w:rsidP="00FC75A4">
      <w:r w:rsidRPr="00F03B6F">
        <w:t>Approved industries for specified work (as required for second and third visas) include:</w:t>
      </w:r>
    </w:p>
    <w:p w14:paraId="564F9F05" w14:textId="41547F7B" w:rsidR="00FC75A4" w:rsidRPr="00F03B6F" w:rsidRDefault="00FC75A4" w:rsidP="00FC75A4">
      <w:pPr>
        <w:pStyle w:val="ListParagraph"/>
        <w:numPr>
          <w:ilvl w:val="0"/>
          <w:numId w:val="17"/>
        </w:numPr>
      </w:pPr>
      <w:r w:rsidRPr="00F03B6F">
        <w:t>plant and animal cultivation in regional Australia</w:t>
      </w:r>
      <w:r w:rsidR="005E3DCA">
        <w:rPr>
          <w:rStyle w:val="FootnoteReference"/>
        </w:rPr>
        <w:footnoteReference w:id="2"/>
      </w:r>
    </w:p>
    <w:p w14:paraId="47945683" w14:textId="77777777" w:rsidR="00FC75A4" w:rsidRPr="00F03B6F" w:rsidRDefault="00FC75A4" w:rsidP="00FC75A4">
      <w:pPr>
        <w:pStyle w:val="ListParagraph"/>
        <w:numPr>
          <w:ilvl w:val="0"/>
          <w:numId w:val="17"/>
        </w:numPr>
      </w:pPr>
      <w:r w:rsidRPr="00F03B6F">
        <w:t>fishing and pearling in regional Australia</w:t>
      </w:r>
    </w:p>
    <w:p w14:paraId="20C7B54F" w14:textId="77777777" w:rsidR="00FC75A4" w:rsidRPr="00F03B6F" w:rsidRDefault="00FC75A4" w:rsidP="00FC75A4">
      <w:pPr>
        <w:pStyle w:val="ListParagraph"/>
        <w:numPr>
          <w:ilvl w:val="0"/>
          <w:numId w:val="17"/>
        </w:numPr>
      </w:pPr>
      <w:r w:rsidRPr="00F03B6F">
        <w:t>tree farming and felling in regional Australia</w:t>
      </w:r>
    </w:p>
    <w:p w14:paraId="288369BF" w14:textId="77777777" w:rsidR="00FC75A4" w:rsidRPr="00F03B6F" w:rsidRDefault="00FC75A4" w:rsidP="00FC75A4">
      <w:pPr>
        <w:pStyle w:val="ListParagraph"/>
        <w:numPr>
          <w:ilvl w:val="0"/>
          <w:numId w:val="17"/>
        </w:numPr>
      </w:pPr>
      <w:r w:rsidRPr="00F03B6F">
        <w:t>mining in regional Australia</w:t>
      </w:r>
    </w:p>
    <w:p w14:paraId="547C9A41" w14:textId="77777777" w:rsidR="00FC75A4" w:rsidRPr="00F03B6F" w:rsidRDefault="00FC75A4" w:rsidP="00FC75A4">
      <w:pPr>
        <w:pStyle w:val="ListParagraph"/>
        <w:numPr>
          <w:ilvl w:val="0"/>
          <w:numId w:val="17"/>
        </w:numPr>
      </w:pPr>
      <w:r w:rsidRPr="00F03B6F">
        <w:t>construction in regional Australia</w:t>
      </w:r>
    </w:p>
    <w:p w14:paraId="4B368F99" w14:textId="04605241" w:rsidR="00FC75A4" w:rsidRPr="00F03B6F" w:rsidRDefault="00FC75A4" w:rsidP="00FC75A4">
      <w:pPr>
        <w:pStyle w:val="ListParagraph"/>
        <w:numPr>
          <w:ilvl w:val="0"/>
          <w:numId w:val="17"/>
        </w:numPr>
      </w:pPr>
      <w:r>
        <w:t xml:space="preserve">bushfire recovery work in declared bushfire affected areas only, after 31 July </w:t>
      </w:r>
      <w:r w:rsidR="776057B9">
        <w:t>2019.</w:t>
      </w:r>
    </w:p>
    <w:p w14:paraId="072FAE36" w14:textId="77777777" w:rsidR="00FC75A4" w:rsidRPr="00F03B6F" w:rsidRDefault="00FC75A4" w:rsidP="008A55F1">
      <w:pPr>
        <w:pStyle w:val="Heading3"/>
      </w:pPr>
      <w:bookmarkStart w:id="9" w:name="_Toc75878437"/>
      <w:r w:rsidRPr="00F03B6F">
        <w:t>Work and Holiday visa (subclass 462)</w:t>
      </w:r>
      <w:bookmarkEnd w:id="9"/>
    </w:p>
    <w:p w14:paraId="4B3B07FC" w14:textId="7F1066FA" w:rsidR="00FC75A4" w:rsidRPr="00F03B6F" w:rsidRDefault="00FC75A4" w:rsidP="00FC75A4">
      <w:r w:rsidRPr="00F03B6F">
        <w:t xml:space="preserve">The </w:t>
      </w:r>
      <w:r w:rsidRPr="00F03B6F">
        <w:rPr>
          <w:i/>
          <w:iCs/>
        </w:rPr>
        <w:t>Work and Holiday visa (subclass 462)</w:t>
      </w:r>
      <w:r w:rsidRPr="00F03B6F">
        <w:t xml:space="preserve"> was introduced in 2003</w:t>
      </w:r>
      <w:r w:rsidR="00DC4FDC">
        <w:t>. F</w:t>
      </w:r>
      <w:r w:rsidRPr="00F03B6F">
        <w:t>rom 2007 onwards, all signed agreements with new partner countries have fallen under this category (the last 417</w:t>
      </w:r>
      <w:r w:rsidR="008533C5">
        <w:t xml:space="preserve"> </w:t>
      </w:r>
      <w:r w:rsidRPr="00F03B6F">
        <w:t>visa-based partner country was signed on 1 July 2006). The 462</w:t>
      </w:r>
      <w:r w:rsidR="008533C5">
        <w:t xml:space="preserve"> </w:t>
      </w:r>
      <w:r w:rsidRPr="00F03B6F">
        <w:t xml:space="preserve">visa is open to people aged 18 to 30 years who hold a passport from Argentina, Austria, Chile, China, Czech Republic, Ecuador, Greece, Hungary, Indonesia, Israel, Luxembourg, Malaysia, Peru, Poland, Portugal, San Marino, Singapore, Slovak Republic, Slovenia, Spain, Thailand, Turkey, the United States, Uruguay or Vietnam. A new partnership agreement had been signed with Papua New Guinea but was not yet in effect at the time of reporting </w:t>
      </w:r>
      <w:r w:rsidRPr="00F03B6F">
        <w:fldChar w:fldCharType="begin"/>
      </w:r>
      <w:r w:rsidR="003D331A">
        <w:instrText xml:space="preserve"> ADDIN EN.CITE &lt;EndNote&gt;&lt;Cite&gt;&lt;Author&gt;Australian Government Department of Home Affairs&lt;/Author&gt;&lt;Year&gt;2020&lt;/Year&gt;&lt;RecNum&gt;13&lt;/RecNum&gt;&lt;DisplayText&gt;(Australian Government Department of Home Affairs, 2020b)&lt;/DisplayText&gt;&lt;record&gt;&lt;rec-number&gt;13&lt;/rec-number&gt;&lt;foreign-keys&gt;&lt;key app="EN" db-id="r5sv9zwer2dw2pexz935edzbrpsweevtw5ed" timestamp="1599113432"&gt;13&lt;/key&gt;&lt;/foreign-keys&gt;&lt;ref-type name="Web Page"&gt;12&lt;/ref-type&gt;&lt;contributors&gt;&lt;authors&gt;&lt;author&gt;Australian Government Department of Home Affairs,&lt;/author&gt;&lt;/authors&gt;&lt;/contributors&gt;&lt;titles&gt;&lt;title&gt;Subclass 462 Work and Holiday&lt;/title&gt;&lt;/titles&gt;&lt;volume&gt;2020&lt;/volume&gt;&lt;number&gt;3 September 2020&lt;/number&gt;&lt;dates&gt;&lt;year&gt;2020&lt;/year&gt;&lt;pub-dates&gt;&lt;date&gt;22 April 2020&lt;/date&gt;&lt;/pub-dates&gt;&lt;/dates&gt;&lt;urls&gt;&lt;related-urls&gt;&lt;url&gt;https://immi.homeaffairs.gov.au/visas/getting-a-visa/visa-listing/work-holiday-462&lt;/url&gt;&lt;/related-urls&gt;&lt;/urls&gt;&lt;/record&gt;&lt;/Cite&gt;&lt;/EndNote&gt;</w:instrText>
      </w:r>
      <w:r w:rsidRPr="00F03B6F">
        <w:fldChar w:fldCharType="separate"/>
      </w:r>
      <w:r w:rsidRPr="00F03B6F">
        <w:rPr>
          <w:noProof/>
        </w:rPr>
        <w:t>(Australian Government Department of Home Affairs, 2020b)</w:t>
      </w:r>
      <w:r w:rsidRPr="00F03B6F">
        <w:fldChar w:fldCharType="end"/>
      </w:r>
      <w:r w:rsidRPr="00F03B6F">
        <w:t>.</w:t>
      </w:r>
    </w:p>
    <w:p w14:paraId="32AE3B7E" w14:textId="53363C83" w:rsidR="00FC75A4" w:rsidRPr="00F03B6F" w:rsidRDefault="00FC75A4" w:rsidP="00FC75A4">
      <w:r w:rsidRPr="00F03B6F">
        <w:t>Additional requirements apply to visitors on a 462</w:t>
      </w:r>
      <w:r w:rsidR="002A7879">
        <w:t xml:space="preserve"> </w:t>
      </w:r>
      <w:r w:rsidRPr="00F03B6F">
        <w:t>visa which, depending on source country, may include functional English, successful completion of at least two years of undergraduate university study (all except Israel and the USA), and holding a letter of home country/government support in association with their visa application (all except Argentina, Austria, Chile, China, Israel, Portugal, Spain, Singapore and USA).</w:t>
      </w:r>
    </w:p>
    <w:p w14:paraId="612D2EA8" w14:textId="236F7523" w:rsidR="00FC75A4" w:rsidRPr="00F03B6F" w:rsidRDefault="00FC75A4" w:rsidP="00FC75A4">
      <w:r w:rsidRPr="00F03B6F">
        <w:t>Work and Holiday 462</w:t>
      </w:r>
      <w:r w:rsidR="00B8084C">
        <w:t xml:space="preserve"> </w:t>
      </w:r>
      <w:r w:rsidRPr="00F03B6F">
        <w:t>visas are applicable for stays of up to 12 months and allow people to do up to four months study in addition to working as much or as little as desired. In line with 417</w:t>
      </w:r>
      <w:r w:rsidR="00B8084C">
        <w:t xml:space="preserve"> </w:t>
      </w:r>
      <w:r w:rsidRPr="00F03B6F">
        <w:t>visas, 462</w:t>
      </w:r>
      <w:r w:rsidR="00B8084C">
        <w:t xml:space="preserve"> </w:t>
      </w:r>
      <w:r w:rsidRPr="00F03B6F">
        <w:t>visas can be renewed a second and third time provided certain conditions are met:</w:t>
      </w:r>
    </w:p>
    <w:p w14:paraId="1D63D3BA" w14:textId="77777777" w:rsidR="00FC75A4" w:rsidRPr="00F03B6F" w:rsidRDefault="00FC75A4" w:rsidP="00FC75A4">
      <w:pPr>
        <w:pStyle w:val="ListParagraph"/>
        <w:numPr>
          <w:ilvl w:val="0"/>
          <w:numId w:val="15"/>
        </w:numPr>
      </w:pPr>
      <w:r w:rsidRPr="00F03B6F">
        <w:t xml:space="preserve">first Work and Holiday visas allow people to do </w:t>
      </w:r>
      <w:r w:rsidRPr="00F03B6F">
        <w:rPr>
          <w:i/>
          <w:iCs/>
        </w:rPr>
        <w:t>any kind of work</w:t>
      </w:r>
      <w:r w:rsidRPr="00F03B6F">
        <w:t xml:space="preserve"> during the 12-month period</w:t>
      </w:r>
    </w:p>
    <w:p w14:paraId="19BE413E" w14:textId="77777777" w:rsidR="00FC75A4" w:rsidRPr="00F03B6F" w:rsidRDefault="00FC75A4" w:rsidP="00FC75A4">
      <w:pPr>
        <w:pStyle w:val="ListParagraph"/>
        <w:numPr>
          <w:ilvl w:val="0"/>
          <w:numId w:val="15"/>
        </w:numPr>
      </w:pPr>
      <w:r w:rsidRPr="00F03B6F">
        <w:t xml:space="preserve">second Work and Holiday visa applicants can do any kind of work but must have completed </w:t>
      </w:r>
      <w:r w:rsidRPr="00F03B6F">
        <w:rPr>
          <w:i/>
          <w:iCs/>
        </w:rPr>
        <w:t>3 months of specified subclass 462 work</w:t>
      </w:r>
      <w:r w:rsidRPr="00F03B6F">
        <w:t xml:space="preserve"> </w:t>
      </w:r>
      <w:r w:rsidRPr="00F03B6F">
        <w:rPr>
          <w:i/>
          <w:iCs/>
        </w:rPr>
        <w:t>in regional areas</w:t>
      </w:r>
      <w:r w:rsidRPr="00F03B6F">
        <w:t xml:space="preserve"> while holding their first Work and Holiday visa</w:t>
      </w:r>
    </w:p>
    <w:p w14:paraId="32D9A39E" w14:textId="58FC143A" w:rsidR="00FC75A4" w:rsidRPr="00F03B6F" w:rsidRDefault="00FC75A4" w:rsidP="00FC75A4">
      <w:pPr>
        <w:pStyle w:val="ListParagraph"/>
        <w:numPr>
          <w:ilvl w:val="0"/>
          <w:numId w:val="15"/>
        </w:numPr>
      </w:pPr>
      <w:r w:rsidRPr="00F03B6F">
        <w:t xml:space="preserve">third Work and Holiday visa applicants can do any kind of work but must have completed </w:t>
      </w:r>
      <w:r w:rsidRPr="00F03B6F">
        <w:rPr>
          <w:i/>
          <w:iCs/>
        </w:rPr>
        <w:t>6 months of specified subclass 462 work</w:t>
      </w:r>
      <w:r w:rsidRPr="00F03B6F">
        <w:t xml:space="preserve"> </w:t>
      </w:r>
      <w:r w:rsidRPr="00F03B6F">
        <w:rPr>
          <w:i/>
          <w:iCs/>
        </w:rPr>
        <w:t>in regional areas</w:t>
      </w:r>
      <w:r w:rsidRPr="00F03B6F">
        <w:t xml:space="preserve"> while holding their second Working Holiday visa (or bridging visa in certain circumstances</w:t>
      </w:r>
      <w:r w:rsidR="00547B5A">
        <w:t>).</w:t>
      </w:r>
    </w:p>
    <w:p w14:paraId="6266B1CC" w14:textId="05ED7AE9" w:rsidR="00FC75A4" w:rsidRPr="00F03B6F" w:rsidRDefault="00FC75A4" w:rsidP="00FC75A4">
      <w:r w:rsidRPr="00F03B6F">
        <w:t>Approved industries for specified work (as required for second and third 462</w:t>
      </w:r>
      <w:r w:rsidR="00263C60">
        <w:t xml:space="preserve"> </w:t>
      </w:r>
      <w:r w:rsidRPr="00F03B6F">
        <w:t>visas) include:</w:t>
      </w:r>
    </w:p>
    <w:p w14:paraId="18BFD14E" w14:textId="77777777" w:rsidR="00FC75A4" w:rsidRPr="00F03B6F" w:rsidRDefault="00FC75A4" w:rsidP="00FC75A4">
      <w:pPr>
        <w:pStyle w:val="ListParagraph"/>
        <w:numPr>
          <w:ilvl w:val="0"/>
          <w:numId w:val="16"/>
        </w:numPr>
      </w:pPr>
      <w:r w:rsidRPr="00F03B6F">
        <w:t>plant and animal cultivation in northern Australia and other specified areas of regional Australia</w:t>
      </w:r>
    </w:p>
    <w:p w14:paraId="11CD49EC" w14:textId="77777777" w:rsidR="00FC75A4" w:rsidRPr="00F03B6F" w:rsidRDefault="00FC75A4" w:rsidP="00FC75A4">
      <w:pPr>
        <w:pStyle w:val="ListParagraph"/>
        <w:numPr>
          <w:ilvl w:val="0"/>
          <w:numId w:val="16"/>
        </w:numPr>
      </w:pPr>
      <w:r w:rsidRPr="00F03B6F">
        <w:t>fishing and pearling in northern Australia only</w:t>
      </w:r>
    </w:p>
    <w:p w14:paraId="0B999923" w14:textId="77777777" w:rsidR="00FC75A4" w:rsidRPr="00F03B6F" w:rsidRDefault="00FC75A4" w:rsidP="00FC75A4">
      <w:pPr>
        <w:pStyle w:val="ListParagraph"/>
        <w:numPr>
          <w:ilvl w:val="0"/>
          <w:numId w:val="16"/>
        </w:numPr>
      </w:pPr>
      <w:r w:rsidRPr="00F03B6F">
        <w:t>tree farming and felling in northern Australia only</w:t>
      </w:r>
    </w:p>
    <w:p w14:paraId="1E94823F" w14:textId="77777777" w:rsidR="00FC75A4" w:rsidRPr="00F03B6F" w:rsidRDefault="00FC75A4" w:rsidP="00FC75A4">
      <w:pPr>
        <w:pStyle w:val="ListParagraph"/>
        <w:numPr>
          <w:ilvl w:val="0"/>
          <w:numId w:val="16"/>
        </w:numPr>
      </w:pPr>
      <w:r w:rsidRPr="00F03B6F">
        <w:t>tourism and hospitality in northern Australia only</w:t>
      </w:r>
    </w:p>
    <w:p w14:paraId="42557D02" w14:textId="77777777" w:rsidR="00FC75A4" w:rsidRPr="00F03B6F" w:rsidRDefault="00FC75A4" w:rsidP="00FC75A4">
      <w:pPr>
        <w:pStyle w:val="ListParagraph"/>
        <w:numPr>
          <w:ilvl w:val="0"/>
          <w:numId w:val="16"/>
        </w:numPr>
      </w:pPr>
      <w:r w:rsidRPr="00F03B6F">
        <w:t>construction in northern Australia and other specified areas of regional Australia</w:t>
      </w:r>
    </w:p>
    <w:p w14:paraId="64A99290" w14:textId="77777777" w:rsidR="00FC75A4" w:rsidRPr="00F03B6F" w:rsidRDefault="00FC75A4" w:rsidP="00FC75A4">
      <w:pPr>
        <w:pStyle w:val="ListParagraph"/>
        <w:numPr>
          <w:ilvl w:val="0"/>
          <w:numId w:val="16"/>
        </w:numPr>
      </w:pPr>
      <w:r w:rsidRPr="00F03B6F">
        <w:t>bushfire recovery work in declared bushfire affected areas only, after 31 July 2019.</w:t>
      </w:r>
    </w:p>
    <w:p w14:paraId="3A14C53D" w14:textId="3137C37C" w:rsidR="00A945F4" w:rsidRDefault="00A945F4" w:rsidP="00A945F4">
      <w:pPr>
        <w:pStyle w:val="Heading2"/>
      </w:pPr>
      <w:bookmarkStart w:id="10" w:name="_Toc75878438"/>
      <w:r w:rsidRPr="00F03B6F">
        <w:t>Policy context</w:t>
      </w:r>
      <w:bookmarkEnd w:id="10"/>
    </w:p>
    <w:p w14:paraId="49DF7DD7" w14:textId="06DC9F05" w:rsidR="00A945F4" w:rsidRDefault="000D55AF" w:rsidP="00A945F4">
      <w:r>
        <w:t xml:space="preserve">The WHM program has </w:t>
      </w:r>
      <w:r w:rsidR="00E474BF">
        <w:t xml:space="preserve">served a vital </w:t>
      </w:r>
      <w:r w:rsidR="00B626DD">
        <w:t xml:space="preserve">and evolving </w:t>
      </w:r>
      <w:r w:rsidR="00E474BF">
        <w:t xml:space="preserve">role </w:t>
      </w:r>
      <w:r w:rsidR="00570C47">
        <w:t>in Australia</w:t>
      </w:r>
      <w:r w:rsidR="00AB0D1E">
        <w:t xml:space="preserve">, </w:t>
      </w:r>
      <w:r w:rsidR="000E1BB9">
        <w:t>from a combined tourism</w:t>
      </w:r>
      <w:r w:rsidR="00E7665A">
        <w:t>, cultural</w:t>
      </w:r>
      <w:r w:rsidR="0015372F">
        <w:t xml:space="preserve"> and</w:t>
      </w:r>
      <w:r w:rsidR="00495B5B">
        <w:t xml:space="preserve"> </w:t>
      </w:r>
      <w:r w:rsidR="000E1BB9">
        <w:t>workforce perspective.</w:t>
      </w:r>
      <w:r w:rsidR="00CE56E3">
        <w:t xml:space="preserve"> </w:t>
      </w:r>
      <w:r w:rsidR="001C1C5D">
        <w:t>T</w:t>
      </w:r>
      <w:r w:rsidR="00A945F4">
        <w:t xml:space="preserve">he program has provided young people with </w:t>
      </w:r>
      <w:r>
        <w:t xml:space="preserve">deeply </w:t>
      </w:r>
      <w:r w:rsidR="00A945F4">
        <w:t xml:space="preserve">enriched travel experiences and opportunities for cultural exchange, fostered new connections and strengthened key bilateral relationships. It has built cross-cultural awareness, encouraged a positive regard for Australia, enhanced commercial ties and economic integration between partner countries, increased Australian brand recognition and heightened community-level support and understanding of broader foreign policy objectives </w:t>
      </w:r>
      <w:r w:rsidR="00A945F4">
        <w:fldChar w:fldCharType="begin"/>
      </w:r>
      <w:r w:rsidR="00A945F4">
        <w:instrText xml:space="preserve"> ADDIN EN.CITE &lt;EndNote&gt;&lt;Cite&gt;&lt;Author&gt;Australian Government Austrade&lt;/Author&gt;&lt;Year&gt;2020&lt;/Year&gt;&lt;RecNum&gt;33&lt;/RecNum&gt;&lt;DisplayText&gt;(Australian Government Austrade, 2020)&lt;/DisplayText&gt;&lt;record&gt;&lt;rec-number&gt;33&lt;/rec-number&gt;&lt;foreign-keys&gt;&lt;key app="EN" db-id="r5sv9zwer2dw2pexz935edzbrpsweevtw5ed" timestamp="1621237374"&gt;33&lt;/key&gt;&lt;/foreign-keys&gt;&lt;ref-type name="Government Document"&gt;46&lt;/ref-type&gt;&lt;contributors&gt;&lt;authors&gt;&lt;author&gt;Australian Government Austrade,&lt;/author&gt;&lt;/authors&gt;&lt;secondary-authors&gt;&lt;author&gt;Austrade &lt;/author&gt;&lt;/secondary-authors&gt;&lt;/contributors&gt;&lt;titles&gt;&lt;title&gt;Foreign Affairs and Trade Portfolio Submission to the Inquiry into the Working Holiday Maker Program by the Joint Standing Committee on Migration, Submission 69&lt;/title&gt;&lt;/titles&gt;&lt;dates&gt;&lt;year&gt;2020&lt;/year&gt;&lt;/dates&gt;&lt;urls&gt;&lt;/urls&gt;&lt;/record&gt;&lt;/Cite&gt;&lt;/EndNote&gt;</w:instrText>
      </w:r>
      <w:r w:rsidR="00A945F4">
        <w:fldChar w:fldCharType="separate"/>
      </w:r>
      <w:r w:rsidR="00A945F4">
        <w:rPr>
          <w:noProof/>
        </w:rPr>
        <w:t>(Australian Government Austrade, 2020)</w:t>
      </w:r>
      <w:r w:rsidR="00A945F4">
        <w:fldChar w:fldCharType="end"/>
      </w:r>
      <w:r w:rsidR="00A945F4">
        <w:t xml:space="preserve">. </w:t>
      </w:r>
    </w:p>
    <w:p w14:paraId="1DEB824A" w14:textId="63CD2267" w:rsidR="00A945F4" w:rsidRDefault="00A945F4" w:rsidP="00A945F4">
      <w:r>
        <w:t>The Australian tourism industry has benefitted greatly from the WHM program, both in terms of visitor numbers (WHM arrivals) and overall trip spend, which in 2019 amounted to $3.2 billion (</w:t>
      </w:r>
      <w:r w:rsidR="00CF78CD">
        <w:t xml:space="preserve">of which </w:t>
      </w:r>
      <w:r>
        <w:t>$726 million spent in regional areas). WHMs are identified as high-return tourists: ‘they tend to spend more, stay longer</w:t>
      </w:r>
      <w:r w:rsidR="00491C3B">
        <w:t>,</w:t>
      </w:r>
      <w:r>
        <w:t xml:space="preserve"> an</w:t>
      </w:r>
      <w:r w:rsidR="00774C77">
        <w:t>d</w:t>
      </w:r>
      <w:r>
        <w:t xml:space="preserve"> disperse more widely throughout the country than most other visitor types’ (ibid., 3). </w:t>
      </w:r>
      <w:r w:rsidR="00412404">
        <w:t>International Visitor Survey (</w:t>
      </w:r>
      <w:r>
        <w:t>IVS</w:t>
      </w:r>
      <w:r w:rsidR="00412404">
        <w:t>)</w:t>
      </w:r>
      <w:r>
        <w:t xml:space="preserve"> data </w:t>
      </w:r>
      <w:r w:rsidR="00176EF3">
        <w:t>for 2019</w:t>
      </w:r>
      <w:r>
        <w:t xml:space="preserve"> show</w:t>
      </w:r>
      <w:r w:rsidR="6D74B137">
        <w:t>s</w:t>
      </w:r>
      <w:r>
        <w:t xml:space="preserve"> that WHMs:</w:t>
      </w:r>
    </w:p>
    <w:p w14:paraId="6EF21AE9" w14:textId="3F64CC0B" w:rsidR="00A945F4" w:rsidRDefault="00A945F4" w:rsidP="00A945F4">
      <w:pPr>
        <w:pStyle w:val="ListParagraph"/>
        <w:numPr>
          <w:ilvl w:val="0"/>
          <w:numId w:val="31"/>
        </w:numPr>
      </w:pPr>
      <w:r>
        <w:t>stay an average</w:t>
      </w:r>
      <w:r w:rsidR="00CD306F">
        <w:t xml:space="preserve"> of</w:t>
      </w:r>
      <w:r>
        <w:t xml:space="preserve"> 148 nights;</w:t>
      </w:r>
    </w:p>
    <w:p w14:paraId="58FF482A" w14:textId="77777777" w:rsidR="00A945F4" w:rsidRDefault="00A945F4" w:rsidP="00A945F4">
      <w:pPr>
        <w:pStyle w:val="ListParagraph"/>
        <w:numPr>
          <w:ilvl w:val="0"/>
          <w:numId w:val="31"/>
        </w:numPr>
      </w:pPr>
      <w:r>
        <w:t>spend 34 per cent of their time in regional areas; and</w:t>
      </w:r>
    </w:p>
    <w:p w14:paraId="54806646" w14:textId="77777777" w:rsidR="00A945F4" w:rsidRDefault="00A945F4" w:rsidP="00A945F4">
      <w:pPr>
        <w:pStyle w:val="ListParagraph"/>
        <w:numPr>
          <w:ilvl w:val="0"/>
          <w:numId w:val="31"/>
        </w:numPr>
      </w:pPr>
      <w:r>
        <w:t>over 50 per cent were on a repeat visit to Australia.</w:t>
      </w:r>
    </w:p>
    <w:p w14:paraId="5CE05E4D" w14:textId="29FD33F5" w:rsidR="00A945F4" w:rsidRPr="00F03B6F" w:rsidRDefault="00A945F4" w:rsidP="00A945F4">
      <w:r>
        <w:t xml:space="preserve">The WHM program has also been recognised more broadly for its significant economic contribution. The Australian Chamber of Commerce and Industry (ACCI) highlighted the economic benefits of the program to Australia in terms of WHM expenditure on accommodation, transport </w:t>
      </w:r>
      <w:r w:rsidR="13BD4343">
        <w:t>and education</w:t>
      </w:r>
      <w:r>
        <w:t xml:space="preserve"> </w:t>
      </w:r>
      <w:r>
        <w:fldChar w:fldCharType="begin"/>
      </w:r>
      <w:r>
        <w:instrText xml:space="preserve"> ADDIN EN.CITE &lt;EndNote&gt;&lt;Cite&gt;&lt;Author&gt;Education and Employment References Committee&lt;/Author&gt;&lt;Year&gt;2016&lt;/Year&gt;&lt;RecNum&gt;25&lt;/RecNum&gt;&lt;DisplayText&gt;(Education and Employment References Committee, 2016)&lt;/DisplayText&gt;&lt;record&gt;&lt;rec-number&gt;25&lt;/rec-number&gt;&lt;foreign-keys&gt;&lt;key app="EN" db-id="r5sv9zwer2dw2pexz935edzbrpsweevtw5ed" timestamp="1600145941"&gt;25&lt;/key&gt;&lt;/foreign-keys&gt;&lt;ref-type name="Generic"&gt;13&lt;/ref-type&gt;&lt;contributors&gt;&lt;authors&gt;&lt;author&gt;Education and Employment References Committee,&lt;/author&gt;&lt;/authors&gt;&lt;/contributors&gt;&lt;titles&gt;&lt;title&gt;A National Disgrace: The Exploitation of Temporary Work Visa Holders&lt;/title&gt;&lt;/titles&gt;&lt;dates&gt;&lt;year&gt;2016&lt;/year&gt;&lt;/dates&gt;&lt;pub-location&gt;Canberra&lt;/pub-location&gt;&lt;urls&gt;&lt;/urls&gt;&lt;/record&gt;&lt;/Cite&gt;&lt;/EndNote&gt;</w:instrText>
      </w:r>
      <w:r>
        <w:fldChar w:fldCharType="separate"/>
      </w:r>
      <w:r w:rsidRPr="7EF40915">
        <w:rPr>
          <w:noProof/>
        </w:rPr>
        <w:t>(Education and Employment References Committee, 2016)</w:t>
      </w:r>
      <w:r>
        <w:fldChar w:fldCharType="end"/>
      </w:r>
      <w:r>
        <w:t xml:space="preserve">. The WHM program evaluation </w:t>
      </w:r>
      <w:r w:rsidR="0087379E">
        <w:t>undertaken by Tan et al</w:t>
      </w:r>
      <w:r w:rsidR="009974EE">
        <w:t>.</w:t>
      </w:r>
      <w:r w:rsidR="0087379E">
        <w:t xml:space="preserve"> </w:t>
      </w:r>
      <w:r w:rsidR="0087379E">
        <w:fldChar w:fldCharType="begin"/>
      </w:r>
      <w:r w:rsidR="0087379E">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rsidR="0087379E">
        <w:fldChar w:fldCharType="separate"/>
      </w:r>
      <w:r w:rsidR="0087379E">
        <w:rPr>
          <w:noProof/>
        </w:rPr>
        <w:t>(2009)</w:t>
      </w:r>
      <w:r w:rsidR="0087379E">
        <w:fldChar w:fldCharType="end"/>
      </w:r>
      <w:r w:rsidR="0087379E">
        <w:t xml:space="preserve"> </w:t>
      </w:r>
      <w:r>
        <w:t>estimated gross contribution to expenditure in the Australian economy in 2007-08 by WHMs to be $1.8 billion</w:t>
      </w:r>
      <w:r w:rsidR="0087379E">
        <w:t>.</w:t>
      </w:r>
      <w:r>
        <w:t xml:space="preserve"> The Joint Standing Committee on Migration reported that WHMs currently contribute around $3 billion a year to the Australian economy </w:t>
      </w:r>
      <w:r>
        <w:fldChar w:fldCharType="begin"/>
      </w:r>
      <w:r>
        <w:instrText xml:space="preserve"> ADDIN EN.CITE &lt;EndNote&gt;&lt;Cite&gt;&lt;Author&gt;Parliament of Australia&lt;/Author&gt;&lt;Year&gt;2020&lt;/Year&gt;&lt;RecNum&gt;22&lt;/RecNum&gt;&lt;DisplayText&gt;(Parliament of Australia, 2020)&lt;/DisplayText&gt;&lt;record&gt;&lt;rec-number&gt;22&lt;/rec-number&gt;&lt;foreign-keys&gt;&lt;key app="EN" db-id="r5sv9zwer2dw2pexz935edzbrpsweevtw5ed" timestamp="1600065438"&gt;22&lt;/key&gt;&lt;/foreign-keys&gt;&lt;ref-type name="Web Page"&gt;12&lt;/ref-type&gt;&lt;contributors&gt;&lt;authors&gt;&lt;author&gt;Parliament of Australia,&lt;/author&gt;&lt;/authors&gt;&lt;/contributors&gt;&lt;titles&gt;&lt;title&gt;Review of the Working Holiday Maker Program and its role in the economic recovery&lt;/title&gt;&lt;/titles&gt;&lt;volume&gt;2020&lt;/volume&gt;&lt;number&gt;14 September&lt;/number&gt;&lt;dates&gt;&lt;year&gt;2020&lt;/year&gt;&lt;/dates&gt;&lt;publisher&gt;Parliament of Australia&lt;/publisher&gt;&lt;urls&gt;&lt;related-urls&gt;&lt;url&gt;https://www.aph.gov.au/About_Parliament/House_of_Representatives/About_the_House_News/Media_Releases/Review_of_the_Working_Holiday_Maker_Program_and_its_role_in_the_economic_recovery&lt;/url&gt;&lt;/related-urls&gt;&lt;/urls&gt;&lt;/record&gt;&lt;/Cite&gt;&lt;/EndNote&gt;</w:instrText>
      </w:r>
      <w:r>
        <w:fldChar w:fldCharType="separate"/>
      </w:r>
      <w:r w:rsidRPr="7EF40915">
        <w:rPr>
          <w:noProof/>
        </w:rPr>
        <w:t>(Parliament of Australia, 2020)</w:t>
      </w:r>
      <w:r>
        <w:fldChar w:fldCharType="end"/>
      </w:r>
      <w:r>
        <w:t xml:space="preserve">. A Productivity Commission inquiry into migrant intake into Australia identified that WHMs spend an average of around $15,000 each year while in Australia, amounting to an annual contribution of more than $3.5 billion </w:t>
      </w:r>
      <w:r>
        <w:fldChar w:fldCharType="begin"/>
      </w:r>
      <w:r>
        <w:instrText xml:space="preserve"> ADDIN EN.CITE &lt;EndNote&gt;&lt;Cite&gt;&lt;Author&gt;Productivity Commission&lt;/Author&gt;&lt;Year&gt;2016&lt;/Year&gt;&lt;RecNum&gt;23&lt;/RecNum&gt;&lt;DisplayText&gt;(Productivity Commission, 2016)&lt;/DisplayText&gt;&lt;record&gt;&lt;rec-number&gt;23&lt;/rec-number&gt;&lt;foreign-keys&gt;&lt;key app="EN" db-id="r5sv9zwer2dw2pexz935edzbrpsweevtw5ed" timestamp="1600128879"&gt;23&lt;/key&gt;&lt;/foreign-keys&gt;&lt;ref-type name="Report"&gt;27&lt;/ref-type&gt;&lt;contributors&gt;&lt;authors&gt;&lt;author&gt;Productivity Commission,&lt;/author&gt;&lt;/authors&gt;&lt;/contributors&gt;&lt;titles&gt;&lt;title&gt;Migrant Intake into Australia&lt;/title&gt;&lt;/titles&gt;&lt;volume&gt;Inquiry Report No. 77&lt;/volume&gt;&lt;dates&gt;&lt;year&gt;2016&lt;/year&gt;&lt;/dates&gt;&lt;pub-location&gt;Canberra&lt;/pub-location&gt;&lt;urls&gt;&lt;/urls&gt;&lt;/record&gt;&lt;/Cite&gt;&lt;/EndNote&gt;</w:instrText>
      </w:r>
      <w:r>
        <w:fldChar w:fldCharType="separate"/>
      </w:r>
      <w:r w:rsidRPr="7EF40915">
        <w:rPr>
          <w:noProof/>
        </w:rPr>
        <w:t>(Productivity Commission, 2016)</w:t>
      </w:r>
      <w:r>
        <w:fldChar w:fldCharType="end"/>
      </w:r>
      <w:r>
        <w:t>. Moreover, WHMs contribute to economic activity at minimal cost to government, by contributing to GST revenue and income tax revenue while excluded from free or subsidised access to most government support services (</w:t>
      </w:r>
      <w:r w:rsidR="00A560CA">
        <w:t>e.g.,</w:t>
      </w:r>
      <w:r>
        <w:t xml:space="preserve"> health and welfare).</w:t>
      </w:r>
    </w:p>
    <w:p w14:paraId="268E85C4" w14:textId="77777777" w:rsidR="00A945F4" w:rsidRDefault="00A945F4" w:rsidP="00A945F4">
      <w:r>
        <w:t>Over the years t</w:t>
      </w:r>
      <w:r w:rsidRPr="00F03B6F">
        <w:t xml:space="preserve">he WHM </w:t>
      </w:r>
      <w:r>
        <w:t>program</w:t>
      </w:r>
      <w:r w:rsidRPr="00F03B6F">
        <w:t xml:space="preserve"> has </w:t>
      </w:r>
      <w:r>
        <w:t>played an increasing role in</w:t>
      </w:r>
      <w:r w:rsidRPr="00F03B6F">
        <w:t xml:space="preserve"> address</w:t>
      </w:r>
      <w:r>
        <w:t>ing</w:t>
      </w:r>
      <w:r w:rsidRPr="00F03B6F">
        <w:t xml:space="preserve"> labour shortages in rural and regional Australia and in certain industries that rely on ready access to a flexible, casual workforce. </w:t>
      </w:r>
      <w:r>
        <w:t>The a</w:t>
      </w:r>
      <w:r w:rsidRPr="00F03B6F">
        <w:t>griculture and tourism industr</w:t>
      </w:r>
      <w:r>
        <w:t>ies have</w:t>
      </w:r>
      <w:r w:rsidRPr="00F03B6F">
        <w:t xml:space="preserve"> highlighted the importance of WHMs to their business operations in addressing workforce shortages and contributing to productivity and industry performance. The agriculture sector in particular was identified as critically dependent on the WHM program as a source of labour  </w:t>
      </w:r>
      <w:r w:rsidRPr="00F03B6F">
        <w:fldChar w:fldCharType="begin"/>
      </w:r>
      <w:r>
        <w:instrText xml:space="preserve"> ADDIN EN.CITE &lt;EndNote&gt;&lt;Cite&gt;&lt;Author&gt;Education and Employment References Committee&lt;/Author&gt;&lt;Year&gt;2016&lt;/Year&gt;&lt;RecNum&gt;25&lt;/RecNum&gt;&lt;DisplayText&gt;(Education and Employment References Committee, 2016)&lt;/DisplayText&gt;&lt;record&gt;&lt;rec-number&gt;25&lt;/rec-number&gt;&lt;foreign-keys&gt;&lt;key app="EN" db-id="r5sv9zwer2dw2pexz935edzbrpsweevtw5ed" timestamp="1600145941"&gt;25&lt;/key&gt;&lt;/foreign-keys&gt;&lt;ref-type name="Generic"&gt;13&lt;/ref-type&gt;&lt;contributors&gt;&lt;authors&gt;&lt;author&gt;Education and Employment References Committee,&lt;/author&gt;&lt;/authors&gt;&lt;/contributors&gt;&lt;titles&gt;&lt;title&gt;A National Disgrace: The Exploitation of Temporary Work Visa Holders&lt;/title&gt;&lt;/titles&gt;&lt;dates&gt;&lt;year&gt;2016&lt;/year&gt;&lt;/dates&gt;&lt;pub-location&gt;Canberra&lt;/pub-location&gt;&lt;urls&gt;&lt;/urls&gt;&lt;/record&gt;&lt;/Cite&gt;&lt;/EndNote&gt;</w:instrText>
      </w:r>
      <w:r w:rsidRPr="00F03B6F">
        <w:fldChar w:fldCharType="separate"/>
      </w:r>
      <w:r w:rsidRPr="00F03B6F">
        <w:rPr>
          <w:noProof/>
        </w:rPr>
        <w:t>(Education and Employment References Committee, 2016)</w:t>
      </w:r>
      <w:r w:rsidRPr="00F03B6F">
        <w:fldChar w:fldCharType="end"/>
      </w:r>
      <w:r w:rsidRPr="00F03B6F">
        <w:t xml:space="preserve">. Horticulture-based research identified that WHMs form a ready supply of short-term, casual workers to complement longer-term seasonal workers, thereby enabling primary producers to manage the peaks and troughs of the production cycle </w:t>
      </w:r>
      <w:r w:rsidRPr="00F03B6F">
        <w:fldChar w:fldCharType="begin"/>
      </w:r>
      <w:r>
        <w:instrText xml:space="preserve"> ADDIN EN.CITE &lt;EndNote&gt;&lt;Cite&gt;&lt;Author&gt;Zhao&lt;/Author&gt;&lt;Year&gt;2018&lt;/Year&gt;&lt;RecNum&gt;4&lt;/RecNum&gt;&lt;DisplayText&gt;(Zhao, Bink, Kruger, Xia, &amp;amp; Stenekes, 2018)&lt;/DisplayText&gt;&lt;record&gt;&lt;rec-number&gt;4&lt;/rec-number&gt;&lt;foreign-keys&gt;&lt;key app="EN" db-id="r5sv9zwer2dw2pexz935edzbrpsweevtw5ed" timestamp="1598504869"&gt;4&lt;/key&gt;&lt;/foreign-keys&gt;&lt;ref-type name="Report"&gt;27&lt;/ref-type&gt;&lt;contributors&gt;&lt;authors&gt;&lt;author&gt;Shiji Zhao&lt;/author&gt;&lt;author&gt;Bill Bink&lt;/author&gt;&lt;author&gt;Heleen Kruger&lt;/author&gt;&lt;author&gt;Charley Xia&lt;/author&gt;&lt;author&gt;Nyree Stenekes&lt;/author&gt;&lt;/authors&gt;&lt;tertiary-authors&gt;&lt;author&gt;Australian Bureau of Agricultural and Resource Economics and Sciences (ABARES)&lt;/author&gt;&lt;/tertiary-authors&gt;&lt;/contributors&gt;&lt;titles&gt;&lt;title&gt;What difference does labour choice make to farm productivity and profitability in the Australian horticulture industry? A comparison between seasonal workers and working holiday makers&lt;/title&gt;&lt;secondary-title&gt;ABARES research report prepared for the World Bank&lt;/secondary-title&gt;&lt;/titles&gt;&lt;keywords&gt;&lt;keyword&gt;AGRICULTURE&lt;/keyword&gt;&lt;keyword&gt;HUMAN ENVIRONMENT&lt;/keyword&gt;&lt;keyword&gt;HUMAN ENVIRONMENT Economics&lt;/keyword&gt;&lt;keyword&gt;INDUSTRY Primary&lt;/keyword&gt;&lt;keyword&gt;economic comparison&lt;/keyword&gt;&lt;keyword&gt;labour mobility&lt;/keyword&gt;&lt;keyword&gt;labour productivity&lt;/keyword&gt;&lt;keyword&gt;workforce management&lt;/keyword&gt;&lt;/keywords&gt;&lt;dates&gt;&lt;year&gt;2018&lt;/year&gt;&lt;/dates&gt;&lt;pub-location&gt;Canberra&lt;/pub-location&gt;&lt;urls&gt;&lt;/urls&gt;&lt;/record&gt;&lt;/Cite&gt;&lt;/EndNote&gt;</w:instrText>
      </w:r>
      <w:r w:rsidRPr="00F03B6F">
        <w:fldChar w:fldCharType="separate"/>
      </w:r>
      <w:r>
        <w:rPr>
          <w:noProof/>
        </w:rPr>
        <w:t>(Zhao, Bink, Kruger, Xia, &amp; Stenekes, 2018)</w:t>
      </w:r>
      <w:r w:rsidRPr="00F03B6F">
        <w:fldChar w:fldCharType="end"/>
      </w:r>
      <w:r w:rsidRPr="00F03B6F">
        <w:t>.</w:t>
      </w:r>
      <w:r>
        <w:t xml:space="preserve"> </w:t>
      </w:r>
      <w:r w:rsidRPr="00F03B6F">
        <w:t xml:space="preserve">Northern Territory employers rely heavily on WHMs in peak season, to the extent that WHMs often account for more than 50% of employers’ workforces in the hospitality, primary producer and construction sectors </w:t>
      </w:r>
      <w:r w:rsidRPr="00F03B6F">
        <w:fldChar w:fldCharType="begin"/>
      </w:r>
      <w:r>
        <w:instrText xml:space="preserve"> ADDIN EN.CITE &lt;EndNote&gt;&lt;Cite&gt;&lt;Author&gt;Education and Employment References Committee&lt;/Author&gt;&lt;Year&gt;2016&lt;/Year&gt;&lt;RecNum&gt;25&lt;/RecNum&gt;&lt;DisplayText&gt;(Education and Employment References Committee, 2016)&lt;/DisplayText&gt;&lt;record&gt;&lt;rec-number&gt;25&lt;/rec-number&gt;&lt;foreign-keys&gt;&lt;key app="EN" db-id="r5sv9zwer2dw2pexz935edzbrpsweevtw5ed" timestamp="1600145941"&gt;25&lt;/key&gt;&lt;/foreign-keys&gt;&lt;ref-type name="Generic"&gt;13&lt;/ref-type&gt;&lt;contributors&gt;&lt;authors&gt;&lt;author&gt;Education and Employment References Committee,&lt;/author&gt;&lt;/authors&gt;&lt;/contributors&gt;&lt;titles&gt;&lt;title&gt;A National Disgrace: The Exploitation of Temporary Work Visa Holders&lt;/title&gt;&lt;/titles&gt;&lt;dates&gt;&lt;year&gt;2016&lt;/year&gt;&lt;/dates&gt;&lt;pub-location&gt;Canberra&lt;/pub-location&gt;&lt;urls&gt;&lt;/urls&gt;&lt;/record&gt;&lt;/Cite&gt;&lt;/EndNote&gt;</w:instrText>
      </w:r>
      <w:r w:rsidRPr="00F03B6F">
        <w:fldChar w:fldCharType="separate"/>
      </w:r>
      <w:r>
        <w:rPr>
          <w:noProof/>
        </w:rPr>
        <w:t>(Education and Employment References Committee, 2016)</w:t>
      </w:r>
      <w:r w:rsidRPr="00F03B6F">
        <w:fldChar w:fldCharType="end"/>
      </w:r>
      <w:r>
        <w:t>.</w:t>
      </w:r>
    </w:p>
    <w:p w14:paraId="44AE8938" w14:textId="08747D50" w:rsidR="00A945F4" w:rsidRDefault="00A945F4" w:rsidP="00A945F4">
      <w:r w:rsidRPr="00F03B6F">
        <w:t xml:space="preserve">Policy-driven program changes have successfully grown the program and channelled WHMs into regional areas and industries with unmet labour demand. </w:t>
      </w:r>
      <w:r w:rsidR="00742202">
        <w:t>T</w:t>
      </w:r>
      <w:r w:rsidRPr="00F03B6F">
        <w:t xml:space="preserve">hese include measures to expand the program (signing new partnership agreements and increasing caps on individual country visas) and measures to leverage the program for economic and labour force benefits (providing the option to apply for a second and third WHM visa, contingent upon working in regional locations and in specified industries of unmet labour demand; extended periods of time working for a single employer; and changes to WHM tax, superannuation and fee arrangements). </w:t>
      </w:r>
      <w:r w:rsidR="00BB48F6">
        <w:t xml:space="preserve">These measures are described in greater detail </w:t>
      </w:r>
      <w:r w:rsidR="00433A38">
        <w:t xml:space="preserve">in </w:t>
      </w:r>
      <w:r w:rsidR="00FF7297">
        <w:t>S</w:t>
      </w:r>
      <w:r w:rsidR="00433A38">
        <w:t>ection</w:t>
      </w:r>
      <w:r w:rsidR="00FF7297">
        <w:t xml:space="preserve"> </w:t>
      </w:r>
      <w:r w:rsidR="00FF7297">
        <w:fldChar w:fldCharType="begin"/>
      </w:r>
      <w:r w:rsidR="00FF7297">
        <w:instrText xml:space="preserve"> REF _Ref72919732 \r \h </w:instrText>
      </w:r>
      <w:r w:rsidR="00FF7297">
        <w:fldChar w:fldCharType="separate"/>
      </w:r>
      <w:r w:rsidR="00F22012">
        <w:t>2.3</w:t>
      </w:r>
      <w:r w:rsidR="00FF7297">
        <w:fldChar w:fldCharType="end"/>
      </w:r>
      <w:r w:rsidR="00FF7297">
        <w:t>.</w:t>
      </w:r>
    </w:p>
    <w:p w14:paraId="27314096" w14:textId="46402726" w:rsidR="00D9721D" w:rsidRDefault="00D9721D" w:rsidP="00D9721D">
      <w:r>
        <w:t>In June 2020, the Joint Standing Committee (JSC) on Migration was tasked by government to conduct an inquiry into the Working Holiday Maker program to examine the value of the program to Australia’s economy, the ongoing impact of COVID-19 on the program and the adequacy of existing visa criteria and conditions for supporting the purpose of the program, i</w:t>
      </w:r>
      <w:r w:rsidRPr="00EC5082">
        <w:t>ncluding cultural exchange and creating job opportunities for Australians</w:t>
      </w:r>
      <w:r>
        <w:t xml:space="preserve">. The JSC </w:t>
      </w:r>
      <w:r w:rsidR="00F0671B">
        <w:t xml:space="preserve">Interim and </w:t>
      </w:r>
      <w:r>
        <w:t>Final Report</w:t>
      </w:r>
      <w:r w:rsidR="00F0671B">
        <w:t xml:space="preserve">s </w:t>
      </w:r>
      <w:r w:rsidR="000568F0">
        <w:fldChar w:fldCharType="begin"/>
      </w:r>
      <w:r w:rsidR="00F0308E">
        <w:instrText xml:space="preserve"> ADDIN EN.CITE &lt;EndNote&gt;&lt;Cite ExcludeAuth="1"&gt;&lt;Author&gt;Joint Standing Committee on Migration&lt;/Author&gt;&lt;Year&gt;2020&lt;/Year&gt;&lt;RecNum&gt;36&lt;/RecNum&gt;&lt;DisplayText&gt;(Joint Standing Committee on Migration, 2020a, 2020b)&lt;/DisplayText&gt;&lt;record&gt;&lt;rec-number&gt;36&lt;/rec-number&gt;&lt;foreign-keys&gt;&lt;key app="EN" db-id="r5sv9zwer2dw2pexz935edzbrpsweevtw5ed" timestamp="1624344024"&gt;36&lt;/key&gt;&lt;/foreign-keys&gt;&lt;ref-type name="Report"&gt;27&lt;/ref-type&gt;&lt;contributors&gt;&lt;authors&gt;&lt;author&gt;Joint Standing Committee on Migration,&lt;/author&gt;&lt;/authors&gt;&lt;/contributors&gt;&lt;titles&gt;&lt;title&gt;Interim Report of the Inquiry into the Working Holiday Maker Program&lt;/title&gt;&lt;/titles&gt;&lt;dates&gt;&lt;year&gt;2020&lt;/year&gt;&lt;pub-dates&gt;&lt;date&gt;September 2020&lt;/date&gt;&lt;/pub-dates&gt;&lt;/dates&gt;&lt;pub-location&gt;Canberra&lt;/pub-location&gt;&lt;urls&gt;&lt;/urls&gt;&lt;/record&gt;&lt;/Cite&gt;&lt;Cite&gt;&lt;Author&gt;Joint Standing Committee on Migration&lt;/Author&gt;&lt;Year&gt;2020&lt;/Year&gt;&lt;RecNum&gt;35&lt;/RecNum&gt;&lt;record&gt;&lt;rec-number&gt;35&lt;/rec-number&gt;&lt;foreign-keys&gt;&lt;key app="EN" db-id="r5sv9zwer2dw2pexz935edzbrpsweevtw5ed" timestamp="1624343905"&gt;35&lt;/key&gt;&lt;/foreign-keys&gt;&lt;ref-type name="Report"&gt;27&lt;/ref-type&gt;&lt;contributors&gt;&lt;authors&gt;&lt;author&gt;Joint Standing Committee on Migration,&lt;/author&gt;&lt;/authors&gt;&lt;/contributors&gt;&lt;titles&gt;&lt;title&gt;Final Report of the Inquiry into the Working Holiday Maker Program&lt;/title&gt;&lt;/titles&gt;&lt;dates&gt;&lt;year&gt;2020&lt;/year&gt;&lt;pub-dates&gt;&lt;date&gt;November 2020&lt;/date&gt;&lt;/pub-dates&gt;&lt;/dates&gt;&lt;pub-location&gt;Canberra&lt;/pub-location&gt;&lt;urls&gt;&lt;/urls&gt;&lt;/record&gt;&lt;/Cite&gt;&lt;/EndNote&gt;</w:instrText>
      </w:r>
      <w:r w:rsidR="000568F0">
        <w:fldChar w:fldCharType="separate"/>
      </w:r>
      <w:r w:rsidR="00F0308E">
        <w:rPr>
          <w:noProof/>
        </w:rPr>
        <w:t>(Joint Standing Committee on Migration, 2020a, 2020b)</w:t>
      </w:r>
      <w:r w:rsidR="000568F0">
        <w:fldChar w:fldCharType="end"/>
      </w:r>
      <w:r>
        <w:t xml:space="preserve"> underlined the value and importance of the program and provided a range of recommendations to guide future program directions. </w:t>
      </w:r>
    </w:p>
    <w:p w14:paraId="2787790F" w14:textId="77777777" w:rsidR="00D9721D" w:rsidRDefault="00D9721D" w:rsidP="00D9721D">
      <w:r>
        <w:t xml:space="preserve">The Interim Report of the Inquiry recommendations focused on ways to address key areas of workforce shortage in the post-COVID-19 era, targeting young Australians in the first instance and WHMs and other visa holders as crucial supplementary labour. Recommended amendments to the WHM program included, among others, allowing </w:t>
      </w:r>
      <w:r w:rsidRPr="00E7704D">
        <w:t>work in key industries in all peri-urban, regional, rural or remote areas, to count towards qualifying for a second and/or third year visa</w:t>
      </w:r>
      <w:r>
        <w:t>; e</w:t>
      </w:r>
      <w:r w:rsidRPr="00322555">
        <w:t>xtend</w:t>
      </w:r>
      <w:r>
        <w:t>ing</w:t>
      </w:r>
      <w:r w:rsidRPr="00322555">
        <w:t xml:space="preserve"> the Northern Australia provision</w:t>
      </w:r>
      <w:r>
        <w:t xml:space="preserve"> to</w:t>
      </w:r>
      <w:r w:rsidRPr="00322555">
        <w:t xml:space="preserve"> allow work in hospitality, tourism and other industries to apply</w:t>
      </w:r>
      <w:r>
        <w:t xml:space="preserve"> </w:t>
      </w:r>
      <w:r w:rsidRPr="00322555">
        <w:t>in all regional, rural and remote areas</w:t>
      </w:r>
      <w:r>
        <w:t xml:space="preserve">; enabling WHMs to work </w:t>
      </w:r>
      <w:r w:rsidRPr="00E7704D">
        <w:t>for more than six months</w:t>
      </w:r>
      <w:r>
        <w:t xml:space="preserve"> with the same employer</w:t>
      </w:r>
      <w:r w:rsidRPr="00E7704D">
        <w:t>, if they are in peri-urban, regional, rural and remote parts of Australia</w:t>
      </w:r>
      <w:r>
        <w:t xml:space="preserve"> and providing further incentives for WHMs to remain engaged in agricultural work. </w:t>
      </w:r>
    </w:p>
    <w:p w14:paraId="133C01A1" w14:textId="6EAB71BE" w:rsidR="00D9721D" w:rsidRDefault="00D9721D" w:rsidP="00D9721D">
      <w:r>
        <w:t>In the context of COVID-19, Interim Report recommendations focused on rebooting the WHM program, maintaining the reputation of the program overseas; encouraging WHMs to return to Australia and introducing measures to counteract the dampening effect of COVID-19</w:t>
      </w:r>
      <w:r w:rsidR="008949B3">
        <w:t>.</w:t>
      </w:r>
      <w:r>
        <w:t xml:space="preserve"> </w:t>
      </w:r>
      <w:r w:rsidR="008949B3">
        <w:t>F</w:t>
      </w:r>
      <w:r>
        <w:t>or example</w:t>
      </w:r>
      <w:r w:rsidR="008949B3">
        <w:t>,</w:t>
      </w:r>
      <w:r>
        <w:t xml:space="preserve"> establishing sponsor quarantine arrangements and/or r</w:t>
      </w:r>
      <w:r w:rsidRPr="00E7704D">
        <w:t>eimburs</w:t>
      </w:r>
      <w:r>
        <w:t>ing</w:t>
      </w:r>
      <w:r w:rsidRPr="00E7704D">
        <w:t xml:space="preserve"> the costs of quarantine incurred by </w:t>
      </w:r>
      <w:r>
        <w:t>WHMs</w:t>
      </w:r>
      <w:r w:rsidRPr="00E7704D">
        <w:t xml:space="preserve"> after a certain</w:t>
      </w:r>
      <w:r>
        <w:t xml:space="preserve"> </w:t>
      </w:r>
      <w:r w:rsidRPr="00E7704D">
        <w:t>period working in jobs where shortages exist</w:t>
      </w:r>
      <w:r>
        <w:t xml:space="preserve">. </w:t>
      </w:r>
    </w:p>
    <w:p w14:paraId="0017346A" w14:textId="65B8212A" w:rsidR="00D9721D" w:rsidRDefault="00D9721D" w:rsidP="00D9721D">
      <w:r>
        <w:t>The Final Report of the JSC Inquiry recommended allowing WHMs to work in tourism and hospitality in all hard-to-staff rural and remote areas of Australia as part of their 88 days or 6 months to qualify for their second- or third- year WHM visa, and providing a new tiered definition of ‘regional’ for the purposes of migration that recognises differences in experiences and opportunities inherent to each, with particular reference to understanding the similarity between peri-urban areas and near-by regional areas. Further recommendations included considering increasing the upper age limit to 35 where bilateral arrangements can be achieved for Australians and addressing misconceptions about what constitutes a ‘day’ for the purposes of counting toward working 88 days or 6 months to qualify for a visa extension.</w:t>
      </w:r>
    </w:p>
    <w:p w14:paraId="76D2FB16" w14:textId="55B2A721" w:rsidR="00A945F4" w:rsidRPr="00F03B6F" w:rsidRDefault="00A945F4" w:rsidP="00A945F4">
      <w:r>
        <w:t xml:space="preserve">Policy changes have also stimulated contemporary public debates about the benefits and drawbacks of the WHM program. One area is the risk of WHMs displacing young Australian workers in low-skilled occupations, particularly </w:t>
      </w:r>
      <w:r w:rsidR="00D03A48">
        <w:t>during periods of</w:t>
      </w:r>
      <w:r>
        <w:t xml:space="preserve"> high youth unemployment </w:t>
      </w:r>
      <w:r>
        <w:fldChar w:fldCharType="begin"/>
      </w:r>
      <w:r>
        <w:instrText xml:space="preserve"> ADDIN EN.CITE &lt;EndNote&gt;&lt;Cite&gt;&lt;Author&gt;Wright&lt;/Author&gt;&lt;Year&gt;2016&lt;/Year&gt;&lt;RecNum&gt;9&lt;/RecNum&gt;&lt;DisplayText&gt;(Wright, Clibborn, Piper, &amp;amp; Cini, 2016)&lt;/DisplayText&gt;&lt;record&gt;&lt;rec-number&gt;9&lt;/rec-number&gt;&lt;foreign-keys&gt;&lt;key app="EN" db-id="r5sv9zwer2dw2pexz935edzbrpsweevtw5ed" timestamp="1599099876"&gt;9&lt;/key&gt;&lt;/foreign-keys&gt;&lt;ref-type name="Report"&gt;27&lt;/ref-type&gt;&lt;contributors&gt;&lt;authors&gt;&lt;author&gt;Chris F Wright&lt;/author&gt;&lt;author&gt;Stephen Clibborn&lt;/author&gt;&lt;author&gt;Nicola Piper&lt;/author&gt;&lt;author&gt;Nicole Cini&lt;/author&gt;&lt;/authors&gt;&lt;tertiary-authors&gt;&lt;author&gt;Lowy Institute for International Policy&lt;/author&gt;&lt;/tertiary-authors&gt;&lt;/contributors&gt;&lt;titles&gt;&lt;title&gt;Economic migration and Australia in the 21st century&lt;/title&gt;&lt;/titles&gt;&lt;dates&gt;&lt;year&gt;2016&lt;/year&gt;&lt;/dates&gt;&lt;pub-location&gt;Sydney, Australia&lt;/pub-location&gt;&lt;urls&gt;&lt;/urls&gt;&lt;/record&gt;&lt;/Cite&gt;&lt;/EndNote&gt;</w:instrText>
      </w:r>
      <w:r>
        <w:fldChar w:fldCharType="separate"/>
      </w:r>
      <w:r w:rsidRPr="7EF40915">
        <w:rPr>
          <w:noProof/>
        </w:rPr>
        <w:t>(Wright, Clibborn, Piper, &amp; Cini, 2016)</w:t>
      </w:r>
      <w:r>
        <w:fldChar w:fldCharType="end"/>
      </w:r>
      <w:r>
        <w:t>. A</w:t>
      </w:r>
      <w:r w:rsidR="009974EE">
        <w:t xml:space="preserve">n </w:t>
      </w:r>
      <w:r>
        <w:t xml:space="preserve">evaluation of the WHM program conducted by </w:t>
      </w:r>
      <w:r>
        <w:fldChar w:fldCharType="begin"/>
      </w:r>
      <w:r>
        <w:instrText xml:space="preserve"> ADDIN EN.CITE &lt;EndNote&gt;&lt;Cite AuthorYear="1"&gt;&lt;Author&gt;Tan&lt;/Author&gt;&lt;Year&gt;2009&lt;/Year&gt;&lt;RecNum&gt;19&lt;/RecNum&gt;&lt;DisplayText&gt;Tan et al. (2009)&lt;/DisplayText&gt;&lt;record&gt;&lt;rec-number&gt;19&lt;/rec-number&gt;&lt;foreign-keys&gt;&lt;key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fldChar w:fldCharType="separate"/>
      </w:r>
      <w:r w:rsidRPr="7EF40915">
        <w:rPr>
          <w:noProof/>
        </w:rPr>
        <w:t>Tan et al. (2009)</w:t>
      </w:r>
      <w:r>
        <w:fldChar w:fldCharType="end"/>
      </w:r>
      <w:r>
        <w:t xml:space="preserve"> concluded that:</w:t>
      </w:r>
    </w:p>
    <w:p w14:paraId="16F781B7" w14:textId="77777777" w:rsidR="00A945F4" w:rsidRPr="00F03B6F" w:rsidRDefault="00A945F4" w:rsidP="00A945F4">
      <w:pPr>
        <w:pStyle w:val="ListParagraph"/>
        <w:numPr>
          <w:ilvl w:val="0"/>
          <w:numId w:val="18"/>
        </w:numPr>
      </w:pPr>
      <w:r w:rsidRPr="00F03B6F">
        <w:t>WHMs contribute more to total expenditure than they do to earnings, and thus on balance make a small contribution to increasing the demand for Australian workers</w:t>
      </w:r>
    </w:p>
    <w:p w14:paraId="303813BC" w14:textId="77777777" w:rsidR="00A945F4" w:rsidRPr="00F03B6F" w:rsidRDefault="00A945F4" w:rsidP="00A945F4">
      <w:pPr>
        <w:pStyle w:val="ListParagraph"/>
        <w:numPr>
          <w:ilvl w:val="0"/>
          <w:numId w:val="18"/>
        </w:numPr>
      </w:pPr>
      <w:r w:rsidRPr="00F03B6F">
        <w:t>the supply of WHM labour is of particular value to employers in the regions, especially agricultural enterprises who employ them to pick produce and to supply general farm labour</w:t>
      </w:r>
    </w:p>
    <w:p w14:paraId="7259ED5C" w14:textId="77777777" w:rsidR="00A945F4" w:rsidRPr="00F03B6F" w:rsidRDefault="00A945F4" w:rsidP="00A945F4">
      <w:pPr>
        <w:pStyle w:val="ListParagraph"/>
        <w:numPr>
          <w:ilvl w:val="0"/>
          <w:numId w:val="18"/>
        </w:numPr>
      </w:pPr>
      <w:r w:rsidRPr="00F03B6F">
        <w:t>with the main exception of regional agricultural work, WHMs do not contribute much to the reduction of labour or skill shortages. The majority of work done is low skill and in the cities. In these jobs, they compete with the local low skill labour force and with local students who seek similar sorts of jobs while they study.</w:t>
      </w:r>
    </w:p>
    <w:p w14:paraId="7EF3C8FF" w14:textId="77777777" w:rsidR="00A945F4" w:rsidRPr="00F03B6F" w:rsidRDefault="00A945F4" w:rsidP="00A945F4">
      <w:r>
        <w:t>Further</w:t>
      </w:r>
      <w:r w:rsidRPr="00F03B6F">
        <w:t xml:space="preserve"> research evidence based on CEDA modelling and independent modelling by the Productivity Commission</w:t>
      </w:r>
      <w:r>
        <w:t>,</w:t>
      </w:r>
      <w:r w:rsidRPr="00F03B6F">
        <w:t xml:space="preserve"> found no support for the contention that temporary migrants, including WHMs, had a negative effect on the labour market outcomes of local Australian workers </w:t>
      </w:r>
      <w:r w:rsidRPr="00F03B6F">
        <w:fldChar w:fldCharType="begin"/>
      </w:r>
      <w:r>
        <w:instrText xml:space="preserve"> ADDIN EN.CITE &lt;EndNote&gt;&lt;Cite&gt;&lt;Author&gt;Committee for Economic Development of Australia&lt;/Author&gt;&lt;Year&gt;2019&lt;/Year&gt;&lt;RecNum&gt;8&lt;/RecNum&gt;&lt;DisplayText&gt;(Committee for Economic Development of Australia, 2019)&lt;/DisplayText&gt;&lt;record&gt;&lt;rec-number&gt;8&lt;/rec-number&gt;&lt;foreign-keys&gt;&lt;key app="EN" db-id="r5sv9zwer2dw2pexz935edzbrpsweevtw5ed" timestamp="1599099396"&gt;8&lt;/key&gt;&lt;/foreign-keys&gt;&lt;ref-type name="Report"&gt;27&lt;/ref-type&gt;&lt;contributors&gt;&lt;authors&gt;&lt;author&gt;Committee for Economic Development of Australia,&lt;/author&gt;&lt;/authors&gt;&lt;/contributors&gt;&lt;titles&gt;&lt;title&gt;Effects of temporary migration&lt;/title&gt;&lt;/titles&gt;&lt;dates&gt;&lt;year&gt;2019&lt;/year&gt;&lt;/dates&gt;&lt;pub-location&gt;Melbourne&lt;/pub-location&gt;&lt;urls&gt;&lt;/urls&gt;&lt;/record&gt;&lt;/Cite&gt;&lt;/EndNote&gt;</w:instrText>
      </w:r>
      <w:r w:rsidRPr="00F03B6F">
        <w:fldChar w:fldCharType="separate"/>
      </w:r>
      <w:r w:rsidRPr="00F03B6F">
        <w:rPr>
          <w:noProof/>
        </w:rPr>
        <w:t>(Committee for Economic Development of Australia, 2019)</w:t>
      </w:r>
      <w:r w:rsidRPr="00F03B6F">
        <w:fldChar w:fldCharType="end"/>
      </w:r>
      <w:r w:rsidRPr="00F03B6F">
        <w:t xml:space="preserve">. </w:t>
      </w:r>
    </w:p>
    <w:p w14:paraId="6972D219" w14:textId="4FBD764C" w:rsidR="00A945F4" w:rsidRPr="00F03B6F" w:rsidRDefault="00A945F4" w:rsidP="00A945F4">
      <w:r>
        <w:t xml:space="preserve">Another area of concern involves WHM working conditions and potential for the exploitation of WHMs linked with WHM program reforms. WHMs have been identified as especially vulnerable to wage underpayment due to difficulties understanding and exercising workplace entitlements under Australian law, compounded by age and language barriers </w:t>
      </w:r>
      <w:r>
        <w:fldChar w:fldCharType="begin"/>
      </w:r>
      <w:r>
        <w:instrText xml:space="preserve"> ADDIN EN.CITE &lt;EndNote&gt;&lt;Cite&gt;&lt;Author&gt;Fair Work Ombudsman&lt;/Author&gt;&lt;Year&gt;2016&lt;/Year&gt;&lt;RecNum&gt;26&lt;/RecNum&gt;&lt;DisplayText&gt;(Fair Work Ombudsman, 2016)&lt;/DisplayText&gt;&lt;record&gt;&lt;rec-number&gt;26&lt;/rec-number&gt;&lt;foreign-keys&gt;&lt;key app="EN" db-id="r5sv9zwer2dw2pexz935edzbrpsweevtw5ed" timestamp="1600661741"&gt;26&lt;/key&gt;&lt;/foreign-keys&gt;&lt;ref-type name="Report"&gt;27&lt;/ref-type&gt;&lt;contributors&gt;&lt;authors&gt;&lt;author&gt;Fair Work Ombudsman,&lt;/author&gt;&lt;/authors&gt;&lt;/contributors&gt;&lt;titles&gt;&lt;title&gt;Inquiry into the wages and conditions of people working under the 417 Working Holiday Visa Program &lt;/title&gt;&lt;/titles&gt;&lt;dates&gt;&lt;year&gt;2016&lt;/year&gt;&lt;/dates&gt;&lt;urls&gt;&lt;related-urls&gt;&lt;url&gt;file:///C:/Users/more0020/AppData/Local/Temp/417-visa-inquiry-report-1.pdf&lt;/url&gt;&lt;/related-urls&gt;&lt;/urls&gt;&lt;/record&gt;&lt;/Cite&gt;&lt;/EndNote&gt;</w:instrText>
      </w:r>
      <w:r>
        <w:fldChar w:fldCharType="separate"/>
      </w:r>
      <w:r w:rsidRPr="29D6F3C6">
        <w:rPr>
          <w:noProof/>
        </w:rPr>
        <w:t>(Fair Work Ombudsman, 2016)</w:t>
      </w:r>
      <w:r>
        <w:fldChar w:fldCharType="end"/>
      </w:r>
      <w:r>
        <w:t xml:space="preserve">. They are also vulnerable to inducement to unpaid work due to a perception that this forms a gateway to paid work, which in turn forms a pathway from a temporary to a permanent visa </w:t>
      </w:r>
      <w:r>
        <w:fldChar w:fldCharType="begin"/>
      </w:r>
      <w:r>
        <w:instrText xml:space="preserve"> ADDIN EN.CITE &lt;EndNote&gt;&lt;Cite&gt;&lt;Author&gt;Education and Employment References Committee&lt;/Author&gt;&lt;Year&gt;2016&lt;/Year&gt;&lt;RecNum&gt;25&lt;/RecNum&gt;&lt;DisplayText&gt;(Education and Employment References Committee, 2016)&lt;/DisplayText&gt;&lt;record&gt;&lt;rec-number&gt;25&lt;/rec-number&gt;&lt;foreign-keys&gt;&lt;key app="EN" db-id="r5sv9zwer2dw2pexz935edzbrpsweevtw5ed" timestamp="1600145941"&gt;25&lt;/key&gt;&lt;/foreign-keys&gt;&lt;ref-type name="Generic"&gt;13&lt;/ref-type&gt;&lt;contributors&gt;&lt;authors&gt;&lt;author&gt;Education and Employment References Committee,&lt;/author&gt;&lt;/authors&gt;&lt;/contributors&gt;&lt;titles&gt;&lt;title&gt;A National Disgrace: The Exploitation of Temporary Work Visa Holders&lt;/title&gt;&lt;/titles&gt;&lt;dates&gt;&lt;year&gt;2016&lt;/year&gt;&lt;/dates&gt;&lt;pub-location&gt;Canberra&lt;/pub-location&gt;&lt;urls&gt;&lt;/urls&gt;&lt;/record&gt;&lt;/Cite&gt;&lt;/EndNote&gt;</w:instrText>
      </w:r>
      <w:r>
        <w:fldChar w:fldCharType="separate"/>
      </w:r>
      <w:r w:rsidRPr="29D6F3C6">
        <w:rPr>
          <w:noProof/>
        </w:rPr>
        <w:t>(Education and Employment References Committee, 2016)</w:t>
      </w:r>
      <w:r>
        <w:fldChar w:fldCharType="end"/>
      </w:r>
      <w:r>
        <w:t xml:space="preserve">. The </w:t>
      </w:r>
      <w:r w:rsidR="00B91660">
        <w:t xml:space="preserve">Fair Work Ombudsman has found the </w:t>
      </w:r>
      <w:r>
        <w:t xml:space="preserve">88-day </w:t>
      </w:r>
      <w:r w:rsidR="3482D6B5">
        <w:t xml:space="preserve">work requirement </w:t>
      </w:r>
      <w:r>
        <w:t>to qualify for a second</w:t>
      </w:r>
      <w:r w:rsidR="13235E12">
        <w:t xml:space="preserve"> year </w:t>
      </w:r>
      <w:r>
        <w:t xml:space="preserve">visa heightens WHM vulnerability due to the remoteness of working locations and WHM dependence on employers for sign off to obtain eligibility </w:t>
      </w:r>
      <w:r>
        <w:fldChar w:fldCharType="begin"/>
      </w:r>
      <w:r>
        <w:instrText xml:space="preserve"> ADDIN EN.CITE &lt;EndNote&gt;&lt;Cite&gt;&lt;Author&gt;Fair Work Ombudsman&lt;/Author&gt;&lt;Year&gt;2016&lt;/Year&gt;&lt;RecNum&gt;26&lt;/RecNum&gt;&lt;DisplayText&gt;(Fair Work Ombudsman, 2016)&lt;/DisplayText&gt;&lt;record&gt;&lt;rec-number&gt;26&lt;/rec-number&gt;&lt;foreign-keys&gt;&lt;key app="EN" db-id="r5sv9zwer2dw2pexz935edzbrpsweevtw5ed" timestamp="1600661741"&gt;26&lt;/key&gt;&lt;/foreign-keys&gt;&lt;ref-type name="Report"&gt;27&lt;/ref-type&gt;&lt;contributors&gt;&lt;authors&gt;&lt;author&gt;Fair Work Ombudsman,&lt;/author&gt;&lt;/authors&gt;&lt;/contributors&gt;&lt;titles&gt;&lt;title&gt;Inquiry into the wages and conditions of people working under the 417 Working Holiday Visa Program &lt;/title&gt;&lt;/titles&gt;&lt;dates&gt;&lt;year&gt;2016&lt;/year&gt;&lt;/dates&gt;&lt;urls&gt;&lt;related-urls&gt;&lt;url&gt;file:///C:/Users/more0020/AppData/Local/Temp/417-visa-inquiry-report-1.pdf&lt;/url&gt;&lt;/related-urls&gt;&lt;/urls&gt;&lt;/record&gt;&lt;/Cite&gt;&lt;/EndNote&gt;</w:instrText>
      </w:r>
      <w:r>
        <w:fldChar w:fldCharType="separate"/>
      </w:r>
      <w:r w:rsidRPr="29D6F3C6">
        <w:rPr>
          <w:noProof/>
        </w:rPr>
        <w:t>(Fair Work Ombudsman, 2016)</w:t>
      </w:r>
      <w:r>
        <w:fldChar w:fldCharType="end"/>
      </w:r>
      <w:r>
        <w:t xml:space="preserve">. </w:t>
      </w:r>
      <w:r w:rsidR="0059048D">
        <w:t xml:space="preserve">In response to </w:t>
      </w:r>
      <w:r w:rsidR="00965F20">
        <w:t>identified</w:t>
      </w:r>
      <w:r w:rsidR="0059048D">
        <w:t xml:space="preserve"> vulnerabilities in the </w:t>
      </w:r>
      <w:r w:rsidR="00806DB7">
        <w:t>WHM program, t</w:t>
      </w:r>
      <w:r w:rsidR="00F24ECF">
        <w:t xml:space="preserve">he Joint Standing Committee </w:t>
      </w:r>
      <w:r w:rsidR="00F24ECF" w:rsidRPr="009A3F2E">
        <w:t>Inquiry</w:t>
      </w:r>
      <w:r w:rsidR="006829E3">
        <w:t xml:space="preserve"> </w:t>
      </w:r>
      <w:r w:rsidR="009A3F2E">
        <w:fldChar w:fldCharType="begin"/>
      </w:r>
      <w:r w:rsidR="009A3F2E">
        <w:instrText xml:space="preserve"> ADDIN EN.CITE &lt;EndNote&gt;&lt;Cite&gt;&lt;Author&gt;Joint Standing Committee on Migration&lt;/Author&gt;&lt;Year&gt;2020&lt;/Year&gt;&lt;RecNum&gt;35&lt;/RecNum&gt;&lt;DisplayText&gt;(Joint Standing Committee on Migration, 2020a)&lt;/DisplayText&gt;&lt;record&gt;&lt;rec-number&gt;35&lt;/rec-number&gt;&lt;foreign-keys&gt;&lt;key app="EN" db-id="r5sv9zwer2dw2pexz935edzbrpsweevtw5ed" timestamp="1624343905"&gt;35&lt;/key&gt;&lt;/foreign-keys&gt;&lt;ref-type name="Report"&gt;27&lt;/ref-type&gt;&lt;contributors&gt;&lt;authors&gt;&lt;author&gt;Joint Standing Committee on Migration,&lt;/author&gt;&lt;/authors&gt;&lt;/contributors&gt;&lt;titles&gt;&lt;title&gt;Final Report of the Inquiry into the Working Holiday Maker Program&lt;/title&gt;&lt;/titles&gt;&lt;dates&gt;&lt;year&gt;2020&lt;/year&gt;&lt;pub-dates&gt;&lt;date&gt;November 2020&lt;/date&gt;&lt;/pub-dates&gt;&lt;/dates&gt;&lt;pub-location&gt;Canberra&lt;/pub-location&gt;&lt;urls&gt;&lt;/urls&gt;&lt;/record&gt;&lt;/Cite&gt;&lt;/EndNote&gt;</w:instrText>
      </w:r>
      <w:r w:rsidR="009A3F2E">
        <w:fldChar w:fldCharType="separate"/>
      </w:r>
      <w:r w:rsidR="009A3F2E">
        <w:rPr>
          <w:noProof/>
        </w:rPr>
        <w:t>(Joint Standing Committee on Migration, 2020a)</w:t>
      </w:r>
      <w:r w:rsidR="009A3F2E">
        <w:fldChar w:fldCharType="end"/>
      </w:r>
      <w:r w:rsidR="00F24ECF">
        <w:t xml:space="preserve"> </w:t>
      </w:r>
      <w:r w:rsidR="0059048D">
        <w:t>recommended</w:t>
      </w:r>
      <w:r w:rsidR="00F24ECF">
        <w:t xml:space="preserve"> establish</w:t>
      </w:r>
      <w:r w:rsidR="0059048D">
        <w:t>ing</w:t>
      </w:r>
      <w:r w:rsidR="00F24ECF">
        <w:t xml:space="preserve"> a single point of contact hotline for WHMs to source information and advice about </w:t>
      </w:r>
      <w:r w:rsidR="00F24ECF" w:rsidRPr="00C05EA9">
        <w:t>work rights, workplace exploitation concerns, accommodation and employment options</w:t>
      </w:r>
      <w:r w:rsidR="00F24ECF">
        <w:t>.</w:t>
      </w:r>
    </w:p>
    <w:p w14:paraId="74F305D6" w14:textId="0A561322" w:rsidR="00A945F4" w:rsidRPr="00F03B6F" w:rsidRDefault="00A945F4" w:rsidP="29D6F3C6">
      <w:r>
        <w:t xml:space="preserve">In </w:t>
      </w:r>
      <w:r w:rsidR="00740690">
        <w:t>March 2016,</w:t>
      </w:r>
      <w:r>
        <w:t xml:space="preserve"> the </w:t>
      </w:r>
      <w:r w:rsidR="3FCDDD71">
        <w:t xml:space="preserve">Senate Standing Committee on </w:t>
      </w:r>
      <w:r>
        <w:t>Education and Employment References released its final report</w:t>
      </w:r>
      <w:r w:rsidR="18D697DE">
        <w:t xml:space="preserve"> from its </w:t>
      </w:r>
      <w:r w:rsidR="18D697DE" w:rsidRPr="006A398B">
        <w:t>inquiry into the impact of Australia’s temporary work visa programs on the Australian labour market and on the temporary work visa holders</w:t>
      </w:r>
      <w:r>
        <w:t>.</w:t>
      </w:r>
      <w:r w:rsidR="00E44F72">
        <w:rPr>
          <w:rStyle w:val="FootnoteReference"/>
        </w:rPr>
        <w:footnoteReference w:id="3"/>
      </w:r>
      <w:r>
        <w:t xml:space="preserve"> The report found that WHM visa holders in the harvesting sector were considerably vulnerable, particularly those whose employment was mediated by unscrupulous labour hire companies. These finding were supported by the FWO Inquiry into the wages and working conditions of people under the 417 WHM visa program report released in October 2016 and then again by the FWO Harvest Trail Inquiry Report </w:t>
      </w:r>
      <w:r>
        <w:fldChar w:fldCharType="begin"/>
      </w:r>
      <w:r>
        <w:instrText xml:space="preserve"> ADDIN EN.CITE &lt;EndNote&gt;&lt;Cite ExcludeAuth="1"&gt;&lt;Author&gt;Fair Work Ombudsman&lt;/Author&gt;&lt;Year&gt;2018&lt;/Year&gt;&lt;RecNum&gt;5&lt;/RecNum&gt;&lt;DisplayText&gt;(2018)&lt;/DisplayText&gt;&lt;record&gt;&lt;rec-number&gt;5&lt;/rec-number&gt;&lt;foreign-keys&gt;&lt;key app="EN" db-id="r5sv9zwer2dw2pexz935edzbrpsweevtw5ed" timestamp="1599007471"&gt;5&lt;/key&gt;&lt;/foreign-keys&gt;&lt;ref-type name="Report"&gt;27&lt;/ref-type&gt;&lt;contributors&gt;&lt;authors&gt;&lt;author&gt;Fair Work Ombudsman,&lt;/author&gt;&lt;/authors&gt;&lt;tertiary-authors&gt;&lt;author&gt;Australian Government Fair Work Ombudsman&lt;/author&gt;&lt;/tertiary-authors&gt;&lt;/contributors&gt;&lt;titles&gt;&lt;title&gt;Haverst Trail Inquiry Report: A report on workplace arrangements along the Harvest Trail&lt;/title&gt;&lt;/titles&gt;&lt;dates&gt;&lt;year&gt;2018&lt;/year&gt;&lt;/dates&gt;&lt;urls&gt;&lt;/urls&gt;&lt;/record&gt;&lt;/Cite&gt;&lt;/EndNote&gt;</w:instrText>
      </w:r>
      <w:r>
        <w:fldChar w:fldCharType="separate"/>
      </w:r>
      <w:r w:rsidRPr="7EF40915">
        <w:rPr>
          <w:noProof/>
        </w:rPr>
        <w:t>(2018)</w:t>
      </w:r>
      <w:r>
        <w:fldChar w:fldCharType="end"/>
      </w:r>
      <w:r>
        <w:t xml:space="preserve"> which identified widespread breaches of workplace laws by more than 50 per cent of the 638 firms investigated </w:t>
      </w:r>
      <w:r>
        <w:fldChar w:fldCharType="begin"/>
      </w:r>
      <w:r>
        <w:instrText xml:space="preserve"> ADDIN EN.CITE &lt;EndNote&gt;&lt;Cite&gt;&lt;Author&gt;Fels&lt;/Author&gt;&lt;Year&gt;2019&lt;/Year&gt;&lt;RecNum&gt;28&lt;/RecNum&gt;&lt;DisplayText&gt;(Fels &amp;amp; Cousins, 2019)&lt;/DisplayText&gt;&lt;record&gt;&lt;rec-number&gt;28&lt;/rec-number&gt;&lt;foreign-keys&gt;&lt;key app="EN" db-id="r5sv9zwer2dw2pexz935edzbrpsweevtw5ed" timestamp="1600664463"&gt;28&lt;/key&gt;&lt;/foreign-keys&gt;&lt;ref-type name="Journal Article"&gt;17&lt;/ref-type&gt;&lt;contributors&gt;&lt;authors&gt;&lt;author&gt;Allan Fels&lt;/author&gt;&lt;author&gt;David Cousins&lt;/author&gt;&lt;/authors&gt;&lt;/contributors&gt;&lt;titles&gt;&lt;title&gt;The Migrant Workers’  Taskforce and the Australian Government’s Response to Migrant Worker Wage Exploitation&lt;/title&gt;&lt;secondary-title&gt;Journal of Australian Political Economy&lt;/secondary-title&gt;&lt;/titles&gt;&lt;pages&gt;13-45&lt;/pages&gt;&lt;volume&gt;84&lt;/volume&gt;&lt;dates&gt;&lt;year&gt;2019&lt;/year&gt;&lt;/dates&gt;&lt;urls&gt;&lt;/urls&gt;&lt;/record&gt;&lt;/Cite&gt;&lt;/EndNote&gt;</w:instrText>
      </w:r>
      <w:r>
        <w:fldChar w:fldCharType="separate"/>
      </w:r>
      <w:r w:rsidRPr="7EF40915">
        <w:rPr>
          <w:noProof/>
        </w:rPr>
        <w:t>(Fels &amp; Cousins, 2019)</w:t>
      </w:r>
      <w:r>
        <w:fldChar w:fldCharType="end"/>
      </w:r>
      <w:r>
        <w:t xml:space="preserve">. </w:t>
      </w:r>
      <w:r w:rsidR="00BA050A">
        <w:t xml:space="preserve">The Fair Work Ombudsman </w:t>
      </w:r>
      <w:r w:rsidR="00B407B0">
        <w:fldChar w:fldCharType="begin"/>
      </w:r>
      <w:r w:rsidR="00B407B0">
        <w:instrText xml:space="preserve"> ADDIN EN.CITE &lt;EndNote&gt;&lt;Cite ExcludeAuth="1"&gt;&lt;Author&gt;Fair Work Ombudsman&lt;/Author&gt;&lt;Year&gt;2018&lt;/Year&gt;&lt;RecNum&gt;5&lt;/RecNum&gt;&lt;DisplayText&gt;(2018)&lt;/DisplayText&gt;&lt;record&gt;&lt;rec-number&gt;5&lt;/rec-number&gt;&lt;foreign-keys&gt;&lt;key app="EN" db-id="r5sv9zwer2dw2pexz935edzbrpsweevtw5ed" timestamp="1599007471"&gt;5&lt;/key&gt;&lt;/foreign-keys&gt;&lt;ref-type name="Report"&gt;27&lt;/ref-type&gt;&lt;contributors&gt;&lt;authors&gt;&lt;author&gt;Fair Work Ombudsman,&lt;/author&gt;&lt;/authors&gt;&lt;tertiary-authors&gt;&lt;author&gt;Australian Government Fair Work Ombudsman&lt;/author&gt;&lt;/tertiary-authors&gt;&lt;/contributors&gt;&lt;titles&gt;&lt;title&gt;Haverst Trail Inquiry Report: A report on workplace arrangements along the Harvest Trail&lt;/title&gt;&lt;/titles&gt;&lt;dates&gt;&lt;year&gt;2018&lt;/year&gt;&lt;/dates&gt;&lt;urls&gt;&lt;/urls&gt;&lt;/record&gt;&lt;/Cite&gt;&lt;/EndNote&gt;</w:instrText>
      </w:r>
      <w:r w:rsidR="00B407B0">
        <w:fldChar w:fldCharType="separate"/>
      </w:r>
      <w:r w:rsidR="00B407B0">
        <w:rPr>
          <w:noProof/>
        </w:rPr>
        <w:t>(2018)</w:t>
      </w:r>
      <w:r w:rsidR="00B407B0">
        <w:fldChar w:fldCharType="end"/>
      </w:r>
      <w:r w:rsidR="00B407B0">
        <w:t xml:space="preserve"> found that f</w:t>
      </w:r>
      <w:r>
        <w:t>actors contributing to the exploitation of migrant workers in the horticultural sector included widespread non-compliance among employers investigated, misuse of piece rates, a negative impact where labour hire agreements were used illegally, low consumer awareness of related issues and an unwillingness to pay more for ‘domestic fair trade’ produce.</w:t>
      </w:r>
    </w:p>
    <w:p w14:paraId="2A33CD24" w14:textId="76438433" w:rsidR="00A945F4" w:rsidRDefault="00A945F4" w:rsidP="00A945F4">
      <w:r w:rsidRPr="00F03B6F">
        <w:t xml:space="preserve">In </w:t>
      </w:r>
      <w:r w:rsidR="00C34F54" w:rsidRPr="00F03B6F">
        <w:t>October 2016,</w:t>
      </w:r>
      <w:r w:rsidRPr="00F03B6F">
        <w:t xml:space="preserve"> the Australian Government established the Migrant Workers’ Taskforce, </w:t>
      </w:r>
      <w:r>
        <w:t>task</w:t>
      </w:r>
      <w:r w:rsidRPr="00F03B6F">
        <w:t xml:space="preserve">ed to identify further proposals for improvements in law, law enforcement, or other practical measures to more quickly identify and rectify any cases of migrant worker exploitation. The government has accepted in principle all 22 recommendations extending from the Taskforce report, released </w:t>
      </w:r>
      <w:r>
        <w:t xml:space="preserve">in </w:t>
      </w:r>
      <w:r w:rsidRPr="00F03B6F">
        <w:t>March 2019. Measures were announced in the 2019-20 Budget to provide additional funding to the FWO to bolster enforcement action against employers who exploit vulnerable workers</w:t>
      </w:r>
      <w:r>
        <w:t>,</w:t>
      </w:r>
      <w:r w:rsidRPr="00F03B6F">
        <w:t xml:space="preserve"> with additional funding pledged to enhance resources to ensure vulnerable workers are aware of their workplace rights. A National Labour Hire Registration Scheme is being developed to ‘offer a balanced approach to protect vulnerable workers, target rogue operators and level the playing field for businesses that do the right thing, while leaving the labour hire industry as a whole, intact’  </w:t>
      </w:r>
      <w:r w:rsidRPr="00F03B6F">
        <w:fldChar w:fldCharType="begin"/>
      </w:r>
      <w:r>
        <w:instrText xml:space="preserve"> ADDIN EN.CITE &lt;EndNote&gt;&lt;Cite&gt;&lt;Author&gt;Attorney General&amp;apos;s Department (Clth)&lt;/Author&gt;&lt;RecNum&gt;27&lt;/RecNum&gt;&lt;DisplayText&gt;(Attorney General&amp;apos;s Department (Clth))&lt;/DisplayText&gt;&lt;record&gt;&lt;rec-number&gt;27&lt;/rec-number&gt;&lt;foreign-keys&gt;&lt;key app="EN" db-id="r5sv9zwer2dw2pexz935edzbrpsweevtw5ed" timestamp="1600662736"&gt;27&lt;/key&gt;&lt;/foreign-keys&gt;&lt;ref-type name="Web Page"&gt;12&lt;/ref-type&gt;&lt;contributors&gt;&lt;authors&gt;&lt;author&gt;Attorney General&amp;apos;s Department (Clth),&lt;/author&gt;&lt;/authors&gt;&lt;/contributors&gt;&lt;titles&gt;&lt;title&gt;Migrant Workers&amp;apos; Taskforce&lt;/title&gt;&lt;/titles&gt;&lt;volume&gt;2020&lt;/volume&gt;&lt;number&gt;21 September&lt;/number&gt;&lt;dates&gt;&lt;/dates&gt;&lt;urls&gt;&lt;related-urls&gt;&lt;url&gt;https://www.ag.gov.au/industrial-relations/migrant-workers-taskforce&lt;/url&gt;&lt;/related-urls&gt;&lt;/urls&gt;&lt;/record&gt;&lt;/Cite&gt;&lt;/EndNote&gt;</w:instrText>
      </w:r>
      <w:r w:rsidRPr="00F03B6F">
        <w:fldChar w:fldCharType="separate"/>
      </w:r>
      <w:r w:rsidRPr="00F03B6F">
        <w:rPr>
          <w:noProof/>
        </w:rPr>
        <w:t>(Attorney General's Department (Clth))</w:t>
      </w:r>
      <w:r w:rsidRPr="00F03B6F">
        <w:fldChar w:fldCharType="end"/>
      </w:r>
      <w:r w:rsidRPr="00F03B6F">
        <w:t xml:space="preserve">. </w:t>
      </w:r>
    </w:p>
    <w:p w14:paraId="2B19B83A" w14:textId="60F05E3C" w:rsidR="00FC75A4" w:rsidRPr="00F03B6F" w:rsidRDefault="00FC75A4" w:rsidP="002E77A1">
      <w:pPr>
        <w:pStyle w:val="Heading2"/>
      </w:pPr>
      <w:bookmarkStart w:id="11" w:name="_Ref72919732"/>
      <w:bookmarkStart w:id="12" w:name="_Toc75878439"/>
      <w:r w:rsidRPr="00F03B6F">
        <w:t xml:space="preserve">Developments in the WHM </w:t>
      </w:r>
      <w:r w:rsidR="002344C4">
        <w:t>program</w:t>
      </w:r>
      <w:bookmarkEnd w:id="11"/>
      <w:bookmarkEnd w:id="12"/>
    </w:p>
    <w:p w14:paraId="79CDD003" w14:textId="659A1042" w:rsidR="00890E40" w:rsidRPr="00890E40" w:rsidRDefault="00890E40" w:rsidP="00890E40">
      <w:pPr>
        <w:pStyle w:val="Heading3"/>
      </w:pPr>
      <w:bookmarkStart w:id="13" w:name="_Toc75878440"/>
      <w:r>
        <w:t>Increases in partner countries and caps</w:t>
      </w:r>
      <w:bookmarkEnd w:id="13"/>
    </w:p>
    <w:p w14:paraId="14BD4E88" w14:textId="632D6D13" w:rsidR="00FC75A4" w:rsidRPr="00F03B6F" w:rsidRDefault="00FC75A4" w:rsidP="00FC75A4">
      <w:r w:rsidRPr="00F03B6F">
        <w:t xml:space="preserve">The WHM </w:t>
      </w:r>
      <w:r w:rsidR="002344C4">
        <w:t>program</w:t>
      </w:r>
      <w:r w:rsidRPr="00F03B6F">
        <w:t xml:space="preserve"> was originally conceived to facilitate cultural exchange among young travellers to and from Australia, offering them opportunities for deep cultural experiences supplemented by limited opportunities to work and study </w:t>
      </w:r>
      <w:r w:rsidRPr="00F03B6F">
        <w:fldChar w:fldCharType="begin"/>
      </w:r>
      <w:r w:rsidR="003D331A">
        <w:instrText xml:space="preserve"> ADDIN EN.CITE &lt;EndNote&gt;&lt;Cite&gt;&lt;Author&gt;Swoboda&lt;/Author&gt;&lt;Year&gt;2016&lt;/Year&gt;&lt;RecNum&gt;14&lt;/RecNum&gt;&lt;DisplayText&gt;(Swoboda &amp;amp; Dosser, 2016)&lt;/DisplayText&gt;&lt;record&gt;&lt;rec-number&gt;14&lt;/rec-number&gt;&lt;foreign-keys&gt;&lt;key app="EN" db-id="r5sv9zwer2dw2pexz935edzbrpsweevtw5ed" timestamp="1599441893"&gt;14&lt;/key&gt;&lt;/foreign-keys&gt;&lt;ref-type name="Government Document"&gt;46&lt;/ref-type&gt;&lt;contributors&gt;&lt;authors&gt;&lt;author&gt;Kai Swoboda&lt;/author&gt;&lt;author&gt;Robert Dosser&lt;/author&gt;&lt;/authors&gt;&lt;secondary-authors&gt;&lt;author&gt;Department of Parliamentary Services&lt;/author&gt;&lt;/secondary-authors&gt;&lt;/contributors&gt;&lt;titles&gt;&lt;title&gt;Income Tax Rates Amendment (Working Holiday Maker Reform) Bill 2016 [and related Bills]&lt;/title&gt;&lt;tertiary-title&gt;Parliamentary Library Bills Digest no. 30, 2016–17&lt;/tertiary-title&gt;&lt;/titles&gt;&lt;dates&gt;&lt;year&gt;2016&lt;/year&gt;&lt;/dates&gt;&lt;pub-location&gt;Canberra, Australia&lt;/pub-location&gt;&lt;urls&gt;&lt;/urls&gt;&lt;/record&gt;&lt;/Cite&gt;&lt;/EndNote&gt;</w:instrText>
      </w:r>
      <w:r w:rsidRPr="00F03B6F">
        <w:fldChar w:fldCharType="separate"/>
      </w:r>
      <w:r w:rsidRPr="00F03B6F">
        <w:rPr>
          <w:noProof/>
        </w:rPr>
        <w:t>(Swoboda &amp; Dosser, 2016)</w:t>
      </w:r>
      <w:r w:rsidRPr="00F03B6F">
        <w:fldChar w:fldCharType="end"/>
      </w:r>
      <w:r w:rsidRPr="00F03B6F">
        <w:t>. While the program initially targeted young travellers from the UK, Ireland and Canada, growing interest in the scheme resulted in the number of partner countries increasing to nineteen between 1975 and 2006 (based on 417</w:t>
      </w:r>
      <w:r w:rsidR="00D25F6C">
        <w:t xml:space="preserve"> </w:t>
      </w:r>
      <w:r w:rsidRPr="00F03B6F">
        <w:t>visa agreements) with a further 25 partner countries added between 2003 and 2019 (based on 462</w:t>
      </w:r>
      <w:r w:rsidR="00D25F6C">
        <w:t xml:space="preserve"> </w:t>
      </w:r>
      <w:r w:rsidRPr="00F03B6F">
        <w:t xml:space="preserve">visa agreements). </w:t>
      </w:r>
    </w:p>
    <w:p w14:paraId="3D7A797E" w14:textId="1CDA6C4F" w:rsidR="00FC75A4" w:rsidRPr="00F03B6F" w:rsidRDefault="00FC75A4" w:rsidP="00FC75A4">
      <w:r>
        <w:t xml:space="preserve">Accordingly, the number of WHM </w:t>
      </w:r>
      <w:r w:rsidR="002344C4">
        <w:t>program</w:t>
      </w:r>
      <w:r>
        <w:t xml:space="preserve"> visa grants grew substantially throughout the 1980s, increasing from fewer than 6000 WHMs in 1983-84 to around 45,000 in 1988-89 </w:t>
      </w:r>
      <w:r>
        <w:fldChar w:fldCharType="begin"/>
      </w:r>
      <w:r>
        <w:instrText xml:space="preserve"> ADDIN EN.CITE &lt;EndNote&gt;&lt;Cite&gt;&lt;Author&gt;Rivzi&lt;/Author&gt;&lt;Year&gt;2020&lt;/Year&gt;&lt;RecNum&gt;18&lt;/RecNum&gt;&lt;DisplayText&gt;(Rivzi, 2020)&lt;/DisplayText&gt;&lt;record&gt;&lt;rec-number&gt;18&lt;/rec-number&gt;&lt;foreign-keys&gt;&lt;key app="EN" db-id="r5sv9zwer2dw2pexz935edzbrpsweevtw5ed" timestamp="1599459475"&gt;18&lt;/key&gt;&lt;/foreign-keys&gt;&lt;ref-type name="Report"&gt;27&lt;/ref-type&gt;&lt;contributors&gt;&lt;authors&gt;&lt;author&gt;Abdul Rivzi&lt;/author&gt;&lt;/authors&gt;&lt;tertiary-authors&gt;&lt;author&gt;The McKell Institute&lt;/author&gt;&lt;/tertiary-authors&gt;&lt;/contributors&gt;&lt;titles&gt;&lt;title&gt;A Fairer Pathway: Improving Australia&amp;apos;s Temporary Migration Program&lt;/title&gt;&lt;/titles&gt;&lt;dates&gt;&lt;year&gt;2020&lt;/year&gt;&lt;/dates&gt;&lt;pub-location&gt;Sydney, Australia&lt;/pub-location&gt;&lt;urls&gt;&lt;/urls&gt;&lt;/record&gt;&lt;/Cite&gt;&lt;/EndNote&gt;</w:instrText>
      </w:r>
      <w:r>
        <w:fldChar w:fldCharType="separate"/>
      </w:r>
      <w:r w:rsidRPr="29D6F3C6">
        <w:rPr>
          <w:noProof/>
        </w:rPr>
        <w:t>(Rivzi, 2020)</w:t>
      </w:r>
      <w:r>
        <w:fldChar w:fldCharType="end"/>
      </w:r>
      <w:r>
        <w:t xml:space="preserve">. The 1990s Australian recession led to pressure from some quarters to restrain the program in favour of local labour, resulting in the introduction of visa caps for individual countries. After a period of tightened migration policy in general in the latter half of </w:t>
      </w:r>
      <w:r w:rsidR="005377E9">
        <w:t xml:space="preserve">the </w:t>
      </w:r>
      <w:r>
        <w:t xml:space="preserve">1990s, concerns about the impact of decreasing fertility, population ageing and increasing skill shortages, particularly in regional areas, prompted the government to increase the migration program from 1999 onward. The WHM </w:t>
      </w:r>
      <w:r w:rsidR="002344C4">
        <w:t>program</w:t>
      </w:r>
      <w:r>
        <w:t xml:space="preserve"> featured strongly in this refocusing of policy, mainly as a mechanism for addressing labour shortages</w:t>
      </w:r>
      <w:r w:rsidR="00561872">
        <w:t xml:space="preserve"> </w:t>
      </w:r>
      <w:r>
        <w:t>in particular industries in regional areas. This was evident in the increases progressively applied to individual countries’</w:t>
      </w:r>
      <w:r w:rsidR="006A398B">
        <w:t xml:space="preserve"> </w:t>
      </w:r>
      <w:r>
        <w:t>caps</w:t>
      </w:r>
      <w:r w:rsidR="2C6035DE">
        <w:t xml:space="preserve"> under the subclass 462 visa</w:t>
      </w:r>
      <w:r>
        <w:t xml:space="preserve">, as shown in </w:t>
      </w:r>
      <w:r>
        <w:fldChar w:fldCharType="begin"/>
      </w:r>
      <w:r>
        <w:instrText xml:space="preserve"> REF _Ref50975942 \h  \* MERGEFORMAT </w:instrText>
      </w:r>
      <w:r>
        <w:fldChar w:fldCharType="separate"/>
      </w:r>
      <w:r w:rsidR="00F22012" w:rsidRPr="00F03B6F">
        <w:t xml:space="preserve">Table </w:t>
      </w:r>
      <w:r w:rsidR="00F22012">
        <w:rPr>
          <w:noProof/>
        </w:rPr>
        <w:t>2</w:t>
      </w:r>
      <w:r w:rsidR="00F22012">
        <w:rPr>
          <w:noProof/>
        </w:rPr>
        <w:noBreakHyphen/>
        <w:t>1</w:t>
      </w:r>
      <w:r>
        <w:fldChar w:fldCharType="end"/>
      </w:r>
      <w:r>
        <w:t>.</w:t>
      </w:r>
    </w:p>
    <w:p w14:paraId="1E93B88F" w14:textId="13D5C7B7" w:rsidR="00FC75A4" w:rsidRPr="00F03B6F" w:rsidRDefault="00FC75A4" w:rsidP="00FC75A4">
      <w:pPr>
        <w:pStyle w:val="Caption"/>
        <w:spacing w:before="120" w:after="120"/>
      </w:pPr>
      <w:bookmarkStart w:id="14" w:name="_Ref50975942"/>
      <w:bookmarkStart w:id="15" w:name="_Toc75878590"/>
      <w:r w:rsidRPr="00F03B6F">
        <w:t xml:space="preserve">Table </w:t>
      </w:r>
      <w:r>
        <w:fldChar w:fldCharType="begin"/>
      </w:r>
      <w:r>
        <w:instrText>STYLEREF 1 \s</w:instrText>
      </w:r>
      <w:r>
        <w:fldChar w:fldCharType="separate"/>
      </w:r>
      <w:r w:rsidR="00F22012">
        <w:rPr>
          <w:noProof/>
        </w:rPr>
        <w:t>2</w:t>
      </w:r>
      <w:r>
        <w:fldChar w:fldCharType="end"/>
      </w:r>
      <w:r w:rsidR="00E71DF1">
        <w:noBreakHyphen/>
      </w:r>
      <w:r>
        <w:fldChar w:fldCharType="begin"/>
      </w:r>
      <w:r>
        <w:instrText>SEQ Table \* ARABIC \s 1</w:instrText>
      </w:r>
      <w:r>
        <w:fldChar w:fldCharType="separate"/>
      </w:r>
      <w:r w:rsidR="00F22012">
        <w:rPr>
          <w:noProof/>
        </w:rPr>
        <w:t>1</w:t>
      </w:r>
      <w:r>
        <w:fldChar w:fldCharType="end"/>
      </w:r>
      <w:bookmarkEnd w:id="14"/>
      <w:r w:rsidRPr="00F03B6F">
        <w:t>: Increases in</w:t>
      </w:r>
      <w:r w:rsidR="00F51570">
        <w:t xml:space="preserve"> </w:t>
      </w:r>
      <w:r w:rsidR="001C390F">
        <w:t>sub-class 462</w:t>
      </w:r>
      <w:r w:rsidRPr="00F03B6F">
        <w:t xml:space="preserve"> visa caps, July 2013 to December 2019</w:t>
      </w:r>
      <w:bookmarkEnd w:id="15"/>
    </w:p>
    <w:tbl>
      <w:tblPr>
        <w:tblStyle w:val="ListTable3-Accent1"/>
        <w:tblW w:w="0" w:type="auto"/>
        <w:tblLook w:val="04A0" w:firstRow="1" w:lastRow="0" w:firstColumn="1" w:lastColumn="0" w:noHBand="0" w:noVBand="1"/>
      </w:tblPr>
      <w:tblGrid>
        <w:gridCol w:w="3136"/>
        <w:gridCol w:w="2880"/>
        <w:gridCol w:w="3000"/>
      </w:tblGrid>
      <w:tr w:rsidR="00FC75A4" w:rsidRPr="008C0BE3" w14:paraId="5BAFD6FC" w14:textId="77777777" w:rsidTr="00D87F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36" w:type="dxa"/>
          </w:tcPr>
          <w:p w14:paraId="241BFB00" w14:textId="3A7B4928" w:rsidR="00FC75A4" w:rsidRPr="008C0BE3" w:rsidRDefault="00851A3F" w:rsidP="00A42DB3">
            <w:pPr>
              <w:keepNext/>
              <w:keepLines/>
              <w:spacing w:before="0"/>
              <w:contextualSpacing/>
              <w:rPr>
                <w:rFonts w:ascii="Calibri" w:hAnsi="Calibri" w:cs="Calibri"/>
                <w:sz w:val="18"/>
                <w:szCs w:val="18"/>
              </w:rPr>
            </w:pPr>
            <w:r>
              <w:rPr>
                <w:rFonts w:ascii="Calibri" w:hAnsi="Calibri" w:cs="Calibri"/>
                <w:sz w:val="18"/>
                <w:szCs w:val="18"/>
              </w:rPr>
              <w:t xml:space="preserve">Commencement </w:t>
            </w:r>
            <w:r w:rsidR="00FC75A4" w:rsidRPr="008C0BE3">
              <w:rPr>
                <w:rFonts w:ascii="Calibri" w:hAnsi="Calibri" w:cs="Calibri"/>
                <w:sz w:val="18"/>
                <w:szCs w:val="18"/>
              </w:rPr>
              <w:t>Date</w:t>
            </w:r>
          </w:p>
        </w:tc>
        <w:tc>
          <w:tcPr>
            <w:tcW w:w="2880" w:type="dxa"/>
          </w:tcPr>
          <w:p w14:paraId="6078F98D" w14:textId="77777777" w:rsidR="00FC75A4" w:rsidRPr="008C0BE3" w:rsidRDefault="00FC75A4" w:rsidP="00A42DB3">
            <w:pPr>
              <w:keepNext/>
              <w:keepLines/>
              <w:spacing w:before="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Country</w:t>
            </w:r>
          </w:p>
        </w:tc>
        <w:tc>
          <w:tcPr>
            <w:tcW w:w="3000" w:type="dxa"/>
          </w:tcPr>
          <w:p w14:paraId="1C0A8C2A" w14:textId="77777777" w:rsidR="00FC75A4" w:rsidRPr="008C0BE3" w:rsidRDefault="00FC75A4" w:rsidP="00A42DB3">
            <w:pPr>
              <w:keepNext/>
              <w:keepLines/>
              <w:spacing w:before="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Cap increase</w:t>
            </w:r>
          </w:p>
        </w:tc>
      </w:tr>
      <w:tr w:rsidR="00FC75A4" w:rsidRPr="008C0BE3" w14:paraId="45FD75E2"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03D77670" w14:textId="77777777" w:rsidR="00FC75A4" w:rsidRPr="008C0BE3" w:rsidRDefault="00FC75A4" w:rsidP="00A42DB3">
            <w:pPr>
              <w:keepNext/>
              <w:keepLines/>
              <w:spacing w:before="0"/>
              <w:contextualSpacing/>
              <w:rPr>
                <w:rFonts w:ascii="Calibri" w:hAnsi="Calibri" w:cs="Calibri"/>
                <w:sz w:val="18"/>
                <w:szCs w:val="18"/>
              </w:rPr>
            </w:pPr>
            <w:r w:rsidRPr="008C0BE3">
              <w:rPr>
                <w:rFonts w:ascii="Calibri" w:hAnsi="Calibri" w:cs="Calibri"/>
                <w:sz w:val="18"/>
                <w:szCs w:val="18"/>
              </w:rPr>
              <w:t>July 2013</w:t>
            </w:r>
          </w:p>
        </w:tc>
        <w:tc>
          <w:tcPr>
            <w:tcW w:w="2880" w:type="dxa"/>
          </w:tcPr>
          <w:p w14:paraId="7BE767F2" w14:textId="77777777" w:rsidR="00FC75A4" w:rsidRPr="008C0BE3" w:rsidRDefault="00FC75A4" w:rsidP="00A42DB3">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Indonesia</w:t>
            </w:r>
          </w:p>
        </w:tc>
        <w:tc>
          <w:tcPr>
            <w:tcW w:w="3000" w:type="dxa"/>
          </w:tcPr>
          <w:p w14:paraId="778BB721" w14:textId="4C370BD0" w:rsidR="00FC75A4" w:rsidRPr="008C0BE3" w:rsidRDefault="00FC75A4" w:rsidP="00A42DB3">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100 to 1000</w:t>
            </w:r>
          </w:p>
        </w:tc>
      </w:tr>
      <w:tr w:rsidR="005F7079" w:rsidRPr="008C0BE3" w14:paraId="15F711B6" w14:textId="77777777" w:rsidTr="00D87F3B">
        <w:tc>
          <w:tcPr>
            <w:cnfStyle w:val="001000000000" w:firstRow="0" w:lastRow="0" w:firstColumn="1" w:lastColumn="0" w:oddVBand="0" w:evenVBand="0" w:oddHBand="0" w:evenHBand="0" w:firstRowFirstColumn="0" w:firstRowLastColumn="0" w:lastRowFirstColumn="0" w:lastRowLastColumn="0"/>
            <w:tcW w:w="3136" w:type="dxa"/>
          </w:tcPr>
          <w:p w14:paraId="27A0338C" w14:textId="453DFBD9" w:rsidR="005F7079" w:rsidRPr="005F7079" w:rsidRDefault="005F7079" w:rsidP="00A42DB3">
            <w:pPr>
              <w:keepNext/>
              <w:keepLines/>
              <w:spacing w:before="0"/>
              <w:contextualSpacing/>
              <w:rPr>
                <w:rFonts w:ascii="Calibri" w:hAnsi="Calibri" w:cs="Calibri"/>
                <w:b w:val="0"/>
                <w:sz w:val="18"/>
                <w:szCs w:val="18"/>
              </w:rPr>
            </w:pPr>
            <w:r w:rsidRPr="008C0BE3">
              <w:rPr>
                <w:rFonts w:ascii="Calibri" w:hAnsi="Calibri" w:cs="Calibri"/>
                <w:sz w:val="18"/>
                <w:szCs w:val="18"/>
              </w:rPr>
              <w:t>December 2018</w:t>
            </w:r>
          </w:p>
        </w:tc>
        <w:tc>
          <w:tcPr>
            <w:tcW w:w="2880" w:type="dxa"/>
          </w:tcPr>
          <w:p w14:paraId="47E65089" w14:textId="77777777" w:rsidR="005F7079" w:rsidRPr="008C0BE3" w:rsidRDefault="005F7079" w:rsidP="00A42DB3">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Israel</w:t>
            </w:r>
          </w:p>
        </w:tc>
        <w:tc>
          <w:tcPr>
            <w:tcW w:w="3000" w:type="dxa"/>
          </w:tcPr>
          <w:p w14:paraId="69AC66F7" w14:textId="77777777" w:rsidR="005F7079" w:rsidRPr="008C0BE3" w:rsidRDefault="005F7079" w:rsidP="00A42DB3">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500 to 2,500</w:t>
            </w:r>
          </w:p>
        </w:tc>
      </w:tr>
      <w:tr w:rsidR="005F7079" w:rsidRPr="008C0BE3" w14:paraId="00BE95B7"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426F2FE2" w14:textId="198DE922" w:rsidR="005F7079" w:rsidRPr="008C0BE3" w:rsidRDefault="005F7079" w:rsidP="005F7079">
            <w:pPr>
              <w:keepNext/>
              <w:keepLines/>
              <w:spacing w:before="0"/>
              <w:contextualSpacing/>
              <w:rPr>
                <w:rFonts w:ascii="Calibri" w:hAnsi="Calibri" w:cs="Calibri"/>
                <w:sz w:val="18"/>
                <w:szCs w:val="18"/>
              </w:rPr>
            </w:pPr>
            <w:r w:rsidRPr="008C0BE3">
              <w:rPr>
                <w:rFonts w:ascii="Calibri" w:hAnsi="Calibri" w:cs="Calibri"/>
                <w:sz w:val="18"/>
                <w:szCs w:val="18"/>
              </w:rPr>
              <w:t>December 2018</w:t>
            </w:r>
          </w:p>
        </w:tc>
        <w:tc>
          <w:tcPr>
            <w:tcW w:w="2880" w:type="dxa"/>
          </w:tcPr>
          <w:p w14:paraId="3E8CD6DB"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Spain</w:t>
            </w:r>
          </w:p>
        </w:tc>
        <w:tc>
          <w:tcPr>
            <w:tcW w:w="3000" w:type="dxa"/>
          </w:tcPr>
          <w:p w14:paraId="3C1B5CA9"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1,500 to 3,400</w:t>
            </w:r>
          </w:p>
        </w:tc>
      </w:tr>
      <w:tr w:rsidR="005F7079" w:rsidRPr="008C0BE3" w14:paraId="1B483E87" w14:textId="77777777" w:rsidTr="00D87F3B">
        <w:tc>
          <w:tcPr>
            <w:cnfStyle w:val="001000000000" w:firstRow="0" w:lastRow="0" w:firstColumn="1" w:lastColumn="0" w:oddVBand="0" w:evenVBand="0" w:oddHBand="0" w:evenHBand="0" w:firstRowFirstColumn="0" w:firstRowLastColumn="0" w:lastRowFirstColumn="0" w:lastRowLastColumn="0"/>
            <w:tcW w:w="3136" w:type="dxa"/>
          </w:tcPr>
          <w:p w14:paraId="2A824A8C" w14:textId="77777777" w:rsidR="005F7079" w:rsidRPr="008C0BE3" w:rsidRDefault="005F7079" w:rsidP="005F7079">
            <w:pPr>
              <w:keepNext/>
              <w:keepLines/>
              <w:spacing w:before="0"/>
              <w:contextualSpacing/>
              <w:rPr>
                <w:rFonts w:ascii="Calibri" w:hAnsi="Calibri" w:cs="Calibri"/>
                <w:sz w:val="18"/>
                <w:szCs w:val="18"/>
              </w:rPr>
            </w:pPr>
            <w:r w:rsidRPr="008C0BE3">
              <w:rPr>
                <w:rFonts w:ascii="Calibri" w:hAnsi="Calibri" w:cs="Calibri"/>
                <w:sz w:val="18"/>
                <w:szCs w:val="18"/>
              </w:rPr>
              <w:t>January 2019</w:t>
            </w:r>
          </w:p>
        </w:tc>
        <w:tc>
          <w:tcPr>
            <w:tcW w:w="2880" w:type="dxa"/>
          </w:tcPr>
          <w:p w14:paraId="6372B81F"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Peru</w:t>
            </w:r>
          </w:p>
        </w:tc>
        <w:tc>
          <w:tcPr>
            <w:tcW w:w="3000" w:type="dxa"/>
          </w:tcPr>
          <w:p w14:paraId="430E6BBE"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100 to 1,500</w:t>
            </w:r>
          </w:p>
        </w:tc>
      </w:tr>
      <w:tr w:rsidR="005F7079" w:rsidRPr="008C0BE3" w14:paraId="34A31C7C"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3D93871A" w14:textId="5736845A" w:rsidR="005F7079" w:rsidRPr="005F7079" w:rsidRDefault="005F7079" w:rsidP="005F7079">
            <w:pPr>
              <w:keepNext/>
              <w:keepLines/>
              <w:spacing w:before="0"/>
              <w:contextualSpacing/>
              <w:rPr>
                <w:rFonts w:ascii="Calibri" w:hAnsi="Calibri" w:cs="Calibri"/>
                <w:b w:val="0"/>
                <w:sz w:val="18"/>
                <w:szCs w:val="18"/>
              </w:rPr>
            </w:pPr>
            <w:r w:rsidRPr="008C0BE3">
              <w:rPr>
                <w:rFonts w:ascii="Calibri" w:hAnsi="Calibri" w:cs="Calibri"/>
                <w:sz w:val="18"/>
                <w:szCs w:val="18"/>
              </w:rPr>
              <w:t>July 2019</w:t>
            </w:r>
            <w:r>
              <w:rPr>
                <w:rFonts w:ascii="Calibri" w:hAnsi="Calibri" w:cs="Calibri"/>
                <w:sz w:val="18"/>
                <w:szCs w:val="18"/>
              </w:rPr>
              <w:t xml:space="preserve"> </w:t>
            </w:r>
          </w:p>
        </w:tc>
        <w:tc>
          <w:tcPr>
            <w:tcW w:w="2880" w:type="dxa"/>
          </w:tcPr>
          <w:p w14:paraId="5FB2C3EA"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Argentina</w:t>
            </w:r>
          </w:p>
        </w:tc>
        <w:tc>
          <w:tcPr>
            <w:tcW w:w="3000" w:type="dxa"/>
          </w:tcPr>
          <w:p w14:paraId="6812CF2F" w14:textId="39B04682"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1,500 to 2,450</w:t>
            </w:r>
          </w:p>
        </w:tc>
      </w:tr>
      <w:tr w:rsidR="005F7079" w:rsidRPr="008C0BE3" w14:paraId="2EB30BFD" w14:textId="77777777" w:rsidTr="00D87F3B">
        <w:tc>
          <w:tcPr>
            <w:cnfStyle w:val="001000000000" w:firstRow="0" w:lastRow="0" w:firstColumn="1" w:lastColumn="0" w:oddVBand="0" w:evenVBand="0" w:oddHBand="0" w:evenHBand="0" w:firstRowFirstColumn="0" w:firstRowLastColumn="0" w:lastRowFirstColumn="0" w:lastRowLastColumn="0"/>
            <w:tcW w:w="3136" w:type="dxa"/>
          </w:tcPr>
          <w:p w14:paraId="708895CA" w14:textId="46486385" w:rsidR="005F7079" w:rsidRPr="008C0BE3" w:rsidRDefault="002C4341" w:rsidP="005F7079">
            <w:pPr>
              <w:keepNext/>
              <w:keepLines/>
              <w:spacing w:before="0"/>
              <w:contextualSpacing/>
              <w:rPr>
                <w:rFonts w:ascii="Calibri" w:hAnsi="Calibri" w:cs="Calibri"/>
                <w:sz w:val="18"/>
                <w:szCs w:val="18"/>
              </w:rPr>
            </w:pPr>
            <w:r w:rsidRPr="008C0BE3">
              <w:rPr>
                <w:rFonts w:ascii="Calibri" w:hAnsi="Calibri" w:cs="Calibri"/>
                <w:sz w:val="18"/>
                <w:szCs w:val="18"/>
              </w:rPr>
              <w:t>July 2019</w:t>
            </w:r>
          </w:p>
        </w:tc>
        <w:tc>
          <w:tcPr>
            <w:tcW w:w="2880" w:type="dxa"/>
          </w:tcPr>
          <w:p w14:paraId="42E750EE"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Malaysia</w:t>
            </w:r>
          </w:p>
        </w:tc>
        <w:tc>
          <w:tcPr>
            <w:tcW w:w="3000" w:type="dxa"/>
          </w:tcPr>
          <w:p w14:paraId="3F189FB0"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100 to 1100</w:t>
            </w:r>
          </w:p>
        </w:tc>
      </w:tr>
      <w:tr w:rsidR="005F7079" w:rsidRPr="008C0BE3" w14:paraId="2A138612"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25DFB5B7" w14:textId="21130286" w:rsidR="005F7079" w:rsidRPr="008C0BE3" w:rsidRDefault="002C4341" w:rsidP="005F7079">
            <w:pPr>
              <w:keepNext/>
              <w:keepLines/>
              <w:spacing w:before="0"/>
              <w:contextualSpacing/>
              <w:rPr>
                <w:rFonts w:ascii="Calibri" w:hAnsi="Calibri" w:cs="Calibri"/>
                <w:sz w:val="18"/>
                <w:szCs w:val="18"/>
              </w:rPr>
            </w:pPr>
            <w:r w:rsidRPr="008C0BE3">
              <w:rPr>
                <w:rFonts w:ascii="Calibri" w:hAnsi="Calibri" w:cs="Calibri"/>
                <w:sz w:val="18"/>
                <w:szCs w:val="18"/>
              </w:rPr>
              <w:t>July 2019</w:t>
            </w:r>
          </w:p>
        </w:tc>
        <w:tc>
          <w:tcPr>
            <w:tcW w:w="2880" w:type="dxa"/>
          </w:tcPr>
          <w:p w14:paraId="124AE7ED"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Portugal</w:t>
            </w:r>
          </w:p>
        </w:tc>
        <w:tc>
          <w:tcPr>
            <w:tcW w:w="3000" w:type="dxa"/>
          </w:tcPr>
          <w:p w14:paraId="5EB03CA6"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200 to 500</w:t>
            </w:r>
          </w:p>
        </w:tc>
      </w:tr>
      <w:tr w:rsidR="005F7079" w:rsidRPr="008C0BE3" w14:paraId="1DBCDE8A" w14:textId="77777777" w:rsidTr="00D87F3B">
        <w:tc>
          <w:tcPr>
            <w:cnfStyle w:val="001000000000" w:firstRow="0" w:lastRow="0" w:firstColumn="1" w:lastColumn="0" w:oddVBand="0" w:evenVBand="0" w:oddHBand="0" w:evenHBand="0" w:firstRowFirstColumn="0" w:firstRowLastColumn="0" w:lastRowFirstColumn="0" w:lastRowLastColumn="0"/>
            <w:tcW w:w="3136" w:type="dxa"/>
          </w:tcPr>
          <w:p w14:paraId="4A0B2B3E" w14:textId="0B51958F" w:rsidR="005F7079" w:rsidRPr="008C0BE3" w:rsidRDefault="002C4341" w:rsidP="005F7079">
            <w:pPr>
              <w:keepNext/>
              <w:keepLines/>
              <w:spacing w:before="0"/>
              <w:contextualSpacing/>
              <w:rPr>
                <w:rFonts w:ascii="Calibri" w:hAnsi="Calibri" w:cs="Calibri"/>
                <w:sz w:val="18"/>
                <w:szCs w:val="18"/>
              </w:rPr>
            </w:pPr>
            <w:r w:rsidRPr="008C0BE3">
              <w:rPr>
                <w:rFonts w:ascii="Calibri" w:hAnsi="Calibri" w:cs="Calibri"/>
                <w:sz w:val="18"/>
                <w:szCs w:val="18"/>
              </w:rPr>
              <w:t>July 2019</w:t>
            </w:r>
          </w:p>
        </w:tc>
        <w:tc>
          <w:tcPr>
            <w:tcW w:w="2880" w:type="dxa"/>
          </w:tcPr>
          <w:p w14:paraId="2986C709"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Singapore</w:t>
            </w:r>
          </w:p>
        </w:tc>
        <w:tc>
          <w:tcPr>
            <w:tcW w:w="3000" w:type="dxa"/>
          </w:tcPr>
          <w:p w14:paraId="328E721F"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500 to 2,500</w:t>
            </w:r>
          </w:p>
        </w:tc>
      </w:tr>
      <w:tr w:rsidR="005F7079" w:rsidRPr="008C0BE3" w14:paraId="630173E5"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71B20E59" w14:textId="77777777" w:rsidR="005F7079" w:rsidRPr="008C0BE3" w:rsidRDefault="005F7079" w:rsidP="005F7079">
            <w:pPr>
              <w:keepNext/>
              <w:keepLines/>
              <w:spacing w:before="0"/>
              <w:contextualSpacing/>
              <w:rPr>
                <w:rFonts w:ascii="Calibri" w:hAnsi="Calibri" w:cs="Calibri"/>
                <w:sz w:val="18"/>
                <w:szCs w:val="18"/>
              </w:rPr>
            </w:pPr>
            <w:r w:rsidRPr="008C0BE3">
              <w:rPr>
                <w:rFonts w:ascii="Calibri" w:hAnsi="Calibri" w:cs="Calibri"/>
                <w:sz w:val="18"/>
                <w:szCs w:val="18"/>
              </w:rPr>
              <w:t>September 2019</w:t>
            </w:r>
          </w:p>
        </w:tc>
        <w:tc>
          <w:tcPr>
            <w:tcW w:w="2880" w:type="dxa"/>
          </w:tcPr>
          <w:p w14:paraId="56DD71B4"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Vietnam</w:t>
            </w:r>
          </w:p>
        </w:tc>
        <w:tc>
          <w:tcPr>
            <w:tcW w:w="3000" w:type="dxa"/>
          </w:tcPr>
          <w:p w14:paraId="085FEC86"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200 to 1,500</w:t>
            </w:r>
          </w:p>
        </w:tc>
      </w:tr>
      <w:tr w:rsidR="005F7079" w:rsidRPr="008C0BE3" w14:paraId="4B66BC48" w14:textId="77777777" w:rsidTr="00D87F3B">
        <w:tc>
          <w:tcPr>
            <w:cnfStyle w:val="001000000000" w:firstRow="0" w:lastRow="0" w:firstColumn="1" w:lastColumn="0" w:oddVBand="0" w:evenVBand="0" w:oddHBand="0" w:evenHBand="0" w:firstRowFirstColumn="0" w:firstRowLastColumn="0" w:lastRowFirstColumn="0" w:lastRowLastColumn="0"/>
            <w:tcW w:w="3136" w:type="dxa"/>
          </w:tcPr>
          <w:p w14:paraId="49C80044" w14:textId="1D2CFA89" w:rsidR="005F7079" w:rsidRPr="002C4341" w:rsidRDefault="005F7079" w:rsidP="005F7079">
            <w:pPr>
              <w:keepNext/>
              <w:keepLines/>
              <w:spacing w:before="0"/>
              <w:contextualSpacing/>
              <w:rPr>
                <w:rFonts w:ascii="Calibri" w:hAnsi="Calibri" w:cs="Calibri"/>
                <w:b w:val="0"/>
                <w:sz w:val="18"/>
                <w:szCs w:val="18"/>
              </w:rPr>
            </w:pPr>
            <w:r w:rsidRPr="008C0BE3">
              <w:rPr>
                <w:rFonts w:ascii="Calibri" w:hAnsi="Calibri" w:cs="Calibri"/>
                <w:sz w:val="18"/>
                <w:szCs w:val="18"/>
              </w:rPr>
              <w:t>October 2019</w:t>
            </w:r>
          </w:p>
        </w:tc>
        <w:tc>
          <w:tcPr>
            <w:tcW w:w="2880" w:type="dxa"/>
          </w:tcPr>
          <w:p w14:paraId="18BF1602"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Poland</w:t>
            </w:r>
          </w:p>
        </w:tc>
        <w:tc>
          <w:tcPr>
            <w:tcW w:w="3000" w:type="dxa"/>
          </w:tcPr>
          <w:p w14:paraId="75BC1461" w14:textId="77777777"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500 to 1500</w:t>
            </w:r>
          </w:p>
        </w:tc>
      </w:tr>
      <w:tr w:rsidR="005F7079" w:rsidRPr="008C0BE3" w14:paraId="234277DC" w14:textId="77777777" w:rsidTr="00D8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3F51F77D" w14:textId="5227BBB4" w:rsidR="005F7079" w:rsidRPr="008C0BE3" w:rsidRDefault="00901382" w:rsidP="005F7079">
            <w:pPr>
              <w:keepNext/>
              <w:keepLines/>
              <w:spacing w:before="0"/>
              <w:contextualSpacing/>
              <w:rPr>
                <w:rFonts w:ascii="Calibri" w:hAnsi="Calibri" w:cs="Calibri"/>
                <w:sz w:val="18"/>
                <w:szCs w:val="18"/>
              </w:rPr>
            </w:pPr>
            <w:r w:rsidRPr="008C0BE3">
              <w:rPr>
                <w:rFonts w:ascii="Calibri" w:hAnsi="Calibri" w:cs="Calibri"/>
                <w:sz w:val="18"/>
                <w:szCs w:val="18"/>
              </w:rPr>
              <w:t>October 2019</w:t>
            </w:r>
          </w:p>
        </w:tc>
        <w:tc>
          <w:tcPr>
            <w:tcW w:w="2880" w:type="dxa"/>
          </w:tcPr>
          <w:p w14:paraId="46904E60" w14:textId="77777777"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Thailand</w:t>
            </w:r>
          </w:p>
        </w:tc>
        <w:tc>
          <w:tcPr>
            <w:tcW w:w="3000" w:type="dxa"/>
          </w:tcPr>
          <w:p w14:paraId="291B9C28" w14:textId="7DA396F4"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200 to 1,500</w:t>
            </w:r>
          </w:p>
        </w:tc>
      </w:tr>
      <w:tr w:rsidR="005F7079" w:rsidRPr="008C0BE3" w14:paraId="5B55CA6D" w14:textId="77777777" w:rsidTr="00C0709B">
        <w:tc>
          <w:tcPr>
            <w:cnfStyle w:val="001000000000" w:firstRow="0" w:lastRow="0" w:firstColumn="1" w:lastColumn="0" w:oddVBand="0" w:evenVBand="0" w:oddHBand="0" w:evenHBand="0" w:firstRowFirstColumn="0" w:firstRowLastColumn="0" w:lastRowFirstColumn="0" w:lastRowLastColumn="0"/>
            <w:tcW w:w="3136" w:type="dxa"/>
            <w:tcBorders>
              <w:right w:val="none" w:sz="0" w:space="0" w:color="auto"/>
            </w:tcBorders>
          </w:tcPr>
          <w:p w14:paraId="0C3822AA" w14:textId="0A6D60D7" w:rsidR="005F7079" w:rsidRPr="002C4341" w:rsidRDefault="005F7079" w:rsidP="005F7079">
            <w:pPr>
              <w:keepNext/>
              <w:keepLines/>
              <w:spacing w:before="0"/>
              <w:contextualSpacing/>
              <w:rPr>
                <w:rFonts w:ascii="Calibri" w:hAnsi="Calibri" w:cs="Calibri"/>
                <w:b w:val="0"/>
                <w:bCs w:val="0"/>
                <w:sz w:val="18"/>
                <w:szCs w:val="18"/>
              </w:rPr>
            </w:pPr>
            <w:r>
              <w:rPr>
                <w:rFonts w:ascii="Calibri" w:hAnsi="Calibri" w:cs="Calibri"/>
                <w:sz w:val="18"/>
                <w:szCs w:val="18"/>
              </w:rPr>
              <w:t>2020 (commencement date not reported)</w:t>
            </w:r>
          </w:p>
        </w:tc>
        <w:tc>
          <w:tcPr>
            <w:tcW w:w="2880" w:type="dxa"/>
          </w:tcPr>
          <w:p w14:paraId="60969552" w14:textId="1D13CC03"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Indonesia</w:t>
            </w:r>
          </w:p>
        </w:tc>
        <w:tc>
          <w:tcPr>
            <w:tcW w:w="3000" w:type="dxa"/>
          </w:tcPr>
          <w:p w14:paraId="0BEB4229" w14:textId="55E09543"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C0BE3">
              <w:rPr>
                <w:rFonts w:ascii="Calibri" w:hAnsi="Calibri" w:cs="Calibri"/>
                <w:sz w:val="18"/>
                <w:szCs w:val="18"/>
              </w:rPr>
              <w:t>1</w:t>
            </w:r>
            <w:r>
              <w:rPr>
                <w:rFonts w:ascii="Calibri" w:hAnsi="Calibri" w:cs="Calibri"/>
                <w:sz w:val="18"/>
                <w:szCs w:val="18"/>
              </w:rPr>
              <w:t>000 to 4,100</w:t>
            </w:r>
          </w:p>
        </w:tc>
      </w:tr>
      <w:tr w:rsidR="005F7079" w:rsidRPr="008C0BE3" w14:paraId="10406DCF" w14:textId="77777777" w:rsidTr="00C07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6C5AFDEA" w14:textId="0FB05611" w:rsidR="005F7079" w:rsidRDefault="00901382" w:rsidP="005F7079">
            <w:pPr>
              <w:keepNext/>
              <w:keepLines/>
              <w:spacing w:before="0"/>
              <w:contextualSpacing/>
              <w:rPr>
                <w:rFonts w:ascii="Calibri" w:hAnsi="Calibri" w:cs="Calibri"/>
                <w:sz w:val="18"/>
                <w:szCs w:val="18"/>
              </w:rPr>
            </w:pPr>
            <w:r>
              <w:rPr>
                <w:rFonts w:ascii="Calibri" w:hAnsi="Calibri" w:cs="Calibri"/>
                <w:sz w:val="18"/>
                <w:szCs w:val="18"/>
              </w:rPr>
              <w:t>2020 (commencement date not reported)</w:t>
            </w:r>
          </w:p>
        </w:tc>
        <w:tc>
          <w:tcPr>
            <w:tcW w:w="2880" w:type="dxa"/>
          </w:tcPr>
          <w:p w14:paraId="79CBED78" w14:textId="0C366F16" w:rsidR="005F7079"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Argentina</w:t>
            </w:r>
          </w:p>
        </w:tc>
        <w:tc>
          <w:tcPr>
            <w:tcW w:w="3000" w:type="dxa"/>
          </w:tcPr>
          <w:p w14:paraId="1F62115A" w14:textId="1F50608F" w:rsidR="005F7079" w:rsidRPr="008C0BE3" w:rsidRDefault="005F7079" w:rsidP="005F7079">
            <w:pPr>
              <w:keepNext/>
              <w:keepLines/>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2,450 to 3,400</w:t>
            </w:r>
          </w:p>
        </w:tc>
      </w:tr>
      <w:tr w:rsidR="005F7079" w:rsidRPr="008C0BE3" w14:paraId="5DD01A24" w14:textId="77777777" w:rsidTr="00C0709B">
        <w:tc>
          <w:tcPr>
            <w:cnfStyle w:val="001000000000" w:firstRow="0" w:lastRow="0" w:firstColumn="1" w:lastColumn="0" w:oddVBand="0" w:evenVBand="0" w:oddHBand="0" w:evenHBand="0" w:firstRowFirstColumn="0" w:firstRowLastColumn="0" w:lastRowFirstColumn="0" w:lastRowLastColumn="0"/>
            <w:tcW w:w="3136" w:type="dxa"/>
            <w:tcBorders>
              <w:right w:val="none" w:sz="0" w:space="0" w:color="auto"/>
            </w:tcBorders>
          </w:tcPr>
          <w:p w14:paraId="0543A5E5" w14:textId="69995505" w:rsidR="005F7079" w:rsidRPr="008C0BE3" w:rsidRDefault="00901382" w:rsidP="005F7079">
            <w:pPr>
              <w:keepNext/>
              <w:keepLines/>
              <w:spacing w:before="0"/>
              <w:contextualSpacing/>
              <w:rPr>
                <w:rFonts w:ascii="Calibri" w:hAnsi="Calibri" w:cs="Calibri"/>
                <w:sz w:val="18"/>
                <w:szCs w:val="18"/>
              </w:rPr>
            </w:pPr>
            <w:r>
              <w:rPr>
                <w:rFonts w:ascii="Calibri" w:hAnsi="Calibri" w:cs="Calibri"/>
                <w:sz w:val="18"/>
                <w:szCs w:val="18"/>
              </w:rPr>
              <w:t>2020 (commencement date not reported)</w:t>
            </w:r>
          </w:p>
        </w:tc>
        <w:tc>
          <w:tcPr>
            <w:tcW w:w="2880" w:type="dxa"/>
          </w:tcPr>
          <w:p w14:paraId="0F40040F" w14:textId="7A6AB4F9"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Thailand</w:t>
            </w:r>
          </w:p>
        </w:tc>
        <w:tc>
          <w:tcPr>
            <w:tcW w:w="3000" w:type="dxa"/>
          </w:tcPr>
          <w:p w14:paraId="25E859F7" w14:textId="6AADA2D3" w:rsidR="005F7079" w:rsidRPr="008C0BE3" w:rsidRDefault="005F7079" w:rsidP="005F7079">
            <w:pPr>
              <w:keepNext/>
              <w:keepLines/>
              <w:spacing w:before="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1,500 to 2,000</w:t>
            </w:r>
          </w:p>
        </w:tc>
      </w:tr>
    </w:tbl>
    <w:p w14:paraId="47FCF7C8" w14:textId="18611FCB" w:rsidR="00FC75A4" w:rsidRPr="00F03B6F" w:rsidRDefault="00FC75A4" w:rsidP="00326EDC">
      <w:pPr>
        <w:pStyle w:val="Tablenote"/>
      </w:pPr>
      <w:r w:rsidRPr="00F03B6F">
        <w:t xml:space="preserve">Source: </w:t>
      </w:r>
      <w:r w:rsidR="00643229">
        <w:t>WHM</w:t>
      </w:r>
      <w:r w:rsidRPr="00F03B6F">
        <w:t xml:space="preserve"> visa program reports, Australian Government Department of Immigration and Border Protection, 2013-20</w:t>
      </w:r>
      <w:r w:rsidR="006D797F">
        <w:t>20</w:t>
      </w:r>
    </w:p>
    <w:p w14:paraId="4EBA8AB9" w14:textId="77777777" w:rsidR="00FC75A4" w:rsidRPr="00F03B6F" w:rsidRDefault="00FC75A4" w:rsidP="008A55F1">
      <w:pPr>
        <w:pStyle w:val="Heading3"/>
      </w:pPr>
      <w:bookmarkStart w:id="16" w:name="_Ref67406455"/>
      <w:bookmarkStart w:id="17" w:name="_Toc75878441"/>
      <w:r w:rsidRPr="00F03B6F">
        <w:t>Options for extending WHM visas into a second and third visa</w:t>
      </w:r>
      <w:bookmarkEnd w:id="16"/>
      <w:bookmarkEnd w:id="17"/>
    </w:p>
    <w:p w14:paraId="6568B797" w14:textId="65EDD58C" w:rsidR="00FC75A4" w:rsidRPr="00F03B6F" w:rsidRDefault="00FC75A4" w:rsidP="00FC75A4">
      <w:r w:rsidRPr="00F03B6F">
        <w:t>In November 2005 Australia introduced the option for subclass 417 visa holders to apply for a second visa</w:t>
      </w:r>
      <w:r w:rsidR="003E2DF2">
        <w:t>,</w:t>
      </w:r>
      <w:r w:rsidRPr="00F03B6F">
        <w:t xml:space="preserve"> provided they worked in seasonal agricultural work for three months (88 days) while on their first visa. In the following year the second-year visa option was extended to people working in any regional primary industry and in 2008 this was further extended to include WHMs working in the construction industry in regional areas. </w:t>
      </w:r>
    </w:p>
    <w:p w14:paraId="7D581AA1" w14:textId="4C1AD9FF" w:rsidR="00FC75A4" w:rsidRPr="00F03B6F" w:rsidRDefault="00FC75A4" w:rsidP="00FC75A4">
      <w:r>
        <w:t xml:space="preserve">The </w:t>
      </w:r>
      <w:r w:rsidR="27B288CE">
        <w:t xml:space="preserve">Australian Government's </w:t>
      </w:r>
      <w:r>
        <w:t xml:space="preserve">2015 White Paper on Developing Northern Australia included announcements to further expand the </w:t>
      </w:r>
      <w:r w:rsidR="000E6B2E">
        <w:t>WHM</w:t>
      </w:r>
      <w:r>
        <w:t xml:space="preserve"> visa program (Commonwealth of Australia, 2015). Eligibility to apply for a second visa was extended to subclass 462 visa holders working in designated, high demand areas in northern Australia </w:t>
      </w:r>
      <w:r>
        <w:fldChar w:fldCharType="begin"/>
      </w:r>
      <w:r>
        <w:instrText xml:space="preserve"> ADDIN EN.CITE &lt;EndNote&gt;&lt;Cite&gt;&lt;Author&gt;Zhao&lt;/Author&gt;&lt;Year&gt;2018&lt;/Year&gt;&lt;RecNum&gt;4&lt;/RecNum&gt;&lt;DisplayText&gt;(Zhao et al., 2018)&lt;/DisplayText&gt;&lt;record&gt;&lt;rec-number&gt;4&lt;/rec-number&gt;&lt;foreign-keys&gt;&lt;key app="EN" db-id="r5sv9zwer2dw2pexz935edzbrpsweevtw5ed" timestamp="1598504869"&gt;4&lt;/key&gt;&lt;/foreign-keys&gt;&lt;ref-type name="Report"&gt;27&lt;/ref-type&gt;&lt;contributors&gt;&lt;authors&gt;&lt;author&gt;Shiji Zhao&lt;/author&gt;&lt;author&gt;Bill Bink&lt;/author&gt;&lt;author&gt;Heleen Kruger&lt;/author&gt;&lt;author&gt;Charley Xia&lt;/author&gt;&lt;author&gt;Nyree Stenekes&lt;/author&gt;&lt;/authors&gt;&lt;tertiary-authors&gt;&lt;author&gt;Australian Bureau of Agricultural and Resource Economics and Sciences (ABARES)&lt;/author&gt;&lt;/tertiary-authors&gt;&lt;/contributors&gt;&lt;titles&gt;&lt;title&gt;What difference does labour choice make to farm productivity and profitability in the Australian horticulture industry? A comparison between seasonal workers and working holiday makers&lt;/title&gt;&lt;secondary-title&gt;ABARES research report prepared for the World Bank&lt;/secondary-title&gt;&lt;/titles&gt;&lt;keywords&gt;&lt;keyword&gt;AGRICULTURE&lt;/keyword&gt;&lt;keyword&gt;HUMAN ENVIRONMENT&lt;/keyword&gt;&lt;keyword&gt;HUMAN ENVIRONMENT Economics&lt;/keyword&gt;&lt;keyword&gt;INDUSTRY Primary&lt;/keyword&gt;&lt;keyword&gt;economic comparison&lt;/keyword&gt;&lt;keyword&gt;labour mobility&lt;/keyword&gt;&lt;keyword&gt;labour productivity&lt;/keyword&gt;&lt;keyword&gt;workforce management&lt;/keyword&gt;&lt;/keywords&gt;&lt;dates&gt;&lt;year&gt;2018&lt;/year&gt;&lt;/dates&gt;&lt;pub-location&gt;Canberra&lt;/pub-location&gt;&lt;urls&gt;&lt;/urls&gt;&lt;/record&gt;&lt;/Cite&gt;&lt;/EndNote&gt;</w:instrText>
      </w:r>
      <w:r>
        <w:fldChar w:fldCharType="separate"/>
      </w:r>
      <w:r w:rsidR="00F5138D" w:rsidRPr="29D6F3C6">
        <w:rPr>
          <w:noProof/>
        </w:rPr>
        <w:t>(Zhao et al., 2018)</w:t>
      </w:r>
      <w:r>
        <w:fldChar w:fldCharType="end"/>
      </w:r>
      <w:r>
        <w:t xml:space="preserve">. From 19 November 2016, subclass 462 visa holders who undertook three months (88 days) work in agriculture, tourism or hospitality industries within northern Australia (including parts of Western Australia and Queensland above the Tropic of Capricorn) were eligible to apply for a second Work and Holiday visa. Two years later the regional areas were expanded to all designated regional postcodes in Australia for Work and Holiday subclass 462 visa holders working in the agriculture (plant and animal cultivation) industry to qualify for a second year of stay in Australia. </w:t>
      </w:r>
    </w:p>
    <w:p w14:paraId="1B25CD22" w14:textId="74EFDC7F" w:rsidR="002330AA" w:rsidRDefault="00FC75A4" w:rsidP="00FC75A4">
      <w:r w:rsidRPr="00F03B6F">
        <w:t xml:space="preserve">The impetus behind these changes was to provide Australian farmers with immediate access to workers in key parts of regional Australia, particularly for seasonal work needs. A growing priority for government was concentrating on jobs in regional Australia that were not being </w:t>
      </w:r>
      <w:r w:rsidR="003D11AD" w:rsidRPr="00F03B6F">
        <w:t>sufficiently</w:t>
      </w:r>
      <w:r w:rsidRPr="00F03B6F">
        <w:t xml:space="preserve"> filled by local workers. As noted by the </w:t>
      </w:r>
      <w:r w:rsidR="00572891">
        <w:t xml:space="preserve">former </w:t>
      </w:r>
      <w:r w:rsidRPr="00F03B6F">
        <w:t>Immigration Minister,</w:t>
      </w:r>
      <w:r w:rsidRPr="00F03B6F" w:rsidDel="00572891">
        <w:t xml:space="preserve"> </w:t>
      </w:r>
      <w:r w:rsidR="00572891">
        <w:t>the Hon</w:t>
      </w:r>
      <w:r w:rsidR="00572891" w:rsidRPr="00F03B6F">
        <w:t xml:space="preserve"> </w:t>
      </w:r>
      <w:r w:rsidRPr="00F03B6F">
        <w:t>David Coleman</w:t>
      </w:r>
      <w:r w:rsidR="00572891">
        <w:t xml:space="preserve"> MP</w:t>
      </w:r>
      <w:r w:rsidRPr="00F03B6F">
        <w:t xml:space="preserve">: </w:t>
      </w:r>
    </w:p>
    <w:p w14:paraId="38029F94" w14:textId="1EF2DD9E" w:rsidR="00FC75A4" w:rsidRPr="00F03B6F" w:rsidRDefault="00FC75A4" w:rsidP="00326EDC">
      <w:pPr>
        <w:pStyle w:val="Quote"/>
      </w:pPr>
      <w:r w:rsidRPr="00F03B6F">
        <w:t xml:space="preserve">We know there are jobs in regional Australia that aren't being filled by Australian workers, and we are giving regional businesses the immigration settings to help them fill those roles </w:t>
      </w:r>
      <w:r w:rsidRPr="00F03B6F">
        <w:fldChar w:fldCharType="begin"/>
      </w:r>
      <w:r w:rsidR="003D331A">
        <w:instrText xml:space="preserve"> ADDIN EN.CITE &lt;EndNote&gt;&lt;Cite&gt;&lt;Author&gt;AAP General News Wire&lt;/Author&gt;&lt;Year&gt;2019&lt;/Year&gt;&lt;RecNum&gt;6&lt;/RecNum&gt;&lt;DisplayText&gt;(AAP General News Wire, 2019)&lt;/DisplayText&gt;&lt;record&gt;&lt;rec-number&gt;6&lt;/rec-number&gt;&lt;foreign-keys&gt;&lt;key app="EN" db-id="r5sv9zwer2dw2pexz935edzbrpsweevtw5ed" timestamp="1599012448"&gt;6&lt;/key&gt;&lt;/foreign-keys&gt;&lt;ref-type name="Generic"&gt;13&lt;/ref-type&gt;&lt;contributors&gt;&lt;authors&gt;&lt;author&gt;AAP General News Wire,&lt;/author&gt;&lt;/authors&gt;&lt;/contributors&gt;&lt;titles&gt;&lt;title&gt;Working holdiay-makers head to the regions&lt;/title&gt;&lt;/titles&gt;&lt;dates&gt;&lt;year&gt;2019&lt;/year&gt;&lt;/dates&gt;&lt;pub-location&gt;Australia, Sydney&lt;/pub-location&gt;&lt;publisher&gt;Australian Associated Press Pty Limited&lt;/publisher&gt;&lt;urls&gt;&lt;/urls&gt;&lt;/record&gt;&lt;/Cite&gt;&lt;/EndNote&gt;</w:instrText>
      </w:r>
      <w:r w:rsidRPr="00F03B6F">
        <w:fldChar w:fldCharType="separate"/>
      </w:r>
      <w:r w:rsidRPr="00F03B6F">
        <w:rPr>
          <w:noProof/>
        </w:rPr>
        <w:t>(AAP General News Wire, 2019)</w:t>
      </w:r>
      <w:r w:rsidRPr="00F03B6F">
        <w:fldChar w:fldCharType="end"/>
      </w:r>
      <w:r w:rsidRPr="00F03B6F">
        <w:t>.</w:t>
      </w:r>
    </w:p>
    <w:p w14:paraId="57B0CBCD" w14:textId="63DD3A4C" w:rsidR="00FC75A4" w:rsidRPr="00F03B6F" w:rsidRDefault="00FC75A4" w:rsidP="00FC75A4">
      <w:r w:rsidRPr="00F03B6F">
        <w:t xml:space="preserve">On 1 July 2019, the Australian </w:t>
      </w:r>
      <w:r w:rsidR="004C36E2">
        <w:t>G</w:t>
      </w:r>
      <w:r w:rsidR="004C36E2" w:rsidRPr="00F03B6F">
        <w:t xml:space="preserve">overnment </w:t>
      </w:r>
      <w:r w:rsidRPr="00F03B6F">
        <w:t xml:space="preserve">introduced a third WHM visa option for both visa types (subclass 417 and 462) for WHMs who carried out 6 months (179 days) of specified work in regional areas while on their second </w:t>
      </w:r>
      <w:r w:rsidR="00167E1C">
        <w:t>w</w:t>
      </w:r>
      <w:r w:rsidR="00167E1C" w:rsidRPr="00F03B6F">
        <w:t xml:space="preserve">orking </w:t>
      </w:r>
      <w:r w:rsidR="00167E1C">
        <w:t>h</w:t>
      </w:r>
      <w:r w:rsidR="00167E1C" w:rsidRPr="00F03B6F">
        <w:t>oliday</w:t>
      </w:r>
      <w:r w:rsidRPr="00F03B6F">
        <w:t xml:space="preserve">, where the six months work was performed on or after 1 July 2019. </w:t>
      </w:r>
    </w:p>
    <w:p w14:paraId="15F9FB65" w14:textId="77777777" w:rsidR="00E15A16" w:rsidRPr="00F03B6F" w:rsidRDefault="00E15A16" w:rsidP="00E15A16">
      <w:pPr>
        <w:pStyle w:val="Heading3"/>
      </w:pPr>
      <w:bookmarkStart w:id="18" w:name="_Toc75878442"/>
      <w:r w:rsidRPr="00F03B6F">
        <w:t>Extended time working for a single employer</w:t>
      </w:r>
      <w:bookmarkEnd w:id="18"/>
    </w:p>
    <w:p w14:paraId="322E1368" w14:textId="77777777" w:rsidR="00E15A16" w:rsidRPr="00F03B6F" w:rsidRDefault="00E15A16" w:rsidP="00E15A16">
      <w:r w:rsidRPr="00F03B6F">
        <w:t xml:space="preserve">In 2006 the WHM </w:t>
      </w:r>
      <w:r>
        <w:t>program</w:t>
      </w:r>
      <w:r w:rsidRPr="00F03B6F">
        <w:t xml:space="preserve"> restriction on the length of time WHMs could work for a single employer was extended from three to six months. Nearly ten years later, on 21 July 2015, WHM </w:t>
      </w:r>
      <w:r>
        <w:t>program</w:t>
      </w:r>
      <w:r w:rsidRPr="00F03B6F">
        <w:t xml:space="preserve"> requirements were simplified to make it easier for families to employ au pairs. The changes enabled subclass 417 and 462 visa holders working as au pairs to seek an extension to work for a family for up to the full twelve</w:t>
      </w:r>
      <w:r>
        <w:t>-</w:t>
      </w:r>
      <w:r w:rsidRPr="00F03B6F">
        <w:t>month term of the visa, rather than the existing limit of six months per family.</w:t>
      </w:r>
    </w:p>
    <w:p w14:paraId="2CAB3BB9" w14:textId="77777777" w:rsidR="00E15A16" w:rsidRPr="00F03B6F" w:rsidRDefault="00E15A16" w:rsidP="00E15A16">
      <w:r w:rsidRPr="00F03B6F">
        <w:t xml:space="preserve">With the commencement on 21 November 2015 of the Northern Australia employment extensions initiative, WHMs on both visa types were permitted to work for twelve months with the same employer in specified industries in </w:t>
      </w:r>
      <w:r w:rsidRPr="00CB32DC">
        <w:rPr>
          <w:i/>
        </w:rPr>
        <w:t>Northern Australia</w:t>
      </w:r>
      <w:r w:rsidRPr="00F03B6F">
        <w:t xml:space="preserve">. Eligible industries included aged and disability care, agriculture, forestry and fishing, construction, mining, and tourism and hospitality </w:t>
      </w:r>
      <w:r w:rsidRPr="00F03B6F">
        <w:fldChar w:fldCharType="begin"/>
      </w:r>
      <w:r>
        <w:instrText xml:space="preserve"> ADDIN EN.CITE &lt;EndNote&gt;&lt;Cite&gt;&lt;Author&gt;Australian Government Department of Immigration and Border Protection&lt;/Author&gt;&lt;Year&gt;2015&lt;/Year&gt;&lt;RecNum&gt;16&lt;/RecNum&gt;&lt;DisplayText&gt;(Australian Government Department of Immigration and Border Protection, 2015)&lt;/DisplayText&gt;&lt;record&gt;&lt;rec-number&gt;16&lt;/rec-number&gt;&lt;foreign-keys&gt;&lt;key app="EN" db-id="r5sv9zwer2dw2pexz935edzbrpsweevtw5ed" timestamp="1599452983"&gt;16&lt;/key&gt;&lt;/foreign-keys&gt;&lt;ref-type name="Report"&gt;27&lt;/ref-type&gt;&lt;contributors&gt;&lt;authors&gt;&lt;author&gt;Australian Government Department of Immigration and Border Protection,&lt;/author&gt;&lt;/authors&gt;&lt;/contributors&gt;&lt;titles&gt;&lt;title&gt;Working Holiday Maker visa programme report, 31 December 2015&lt;/title&gt;&lt;/titles&gt;&lt;dates&gt;&lt;year&gt;2015&lt;/year&gt;&lt;/dates&gt;&lt;pub-location&gt;Canberra, Australia&lt;/pub-location&gt;&lt;urls&gt;&lt;related-urls&gt;&lt;url&gt;https://www.homeaffairs.gov.au/research-and-statistics/statistics/visa-statistics/visit&lt;/url&gt;&lt;/related-urls&gt;&lt;/urls&gt;&lt;/record&gt;&lt;/Cite&gt;&lt;/EndNote&gt;</w:instrText>
      </w:r>
      <w:r w:rsidRPr="00F03B6F">
        <w:fldChar w:fldCharType="separate"/>
      </w:r>
      <w:r w:rsidRPr="00F03B6F">
        <w:rPr>
          <w:noProof/>
        </w:rPr>
        <w:t>(Australian Government Department of Immigration and Border Protection, 2015)</w:t>
      </w:r>
      <w:r w:rsidRPr="00F03B6F">
        <w:fldChar w:fldCharType="end"/>
      </w:r>
      <w:r w:rsidRPr="00F03B6F">
        <w:t xml:space="preserve">. </w:t>
      </w:r>
      <w:r>
        <w:t xml:space="preserve">From 5 November 2018 WHMs working in plant and animal cultivation </w:t>
      </w:r>
      <w:r w:rsidRPr="00CB32DC">
        <w:rPr>
          <w:i/>
        </w:rPr>
        <w:t>anywhere in Australia</w:t>
      </w:r>
      <w:r>
        <w:t xml:space="preserve"> were permitted to remain with the same employer for twelve months.</w:t>
      </w:r>
    </w:p>
    <w:p w14:paraId="401EF1DD" w14:textId="0CC3FC75" w:rsidR="00E15A16" w:rsidRPr="00F03B6F" w:rsidRDefault="00E15A16" w:rsidP="00E15A16">
      <w:r w:rsidRPr="00F03B6F">
        <w:t xml:space="preserve">From 17 February 2020 WHMs on both visa types assisting with bushfire recovery efforts were able to do paid or unpaid work for up to 12 months (instead of </w:t>
      </w:r>
      <w:r>
        <w:t>six</w:t>
      </w:r>
      <w:r w:rsidRPr="00F03B6F">
        <w:t xml:space="preserve"> months) with the same employer or organisation without requesting permission from the Department of Home Affairs </w:t>
      </w:r>
      <w:r w:rsidRPr="00F03B6F">
        <w:fldChar w:fldCharType="begin"/>
      </w:r>
      <w:r w:rsidR="00A9626A">
        <w:instrText xml:space="preserve"> ADDIN EN.CITE &lt;EndNote&gt;&lt;Cite&gt;&lt;Author&gt;Australian Government Department of Home Affairs&lt;/Author&gt;&lt;Year&gt;2020&lt;/Year&gt;&lt;RecNum&gt;17&lt;/RecNum&gt;&lt;DisplayText&gt;(Australian Government Department of Home Affairs, 2020d)&lt;/DisplayText&gt;&lt;record&gt;&lt;rec-number&gt;17&lt;/rec-number&gt;&lt;foreign-keys&gt;&lt;key app="EN" db-id="r5sv9zwer2dw2pexz935edzbrpsweevtw5ed" timestamp="1599454246"&gt;17&lt;/key&gt;&lt;/foreign-keys&gt;&lt;ref-type name="Web Page"&gt;12&lt;/ref-type&gt;&lt;contributors&gt;&lt;authors&gt;&lt;author&gt;Australian Government Department of Home Affairs,&lt;/author&gt;&lt;/authors&gt;&lt;/contributors&gt;&lt;titles&gt;&lt;title&gt;Working Holiday Maker (WHM) Program - Latest News&lt;/title&gt;&lt;/titles&gt;&lt;volume&gt;2020&lt;/volume&gt;&lt;number&gt;7 September 2020&lt;/number&gt;&lt;dates&gt;&lt;year&gt;2020&lt;/year&gt;&lt;/dates&gt;&lt;urls&gt;&lt;related-urls&gt;&lt;url&gt;https://immi.homeaffairs.gov.au/what-we-do/whm-program/latest-news&lt;/url&gt;&lt;/related-urls&gt;&lt;/urls&gt;&lt;/record&gt;&lt;/Cite&gt;&lt;/EndNote&gt;</w:instrText>
      </w:r>
      <w:r w:rsidRPr="00F03B6F">
        <w:fldChar w:fldCharType="separate"/>
      </w:r>
      <w:r w:rsidRPr="00F03B6F">
        <w:rPr>
          <w:noProof/>
        </w:rPr>
        <w:t>(Australian Government Department of Home Affairs, 2020d)</w:t>
      </w:r>
      <w:r w:rsidRPr="00F03B6F">
        <w:fldChar w:fldCharType="end"/>
      </w:r>
      <w:r w:rsidRPr="00F03B6F">
        <w:t xml:space="preserve">. </w:t>
      </w:r>
    </w:p>
    <w:p w14:paraId="558E17EA" w14:textId="77777777" w:rsidR="00E15A16" w:rsidRPr="00F03B6F" w:rsidRDefault="00E15A16" w:rsidP="00E15A16">
      <w:pPr>
        <w:pStyle w:val="Heading3"/>
      </w:pPr>
      <w:bookmarkStart w:id="19" w:name="_Toc75878443"/>
      <w:r w:rsidRPr="00F03B6F">
        <w:t>New taxation arrangements for WHMs</w:t>
      </w:r>
      <w:bookmarkEnd w:id="19"/>
    </w:p>
    <w:p w14:paraId="47383DD4" w14:textId="16204EA9" w:rsidR="00E15A16" w:rsidRPr="00B23851" w:rsidRDefault="00E15A16" w:rsidP="00E15A16">
      <w:r>
        <w:t xml:space="preserve">In the 2015-16 Federal Budget, the Australian Government announced a ‘backpacker tax’ to change the tax status of temporary WHMs from that of resident to that of non-resident, such that they were taxed at significantly higher rates of 32.5% from the first dollar earned from 1 July 2016. This triggered concern among employers (notably primary producers and in the tourism sector) that the new tax rate would disincentivise WHMs and contribute to a labour shortage </w:t>
      </w:r>
      <w:r>
        <w:fldChar w:fldCharType="begin"/>
      </w:r>
      <w:r>
        <w:instrText xml:space="preserve"> ADDIN EN.CITE &lt;EndNote&gt;&lt;Cite&gt;&lt;Author&gt;Phillips&lt;/Author&gt;&lt;Year&gt;2016&lt;/Year&gt;&lt;RecNum&gt;1&lt;/RecNum&gt;&lt;DisplayText&gt;(Phillips, 2016)&lt;/DisplayText&gt;&lt;record&gt;&lt;rec-number&gt;1&lt;/rec-number&gt;&lt;foreign-keys&gt;&lt;key app="EN" db-id="r5sv9zwer2dw2pexz935edzbrpsweevtw5ed" timestamp="1597815194"&gt;1&lt;/key&gt;&lt;/foreign-keys&gt;&lt;ref-type name="Government Document"&gt;46&lt;/ref-type&gt;&lt;contributors&gt;&lt;authors&gt;&lt;author&gt;Phillips, Janet&lt;/author&gt;&lt;/authors&gt;&lt;secondary-authors&gt;&lt;author&gt;Parliament of Australia Department of Parliamentary Services&lt;/author&gt;&lt;/secondary-authors&gt;&lt;/contributors&gt;&lt;titles&gt;&lt;title&gt;Australia’s Working Holiday Maker program: a quick guide&lt;/title&gt;&lt;tertiary-title&gt;Parliamentary Library Research Paper Series, 2016-17&lt;/tertiary-title&gt;&lt;/titles&gt;&lt;dates&gt;&lt;year&gt;2016&lt;/year&gt;&lt;/dates&gt;&lt;pub-location&gt;Canberra&lt;/pub-location&gt;&lt;publisher&gt;Commonwealth of Australia&lt;/publisher&gt;&lt;urls&gt;&lt;/urls&gt;&lt;/record&gt;&lt;/Cite&gt;&lt;/EndNote&gt;</w:instrText>
      </w:r>
      <w:r>
        <w:fldChar w:fldCharType="separate"/>
      </w:r>
      <w:r w:rsidRPr="29D6F3C6">
        <w:rPr>
          <w:noProof/>
        </w:rPr>
        <w:t>(Phillips, 2016)</w:t>
      </w:r>
      <w:r>
        <w:fldChar w:fldCharType="end"/>
      </w:r>
      <w:r>
        <w:t>. On review, the ‘backpacker tax’ was reduced to 19% and then again to 15%, applicable to taxable income on amounts up to $37,000, with ordinary tax rates for taxable income applying thereafter. The new tax rate came into effect from 1 January 2017, together with a $50 reduction in the WHM visa application charge to $390. Further to this, from 1 July 2017 the rate of tax applied to</w:t>
      </w:r>
      <w:r w:rsidR="00240F00">
        <w:t xml:space="preserve"> the</w:t>
      </w:r>
      <w:r>
        <w:t xml:space="preserve"> Departing Australia Superannuation Payment (DASP) was increased to 95% and the Passenger Movement Charge (PMC) increased by $5 </w:t>
      </w:r>
      <w:r>
        <w:fldChar w:fldCharType="begin"/>
      </w:r>
      <w:r>
        <w:instrText xml:space="preserve"> ADDIN EN.CITE &lt;EndNote&gt;&lt;Cite&gt;&lt;Author&gt;Income Tax Rates Amendment (Working Holiday Maker Reform) Bill 2016 [and related Bills]&lt;/Author&gt;&lt;Year&gt;2016&lt;/Year&gt;&lt;RecNum&gt;24&lt;/RecNum&gt;&lt;DisplayText&gt;(Income Tax Rates Amendment (Working Holiday Maker Reform) Bill 2016 [and related Bills], 2016)&lt;/DisplayText&gt;&lt;record&gt;&lt;rec-number&gt;24&lt;/rec-number&gt;&lt;foreign-keys&gt;&lt;key app="EN" db-id="r5sv9zwer2dw2pexz935edzbrpsweevtw5ed" timestamp="1600133434"&gt;24&lt;/key&gt;&lt;/foreign-keys&gt;&lt;ref-type name="Government Document"&gt;46&lt;/ref-type&gt;&lt;contributors&gt;&lt;authors&gt;&lt;author&gt;Income Tax Rates Amendment (Working Holiday Maker Reform) Bill 2016 [and related Bills],&lt;/author&gt;&lt;/authors&gt;&lt;/contributors&gt;&lt;titles&gt;&lt;title&gt;(Cth)&lt;/title&gt;&lt;/titles&gt;&lt;dates&gt;&lt;year&gt;2016&lt;/year&gt;&lt;/dates&gt;&lt;urls&gt;&lt;/urls&gt;&lt;/record&gt;&lt;/Cite&gt;&lt;/EndNote&gt;</w:instrText>
      </w:r>
      <w:r>
        <w:fldChar w:fldCharType="separate"/>
      </w:r>
      <w:r w:rsidRPr="29D6F3C6">
        <w:rPr>
          <w:noProof/>
        </w:rPr>
        <w:t>(Income Tax Rates Amendment (Working Holiday Maker Reform) Bill 2016 [and related Bills], 2016)</w:t>
      </w:r>
      <w:r>
        <w:fldChar w:fldCharType="end"/>
      </w:r>
      <w:r>
        <w:t xml:space="preserve">. </w:t>
      </w:r>
    </w:p>
    <w:p w14:paraId="299CFDB9" w14:textId="77777777" w:rsidR="00E15A16" w:rsidRPr="00B6185D" w:rsidRDefault="00E15A16" w:rsidP="00E15A16">
      <w:pPr>
        <w:pStyle w:val="Heading2"/>
      </w:pPr>
      <w:bookmarkStart w:id="20" w:name="_Ref75350427"/>
      <w:bookmarkStart w:id="21" w:name="_Toc75878444"/>
      <w:bookmarkStart w:id="22" w:name="_Ref72826003"/>
      <w:r w:rsidRPr="00B6185D">
        <w:t xml:space="preserve">Recent trends in </w:t>
      </w:r>
      <w:r>
        <w:t xml:space="preserve">the </w:t>
      </w:r>
      <w:r w:rsidRPr="00B6185D">
        <w:t>number of WHM visas granted</w:t>
      </w:r>
      <w:bookmarkEnd w:id="20"/>
      <w:bookmarkEnd w:id="21"/>
    </w:p>
    <w:p w14:paraId="06BE6B57" w14:textId="0559E0FC" w:rsidR="00E15A16" w:rsidRPr="00B6185D" w:rsidRDefault="00E15A16" w:rsidP="00E15A16">
      <w:r w:rsidRPr="00B6185D">
        <w:t>Just over 210,000 foreign nationals were granted a visa to travel and work in Australia in the 2017-18 period, most of these related to first (72.5%) or second (15.6%) subclass 417 visas (see</w:t>
      </w:r>
      <w:r w:rsidR="00100E1B">
        <w:t xml:space="preserve"> </w:t>
      </w:r>
      <w:r w:rsidR="00E10450">
        <w:fldChar w:fldCharType="begin"/>
      </w:r>
      <w:r w:rsidR="00E10450">
        <w:instrText xml:space="preserve"> REF _Ref75783168 \h </w:instrText>
      </w:r>
      <w:r w:rsidR="00E10450">
        <w:fldChar w:fldCharType="separate"/>
      </w:r>
      <w:r w:rsidR="00F22012" w:rsidRPr="008B38EC">
        <w:t xml:space="preserve">Figure </w:t>
      </w:r>
      <w:r w:rsidR="00F22012">
        <w:rPr>
          <w:noProof/>
        </w:rPr>
        <w:t>2</w:t>
      </w:r>
      <w:r w:rsidR="00F22012" w:rsidRPr="008B38EC">
        <w:noBreakHyphen/>
      </w:r>
      <w:r w:rsidR="00F22012">
        <w:rPr>
          <w:noProof/>
        </w:rPr>
        <w:t>1</w:t>
      </w:r>
      <w:r w:rsidR="00E10450">
        <w:fldChar w:fldCharType="end"/>
      </w:r>
      <w:r w:rsidRPr="00B6185D">
        <w:t>).</w:t>
      </w:r>
      <w:r w:rsidRPr="00B6185D">
        <w:rPr>
          <w:rStyle w:val="FootnoteReference"/>
        </w:rPr>
        <w:footnoteReference w:id="4"/>
      </w:r>
      <w:r w:rsidRPr="00B6185D">
        <w:t xml:space="preserve"> Approximately one thousand fewer visas were granted in 2018-19, representing a decrease in 417 visas but in the context of an increase in 462 visas (13.8% in total). Mid-2019 saw the introduction of third visas for both visa classes. However, the closure of Australia’s international borders due to COVID-19 saw a marked 28.6% decline in all visas granted in 2019-2020, most notably in first 417 visas which dropped by 64.6%. The subsequent six-month period from July to December 2020 saw only 20,000 visas granted. This included only 431 first time visas granted to new applicants – a fraction (0.26%) of those granted in 2018-19 (albeit for a six-month period). Second visas granted during this period were slightly down in numbers, with third visas trending up.</w:t>
      </w:r>
    </w:p>
    <w:p w14:paraId="5228A6DF" w14:textId="2B89F484" w:rsidR="00E15A16" w:rsidRPr="008B38EC" w:rsidRDefault="00E15A16" w:rsidP="00E15A16">
      <w:pPr>
        <w:pStyle w:val="Caption"/>
      </w:pPr>
      <w:bookmarkStart w:id="23" w:name="_Ref75783168"/>
      <w:bookmarkStart w:id="24" w:name="_Toc75878514"/>
      <w:r w:rsidRPr="008B38EC">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2</w:t>
      </w:r>
      <w:r w:rsidR="008949B3">
        <w:rPr>
          <w:noProof/>
        </w:rPr>
        <w:fldChar w:fldCharType="end"/>
      </w:r>
      <w:r w:rsidRPr="008B38EC">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23"/>
      <w:r w:rsidRPr="008B38EC">
        <w:t>: Number of WHM granted by visa type, since 2017-18</w:t>
      </w:r>
      <w:bookmarkEnd w:id="24"/>
    </w:p>
    <w:p w14:paraId="7C9690AD" w14:textId="77777777" w:rsidR="00E15A16" w:rsidRPr="00796FA8" w:rsidRDefault="00E15A16" w:rsidP="00E15A16">
      <w:pPr>
        <w:keepNext/>
        <w:keepLines/>
        <w:rPr>
          <w:highlight w:val="yellow"/>
        </w:rPr>
      </w:pPr>
      <w:r w:rsidRPr="00796FA8">
        <w:rPr>
          <w:noProof/>
          <w:highlight w:val="yellow"/>
          <w:lang w:eastAsia="en-AU"/>
        </w:rPr>
        <w:drawing>
          <wp:inline distT="0" distB="0" distL="0" distR="0" wp14:anchorId="7FA99E6F" wp14:editId="25206CA0">
            <wp:extent cx="5731510" cy="2751826"/>
            <wp:effectExtent l="0" t="0" r="2540" b="10795"/>
            <wp:docPr id="2" name="Chart 2" descr="Figure 2-1 Chart showing the number of WHM granted by visa type, from 2017-18 to July-December 2020.">
              <a:extLst xmlns:a="http://schemas.openxmlformats.org/drawingml/2006/main">
                <a:ext uri="{FF2B5EF4-FFF2-40B4-BE49-F238E27FC236}">
                  <a16:creationId xmlns:a16="http://schemas.microsoft.com/office/drawing/2014/main" id="{93009BF9-E69C-42F3-9904-B27381AE9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392A9E" w14:textId="77777777" w:rsidR="00E15A16" w:rsidRPr="008B38EC" w:rsidRDefault="00E15A16" w:rsidP="00E15A16">
      <w:pPr>
        <w:pStyle w:val="Tablenote"/>
      </w:pPr>
      <w:r w:rsidRPr="008B38EC">
        <w:t xml:space="preserve">Source: </w:t>
      </w:r>
      <w:r w:rsidRPr="008B38EC">
        <w:fldChar w:fldCharType="begin"/>
      </w:r>
      <w:r w:rsidRPr="008B38EC">
        <w:instrText xml:space="preserve"> ADDIN EN.CITE &lt;EndNote&gt;&lt;Cite AuthorYear="1"&gt;&lt;Author&gt;Department of Home Affairs&lt;/Author&gt;&lt;Year&gt;2021&lt;/Year&gt;&lt;RecNum&gt;31&lt;/RecNum&gt;&lt;DisplayText&gt;Department of Home Affairs (2021)&lt;/DisplayText&gt;&lt;record&gt;&lt;rec-number&gt;31&lt;/rec-number&gt;&lt;foreign-keys&gt;&lt;key app="EN" db-id="r5sv9zwer2dw2pexz935edzbrpsweevtw5ed" timestamp="1616476684"&gt;31&lt;/key&gt;&lt;/foreign-keys&gt;&lt;ref-type name="Report"&gt;27&lt;/ref-type&gt;&lt;contributors&gt;&lt;authors&gt;&lt;author&gt;Department of Home Affairs,&lt;/author&gt;&lt;/authors&gt;&lt;/contributors&gt;&lt;titles&gt;&lt;title&gt;BP0017 Working Holiday Maker visas granted pivot table 2020-21 to 31 December 2020 - comparison with previous years&lt;/title&gt;&lt;/titles&gt;&lt;dates&gt;&lt;year&gt;2021&lt;/year&gt;&lt;/dates&gt;&lt;pub-location&gt;Canberra&lt;/pub-location&gt;&lt;urls&gt;&lt;related-urls&gt;&lt;url&gt;data.gov.au&lt;/url&gt;&lt;/related-urls&gt;&lt;/urls&gt;&lt;/record&gt;&lt;/Cite&gt;&lt;/EndNote&gt;</w:instrText>
      </w:r>
      <w:r w:rsidRPr="008B38EC">
        <w:fldChar w:fldCharType="separate"/>
      </w:r>
      <w:r w:rsidRPr="008B38EC">
        <w:t>Department of Home Affairs (2021)</w:t>
      </w:r>
      <w:r w:rsidRPr="008B38EC">
        <w:fldChar w:fldCharType="end"/>
      </w:r>
    </w:p>
    <w:p w14:paraId="2724CD49" w14:textId="086E1198" w:rsidR="00E15A16" w:rsidRPr="00711126" w:rsidRDefault="00E15A16" w:rsidP="00E15A16">
      <w:r w:rsidRPr="00711126">
        <w:t>For a number of years, citizens of the United Kingdom have been the largest cohort of WHMs with well in excess of 35,000 visas granted per year to 2018-19. The number of WHMs from France, Germany, South Korea and Taiwan also exceeded 20,000 each year between 2013-14 and 2017-18 (see</w:t>
      </w:r>
      <w:r w:rsidR="00BE3B07">
        <w:t xml:space="preserve"> </w:t>
      </w:r>
      <w:r w:rsidR="00BE3B07">
        <w:fldChar w:fldCharType="begin"/>
      </w:r>
      <w:r w:rsidR="00BE3B07">
        <w:instrText xml:space="preserve"> REF _Ref75783305 \h </w:instrText>
      </w:r>
      <w:r w:rsidR="00BE3B07">
        <w:fldChar w:fldCharType="separate"/>
      </w:r>
      <w:r w:rsidR="00F22012" w:rsidRPr="00711126">
        <w:t xml:space="preserve">Table </w:t>
      </w:r>
      <w:r w:rsidR="00F22012">
        <w:rPr>
          <w:noProof/>
        </w:rPr>
        <w:t>2</w:t>
      </w:r>
      <w:r w:rsidR="00F22012" w:rsidRPr="00711126">
        <w:noBreakHyphen/>
      </w:r>
      <w:r w:rsidR="00F22012">
        <w:rPr>
          <w:noProof/>
        </w:rPr>
        <w:t>2</w:t>
      </w:r>
      <w:r w:rsidR="00BE3B07">
        <w:fldChar w:fldCharType="end"/>
      </w:r>
      <w:r w:rsidRPr="00711126">
        <w:t>). It is notable that the overall annual number of visa recipients has declined over the period, plateauing at around 210,000 from 2016-17 to 2018-19. This preceded the marked 28.6% decline due to COVID-19 in 2019-20.</w:t>
      </w:r>
    </w:p>
    <w:p w14:paraId="49E433D9" w14:textId="765B965D" w:rsidR="00E15A16" w:rsidRPr="00711126" w:rsidRDefault="00E15A16" w:rsidP="00E15A16">
      <w:pPr>
        <w:pStyle w:val="Caption"/>
      </w:pPr>
      <w:bookmarkStart w:id="25" w:name="_Ref75783305"/>
      <w:bookmarkStart w:id="26" w:name="_Toc75878591"/>
      <w:r w:rsidRPr="00711126">
        <w:t xml:space="preserve">Table </w:t>
      </w:r>
      <w:r w:rsidRPr="00711126">
        <w:rPr>
          <w:noProof/>
        </w:rPr>
        <w:fldChar w:fldCharType="begin"/>
      </w:r>
      <w:r w:rsidRPr="00711126">
        <w:rPr>
          <w:noProof/>
        </w:rPr>
        <w:instrText xml:space="preserve"> STYLEREF 1 \s </w:instrText>
      </w:r>
      <w:r w:rsidRPr="00711126">
        <w:rPr>
          <w:noProof/>
        </w:rPr>
        <w:fldChar w:fldCharType="separate"/>
      </w:r>
      <w:r w:rsidR="00F22012">
        <w:rPr>
          <w:noProof/>
        </w:rPr>
        <w:t>2</w:t>
      </w:r>
      <w:r w:rsidRPr="00711126">
        <w:rPr>
          <w:noProof/>
        </w:rPr>
        <w:fldChar w:fldCharType="end"/>
      </w:r>
      <w:r w:rsidRPr="00711126">
        <w:noBreakHyphen/>
      </w:r>
      <w:r w:rsidRPr="00711126">
        <w:rPr>
          <w:noProof/>
        </w:rPr>
        <w:fldChar w:fldCharType="begin"/>
      </w:r>
      <w:r w:rsidRPr="00711126">
        <w:rPr>
          <w:noProof/>
        </w:rPr>
        <w:instrText xml:space="preserve"> SEQ Table \* ARABIC \s 1 </w:instrText>
      </w:r>
      <w:r w:rsidRPr="00711126">
        <w:rPr>
          <w:noProof/>
        </w:rPr>
        <w:fldChar w:fldCharType="separate"/>
      </w:r>
      <w:r w:rsidR="00F22012">
        <w:rPr>
          <w:noProof/>
        </w:rPr>
        <w:t>2</w:t>
      </w:r>
      <w:r w:rsidRPr="00711126">
        <w:rPr>
          <w:noProof/>
        </w:rPr>
        <w:fldChar w:fldCharType="end"/>
      </w:r>
      <w:bookmarkEnd w:id="25"/>
      <w:r w:rsidRPr="00711126">
        <w:t>: Number of WHM visa granted by citizenship, since 2013-14</w:t>
      </w:r>
      <w:bookmarkEnd w:id="26"/>
    </w:p>
    <w:tbl>
      <w:tblPr>
        <w:tblStyle w:val="GridTable4-Accent1"/>
        <w:tblW w:w="0" w:type="auto"/>
        <w:tblLook w:val="04E0" w:firstRow="1" w:lastRow="1" w:firstColumn="1" w:lastColumn="0" w:noHBand="0" w:noVBand="1"/>
      </w:tblPr>
      <w:tblGrid>
        <w:gridCol w:w="1100"/>
        <w:gridCol w:w="889"/>
        <w:gridCol w:w="916"/>
        <w:gridCol w:w="889"/>
        <w:gridCol w:w="889"/>
        <w:gridCol w:w="889"/>
        <w:gridCol w:w="889"/>
        <w:gridCol w:w="889"/>
        <w:gridCol w:w="916"/>
      </w:tblGrid>
      <w:tr w:rsidR="00E15A16" w:rsidRPr="00711126" w14:paraId="0686C58F" w14:textId="77777777" w:rsidTr="00C16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52A5ECDD" w14:textId="77777777" w:rsidR="00E15A16" w:rsidRPr="00711126" w:rsidRDefault="00E15A16" w:rsidP="00C16798">
            <w:pPr>
              <w:keepNext/>
              <w:keepLines/>
              <w:spacing w:before="0"/>
              <w:rPr>
                <w:rFonts w:ascii="Calibri" w:hAnsi="Calibri" w:cs="Calibri"/>
                <w:b w:val="0"/>
                <w:bCs w:val="0"/>
                <w:sz w:val="16"/>
                <w:szCs w:val="16"/>
              </w:rPr>
            </w:pPr>
          </w:p>
        </w:tc>
        <w:tc>
          <w:tcPr>
            <w:tcW w:w="889" w:type="dxa"/>
            <w:hideMark/>
          </w:tcPr>
          <w:p w14:paraId="427CBCBE"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2013-14</w:t>
            </w:r>
          </w:p>
        </w:tc>
        <w:tc>
          <w:tcPr>
            <w:tcW w:w="916" w:type="dxa"/>
            <w:hideMark/>
          </w:tcPr>
          <w:p w14:paraId="4661926D"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2014-15</w:t>
            </w:r>
          </w:p>
        </w:tc>
        <w:tc>
          <w:tcPr>
            <w:tcW w:w="889" w:type="dxa"/>
            <w:hideMark/>
          </w:tcPr>
          <w:p w14:paraId="283B2B6D"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2015-16</w:t>
            </w:r>
          </w:p>
        </w:tc>
        <w:tc>
          <w:tcPr>
            <w:tcW w:w="889" w:type="dxa"/>
            <w:hideMark/>
          </w:tcPr>
          <w:p w14:paraId="00FDC78C"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2016-17</w:t>
            </w:r>
          </w:p>
        </w:tc>
        <w:tc>
          <w:tcPr>
            <w:tcW w:w="889" w:type="dxa"/>
            <w:hideMark/>
          </w:tcPr>
          <w:p w14:paraId="22DCFC42"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2017-18</w:t>
            </w:r>
          </w:p>
        </w:tc>
        <w:tc>
          <w:tcPr>
            <w:tcW w:w="889" w:type="dxa"/>
            <w:hideMark/>
          </w:tcPr>
          <w:p w14:paraId="12C644E0"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2018-19</w:t>
            </w:r>
          </w:p>
        </w:tc>
        <w:tc>
          <w:tcPr>
            <w:tcW w:w="889" w:type="dxa"/>
            <w:hideMark/>
          </w:tcPr>
          <w:p w14:paraId="5B4CFCA2"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2019-20</w:t>
            </w:r>
          </w:p>
        </w:tc>
        <w:tc>
          <w:tcPr>
            <w:tcW w:w="916" w:type="dxa"/>
            <w:hideMark/>
          </w:tcPr>
          <w:p w14:paraId="3384BE56" w14:textId="77777777" w:rsidR="00E15A16" w:rsidRPr="00711126" w:rsidRDefault="00E15A16" w:rsidP="00C1679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1 Jul - 31 Dec 2020</w:t>
            </w:r>
          </w:p>
        </w:tc>
      </w:tr>
      <w:tr w:rsidR="00E15A16" w:rsidRPr="00711126" w14:paraId="0B0B7DA1"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7B55AA08"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UK</w:t>
            </w:r>
          </w:p>
        </w:tc>
        <w:tc>
          <w:tcPr>
            <w:tcW w:w="889" w:type="dxa"/>
            <w:noWrap/>
            <w:hideMark/>
          </w:tcPr>
          <w:p w14:paraId="2068DFC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45,208 </w:t>
            </w:r>
          </w:p>
        </w:tc>
        <w:tc>
          <w:tcPr>
            <w:tcW w:w="916" w:type="dxa"/>
            <w:noWrap/>
            <w:hideMark/>
          </w:tcPr>
          <w:p w14:paraId="725CC9D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44,730 </w:t>
            </w:r>
          </w:p>
        </w:tc>
        <w:tc>
          <w:tcPr>
            <w:tcW w:w="889" w:type="dxa"/>
            <w:noWrap/>
            <w:hideMark/>
          </w:tcPr>
          <w:p w14:paraId="6CB888C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42,175 </w:t>
            </w:r>
          </w:p>
        </w:tc>
        <w:tc>
          <w:tcPr>
            <w:tcW w:w="889" w:type="dxa"/>
            <w:noWrap/>
            <w:hideMark/>
          </w:tcPr>
          <w:p w14:paraId="7E636F4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40,382 </w:t>
            </w:r>
          </w:p>
        </w:tc>
        <w:tc>
          <w:tcPr>
            <w:tcW w:w="889" w:type="dxa"/>
            <w:noWrap/>
            <w:hideMark/>
          </w:tcPr>
          <w:p w14:paraId="47B14A9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37,752 </w:t>
            </w:r>
          </w:p>
        </w:tc>
        <w:tc>
          <w:tcPr>
            <w:tcW w:w="889" w:type="dxa"/>
            <w:noWrap/>
            <w:hideMark/>
          </w:tcPr>
          <w:p w14:paraId="7788560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35,948 </w:t>
            </w:r>
          </w:p>
        </w:tc>
        <w:tc>
          <w:tcPr>
            <w:tcW w:w="889" w:type="dxa"/>
            <w:noWrap/>
            <w:hideMark/>
          </w:tcPr>
          <w:p w14:paraId="445A3BF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24,754 </w:t>
            </w:r>
          </w:p>
        </w:tc>
        <w:tc>
          <w:tcPr>
            <w:tcW w:w="916" w:type="dxa"/>
            <w:noWrap/>
            <w:hideMark/>
          </w:tcPr>
          <w:p w14:paraId="54BA52E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3,714 </w:t>
            </w:r>
          </w:p>
        </w:tc>
      </w:tr>
      <w:tr w:rsidR="00E15A16" w:rsidRPr="00711126" w14:paraId="36EBBB21"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52DF39D1"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France</w:t>
            </w:r>
          </w:p>
        </w:tc>
        <w:tc>
          <w:tcPr>
            <w:tcW w:w="889" w:type="dxa"/>
            <w:noWrap/>
            <w:hideMark/>
          </w:tcPr>
          <w:p w14:paraId="58B9E6D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25,734 </w:t>
            </w:r>
          </w:p>
        </w:tc>
        <w:tc>
          <w:tcPr>
            <w:tcW w:w="916" w:type="dxa"/>
            <w:noWrap/>
            <w:hideMark/>
          </w:tcPr>
          <w:p w14:paraId="6ED96666"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23,375 </w:t>
            </w:r>
          </w:p>
        </w:tc>
        <w:tc>
          <w:tcPr>
            <w:tcW w:w="889" w:type="dxa"/>
            <w:noWrap/>
            <w:hideMark/>
          </w:tcPr>
          <w:p w14:paraId="253A3BE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21,527 </w:t>
            </w:r>
          </w:p>
        </w:tc>
        <w:tc>
          <w:tcPr>
            <w:tcW w:w="889" w:type="dxa"/>
            <w:noWrap/>
            <w:hideMark/>
          </w:tcPr>
          <w:p w14:paraId="4619200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22,361 </w:t>
            </w:r>
          </w:p>
        </w:tc>
        <w:tc>
          <w:tcPr>
            <w:tcW w:w="889" w:type="dxa"/>
            <w:noWrap/>
            <w:hideMark/>
          </w:tcPr>
          <w:p w14:paraId="4CED8F58"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23,217 </w:t>
            </w:r>
          </w:p>
        </w:tc>
        <w:tc>
          <w:tcPr>
            <w:tcW w:w="889" w:type="dxa"/>
            <w:noWrap/>
            <w:hideMark/>
          </w:tcPr>
          <w:p w14:paraId="50A0F9A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24,413 </w:t>
            </w:r>
          </w:p>
        </w:tc>
        <w:tc>
          <w:tcPr>
            <w:tcW w:w="889" w:type="dxa"/>
            <w:noWrap/>
            <w:hideMark/>
          </w:tcPr>
          <w:p w14:paraId="4A96A84D"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17,665 </w:t>
            </w:r>
          </w:p>
        </w:tc>
        <w:tc>
          <w:tcPr>
            <w:tcW w:w="916" w:type="dxa"/>
            <w:noWrap/>
            <w:hideMark/>
          </w:tcPr>
          <w:p w14:paraId="10C37EFF"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1,894 </w:t>
            </w:r>
          </w:p>
        </w:tc>
      </w:tr>
      <w:tr w:rsidR="00E15A16" w:rsidRPr="00711126" w14:paraId="01934FDB"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0C76A733"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Germany</w:t>
            </w:r>
          </w:p>
        </w:tc>
        <w:tc>
          <w:tcPr>
            <w:tcW w:w="889" w:type="dxa"/>
            <w:noWrap/>
            <w:hideMark/>
          </w:tcPr>
          <w:p w14:paraId="3EF90A9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26,819 </w:t>
            </w:r>
          </w:p>
        </w:tc>
        <w:tc>
          <w:tcPr>
            <w:tcW w:w="916" w:type="dxa"/>
            <w:noWrap/>
            <w:hideMark/>
          </w:tcPr>
          <w:p w14:paraId="731761F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26,327 </w:t>
            </w:r>
          </w:p>
        </w:tc>
        <w:tc>
          <w:tcPr>
            <w:tcW w:w="889" w:type="dxa"/>
            <w:noWrap/>
            <w:hideMark/>
          </w:tcPr>
          <w:p w14:paraId="63166C9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25,980 </w:t>
            </w:r>
          </w:p>
        </w:tc>
        <w:tc>
          <w:tcPr>
            <w:tcW w:w="889" w:type="dxa"/>
            <w:noWrap/>
            <w:hideMark/>
          </w:tcPr>
          <w:p w14:paraId="6E51B73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25,704 </w:t>
            </w:r>
          </w:p>
        </w:tc>
        <w:tc>
          <w:tcPr>
            <w:tcW w:w="889" w:type="dxa"/>
            <w:noWrap/>
            <w:hideMark/>
          </w:tcPr>
          <w:p w14:paraId="4FEFE18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23,867 </w:t>
            </w:r>
          </w:p>
        </w:tc>
        <w:tc>
          <w:tcPr>
            <w:tcW w:w="889" w:type="dxa"/>
            <w:noWrap/>
            <w:hideMark/>
          </w:tcPr>
          <w:p w14:paraId="40ABB26A"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21,152 </w:t>
            </w:r>
          </w:p>
        </w:tc>
        <w:tc>
          <w:tcPr>
            <w:tcW w:w="889" w:type="dxa"/>
            <w:noWrap/>
            <w:hideMark/>
          </w:tcPr>
          <w:p w14:paraId="15E8531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13,934 </w:t>
            </w:r>
          </w:p>
        </w:tc>
        <w:tc>
          <w:tcPr>
            <w:tcW w:w="916" w:type="dxa"/>
            <w:noWrap/>
            <w:hideMark/>
          </w:tcPr>
          <w:p w14:paraId="0CC8773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925 </w:t>
            </w:r>
          </w:p>
        </w:tc>
      </w:tr>
      <w:tr w:rsidR="00E15A16" w:rsidRPr="00711126" w14:paraId="478D98BC"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0B6B3F3B"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South Korea</w:t>
            </w:r>
          </w:p>
        </w:tc>
        <w:tc>
          <w:tcPr>
            <w:tcW w:w="889" w:type="dxa"/>
            <w:noWrap/>
            <w:hideMark/>
          </w:tcPr>
          <w:p w14:paraId="2C657687"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26,893 </w:t>
            </w:r>
          </w:p>
        </w:tc>
        <w:tc>
          <w:tcPr>
            <w:tcW w:w="916" w:type="dxa"/>
            <w:noWrap/>
            <w:hideMark/>
          </w:tcPr>
          <w:p w14:paraId="4B80F1F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25,589 </w:t>
            </w:r>
          </w:p>
        </w:tc>
        <w:tc>
          <w:tcPr>
            <w:tcW w:w="889" w:type="dxa"/>
            <w:noWrap/>
            <w:hideMark/>
          </w:tcPr>
          <w:p w14:paraId="2CCEAB6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22,025 </w:t>
            </w:r>
          </w:p>
        </w:tc>
        <w:tc>
          <w:tcPr>
            <w:tcW w:w="889" w:type="dxa"/>
            <w:noWrap/>
            <w:hideMark/>
          </w:tcPr>
          <w:p w14:paraId="0F91EEA7"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22,412 </w:t>
            </w:r>
          </w:p>
        </w:tc>
        <w:tc>
          <w:tcPr>
            <w:tcW w:w="889" w:type="dxa"/>
            <w:noWrap/>
            <w:hideMark/>
          </w:tcPr>
          <w:p w14:paraId="6C7D2F8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22,137 </w:t>
            </w:r>
          </w:p>
        </w:tc>
        <w:tc>
          <w:tcPr>
            <w:tcW w:w="889" w:type="dxa"/>
            <w:noWrap/>
            <w:hideMark/>
          </w:tcPr>
          <w:p w14:paraId="1995CE27"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21,380 </w:t>
            </w:r>
          </w:p>
        </w:tc>
        <w:tc>
          <w:tcPr>
            <w:tcW w:w="889" w:type="dxa"/>
            <w:noWrap/>
            <w:hideMark/>
          </w:tcPr>
          <w:p w14:paraId="23125BF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12,862 </w:t>
            </w:r>
          </w:p>
        </w:tc>
        <w:tc>
          <w:tcPr>
            <w:tcW w:w="916" w:type="dxa"/>
            <w:noWrap/>
            <w:hideMark/>
          </w:tcPr>
          <w:p w14:paraId="125E527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1,402 </w:t>
            </w:r>
          </w:p>
        </w:tc>
      </w:tr>
      <w:tr w:rsidR="00E15A16" w:rsidRPr="00711126" w14:paraId="3D2814D5"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E293C6A"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Taiwan</w:t>
            </w:r>
          </w:p>
        </w:tc>
        <w:tc>
          <w:tcPr>
            <w:tcW w:w="889" w:type="dxa"/>
            <w:noWrap/>
            <w:hideMark/>
          </w:tcPr>
          <w:p w14:paraId="2EFF795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29,366 </w:t>
            </w:r>
          </w:p>
        </w:tc>
        <w:tc>
          <w:tcPr>
            <w:tcW w:w="916" w:type="dxa"/>
            <w:noWrap/>
            <w:hideMark/>
          </w:tcPr>
          <w:p w14:paraId="19DFA9D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26,648 </w:t>
            </w:r>
          </w:p>
        </w:tc>
        <w:tc>
          <w:tcPr>
            <w:tcW w:w="889" w:type="dxa"/>
            <w:noWrap/>
            <w:hideMark/>
          </w:tcPr>
          <w:p w14:paraId="3484959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22,157 </w:t>
            </w:r>
          </w:p>
        </w:tc>
        <w:tc>
          <w:tcPr>
            <w:tcW w:w="889" w:type="dxa"/>
            <w:noWrap/>
            <w:hideMark/>
          </w:tcPr>
          <w:p w14:paraId="5D6CC4C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21,639 </w:t>
            </w:r>
          </w:p>
        </w:tc>
        <w:tc>
          <w:tcPr>
            <w:tcW w:w="889" w:type="dxa"/>
            <w:noWrap/>
            <w:hideMark/>
          </w:tcPr>
          <w:p w14:paraId="30C62C8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21,357 </w:t>
            </w:r>
          </w:p>
        </w:tc>
        <w:tc>
          <w:tcPr>
            <w:tcW w:w="889" w:type="dxa"/>
            <w:noWrap/>
            <w:hideMark/>
          </w:tcPr>
          <w:p w14:paraId="3DA8461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18,239 </w:t>
            </w:r>
          </w:p>
        </w:tc>
        <w:tc>
          <w:tcPr>
            <w:tcW w:w="889" w:type="dxa"/>
            <w:noWrap/>
            <w:hideMark/>
          </w:tcPr>
          <w:p w14:paraId="7B968A0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11,058 </w:t>
            </w:r>
          </w:p>
        </w:tc>
        <w:tc>
          <w:tcPr>
            <w:tcW w:w="916" w:type="dxa"/>
            <w:noWrap/>
            <w:hideMark/>
          </w:tcPr>
          <w:p w14:paraId="593ABB1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2,495 </w:t>
            </w:r>
          </w:p>
        </w:tc>
      </w:tr>
      <w:tr w:rsidR="00E15A16" w:rsidRPr="00711126" w14:paraId="67B8481B"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45B4010D"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Ireland</w:t>
            </w:r>
          </w:p>
        </w:tc>
        <w:tc>
          <w:tcPr>
            <w:tcW w:w="889" w:type="dxa"/>
            <w:noWrap/>
            <w:hideMark/>
          </w:tcPr>
          <w:p w14:paraId="2599291D"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11,996 </w:t>
            </w:r>
          </w:p>
        </w:tc>
        <w:tc>
          <w:tcPr>
            <w:tcW w:w="916" w:type="dxa"/>
            <w:noWrap/>
            <w:hideMark/>
          </w:tcPr>
          <w:p w14:paraId="7FCB0BC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7,793 </w:t>
            </w:r>
          </w:p>
        </w:tc>
        <w:tc>
          <w:tcPr>
            <w:tcW w:w="889" w:type="dxa"/>
            <w:noWrap/>
            <w:hideMark/>
          </w:tcPr>
          <w:p w14:paraId="2B8F0398"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6,743 </w:t>
            </w:r>
          </w:p>
        </w:tc>
        <w:tc>
          <w:tcPr>
            <w:tcW w:w="889" w:type="dxa"/>
            <w:noWrap/>
            <w:hideMark/>
          </w:tcPr>
          <w:p w14:paraId="2889AA46"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8,182 </w:t>
            </w:r>
          </w:p>
        </w:tc>
        <w:tc>
          <w:tcPr>
            <w:tcW w:w="889" w:type="dxa"/>
            <w:noWrap/>
            <w:hideMark/>
          </w:tcPr>
          <w:p w14:paraId="445600E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9,104 </w:t>
            </w:r>
          </w:p>
        </w:tc>
        <w:tc>
          <w:tcPr>
            <w:tcW w:w="889" w:type="dxa"/>
            <w:noWrap/>
            <w:hideMark/>
          </w:tcPr>
          <w:p w14:paraId="326E07C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11,077 </w:t>
            </w:r>
          </w:p>
        </w:tc>
        <w:tc>
          <w:tcPr>
            <w:tcW w:w="889" w:type="dxa"/>
            <w:noWrap/>
            <w:hideMark/>
          </w:tcPr>
          <w:p w14:paraId="422CE696"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8,878 </w:t>
            </w:r>
          </w:p>
        </w:tc>
        <w:tc>
          <w:tcPr>
            <w:tcW w:w="916" w:type="dxa"/>
            <w:noWrap/>
            <w:hideMark/>
          </w:tcPr>
          <w:p w14:paraId="4F96D00C"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1,888 </w:t>
            </w:r>
          </w:p>
        </w:tc>
      </w:tr>
      <w:tr w:rsidR="00E15A16" w:rsidRPr="00711126" w14:paraId="0FA88D0A"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23B3154B"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Italy</w:t>
            </w:r>
          </w:p>
        </w:tc>
        <w:tc>
          <w:tcPr>
            <w:tcW w:w="889" w:type="dxa"/>
            <w:noWrap/>
            <w:hideMark/>
          </w:tcPr>
          <w:p w14:paraId="28449DC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16,045 </w:t>
            </w:r>
          </w:p>
        </w:tc>
        <w:tc>
          <w:tcPr>
            <w:tcW w:w="916" w:type="dxa"/>
            <w:noWrap/>
            <w:hideMark/>
          </w:tcPr>
          <w:p w14:paraId="6B66030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14,138 </w:t>
            </w:r>
          </w:p>
        </w:tc>
        <w:tc>
          <w:tcPr>
            <w:tcW w:w="889" w:type="dxa"/>
            <w:noWrap/>
            <w:hideMark/>
          </w:tcPr>
          <w:p w14:paraId="4390248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11,591 </w:t>
            </w:r>
          </w:p>
        </w:tc>
        <w:tc>
          <w:tcPr>
            <w:tcW w:w="889" w:type="dxa"/>
            <w:noWrap/>
            <w:hideMark/>
          </w:tcPr>
          <w:p w14:paraId="0BD60D0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11,111 </w:t>
            </w:r>
          </w:p>
        </w:tc>
        <w:tc>
          <w:tcPr>
            <w:tcW w:w="889" w:type="dxa"/>
            <w:noWrap/>
            <w:hideMark/>
          </w:tcPr>
          <w:p w14:paraId="2DBDE7E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10,500 </w:t>
            </w:r>
          </w:p>
        </w:tc>
        <w:tc>
          <w:tcPr>
            <w:tcW w:w="889" w:type="dxa"/>
            <w:noWrap/>
            <w:hideMark/>
          </w:tcPr>
          <w:p w14:paraId="6975A0F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10,797 </w:t>
            </w:r>
          </w:p>
        </w:tc>
        <w:tc>
          <w:tcPr>
            <w:tcW w:w="889" w:type="dxa"/>
            <w:noWrap/>
            <w:hideMark/>
          </w:tcPr>
          <w:p w14:paraId="60AE0C9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8,219 </w:t>
            </w:r>
          </w:p>
        </w:tc>
        <w:tc>
          <w:tcPr>
            <w:tcW w:w="916" w:type="dxa"/>
            <w:noWrap/>
            <w:hideMark/>
          </w:tcPr>
          <w:p w14:paraId="1025A7F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1,334 </w:t>
            </w:r>
          </w:p>
        </w:tc>
      </w:tr>
      <w:tr w:rsidR="00E15A16" w:rsidRPr="00711126" w14:paraId="193D7B42"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50376CDB"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Japan</w:t>
            </w:r>
          </w:p>
        </w:tc>
        <w:tc>
          <w:tcPr>
            <w:tcW w:w="889" w:type="dxa"/>
            <w:noWrap/>
            <w:hideMark/>
          </w:tcPr>
          <w:p w14:paraId="7957FE8C"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10,579 </w:t>
            </w:r>
          </w:p>
        </w:tc>
        <w:tc>
          <w:tcPr>
            <w:tcW w:w="916" w:type="dxa"/>
            <w:noWrap/>
            <w:hideMark/>
          </w:tcPr>
          <w:p w14:paraId="3FCD3DC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11,481 </w:t>
            </w:r>
          </w:p>
        </w:tc>
        <w:tc>
          <w:tcPr>
            <w:tcW w:w="889" w:type="dxa"/>
            <w:noWrap/>
            <w:hideMark/>
          </w:tcPr>
          <w:p w14:paraId="3FC75A4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12,304 </w:t>
            </w:r>
          </w:p>
        </w:tc>
        <w:tc>
          <w:tcPr>
            <w:tcW w:w="889" w:type="dxa"/>
            <w:noWrap/>
            <w:hideMark/>
          </w:tcPr>
          <w:p w14:paraId="5DDE1F1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11,061 </w:t>
            </w:r>
          </w:p>
        </w:tc>
        <w:tc>
          <w:tcPr>
            <w:tcW w:w="889" w:type="dxa"/>
            <w:noWrap/>
            <w:hideMark/>
          </w:tcPr>
          <w:p w14:paraId="2D5CA1E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10,987 </w:t>
            </w:r>
          </w:p>
        </w:tc>
        <w:tc>
          <w:tcPr>
            <w:tcW w:w="889" w:type="dxa"/>
            <w:noWrap/>
            <w:hideMark/>
          </w:tcPr>
          <w:p w14:paraId="55BB28B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11,933 </w:t>
            </w:r>
          </w:p>
        </w:tc>
        <w:tc>
          <w:tcPr>
            <w:tcW w:w="889" w:type="dxa"/>
            <w:noWrap/>
            <w:hideMark/>
          </w:tcPr>
          <w:p w14:paraId="0816484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8,089 </w:t>
            </w:r>
          </w:p>
        </w:tc>
        <w:tc>
          <w:tcPr>
            <w:tcW w:w="916" w:type="dxa"/>
            <w:noWrap/>
            <w:hideMark/>
          </w:tcPr>
          <w:p w14:paraId="59E09EE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907 </w:t>
            </w:r>
          </w:p>
        </w:tc>
      </w:tr>
      <w:tr w:rsidR="00E15A16" w:rsidRPr="00711126" w14:paraId="37A3C446"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6AE5D4E"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USA</w:t>
            </w:r>
          </w:p>
        </w:tc>
        <w:tc>
          <w:tcPr>
            <w:tcW w:w="889" w:type="dxa"/>
            <w:noWrap/>
            <w:hideMark/>
          </w:tcPr>
          <w:p w14:paraId="4A3E5A5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7,499 </w:t>
            </w:r>
          </w:p>
        </w:tc>
        <w:tc>
          <w:tcPr>
            <w:tcW w:w="916" w:type="dxa"/>
            <w:noWrap/>
            <w:hideMark/>
          </w:tcPr>
          <w:p w14:paraId="551DAA9A"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8,347 </w:t>
            </w:r>
          </w:p>
        </w:tc>
        <w:tc>
          <w:tcPr>
            <w:tcW w:w="889" w:type="dxa"/>
            <w:noWrap/>
            <w:hideMark/>
          </w:tcPr>
          <w:p w14:paraId="6E26C9B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8,669 </w:t>
            </w:r>
          </w:p>
        </w:tc>
        <w:tc>
          <w:tcPr>
            <w:tcW w:w="889" w:type="dxa"/>
            <w:noWrap/>
            <w:hideMark/>
          </w:tcPr>
          <w:p w14:paraId="611516F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7,792 </w:t>
            </w:r>
          </w:p>
        </w:tc>
        <w:tc>
          <w:tcPr>
            <w:tcW w:w="889" w:type="dxa"/>
            <w:noWrap/>
            <w:hideMark/>
          </w:tcPr>
          <w:p w14:paraId="011E14D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7,837 </w:t>
            </w:r>
          </w:p>
        </w:tc>
        <w:tc>
          <w:tcPr>
            <w:tcW w:w="889" w:type="dxa"/>
            <w:noWrap/>
            <w:hideMark/>
          </w:tcPr>
          <w:p w14:paraId="7A1318A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7,861 </w:t>
            </w:r>
          </w:p>
        </w:tc>
        <w:tc>
          <w:tcPr>
            <w:tcW w:w="889" w:type="dxa"/>
            <w:noWrap/>
            <w:hideMark/>
          </w:tcPr>
          <w:p w14:paraId="49A6C67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5,335 </w:t>
            </w:r>
          </w:p>
        </w:tc>
        <w:tc>
          <w:tcPr>
            <w:tcW w:w="916" w:type="dxa"/>
            <w:noWrap/>
            <w:hideMark/>
          </w:tcPr>
          <w:p w14:paraId="1E18C75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414 </w:t>
            </w:r>
          </w:p>
        </w:tc>
      </w:tr>
      <w:tr w:rsidR="00E15A16" w:rsidRPr="00711126" w14:paraId="1D88E3E5"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20AD7458"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China</w:t>
            </w:r>
          </w:p>
        </w:tc>
        <w:tc>
          <w:tcPr>
            <w:tcW w:w="889" w:type="dxa"/>
            <w:noWrap/>
            <w:hideMark/>
          </w:tcPr>
          <w:p w14:paraId="39550F5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916" w:type="dxa"/>
            <w:noWrap/>
            <w:hideMark/>
          </w:tcPr>
          <w:p w14:paraId="0F394483"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889" w:type="dxa"/>
            <w:noWrap/>
            <w:hideMark/>
          </w:tcPr>
          <w:p w14:paraId="2305FDE7"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5,000 </w:t>
            </w:r>
          </w:p>
        </w:tc>
        <w:tc>
          <w:tcPr>
            <w:tcW w:w="889" w:type="dxa"/>
            <w:noWrap/>
            <w:hideMark/>
          </w:tcPr>
          <w:p w14:paraId="37EA561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5,189 </w:t>
            </w:r>
          </w:p>
        </w:tc>
        <w:tc>
          <w:tcPr>
            <w:tcW w:w="889" w:type="dxa"/>
            <w:noWrap/>
            <w:hideMark/>
          </w:tcPr>
          <w:p w14:paraId="33F6968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6,156 </w:t>
            </w:r>
          </w:p>
        </w:tc>
        <w:tc>
          <w:tcPr>
            <w:tcW w:w="889" w:type="dxa"/>
            <w:noWrap/>
            <w:hideMark/>
          </w:tcPr>
          <w:p w14:paraId="15F902B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7,021 </w:t>
            </w:r>
          </w:p>
        </w:tc>
        <w:tc>
          <w:tcPr>
            <w:tcW w:w="889" w:type="dxa"/>
            <w:noWrap/>
            <w:hideMark/>
          </w:tcPr>
          <w:p w14:paraId="0CEA329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5,057 </w:t>
            </w:r>
          </w:p>
        </w:tc>
        <w:tc>
          <w:tcPr>
            <w:tcW w:w="916" w:type="dxa"/>
            <w:noWrap/>
            <w:hideMark/>
          </w:tcPr>
          <w:p w14:paraId="0FA3E4B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1,022 </w:t>
            </w:r>
          </w:p>
        </w:tc>
      </w:tr>
      <w:tr w:rsidR="00E15A16" w:rsidRPr="00711126" w14:paraId="67F67C06"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279B8543"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Canada</w:t>
            </w:r>
          </w:p>
        </w:tc>
        <w:tc>
          <w:tcPr>
            <w:tcW w:w="889" w:type="dxa"/>
            <w:noWrap/>
            <w:hideMark/>
          </w:tcPr>
          <w:p w14:paraId="1454103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7,174 </w:t>
            </w:r>
          </w:p>
        </w:tc>
        <w:tc>
          <w:tcPr>
            <w:tcW w:w="916" w:type="dxa"/>
            <w:noWrap/>
            <w:hideMark/>
          </w:tcPr>
          <w:p w14:paraId="77FFD72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7,705 </w:t>
            </w:r>
          </w:p>
        </w:tc>
        <w:tc>
          <w:tcPr>
            <w:tcW w:w="889" w:type="dxa"/>
            <w:noWrap/>
            <w:hideMark/>
          </w:tcPr>
          <w:p w14:paraId="2CED57E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7,632 </w:t>
            </w:r>
          </w:p>
        </w:tc>
        <w:tc>
          <w:tcPr>
            <w:tcW w:w="889" w:type="dxa"/>
            <w:noWrap/>
            <w:hideMark/>
          </w:tcPr>
          <w:p w14:paraId="2851C18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7,399 </w:t>
            </w:r>
          </w:p>
        </w:tc>
        <w:tc>
          <w:tcPr>
            <w:tcW w:w="889" w:type="dxa"/>
            <w:noWrap/>
            <w:hideMark/>
          </w:tcPr>
          <w:p w14:paraId="637A7A5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7,117 </w:t>
            </w:r>
          </w:p>
        </w:tc>
        <w:tc>
          <w:tcPr>
            <w:tcW w:w="889" w:type="dxa"/>
            <w:noWrap/>
            <w:hideMark/>
          </w:tcPr>
          <w:p w14:paraId="6CB41FB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7,477 </w:t>
            </w:r>
          </w:p>
        </w:tc>
        <w:tc>
          <w:tcPr>
            <w:tcW w:w="889" w:type="dxa"/>
            <w:noWrap/>
            <w:hideMark/>
          </w:tcPr>
          <w:p w14:paraId="55318D97"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4,950 </w:t>
            </w:r>
          </w:p>
        </w:tc>
        <w:tc>
          <w:tcPr>
            <w:tcW w:w="916" w:type="dxa"/>
            <w:noWrap/>
            <w:hideMark/>
          </w:tcPr>
          <w:p w14:paraId="6911B91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470 </w:t>
            </w:r>
          </w:p>
        </w:tc>
      </w:tr>
      <w:tr w:rsidR="00E15A16" w:rsidRPr="00711126" w14:paraId="6039C0EB"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7600D5C2"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Netherlands</w:t>
            </w:r>
          </w:p>
        </w:tc>
        <w:tc>
          <w:tcPr>
            <w:tcW w:w="889" w:type="dxa"/>
            <w:noWrap/>
            <w:hideMark/>
          </w:tcPr>
          <w:p w14:paraId="19155CA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4,293 </w:t>
            </w:r>
          </w:p>
        </w:tc>
        <w:tc>
          <w:tcPr>
            <w:tcW w:w="916" w:type="dxa"/>
            <w:noWrap/>
            <w:hideMark/>
          </w:tcPr>
          <w:p w14:paraId="6391339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4,518 </w:t>
            </w:r>
          </w:p>
        </w:tc>
        <w:tc>
          <w:tcPr>
            <w:tcW w:w="889" w:type="dxa"/>
            <w:noWrap/>
            <w:hideMark/>
          </w:tcPr>
          <w:p w14:paraId="5474DA0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4,907 </w:t>
            </w:r>
          </w:p>
        </w:tc>
        <w:tc>
          <w:tcPr>
            <w:tcW w:w="889" w:type="dxa"/>
            <w:noWrap/>
            <w:hideMark/>
          </w:tcPr>
          <w:p w14:paraId="21DE3FC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5,632 </w:t>
            </w:r>
          </w:p>
        </w:tc>
        <w:tc>
          <w:tcPr>
            <w:tcW w:w="889" w:type="dxa"/>
            <w:noWrap/>
            <w:hideMark/>
          </w:tcPr>
          <w:p w14:paraId="66407B78"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5,459 </w:t>
            </w:r>
          </w:p>
        </w:tc>
        <w:tc>
          <w:tcPr>
            <w:tcW w:w="889" w:type="dxa"/>
            <w:noWrap/>
            <w:hideMark/>
          </w:tcPr>
          <w:p w14:paraId="52CD98D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5,251 </w:t>
            </w:r>
          </w:p>
        </w:tc>
        <w:tc>
          <w:tcPr>
            <w:tcW w:w="889" w:type="dxa"/>
            <w:noWrap/>
            <w:hideMark/>
          </w:tcPr>
          <w:p w14:paraId="346C44D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3,418 </w:t>
            </w:r>
          </w:p>
        </w:tc>
        <w:tc>
          <w:tcPr>
            <w:tcW w:w="916" w:type="dxa"/>
            <w:noWrap/>
            <w:hideMark/>
          </w:tcPr>
          <w:p w14:paraId="3898FD4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312 </w:t>
            </w:r>
          </w:p>
        </w:tc>
      </w:tr>
      <w:tr w:rsidR="00E15A16" w:rsidRPr="00711126" w14:paraId="01C28794"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22AAEAB0"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Argentina</w:t>
            </w:r>
          </w:p>
        </w:tc>
        <w:tc>
          <w:tcPr>
            <w:tcW w:w="889" w:type="dxa"/>
            <w:noWrap/>
            <w:hideMark/>
          </w:tcPr>
          <w:p w14:paraId="11FA2A5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 </w:t>
            </w:r>
          </w:p>
        </w:tc>
        <w:tc>
          <w:tcPr>
            <w:tcW w:w="916" w:type="dxa"/>
            <w:noWrap/>
            <w:hideMark/>
          </w:tcPr>
          <w:p w14:paraId="4536511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 </w:t>
            </w:r>
          </w:p>
        </w:tc>
        <w:tc>
          <w:tcPr>
            <w:tcW w:w="889" w:type="dxa"/>
            <w:noWrap/>
            <w:hideMark/>
          </w:tcPr>
          <w:p w14:paraId="4FD2069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700 </w:t>
            </w:r>
          </w:p>
        </w:tc>
        <w:tc>
          <w:tcPr>
            <w:tcW w:w="889" w:type="dxa"/>
            <w:noWrap/>
            <w:hideMark/>
          </w:tcPr>
          <w:p w14:paraId="4753DF3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716 </w:t>
            </w:r>
          </w:p>
        </w:tc>
        <w:tc>
          <w:tcPr>
            <w:tcW w:w="889" w:type="dxa"/>
            <w:noWrap/>
            <w:hideMark/>
          </w:tcPr>
          <w:p w14:paraId="77A8282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1,582 </w:t>
            </w:r>
          </w:p>
        </w:tc>
        <w:tc>
          <w:tcPr>
            <w:tcW w:w="889" w:type="dxa"/>
            <w:noWrap/>
            <w:hideMark/>
          </w:tcPr>
          <w:p w14:paraId="091A8B0A"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1,969 </w:t>
            </w:r>
          </w:p>
        </w:tc>
        <w:tc>
          <w:tcPr>
            <w:tcW w:w="889" w:type="dxa"/>
            <w:noWrap/>
            <w:hideMark/>
          </w:tcPr>
          <w:p w14:paraId="5A54AAC4"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3,257 </w:t>
            </w:r>
          </w:p>
        </w:tc>
        <w:tc>
          <w:tcPr>
            <w:tcW w:w="916" w:type="dxa"/>
            <w:noWrap/>
            <w:hideMark/>
          </w:tcPr>
          <w:p w14:paraId="7D27FA84"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646 </w:t>
            </w:r>
          </w:p>
        </w:tc>
      </w:tr>
      <w:tr w:rsidR="00E15A16" w:rsidRPr="00711126" w14:paraId="0D0529AF"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ED7E25A"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Chile</w:t>
            </w:r>
          </w:p>
        </w:tc>
        <w:tc>
          <w:tcPr>
            <w:tcW w:w="889" w:type="dxa"/>
            <w:noWrap/>
            <w:hideMark/>
          </w:tcPr>
          <w:p w14:paraId="5B13694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1,004 </w:t>
            </w:r>
          </w:p>
        </w:tc>
        <w:tc>
          <w:tcPr>
            <w:tcW w:w="916" w:type="dxa"/>
            <w:noWrap/>
            <w:hideMark/>
          </w:tcPr>
          <w:p w14:paraId="12BA4CF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1,388 </w:t>
            </w:r>
          </w:p>
        </w:tc>
        <w:tc>
          <w:tcPr>
            <w:tcW w:w="889" w:type="dxa"/>
            <w:noWrap/>
            <w:hideMark/>
          </w:tcPr>
          <w:p w14:paraId="1028665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1,500 </w:t>
            </w:r>
          </w:p>
        </w:tc>
        <w:tc>
          <w:tcPr>
            <w:tcW w:w="889" w:type="dxa"/>
            <w:noWrap/>
            <w:hideMark/>
          </w:tcPr>
          <w:p w14:paraId="78EB0F0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1,563 </w:t>
            </w:r>
          </w:p>
        </w:tc>
        <w:tc>
          <w:tcPr>
            <w:tcW w:w="889" w:type="dxa"/>
            <w:noWrap/>
            <w:hideMark/>
          </w:tcPr>
          <w:p w14:paraId="6CACE10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2,450 </w:t>
            </w:r>
          </w:p>
        </w:tc>
        <w:tc>
          <w:tcPr>
            <w:tcW w:w="889" w:type="dxa"/>
            <w:noWrap/>
            <w:hideMark/>
          </w:tcPr>
          <w:p w14:paraId="3F40AC4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3,052 </w:t>
            </w:r>
          </w:p>
        </w:tc>
        <w:tc>
          <w:tcPr>
            <w:tcW w:w="889" w:type="dxa"/>
            <w:noWrap/>
            <w:hideMark/>
          </w:tcPr>
          <w:p w14:paraId="2F1DA2D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2,486 </w:t>
            </w:r>
          </w:p>
        </w:tc>
        <w:tc>
          <w:tcPr>
            <w:tcW w:w="916" w:type="dxa"/>
            <w:noWrap/>
            <w:hideMark/>
          </w:tcPr>
          <w:p w14:paraId="1EFDE34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508 </w:t>
            </w:r>
          </w:p>
        </w:tc>
      </w:tr>
      <w:tr w:rsidR="00E15A16" w:rsidRPr="00711126" w14:paraId="60138FA1"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A1CE0F7"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Spain</w:t>
            </w:r>
          </w:p>
        </w:tc>
        <w:tc>
          <w:tcPr>
            <w:tcW w:w="889" w:type="dxa"/>
            <w:noWrap/>
            <w:hideMark/>
          </w:tcPr>
          <w:p w14:paraId="60EF14A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916" w:type="dxa"/>
            <w:noWrap/>
            <w:hideMark/>
          </w:tcPr>
          <w:p w14:paraId="4EF8625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419 </w:t>
            </w:r>
          </w:p>
        </w:tc>
        <w:tc>
          <w:tcPr>
            <w:tcW w:w="889" w:type="dxa"/>
            <w:noWrap/>
            <w:hideMark/>
          </w:tcPr>
          <w:p w14:paraId="29E0D63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504 </w:t>
            </w:r>
          </w:p>
        </w:tc>
        <w:tc>
          <w:tcPr>
            <w:tcW w:w="889" w:type="dxa"/>
            <w:noWrap/>
            <w:hideMark/>
          </w:tcPr>
          <w:p w14:paraId="318670B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608 </w:t>
            </w:r>
          </w:p>
        </w:tc>
        <w:tc>
          <w:tcPr>
            <w:tcW w:w="889" w:type="dxa"/>
            <w:noWrap/>
            <w:hideMark/>
          </w:tcPr>
          <w:p w14:paraId="0D9FF96D"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1,630 </w:t>
            </w:r>
          </w:p>
        </w:tc>
        <w:tc>
          <w:tcPr>
            <w:tcW w:w="889" w:type="dxa"/>
            <w:noWrap/>
            <w:hideMark/>
          </w:tcPr>
          <w:p w14:paraId="4D307A40"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2,286 </w:t>
            </w:r>
          </w:p>
        </w:tc>
        <w:tc>
          <w:tcPr>
            <w:tcW w:w="889" w:type="dxa"/>
            <w:noWrap/>
            <w:hideMark/>
          </w:tcPr>
          <w:p w14:paraId="57CED72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2,450 </w:t>
            </w:r>
          </w:p>
        </w:tc>
        <w:tc>
          <w:tcPr>
            <w:tcW w:w="916" w:type="dxa"/>
            <w:noWrap/>
            <w:hideMark/>
          </w:tcPr>
          <w:p w14:paraId="3521785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406 </w:t>
            </w:r>
          </w:p>
        </w:tc>
      </w:tr>
      <w:tr w:rsidR="00E15A16" w:rsidRPr="00711126" w14:paraId="0668AF3D"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979F963"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Sweden</w:t>
            </w:r>
          </w:p>
        </w:tc>
        <w:tc>
          <w:tcPr>
            <w:tcW w:w="889" w:type="dxa"/>
            <w:noWrap/>
            <w:hideMark/>
          </w:tcPr>
          <w:p w14:paraId="07614C5F"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5,464 </w:t>
            </w:r>
          </w:p>
        </w:tc>
        <w:tc>
          <w:tcPr>
            <w:tcW w:w="916" w:type="dxa"/>
            <w:noWrap/>
            <w:hideMark/>
          </w:tcPr>
          <w:p w14:paraId="3ABB803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4,995 </w:t>
            </w:r>
          </w:p>
        </w:tc>
        <w:tc>
          <w:tcPr>
            <w:tcW w:w="889" w:type="dxa"/>
            <w:noWrap/>
            <w:hideMark/>
          </w:tcPr>
          <w:p w14:paraId="4632EEE3"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4,628 </w:t>
            </w:r>
          </w:p>
        </w:tc>
        <w:tc>
          <w:tcPr>
            <w:tcW w:w="889" w:type="dxa"/>
            <w:noWrap/>
            <w:hideMark/>
          </w:tcPr>
          <w:p w14:paraId="2B034EB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3,889 </w:t>
            </w:r>
          </w:p>
        </w:tc>
        <w:tc>
          <w:tcPr>
            <w:tcW w:w="889" w:type="dxa"/>
            <w:noWrap/>
            <w:hideMark/>
          </w:tcPr>
          <w:p w14:paraId="38EE6FB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3,332 </w:t>
            </w:r>
          </w:p>
        </w:tc>
        <w:tc>
          <w:tcPr>
            <w:tcW w:w="889" w:type="dxa"/>
            <w:noWrap/>
            <w:hideMark/>
          </w:tcPr>
          <w:p w14:paraId="2E404E5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2,808 </w:t>
            </w:r>
          </w:p>
        </w:tc>
        <w:tc>
          <w:tcPr>
            <w:tcW w:w="889" w:type="dxa"/>
            <w:noWrap/>
            <w:hideMark/>
          </w:tcPr>
          <w:p w14:paraId="740951E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1,909 </w:t>
            </w:r>
          </w:p>
        </w:tc>
        <w:tc>
          <w:tcPr>
            <w:tcW w:w="916" w:type="dxa"/>
            <w:noWrap/>
            <w:hideMark/>
          </w:tcPr>
          <w:p w14:paraId="24986BB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113 </w:t>
            </w:r>
          </w:p>
        </w:tc>
      </w:tr>
      <w:tr w:rsidR="00E15A16" w:rsidRPr="00711126" w14:paraId="106CCB1F"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79175846"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Indonesia</w:t>
            </w:r>
          </w:p>
        </w:tc>
        <w:tc>
          <w:tcPr>
            <w:tcW w:w="889" w:type="dxa"/>
            <w:noWrap/>
            <w:hideMark/>
          </w:tcPr>
          <w:p w14:paraId="0FA2809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437 </w:t>
            </w:r>
          </w:p>
        </w:tc>
        <w:tc>
          <w:tcPr>
            <w:tcW w:w="916" w:type="dxa"/>
            <w:noWrap/>
            <w:hideMark/>
          </w:tcPr>
          <w:p w14:paraId="682B46B7"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288 </w:t>
            </w:r>
          </w:p>
        </w:tc>
        <w:tc>
          <w:tcPr>
            <w:tcW w:w="889" w:type="dxa"/>
            <w:noWrap/>
            <w:hideMark/>
          </w:tcPr>
          <w:p w14:paraId="5F44C6FA"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776 </w:t>
            </w:r>
          </w:p>
        </w:tc>
        <w:tc>
          <w:tcPr>
            <w:tcW w:w="889" w:type="dxa"/>
            <w:noWrap/>
            <w:hideMark/>
          </w:tcPr>
          <w:p w14:paraId="6C923F4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1,051 </w:t>
            </w:r>
          </w:p>
        </w:tc>
        <w:tc>
          <w:tcPr>
            <w:tcW w:w="889" w:type="dxa"/>
            <w:noWrap/>
            <w:hideMark/>
          </w:tcPr>
          <w:p w14:paraId="4191AA0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1,562 </w:t>
            </w:r>
          </w:p>
        </w:tc>
        <w:tc>
          <w:tcPr>
            <w:tcW w:w="889" w:type="dxa"/>
            <w:noWrap/>
            <w:hideMark/>
          </w:tcPr>
          <w:p w14:paraId="0C34D3D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1,585 </w:t>
            </w:r>
          </w:p>
        </w:tc>
        <w:tc>
          <w:tcPr>
            <w:tcW w:w="889" w:type="dxa"/>
            <w:noWrap/>
            <w:hideMark/>
          </w:tcPr>
          <w:p w14:paraId="61AFBE4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1,766 </w:t>
            </w:r>
          </w:p>
        </w:tc>
        <w:tc>
          <w:tcPr>
            <w:tcW w:w="916" w:type="dxa"/>
            <w:noWrap/>
            <w:hideMark/>
          </w:tcPr>
          <w:p w14:paraId="2E23046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601 </w:t>
            </w:r>
          </w:p>
        </w:tc>
      </w:tr>
      <w:tr w:rsidR="00E15A16" w:rsidRPr="00711126" w14:paraId="20744CF0"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38B926B9"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Belgium</w:t>
            </w:r>
          </w:p>
        </w:tc>
        <w:tc>
          <w:tcPr>
            <w:tcW w:w="889" w:type="dxa"/>
            <w:noWrap/>
            <w:hideMark/>
          </w:tcPr>
          <w:p w14:paraId="320F6578"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2,012 </w:t>
            </w:r>
          </w:p>
        </w:tc>
        <w:tc>
          <w:tcPr>
            <w:tcW w:w="916" w:type="dxa"/>
            <w:noWrap/>
            <w:hideMark/>
          </w:tcPr>
          <w:p w14:paraId="13B47367"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2,188 </w:t>
            </w:r>
          </w:p>
        </w:tc>
        <w:tc>
          <w:tcPr>
            <w:tcW w:w="889" w:type="dxa"/>
            <w:noWrap/>
            <w:hideMark/>
          </w:tcPr>
          <w:p w14:paraId="0CBC02D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2,260 </w:t>
            </w:r>
          </w:p>
        </w:tc>
        <w:tc>
          <w:tcPr>
            <w:tcW w:w="889" w:type="dxa"/>
            <w:noWrap/>
            <w:hideMark/>
          </w:tcPr>
          <w:p w14:paraId="23C5FCCD"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2,470 </w:t>
            </w:r>
          </w:p>
        </w:tc>
        <w:tc>
          <w:tcPr>
            <w:tcW w:w="889" w:type="dxa"/>
            <w:noWrap/>
            <w:hideMark/>
          </w:tcPr>
          <w:p w14:paraId="7D800043"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2,456 </w:t>
            </w:r>
          </w:p>
        </w:tc>
        <w:tc>
          <w:tcPr>
            <w:tcW w:w="889" w:type="dxa"/>
            <w:noWrap/>
            <w:hideMark/>
          </w:tcPr>
          <w:p w14:paraId="32970898"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2,536 </w:t>
            </w:r>
          </w:p>
        </w:tc>
        <w:tc>
          <w:tcPr>
            <w:tcW w:w="889" w:type="dxa"/>
            <w:noWrap/>
            <w:hideMark/>
          </w:tcPr>
          <w:p w14:paraId="67318B9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1,676 </w:t>
            </w:r>
          </w:p>
        </w:tc>
        <w:tc>
          <w:tcPr>
            <w:tcW w:w="916" w:type="dxa"/>
            <w:noWrap/>
            <w:hideMark/>
          </w:tcPr>
          <w:p w14:paraId="72C591B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199 </w:t>
            </w:r>
          </w:p>
        </w:tc>
      </w:tr>
      <w:tr w:rsidR="00E15A16" w:rsidRPr="00711126" w14:paraId="1A988D4B"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28B847DD"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Hong Kong</w:t>
            </w:r>
          </w:p>
        </w:tc>
        <w:tc>
          <w:tcPr>
            <w:tcW w:w="889" w:type="dxa"/>
            <w:noWrap/>
            <w:hideMark/>
          </w:tcPr>
          <w:p w14:paraId="40A9B75C"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11,667 </w:t>
            </w:r>
          </w:p>
        </w:tc>
        <w:tc>
          <w:tcPr>
            <w:tcW w:w="916" w:type="dxa"/>
            <w:noWrap/>
            <w:hideMark/>
          </w:tcPr>
          <w:p w14:paraId="49EC289A"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9,720 </w:t>
            </w:r>
          </w:p>
        </w:tc>
        <w:tc>
          <w:tcPr>
            <w:tcW w:w="889" w:type="dxa"/>
            <w:noWrap/>
            <w:hideMark/>
          </w:tcPr>
          <w:p w14:paraId="03DE702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6,309 </w:t>
            </w:r>
          </w:p>
        </w:tc>
        <w:tc>
          <w:tcPr>
            <w:tcW w:w="889" w:type="dxa"/>
            <w:noWrap/>
            <w:hideMark/>
          </w:tcPr>
          <w:p w14:paraId="0781DB6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4,201 </w:t>
            </w:r>
          </w:p>
        </w:tc>
        <w:tc>
          <w:tcPr>
            <w:tcW w:w="889" w:type="dxa"/>
            <w:noWrap/>
            <w:hideMark/>
          </w:tcPr>
          <w:p w14:paraId="1BCA66E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2,617 </w:t>
            </w:r>
          </w:p>
        </w:tc>
        <w:tc>
          <w:tcPr>
            <w:tcW w:w="889" w:type="dxa"/>
            <w:noWrap/>
            <w:hideMark/>
          </w:tcPr>
          <w:p w14:paraId="3EDA115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2,167 </w:t>
            </w:r>
          </w:p>
        </w:tc>
        <w:tc>
          <w:tcPr>
            <w:tcW w:w="889" w:type="dxa"/>
            <w:noWrap/>
            <w:hideMark/>
          </w:tcPr>
          <w:p w14:paraId="4ED73E1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1,522 </w:t>
            </w:r>
          </w:p>
        </w:tc>
        <w:tc>
          <w:tcPr>
            <w:tcW w:w="916" w:type="dxa"/>
            <w:noWrap/>
            <w:hideMark/>
          </w:tcPr>
          <w:p w14:paraId="3277021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249 </w:t>
            </w:r>
          </w:p>
        </w:tc>
      </w:tr>
      <w:tr w:rsidR="00E15A16" w:rsidRPr="00711126" w14:paraId="1533296C"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97134A9"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Estonia</w:t>
            </w:r>
          </w:p>
        </w:tc>
        <w:tc>
          <w:tcPr>
            <w:tcW w:w="889" w:type="dxa"/>
            <w:noWrap/>
            <w:hideMark/>
          </w:tcPr>
          <w:p w14:paraId="36FE1D00"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2,206 </w:t>
            </w:r>
          </w:p>
        </w:tc>
        <w:tc>
          <w:tcPr>
            <w:tcW w:w="916" w:type="dxa"/>
            <w:noWrap/>
            <w:hideMark/>
          </w:tcPr>
          <w:p w14:paraId="4DAB482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1,736 </w:t>
            </w:r>
          </w:p>
        </w:tc>
        <w:tc>
          <w:tcPr>
            <w:tcW w:w="889" w:type="dxa"/>
            <w:noWrap/>
            <w:hideMark/>
          </w:tcPr>
          <w:p w14:paraId="3EFC51D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1,569 </w:t>
            </w:r>
          </w:p>
        </w:tc>
        <w:tc>
          <w:tcPr>
            <w:tcW w:w="889" w:type="dxa"/>
            <w:noWrap/>
            <w:hideMark/>
          </w:tcPr>
          <w:p w14:paraId="70DBA19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1,640 </w:t>
            </w:r>
          </w:p>
        </w:tc>
        <w:tc>
          <w:tcPr>
            <w:tcW w:w="889" w:type="dxa"/>
            <w:noWrap/>
            <w:hideMark/>
          </w:tcPr>
          <w:p w14:paraId="34D3999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1,833 </w:t>
            </w:r>
          </w:p>
        </w:tc>
        <w:tc>
          <w:tcPr>
            <w:tcW w:w="889" w:type="dxa"/>
            <w:noWrap/>
            <w:hideMark/>
          </w:tcPr>
          <w:p w14:paraId="34B901DD"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1,689 </w:t>
            </w:r>
          </w:p>
        </w:tc>
        <w:tc>
          <w:tcPr>
            <w:tcW w:w="889" w:type="dxa"/>
            <w:noWrap/>
            <w:hideMark/>
          </w:tcPr>
          <w:p w14:paraId="38894F5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1,207 </w:t>
            </w:r>
          </w:p>
        </w:tc>
        <w:tc>
          <w:tcPr>
            <w:tcW w:w="916" w:type="dxa"/>
            <w:noWrap/>
            <w:hideMark/>
          </w:tcPr>
          <w:p w14:paraId="06B6284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308 </w:t>
            </w:r>
          </w:p>
        </w:tc>
      </w:tr>
      <w:tr w:rsidR="00E15A16" w:rsidRPr="00711126" w14:paraId="17A9EF11"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6C8C59C"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Israel</w:t>
            </w:r>
          </w:p>
        </w:tc>
        <w:tc>
          <w:tcPr>
            <w:tcW w:w="889" w:type="dxa"/>
            <w:noWrap/>
            <w:hideMark/>
          </w:tcPr>
          <w:p w14:paraId="3F51E66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916" w:type="dxa"/>
            <w:noWrap/>
            <w:hideMark/>
          </w:tcPr>
          <w:p w14:paraId="440123D5"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889" w:type="dxa"/>
            <w:noWrap/>
            <w:hideMark/>
          </w:tcPr>
          <w:p w14:paraId="7AC88C79"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401 </w:t>
            </w:r>
          </w:p>
        </w:tc>
        <w:tc>
          <w:tcPr>
            <w:tcW w:w="889" w:type="dxa"/>
            <w:noWrap/>
            <w:hideMark/>
          </w:tcPr>
          <w:p w14:paraId="7AC205F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 </w:t>
            </w:r>
          </w:p>
        </w:tc>
        <w:tc>
          <w:tcPr>
            <w:tcW w:w="889" w:type="dxa"/>
            <w:noWrap/>
            <w:hideMark/>
          </w:tcPr>
          <w:p w14:paraId="006B2F3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568 </w:t>
            </w:r>
          </w:p>
        </w:tc>
        <w:tc>
          <w:tcPr>
            <w:tcW w:w="889" w:type="dxa"/>
            <w:noWrap/>
            <w:hideMark/>
          </w:tcPr>
          <w:p w14:paraId="2AFE44A4"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1,047 </w:t>
            </w:r>
          </w:p>
        </w:tc>
        <w:tc>
          <w:tcPr>
            <w:tcW w:w="889" w:type="dxa"/>
            <w:noWrap/>
            <w:hideMark/>
          </w:tcPr>
          <w:p w14:paraId="779C1940"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1,159 </w:t>
            </w:r>
          </w:p>
        </w:tc>
        <w:tc>
          <w:tcPr>
            <w:tcW w:w="916" w:type="dxa"/>
            <w:noWrap/>
            <w:hideMark/>
          </w:tcPr>
          <w:p w14:paraId="3A819124"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86 </w:t>
            </w:r>
          </w:p>
        </w:tc>
      </w:tr>
      <w:tr w:rsidR="00E15A16" w:rsidRPr="00711126" w14:paraId="2649667B"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D45229C"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Denmark</w:t>
            </w:r>
          </w:p>
        </w:tc>
        <w:tc>
          <w:tcPr>
            <w:tcW w:w="889" w:type="dxa"/>
            <w:noWrap/>
            <w:hideMark/>
          </w:tcPr>
          <w:p w14:paraId="104DA6CC"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1,672 </w:t>
            </w:r>
          </w:p>
        </w:tc>
        <w:tc>
          <w:tcPr>
            <w:tcW w:w="916" w:type="dxa"/>
            <w:noWrap/>
            <w:hideMark/>
          </w:tcPr>
          <w:p w14:paraId="0E0497C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1,576 </w:t>
            </w:r>
          </w:p>
        </w:tc>
        <w:tc>
          <w:tcPr>
            <w:tcW w:w="889" w:type="dxa"/>
            <w:noWrap/>
            <w:hideMark/>
          </w:tcPr>
          <w:p w14:paraId="613FABEC"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1,664 </w:t>
            </w:r>
          </w:p>
        </w:tc>
        <w:tc>
          <w:tcPr>
            <w:tcW w:w="889" w:type="dxa"/>
            <w:noWrap/>
            <w:hideMark/>
          </w:tcPr>
          <w:p w14:paraId="62B35586"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1,609 </w:t>
            </w:r>
          </w:p>
        </w:tc>
        <w:tc>
          <w:tcPr>
            <w:tcW w:w="889" w:type="dxa"/>
            <w:noWrap/>
            <w:hideMark/>
          </w:tcPr>
          <w:p w14:paraId="14E4D8E3"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1,518 </w:t>
            </w:r>
          </w:p>
        </w:tc>
        <w:tc>
          <w:tcPr>
            <w:tcW w:w="889" w:type="dxa"/>
            <w:noWrap/>
            <w:hideMark/>
          </w:tcPr>
          <w:p w14:paraId="2A6142D3"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1,410 </w:t>
            </w:r>
          </w:p>
        </w:tc>
        <w:tc>
          <w:tcPr>
            <w:tcW w:w="889" w:type="dxa"/>
            <w:noWrap/>
            <w:hideMark/>
          </w:tcPr>
          <w:p w14:paraId="704D61A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1,015 </w:t>
            </w:r>
          </w:p>
        </w:tc>
        <w:tc>
          <w:tcPr>
            <w:tcW w:w="916" w:type="dxa"/>
            <w:noWrap/>
            <w:hideMark/>
          </w:tcPr>
          <w:p w14:paraId="63A75A8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44 </w:t>
            </w:r>
          </w:p>
        </w:tc>
      </w:tr>
      <w:tr w:rsidR="00E15A16" w:rsidRPr="00711126" w14:paraId="68D972EC"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68ED4A4F"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Vietnam</w:t>
            </w:r>
          </w:p>
        </w:tc>
        <w:tc>
          <w:tcPr>
            <w:tcW w:w="889" w:type="dxa"/>
            <w:noWrap/>
            <w:hideMark/>
          </w:tcPr>
          <w:p w14:paraId="7248996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916" w:type="dxa"/>
            <w:noWrap/>
            <w:hideMark/>
          </w:tcPr>
          <w:p w14:paraId="6632FDE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889" w:type="dxa"/>
            <w:noWrap/>
            <w:hideMark/>
          </w:tcPr>
          <w:p w14:paraId="4D438B5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889" w:type="dxa"/>
            <w:noWrap/>
            <w:hideMark/>
          </w:tcPr>
          <w:p w14:paraId="33447AB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126 </w:t>
            </w:r>
          </w:p>
        </w:tc>
        <w:tc>
          <w:tcPr>
            <w:tcW w:w="889" w:type="dxa"/>
            <w:noWrap/>
            <w:hideMark/>
          </w:tcPr>
          <w:p w14:paraId="6523B117"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233 </w:t>
            </w:r>
          </w:p>
        </w:tc>
        <w:tc>
          <w:tcPr>
            <w:tcW w:w="889" w:type="dxa"/>
            <w:noWrap/>
            <w:hideMark/>
          </w:tcPr>
          <w:p w14:paraId="254DA290"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343 </w:t>
            </w:r>
          </w:p>
        </w:tc>
        <w:tc>
          <w:tcPr>
            <w:tcW w:w="889" w:type="dxa"/>
            <w:noWrap/>
            <w:hideMark/>
          </w:tcPr>
          <w:p w14:paraId="2E6234AC"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922 </w:t>
            </w:r>
          </w:p>
        </w:tc>
        <w:tc>
          <w:tcPr>
            <w:tcW w:w="916" w:type="dxa"/>
            <w:noWrap/>
            <w:hideMark/>
          </w:tcPr>
          <w:p w14:paraId="088B737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203 </w:t>
            </w:r>
          </w:p>
        </w:tc>
      </w:tr>
      <w:tr w:rsidR="00E15A16" w:rsidRPr="00711126" w14:paraId="3D735F24"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791AA7A4"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Finland</w:t>
            </w:r>
          </w:p>
        </w:tc>
        <w:tc>
          <w:tcPr>
            <w:tcW w:w="889" w:type="dxa"/>
            <w:noWrap/>
            <w:hideMark/>
          </w:tcPr>
          <w:p w14:paraId="0E9E2B9A"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1,510 </w:t>
            </w:r>
          </w:p>
        </w:tc>
        <w:tc>
          <w:tcPr>
            <w:tcW w:w="916" w:type="dxa"/>
            <w:noWrap/>
            <w:hideMark/>
          </w:tcPr>
          <w:p w14:paraId="64FB7182"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1,624 </w:t>
            </w:r>
          </w:p>
        </w:tc>
        <w:tc>
          <w:tcPr>
            <w:tcW w:w="889" w:type="dxa"/>
            <w:noWrap/>
            <w:hideMark/>
          </w:tcPr>
          <w:p w14:paraId="1D3E7BC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1,535 </w:t>
            </w:r>
          </w:p>
        </w:tc>
        <w:tc>
          <w:tcPr>
            <w:tcW w:w="889" w:type="dxa"/>
            <w:noWrap/>
            <w:hideMark/>
          </w:tcPr>
          <w:p w14:paraId="011EEB7E"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1,549 </w:t>
            </w:r>
          </w:p>
        </w:tc>
        <w:tc>
          <w:tcPr>
            <w:tcW w:w="889" w:type="dxa"/>
            <w:noWrap/>
            <w:hideMark/>
          </w:tcPr>
          <w:p w14:paraId="1A3CF9B9"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1,402 </w:t>
            </w:r>
          </w:p>
        </w:tc>
        <w:tc>
          <w:tcPr>
            <w:tcW w:w="889" w:type="dxa"/>
            <w:noWrap/>
            <w:hideMark/>
          </w:tcPr>
          <w:p w14:paraId="3044E37C"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1,190 </w:t>
            </w:r>
          </w:p>
        </w:tc>
        <w:tc>
          <w:tcPr>
            <w:tcW w:w="889" w:type="dxa"/>
            <w:noWrap/>
            <w:hideMark/>
          </w:tcPr>
          <w:p w14:paraId="5DD7D0A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771 </w:t>
            </w:r>
          </w:p>
        </w:tc>
        <w:tc>
          <w:tcPr>
            <w:tcW w:w="916" w:type="dxa"/>
            <w:noWrap/>
            <w:hideMark/>
          </w:tcPr>
          <w:p w14:paraId="3B6C1BCD"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56 </w:t>
            </w:r>
          </w:p>
        </w:tc>
      </w:tr>
      <w:tr w:rsidR="00E15A16" w:rsidRPr="00711126" w14:paraId="181BAF80"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0E15AF7D"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Thailand</w:t>
            </w:r>
          </w:p>
        </w:tc>
        <w:tc>
          <w:tcPr>
            <w:tcW w:w="889" w:type="dxa"/>
            <w:noWrap/>
            <w:hideMark/>
          </w:tcPr>
          <w:p w14:paraId="70FA05D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471 </w:t>
            </w:r>
          </w:p>
        </w:tc>
        <w:tc>
          <w:tcPr>
            <w:tcW w:w="916" w:type="dxa"/>
            <w:noWrap/>
            <w:hideMark/>
          </w:tcPr>
          <w:p w14:paraId="42BF8C4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466 </w:t>
            </w:r>
          </w:p>
        </w:tc>
        <w:tc>
          <w:tcPr>
            <w:tcW w:w="889" w:type="dxa"/>
            <w:noWrap/>
            <w:hideMark/>
          </w:tcPr>
          <w:p w14:paraId="49758B62"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 </w:t>
            </w:r>
          </w:p>
        </w:tc>
        <w:tc>
          <w:tcPr>
            <w:tcW w:w="889" w:type="dxa"/>
            <w:noWrap/>
            <w:hideMark/>
          </w:tcPr>
          <w:p w14:paraId="3D7117A7"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454 </w:t>
            </w:r>
          </w:p>
        </w:tc>
        <w:tc>
          <w:tcPr>
            <w:tcW w:w="889" w:type="dxa"/>
            <w:noWrap/>
            <w:hideMark/>
          </w:tcPr>
          <w:p w14:paraId="36A52E7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593 </w:t>
            </w:r>
          </w:p>
        </w:tc>
        <w:tc>
          <w:tcPr>
            <w:tcW w:w="889" w:type="dxa"/>
            <w:noWrap/>
            <w:hideMark/>
          </w:tcPr>
          <w:p w14:paraId="79F4926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679 </w:t>
            </w:r>
          </w:p>
        </w:tc>
        <w:tc>
          <w:tcPr>
            <w:tcW w:w="889" w:type="dxa"/>
            <w:noWrap/>
            <w:hideMark/>
          </w:tcPr>
          <w:p w14:paraId="36A146F8"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745 </w:t>
            </w:r>
          </w:p>
        </w:tc>
        <w:tc>
          <w:tcPr>
            <w:tcW w:w="916" w:type="dxa"/>
            <w:noWrap/>
            <w:hideMark/>
          </w:tcPr>
          <w:p w14:paraId="642C71EE"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148 </w:t>
            </w:r>
          </w:p>
        </w:tc>
      </w:tr>
      <w:tr w:rsidR="00E15A16" w:rsidRPr="00711126" w14:paraId="7170D7A2" w14:textId="77777777" w:rsidTr="00C16798">
        <w:trPr>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79287486"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Portugal</w:t>
            </w:r>
          </w:p>
        </w:tc>
        <w:tc>
          <w:tcPr>
            <w:tcW w:w="889" w:type="dxa"/>
            <w:noWrap/>
            <w:hideMark/>
          </w:tcPr>
          <w:p w14:paraId="200B2D45"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916" w:type="dxa"/>
            <w:noWrap/>
            <w:hideMark/>
          </w:tcPr>
          <w:p w14:paraId="67D47BD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82 </w:t>
            </w:r>
          </w:p>
        </w:tc>
        <w:tc>
          <w:tcPr>
            <w:tcW w:w="889" w:type="dxa"/>
            <w:noWrap/>
            <w:hideMark/>
          </w:tcPr>
          <w:p w14:paraId="5D9EF34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200 </w:t>
            </w:r>
          </w:p>
        </w:tc>
        <w:tc>
          <w:tcPr>
            <w:tcW w:w="889" w:type="dxa"/>
            <w:noWrap/>
            <w:hideMark/>
          </w:tcPr>
          <w:p w14:paraId="35E75896"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207 </w:t>
            </w:r>
          </w:p>
        </w:tc>
        <w:tc>
          <w:tcPr>
            <w:tcW w:w="889" w:type="dxa"/>
            <w:noWrap/>
            <w:hideMark/>
          </w:tcPr>
          <w:p w14:paraId="073E470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225 </w:t>
            </w:r>
          </w:p>
        </w:tc>
        <w:tc>
          <w:tcPr>
            <w:tcW w:w="889" w:type="dxa"/>
            <w:noWrap/>
            <w:hideMark/>
          </w:tcPr>
          <w:p w14:paraId="7B3713BB"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246 </w:t>
            </w:r>
          </w:p>
        </w:tc>
        <w:tc>
          <w:tcPr>
            <w:tcW w:w="889" w:type="dxa"/>
            <w:noWrap/>
            <w:hideMark/>
          </w:tcPr>
          <w:p w14:paraId="0AFCDE61"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500 </w:t>
            </w:r>
          </w:p>
        </w:tc>
        <w:tc>
          <w:tcPr>
            <w:tcW w:w="916" w:type="dxa"/>
            <w:noWrap/>
            <w:hideMark/>
          </w:tcPr>
          <w:p w14:paraId="21EBE304" w14:textId="77777777" w:rsidR="00E15A16" w:rsidRPr="00711126" w:rsidRDefault="00E15A16" w:rsidP="00C16798">
            <w:pPr>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51 </w:t>
            </w:r>
          </w:p>
        </w:tc>
      </w:tr>
      <w:tr w:rsidR="00E15A16" w:rsidRPr="00711126" w14:paraId="434EC7BD" w14:textId="77777777" w:rsidTr="00C16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10D5120"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Other</w:t>
            </w:r>
          </w:p>
        </w:tc>
        <w:tc>
          <w:tcPr>
            <w:tcW w:w="889" w:type="dxa"/>
            <w:noWrap/>
            <w:hideMark/>
          </w:tcPr>
          <w:p w14:paraId="46EDE20F"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1,043 </w:t>
            </w:r>
          </w:p>
        </w:tc>
        <w:tc>
          <w:tcPr>
            <w:tcW w:w="916" w:type="dxa"/>
            <w:noWrap/>
            <w:hideMark/>
          </w:tcPr>
          <w:p w14:paraId="2F064473"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1,179 </w:t>
            </w:r>
          </w:p>
        </w:tc>
        <w:tc>
          <w:tcPr>
            <w:tcW w:w="889" w:type="dxa"/>
            <w:noWrap/>
            <w:hideMark/>
          </w:tcPr>
          <w:p w14:paraId="1E7CB1F1"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1,327 </w:t>
            </w:r>
          </w:p>
        </w:tc>
        <w:tc>
          <w:tcPr>
            <w:tcW w:w="889" w:type="dxa"/>
            <w:noWrap/>
            <w:hideMark/>
          </w:tcPr>
          <w:p w14:paraId="30C32CF0"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1,564 </w:t>
            </w:r>
          </w:p>
        </w:tc>
        <w:tc>
          <w:tcPr>
            <w:tcW w:w="889" w:type="dxa"/>
            <w:noWrap/>
            <w:hideMark/>
          </w:tcPr>
          <w:p w14:paraId="4A9FCA7B"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2,965 </w:t>
            </w:r>
          </w:p>
        </w:tc>
        <w:tc>
          <w:tcPr>
            <w:tcW w:w="889" w:type="dxa"/>
            <w:noWrap/>
            <w:hideMark/>
          </w:tcPr>
          <w:p w14:paraId="6F279B9C"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3,480 </w:t>
            </w:r>
          </w:p>
        </w:tc>
        <w:tc>
          <w:tcPr>
            <w:tcW w:w="889" w:type="dxa"/>
            <w:noWrap/>
            <w:hideMark/>
          </w:tcPr>
          <w:p w14:paraId="5D89A216"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3,645 </w:t>
            </w:r>
          </w:p>
        </w:tc>
        <w:tc>
          <w:tcPr>
            <w:tcW w:w="916" w:type="dxa"/>
            <w:noWrap/>
            <w:hideMark/>
          </w:tcPr>
          <w:p w14:paraId="041C0DEC" w14:textId="77777777" w:rsidR="00E15A16" w:rsidRPr="00711126" w:rsidRDefault="00E15A16" w:rsidP="00C16798">
            <w:pPr>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  544 </w:t>
            </w:r>
          </w:p>
        </w:tc>
      </w:tr>
      <w:tr w:rsidR="00E15A16" w:rsidRPr="00711126" w14:paraId="5D69F37C" w14:textId="77777777" w:rsidTr="00C1679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40516F8F" w14:textId="77777777" w:rsidR="00E15A16" w:rsidRPr="00711126" w:rsidRDefault="00E15A16" w:rsidP="00C16798">
            <w:pPr>
              <w:keepNext/>
              <w:keepLines/>
              <w:spacing w:before="0"/>
              <w:rPr>
                <w:rFonts w:ascii="Calibri" w:hAnsi="Calibri" w:cs="Calibri"/>
                <w:b w:val="0"/>
                <w:bCs w:val="0"/>
                <w:sz w:val="16"/>
                <w:szCs w:val="16"/>
              </w:rPr>
            </w:pPr>
            <w:r w:rsidRPr="00711126">
              <w:rPr>
                <w:rFonts w:ascii="Calibri" w:hAnsi="Calibri" w:cs="Calibri"/>
                <w:b w:val="0"/>
                <w:bCs w:val="0"/>
                <w:sz w:val="16"/>
                <w:szCs w:val="16"/>
              </w:rPr>
              <w:t>Total</w:t>
            </w:r>
          </w:p>
        </w:tc>
        <w:tc>
          <w:tcPr>
            <w:tcW w:w="889" w:type="dxa"/>
            <w:noWrap/>
            <w:hideMark/>
          </w:tcPr>
          <w:p w14:paraId="0F3188E2"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239,592 </w:t>
            </w:r>
          </w:p>
        </w:tc>
        <w:tc>
          <w:tcPr>
            <w:tcW w:w="916" w:type="dxa"/>
            <w:noWrap/>
            <w:hideMark/>
          </w:tcPr>
          <w:p w14:paraId="7A5D07F6"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226,812 </w:t>
            </w:r>
          </w:p>
        </w:tc>
        <w:tc>
          <w:tcPr>
            <w:tcW w:w="889" w:type="dxa"/>
            <w:noWrap/>
            <w:hideMark/>
          </w:tcPr>
          <w:p w14:paraId="5E075B9B"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214,583 </w:t>
            </w:r>
          </w:p>
        </w:tc>
        <w:tc>
          <w:tcPr>
            <w:tcW w:w="889" w:type="dxa"/>
            <w:noWrap/>
            <w:hideMark/>
          </w:tcPr>
          <w:p w14:paraId="5B52313C"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211,011 </w:t>
            </w:r>
          </w:p>
        </w:tc>
        <w:tc>
          <w:tcPr>
            <w:tcW w:w="889" w:type="dxa"/>
            <w:noWrap/>
            <w:hideMark/>
          </w:tcPr>
          <w:p w14:paraId="7B37A229"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210,456 </w:t>
            </w:r>
          </w:p>
        </w:tc>
        <w:tc>
          <w:tcPr>
            <w:tcW w:w="889" w:type="dxa"/>
            <w:noWrap/>
            <w:hideMark/>
          </w:tcPr>
          <w:p w14:paraId="2054F728"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209,036 </w:t>
            </w:r>
          </w:p>
        </w:tc>
        <w:tc>
          <w:tcPr>
            <w:tcW w:w="889" w:type="dxa"/>
            <w:noWrap/>
            <w:hideMark/>
          </w:tcPr>
          <w:p w14:paraId="769A8189"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149,249 </w:t>
            </w:r>
          </w:p>
        </w:tc>
        <w:tc>
          <w:tcPr>
            <w:tcW w:w="916" w:type="dxa"/>
            <w:noWrap/>
            <w:hideMark/>
          </w:tcPr>
          <w:p w14:paraId="206853F7" w14:textId="77777777" w:rsidR="00E15A16" w:rsidRPr="00711126" w:rsidRDefault="00E15A16" w:rsidP="00C16798">
            <w:pPr>
              <w:keepNext/>
              <w:keepLines/>
              <w:spacing w:before="0"/>
              <w:jc w:val="right"/>
              <w:cnfStyle w:val="010000000000" w:firstRow="0" w:lastRow="1" w:firstColumn="0" w:lastColumn="0" w:oddVBand="0" w:evenVBand="0" w:oddHBand="0" w:evenHBand="0" w:firstRowFirstColumn="0" w:firstRowLastColumn="0" w:lastRowFirstColumn="0" w:lastRowLastColumn="0"/>
              <w:rPr>
                <w:rFonts w:ascii="Calibri" w:hAnsi="Calibri" w:cs="Calibri"/>
                <w:sz w:val="16"/>
                <w:szCs w:val="16"/>
              </w:rPr>
            </w:pPr>
            <w:r w:rsidRPr="00711126">
              <w:rPr>
                <w:rFonts w:ascii="Calibri" w:hAnsi="Calibri" w:cs="Calibri"/>
                <w:sz w:val="16"/>
                <w:szCs w:val="16"/>
              </w:rPr>
              <w:t xml:space="preserve">20,939 </w:t>
            </w:r>
          </w:p>
        </w:tc>
      </w:tr>
    </w:tbl>
    <w:p w14:paraId="44AEC432" w14:textId="77777777" w:rsidR="00E15A16" w:rsidRPr="005547EF" w:rsidRDefault="00E15A16" w:rsidP="00E15A16">
      <w:pPr>
        <w:pStyle w:val="Tablenote"/>
      </w:pPr>
      <w:r w:rsidRPr="00711126">
        <w:t xml:space="preserve">Source: </w:t>
      </w:r>
      <w:r w:rsidRPr="00711126">
        <w:fldChar w:fldCharType="begin"/>
      </w:r>
      <w:r w:rsidRPr="00711126">
        <w:instrText xml:space="preserve"> ADDIN EN.CITE &lt;EndNote&gt;&lt;Cite AuthorYear="1"&gt;&lt;Author&gt;Department of Home Affairs&lt;/Author&gt;&lt;Year&gt;2021&lt;/Year&gt;&lt;RecNum&gt;31&lt;/RecNum&gt;&lt;DisplayText&gt;Department of Home Affairs (2021)&lt;/DisplayText&gt;&lt;record&gt;&lt;rec-number&gt;31&lt;/rec-number&gt;&lt;foreign-keys&gt;&lt;key app="EN" db-id="r5sv9zwer2dw2pexz935edzbrpsweevtw5ed" timestamp="1616476684"&gt;31&lt;/key&gt;&lt;/foreign-keys&gt;&lt;ref-type name="Report"&gt;27&lt;/ref-type&gt;&lt;contributors&gt;&lt;authors&gt;&lt;author&gt;Department of Home Affairs,&lt;/author&gt;&lt;/authors&gt;&lt;/contributors&gt;&lt;titles&gt;&lt;title&gt;BP0017 Working Holiday Maker visas granted pivot table 2020-21 to 31 December 2020 - comparison with previous years&lt;/title&gt;&lt;/titles&gt;&lt;dates&gt;&lt;year&gt;2021&lt;/year&gt;&lt;/dates&gt;&lt;pub-location&gt;Canberra&lt;/pub-location&gt;&lt;urls&gt;&lt;related-urls&gt;&lt;url&gt;data.gov.au&lt;/url&gt;&lt;/related-urls&gt;&lt;/urls&gt;&lt;/record&gt;&lt;/Cite&gt;&lt;/EndNote&gt;</w:instrText>
      </w:r>
      <w:r w:rsidRPr="00711126">
        <w:fldChar w:fldCharType="separate"/>
      </w:r>
      <w:r w:rsidRPr="00711126">
        <w:t>Department of Home Affairs (2021)</w:t>
      </w:r>
      <w:r w:rsidRPr="00711126">
        <w:fldChar w:fldCharType="end"/>
      </w:r>
    </w:p>
    <w:p w14:paraId="4F451255" w14:textId="3970B074" w:rsidR="00E15A16" w:rsidRPr="00355C22" w:rsidRDefault="00BA0FFF" w:rsidP="00E15A16">
      <w:pPr>
        <w:pStyle w:val="Heading2"/>
      </w:pPr>
      <w:bookmarkStart w:id="27" w:name="_Ref75788787"/>
      <w:bookmarkStart w:id="28" w:name="_Toc75878445"/>
      <w:r>
        <w:t>I</w:t>
      </w:r>
      <w:r w:rsidR="00E15A16">
        <w:t>mpact of COVID-19</w:t>
      </w:r>
      <w:bookmarkEnd w:id="22"/>
      <w:r w:rsidR="00E15A16">
        <w:t xml:space="preserve"> on </w:t>
      </w:r>
      <w:r w:rsidR="00944454">
        <w:t>WHM</w:t>
      </w:r>
      <w:r w:rsidR="00E15A16">
        <w:t xml:space="preserve"> movements into and out of Australia</w:t>
      </w:r>
      <w:bookmarkEnd w:id="27"/>
      <w:bookmarkEnd w:id="28"/>
    </w:p>
    <w:p w14:paraId="27DD2404" w14:textId="77777777" w:rsidR="00E15A16" w:rsidRDefault="00E15A16" w:rsidP="00E15A16">
      <w:r w:rsidRPr="00355C22">
        <w:t>On 11</w:t>
      </w:r>
      <w:r>
        <w:t xml:space="preserve"> March 2020, the World Health Organisation (WHO) declared a pandemic in response to the coronavirus disease (COVID-19).</w:t>
      </w:r>
      <w:r>
        <w:rPr>
          <w:rStyle w:val="FootnoteReference"/>
        </w:rPr>
        <w:footnoteReference w:id="5"/>
      </w:r>
      <w:r>
        <w:t xml:space="preserve"> This followed a range of public health information, alerts and advice leading from the identification of cases of viral pneumonia of an unknown cause in Wuhan, China in late 2019.</w:t>
      </w:r>
    </w:p>
    <w:p w14:paraId="58FD4888" w14:textId="7E49023E" w:rsidR="00E15A16" w:rsidRDefault="00E15A16" w:rsidP="00E15A16">
      <w:r>
        <w:t>A few days later on 18 March 2020, the advice level for Australians was raised for all destinations to ‘Do not travel’, and from 25 March in order to reduce the risk of returning travellers spreading the virus, Australian citizens and permanent residents were banned from leaving the country.</w:t>
      </w:r>
      <w:r>
        <w:rPr>
          <w:rStyle w:val="FootnoteReference"/>
        </w:rPr>
        <w:footnoteReference w:id="6"/>
      </w:r>
      <w:r>
        <w:t xml:space="preserve"> This coincided with Australia closing its borders to foreign travellers. Australia commenced its nation-wide lock down from 23 March 2020. From 29 March Australians were asked to stay home for all but essential activities.</w:t>
      </w:r>
    </w:p>
    <w:p w14:paraId="07D4681F" w14:textId="247C9E9C" w:rsidR="00E15A16" w:rsidRDefault="00E15A16" w:rsidP="0011408D">
      <w:r>
        <w:t xml:space="preserve">In April 2020 the Australian Government strongly advised all temporary visa holders who lost their jobs due to COVID-19 and </w:t>
      </w:r>
      <w:r w:rsidR="00C370F7">
        <w:t xml:space="preserve">who </w:t>
      </w:r>
      <w:r>
        <w:t xml:space="preserve">were unable to support themselves while in Australia to return home as quickly as possible </w:t>
      </w:r>
      <w:r>
        <w:fldChar w:fldCharType="begin"/>
      </w:r>
      <w:r>
        <w:instrText xml:space="preserve"> ADDIN EN.CITE &lt;EndNote&gt;&lt;Cite&gt;&lt;Author&gt;The Hon David Coleman MP&lt;/Author&gt;&lt;Year&gt;2020&lt;/Year&gt;&lt;RecNum&gt;37&lt;/RecNum&gt;&lt;DisplayText&gt;(The Hon David Coleman MP, 2020)&lt;/DisplayText&gt;&lt;record&gt;&lt;rec-number&gt;37&lt;/rec-number&gt;&lt;foreign-keys&gt;&lt;key app="EN" db-id="r5sv9zwer2dw2pexz935edzbrpsweevtw5ed" timestamp="1624404872"&gt;37&lt;/key&gt;&lt;/foreign-keys&gt;&lt;ref-type name="Press Release"&gt;63&lt;/ref-type&gt;&lt;contributors&gt;&lt;authors&gt;&lt;author&gt;The Hon David Coleman MP,&lt;/author&gt;&lt;/authors&gt;&lt;/contributors&gt;&lt;titles&gt;&lt;title&gt;Coronavirus and Temporary Visa holders &lt;/title&gt;&lt;/titles&gt;&lt;dates&gt;&lt;year&gt;2020&lt;/year&gt;&lt;pub-dates&gt;&lt;date&gt;4 April 2020&lt;/date&gt;&lt;/pub-dates&gt;&lt;/dates&gt;&lt;publisher&gt;Parliament of Australia, Australian Government&lt;/publisher&gt;&lt;urls&gt;&lt;related-urls&gt;&lt;url&gt;https://minister.homeaffairs.gov.au/davidcoleman/pages/coronavirus-and-temporary-visa-holders.aspx&lt;/url&gt;&lt;/related-urls&gt;&lt;/urls&gt;&lt;/record&gt;&lt;/Cite&gt;&lt;/EndNote&gt;</w:instrText>
      </w:r>
      <w:r>
        <w:fldChar w:fldCharType="separate"/>
      </w:r>
      <w:r>
        <w:rPr>
          <w:noProof/>
        </w:rPr>
        <w:t>(The Hon David Coleman MP, 2020)</w:t>
      </w:r>
      <w:r>
        <w:fldChar w:fldCharType="end"/>
      </w:r>
      <w:r>
        <w:t xml:space="preserve">. </w:t>
      </w:r>
      <w:r w:rsidR="000E587C">
        <w:t xml:space="preserve">The subsequent </w:t>
      </w:r>
      <w:r w:rsidR="00816AFB">
        <w:t xml:space="preserve">decline in </w:t>
      </w:r>
      <w:r w:rsidR="00F42327">
        <w:t xml:space="preserve">total </w:t>
      </w:r>
      <w:r w:rsidR="00816AFB">
        <w:t xml:space="preserve">number of WHMs </w:t>
      </w:r>
      <w:r w:rsidR="0011408D">
        <w:t xml:space="preserve">was in the order of 78%, down </w:t>
      </w:r>
      <w:r w:rsidR="00816AFB">
        <w:t xml:space="preserve">from </w:t>
      </w:r>
      <w:r w:rsidR="0011408D">
        <w:t xml:space="preserve">149,249 in </w:t>
      </w:r>
      <w:r w:rsidR="00816AFB">
        <w:t>2019-</w:t>
      </w:r>
      <w:r w:rsidR="00F76348">
        <w:t xml:space="preserve">20 to </w:t>
      </w:r>
      <w:r w:rsidR="0011408D">
        <w:t xml:space="preserve">33,027 </w:t>
      </w:r>
      <w:r w:rsidR="00BA4546">
        <w:t xml:space="preserve">in 2020-21 (up to </w:t>
      </w:r>
      <w:r w:rsidR="00F76348">
        <w:t>March 3</w:t>
      </w:r>
      <w:r w:rsidR="00BA4546">
        <w:t>1</w:t>
      </w:r>
      <w:r w:rsidR="00E41A86">
        <w:t xml:space="preserve">, 2021) </w:t>
      </w:r>
      <w:r w:rsidR="00E41A86">
        <w:fldChar w:fldCharType="begin"/>
      </w:r>
      <w:r w:rsidR="003B4E45">
        <w:instrText xml:space="preserve"> ADDIN EN.CITE &lt;EndNote&gt;&lt;Cite&gt;&lt;Author&gt;Australian Government Department of Home Affairs&lt;/Author&gt;&lt;Year&gt;2021&lt;/Year&gt;&lt;RecNum&gt;34&lt;/RecNum&gt;&lt;DisplayText&gt;(Australian Government Department of Home Affairs, 2021b)&lt;/DisplayText&gt;&lt;record&gt;&lt;rec-number&gt;34&lt;/rec-number&gt;&lt;foreign-keys&gt;&lt;key app="EN" db-id="r5sv9zwer2dw2pexz935edzbrpsweevtw5ed" timestamp="1621899809"&gt;34&lt;/key&gt;&lt;/foreign-keys&gt;&lt;ref-type name="Government Document"&gt;46&lt;/ref-type&gt;&lt;contributors&gt;&lt;authors&gt;&lt;author&gt;Australian Government Department of Home Affairs,&lt;/author&gt;&lt;/authors&gt;&lt;/contributors&gt;&lt;titles&gt;&lt;title&gt;Working Holiday Maker visas granted pivot table, 2020-21 to 31 March 2021 - comparison with previous years&lt;/title&gt;&lt;/titles&gt;&lt;dates&gt;&lt;year&gt;2021&lt;/year&gt;&lt;/dates&gt;&lt;urls&gt;&lt;related-urls&gt;&lt;url&gt;https://data.gov.au/data/dataset/visa-working-holiday-maker&lt;/url&gt;&lt;/related-urls&gt;&lt;/urls&gt;&lt;/record&gt;&lt;/Cite&gt;&lt;/EndNote&gt;</w:instrText>
      </w:r>
      <w:r w:rsidR="00E41A86">
        <w:fldChar w:fldCharType="separate"/>
      </w:r>
      <w:r w:rsidR="003B4E45">
        <w:rPr>
          <w:noProof/>
        </w:rPr>
        <w:t>(Australian Government Department of Home Affairs, 2021b)</w:t>
      </w:r>
      <w:r w:rsidR="00E41A86">
        <w:fldChar w:fldCharType="end"/>
      </w:r>
      <w:r w:rsidR="00E41A86">
        <w:t>.</w:t>
      </w:r>
    </w:p>
    <w:p w14:paraId="0FBDDF3C" w14:textId="4B7B2532" w:rsidR="00E15A16" w:rsidRDefault="00E15A16" w:rsidP="00E15A16">
      <w:r>
        <w:t xml:space="preserve">Changes to the WHM program because of COVID-19 are summarised in Section </w:t>
      </w:r>
      <w:r>
        <w:fldChar w:fldCharType="begin"/>
      </w:r>
      <w:r>
        <w:instrText xml:space="preserve"> REF _Ref67406455 \r \h </w:instrText>
      </w:r>
      <w:r>
        <w:fldChar w:fldCharType="separate"/>
      </w:r>
      <w:r w:rsidR="00F22012">
        <w:t>2.3.2</w:t>
      </w:r>
      <w:r>
        <w:fldChar w:fldCharType="end"/>
      </w:r>
      <w:r>
        <w:t>. Much of this related to changes for visa holders already in Australia</w:t>
      </w:r>
      <w:r>
        <w:rPr>
          <w:rStyle w:val="FootnoteReference"/>
        </w:rPr>
        <w:footnoteReference w:id="7"/>
      </w:r>
      <w:r>
        <w:t xml:space="preserve">. </w:t>
      </w:r>
    </w:p>
    <w:p w14:paraId="72F0DEF3" w14:textId="7A9EA1AA" w:rsidR="002F400A" w:rsidRDefault="00CA5952" w:rsidP="00E15A16">
      <w:pPr>
        <w:pStyle w:val="Heading2"/>
      </w:pPr>
      <w:bookmarkStart w:id="29" w:name="_Toc75878446"/>
      <w:r>
        <w:t xml:space="preserve">Temporary changes due to the </w:t>
      </w:r>
      <w:r w:rsidR="00406B77">
        <w:t xml:space="preserve">2019/2020 </w:t>
      </w:r>
      <w:r>
        <w:t>bushfire</w:t>
      </w:r>
      <w:r w:rsidR="00406B77">
        <w:t>s</w:t>
      </w:r>
      <w:r>
        <w:t xml:space="preserve"> </w:t>
      </w:r>
      <w:r w:rsidR="00BE1C15">
        <w:t>and COVID-19</w:t>
      </w:r>
      <w:bookmarkEnd w:id="29"/>
    </w:p>
    <w:p w14:paraId="2A49FAC4" w14:textId="3395555A" w:rsidR="00406B77" w:rsidRPr="00F03B6F" w:rsidRDefault="00406B77" w:rsidP="00406B77">
      <w:r w:rsidRPr="00F03B6F">
        <w:t xml:space="preserve">On 17 February 2020 further changes to the WHM program were implemented to assist communities to recover from recent bushfires. Paid or volunteer bushfire recovery work in a declared disaster area, carried out after 31 July 2019 was designated as 'specified work' towards eligibility for a second or third WHM visa </w:t>
      </w:r>
      <w:r w:rsidRPr="00F03B6F">
        <w:fldChar w:fldCharType="begin"/>
      </w:r>
      <w:r w:rsidR="00A9626A">
        <w:instrText xml:space="preserve"> ADDIN EN.CITE &lt;EndNote&gt;&lt;Cite&gt;&lt;Author&gt;Australian Government Department of Home Affairs&lt;/Author&gt;&lt;Year&gt;2020&lt;/Year&gt;&lt;RecNum&gt;17&lt;/RecNum&gt;&lt;DisplayText&gt;(Australian Government Department of Home Affairs, 2020d)&lt;/DisplayText&gt;&lt;record&gt;&lt;rec-number&gt;17&lt;/rec-number&gt;&lt;foreign-keys&gt;&lt;key app="EN" db-id="r5sv9zwer2dw2pexz935edzbrpsweevtw5ed" timestamp="1599454246"&gt;17&lt;/key&gt;&lt;/foreign-keys&gt;&lt;ref-type name="Web Page"&gt;12&lt;/ref-type&gt;&lt;contributors&gt;&lt;authors&gt;&lt;author&gt;Australian Government Department of Home Affairs,&lt;/author&gt;&lt;/authors&gt;&lt;/contributors&gt;&lt;titles&gt;&lt;title&gt;Working Holiday Maker (WHM) Program - Latest News&lt;/title&gt;&lt;/titles&gt;&lt;volume&gt;2020&lt;/volume&gt;&lt;number&gt;7 September 2020&lt;/number&gt;&lt;dates&gt;&lt;year&gt;2020&lt;/year&gt;&lt;/dates&gt;&lt;urls&gt;&lt;related-urls&gt;&lt;url&gt;https://immi.homeaffairs.gov.au/what-we-do/whm-program/latest-news&lt;/url&gt;&lt;/related-urls&gt;&lt;/urls&gt;&lt;/record&gt;&lt;/Cite&gt;&lt;/EndNote&gt;</w:instrText>
      </w:r>
      <w:r w:rsidRPr="00F03B6F">
        <w:fldChar w:fldCharType="separate"/>
      </w:r>
      <w:r w:rsidRPr="00F03B6F">
        <w:rPr>
          <w:noProof/>
        </w:rPr>
        <w:t>(Australian Government Department of Home Affairs, 2020d)</w:t>
      </w:r>
      <w:r w:rsidRPr="00F03B6F">
        <w:fldChar w:fldCharType="end"/>
      </w:r>
      <w:r w:rsidRPr="00F03B6F">
        <w:t>.</w:t>
      </w:r>
    </w:p>
    <w:p w14:paraId="7F159544" w14:textId="67079233" w:rsidR="00852530" w:rsidRDefault="00FC75A4" w:rsidP="00852530">
      <w:r>
        <w:t xml:space="preserve">In response to the unfolding COVID-19 crisis, the </w:t>
      </w:r>
      <w:r w:rsidR="000641F6">
        <w:t>Australian</w:t>
      </w:r>
      <w:r>
        <w:t xml:space="preserve"> </w:t>
      </w:r>
      <w:r w:rsidR="7D9DDD1D">
        <w:t>G</w:t>
      </w:r>
      <w:r>
        <w:t xml:space="preserve">overnment announced that WHMs would be able to count critical COVID-19 work in the healthcare and medical sectors, undertaken anywhere in Australia after 31 January 2020, as specified work </w:t>
      </w:r>
      <w:r w:rsidRPr="00852530">
        <w:t>qualifying them to apply for a second or third WHM visa</w:t>
      </w:r>
      <w:r w:rsidR="00AF003E" w:rsidRPr="00852530">
        <w:t xml:space="preserve">. </w:t>
      </w:r>
      <w:r w:rsidR="00852530" w:rsidRPr="00852530">
        <w:t xml:space="preserve">The government also announced that former WHMs who transitioned to a COVID-19 Pandemic Event Visa to continue undertaking critical COVID-19 work in the healthcare and medical sectors </w:t>
      </w:r>
      <w:r w:rsidR="006473C1">
        <w:t xml:space="preserve">would be </w:t>
      </w:r>
      <w:r w:rsidR="00852530" w:rsidRPr="00852530">
        <w:t xml:space="preserve">allowed to resume the WHM pathway and to count their critical COVID-19 work as specified work towards a second or third WHM visa </w:t>
      </w:r>
      <w:r w:rsidR="00852530" w:rsidRPr="00852530">
        <w:fldChar w:fldCharType="begin"/>
      </w:r>
      <w:r w:rsidR="00852530" w:rsidRPr="00852530">
        <w:instrText xml:space="preserve"> ADDIN EN.CITE &lt;EndNote&gt;&lt;Cite&gt;&lt;Author&gt;Australian Government Department of Home Affairs&lt;/Author&gt;&lt;Year&gt;2020&lt;/Year&gt;&lt;RecNum&gt;17&lt;/RecNum&gt;&lt;DisplayText&gt;(Australian Government Department of Home Affairs, 2020d)&lt;/DisplayText&gt;&lt;record&gt;&lt;rec-number&gt;17&lt;/rec-number&gt;&lt;foreign-keys&gt;&lt;key app="EN" db-id="r5sv9zwer2dw2pexz935edzbrpsweevtw5ed" timestamp="1599454246"&gt;17&lt;/key&gt;&lt;/foreign-keys&gt;&lt;ref-type name="Web Page"&gt;12&lt;/ref-type&gt;&lt;contributors&gt;&lt;authors&gt;&lt;author&gt;Australian Government Department of Home Affairs,&lt;/author&gt;&lt;/authors&gt;&lt;/contributors&gt;&lt;titles&gt;&lt;title&gt;Working Holiday Maker (WHM) Program - Latest News&lt;/title&gt;&lt;/titles&gt;&lt;volume&gt;2020&lt;/volume&gt;&lt;number&gt;7 September 2020&lt;/number&gt;&lt;dates&gt;&lt;year&gt;2020&lt;/year&gt;&lt;/dates&gt;&lt;urls&gt;&lt;related-urls&gt;&lt;url&gt;https://immi.homeaffairs.gov.au/what-we-do/whm-program/latest-news&lt;/url&gt;&lt;/related-urls&gt;&lt;/urls&gt;&lt;/record&gt;&lt;/Cite&gt;&lt;/EndNote&gt;</w:instrText>
      </w:r>
      <w:r w:rsidR="00852530" w:rsidRPr="00852530">
        <w:fldChar w:fldCharType="separate"/>
      </w:r>
      <w:r w:rsidR="00852530" w:rsidRPr="00852530">
        <w:rPr>
          <w:noProof/>
        </w:rPr>
        <w:t>(Australian Government Department of Home Affairs, 2020d)</w:t>
      </w:r>
      <w:r w:rsidR="00852530" w:rsidRPr="00852530">
        <w:fldChar w:fldCharType="end"/>
      </w:r>
      <w:r w:rsidR="00852530" w:rsidRPr="00852530">
        <w:t>.</w:t>
      </w:r>
      <w:r w:rsidR="00852530">
        <w:t xml:space="preserve"> </w:t>
      </w:r>
    </w:p>
    <w:p w14:paraId="02ABA887" w14:textId="7661DF40" w:rsidR="008874E8" w:rsidRDefault="00E57C4C" w:rsidP="00F953FA">
      <w:r>
        <w:t>Recognising</w:t>
      </w:r>
      <w:r w:rsidR="00315542">
        <w:t xml:space="preserve"> </w:t>
      </w:r>
      <w:r w:rsidR="006E4E55">
        <w:t>wider pressure</w:t>
      </w:r>
      <w:r w:rsidR="003B00C7">
        <w:t>s</w:t>
      </w:r>
      <w:r w:rsidR="006E4E55">
        <w:t xml:space="preserve"> exerted by </w:t>
      </w:r>
      <w:r w:rsidR="008F7869">
        <w:t xml:space="preserve">the </w:t>
      </w:r>
      <w:r w:rsidR="006E4E55">
        <w:t>COVID-19</w:t>
      </w:r>
      <w:r w:rsidR="008F7869">
        <w:t xml:space="preserve"> pandemic</w:t>
      </w:r>
      <w:r w:rsidR="003F00A0">
        <w:t xml:space="preserve">, the Australian </w:t>
      </w:r>
      <w:r w:rsidR="004C36E2">
        <w:t xml:space="preserve">Government </w:t>
      </w:r>
      <w:r w:rsidR="00CF1216">
        <w:t xml:space="preserve">moved to </w:t>
      </w:r>
      <w:r w:rsidR="00770FAA">
        <w:t xml:space="preserve">provide </w:t>
      </w:r>
      <w:r w:rsidR="00895804">
        <w:t xml:space="preserve">the tourism and hospitality sector </w:t>
      </w:r>
      <w:r w:rsidR="00770FAA">
        <w:t>greater flexibility to meet workforce needs</w:t>
      </w:r>
      <w:r w:rsidR="00CF1216">
        <w:t xml:space="preserve">. </w:t>
      </w:r>
      <w:r w:rsidR="0066426C">
        <w:t>In</w:t>
      </w:r>
      <w:r w:rsidR="00ED3BFA">
        <w:t xml:space="preserve"> May 2021</w:t>
      </w:r>
      <w:r w:rsidR="00610328">
        <w:t xml:space="preserve">, it was announced that </w:t>
      </w:r>
      <w:r w:rsidR="00061749">
        <w:t xml:space="preserve">tourism and hospitality </w:t>
      </w:r>
      <w:r w:rsidR="00610328">
        <w:t>would be</w:t>
      </w:r>
      <w:r w:rsidR="00061749">
        <w:t xml:space="preserve"> added to the list of COVID-19 critical sectors</w:t>
      </w:r>
      <w:r w:rsidR="00F03F41">
        <w:t>, whereby a</w:t>
      </w:r>
      <w:r w:rsidR="00743B44">
        <w:t xml:space="preserve">ll WHMs employed in the sector </w:t>
      </w:r>
      <w:r w:rsidR="00F74B39">
        <w:t xml:space="preserve">would be allowed </w:t>
      </w:r>
      <w:r w:rsidR="004C606A">
        <w:t xml:space="preserve"> to stay for up to 12 months and </w:t>
      </w:r>
      <w:r w:rsidR="00743B44">
        <w:t>to work longer than six months for one employer without requesting permission</w:t>
      </w:r>
      <w:r w:rsidR="002116C8" w:rsidRPr="002116C8">
        <w:t xml:space="preserve"> </w:t>
      </w:r>
      <w:r w:rsidR="002116C8">
        <w:fldChar w:fldCharType="begin"/>
      </w:r>
      <w:r w:rsidR="003B4E45">
        <w:instrText xml:space="preserve"> ADDIN EN.CITE &lt;EndNote&gt;&lt;Cite&gt;&lt;Author&gt;The Hon Alex Hawke MP&lt;/Author&gt;&lt;Year&gt;2021&lt;/Year&gt;&lt;RecNum&gt;38&lt;/RecNum&gt;&lt;DisplayText&gt;(Australian Government Department of Home Affairs, 2021a; The Hon Alex Hawke MP, 2021)&lt;/DisplayText&gt;&lt;record&gt;&lt;rec-number&gt;38&lt;/rec-number&gt;&lt;foreign-keys&gt;&lt;key app="EN" db-id="r5sv9zwer2dw2pexz935edzbrpsweevtw5ed" timestamp="1624873047"&gt;38&lt;/key&gt;&lt;/foreign-keys&gt;&lt;ref-type name="Press Release"&gt;63&lt;/ref-type&gt;&lt;contributors&gt;&lt;authors&gt;&lt;author&gt;The Hon Alex Hawke MP,&lt;/author&gt;&lt;/authors&gt;&lt;/contributors&gt;&lt;titles&gt;&lt;title&gt;Working Holiday Maker Visa maker visa changes helping COVID-19 recovery &lt;/title&gt;&lt;/titles&gt;&lt;dates&gt;&lt;year&gt;2021&lt;/year&gt;&lt;pub-dates&gt;&lt;date&gt;22 June 2021&lt;/date&gt;&lt;/pub-dates&gt;&lt;/dates&gt;&lt;pub-location&gt;Canberra&lt;/pub-location&gt;&lt;publisher&gt;Home Affairs Portfolio, Parliament of Australia&lt;/publisher&gt;&lt;urls&gt;&lt;related-urls&gt;&lt;url&gt;https://minister.homeaffairs.gov.au/AlexHawke/Pages/working-holiday-Maker-Visa-maker-visa-changes-helping-COVID-19-recovery.aspx&lt;/url&gt;&lt;/related-urls&gt;&lt;/urls&gt;&lt;/record&gt;&lt;/Cite&gt;&lt;Cite&gt;&lt;Author&gt;Australian Government Department of Home Affairs&lt;/Author&gt;&lt;Year&gt;2021&lt;/Year&gt;&lt;RecNum&gt;39&lt;/RecNum&gt;&lt;record&gt;&lt;rec-number&gt;39&lt;/rec-number&gt;&lt;foreign-keys&gt;&lt;key app="EN" db-id="r5sv9zwer2dw2pexz935edzbrpsweevtw5ed" timestamp="1624873422"&gt;39&lt;/key&gt;&lt;/foreign-keys&gt;&lt;ref-type name="Web Page"&gt;12&lt;/ref-type&gt;&lt;contributors&gt;&lt;authors&gt;&lt;author&gt;Australian Government Department of Home Affairs,&lt;/author&gt;&lt;/authors&gt;&lt;/contributors&gt;&lt;titles&gt;&lt;title&gt;Australian Government endorsed events (COVID-19 Pandemic event) &lt;/title&gt;&lt;/titles&gt;&lt;volume&gt;2021&lt;/volume&gt;&lt;number&gt;28 June 2021&lt;/number&gt;&lt;dates&gt;&lt;year&gt;2021&lt;/year&gt;&lt;/dates&gt;&lt;publisher&gt;Home Affairs Portfolio, Australian Government&lt;/publisher&gt;&lt;urls&gt;&lt;/urls&gt;&lt;/record&gt;&lt;/Cite&gt;&lt;/EndNote&gt;</w:instrText>
      </w:r>
      <w:r w:rsidR="002116C8">
        <w:fldChar w:fldCharType="separate"/>
      </w:r>
      <w:r w:rsidR="003B4E45">
        <w:rPr>
          <w:noProof/>
        </w:rPr>
        <w:t>(Australian Government Department of Home Affairs, 2021a; The Hon Alex Hawke MP, 2021)</w:t>
      </w:r>
      <w:r w:rsidR="002116C8">
        <w:fldChar w:fldCharType="end"/>
      </w:r>
      <w:r w:rsidR="00577172">
        <w:t xml:space="preserve">. </w:t>
      </w:r>
      <w:r w:rsidR="003F3EE1">
        <w:t>Further changes</w:t>
      </w:r>
      <w:r w:rsidR="00E86CCA">
        <w:t xml:space="preserve"> </w:t>
      </w:r>
      <w:r w:rsidR="00797B16">
        <w:t>announced</w:t>
      </w:r>
      <w:r w:rsidR="005F68CE">
        <w:t xml:space="preserve"> </w:t>
      </w:r>
      <w:r w:rsidR="003F3EE1">
        <w:t>in June 2021</w:t>
      </w:r>
      <w:r w:rsidR="00E346AB">
        <w:t xml:space="preserve"> included</w:t>
      </w:r>
      <w:r w:rsidR="003F5737">
        <w:t xml:space="preserve"> W</w:t>
      </w:r>
      <w:r w:rsidR="00B104E1">
        <w:t>HM visa holders working in the tourism and hospitality sectors in Northern, remote and very remote areas of Australia able to count this as specified work, making them eligible for a second or third WHM visa</w:t>
      </w:r>
      <w:r w:rsidR="00356E29">
        <w:t xml:space="preserve"> (ibid.).</w:t>
      </w:r>
    </w:p>
    <w:p w14:paraId="20CDCFAE" w14:textId="2966BB73" w:rsidR="00DE3633" w:rsidRPr="009C7C1E" w:rsidRDefault="002E00A2" w:rsidP="00646E49">
      <w:pPr>
        <w:pStyle w:val="Heading1"/>
      </w:pPr>
      <w:bookmarkStart w:id="30" w:name="_Toc75878447"/>
      <w:bookmarkStart w:id="31" w:name="_Ref84504860"/>
      <w:bookmarkStart w:id="32" w:name="_Ref84504972"/>
      <w:r>
        <w:t>Study</w:t>
      </w:r>
      <w:r w:rsidR="00291C53">
        <w:t xml:space="preserve"> methodology</w:t>
      </w:r>
      <w:bookmarkEnd w:id="30"/>
      <w:bookmarkEnd w:id="31"/>
      <w:bookmarkEnd w:id="32"/>
    </w:p>
    <w:p w14:paraId="12A51078" w14:textId="19219D83" w:rsidR="00DE3633" w:rsidRPr="009C7C1E" w:rsidRDefault="00DE3633" w:rsidP="008745D9">
      <w:r>
        <w:t xml:space="preserve">The Australian Industrial Transformation Institute (AITI) was engaged by </w:t>
      </w:r>
      <w:r w:rsidR="002F71C0">
        <w:t>the Australian Trade and Investment Commission (</w:t>
      </w:r>
      <w:r>
        <w:t>Austrade</w:t>
      </w:r>
      <w:r w:rsidR="002F71C0">
        <w:t>)</w:t>
      </w:r>
      <w:r>
        <w:t xml:space="preserve"> to examine WHMs perceptions of Australia as a destination to travel, work and study; provide information on the locations and occupations of WHMs; and provide insights into employer expectations of WHM visa holders with regard to their skills and experience</w:t>
      </w:r>
      <w:r w:rsidR="00F00280">
        <w:t>, with an emphasis on</w:t>
      </w:r>
      <w:r>
        <w:t xml:space="preserve"> the tourism and hospitality industry. </w:t>
      </w:r>
    </w:p>
    <w:p w14:paraId="3FA584C3" w14:textId="3F8148F9" w:rsidR="00325265" w:rsidRDefault="000F361F" w:rsidP="00DE3633">
      <w:r>
        <w:t>An online</w:t>
      </w:r>
      <w:r w:rsidR="009D1DC5">
        <w:t xml:space="preserve"> survey of</w:t>
      </w:r>
      <w:r w:rsidR="00817AB1">
        <w:t xml:space="preserve"> WHM</w:t>
      </w:r>
      <w:r w:rsidR="009D1DC5">
        <w:t>s</w:t>
      </w:r>
      <w:r w:rsidR="00325265">
        <w:t xml:space="preserve"> was designed in collaboration with Austrade</w:t>
      </w:r>
      <w:r w:rsidR="00CE7ED6">
        <w:t xml:space="preserve">. It </w:t>
      </w:r>
      <w:r w:rsidR="009F17A5">
        <w:t>was designed to maximise response rates</w:t>
      </w:r>
      <w:r w:rsidR="00D360CE">
        <w:t xml:space="preserve"> and minimise respondent burden</w:t>
      </w:r>
      <w:r w:rsidR="009F17A5">
        <w:t xml:space="preserve"> </w:t>
      </w:r>
      <w:r w:rsidR="00144710">
        <w:t>with a focus on</w:t>
      </w:r>
      <w:r w:rsidR="009D1DC5">
        <w:t xml:space="preserve"> WHMs’</w:t>
      </w:r>
      <w:r w:rsidR="00A70459">
        <w:t>:</w:t>
      </w:r>
    </w:p>
    <w:p w14:paraId="6442D155" w14:textId="77777777" w:rsidR="00DE3633" w:rsidRPr="00401885" w:rsidRDefault="00B826C9" w:rsidP="00DE3633">
      <w:pPr>
        <w:pStyle w:val="ListParagraph"/>
        <w:numPr>
          <w:ilvl w:val="0"/>
          <w:numId w:val="10"/>
        </w:numPr>
      </w:pPr>
      <w:r>
        <w:t>D</w:t>
      </w:r>
      <w:r w:rsidR="00DE3633" w:rsidRPr="00401885">
        <w:t>emographic profile</w:t>
      </w:r>
    </w:p>
    <w:p w14:paraId="7265A6A2" w14:textId="77777777" w:rsidR="00DE3633" w:rsidRPr="00401885" w:rsidRDefault="00DE3633" w:rsidP="00DE3633">
      <w:pPr>
        <w:pStyle w:val="ListParagraph"/>
        <w:numPr>
          <w:ilvl w:val="0"/>
          <w:numId w:val="10"/>
        </w:numPr>
      </w:pPr>
      <w:r w:rsidRPr="00401885">
        <w:t>Reasons for visit, length of stay</w:t>
      </w:r>
    </w:p>
    <w:p w14:paraId="40B69641" w14:textId="77777777" w:rsidR="00DE3633" w:rsidRPr="00401885" w:rsidRDefault="00DE3633" w:rsidP="00DE3633">
      <w:pPr>
        <w:pStyle w:val="ListParagraph"/>
        <w:numPr>
          <w:ilvl w:val="0"/>
          <w:numId w:val="10"/>
        </w:numPr>
      </w:pPr>
      <w:r w:rsidRPr="00401885">
        <w:t xml:space="preserve">Employment characteristics </w:t>
      </w:r>
    </w:p>
    <w:p w14:paraId="37AF09C4" w14:textId="77777777" w:rsidR="00DE3633" w:rsidRPr="00401885" w:rsidRDefault="00DE3633" w:rsidP="00DE3633">
      <w:pPr>
        <w:pStyle w:val="ListParagraph"/>
        <w:numPr>
          <w:ilvl w:val="0"/>
          <w:numId w:val="10"/>
        </w:numPr>
      </w:pPr>
      <w:r w:rsidRPr="00401885">
        <w:t xml:space="preserve">Labour market contribution of WHMs </w:t>
      </w:r>
    </w:p>
    <w:p w14:paraId="511668FD" w14:textId="5DD9609B" w:rsidR="00DE3633" w:rsidRPr="00401885" w:rsidRDefault="009D1DC5" w:rsidP="00DE3633">
      <w:pPr>
        <w:pStyle w:val="ListParagraph"/>
        <w:numPr>
          <w:ilvl w:val="0"/>
          <w:numId w:val="10"/>
        </w:numPr>
      </w:pPr>
      <w:r>
        <w:t>Geographic m</w:t>
      </w:r>
      <w:r w:rsidRPr="00401885">
        <w:t xml:space="preserve">obility </w:t>
      </w:r>
    </w:p>
    <w:p w14:paraId="63C68202" w14:textId="77777777" w:rsidR="00DE3633" w:rsidRPr="00401885" w:rsidRDefault="00401885" w:rsidP="00DE3633">
      <w:pPr>
        <w:pStyle w:val="ListParagraph"/>
        <w:numPr>
          <w:ilvl w:val="0"/>
          <w:numId w:val="10"/>
        </w:numPr>
      </w:pPr>
      <w:r w:rsidRPr="00401885">
        <w:t>Study</w:t>
      </w:r>
    </w:p>
    <w:p w14:paraId="5176673C" w14:textId="775C0694" w:rsidR="00DE3633" w:rsidRPr="00401885" w:rsidRDefault="00550ECA" w:rsidP="00DE3633">
      <w:pPr>
        <w:pStyle w:val="ListParagraph"/>
        <w:numPr>
          <w:ilvl w:val="0"/>
          <w:numId w:val="10"/>
        </w:numPr>
      </w:pPr>
      <w:r>
        <w:t>Engagement with</w:t>
      </w:r>
      <w:r w:rsidR="00DE3633" w:rsidRPr="00401885">
        <w:t xml:space="preserve"> the WHM </w:t>
      </w:r>
      <w:r w:rsidR="002344C4">
        <w:t>program</w:t>
      </w:r>
      <w:r>
        <w:t>.</w:t>
      </w:r>
    </w:p>
    <w:p w14:paraId="07AB1FA8" w14:textId="6AEF760F" w:rsidR="00325265" w:rsidRDefault="00864FAB" w:rsidP="00DE3633">
      <w:r>
        <w:t xml:space="preserve">The </w:t>
      </w:r>
      <w:r w:rsidR="009D1DC5">
        <w:t>WHM</w:t>
      </w:r>
      <w:r w:rsidR="009D0253">
        <w:t xml:space="preserve"> </w:t>
      </w:r>
      <w:r>
        <w:t xml:space="preserve">survey was distributed </w:t>
      </w:r>
      <w:r w:rsidR="000B1CAF">
        <w:t xml:space="preserve">in quarterly tranches </w:t>
      </w:r>
      <w:r w:rsidR="002B4AE3">
        <w:t>to</w:t>
      </w:r>
      <w:r>
        <w:t xml:space="preserve"> </w:t>
      </w:r>
      <w:r w:rsidR="006160BB">
        <w:t xml:space="preserve">over 180,000 </w:t>
      </w:r>
      <w:r w:rsidR="000A1264">
        <w:t xml:space="preserve">WHM </w:t>
      </w:r>
      <w:r w:rsidR="000B1CAF">
        <w:t>visa holders</w:t>
      </w:r>
      <w:r w:rsidR="000A1264">
        <w:t xml:space="preserve"> who</w:t>
      </w:r>
      <w:r w:rsidR="00A62504">
        <w:t>se</w:t>
      </w:r>
      <w:r w:rsidR="00B412D2">
        <w:t xml:space="preserve"> entry visa expiry</w:t>
      </w:r>
      <w:r w:rsidR="00AF50A5">
        <w:t xml:space="preserve"> date</w:t>
      </w:r>
      <w:r w:rsidR="00AF368F">
        <w:t xml:space="preserve"> occurred between 1 March 2019 and </w:t>
      </w:r>
      <w:r w:rsidR="000C270F">
        <w:t>29 February 2020</w:t>
      </w:r>
      <w:r w:rsidR="00C70492">
        <w:t>.</w:t>
      </w:r>
      <w:r w:rsidR="0010413E">
        <w:rPr>
          <w:rStyle w:val="FootnoteReference"/>
        </w:rPr>
        <w:footnoteReference w:id="8"/>
      </w:r>
      <w:r w:rsidR="00413D0B">
        <w:t xml:space="preserve"> </w:t>
      </w:r>
    </w:p>
    <w:p w14:paraId="1202F422" w14:textId="2E154AFD" w:rsidR="00DE3633" w:rsidRPr="007A30CB" w:rsidRDefault="00EF6D26" w:rsidP="00DE3633">
      <w:r>
        <w:t xml:space="preserve">The </w:t>
      </w:r>
      <w:r w:rsidR="00D7426A">
        <w:t>WHM</w:t>
      </w:r>
      <w:r>
        <w:t xml:space="preserve"> Employers Survey gathered information about employer experience</w:t>
      </w:r>
      <w:r w:rsidR="33E7715C">
        <w:t>s</w:t>
      </w:r>
      <w:r>
        <w:t xml:space="preserve"> of WHMs and the WHM program. The survey was targeted to the agriculture, forestry and fishing (‘agriculture’) industry and the tourism and hospitality industry. </w:t>
      </w:r>
      <w:r w:rsidR="00FE1D81">
        <w:t>I</w:t>
      </w:r>
      <w:r>
        <w:t xml:space="preserve">nterviews of employers from the agriculture, and tourism and hospitality industries were subsequently conducted to gather contextual information. </w:t>
      </w:r>
      <w:r w:rsidR="00B96CCC">
        <w:t>These</w:t>
      </w:r>
      <w:r w:rsidR="00DE3633">
        <w:t xml:space="preserve"> </w:t>
      </w:r>
      <w:r w:rsidR="00620CDF">
        <w:t>w</w:t>
      </w:r>
      <w:r w:rsidR="000C6400">
        <w:t>ere</w:t>
      </w:r>
      <w:r w:rsidR="00620CDF">
        <w:t xml:space="preserve"> conducted</w:t>
      </w:r>
      <w:r w:rsidR="00DE3633">
        <w:t xml:space="preserve"> to provide information about:</w:t>
      </w:r>
    </w:p>
    <w:p w14:paraId="165C7693" w14:textId="3B64270A" w:rsidR="00DE3633" w:rsidRPr="007A30CB" w:rsidRDefault="00DE3633" w:rsidP="00FF01A2">
      <w:pPr>
        <w:pStyle w:val="ListParagraph"/>
        <w:numPr>
          <w:ilvl w:val="0"/>
          <w:numId w:val="19"/>
        </w:numPr>
      </w:pPr>
      <w:r w:rsidRPr="007A30CB">
        <w:t>Employer perceptions of the labour landscape</w:t>
      </w:r>
    </w:p>
    <w:p w14:paraId="2B63FB9D" w14:textId="327B3319" w:rsidR="00DE3633" w:rsidRPr="007A30CB" w:rsidRDefault="00DE3633" w:rsidP="00A94383">
      <w:pPr>
        <w:pStyle w:val="ListParagraph"/>
        <w:numPr>
          <w:ilvl w:val="0"/>
          <w:numId w:val="19"/>
        </w:numPr>
      </w:pPr>
      <w:r w:rsidRPr="007A30CB">
        <w:t>Employer experiences with WHMs</w:t>
      </w:r>
    </w:p>
    <w:p w14:paraId="46C527E2" w14:textId="45FF185E" w:rsidR="00DE3633" w:rsidRPr="007A30CB" w:rsidRDefault="00DE3633" w:rsidP="007A30CB">
      <w:pPr>
        <w:pStyle w:val="ListParagraph"/>
        <w:numPr>
          <w:ilvl w:val="0"/>
          <w:numId w:val="19"/>
        </w:numPr>
      </w:pPr>
      <w:r w:rsidRPr="007A30CB">
        <w:t>Future needs of employers</w:t>
      </w:r>
      <w:r w:rsidR="00532B6A">
        <w:t>.</w:t>
      </w:r>
    </w:p>
    <w:bookmarkEnd w:id="4"/>
    <w:p w14:paraId="4548F48B" w14:textId="7F9106DF" w:rsidR="00D74810" w:rsidRDefault="00411421" w:rsidP="00D74810">
      <w:r>
        <w:t>Th</w:t>
      </w:r>
      <w:r w:rsidR="00392DEB">
        <w:t>e employer</w:t>
      </w:r>
      <w:r>
        <w:t xml:space="preserve"> survey was </w:t>
      </w:r>
      <w:r w:rsidR="116F78C6">
        <w:t>undertaken between</w:t>
      </w:r>
      <w:r w:rsidR="00C67954">
        <w:t xml:space="preserve"> December 2020 </w:t>
      </w:r>
      <w:r w:rsidR="5A96DAE7">
        <w:t>and</w:t>
      </w:r>
      <w:r w:rsidR="00C67954">
        <w:t xml:space="preserve"> January 2021</w:t>
      </w:r>
      <w:r w:rsidR="005215CD">
        <w:t xml:space="preserve"> and was completed by </w:t>
      </w:r>
      <w:r w:rsidR="001049A5">
        <w:t>169 employers</w:t>
      </w:r>
      <w:r w:rsidR="321D062D">
        <w:t>,</w:t>
      </w:r>
      <w:r w:rsidR="005C3579">
        <w:t xml:space="preserve"> most of whom </w:t>
      </w:r>
      <w:r w:rsidR="001B7477">
        <w:t xml:space="preserve">(93.3%) </w:t>
      </w:r>
      <w:r w:rsidR="005C3579">
        <w:t xml:space="preserve">came from the target </w:t>
      </w:r>
      <w:r w:rsidR="00251C5B">
        <w:t>sectors</w:t>
      </w:r>
      <w:r w:rsidR="005C3579">
        <w:t xml:space="preserve"> of tou</w:t>
      </w:r>
      <w:r w:rsidR="00FA4D9C">
        <w:t>rism and hospitality</w:t>
      </w:r>
      <w:r w:rsidR="003210DB">
        <w:t xml:space="preserve"> and agriculture, forestry and fishing</w:t>
      </w:r>
      <w:r w:rsidR="00A37CE8">
        <w:t xml:space="preserve">. </w:t>
      </w:r>
      <w:r w:rsidR="003D2621">
        <w:t>Twenty</w:t>
      </w:r>
      <w:r w:rsidR="00A74EEC">
        <w:t>-one</w:t>
      </w:r>
      <w:r w:rsidR="003D2621">
        <w:t xml:space="preserve"> </w:t>
      </w:r>
      <w:r w:rsidR="00681D4D">
        <w:t xml:space="preserve">follow-up </w:t>
      </w:r>
      <w:r w:rsidR="003D2621">
        <w:t xml:space="preserve">interviews were </w:t>
      </w:r>
      <w:r w:rsidR="001049A5">
        <w:t>subsequently</w:t>
      </w:r>
      <w:r w:rsidR="003D2621">
        <w:t xml:space="preserve"> conducted</w:t>
      </w:r>
      <w:r w:rsidR="00B96CCC">
        <w:t xml:space="preserve"> in early 2021</w:t>
      </w:r>
      <w:r w:rsidR="6E4E51D7">
        <w:t>,</w:t>
      </w:r>
      <w:r w:rsidR="00555587">
        <w:t xml:space="preserve"> with WHM employers </w:t>
      </w:r>
      <w:r w:rsidR="00A20CB8">
        <w:t>stratified by</w:t>
      </w:r>
      <w:r w:rsidR="00555587">
        <w:t xml:space="preserve"> </w:t>
      </w:r>
      <w:r w:rsidR="00DE54AA">
        <w:t>sector</w:t>
      </w:r>
      <w:r w:rsidR="00DC7370">
        <w:t xml:space="preserve"> and state and territory.</w:t>
      </w:r>
      <w:r w:rsidR="00676A2D">
        <w:t xml:space="preserve"> This provided the opportunity to drill </w:t>
      </w:r>
      <w:r w:rsidR="00D30C7F">
        <w:t>into and contextualise the experience of employers</w:t>
      </w:r>
      <w:r w:rsidR="00525B38">
        <w:t xml:space="preserve"> and to understand the impact</w:t>
      </w:r>
      <w:r w:rsidR="00850B88">
        <w:t xml:space="preserve"> of </w:t>
      </w:r>
      <w:r w:rsidR="00AD0BD5">
        <w:t>COVID-19 restrictions across 2020.</w:t>
      </w:r>
    </w:p>
    <w:p w14:paraId="6479E775" w14:textId="32829EAB" w:rsidR="00E16B19" w:rsidRPr="005C3579" w:rsidRDefault="004F4A94" w:rsidP="00E16B19">
      <w:r w:rsidRPr="00A22F1A">
        <w:t xml:space="preserve">After </w:t>
      </w:r>
      <w:r>
        <w:t>each</w:t>
      </w:r>
      <w:r w:rsidRPr="00A22F1A">
        <w:t xml:space="preserve"> </w:t>
      </w:r>
      <w:r w:rsidR="002C5ACD">
        <w:t>quantitative</w:t>
      </w:r>
      <w:r w:rsidRPr="00A22F1A">
        <w:t xml:space="preserve"> data collection period </w:t>
      </w:r>
      <w:r w:rsidR="00C505E7">
        <w:t>wa</w:t>
      </w:r>
      <w:r w:rsidRPr="00A22F1A">
        <w:t>s closed</w:t>
      </w:r>
      <w:r w:rsidR="00225540">
        <w:t>,</w:t>
      </w:r>
      <w:r w:rsidRPr="00A22F1A">
        <w:t xml:space="preserve"> a complete electronic dataset </w:t>
      </w:r>
      <w:r w:rsidR="00C505E7">
        <w:t>was</w:t>
      </w:r>
      <w:r w:rsidRPr="00A22F1A">
        <w:t xml:space="preserve"> generated and downloaded to statistical software. </w:t>
      </w:r>
      <w:r w:rsidR="003F29E9">
        <w:t>On completion of all surveys, data</w:t>
      </w:r>
      <w:r w:rsidRPr="00A22F1A">
        <w:t xml:space="preserve"> </w:t>
      </w:r>
      <w:r w:rsidR="00C505E7">
        <w:t>was</w:t>
      </w:r>
      <w:r w:rsidRPr="00A22F1A">
        <w:t xml:space="preserve"> subject to thorough checking and a cleaning process, to assess and resolve potential data quality issues such as completeness of responses, validity of responses and consistency of responses. </w:t>
      </w:r>
      <w:r w:rsidR="0095494F">
        <w:t>The results of these surveys</w:t>
      </w:r>
      <w:r w:rsidR="003A36F7">
        <w:t xml:space="preserve"> and interview findings</w:t>
      </w:r>
      <w:r w:rsidR="0095494F">
        <w:t xml:space="preserve"> are presented in the following sections</w:t>
      </w:r>
      <w:r w:rsidR="00BA134E">
        <w:t>.</w:t>
      </w:r>
    </w:p>
    <w:p w14:paraId="57DF671C" w14:textId="44FA94CB" w:rsidR="00E16B19" w:rsidRPr="00B043C6" w:rsidRDefault="00533FC6" w:rsidP="00E16B19">
      <w:pPr>
        <w:pStyle w:val="Heading1"/>
      </w:pPr>
      <w:bookmarkStart w:id="33" w:name="_Toc75878448"/>
      <w:r>
        <w:t>WHM</w:t>
      </w:r>
      <w:r w:rsidR="00791503">
        <w:t>: Profile of respondents</w:t>
      </w:r>
      <w:bookmarkEnd w:id="33"/>
    </w:p>
    <w:p w14:paraId="0CAD82CB" w14:textId="3035DC30" w:rsidR="005E6426" w:rsidRPr="00A8759D" w:rsidRDefault="005E6426" w:rsidP="00A8759D">
      <w:r>
        <w:t>A total of 21,315 WHMs participated in the 2020 survey</w:t>
      </w:r>
      <w:r w:rsidR="00965E5F">
        <w:t>, this represented 11.7%</w:t>
      </w:r>
      <w:r w:rsidR="00FC702D">
        <w:t xml:space="preserve"> of WHM </w:t>
      </w:r>
      <w:r w:rsidR="00C43374" w:rsidRPr="00841261">
        <w:t xml:space="preserve">visa holders </w:t>
      </w:r>
      <w:r w:rsidR="000023B9">
        <w:t xml:space="preserve">(the ‘population’) </w:t>
      </w:r>
      <w:r w:rsidR="00C43374" w:rsidRPr="00841261">
        <w:t>whose entry visa expir</w:t>
      </w:r>
      <w:r w:rsidR="00C43374">
        <w:t>ed</w:t>
      </w:r>
      <w:r w:rsidR="00C43374" w:rsidRPr="00841261">
        <w:t xml:space="preserve"> between March 2019 and February 2020</w:t>
      </w:r>
      <w:r w:rsidR="001C24CB">
        <w:t>. Nine in ten (89.1%)</w:t>
      </w:r>
      <w:r w:rsidR="00D27C9E">
        <w:t xml:space="preserve"> </w:t>
      </w:r>
      <w:r w:rsidR="00F73762">
        <w:t>participant</w:t>
      </w:r>
      <w:r w:rsidR="00D27C9E">
        <w:t>s were on the 417 visa</w:t>
      </w:r>
      <w:r w:rsidR="00F26997">
        <w:t>, compared with 90.0% of the population</w:t>
      </w:r>
      <w:r w:rsidR="00EC4B1B">
        <w:t xml:space="preserve"> (see</w:t>
      </w:r>
      <w:r w:rsidR="0043226B">
        <w:t xml:space="preserve"> </w:t>
      </w:r>
      <w:r w:rsidR="0043226B">
        <w:fldChar w:fldCharType="begin"/>
      </w:r>
      <w:r w:rsidR="0043226B">
        <w:instrText xml:space="preserve"> REF _Ref67645482 \h </w:instrText>
      </w:r>
      <w:r w:rsidR="0043226B">
        <w:fldChar w:fldCharType="separate"/>
      </w:r>
      <w:r w:rsidR="00F22012" w:rsidRPr="001D4DA3">
        <w:t xml:space="preserve">Table </w:t>
      </w:r>
      <w:r w:rsidR="00F22012">
        <w:rPr>
          <w:noProof/>
        </w:rPr>
        <w:t>4</w:t>
      </w:r>
      <w:r w:rsidR="00F22012">
        <w:noBreakHyphen/>
      </w:r>
      <w:r w:rsidR="00F22012">
        <w:rPr>
          <w:noProof/>
        </w:rPr>
        <w:t>1</w:t>
      </w:r>
      <w:r w:rsidR="0043226B">
        <w:fldChar w:fldCharType="end"/>
      </w:r>
      <w:r w:rsidR="00EC4B1B">
        <w:t>)</w:t>
      </w:r>
      <w:r w:rsidR="0043226B">
        <w:t>.</w:t>
      </w:r>
      <w:r>
        <w:t xml:space="preserve"> </w:t>
      </w:r>
      <w:r w:rsidR="00F96A32">
        <w:t>In total, t</w:t>
      </w:r>
      <w:r>
        <w:t>hree quarters</w:t>
      </w:r>
      <w:r w:rsidR="003214C9">
        <w:t xml:space="preserve"> (75.1%)</w:t>
      </w:r>
      <w:r>
        <w:t xml:space="preserve"> of </w:t>
      </w:r>
      <w:r w:rsidR="00F73762">
        <w:t>participants</w:t>
      </w:r>
      <w:r w:rsidR="00CF44C9">
        <w:t xml:space="preserve"> </w:t>
      </w:r>
      <w:r>
        <w:t xml:space="preserve">were on </w:t>
      </w:r>
      <w:r w:rsidR="00A25584">
        <w:t>their first visa</w:t>
      </w:r>
      <w:r w:rsidR="008247A0">
        <w:t>, with this less likely for</w:t>
      </w:r>
      <w:r w:rsidR="00550AEE">
        <w:t xml:space="preserve"> those on</w:t>
      </w:r>
      <w:r w:rsidR="008247A0">
        <w:t xml:space="preserve"> the 462 visa</w:t>
      </w:r>
      <w:r w:rsidR="00154ABD">
        <w:t>,</w:t>
      </w:r>
      <w:r w:rsidR="006E128D">
        <w:t xml:space="preserve"> </w:t>
      </w:r>
      <w:r w:rsidR="0084651C">
        <w:t xml:space="preserve">where first </w:t>
      </w:r>
      <w:r w:rsidR="00154ABD">
        <w:t xml:space="preserve">visas </w:t>
      </w:r>
      <w:r w:rsidR="0084651C">
        <w:t>account</w:t>
      </w:r>
      <w:r w:rsidR="00154ABD">
        <w:t>ed</w:t>
      </w:r>
      <w:r w:rsidR="0084651C">
        <w:t xml:space="preserve"> for 56.4%</w:t>
      </w:r>
      <w:r w:rsidR="006E128D">
        <w:t xml:space="preserve"> of</w:t>
      </w:r>
      <w:r w:rsidR="00B17A15">
        <w:t xml:space="preserve"> the </w:t>
      </w:r>
      <w:r w:rsidR="00154ABD">
        <w:t>total</w:t>
      </w:r>
      <w:r w:rsidR="00291411">
        <w:t>.</w:t>
      </w:r>
    </w:p>
    <w:p w14:paraId="6BF90C97" w14:textId="4E6011E0" w:rsidR="005E6426" w:rsidRPr="001D4DA3" w:rsidRDefault="005E6426" w:rsidP="005E6426">
      <w:pPr>
        <w:pStyle w:val="Caption"/>
      </w:pPr>
      <w:bookmarkStart w:id="34" w:name="_Ref67645482"/>
      <w:bookmarkStart w:id="35" w:name="_Toc75878592"/>
      <w:r w:rsidRPr="001D4DA3">
        <w:t xml:space="preserve">Table </w:t>
      </w:r>
      <w:r>
        <w:fldChar w:fldCharType="begin"/>
      </w:r>
      <w:r>
        <w:instrText>STYLEREF 1 \s</w:instrText>
      </w:r>
      <w:r>
        <w:fldChar w:fldCharType="separate"/>
      </w:r>
      <w:r w:rsidR="00F22012">
        <w:rPr>
          <w:noProof/>
        </w:rPr>
        <w:t>4</w:t>
      </w:r>
      <w:r>
        <w:fldChar w:fldCharType="end"/>
      </w:r>
      <w:r w:rsidR="00E71DF1">
        <w:noBreakHyphen/>
      </w:r>
      <w:r>
        <w:fldChar w:fldCharType="begin"/>
      </w:r>
      <w:r>
        <w:instrText>SEQ Table \* ARABIC \s 1</w:instrText>
      </w:r>
      <w:r>
        <w:fldChar w:fldCharType="separate"/>
      </w:r>
      <w:r w:rsidR="00F22012">
        <w:rPr>
          <w:noProof/>
        </w:rPr>
        <w:t>1</w:t>
      </w:r>
      <w:r>
        <w:fldChar w:fldCharType="end"/>
      </w:r>
      <w:bookmarkEnd w:id="34"/>
      <w:r w:rsidRPr="001D4DA3">
        <w:t xml:space="preserve">: </w:t>
      </w:r>
      <w:r w:rsidR="002D25C7" w:rsidRPr="001D4DA3">
        <w:t xml:space="preserve">Distribution by WHM </w:t>
      </w:r>
      <w:r w:rsidR="00154ABD">
        <w:t>v</w:t>
      </w:r>
      <w:r w:rsidR="00154ABD" w:rsidRPr="001D4DA3">
        <w:t xml:space="preserve">isa </w:t>
      </w:r>
      <w:r w:rsidRPr="001D4DA3">
        <w:t>subclasses</w:t>
      </w:r>
      <w:bookmarkEnd w:id="35"/>
    </w:p>
    <w:tbl>
      <w:tblPr>
        <w:tblStyle w:val="GridTable4-Accent1"/>
        <w:tblW w:w="4702" w:type="pct"/>
        <w:tblLook w:val="0660" w:firstRow="1" w:lastRow="1" w:firstColumn="0" w:lastColumn="0" w:noHBand="1" w:noVBand="1"/>
      </w:tblPr>
      <w:tblGrid>
        <w:gridCol w:w="3637"/>
        <w:gridCol w:w="1211"/>
        <w:gridCol w:w="1211"/>
        <w:gridCol w:w="1211"/>
        <w:gridCol w:w="1209"/>
      </w:tblGrid>
      <w:tr w:rsidR="00D728EC" w:rsidRPr="00E522D0" w14:paraId="09DFD069" w14:textId="3E1D6CA6" w:rsidTr="00D728EC">
        <w:trPr>
          <w:cnfStyle w:val="100000000000" w:firstRow="1" w:lastRow="0" w:firstColumn="0" w:lastColumn="0" w:oddVBand="0" w:evenVBand="0" w:oddHBand="0" w:evenHBand="0" w:firstRowFirstColumn="0" w:firstRowLastColumn="0" w:lastRowFirstColumn="0" w:lastRowLastColumn="0"/>
          <w:trHeight w:val="227"/>
          <w:tblHeader/>
        </w:trPr>
        <w:tc>
          <w:tcPr>
            <w:tcW w:w="2145" w:type="pct"/>
            <w:noWrap/>
            <w:hideMark/>
          </w:tcPr>
          <w:p w14:paraId="4C64FDA8" w14:textId="77777777" w:rsidR="00D728EC" w:rsidRPr="000023B9" w:rsidRDefault="00D728EC" w:rsidP="00611A41">
            <w:pPr>
              <w:spacing w:before="0"/>
              <w:contextualSpacing/>
              <w:rPr>
                <w:rFonts w:ascii="Calibri" w:eastAsia="Times New Roman" w:hAnsi="Calibri" w:cs="Calibri"/>
                <w:sz w:val="18"/>
                <w:szCs w:val="18"/>
                <w:lang w:eastAsia="en-AU"/>
              </w:rPr>
            </w:pPr>
            <w:r w:rsidRPr="000023B9">
              <w:rPr>
                <w:rFonts w:ascii="Calibri" w:eastAsia="Times New Roman" w:hAnsi="Calibri" w:cs="Calibri"/>
                <w:sz w:val="18"/>
                <w:szCs w:val="18"/>
                <w:lang w:eastAsia="en-AU"/>
              </w:rPr>
              <w:t>Visa Subclass</w:t>
            </w:r>
          </w:p>
        </w:tc>
        <w:tc>
          <w:tcPr>
            <w:tcW w:w="714" w:type="pct"/>
            <w:noWrap/>
            <w:hideMark/>
          </w:tcPr>
          <w:p w14:paraId="5FECC9B3" w14:textId="77777777" w:rsidR="00D728EC" w:rsidRPr="000023B9" w:rsidRDefault="00D728EC"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sz w:val="18"/>
                <w:szCs w:val="18"/>
                <w:lang w:eastAsia="en-AU"/>
              </w:rPr>
              <w:t>Respondents</w:t>
            </w:r>
          </w:p>
        </w:tc>
        <w:tc>
          <w:tcPr>
            <w:tcW w:w="714" w:type="pct"/>
          </w:tcPr>
          <w:p w14:paraId="10E87F8B" w14:textId="16ACE725" w:rsidR="00D728EC" w:rsidRPr="000023B9" w:rsidRDefault="00D728EC" w:rsidP="000023B9">
            <w:pPr>
              <w:spacing w:before="0"/>
              <w:contextualSpacing/>
              <w:jc w:val="center"/>
              <w:rPr>
                <w:rFonts w:ascii="Calibri" w:eastAsia="Times New Roman" w:hAnsi="Calibri" w:cs="Calibri"/>
                <w:b w:val="0"/>
                <w:bCs w:val="0"/>
                <w:sz w:val="18"/>
                <w:szCs w:val="18"/>
                <w:lang w:eastAsia="en-AU"/>
              </w:rPr>
            </w:pPr>
          </w:p>
        </w:tc>
        <w:tc>
          <w:tcPr>
            <w:tcW w:w="714" w:type="pct"/>
          </w:tcPr>
          <w:p w14:paraId="4271A846" w14:textId="022C41C0" w:rsidR="00D728EC" w:rsidRPr="000023B9" w:rsidRDefault="00D728EC"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sz w:val="18"/>
                <w:szCs w:val="18"/>
                <w:lang w:eastAsia="en-AU"/>
              </w:rPr>
              <w:t>Population</w:t>
            </w:r>
          </w:p>
        </w:tc>
        <w:tc>
          <w:tcPr>
            <w:tcW w:w="714" w:type="pct"/>
          </w:tcPr>
          <w:p w14:paraId="09DDE643" w14:textId="785FDE85" w:rsidR="00D728EC" w:rsidRPr="000023B9" w:rsidRDefault="00D728EC" w:rsidP="000023B9">
            <w:pPr>
              <w:spacing w:before="0"/>
              <w:contextualSpacing/>
              <w:jc w:val="center"/>
              <w:rPr>
                <w:rFonts w:ascii="Calibri" w:eastAsia="Times New Roman" w:hAnsi="Calibri" w:cs="Calibri"/>
                <w:sz w:val="18"/>
                <w:szCs w:val="18"/>
                <w:lang w:eastAsia="en-AU"/>
              </w:rPr>
            </w:pPr>
          </w:p>
        </w:tc>
      </w:tr>
      <w:tr w:rsidR="00673D8E" w:rsidRPr="00E522D0" w14:paraId="664692DA" w14:textId="511C8756" w:rsidTr="00D728EC">
        <w:trPr>
          <w:cnfStyle w:val="100000000000" w:firstRow="1" w:lastRow="0" w:firstColumn="0" w:lastColumn="0" w:oddVBand="0" w:evenVBand="0" w:oddHBand="0" w:evenHBand="0" w:firstRowFirstColumn="0" w:firstRowLastColumn="0" w:lastRowFirstColumn="0" w:lastRowLastColumn="0"/>
          <w:trHeight w:val="227"/>
          <w:tblHeader/>
        </w:trPr>
        <w:tc>
          <w:tcPr>
            <w:tcW w:w="2145" w:type="pct"/>
            <w:noWrap/>
          </w:tcPr>
          <w:p w14:paraId="0E3A740F" w14:textId="77777777" w:rsidR="00673D8E" w:rsidRPr="000023B9" w:rsidRDefault="00673D8E" w:rsidP="000023B9">
            <w:pPr>
              <w:spacing w:before="0"/>
              <w:contextualSpacing/>
              <w:jc w:val="center"/>
              <w:rPr>
                <w:rFonts w:ascii="Calibri" w:eastAsia="Times New Roman" w:hAnsi="Calibri" w:cs="Calibri"/>
                <w:b w:val="0"/>
                <w:bCs w:val="0"/>
                <w:sz w:val="18"/>
                <w:szCs w:val="18"/>
                <w:lang w:eastAsia="en-AU"/>
              </w:rPr>
            </w:pPr>
          </w:p>
        </w:tc>
        <w:tc>
          <w:tcPr>
            <w:tcW w:w="714" w:type="pct"/>
            <w:noWrap/>
            <w:vAlign w:val="center"/>
          </w:tcPr>
          <w:p w14:paraId="73830F81" w14:textId="4CE99AFF" w:rsidR="00673D8E" w:rsidRPr="000023B9" w:rsidRDefault="00673D8E"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b w:val="0"/>
                <w:bCs w:val="0"/>
                <w:sz w:val="18"/>
                <w:szCs w:val="18"/>
                <w:lang w:eastAsia="en-AU"/>
              </w:rPr>
              <w:t>N</w:t>
            </w:r>
          </w:p>
        </w:tc>
        <w:tc>
          <w:tcPr>
            <w:tcW w:w="714" w:type="pct"/>
            <w:noWrap/>
            <w:vAlign w:val="center"/>
          </w:tcPr>
          <w:p w14:paraId="05F6C094" w14:textId="38EC125C" w:rsidR="00673D8E" w:rsidRPr="000023B9" w:rsidRDefault="00673D8E"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b w:val="0"/>
                <w:bCs w:val="0"/>
                <w:sz w:val="18"/>
                <w:szCs w:val="18"/>
                <w:lang w:eastAsia="en-AU"/>
              </w:rPr>
              <w:t>%</w:t>
            </w:r>
          </w:p>
        </w:tc>
        <w:tc>
          <w:tcPr>
            <w:tcW w:w="714" w:type="pct"/>
            <w:vAlign w:val="center"/>
          </w:tcPr>
          <w:p w14:paraId="7B8C333B" w14:textId="52528C45" w:rsidR="00673D8E" w:rsidRPr="000023B9" w:rsidRDefault="00673D8E"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b w:val="0"/>
                <w:bCs w:val="0"/>
                <w:sz w:val="18"/>
                <w:szCs w:val="18"/>
                <w:lang w:eastAsia="en-AU"/>
              </w:rPr>
              <w:t>N</w:t>
            </w:r>
          </w:p>
        </w:tc>
        <w:tc>
          <w:tcPr>
            <w:tcW w:w="713" w:type="pct"/>
            <w:vAlign w:val="center"/>
          </w:tcPr>
          <w:p w14:paraId="4E80CBAE" w14:textId="43DC1BD1" w:rsidR="00673D8E" w:rsidRPr="000023B9" w:rsidRDefault="00673D8E" w:rsidP="000023B9">
            <w:pPr>
              <w:spacing w:before="0"/>
              <w:contextualSpacing/>
              <w:jc w:val="center"/>
              <w:rPr>
                <w:rFonts w:ascii="Calibri" w:eastAsia="Times New Roman" w:hAnsi="Calibri" w:cs="Calibri"/>
                <w:b w:val="0"/>
                <w:bCs w:val="0"/>
                <w:sz w:val="18"/>
                <w:szCs w:val="18"/>
                <w:lang w:eastAsia="en-AU"/>
              </w:rPr>
            </w:pPr>
            <w:r w:rsidRPr="000023B9">
              <w:rPr>
                <w:rFonts w:ascii="Calibri" w:eastAsia="Times New Roman" w:hAnsi="Calibri" w:cs="Calibri"/>
                <w:b w:val="0"/>
                <w:bCs w:val="0"/>
                <w:sz w:val="18"/>
                <w:szCs w:val="18"/>
                <w:lang w:eastAsia="en-AU"/>
              </w:rPr>
              <w:t>%</w:t>
            </w:r>
          </w:p>
        </w:tc>
      </w:tr>
      <w:tr w:rsidR="00673D8E" w:rsidRPr="00E522D0" w14:paraId="0DAF0862" w14:textId="336F00C0" w:rsidTr="00D728EC">
        <w:trPr>
          <w:trHeight w:val="227"/>
        </w:trPr>
        <w:tc>
          <w:tcPr>
            <w:tcW w:w="2145" w:type="pct"/>
            <w:shd w:val="clear" w:color="auto" w:fill="C6DEF5" w:themeFill="accent1" w:themeFillTint="33"/>
            <w:noWrap/>
            <w:hideMark/>
          </w:tcPr>
          <w:p w14:paraId="6A4AFC2C" w14:textId="539AAB78" w:rsidR="00673D8E" w:rsidRPr="00E522D0" w:rsidRDefault="00673D8E" w:rsidP="00611A41">
            <w:pPr>
              <w:spacing w:before="0"/>
              <w:contextualSpacing/>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417 (Working Holiday)</w:t>
            </w:r>
          </w:p>
        </w:tc>
        <w:tc>
          <w:tcPr>
            <w:tcW w:w="714" w:type="pct"/>
            <w:shd w:val="clear" w:color="auto" w:fill="C6DEF5" w:themeFill="accent1" w:themeFillTint="33"/>
            <w:noWrap/>
            <w:vAlign w:val="center"/>
            <w:hideMark/>
          </w:tcPr>
          <w:p w14:paraId="59B90E62" w14:textId="77777777" w:rsidR="00673D8E" w:rsidRPr="00E522D0" w:rsidRDefault="00673D8E" w:rsidP="00273D26">
            <w:pPr>
              <w:spacing w:before="0"/>
              <w:contextualSpacing/>
              <w:jc w:val="right"/>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18,983</w:t>
            </w:r>
          </w:p>
        </w:tc>
        <w:tc>
          <w:tcPr>
            <w:tcW w:w="714" w:type="pct"/>
            <w:shd w:val="clear" w:color="auto" w:fill="C6DEF5" w:themeFill="accent1" w:themeFillTint="33"/>
            <w:noWrap/>
            <w:vAlign w:val="center"/>
            <w:hideMark/>
          </w:tcPr>
          <w:p w14:paraId="2B699CBF" w14:textId="77777777" w:rsidR="00673D8E" w:rsidRPr="00E522D0" w:rsidRDefault="00673D8E" w:rsidP="00273D26">
            <w:pPr>
              <w:spacing w:before="0"/>
              <w:contextualSpacing/>
              <w:jc w:val="right"/>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89.1%</w:t>
            </w:r>
          </w:p>
        </w:tc>
        <w:tc>
          <w:tcPr>
            <w:tcW w:w="714" w:type="pct"/>
            <w:shd w:val="clear" w:color="auto" w:fill="C6DEF5" w:themeFill="accent1" w:themeFillTint="33"/>
          </w:tcPr>
          <w:p w14:paraId="6C669F9D" w14:textId="741F7194" w:rsidR="00673D8E" w:rsidRPr="00E522D0" w:rsidRDefault="00942C9F" w:rsidP="00273D26">
            <w:pPr>
              <w:spacing w:before="0"/>
              <w:contextualSpacing/>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164,248</w:t>
            </w:r>
          </w:p>
        </w:tc>
        <w:tc>
          <w:tcPr>
            <w:tcW w:w="713" w:type="pct"/>
            <w:shd w:val="clear" w:color="auto" w:fill="C6DEF5" w:themeFill="accent1" w:themeFillTint="33"/>
          </w:tcPr>
          <w:p w14:paraId="447CA37C" w14:textId="14ED739B" w:rsidR="00673D8E" w:rsidRPr="00E522D0" w:rsidRDefault="00A219DA" w:rsidP="00273D26">
            <w:pPr>
              <w:spacing w:before="0"/>
              <w:contextualSpacing/>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90.0%</w:t>
            </w:r>
          </w:p>
        </w:tc>
      </w:tr>
      <w:tr w:rsidR="00942C9F" w:rsidRPr="00E522D0" w14:paraId="00A82411" w14:textId="523F9C2B" w:rsidTr="00D728EC">
        <w:trPr>
          <w:trHeight w:val="227"/>
        </w:trPr>
        <w:tc>
          <w:tcPr>
            <w:tcW w:w="2145" w:type="pct"/>
            <w:noWrap/>
            <w:hideMark/>
          </w:tcPr>
          <w:p w14:paraId="0EE14589" w14:textId="4BF7F5F4"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First</w:t>
            </w:r>
          </w:p>
        </w:tc>
        <w:tc>
          <w:tcPr>
            <w:tcW w:w="714" w:type="pct"/>
            <w:noWrap/>
            <w:vAlign w:val="center"/>
            <w:hideMark/>
          </w:tcPr>
          <w:p w14:paraId="73355981" w14:textId="77777777"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14,698</w:t>
            </w:r>
          </w:p>
        </w:tc>
        <w:tc>
          <w:tcPr>
            <w:tcW w:w="714" w:type="pct"/>
            <w:noWrap/>
            <w:vAlign w:val="center"/>
            <w:hideMark/>
          </w:tcPr>
          <w:p w14:paraId="60B7A7AB" w14:textId="77777777"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69.0%</w:t>
            </w:r>
          </w:p>
        </w:tc>
        <w:tc>
          <w:tcPr>
            <w:tcW w:w="714" w:type="pct"/>
          </w:tcPr>
          <w:p w14:paraId="7E55A081" w14:textId="22AE83F3" w:rsidR="00942C9F" w:rsidRPr="00942C9F" w:rsidRDefault="00942C9F" w:rsidP="00942C9F">
            <w:pPr>
              <w:spacing w:before="0"/>
              <w:contextualSpacing/>
              <w:jc w:val="right"/>
              <w:rPr>
                <w:rFonts w:ascii="Calibri" w:eastAsia="Times New Roman" w:hAnsi="Calibri" w:cs="Calibri"/>
                <w:color w:val="000000"/>
                <w:sz w:val="18"/>
                <w:szCs w:val="18"/>
                <w:lang w:eastAsia="en-AU"/>
              </w:rPr>
            </w:pPr>
            <w:r w:rsidRPr="00942C9F">
              <w:rPr>
                <w:rFonts w:ascii="Calibri" w:eastAsia="Times New Roman" w:hAnsi="Calibri" w:cs="Calibri"/>
                <w:color w:val="000000"/>
                <w:sz w:val="18"/>
                <w:szCs w:val="18"/>
                <w:lang w:eastAsia="en-AU"/>
              </w:rPr>
              <w:t>132,553</w:t>
            </w:r>
          </w:p>
        </w:tc>
        <w:tc>
          <w:tcPr>
            <w:tcW w:w="713" w:type="pct"/>
          </w:tcPr>
          <w:p w14:paraId="6D56F908" w14:textId="491F9BC8" w:rsidR="00942C9F" w:rsidRPr="00E522D0" w:rsidRDefault="009979DB" w:rsidP="00A219DA">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72.</w:t>
            </w:r>
            <w:r w:rsidR="00A219DA">
              <w:rPr>
                <w:rFonts w:ascii="Calibri" w:eastAsia="Times New Roman" w:hAnsi="Calibri" w:cs="Calibri"/>
                <w:color w:val="000000"/>
                <w:sz w:val="18"/>
                <w:szCs w:val="18"/>
                <w:lang w:eastAsia="en-AU"/>
              </w:rPr>
              <w:t>6</w:t>
            </w:r>
            <w:r w:rsidR="00B808F7">
              <w:rPr>
                <w:rFonts w:ascii="Calibri" w:eastAsia="Times New Roman" w:hAnsi="Calibri" w:cs="Calibri"/>
                <w:color w:val="000000"/>
                <w:sz w:val="18"/>
                <w:szCs w:val="18"/>
                <w:lang w:eastAsia="en-AU"/>
              </w:rPr>
              <w:t>%</w:t>
            </w:r>
          </w:p>
        </w:tc>
      </w:tr>
      <w:tr w:rsidR="00942C9F" w:rsidRPr="00E522D0" w14:paraId="2C672952" w14:textId="2DBBB509" w:rsidTr="00D728EC">
        <w:trPr>
          <w:trHeight w:val="227"/>
        </w:trPr>
        <w:tc>
          <w:tcPr>
            <w:tcW w:w="2145" w:type="pct"/>
            <w:noWrap/>
            <w:hideMark/>
          </w:tcPr>
          <w:p w14:paraId="4D7C4497" w14:textId="4F9A9388"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Second</w:t>
            </w:r>
          </w:p>
        </w:tc>
        <w:tc>
          <w:tcPr>
            <w:tcW w:w="714" w:type="pct"/>
            <w:noWrap/>
            <w:vAlign w:val="center"/>
            <w:hideMark/>
          </w:tcPr>
          <w:p w14:paraId="33603956" w14:textId="77777777"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4,285</w:t>
            </w:r>
          </w:p>
        </w:tc>
        <w:tc>
          <w:tcPr>
            <w:tcW w:w="714" w:type="pct"/>
            <w:noWrap/>
            <w:vAlign w:val="center"/>
            <w:hideMark/>
          </w:tcPr>
          <w:p w14:paraId="0D846D70" w14:textId="77777777"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20.1%</w:t>
            </w:r>
          </w:p>
        </w:tc>
        <w:tc>
          <w:tcPr>
            <w:tcW w:w="714" w:type="pct"/>
          </w:tcPr>
          <w:p w14:paraId="2FF726CB" w14:textId="1C08BE1F" w:rsidR="00942C9F" w:rsidRPr="00E522D0" w:rsidRDefault="00942C9F" w:rsidP="00942C9F">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31,695</w:t>
            </w:r>
          </w:p>
        </w:tc>
        <w:tc>
          <w:tcPr>
            <w:tcW w:w="713" w:type="pct"/>
          </w:tcPr>
          <w:p w14:paraId="151CE4AD" w14:textId="65504A9B" w:rsidR="00942C9F" w:rsidRPr="00E522D0" w:rsidRDefault="00900FC1" w:rsidP="00942C9F">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7.7%</w:t>
            </w:r>
          </w:p>
        </w:tc>
      </w:tr>
      <w:tr w:rsidR="00673D8E" w:rsidRPr="00E522D0" w14:paraId="7B42CA3E" w14:textId="3A1F5661" w:rsidTr="00D728EC">
        <w:trPr>
          <w:trHeight w:val="227"/>
        </w:trPr>
        <w:tc>
          <w:tcPr>
            <w:tcW w:w="2145" w:type="pct"/>
            <w:shd w:val="clear" w:color="auto" w:fill="C6DEF5" w:themeFill="accent1" w:themeFillTint="33"/>
            <w:noWrap/>
            <w:hideMark/>
          </w:tcPr>
          <w:p w14:paraId="0CA8FB25" w14:textId="224ACF56" w:rsidR="00673D8E" w:rsidRPr="00E522D0" w:rsidRDefault="00673D8E" w:rsidP="00611A41">
            <w:pPr>
              <w:spacing w:before="0"/>
              <w:contextualSpacing/>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462 (Work and Holiday)</w:t>
            </w:r>
          </w:p>
        </w:tc>
        <w:tc>
          <w:tcPr>
            <w:tcW w:w="714" w:type="pct"/>
            <w:shd w:val="clear" w:color="auto" w:fill="C6DEF5" w:themeFill="accent1" w:themeFillTint="33"/>
            <w:noWrap/>
            <w:vAlign w:val="center"/>
            <w:hideMark/>
          </w:tcPr>
          <w:p w14:paraId="49B77170" w14:textId="77777777" w:rsidR="00673D8E" w:rsidRPr="00E522D0" w:rsidRDefault="00673D8E" w:rsidP="00273D26">
            <w:pPr>
              <w:spacing w:before="0"/>
              <w:contextualSpacing/>
              <w:jc w:val="right"/>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2,332</w:t>
            </w:r>
          </w:p>
        </w:tc>
        <w:tc>
          <w:tcPr>
            <w:tcW w:w="714" w:type="pct"/>
            <w:shd w:val="clear" w:color="auto" w:fill="C6DEF5" w:themeFill="accent1" w:themeFillTint="33"/>
            <w:noWrap/>
            <w:vAlign w:val="center"/>
            <w:hideMark/>
          </w:tcPr>
          <w:p w14:paraId="1D87BBF8" w14:textId="77777777" w:rsidR="00673D8E" w:rsidRPr="00E522D0" w:rsidRDefault="00673D8E" w:rsidP="00273D26">
            <w:pPr>
              <w:spacing w:before="0"/>
              <w:contextualSpacing/>
              <w:jc w:val="right"/>
              <w:rPr>
                <w:rFonts w:ascii="Calibri" w:eastAsia="Times New Roman" w:hAnsi="Calibri" w:cs="Calibri"/>
                <w:b/>
                <w:bCs/>
                <w:color w:val="000000"/>
                <w:sz w:val="18"/>
                <w:szCs w:val="18"/>
                <w:lang w:eastAsia="en-AU"/>
              </w:rPr>
            </w:pPr>
            <w:r w:rsidRPr="00E522D0">
              <w:rPr>
                <w:rFonts w:ascii="Calibri" w:eastAsia="Times New Roman" w:hAnsi="Calibri" w:cs="Calibri"/>
                <w:b/>
                <w:bCs/>
                <w:color w:val="000000"/>
                <w:sz w:val="18"/>
                <w:szCs w:val="18"/>
                <w:lang w:eastAsia="en-AU"/>
              </w:rPr>
              <w:t>10.9%</w:t>
            </w:r>
          </w:p>
        </w:tc>
        <w:tc>
          <w:tcPr>
            <w:tcW w:w="714" w:type="pct"/>
            <w:shd w:val="clear" w:color="auto" w:fill="C6DEF5" w:themeFill="accent1" w:themeFillTint="33"/>
          </w:tcPr>
          <w:p w14:paraId="58D7AC55" w14:textId="016BB27A" w:rsidR="00673D8E" w:rsidRPr="00E522D0" w:rsidRDefault="00B11D02" w:rsidP="00273D26">
            <w:pPr>
              <w:spacing w:before="0"/>
              <w:contextualSpacing/>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18,329</w:t>
            </w:r>
          </w:p>
        </w:tc>
        <w:tc>
          <w:tcPr>
            <w:tcW w:w="713" w:type="pct"/>
            <w:shd w:val="clear" w:color="auto" w:fill="C6DEF5" w:themeFill="accent1" w:themeFillTint="33"/>
          </w:tcPr>
          <w:p w14:paraId="5F418F8B" w14:textId="1DB58201" w:rsidR="00673D8E" w:rsidRPr="00E522D0" w:rsidRDefault="00900FC1" w:rsidP="00273D26">
            <w:pPr>
              <w:spacing w:before="0"/>
              <w:contextualSpacing/>
              <w:jc w:val="right"/>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10.0%</w:t>
            </w:r>
          </w:p>
        </w:tc>
      </w:tr>
      <w:tr w:rsidR="00673D8E" w:rsidRPr="00E522D0" w14:paraId="4E386558" w14:textId="2807B19F" w:rsidTr="00D728EC">
        <w:trPr>
          <w:trHeight w:val="227"/>
        </w:trPr>
        <w:tc>
          <w:tcPr>
            <w:tcW w:w="2145" w:type="pct"/>
            <w:noWrap/>
            <w:hideMark/>
          </w:tcPr>
          <w:p w14:paraId="4C55B2B8" w14:textId="23A84C03" w:rsidR="00673D8E" w:rsidRPr="00E522D0" w:rsidRDefault="00673D8E" w:rsidP="00D50FDB">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First</w:t>
            </w:r>
          </w:p>
        </w:tc>
        <w:tc>
          <w:tcPr>
            <w:tcW w:w="714" w:type="pct"/>
            <w:noWrap/>
            <w:vAlign w:val="center"/>
            <w:hideMark/>
          </w:tcPr>
          <w:p w14:paraId="0EB622F9"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1,315</w:t>
            </w:r>
          </w:p>
        </w:tc>
        <w:tc>
          <w:tcPr>
            <w:tcW w:w="714" w:type="pct"/>
            <w:noWrap/>
            <w:vAlign w:val="center"/>
            <w:hideMark/>
          </w:tcPr>
          <w:p w14:paraId="7C687409"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6.2%</w:t>
            </w:r>
          </w:p>
        </w:tc>
        <w:tc>
          <w:tcPr>
            <w:tcW w:w="714" w:type="pct"/>
          </w:tcPr>
          <w:p w14:paraId="0FED621A" w14:textId="2FE9100C" w:rsidR="00673D8E" w:rsidRPr="00E522D0" w:rsidRDefault="00B11D02"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14,021</w:t>
            </w:r>
          </w:p>
        </w:tc>
        <w:tc>
          <w:tcPr>
            <w:tcW w:w="713" w:type="pct"/>
          </w:tcPr>
          <w:p w14:paraId="4A35DF8D" w14:textId="49A15A10" w:rsidR="00673D8E" w:rsidRPr="00E522D0" w:rsidRDefault="00900FC1"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7.7%</w:t>
            </w:r>
          </w:p>
        </w:tc>
      </w:tr>
      <w:tr w:rsidR="00673D8E" w:rsidRPr="00E522D0" w14:paraId="278BD8DF" w14:textId="1354576A" w:rsidTr="00D728EC">
        <w:trPr>
          <w:trHeight w:val="227"/>
        </w:trPr>
        <w:tc>
          <w:tcPr>
            <w:tcW w:w="2145" w:type="pct"/>
            <w:noWrap/>
            <w:hideMark/>
          </w:tcPr>
          <w:p w14:paraId="6494C658" w14:textId="586DA816" w:rsidR="00673D8E" w:rsidRPr="00E522D0" w:rsidRDefault="00673D8E" w:rsidP="00D50FDB">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Second</w:t>
            </w:r>
          </w:p>
        </w:tc>
        <w:tc>
          <w:tcPr>
            <w:tcW w:w="714" w:type="pct"/>
            <w:noWrap/>
            <w:vAlign w:val="center"/>
            <w:hideMark/>
          </w:tcPr>
          <w:p w14:paraId="3A8A14F5"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1,017</w:t>
            </w:r>
          </w:p>
        </w:tc>
        <w:tc>
          <w:tcPr>
            <w:tcW w:w="714" w:type="pct"/>
            <w:noWrap/>
            <w:vAlign w:val="center"/>
            <w:hideMark/>
          </w:tcPr>
          <w:p w14:paraId="5E52BF90"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4.8%</w:t>
            </w:r>
          </w:p>
        </w:tc>
        <w:tc>
          <w:tcPr>
            <w:tcW w:w="714" w:type="pct"/>
          </w:tcPr>
          <w:p w14:paraId="31772A65" w14:textId="09643174" w:rsidR="00673D8E" w:rsidRPr="00E522D0" w:rsidRDefault="00B11D02"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4,308</w:t>
            </w:r>
          </w:p>
        </w:tc>
        <w:tc>
          <w:tcPr>
            <w:tcW w:w="713" w:type="pct"/>
          </w:tcPr>
          <w:p w14:paraId="25AA284B" w14:textId="455F52BD" w:rsidR="00673D8E" w:rsidRPr="00E522D0" w:rsidRDefault="00900FC1"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2.4%</w:t>
            </w:r>
          </w:p>
        </w:tc>
      </w:tr>
      <w:tr w:rsidR="00673D8E" w:rsidRPr="00E522D0" w14:paraId="35B7678C" w14:textId="39E4B900" w:rsidTr="00D728EC">
        <w:trPr>
          <w:cnfStyle w:val="010000000000" w:firstRow="0" w:lastRow="1" w:firstColumn="0" w:lastColumn="0" w:oddVBand="0" w:evenVBand="0" w:oddHBand="0" w:evenHBand="0" w:firstRowFirstColumn="0" w:firstRowLastColumn="0" w:lastRowFirstColumn="0" w:lastRowLastColumn="0"/>
          <w:trHeight w:val="227"/>
        </w:trPr>
        <w:tc>
          <w:tcPr>
            <w:tcW w:w="2145" w:type="pct"/>
            <w:noWrap/>
            <w:hideMark/>
          </w:tcPr>
          <w:p w14:paraId="3B0BA985" w14:textId="77777777" w:rsidR="00673D8E" w:rsidRPr="00E522D0" w:rsidRDefault="00673D8E" w:rsidP="00611A41">
            <w:pPr>
              <w:spacing w:before="0"/>
              <w:contextualSpacing/>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TOTAL</w:t>
            </w:r>
          </w:p>
        </w:tc>
        <w:tc>
          <w:tcPr>
            <w:tcW w:w="714" w:type="pct"/>
            <w:noWrap/>
            <w:vAlign w:val="center"/>
            <w:hideMark/>
          </w:tcPr>
          <w:p w14:paraId="49732A3C"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21,315</w:t>
            </w:r>
          </w:p>
        </w:tc>
        <w:tc>
          <w:tcPr>
            <w:tcW w:w="714" w:type="pct"/>
            <w:noWrap/>
            <w:vAlign w:val="center"/>
            <w:hideMark/>
          </w:tcPr>
          <w:p w14:paraId="62280E3F" w14:textId="77777777" w:rsidR="00673D8E" w:rsidRPr="00E522D0" w:rsidRDefault="00673D8E" w:rsidP="00273D26">
            <w:pPr>
              <w:spacing w:before="0"/>
              <w:contextualSpacing/>
              <w:jc w:val="right"/>
              <w:rPr>
                <w:rFonts w:ascii="Calibri" w:eastAsia="Times New Roman" w:hAnsi="Calibri" w:cs="Calibri"/>
                <w:color w:val="000000"/>
                <w:sz w:val="18"/>
                <w:szCs w:val="18"/>
                <w:lang w:eastAsia="en-AU"/>
              </w:rPr>
            </w:pPr>
            <w:r w:rsidRPr="00E522D0">
              <w:rPr>
                <w:rFonts w:ascii="Calibri" w:eastAsia="Times New Roman" w:hAnsi="Calibri" w:cs="Calibri"/>
                <w:color w:val="000000"/>
                <w:sz w:val="18"/>
                <w:szCs w:val="18"/>
                <w:lang w:eastAsia="en-AU"/>
              </w:rPr>
              <w:t>100%</w:t>
            </w:r>
          </w:p>
        </w:tc>
        <w:tc>
          <w:tcPr>
            <w:tcW w:w="714" w:type="pct"/>
          </w:tcPr>
          <w:p w14:paraId="7C4A1F2A" w14:textId="38391FBD" w:rsidR="00673D8E" w:rsidRPr="00E522D0" w:rsidRDefault="000023B9"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182</w:t>
            </w:r>
            <w:r w:rsidR="00942C9F">
              <w:rPr>
                <w:rFonts w:ascii="Calibri" w:eastAsia="Times New Roman" w:hAnsi="Calibri" w:cs="Calibri"/>
                <w:color w:val="000000"/>
                <w:sz w:val="18"/>
                <w:szCs w:val="18"/>
                <w:lang w:eastAsia="en-AU"/>
              </w:rPr>
              <w:t>,5277</w:t>
            </w:r>
          </w:p>
        </w:tc>
        <w:tc>
          <w:tcPr>
            <w:tcW w:w="713" w:type="pct"/>
          </w:tcPr>
          <w:p w14:paraId="169A19A2" w14:textId="1C0DDA08" w:rsidR="00673D8E" w:rsidRPr="00E522D0" w:rsidRDefault="00900FC1" w:rsidP="00273D26">
            <w:pPr>
              <w:spacing w:before="0"/>
              <w:contextualSpacing/>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100.0%</w:t>
            </w:r>
          </w:p>
        </w:tc>
      </w:tr>
    </w:tbl>
    <w:p w14:paraId="5E4A4CE7" w14:textId="38A884C8" w:rsidR="005E6426" w:rsidRPr="009269D0" w:rsidRDefault="009269D0" w:rsidP="009269D0">
      <w:pPr>
        <w:pStyle w:val="Tablenote"/>
        <w:rPr>
          <w:rFonts w:ascii="Calibri" w:eastAsia="Times New Roman" w:hAnsi="Calibri" w:cs="Calibri"/>
          <w:b/>
          <w:bCs/>
          <w:noProof w:val="0"/>
          <w:color w:val="FFFFFF"/>
          <w:sz w:val="20"/>
          <w:szCs w:val="20"/>
          <w:lang w:eastAsia="en-AU"/>
        </w:rPr>
      </w:pPr>
      <w:r w:rsidRPr="009D07D8">
        <w:t xml:space="preserve">Source: </w:t>
      </w:r>
      <w:r w:rsidR="00533FC6">
        <w:t>WHM</w:t>
      </w:r>
      <w:r w:rsidRPr="009D07D8">
        <w:t xml:space="preserve"> Survey, 2020.</w:t>
      </w:r>
    </w:p>
    <w:p w14:paraId="4878413C" w14:textId="77777777" w:rsidR="00BD6B2F" w:rsidRDefault="00BD6B2F" w:rsidP="002E77A1">
      <w:pPr>
        <w:pStyle w:val="Heading2"/>
      </w:pPr>
      <w:bookmarkStart w:id="36" w:name="_Toc75878449"/>
      <w:r w:rsidRPr="0020222C">
        <w:t>Reasons for visit</w:t>
      </w:r>
      <w:bookmarkEnd w:id="36"/>
    </w:p>
    <w:p w14:paraId="486B6ECB" w14:textId="3DF0521A" w:rsidR="00BD6B2F" w:rsidRPr="00D12A31" w:rsidRDefault="00BD6B2F" w:rsidP="00BD6B2F">
      <w:r>
        <w:t xml:space="preserve">Respondents </w:t>
      </w:r>
      <w:r w:rsidR="00350C04">
        <w:t>provided information about</w:t>
      </w:r>
      <w:r>
        <w:t xml:space="preserve"> their principal reasons for coming to Australia. More than two-thirds </w:t>
      </w:r>
      <w:r w:rsidR="00350C04">
        <w:t>(67.4%)</w:t>
      </w:r>
      <w:r>
        <w:t xml:space="preserve"> indicated they wanted to travel around Australia, and </w:t>
      </w:r>
      <w:r w:rsidR="000D2A0C">
        <w:t>al</w:t>
      </w:r>
      <w:r w:rsidR="00885752">
        <w:t>most</w:t>
      </w:r>
      <w:r>
        <w:t xml:space="preserve"> three in five </w:t>
      </w:r>
      <w:r w:rsidR="000D2A0C">
        <w:t>(58.8%)</w:t>
      </w:r>
      <w:r>
        <w:t xml:space="preserve"> wanted to work in Australia (see </w:t>
      </w:r>
      <w:r>
        <w:fldChar w:fldCharType="begin"/>
      </w:r>
      <w:r>
        <w:instrText xml:space="preserve"> REF _Ref54619004 \h </w:instrText>
      </w:r>
      <w:r>
        <w:fldChar w:fldCharType="separate"/>
      </w:r>
      <w:r w:rsidR="00F22012" w:rsidRPr="0020222C">
        <w:t xml:space="preserve">Table </w:t>
      </w:r>
      <w:r w:rsidR="00F22012">
        <w:rPr>
          <w:noProof/>
        </w:rPr>
        <w:t>4</w:t>
      </w:r>
      <w:r w:rsidR="00F22012">
        <w:noBreakHyphen/>
      </w:r>
      <w:r w:rsidR="00F22012">
        <w:rPr>
          <w:noProof/>
        </w:rPr>
        <w:t>2</w:t>
      </w:r>
      <w:r>
        <w:fldChar w:fldCharType="end"/>
      </w:r>
      <w:r>
        <w:t xml:space="preserve">). Australia was also viewed by more than one-third as a desirable place to come to improve English </w:t>
      </w:r>
      <w:r w:rsidR="00885752">
        <w:t>(40.7%)</w:t>
      </w:r>
      <w:r>
        <w:t xml:space="preserve"> and as a safe place to visit</w:t>
      </w:r>
      <w:r w:rsidR="00885752">
        <w:t xml:space="preserve"> (33.9%)</w:t>
      </w:r>
      <w:r>
        <w:t>. One in twenty</w:t>
      </w:r>
      <w:r w:rsidR="00DB338D">
        <w:t xml:space="preserve"> (4.8%)</w:t>
      </w:r>
      <w:r>
        <w:t xml:space="preserve"> respondents reported a range of </w:t>
      </w:r>
      <w:r w:rsidR="00DB338D">
        <w:t>‘</w:t>
      </w:r>
      <w:r>
        <w:t>other</w:t>
      </w:r>
      <w:r w:rsidR="00DB338D">
        <w:t>’</w:t>
      </w:r>
      <w:r>
        <w:t xml:space="preserve"> reasons, many of these mentioned a desire to experience Australian culture</w:t>
      </w:r>
      <w:r w:rsidR="00BA6FB5">
        <w:t xml:space="preserve"> and </w:t>
      </w:r>
      <w:r>
        <w:t>to see the country and its flora and fauna</w:t>
      </w:r>
      <w:r w:rsidR="00BA6FB5">
        <w:t>,</w:t>
      </w:r>
      <w:r>
        <w:t xml:space="preserve"> while others had chosen to undertake an internship in Australia.</w:t>
      </w:r>
    </w:p>
    <w:p w14:paraId="5C862CF9" w14:textId="0AA9BAE3" w:rsidR="00BD6B2F" w:rsidRDefault="00BD6B2F" w:rsidP="00BD6B2F">
      <w:pPr>
        <w:pStyle w:val="Caption"/>
      </w:pPr>
      <w:bookmarkStart w:id="37" w:name="_Ref54619004"/>
      <w:bookmarkStart w:id="38" w:name="_Toc75878593"/>
      <w:r w:rsidRPr="0020222C">
        <w:t xml:space="preserve">Table </w:t>
      </w:r>
      <w:r>
        <w:fldChar w:fldCharType="begin"/>
      </w:r>
      <w:r>
        <w:instrText>STYLEREF 1 \s</w:instrText>
      </w:r>
      <w:r>
        <w:fldChar w:fldCharType="separate"/>
      </w:r>
      <w:r w:rsidR="00F22012">
        <w:rPr>
          <w:noProof/>
        </w:rPr>
        <w:t>4</w:t>
      </w:r>
      <w:r>
        <w:fldChar w:fldCharType="end"/>
      </w:r>
      <w:r w:rsidR="00E71DF1">
        <w:noBreakHyphen/>
      </w:r>
      <w:r>
        <w:fldChar w:fldCharType="begin"/>
      </w:r>
      <w:r>
        <w:instrText>SEQ Table \* ARABIC \s 1</w:instrText>
      </w:r>
      <w:r>
        <w:fldChar w:fldCharType="separate"/>
      </w:r>
      <w:r w:rsidR="00F22012">
        <w:rPr>
          <w:noProof/>
        </w:rPr>
        <w:t>2</w:t>
      </w:r>
      <w:r>
        <w:fldChar w:fldCharType="end"/>
      </w:r>
      <w:bookmarkEnd w:id="37"/>
      <w:r w:rsidRPr="0020222C">
        <w:t>: Principal reasons for WHMS coming to Australia</w:t>
      </w:r>
      <w:bookmarkEnd w:id="38"/>
    </w:p>
    <w:tbl>
      <w:tblPr>
        <w:tblStyle w:val="ListTable4-Accent4"/>
        <w:tblW w:w="7880" w:type="dxa"/>
        <w:tblLook w:val="0420" w:firstRow="1" w:lastRow="0" w:firstColumn="0" w:lastColumn="0" w:noHBand="0" w:noVBand="1"/>
      </w:tblPr>
      <w:tblGrid>
        <w:gridCol w:w="5720"/>
        <w:gridCol w:w="1100"/>
        <w:gridCol w:w="1060"/>
      </w:tblGrid>
      <w:tr w:rsidR="00672AAB" w:rsidRPr="00850496" w14:paraId="0BD1AEC9" w14:textId="77777777" w:rsidTr="0089584B">
        <w:trPr>
          <w:cnfStyle w:val="100000000000" w:firstRow="1" w:lastRow="0" w:firstColumn="0" w:lastColumn="0" w:oddVBand="0" w:evenVBand="0" w:oddHBand="0" w:evenHBand="0" w:firstRowFirstColumn="0" w:firstRowLastColumn="0" w:lastRowFirstColumn="0" w:lastRowLastColumn="0"/>
          <w:trHeight w:val="525"/>
        </w:trPr>
        <w:tc>
          <w:tcPr>
            <w:tcW w:w="5720" w:type="dxa"/>
            <w:noWrap/>
            <w:hideMark/>
          </w:tcPr>
          <w:p w14:paraId="0336E1C8" w14:textId="77777777" w:rsidR="00672AAB" w:rsidRPr="00850496" w:rsidRDefault="00672AAB" w:rsidP="00672AAB">
            <w:pPr>
              <w:spacing w:before="0"/>
              <w:rPr>
                <w:rFonts w:ascii="Calibri" w:eastAsia="Times New Roman" w:hAnsi="Calibri" w:cs="Calibri"/>
                <w:color w:val="FFFFFF"/>
                <w:sz w:val="18"/>
                <w:szCs w:val="18"/>
                <w:lang w:eastAsia="en-AU"/>
              </w:rPr>
            </w:pPr>
            <w:r w:rsidRPr="004F5386">
              <w:rPr>
                <w:rFonts w:ascii="Calibri" w:eastAsia="Times New Roman" w:hAnsi="Calibri" w:cs="Calibri"/>
                <w:color w:val="auto"/>
                <w:sz w:val="18"/>
                <w:szCs w:val="18"/>
                <w:lang w:eastAsia="en-AU"/>
              </w:rPr>
              <w:t>Reasons</w:t>
            </w:r>
          </w:p>
        </w:tc>
        <w:tc>
          <w:tcPr>
            <w:tcW w:w="1100" w:type="dxa"/>
            <w:hideMark/>
          </w:tcPr>
          <w:p w14:paraId="6B8071E5" w14:textId="77777777" w:rsidR="00672AAB" w:rsidRPr="00850496" w:rsidRDefault="00672AAB" w:rsidP="00672AAB">
            <w:pPr>
              <w:spacing w:before="0"/>
              <w:jc w:val="center"/>
              <w:rPr>
                <w:rFonts w:ascii="Calibri" w:eastAsia="Times New Roman" w:hAnsi="Calibri" w:cs="Calibri"/>
                <w:color w:val="FFFFFF"/>
                <w:sz w:val="18"/>
                <w:szCs w:val="18"/>
                <w:lang w:eastAsia="en-AU"/>
              </w:rPr>
            </w:pPr>
            <w:r w:rsidRPr="004F5386">
              <w:rPr>
                <w:rFonts w:ascii="Calibri" w:eastAsia="Times New Roman" w:hAnsi="Calibri" w:cs="Calibri"/>
                <w:color w:val="auto"/>
                <w:sz w:val="18"/>
                <w:szCs w:val="18"/>
                <w:lang w:eastAsia="en-AU"/>
              </w:rPr>
              <w:t>No. of responses</w:t>
            </w:r>
          </w:p>
        </w:tc>
        <w:tc>
          <w:tcPr>
            <w:tcW w:w="1060" w:type="dxa"/>
            <w:hideMark/>
          </w:tcPr>
          <w:p w14:paraId="399E5FE5" w14:textId="77777777" w:rsidR="00672AAB" w:rsidRPr="00850496" w:rsidRDefault="00672AAB" w:rsidP="00672AAB">
            <w:pPr>
              <w:spacing w:before="0"/>
              <w:jc w:val="center"/>
              <w:rPr>
                <w:rFonts w:ascii="Calibri" w:eastAsia="Times New Roman" w:hAnsi="Calibri" w:cs="Calibri"/>
                <w:color w:val="FFFFFF"/>
                <w:sz w:val="18"/>
                <w:szCs w:val="18"/>
                <w:lang w:eastAsia="en-AU"/>
              </w:rPr>
            </w:pPr>
            <w:r w:rsidRPr="004F5386">
              <w:rPr>
                <w:rFonts w:ascii="Calibri" w:eastAsia="Times New Roman" w:hAnsi="Calibri" w:cs="Calibri"/>
                <w:color w:val="auto"/>
                <w:sz w:val="18"/>
                <w:szCs w:val="18"/>
                <w:lang w:eastAsia="en-AU"/>
              </w:rPr>
              <w:t>%</w:t>
            </w:r>
          </w:p>
        </w:tc>
      </w:tr>
      <w:tr w:rsidR="00672AAB" w:rsidRPr="00850496" w14:paraId="6AD104EB"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062AF94A"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wanted to travel around Australia</w:t>
            </w:r>
          </w:p>
        </w:tc>
        <w:tc>
          <w:tcPr>
            <w:tcW w:w="1100" w:type="dxa"/>
            <w:noWrap/>
            <w:hideMark/>
          </w:tcPr>
          <w:p w14:paraId="39AA3C10" w14:textId="52F786D3"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14</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363</w:t>
            </w:r>
          </w:p>
        </w:tc>
        <w:tc>
          <w:tcPr>
            <w:tcW w:w="1060" w:type="dxa"/>
            <w:noWrap/>
            <w:hideMark/>
          </w:tcPr>
          <w:p w14:paraId="52CF03C9"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67.4%</w:t>
            </w:r>
          </w:p>
        </w:tc>
      </w:tr>
      <w:tr w:rsidR="00672AAB" w:rsidRPr="00850496" w14:paraId="342BD14E" w14:textId="77777777" w:rsidTr="0089584B">
        <w:trPr>
          <w:trHeight w:val="300"/>
        </w:trPr>
        <w:tc>
          <w:tcPr>
            <w:tcW w:w="5720" w:type="dxa"/>
            <w:noWrap/>
            <w:hideMark/>
          </w:tcPr>
          <w:p w14:paraId="6FB68F79"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wanted to work in Australia</w:t>
            </w:r>
          </w:p>
        </w:tc>
        <w:tc>
          <w:tcPr>
            <w:tcW w:w="1100" w:type="dxa"/>
            <w:noWrap/>
            <w:hideMark/>
          </w:tcPr>
          <w:p w14:paraId="49AB0892" w14:textId="7CFC1C26"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12</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527</w:t>
            </w:r>
          </w:p>
        </w:tc>
        <w:tc>
          <w:tcPr>
            <w:tcW w:w="1060" w:type="dxa"/>
            <w:noWrap/>
            <w:hideMark/>
          </w:tcPr>
          <w:p w14:paraId="4174AD5E"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58.8%</w:t>
            </w:r>
          </w:p>
        </w:tc>
      </w:tr>
      <w:tr w:rsidR="00672AAB" w:rsidRPr="00850496" w14:paraId="0BCE9236"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1009753B"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wanted to improve my English</w:t>
            </w:r>
          </w:p>
        </w:tc>
        <w:tc>
          <w:tcPr>
            <w:tcW w:w="1100" w:type="dxa"/>
            <w:noWrap/>
            <w:hideMark/>
          </w:tcPr>
          <w:p w14:paraId="55E30E62" w14:textId="6ED0D34A"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8</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667</w:t>
            </w:r>
          </w:p>
        </w:tc>
        <w:tc>
          <w:tcPr>
            <w:tcW w:w="1060" w:type="dxa"/>
            <w:noWrap/>
            <w:hideMark/>
          </w:tcPr>
          <w:p w14:paraId="02AB970D"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40.7%</w:t>
            </w:r>
          </w:p>
        </w:tc>
      </w:tr>
      <w:tr w:rsidR="00672AAB" w:rsidRPr="00850496" w14:paraId="730ED250" w14:textId="77777777" w:rsidTr="0089584B">
        <w:trPr>
          <w:trHeight w:val="300"/>
        </w:trPr>
        <w:tc>
          <w:tcPr>
            <w:tcW w:w="5720" w:type="dxa"/>
            <w:noWrap/>
            <w:hideMark/>
          </w:tcPr>
          <w:p w14:paraId="0ECBD5D9"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felt that Australia is a safe place to visit</w:t>
            </w:r>
          </w:p>
        </w:tc>
        <w:tc>
          <w:tcPr>
            <w:tcW w:w="1100" w:type="dxa"/>
            <w:noWrap/>
            <w:hideMark/>
          </w:tcPr>
          <w:p w14:paraId="3CD7A117" w14:textId="5C46B6E4"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7</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223</w:t>
            </w:r>
          </w:p>
        </w:tc>
        <w:tc>
          <w:tcPr>
            <w:tcW w:w="1060" w:type="dxa"/>
            <w:noWrap/>
            <w:hideMark/>
          </w:tcPr>
          <w:p w14:paraId="374BD3F3"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33.9%</w:t>
            </w:r>
          </w:p>
        </w:tc>
      </w:tr>
      <w:tr w:rsidR="00672AAB" w:rsidRPr="00850496" w14:paraId="2F2B46F2"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1AA73A61"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The beach and surf lifestyle appealed to me</w:t>
            </w:r>
          </w:p>
        </w:tc>
        <w:tc>
          <w:tcPr>
            <w:tcW w:w="1100" w:type="dxa"/>
            <w:noWrap/>
            <w:hideMark/>
          </w:tcPr>
          <w:p w14:paraId="1C7763B2" w14:textId="1FE33028"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6</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650</w:t>
            </w:r>
          </w:p>
        </w:tc>
        <w:tc>
          <w:tcPr>
            <w:tcW w:w="1060" w:type="dxa"/>
            <w:noWrap/>
            <w:hideMark/>
          </w:tcPr>
          <w:p w14:paraId="2B386FF1"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31.2%</w:t>
            </w:r>
          </w:p>
        </w:tc>
      </w:tr>
      <w:tr w:rsidR="00672AAB" w:rsidRPr="00850496" w14:paraId="3B339384" w14:textId="77777777" w:rsidTr="0089584B">
        <w:trPr>
          <w:trHeight w:val="300"/>
        </w:trPr>
        <w:tc>
          <w:tcPr>
            <w:tcW w:w="5720" w:type="dxa"/>
            <w:noWrap/>
            <w:hideMark/>
          </w:tcPr>
          <w:p w14:paraId="2A4D75F3"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It was recommended by friends or family</w:t>
            </w:r>
          </w:p>
        </w:tc>
        <w:tc>
          <w:tcPr>
            <w:tcW w:w="1100" w:type="dxa"/>
            <w:noWrap/>
            <w:hideMark/>
          </w:tcPr>
          <w:p w14:paraId="78B2C26A" w14:textId="69BB3483"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5</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605</w:t>
            </w:r>
          </w:p>
        </w:tc>
        <w:tc>
          <w:tcPr>
            <w:tcW w:w="1060" w:type="dxa"/>
            <w:noWrap/>
            <w:hideMark/>
          </w:tcPr>
          <w:p w14:paraId="7CD96639"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26.3%</w:t>
            </w:r>
          </w:p>
        </w:tc>
      </w:tr>
      <w:tr w:rsidR="00672AAB" w:rsidRPr="00850496" w14:paraId="47A9A18E"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44AEFDB4"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wanted to visit friends or family</w:t>
            </w:r>
          </w:p>
        </w:tc>
        <w:tc>
          <w:tcPr>
            <w:tcW w:w="1100" w:type="dxa"/>
            <w:noWrap/>
            <w:hideMark/>
          </w:tcPr>
          <w:p w14:paraId="0847B890" w14:textId="4DDA7874"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3</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494</w:t>
            </w:r>
          </w:p>
        </w:tc>
        <w:tc>
          <w:tcPr>
            <w:tcW w:w="1060" w:type="dxa"/>
            <w:noWrap/>
            <w:hideMark/>
          </w:tcPr>
          <w:p w14:paraId="42801B71"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16.4%</w:t>
            </w:r>
          </w:p>
        </w:tc>
      </w:tr>
      <w:tr w:rsidR="00672AAB" w:rsidRPr="00850496" w14:paraId="03729271" w14:textId="77777777" w:rsidTr="0089584B">
        <w:trPr>
          <w:trHeight w:val="300"/>
        </w:trPr>
        <w:tc>
          <w:tcPr>
            <w:tcW w:w="5720" w:type="dxa"/>
            <w:noWrap/>
            <w:hideMark/>
          </w:tcPr>
          <w:p w14:paraId="51A7A6D1"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was visiting other countries in the region</w:t>
            </w:r>
          </w:p>
        </w:tc>
        <w:tc>
          <w:tcPr>
            <w:tcW w:w="1100" w:type="dxa"/>
            <w:noWrap/>
            <w:hideMark/>
          </w:tcPr>
          <w:p w14:paraId="27B77EC9" w14:textId="514BE570"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286</w:t>
            </w:r>
          </w:p>
        </w:tc>
        <w:tc>
          <w:tcPr>
            <w:tcW w:w="1060" w:type="dxa"/>
            <w:noWrap/>
            <w:hideMark/>
          </w:tcPr>
          <w:p w14:paraId="4587BD36"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10.7%</w:t>
            </w:r>
          </w:p>
        </w:tc>
      </w:tr>
      <w:tr w:rsidR="00672AAB" w:rsidRPr="00850496" w14:paraId="48EF76BC"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5D68BA03"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wanted to study in Australia</w:t>
            </w:r>
          </w:p>
        </w:tc>
        <w:tc>
          <w:tcPr>
            <w:tcW w:w="1100" w:type="dxa"/>
            <w:noWrap/>
            <w:hideMark/>
          </w:tcPr>
          <w:p w14:paraId="15B4F170" w14:textId="67ADD7B8"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744</w:t>
            </w:r>
          </w:p>
        </w:tc>
        <w:tc>
          <w:tcPr>
            <w:tcW w:w="1060" w:type="dxa"/>
            <w:noWrap/>
            <w:hideMark/>
          </w:tcPr>
          <w:p w14:paraId="599F2230"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8.2%</w:t>
            </w:r>
          </w:p>
        </w:tc>
      </w:tr>
      <w:tr w:rsidR="00672AAB" w:rsidRPr="00850496" w14:paraId="7A4993A3" w14:textId="77777777" w:rsidTr="0089584B">
        <w:trPr>
          <w:trHeight w:val="300"/>
        </w:trPr>
        <w:tc>
          <w:tcPr>
            <w:tcW w:w="5720" w:type="dxa"/>
            <w:noWrap/>
            <w:hideMark/>
          </w:tcPr>
          <w:p w14:paraId="25AAE855"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I was influenced by advertisements for holidays or work in Australia</w:t>
            </w:r>
          </w:p>
        </w:tc>
        <w:tc>
          <w:tcPr>
            <w:tcW w:w="1100" w:type="dxa"/>
            <w:noWrap/>
            <w:hideMark/>
          </w:tcPr>
          <w:p w14:paraId="289FDD25" w14:textId="1339AC7A"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323</w:t>
            </w:r>
          </w:p>
        </w:tc>
        <w:tc>
          <w:tcPr>
            <w:tcW w:w="1060" w:type="dxa"/>
            <w:noWrap/>
            <w:hideMark/>
          </w:tcPr>
          <w:p w14:paraId="17F3AD3C"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6.2%</w:t>
            </w:r>
          </w:p>
        </w:tc>
      </w:tr>
      <w:tr w:rsidR="00672AAB" w:rsidRPr="00850496" w14:paraId="3392CEBC" w14:textId="77777777" w:rsidTr="0089584B">
        <w:trPr>
          <w:cnfStyle w:val="000000100000" w:firstRow="0" w:lastRow="0" w:firstColumn="0" w:lastColumn="0" w:oddVBand="0" w:evenVBand="0" w:oddHBand="1" w:evenHBand="0" w:firstRowFirstColumn="0" w:firstRowLastColumn="0" w:lastRowFirstColumn="0" w:lastRowLastColumn="0"/>
          <w:trHeight w:val="300"/>
        </w:trPr>
        <w:tc>
          <w:tcPr>
            <w:tcW w:w="5720" w:type="dxa"/>
            <w:noWrap/>
            <w:hideMark/>
          </w:tcPr>
          <w:p w14:paraId="73B1C0EF" w14:textId="77777777" w:rsidR="00672AAB" w:rsidRPr="00850496" w:rsidRDefault="00672AAB" w:rsidP="00672AAB">
            <w:pPr>
              <w:spacing w:before="0"/>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Other</w:t>
            </w:r>
          </w:p>
        </w:tc>
        <w:tc>
          <w:tcPr>
            <w:tcW w:w="1100" w:type="dxa"/>
            <w:noWrap/>
            <w:hideMark/>
          </w:tcPr>
          <w:p w14:paraId="0543803F" w14:textId="269A76C0"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850496">
              <w:rPr>
                <w:rFonts w:ascii="Calibri" w:eastAsia="Times New Roman" w:hAnsi="Calibri" w:cs="Calibri"/>
                <w:color w:val="000000"/>
                <w:sz w:val="18"/>
                <w:szCs w:val="18"/>
                <w:lang w:eastAsia="en-AU"/>
              </w:rPr>
              <w:t>022</w:t>
            </w:r>
          </w:p>
        </w:tc>
        <w:tc>
          <w:tcPr>
            <w:tcW w:w="1060" w:type="dxa"/>
            <w:noWrap/>
            <w:hideMark/>
          </w:tcPr>
          <w:p w14:paraId="099BA843" w14:textId="77777777" w:rsidR="00672AAB" w:rsidRPr="00850496" w:rsidRDefault="00672AAB" w:rsidP="00672AAB">
            <w:pPr>
              <w:spacing w:before="0"/>
              <w:jc w:val="right"/>
              <w:rPr>
                <w:rFonts w:ascii="Calibri" w:eastAsia="Times New Roman" w:hAnsi="Calibri" w:cs="Calibri"/>
                <w:color w:val="000000"/>
                <w:sz w:val="18"/>
                <w:szCs w:val="18"/>
                <w:lang w:eastAsia="en-AU"/>
              </w:rPr>
            </w:pPr>
            <w:r w:rsidRPr="00850496">
              <w:rPr>
                <w:rFonts w:ascii="Calibri" w:eastAsia="Times New Roman" w:hAnsi="Calibri" w:cs="Calibri"/>
                <w:color w:val="000000"/>
                <w:sz w:val="18"/>
                <w:szCs w:val="18"/>
                <w:lang w:eastAsia="en-AU"/>
              </w:rPr>
              <w:t>4.8%</w:t>
            </w:r>
          </w:p>
        </w:tc>
      </w:tr>
      <w:tr w:rsidR="00DD4E84" w:rsidRPr="00850496" w14:paraId="205E43BB" w14:textId="77777777" w:rsidTr="0089584B">
        <w:trPr>
          <w:trHeight w:val="300"/>
        </w:trPr>
        <w:tc>
          <w:tcPr>
            <w:tcW w:w="5720" w:type="dxa"/>
            <w:noWrap/>
          </w:tcPr>
          <w:p w14:paraId="28F759D0" w14:textId="68EFC34D" w:rsidR="00DD4E84" w:rsidRPr="00850496" w:rsidRDefault="00DD4E84" w:rsidP="00672AAB">
            <w:pPr>
              <w:spacing w:before="0"/>
              <w:rPr>
                <w:rFonts w:ascii="Calibri" w:eastAsia="Times New Roman" w:hAnsi="Calibri" w:cs="Calibri"/>
                <w:b/>
                <w:bCs/>
                <w:color w:val="000000"/>
                <w:sz w:val="18"/>
                <w:szCs w:val="18"/>
                <w:lang w:eastAsia="en-AU"/>
              </w:rPr>
            </w:pPr>
            <w:r w:rsidRPr="00850496">
              <w:rPr>
                <w:rFonts w:ascii="Calibri" w:eastAsia="Times New Roman" w:hAnsi="Calibri" w:cs="Calibri"/>
                <w:b/>
                <w:bCs/>
                <w:color w:val="000000"/>
                <w:sz w:val="18"/>
                <w:szCs w:val="18"/>
                <w:lang w:eastAsia="en-AU"/>
              </w:rPr>
              <w:t>Total</w:t>
            </w:r>
          </w:p>
        </w:tc>
        <w:tc>
          <w:tcPr>
            <w:tcW w:w="1100" w:type="dxa"/>
            <w:noWrap/>
          </w:tcPr>
          <w:p w14:paraId="343D38D6" w14:textId="5E7578CE" w:rsidR="00DD4E84" w:rsidRPr="00850496" w:rsidRDefault="00DD4E84" w:rsidP="00672AAB">
            <w:pPr>
              <w:spacing w:before="0"/>
              <w:jc w:val="right"/>
              <w:rPr>
                <w:rFonts w:ascii="Calibri" w:eastAsia="Times New Roman" w:hAnsi="Calibri" w:cs="Calibri"/>
                <w:b/>
                <w:bCs/>
                <w:color w:val="000000"/>
                <w:sz w:val="18"/>
                <w:szCs w:val="18"/>
                <w:lang w:eastAsia="en-AU"/>
              </w:rPr>
            </w:pPr>
            <w:r w:rsidRPr="00850496">
              <w:rPr>
                <w:rFonts w:ascii="Calibri" w:eastAsia="Times New Roman" w:hAnsi="Calibri" w:cs="Calibri"/>
                <w:b/>
                <w:bCs/>
                <w:color w:val="000000"/>
                <w:sz w:val="18"/>
                <w:szCs w:val="18"/>
                <w:lang w:eastAsia="en-AU"/>
              </w:rPr>
              <w:t>21,315</w:t>
            </w:r>
          </w:p>
        </w:tc>
        <w:tc>
          <w:tcPr>
            <w:tcW w:w="1060" w:type="dxa"/>
            <w:noWrap/>
          </w:tcPr>
          <w:p w14:paraId="2BBA2D08" w14:textId="77777777" w:rsidR="00DD4E84" w:rsidRPr="00850496" w:rsidRDefault="00DD4E84" w:rsidP="00672AAB">
            <w:pPr>
              <w:spacing w:before="0"/>
              <w:jc w:val="right"/>
              <w:rPr>
                <w:rFonts w:ascii="Calibri" w:eastAsia="Times New Roman" w:hAnsi="Calibri" w:cs="Calibri"/>
                <w:b/>
                <w:bCs/>
                <w:color w:val="000000"/>
                <w:sz w:val="18"/>
                <w:szCs w:val="18"/>
                <w:lang w:eastAsia="en-AU"/>
              </w:rPr>
            </w:pPr>
          </w:p>
        </w:tc>
      </w:tr>
    </w:tbl>
    <w:p w14:paraId="787E6AF7" w14:textId="33FAB5DD" w:rsidR="00BD6B2F" w:rsidRDefault="00BD6B2F" w:rsidP="00BD6B2F">
      <w:pPr>
        <w:pStyle w:val="Tablenote"/>
      </w:pPr>
      <w:r>
        <w:t>Note</w:t>
      </w:r>
      <w:r w:rsidR="00E91EAB">
        <w:t>, p</w:t>
      </w:r>
      <w:r>
        <w:t xml:space="preserve">ercentages in the table were calculated by using the ‘No. of respondents’ divided by the total number (21,315) of </w:t>
      </w:r>
      <w:r w:rsidR="004079F2">
        <w:t>WHMs</w:t>
      </w:r>
      <w:r>
        <w:t xml:space="preserve"> surveyed. </w:t>
      </w:r>
      <w:r w:rsidR="008B3AFA">
        <w:t>Because multiple responses were allowed, these figures sum to more than 100%</w:t>
      </w:r>
      <w:r w:rsidR="00BA6FB5">
        <w:t>.</w:t>
      </w:r>
    </w:p>
    <w:p w14:paraId="28D084AC" w14:textId="3CF755DD" w:rsidR="008C0BE3" w:rsidRPr="0075620D" w:rsidRDefault="008C0BE3" w:rsidP="008C0BE3">
      <w:pPr>
        <w:pStyle w:val="Tablenote"/>
        <w:rPr>
          <w:rFonts w:ascii="Calibri" w:eastAsia="Times New Roman" w:hAnsi="Calibri" w:cs="Calibri"/>
          <w:b/>
          <w:bCs/>
          <w:noProof w:val="0"/>
          <w:color w:val="FFFFFF"/>
          <w:sz w:val="20"/>
          <w:szCs w:val="20"/>
          <w:lang w:eastAsia="en-AU"/>
        </w:rPr>
      </w:pPr>
      <w:r w:rsidRPr="009D07D8">
        <w:t xml:space="preserve">Source: </w:t>
      </w:r>
      <w:r w:rsidR="00533FC6">
        <w:t>WHM</w:t>
      </w:r>
      <w:r w:rsidRPr="009D07D8">
        <w:t xml:space="preserve"> Survey, 2020.</w:t>
      </w:r>
    </w:p>
    <w:p w14:paraId="3205D826" w14:textId="07202FC9" w:rsidR="00D82CF8" w:rsidRDefault="00D82CF8" w:rsidP="002E77A1">
      <w:pPr>
        <w:pStyle w:val="Heading2"/>
      </w:pPr>
      <w:bookmarkStart w:id="39" w:name="_Toc75878450"/>
      <w:r w:rsidRPr="00B043C6">
        <w:t>Origin nations</w:t>
      </w:r>
      <w:bookmarkEnd w:id="39"/>
    </w:p>
    <w:p w14:paraId="2541F94E" w14:textId="5DA98340" w:rsidR="00D82CF8" w:rsidRPr="009D07D8" w:rsidRDefault="00B472B4" w:rsidP="000703CB">
      <w:pPr>
        <w:keepNext/>
        <w:keepLines/>
      </w:pPr>
      <w:r>
        <w:t xml:space="preserve">The demographic makeup of the survey participants was broadly consistent with </w:t>
      </w:r>
      <w:r w:rsidR="00CD355E">
        <w:t xml:space="preserve">the </w:t>
      </w:r>
      <w:r w:rsidR="00AF46C6">
        <w:t>‘</w:t>
      </w:r>
      <w:r w:rsidR="00CD355E">
        <w:t>population</w:t>
      </w:r>
      <w:r w:rsidR="00AF46C6">
        <w:t>’</w:t>
      </w:r>
      <w:r w:rsidR="00CD355E">
        <w:t xml:space="preserve"> of WHMs</w:t>
      </w:r>
      <w:r w:rsidR="00362457">
        <w:rPr>
          <w:rStyle w:val="FootnoteReference"/>
        </w:rPr>
        <w:footnoteReference w:id="9"/>
      </w:r>
      <w:r w:rsidR="00DE1DF9">
        <w:t xml:space="preserve"> </w:t>
      </w:r>
      <w:r w:rsidR="00AF46C6">
        <w:t>eligible for the survey</w:t>
      </w:r>
      <w:r>
        <w:t xml:space="preserve">. </w:t>
      </w:r>
      <w:r w:rsidR="0038256A">
        <w:t xml:space="preserve">Where </w:t>
      </w:r>
      <w:r w:rsidR="00D6339B">
        <w:t>population</w:t>
      </w:r>
      <w:r w:rsidR="0038256A">
        <w:t xml:space="preserve"> data shows that WHMs were citizens from a total of 44 countries, </w:t>
      </w:r>
      <w:r w:rsidR="00807F4D">
        <w:t>the survey identified participants as citizens of 41 countries</w:t>
      </w:r>
      <w:r w:rsidR="001C2196">
        <w:t xml:space="preserve">. </w:t>
      </w:r>
      <w:r w:rsidR="00D82CF8">
        <w:t xml:space="preserve">Just over half </w:t>
      </w:r>
      <w:r w:rsidR="00AD34EF">
        <w:t>(51.6%)</w:t>
      </w:r>
      <w:r w:rsidR="00D82CF8">
        <w:t xml:space="preserve"> </w:t>
      </w:r>
      <w:r w:rsidR="00BF2DC7">
        <w:t>of both survey</w:t>
      </w:r>
      <w:r w:rsidR="00765689">
        <w:t xml:space="preserve"> </w:t>
      </w:r>
      <w:r w:rsidR="002272C9">
        <w:t xml:space="preserve">respondents </w:t>
      </w:r>
      <w:r w:rsidR="00765689">
        <w:t xml:space="preserve">and the total </w:t>
      </w:r>
      <w:r w:rsidR="00A84D49">
        <w:t xml:space="preserve">WHM </w:t>
      </w:r>
      <w:r w:rsidR="00765689">
        <w:t xml:space="preserve">population </w:t>
      </w:r>
      <w:r w:rsidR="00D82CF8">
        <w:t xml:space="preserve">were citizens of either the United Kingdom, Taiwan, Germany or France (see </w:t>
      </w:r>
      <w:r w:rsidR="00D82CF8">
        <w:fldChar w:fldCharType="begin"/>
      </w:r>
      <w:r w:rsidR="00D82CF8">
        <w:instrText xml:space="preserve"> REF _Ref56166089 \h </w:instrText>
      </w:r>
      <w:r w:rsidR="00D82CF8">
        <w:fldChar w:fldCharType="separate"/>
      </w:r>
      <w:r w:rsidR="00F22012" w:rsidRPr="00D338FC">
        <w:t xml:space="preserve">Table </w:t>
      </w:r>
      <w:r w:rsidR="00F22012">
        <w:rPr>
          <w:noProof/>
        </w:rPr>
        <w:t>4</w:t>
      </w:r>
      <w:r w:rsidR="00F22012">
        <w:noBreakHyphen/>
      </w:r>
      <w:r w:rsidR="00F22012">
        <w:rPr>
          <w:noProof/>
        </w:rPr>
        <w:t>3</w:t>
      </w:r>
      <w:r w:rsidR="00D82CF8">
        <w:fldChar w:fldCharType="end"/>
      </w:r>
      <w:r w:rsidR="00D82CF8">
        <w:t xml:space="preserve">). Citizens of the </w:t>
      </w:r>
      <w:r w:rsidR="007A2429">
        <w:t>T</w:t>
      </w:r>
      <w:r w:rsidR="00D82CF8">
        <w:t xml:space="preserve">op </w:t>
      </w:r>
      <w:r w:rsidR="007A2429">
        <w:t>10</w:t>
      </w:r>
      <w:r w:rsidR="00D82CF8">
        <w:t xml:space="preserve"> countries make up 84</w:t>
      </w:r>
      <w:r w:rsidR="00DC59AA">
        <w:t>.5</w:t>
      </w:r>
      <w:r w:rsidR="00D82CF8">
        <w:t xml:space="preserve">% of </w:t>
      </w:r>
      <w:r w:rsidR="00A84D49">
        <w:t>survey</w:t>
      </w:r>
      <w:r w:rsidR="00D82CF8">
        <w:t xml:space="preserve"> respondents</w:t>
      </w:r>
      <w:r w:rsidR="00A84D49">
        <w:t xml:space="preserve"> and 84.6% of the total WHM population</w:t>
      </w:r>
      <w:r w:rsidR="009C62AD">
        <w:t>.</w:t>
      </w:r>
      <w:r w:rsidR="00063C9A">
        <w:rPr>
          <w:rStyle w:val="FootnoteReference"/>
        </w:rPr>
        <w:footnoteReference w:id="10"/>
      </w:r>
      <w:r w:rsidR="00D82CF8">
        <w:t xml:space="preserve"> Nineteen countries contributed fewer than 0.5% of respondents, these have been aggregated into the ‘Other’ category.</w:t>
      </w:r>
      <w:r w:rsidR="00D82CF8" w:rsidRPr="006F55D5">
        <w:t xml:space="preserve"> </w:t>
      </w:r>
      <w:r w:rsidR="005451A2">
        <w:t>Females make up 52.3</w:t>
      </w:r>
      <w:r w:rsidR="00F77A22">
        <w:t>% of the WHM population but j</w:t>
      </w:r>
      <w:r w:rsidR="00D82CF8">
        <w:t xml:space="preserve">ust over three in five (61.5%) </w:t>
      </w:r>
      <w:r w:rsidR="00697387">
        <w:t>survey</w:t>
      </w:r>
      <w:r w:rsidR="00D82CF8">
        <w:t xml:space="preserve"> respondents. Five countries had more than 70% female respondents</w:t>
      </w:r>
      <w:r w:rsidR="00C971DC">
        <w:t>;</w:t>
      </w:r>
      <w:r w:rsidR="00D82CF8">
        <w:t xml:space="preserve"> </w:t>
      </w:r>
      <w:r w:rsidR="00D82CF8" w:rsidRPr="009D07D8">
        <w:t>Finland</w:t>
      </w:r>
      <w:r w:rsidR="00D82CF8">
        <w:t xml:space="preserve"> had the highest proportion (78.2%) of females, followed by Sweden, China and Japan</w:t>
      </w:r>
      <w:r w:rsidR="00E75349">
        <w:t xml:space="preserve">, </w:t>
      </w:r>
      <w:r w:rsidR="008D4278">
        <w:t xml:space="preserve">females from </w:t>
      </w:r>
      <w:r w:rsidR="00E75349">
        <w:t xml:space="preserve">these countries also </w:t>
      </w:r>
      <w:r w:rsidR="00D95253">
        <w:t>contributed</w:t>
      </w:r>
      <w:r w:rsidR="00E75349">
        <w:t xml:space="preserve"> more than </w:t>
      </w:r>
      <w:r w:rsidR="008D4278">
        <w:t xml:space="preserve">three in five </w:t>
      </w:r>
      <w:r w:rsidR="00D95253">
        <w:t>of their total WHM population</w:t>
      </w:r>
      <w:r w:rsidR="00D82CF8">
        <w:t>. Italy provided the highest proportion of male respondents</w:t>
      </w:r>
      <w:r w:rsidR="009937B7">
        <w:t xml:space="preserve"> (52.4%), </w:t>
      </w:r>
      <w:r w:rsidR="006A5ED0">
        <w:t>compared with</w:t>
      </w:r>
      <w:r w:rsidR="009937B7">
        <w:t xml:space="preserve"> </w:t>
      </w:r>
      <w:r w:rsidR="00BF7705">
        <w:t>60</w:t>
      </w:r>
      <w:r w:rsidR="00D82CF8">
        <w:t>.4%</w:t>
      </w:r>
      <w:r w:rsidR="00BF7705">
        <w:t xml:space="preserve"> of </w:t>
      </w:r>
      <w:r w:rsidR="006A5ED0">
        <w:t>their WHM population</w:t>
      </w:r>
      <w:r w:rsidR="00D82CF8">
        <w:t xml:space="preserve"> – the only country to </w:t>
      </w:r>
      <w:r w:rsidR="007F70FA">
        <w:t>contribute</w:t>
      </w:r>
      <w:r w:rsidR="007E4326">
        <w:t xml:space="preserve"> majority male </w:t>
      </w:r>
      <w:r w:rsidR="007F70FA">
        <w:t>respondents</w:t>
      </w:r>
      <w:r w:rsidR="00D82CF8">
        <w:t>.</w:t>
      </w:r>
    </w:p>
    <w:p w14:paraId="6F05F475" w14:textId="69F811A0" w:rsidR="00D82CF8" w:rsidRPr="00D338FC" w:rsidRDefault="00D82CF8" w:rsidP="00D82CF8">
      <w:pPr>
        <w:pStyle w:val="Caption"/>
      </w:pPr>
      <w:bookmarkStart w:id="40" w:name="_Ref56166089"/>
      <w:bookmarkStart w:id="41" w:name="_Toc75878594"/>
      <w:r w:rsidRPr="00D338FC">
        <w:t xml:space="preserve">Table </w:t>
      </w:r>
      <w:r>
        <w:fldChar w:fldCharType="begin"/>
      </w:r>
      <w:r>
        <w:instrText>STYLEREF 1 \s</w:instrText>
      </w:r>
      <w:r>
        <w:fldChar w:fldCharType="separate"/>
      </w:r>
      <w:r w:rsidR="00F22012">
        <w:rPr>
          <w:noProof/>
        </w:rPr>
        <w:t>4</w:t>
      </w:r>
      <w:r>
        <w:fldChar w:fldCharType="end"/>
      </w:r>
      <w:r w:rsidR="00E71DF1">
        <w:noBreakHyphen/>
      </w:r>
      <w:r>
        <w:fldChar w:fldCharType="begin"/>
      </w:r>
      <w:r>
        <w:instrText>SEQ Table \* ARABIC \s 1</w:instrText>
      </w:r>
      <w:r>
        <w:fldChar w:fldCharType="separate"/>
      </w:r>
      <w:r w:rsidR="00F22012">
        <w:rPr>
          <w:noProof/>
        </w:rPr>
        <w:t>3</w:t>
      </w:r>
      <w:r>
        <w:fldChar w:fldCharType="end"/>
      </w:r>
      <w:bookmarkEnd w:id="40"/>
      <w:r w:rsidRPr="00D338FC">
        <w:t xml:space="preserve">: Citizenship and </w:t>
      </w:r>
      <w:r w:rsidR="006B64F0">
        <w:t>sex</w:t>
      </w:r>
      <w:r w:rsidRPr="00D338FC">
        <w:t xml:space="preserve"> of WHMs surveyed</w:t>
      </w:r>
      <w:r w:rsidR="00050019">
        <w:t xml:space="preserve"> and total</w:t>
      </w:r>
      <w:r w:rsidR="009A42F1">
        <w:t xml:space="preserve"> WHM population</w:t>
      </w:r>
      <w:bookmarkEnd w:id="41"/>
    </w:p>
    <w:tbl>
      <w:tblPr>
        <w:tblStyle w:val="ListTable4-Accent4"/>
        <w:tblW w:w="8837" w:type="dxa"/>
        <w:tblLook w:val="0460" w:firstRow="1" w:lastRow="1" w:firstColumn="0" w:lastColumn="0" w:noHBand="0" w:noVBand="1"/>
      </w:tblPr>
      <w:tblGrid>
        <w:gridCol w:w="1838"/>
        <w:gridCol w:w="709"/>
        <w:gridCol w:w="73"/>
        <w:gridCol w:w="782"/>
        <w:gridCol w:w="719"/>
        <w:gridCol w:w="63"/>
        <w:gridCol w:w="788"/>
        <w:gridCol w:w="719"/>
        <w:gridCol w:w="793"/>
        <w:gridCol w:w="691"/>
        <w:gridCol w:w="766"/>
        <w:gridCol w:w="896"/>
      </w:tblGrid>
      <w:tr w:rsidR="00F85AEC" w:rsidRPr="008C0BE3" w14:paraId="684781C3" w14:textId="77777777" w:rsidTr="00111223">
        <w:trPr>
          <w:cnfStyle w:val="100000000000" w:firstRow="1" w:lastRow="0" w:firstColumn="0" w:lastColumn="0" w:oddVBand="0" w:evenVBand="0" w:oddHBand="0" w:evenHBand="0" w:firstRowFirstColumn="0" w:firstRowLastColumn="0" w:lastRowFirstColumn="0" w:lastRowLastColumn="0"/>
          <w:trHeight w:val="255"/>
          <w:tblHeader/>
        </w:trPr>
        <w:tc>
          <w:tcPr>
            <w:tcW w:w="1838" w:type="dxa"/>
            <w:noWrap/>
          </w:tcPr>
          <w:p w14:paraId="5EB4E1E0" w14:textId="77777777" w:rsidR="00F85AEC" w:rsidRPr="004F6B47" w:rsidRDefault="00F85AEC" w:rsidP="00A85E5D">
            <w:pPr>
              <w:keepNext/>
              <w:keepLines/>
              <w:spacing w:before="0"/>
              <w:rPr>
                <w:rFonts w:ascii="Calibri" w:eastAsia="Times New Roman" w:hAnsi="Calibri" w:cs="Calibri"/>
                <w:b w:val="0"/>
                <w:sz w:val="18"/>
                <w:szCs w:val="18"/>
                <w:lang w:eastAsia="en-AU"/>
              </w:rPr>
            </w:pPr>
          </w:p>
        </w:tc>
        <w:tc>
          <w:tcPr>
            <w:tcW w:w="6999" w:type="dxa"/>
            <w:gridSpan w:val="11"/>
            <w:noWrap/>
          </w:tcPr>
          <w:p w14:paraId="233362EB" w14:textId="77777777" w:rsidR="00F85AEC" w:rsidRPr="006C6856" w:rsidRDefault="00F85AEC" w:rsidP="00A85E5D">
            <w:pPr>
              <w:keepNext/>
              <w:keepLines/>
              <w:spacing w:before="0"/>
              <w:jc w:val="center"/>
              <w:rPr>
                <w:rFonts w:ascii="Calibri" w:eastAsia="Times New Roman" w:hAnsi="Calibri" w:cs="Calibri"/>
                <w:b w:val="0"/>
                <w:bCs w:val="0"/>
                <w:color w:val="000000"/>
                <w:sz w:val="18"/>
                <w:szCs w:val="18"/>
                <w:lang w:eastAsia="en-AU"/>
              </w:rPr>
            </w:pPr>
            <w:r>
              <w:rPr>
                <w:rFonts w:ascii="Calibri" w:eastAsia="Times New Roman" w:hAnsi="Calibri" w:cs="Calibri"/>
                <w:color w:val="000000"/>
                <w:sz w:val="18"/>
                <w:szCs w:val="18"/>
                <w:lang w:eastAsia="en-AU"/>
              </w:rPr>
              <w:t>Survey</w:t>
            </w:r>
          </w:p>
          <w:p w14:paraId="5A0AB826" w14:textId="201D6834" w:rsidR="00F85AEC" w:rsidRPr="00C67BA8" w:rsidRDefault="00F85AEC" w:rsidP="00000D94">
            <w:pPr>
              <w:keepNext/>
              <w:keepLines/>
              <w:spacing w:before="0"/>
              <w:jc w:val="center"/>
              <w:rPr>
                <w:rFonts w:ascii="Calibri" w:eastAsia="Times New Roman" w:hAnsi="Calibri" w:cs="Calibri"/>
                <w:color w:val="1A5D9B" w:themeColor="accent1"/>
                <w:sz w:val="18"/>
                <w:szCs w:val="18"/>
                <w:lang w:eastAsia="en-AU"/>
              </w:rPr>
            </w:pPr>
            <w:r w:rsidRPr="00F71623">
              <w:rPr>
                <w:rFonts w:ascii="Calibri" w:eastAsia="Times New Roman" w:hAnsi="Calibri" w:cs="Calibri"/>
                <w:color w:val="auto"/>
                <w:sz w:val="18"/>
                <w:szCs w:val="18"/>
                <w:lang w:eastAsia="en-AU"/>
              </w:rPr>
              <w:t>Population</w:t>
            </w:r>
          </w:p>
        </w:tc>
      </w:tr>
      <w:tr w:rsidR="00864C52" w:rsidRPr="008C0BE3" w14:paraId="172804ED" w14:textId="48CC0574" w:rsidTr="00F85AEC">
        <w:trPr>
          <w:cnfStyle w:val="100000000000" w:firstRow="1" w:lastRow="0" w:firstColumn="0" w:lastColumn="0" w:oddVBand="0" w:evenVBand="0" w:oddHBand="0" w:evenHBand="0" w:firstRowFirstColumn="0" w:firstRowLastColumn="0" w:lastRowFirstColumn="0" w:lastRowLastColumn="0"/>
          <w:trHeight w:val="255"/>
          <w:tblHeader/>
        </w:trPr>
        <w:tc>
          <w:tcPr>
            <w:tcW w:w="1838" w:type="dxa"/>
            <w:noWrap/>
            <w:hideMark/>
          </w:tcPr>
          <w:p w14:paraId="52802583" w14:textId="77777777" w:rsidR="00864C52" w:rsidRPr="004F6B47" w:rsidRDefault="00864C52" w:rsidP="00A85E5D">
            <w:pPr>
              <w:keepNext/>
              <w:keepLines/>
              <w:spacing w:before="0"/>
              <w:rPr>
                <w:rFonts w:ascii="Calibri" w:eastAsia="Times New Roman" w:hAnsi="Calibri" w:cs="Calibri"/>
                <w:b w:val="0"/>
                <w:sz w:val="18"/>
                <w:szCs w:val="18"/>
                <w:lang w:eastAsia="en-AU"/>
              </w:rPr>
            </w:pPr>
          </w:p>
        </w:tc>
        <w:tc>
          <w:tcPr>
            <w:tcW w:w="782" w:type="dxa"/>
            <w:gridSpan w:val="2"/>
            <w:noWrap/>
            <w:vAlign w:val="center"/>
            <w:hideMark/>
          </w:tcPr>
          <w:p w14:paraId="0242FD5F" w14:textId="77777777" w:rsidR="00864C52" w:rsidRPr="006C6856" w:rsidRDefault="00864C52"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Male</w:t>
            </w:r>
          </w:p>
        </w:tc>
        <w:tc>
          <w:tcPr>
            <w:tcW w:w="782" w:type="dxa"/>
            <w:vAlign w:val="center"/>
          </w:tcPr>
          <w:p w14:paraId="34754FBF" w14:textId="6F0092B1" w:rsidR="00864C52" w:rsidRPr="00864C52" w:rsidRDefault="00864C52" w:rsidP="00A85E5D">
            <w:pPr>
              <w:keepNext/>
              <w:keepLines/>
              <w:spacing w:before="0"/>
              <w:jc w:val="center"/>
              <w:rPr>
                <w:rFonts w:ascii="Calibri" w:eastAsia="Times New Roman" w:hAnsi="Calibri" w:cs="Calibri"/>
                <w:color w:val="000000"/>
                <w:sz w:val="18"/>
                <w:szCs w:val="18"/>
                <w:lang w:eastAsia="en-AU"/>
              </w:rPr>
            </w:pPr>
            <w:r w:rsidRPr="00864C52">
              <w:rPr>
                <w:rFonts w:ascii="Calibri" w:eastAsia="Times New Roman" w:hAnsi="Calibri" w:cs="Calibri"/>
                <w:color w:val="000000"/>
                <w:sz w:val="18"/>
                <w:szCs w:val="18"/>
                <w:lang w:eastAsia="en-AU"/>
              </w:rPr>
              <w:t>Male</w:t>
            </w:r>
          </w:p>
        </w:tc>
        <w:tc>
          <w:tcPr>
            <w:tcW w:w="782" w:type="dxa"/>
            <w:gridSpan w:val="2"/>
            <w:vAlign w:val="center"/>
          </w:tcPr>
          <w:p w14:paraId="13813332" w14:textId="12D3A2D8" w:rsidR="00864C52" w:rsidRPr="006C6856" w:rsidRDefault="00864C52" w:rsidP="00A85E5D">
            <w:pPr>
              <w:keepNext/>
              <w:keepLines/>
              <w:spacing w:before="0"/>
              <w:jc w:val="center"/>
              <w:rPr>
                <w:rFonts w:ascii="Calibri" w:eastAsia="Times New Roman" w:hAnsi="Calibri" w:cs="Calibri"/>
                <w:b w:val="0"/>
                <w:bCs w:val="0"/>
                <w:color w:val="000000"/>
                <w:sz w:val="18"/>
                <w:szCs w:val="18"/>
                <w:lang w:eastAsia="en-AU"/>
              </w:rPr>
            </w:pPr>
            <w:r w:rsidRPr="006C6856">
              <w:rPr>
                <w:rFonts w:ascii="Calibri" w:eastAsia="Times New Roman" w:hAnsi="Calibri" w:cs="Calibri"/>
                <w:color w:val="000000"/>
                <w:sz w:val="18"/>
                <w:szCs w:val="18"/>
                <w:lang w:eastAsia="en-AU"/>
              </w:rPr>
              <w:t>Female</w:t>
            </w:r>
          </w:p>
        </w:tc>
        <w:tc>
          <w:tcPr>
            <w:tcW w:w="788" w:type="dxa"/>
            <w:vAlign w:val="center"/>
          </w:tcPr>
          <w:p w14:paraId="471F725B" w14:textId="0947916D" w:rsidR="00864C52" w:rsidRPr="006C6856" w:rsidRDefault="00864C52"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Female</w:t>
            </w:r>
          </w:p>
        </w:tc>
        <w:tc>
          <w:tcPr>
            <w:tcW w:w="719" w:type="dxa"/>
            <w:noWrap/>
            <w:vAlign w:val="center"/>
            <w:hideMark/>
          </w:tcPr>
          <w:p w14:paraId="1C72D990" w14:textId="77777777" w:rsidR="00864C52" w:rsidRPr="006C6856" w:rsidRDefault="00864C52" w:rsidP="00F54305">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Total</w:t>
            </w:r>
          </w:p>
        </w:tc>
        <w:tc>
          <w:tcPr>
            <w:tcW w:w="793" w:type="dxa"/>
            <w:vAlign w:val="center"/>
            <w:hideMark/>
          </w:tcPr>
          <w:p w14:paraId="7D112E3E" w14:textId="77777777" w:rsidR="00864C52" w:rsidRPr="006C6856" w:rsidRDefault="00864C52"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 from country</w:t>
            </w:r>
          </w:p>
        </w:tc>
        <w:tc>
          <w:tcPr>
            <w:tcW w:w="691" w:type="dxa"/>
            <w:shd w:val="clear" w:color="auto" w:fill="E0E0E0" w:themeFill="accent4" w:themeFillTint="66"/>
            <w:vAlign w:val="center"/>
          </w:tcPr>
          <w:p w14:paraId="469F906C" w14:textId="6E8B50AC" w:rsidR="00864C52" w:rsidRPr="00C67BA8" w:rsidRDefault="00864C52" w:rsidP="00F54305">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Male</w:t>
            </w:r>
          </w:p>
        </w:tc>
        <w:tc>
          <w:tcPr>
            <w:tcW w:w="766" w:type="dxa"/>
            <w:shd w:val="clear" w:color="auto" w:fill="E0E0E0" w:themeFill="accent4" w:themeFillTint="66"/>
            <w:vAlign w:val="center"/>
          </w:tcPr>
          <w:p w14:paraId="7274546D" w14:textId="585F97EF" w:rsidR="00864C52" w:rsidRPr="00C67BA8" w:rsidRDefault="00864C52" w:rsidP="00F54305">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Female</w:t>
            </w:r>
          </w:p>
        </w:tc>
        <w:tc>
          <w:tcPr>
            <w:tcW w:w="896" w:type="dxa"/>
            <w:shd w:val="clear" w:color="auto" w:fill="E0E0E0" w:themeFill="accent4" w:themeFillTint="66"/>
            <w:vAlign w:val="center"/>
          </w:tcPr>
          <w:p w14:paraId="73D7C797" w14:textId="6FC1D31C" w:rsidR="00864C52" w:rsidRPr="00C67BA8" w:rsidRDefault="00864C52" w:rsidP="00F54305">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 from country</w:t>
            </w:r>
          </w:p>
        </w:tc>
      </w:tr>
      <w:tr w:rsidR="00311696" w:rsidRPr="008C0BE3" w14:paraId="74199D3F" w14:textId="4649EE67" w:rsidTr="00F85AEC">
        <w:trPr>
          <w:cnfStyle w:val="100000000000" w:firstRow="1" w:lastRow="0" w:firstColumn="0" w:lastColumn="0" w:oddVBand="0" w:evenVBand="0" w:oddHBand="0" w:evenHBand="0" w:firstRowFirstColumn="0" w:firstRowLastColumn="0" w:lastRowFirstColumn="0" w:lastRowLastColumn="0"/>
          <w:trHeight w:val="255"/>
          <w:tblHeader/>
        </w:trPr>
        <w:tc>
          <w:tcPr>
            <w:tcW w:w="1838" w:type="dxa"/>
            <w:noWrap/>
            <w:hideMark/>
          </w:tcPr>
          <w:p w14:paraId="7551AA12" w14:textId="77777777" w:rsidR="00D82CF8" w:rsidRPr="004F6B47" w:rsidRDefault="00D82CF8" w:rsidP="00A85E5D">
            <w:pPr>
              <w:keepNext/>
              <w:keepLines/>
              <w:spacing w:before="0"/>
              <w:jc w:val="center"/>
              <w:rPr>
                <w:rFonts w:ascii="Calibri" w:eastAsia="Times New Roman" w:hAnsi="Calibri" w:cs="Calibri"/>
                <w:b w:val="0"/>
                <w:color w:val="000000"/>
                <w:sz w:val="18"/>
                <w:szCs w:val="18"/>
                <w:lang w:eastAsia="en-AU"/>
              </w:rPr>
            </w:pPr>
          </w:p>
        </w:tc>
        <w:tc>
          <w:tcPr>
            <w:tcW w:w="709" w:type="dxa"/>
            <w:noWrap/>
            <w:hideMark/>
          </w:tcPr>
          <w:p w14:paraId="58F67AA9" w14:textId="77777777" w:rsidR="00D82CF8" w:rsidRPr="006C6856" w:rsidRDefault="00D82CF8"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n</w:t>
            </w:r>
          </w:p>
        </w:tc>
        <w:tc>
          <w:tcPr>
            <w:tcW w:w="855" w:type="dxa"/>
            <w:gridSpan w:val="2"/>
            <w:noWrap/>
            <w:hideMark/>
          </w:tcPr>
          <w:p w14:paraId="02CC84A2" w14:textId="77777777" w:rsidR="00D82CF8" w:rsidRPr="006C6856" w:rsidRDefault="00D82CF8"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w:t>
            </w:r>
          </w:p>
        </w:tc>
        <w:tc>
          <w:tcPr>
            <w:tcW w:w="719" w:type="dxa"/>
            <w:noWrap/>
            <w:hideMark/>
          </w:tcPr>
          <w:p w14:paraId="7B08E927" w14:textId="77777777" w:rsidR="00D82CF8" w:rsidRPr="006C6856" w:rsidRDefault="00D82CF8"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n</w:t>
            </w:r>
          </w:p>
        </w:tc>
        <w:tc>
          <w:tcPr>
            <w:tcW w:w="851" w:type="dxa"/>
            <w:gridSpan w:val="2"/>
            <w:noWrap/>
            <w:hideMark/>
          </w:tcPr>
          <w:p w14:paraId="1FE5871E" w14:textId="77777777" w:rsidR="00D82CF8" w:rsidRPr="006C6856" w:rsidRDefault="00D82CF8"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w:t>
            </w:r>
          </w:p>
        </w:tc>
        <w:tc>
          <w:tcPr>
            <w:tcW w:w="719" w:type="dxa"/>
            <w:noWrap/>
            <w:hideMark/>
          </w:tcPr>
          <w:p w14:paraId="437D3D60" w14:textId="77777777" w:rsidR="00D82CF8" w:rsidRPr="006C6856" w:rsidRDefault="00D82CF8" w:rsidP="00A85E5D">
            <w:pPr>
              <w:keepNext/>
              <w:keepLines/>
              <w:spacing w:before="0"/>
              <w:jc w:val="center"/>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n</w:t>
            </w:r>
          </w:p>
        </w:tc>
        <w:tc>
          <w:tcPr>
            <w:tcW w:w="793" w:type="dxa"/>
            <w:hideMark/>
          </w:tcPr>
          <w:p w14:paraId="36A85D8C"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p>
        </w:tc>
        <w:tc>
          <w:tcPr>
            <w:tcW w:w="691" w:type="dxa"/>
            <w:shd w:val="clear" w:color="auto" w:fill="E0E0E0" w:themeFill="accent4" w:themeFillTint="66"/>
          </w:tcPr>
          <w:p w14:paraId="7737DA68" w14:textId="6017B975" w:rsidR="00744018" w:rsidRPr="00C67BA8" w:rsidRDefault="00744018" w:rsidP="00664214">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w:t>
            </w:r>
          </w:p>
        </w:tc>
        <w:tc>
          <w:tcPr>
            <w:tcW w:w="766" w:type="dxa"/>
            <w:shd w:val="clear" w:color="auto" w:fill="E0E0E0" w:themeFill="accent4" w:themeFillTint="66"/>
          </w:tcPr>
          <w:p w14:paraId="34C2CE94" w14:textId="0932964C" w:rsidR="00744018" w:rsidRPr="00C67BA8" w:rsidRDefault="00744018" w:rsidP="00664214">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w:t>
            </w:r>
          </w:p>
        </w:tc>
        <w:tc>
          <w:tcPr>
            <w:tcW w:w="896" w:type="dxa"/>
            <w:shd w:val="clear" w:color="auto" w:fill="E0E0E0" w:themeFill="accent4" w:themeFillTint="66"/>
          </w:tcPr>
          <w:p w14:paraId="307BD4EA" w14:textId="74BC9E73" w:rsidR="00744018" w:rsidRPr="00C67BA8" w:rsidRDefault="00744018" w:rsidP="00664214">
            <w:pPr>
              <w:keepNext/>
              <w:keepLines/>
              <w:spacing w:before="0"/>
              <w:jc w:val="center"/>
              <w:rPr>
                <w:rFonts w:ascii="Calibri" w:eastAsia="Times New Roman" w:hAnsi="Calibri" w:cs="Calibri"/>
                <w:color w:val="1A5D9B" w:themeColor="accent1"/>
                <w:sz w:val="18"/>
                <w:szCs w:val="18"/>
                <w:lang w:eastAsia="en-AU"/>
              </w:rPr>
            </w:pPr>
            <w:r w:rsidRPr="00C67BA8">
              <w:rPr>
                <w:rFonts w:ascii="Calibri" w:eastAsia="Times New Roman" w:hAnsi="Calibri" w:cs="Calibri"/>
                <w:color w:val="1A5D9B" w:themeColor="accent1"/>
                <w:sz w:val="18"/>
                <w:szCs w:val="18"/>
                <w:lang w:eastAsia="en-AU"/>
              </w:rPr>
              <w:t>%</w:t>
            </w:r>
          </w:p>
        </w:tc>
      </w:tr>
      <w:tr w:rsidR="00D82CF8" w:rsidRPr="008C0BE3" w14:paraId="0A8545F4" w14:textId="5C77A614"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15B26E7A"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United Kingdom</w:t>
            </w:r>
          </w:p>
        </w:tc>
        <w:tc>
          <w:tcPr>
            <w:tcW w:w="709" w:type="dxa"/>
            <w:noWrap/>
            <w:hideMark/>
          </w:tcPr>
          <w:p w14:paraId="79450A12" w14:textId="4D67042C"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360</w:t>
            </w:r>
          </w:p>
        </w:tc>
        <w:tc>
          <w:tcPr>
            <w:tcW w:w="855" w:type="dxa"/>
            <w:gridSpan w:val="2"/>
            <w:noWrap/>
            <w:hideMark/>
          </w:tcPr>
          <w:p w14:paraId="68A046E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39.0%</w:t>
            </w:r>
          </w:p>
        </w:tc>
        <w:tc>
          <w:tcPr>
            <w:tcW w:w="719" w:type="dxa"/>
            <w:noWrap/>
            <w:hideMark/>
          </w:tcPr>
          <w:p w14:paraId="67CC06C5" w14:textId="0ECA6098"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124</w:t>
            </w:r>
          </w:p>
        </w:tc>
        <w:tc>
          <w:tcPr>
            <w:tcW w:w="851" w:type="dxa"/>
            <w:gridSpan w:val="2"/>
            <w:noWrap/>
            <w:hideMark/>
          </w:tcPr>
          <w:p w14:paraId="192C960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61.0%</w:t>
            </w:r>
          </w:p>
        </w:tc>
        <w:tc>
          <w:tcPr>
            <w:tcW w:w="719" w:type="dxa"/>
            <w:noWrap/>
            <w:hideMark/>
          </w:tcPr>
          <w:p w14:paraId="5E843194" w14:textId="27758529"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484</w:t>
            </w:r>
          </w:p>
        </w:tc>
        <w:tc>
          <w:tcPr>
            <w:tcW w:w="793" w:type="dxa"/>
            <w:noWrap/>
            <w:hideMark/>
          </w:tcPr>
          <w:p w14:paraId="106EECF6"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16.4%</w:t>
            </w:r>
          </w:p>
        </w:tc>
        <w:tc>
          <w:tcPr>
            <w:tcW w:w="691" w:type="dxa"/>
            <w:vAlign w:val="bottom"/>
          </w:tcPr>
          <w:p w14:paraId="139C0071" w14:textId="40858EEC"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52.2%</w:t>
            </w:r>
          </w:p>
        </w:tc>
        <w:tc>
          <w:tcPr>
            <w:tcW w:w="766" w:type="dxa"/>
            <w:vAlign w:val="bottom"/>
          </w:tcPr>
          <w:p w14:paraId="62C9A06D" w14:textId="5A0A407C"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47.8%</w:t>
            </w:r>
          </w:p>
        </w:tc>
        <w:tc>
          <w:tcPr>
            <w:tcW w:w="896" w:type="dxa"/>
          </w:tcPr>
          <w:p w14:paraId="6C1C6A55" w14:textId="00F8FA35"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17.9%</w:t>
            </w:r>
          </w:p>
        </w:tc>
      </w:tr>
      <w:tr w:rsidR="00D82CF8" w:rsidRPr="008C0BE3" w14:paraId="25B81313" w14:textId="5C442A70" w:rsidTr="00F85AEC">
        <w:trPr>
          <w:trHeight w:val="255"/>
        </w:trPr>
        <w:tc>
          <w:tcPr>
            <w:tcW w:w="1838" w:type="dxa"/>
            <w:noWrap/>
            <w:hideMark/>
          </w:tcPr>
          <w:p w14:paraId="35D9580A"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Taiwan</w:t>
            </w:r>
          </w:p>
        </w:tc>
        <w:tc>
          <w:tcPr>
            <w:tcW w:w="709" w:type="dxa"/>
            <w:noWrap/>
            <w:hideMark/>
          </w:tcPr>
          <w:p w14:paraId="6E134C8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983</w:t>
            </w:r>
          </w:p>
        </w:tc>
        <w:tc>
          <w:tcPr>
            <w:tcW w:w="855" w:type="dxa"/>
            <w:gridSpan w:val="2"/>
            <w:noWrap/>
            <w:hideMark/>
          </w:tcPr>
          <w:p w14:paraId="756BA92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37.9%</w:t>
            </w:r>
          </w:p>
        </w:tc>
        <w:tc>
          <w:tcPr>
            <w:tcW w:w="719" w:type="dxa"/>
            <w:noWrap/>
            <w:hideMark/>
          </w:tcPr>
          <w:p w14:paraId="3E458D18" w14:textId="04E86D95"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608</w:t>
            </w:r>
          </w:p>
        </w:tc>
        <w:tc>
          <w:tcPr>
            <w:tcW w:w="851" w:type="dxa"/>
            <w:gridSpan w:val="2"/>
            <w:noWrap/>
            <w:hideMark/>
          </w:tcPr>
          <w:p w14:paraId="0D42ADA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62.1%</w:t>
            </w:r>
          </w:p>
        </w:tc>
        <w:tc>
          <w:tcPr>
            <w:tcW w:w="719" w:type="dxa"/>
            <w:noWrap/>
            <w:hideMark/>
          </w:tcPr>
          <w:p w14:paraId="520CDB00" w14:textId="1AED94E3"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591</w:t>
            </w:r>
          </w:p>
        </w:tc>
        <w:tc>
          <w:tcPr>
            <w:tcW w:w="793" w:type="dxa"/>
            <w:noWrap/>
            <w:hideMark/>
          </w:tcPr>
          <w:p w14:paraId="523A6817"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12.2%</w:t>
            </w:r>
          </w:p>
        </w:tc>
        <w:tc>
          <w:tcPr>
            <w:tcW w:w="691" w:type="dxa"/>
            <w:vAlign w:val="bottom"/>
          </w:tcPr>
          <w:p w14:paraId="273BA87F" w14:textId="2567B30D"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42.4%</w:t>
            </w:r>
          </w:p>
        </w:tc>
        <w:tc>
          <w:tcPr>
            <w:tcW w:w="766" w:type="dxa"/>
            <w:vAlign w:val="bottom"/>
          </w:tcPr>
          <w:p w14:paraId="36BBE34F" w14:textId="1777C560"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57.6%</w:t>
            </w:r>
          </w:p>
        </w:tc>
        <w:tc>
          <w:tcPr>
            <w:tcW w:w="896" w:type="dxa"/>
          </w:tcPr>
          <w:p w14:paraId="610C1900" w14:textId="6FD16AAB"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10.0%</w:t>
            </w:r>
          </w:p>
        </w:tc>
      </w:tr>
      <w:tr w:rsidR="00D82CF8" w:rsidRPr="008C0BE3" w14:paraId="246B086C" w14:textId="6CA9042E"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21C075C7"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Germany</w:t>
            </w:r>
          </w:p>
        </w:tc>
        <w:tc>
          <w:tcPr>
            <w:tcW w:w="709" w:type="dxa"/>
            <w:noWrap/>
            <w:hideMark/>
          </w:tcPr>
          <w:p w14:paraId="6F731DC5"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909</w:t>
            </w:r>
          </w:p>
        </w:tc>
        <w:tc>
          <w:tcPr>
            <w:tcW w:w="855" w:type="dxa"/>
            <w:gridSpan w:val="2"/>
            <w:noWrap/>
            <w:hideMark/>
          </w:tcPr>
          <w:p w14:paraId="2E49FD8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36.9%</w:t>
            </w:r>
          </w:p>
        </w:tc>
        <w:tc>
          <w:tcPr>
            <w:tcW w:w="719" w:type="dxa"/>
            <w:noWrap/>
            <w:hideMark/>
          </w:tcPr>
          <w:p w14:paraId="67904B0E" w14:textId="63C08FBE"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555</w:t>
            </w:r>
          </w:p>
        </w:tc>
        <w:tc>
          <w:tcPr>
            <w:tcW w:w="851" w:type="dxa"/>
            <w:gridSpan w:val="2"/>
            <w:noWrap/>
            <w:hideMark/>
          </w:tcPr>
          <w:p w14:paraId="259C539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63.1%</w:t>
            </w:r>
          </w:p>
        </w:tc>
        <w:tc>
          <w:tcPr>
            <w:tcW w:w="719" w:type="dxa"/>
            <w:noWrap/>
            <w:hideMark/>
          </w:tcPr>
          <w:p w14:paraId="793EC8B3" w14:textId="3738D91A"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464</w:t>
            </w:r>
          </w:p>
        </w:tc>
        <w:tc>
          <w:tcPr>
            <w:tcW w:w="793" w:type="dxa"/>
            <w:noWrap/>
            <w:hideMark/>
          </w:tcPr>
          <w:p w14:paraId="78A671DC"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11.6%</w:t>
            </w:r>
          </w:p>
        </w:tc>
        <w:tc>
          <w:tcPr>
            <w:tcW w:w="691" w:type="dxa"/>
            <w:vAlign w:val="bottom"/>
          </w:tcPr>
          <w:p w14:paraId="5F85E6C6" w14:textId="4CAD4502"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44.9%</w:t>
            </w:r>
          </w:p>
        </w:tc>
        <w:tc>
          <w:tcPr>
            <w:tcW w:w="766" w:type="dxa"/>
            <w:vAlign w:val="bottom"/>
          </w:tcPr>
          <w:p w14:paraId="2EF333EA" w14:textId="7B8F9E1B"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55.1%</w:t>
            </w:r>
          </w:p>
        </w:tc>
        <w:tc>
          <w:tcPr>
            <w:tcW w:w="896" w:type="dxa"/>
          </w:tcPr>
          <w:p w14:paraId="431B66C2" w14:textId="144C6C05"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11.4%</w:t>
            </w:r>
          </w:p>
        </w:tc>
      </w:tr>
      <w:tr w:rsidR="00D82CF8" w:rsidRPr="008C0BE3" w14:paraId="44D32994" w14:textId="2E915D6A" w:rsidTr="00F85AEC">
        <w:trPr>
          <w:trHeight w:val="255"/>
        </w:trPr>
        <w:tc>
          <w:tcPr>
            <w:tcW w:w="1838" w:type="dxa"/>
            <w:noWrap/>
            <w:hideMark/>
          </w:tcPr>
          <w:p w14:paraId="392EE8AF"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France</w:t>
            </w:r>
          </w:p>
        </w:tc>
        <w:tc>
          <w:tcPr>
            <w:tcW w:w="709" w:type="dxa"/>
            <w:noWrap/>
            <w:hideMark/>
          </w:tcPr>
          <w:p w14:paraId="57A1460F" w14:textId="0417F902"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041</w:t>
            </w:r>
          </w:p>
        </w:tc>
        <w:tc>
          <w:tcPr>
            <w:tcW w:w="855" w:type="dxa"/>
            <w:gridSpan w:val="2"/>
            <w:noWrap/>
            <w:hideMark/>
          </w:tcPr>
          <w:p w14:paraId="6109880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43.1%</w:t>
            </w:r>
          </w:p>
        </w:tc>
        <w:tc>
          <w:tcPr>
            <w:tcW w:w="719" w:type="dxa"/>
            <w:noWrap/>
            <w:hideMark/>
          </w:tcPr>
          <w:p w14:paraId="45B4B243" w14:textId="6D576914"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377</w:t>
            </w:r>
          </w:p>
        </w:tc>
        <w:tc>
          <w:tcPr>
            <w:tcW w:w="851" w:type="dxa"/>
            <w:gridSpan w:val="2"/>
            <w:noWrap/>
            <w:hideMark/>
          </w:tcPr>
          <w:p w14:paraId="40278AE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56.9%</w:t>
            </w:r>
          </w:p>
        </w:tc>
        <w:tc>
          <w:tcPr>
            <w:tcW w:w="719" w:type="dxa"/>
            <w:noWrap/>
            <w:hideMark/>
          </w:tcPr>
          <w:p w14:paraId="4807D213" w14:textId="735C4E68"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418</w:t>
            </w:r>
          </w:p>
        </w:tc>
        <w:tc>
          <w:tcPr>
            <w:tcW w:w="793" w:type="dxa"/>
            <w:noWrap/>
            <w:hideMark/>
          </w:tcPr>
          <w:p w14:paraId="6F12F1CD"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11.4%</w:t>
            </w:r>
          </w:p>
        </w:tc>
        <w:tc>
          <w:tcPr>
            <w:tcW w:w="691" w:type="dxa"/>
            <w:vAlign w:val="bottom"/>
          </w:tcPr>
          <w:p w14:paraId="1F2E0D40" w14:textId="64D475D1"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55.0%</w:t>
            </w:r>
          </w:p>
        </w:tc>
        <w:tc>
          <w:tcPr>
            <w:tcW w:w="766" w:type="dxa"/>
            <w:vAlign w:val="bottom"/>
          </w:tcPr>
          <w:p w14:paraId="44BF08BF" w14:textId="5E5D4C99"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45.0%</w:t>
            </w:r>
          </w:p>
        </w:tc>
        <w:tc>
          <w:tcPr>
            <w:tcW w:w="896" w:type="dxa"/>
          </w:tcPr>
          <w:p w14:paraId="6FBF5F93" w14:textId="14E632EE"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12.3%</w:t>
            </w:r>
          </w:p>
        </w:tc>
      </w:tr>
      <w:tr w:rsidR="00D82CF8" w:rsidRPr="008C0BE3" w14:paraId="0D291643" w14:textId="1AF19A98"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73EEE004"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Italy</w:t>
            </w:r>
          </w:p>
        </w:tc>
        <w:tc>
          <w:tcPr>
            <w:tcW w:w="709" w:type="dxa"/>
            <w:noWrap/>
            <w:hideMark/>
          </w:tcPr>
          <w:p w14:paraId="2E14DDB5"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870</w:t>
            </w:r>
          </w:p>
        </w:tc>
        <w:tc>
          <w:tcPr>
            <w:tcW w:w="855" w:type="dxa"/>
            <w:gridSpan w:val="2"/>
            <w:noWrap/>
            <w:hideMark/>
          </w:tcPr>
          <w:p w14:paraId="718A441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52.4%</w:t>
            </w:r>
          </w:p>
        </w:tc>
        <w:tc>
          <w:tcPr>
            <w:tcW w:w="719" w:type="dxa"/>
            <w:noWrap/>
            <w:hideMark/>
          </w:tcPr>
          <w:p w14:paraId="6063104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791</w:t>
            </w:r>
          </w:p>
        </w:tc>
        <w:tc>
          <w:tcPr>
            <w:tcW w:w="851" w:type="dxa"/>
            <w:gridSpan w:val="2"/>
            <w:noWrap/>
            <w:hideMark/>
          </w:tcPr>
          <w:p w14:paraId="5375542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47.6%</w:t>
            </w:r>
          </w:p>
        </w:tc>
        <w:tc>
          <w:tcPr>
            <w:tcW w:w="719" w:type="dxa"/>
            <w:noWrap/>
            <w:hideMark/>
          </w:tcPr>
          <w:p w14:paraId="572B4C5D" w14:textId="7B3D225D"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661</w:t>
            </w:r>
          </w:p>
        </w:tc>
        <w:tc>
          <w:tcPr>
            <w:tcW w:w="793" w:type="dxa"/>
            <w:noWrap/>
            <w:hideMark/>
          </w:tcPr>
          <w:p w14:paraId="331D7BF4"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7.8%</w:t>
            </w:r>
          </w:p>
        </w:tc>
        <w:tc>
          <w:tcPr>
            <w:tcW w:w="691" w:type="dxa"/>
            <w:vAlign w:val="bottom"/>
          </w:tcPr>
          <w:p w14:paraId="7E1E82EE" w14:textId="76757033"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60.4%</w:t>
            </w:r>
          </w:p>
        </w:tc>
        <w:tc>
          <w:tcPr>
            <w:tcW w:w="766" w:type="dxa"/>
            <w:vAlign w:val="bottom"/>
          </w:tcPr>
          <w:p w14:paraId="7391CFC1" w14:textId="47F3BAF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39.6%</w:t>
            </w:r>
          </w:p>
        </w:tc>
        <w:tc>
          <w:tcPr>
            <w:tcW w:w="896" w:type="dxa"/>
          </w:tcPr>
          <w:p w14:paraId="3BDC2383" w14:textId="2151050F"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5.3%</w:t>
            </w:r>
          </w:p>
        </w:tc>
      </w:tr>
      <w:tr w:rsidR="00D82CF8" w:rsidRPr="008C0BE3" w14:paraId="1C587F5D" w14:textId="51E50061" w:rsidTr="00F85AEC">
        <w:trPr>
          <w:trHeight w:val="255"/>
        </w:trPr>
        <w:tc>
          <w:tcPr>
            <w:tcW w:w="1838" w:type="dxa"/>
            <w:noWrap/>
            <w:hideMark/>
          </w:tcPr>
          <w:p w14:paraId="7C47BAEA"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South Korea</w:t>
            </w:r>
          </w:p>
        </w:tc>
        <w:tc>
          <w:tcPr>
            <w:tcW w:w="709" w:type="dxa"/>
            <w:noWrap/>
            <w:hideMark/>
          </w:tcPr>
          <w:p w14:paraId="66DA942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623</w:t>
            </w:r>
          </w:p>
        </w:tc>
        <w:tc>
          <w:tcPr>
            <w:tcW w:w="855" w:type="dxa"/>
            <w:gridSpan w:val="2"/>
            <w:noWrap/>
            <w:hideMark/>
          </w:tcPr>
          <w:p w14:paraId="6A725A6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45.0%</w:t>
            </w:r>
          </w:p>
        </w:tc>
        <w:tc>
          <w:tcPr>
            <w:tcW w:w="719" w:type="dxa"/>
            <w:noWrap/>
            <w:hideMark/>
          </w:tcPr>
          <w:p w14:paraId="40042BF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761</w:t>
            </w:r>
          </w:p>
        </w:tc>
        <w:tc>
          <w:tcPr>
            <w:tcW w:w="851" w:type="dxa"/>
            <w:gridSpan w:val="2"/>
            <w:noWrap/>
            <w:hideMark/>
          </w:tcPr>
          <w:p w14:paraId="7B1876A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55.0%</w:t>
            </w:r>
          </w:p>
        </w:tc>
        <w:tc>
          <w:tcPr>
            <w:tcW w:w="719" w:type="dxa"/>
            <w:noWrap/>
            <w:hideMark/>
          </w:tcPr>
          <w:p w14:paraId="748DCF05" w14:textId="53FF110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384</w:t>
            </w:r>
          </w:p>
        </w:tc>
        <w:tc>
          <w:tcPr>
            <w:tcW w:w="793" w:type="dxa"/>
            <w:noWrap/>
            <w:hideMark/>
          </w:tcPr>
          <w:p w14:paraId="7F4BDC89"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6.5%</w:t>
            </w:r>
          </w:p>
        </w:tc>
        <w:tc>
          <w:tcPr>
            <w:tcW w:w="691" w:type="dxa"/>
            <w:vAlign w:val="bottom"/>
          </w:tcPr>
          <w:p w14:paraId="30BEE3B2" w14:textId="0ED58C4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50.7%</w:t>
            </w:r>
          </w:p>
        </w:tc>
        <w:tc>
          <w:tcPr>
            <w:tcW w:w="766" w:type="dxa"/>
            <w:vAlign w:val="bottom"/>
          </w:tcPr>
          <w:p w14:paraId="2631E920" w14:textId="2105E888"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49.3%</w:t>
            </w:r>
          </w:p>
        </w:tc>
        <w:tc>
          <w:tcPr>
            <w:tcW w:w="896" w:type="dxa"/>
          </w:tcPr>
          <w:p w14:paraId="63C932B6" w14:textId="38A06D95"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10.1%</w:t>
            </w:r>
          </w:p>
        </w:tc>
      </w:tr>
      <w:tr w:rsidR="00D82CF8" w:rsidRPr="008C0BE3" w14:paraId="1E4EEA38" w14:textId="4990FCF9"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0A1AD58D"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Japan</w:t>
            </w:r>
          </w:p>
        </w:tc>
        <w:tc>
          <w:tcPr>
            <w:tcW w:w="709" w:type="dxa"/>
            <w:noWrap/>
            <w:hideMark/>
          </w:tcPr>
          <w:p w14:paraId="427F2FA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305</w:t>
            </w:r>
          </w:p>
        </w:tc>
        <w:tc>
          <w:tcPr>
            <w:tcW w:w="855" w:type="dxa"/>
            <w:gridSpan w:val="2"/>
            <w:noWrap/>
            <w:hideMark/>
          </w:tcPr>
          <w:p w14:paraId="2453102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29.8%</w:t>
            </w:r>
          </w:p>
        </w:tc>
        <w:tc>
          <w:tcPr>
            <w:tcW w:w="719" w:type="dxa"/>
            <w:noWrap/>
            <w:hideMark/>
          </w:tcPr>
          <w:p w14:paraId="21A05C4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718</w:t>
            </w:r>
          </w:p>
        </w:tc>
        <w:tc>
          <w:tcPr>
            <w:tcW w:w="851" w:type="dxa"/>
            <w:gridSpan w:val="2"/>
            <w:noWrap/>
            <w:hideMark/>
          </w:tcPr>
          <w:p w14:paraId="2000BFA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70.2%</w:t>
            </w:r>
          </w:p>
        </w:tc>
        <w:tc>
          <w:tcPr>
            <w:tcW w:w="719" w:type="dxa"/>
            <w:noWrap/>
            <w:hideMark/>
          </w:tcPr>
          <w:p w14:paraId="57C605F2" w14:textId="1C431165"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023</w:t>
            </w:r>
          </w:p>
        </w:tc>
        <w:tc>
          <w:tcPr>
            <w:tcW w:w="793" w:type="dxa"/>
            <w:noWrap/>
            <w:hideMark/>
          </w:tcPr>
          <w:p w14:paraId="62DEF44C"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4.8%</w:t>
            </w:r>
          </w:p>
        </w:tc>
        <w:tc>
          <w:tcPr>
            <w:tcW w:w="691" w:type="dxa"/>
            <w:vAlign w:val="bottom"/>
          </w:tcPr>
          <w:p w14:paraId="11D54AE2" w14:textId="42ED8690"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38.5%</w:t>
            </w:r>
          </w:p>
        </w:tc>
        <w:tc>
          <w:tcPr>
            <w:tcW w:w="766" w:type="dxa"/>
            <w:vAlign w:val="bottom"/>
          </w:tcPr>
          <w:p w14:paraId="3EA66FD5" w14:textId="777CBD02"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61.5%</w:t>
            </w:r>
          </w:p>
        </w:tc>
        <w:tc>
          <w:tcPr>
            <w:tcW w:w="896" w:type="dxa"/>
          </w:tcPr>
          <w:p w14:paraId="121D0CE8" w14:textId="13121DBD"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5.3%</w:t>
            </w:r>
          </w:p>
        </w:tc>
      </w:tr>
      <w:tr w:rsidR="00D82CF8" w:rsidRPr="008C0BE3" w14:paraId="7C4F9C17" w14:textId="6A4CB94C" w:rsidTr="00F85AEC">
        <w:trPr>
          <w:trHeight w:val="255"/>
        </w:trPr>
        <w:tc>
          <w:tcPr>
            <w:tcW w:w="1838" w:type="dxa"/>
            <w:noWrap/>
            <w:hideMark/>
          </w:tcPr>
          <w:p w14:paraId="547C1B51" w14:textId="1625F6CA" w:rsidR="00D82CF8" w:rsidRPr="00B127E9" w:rsidRDefault="00AE3983" w:rsidP="00A85E5D">
            <w:pPr>
              <w:keepNext/>
              <w:keepLines/>
              <w:spacing w:before="0"/>
              <w:rPr>
                <w:rFonts w:ascii="Calibri" w:eastAsia="Times New Roman" w:hAnsi="Calibri" w:cs="Calibri"/>
                <w:bCs/>
                <w:color w:val="000000"/>
                <w:sz w:val="18"/>
                <w:szCs w:val="18"/>
                <w:lang w:eastAsia="en-AU"/>
              </w:rPr>
            </w:pPr>
            <w:r>
              <w:rPr>
                <w:rFonts w:ascii="Calibri" w:eastAsia="Times New Roman" w:hAnsi="Calibri" w:cs="Calibri"/>
                <w:bCs/>
                <w:color w:val="000000"/>
                <w:sz w:val="18"/>
                <w:szCs w:val="18"/>
                <w:lang w:eastAsia="en-AU"/>
              </w:rPr>
              <w:t>USA</w:t>
            </w:r>
          </w:p>
        </w:tc>
        <w:tc>
          <w:tcPr>
            <w:tcW w:w="709" w:type="dxa"/>
            <w:noWrap/>
            <w:hideMark/>
          </w:tcPr>
          <w:p w14:paraId="3830DC60"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303</w:t>
            </w:r>
          </w:p>
        </w:tc>
        <w:tc>
          <w:tcPr>
            <w:tcW w:w="855" w:type="dxa"/>
            <w:gridSpan w:val="2"/>
            <w:noWrap/>
            <w:hideMark/>
          </w:tcPr>
          <w:p w14:paraId="4583229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29.7%</w:t>
            </w:r>
          </w:p>
        </w:tc>
        <w:tc>
          <w:tcPr>
            <w:tcW w:w="719" w:type="dxa"/>
            <w:noWrap/>
            <w:hideMark/>
          </w:tcPr>
          <w:p w14:paraId="52D210C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716</w:t>
            </w:r>
          </w:p>
        </w:tc>
        <w:tc>
          <w:tcPr>
            <w:tcW w:w="851" w:type="dxa"/>
            <w:gridSpan w:val="2"/>
            <w:noWrap/>
            <w:hideMark/>
          </w:tcPr>
          <w:p w14:paraId="5FD9B485"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70.3%</w:t>
            </w:r>
          </w:p>
        </w:tc>
        <w:tc>
          <w:tcPr>
            <w:tcW w:w="719" w:type="dxa"/>
            <w:noWrap/>
            <w:hideMark/>
          </w:tcPr>
          <w:p w14:paraId="3DEF4E8C" w14:textId="62EF9564"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019</w:t>
            </w:r>
          </w:p>
        </w:tc>
        <w:tc>
          <w:tcPr>
            <w:tcW w:w="793" w:type="dxa"/>
            <w:noWrap/>
            <w:hideMark/>
          </w:tcPr>
          <w:p w14:paraId="20A530D8"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4.8%</w:t>
            </w:r>
          </w:p>
        </w:tc>
        <w:tc>
          <w:tcPr>
            <w:tcW w:w="691" w:type="dxa"/>
            <w:vAlign w:val="bottom"/>
          </w:tcPr>
          <w:p w14:paraId="18FA5371" w14:textId="501D675E"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40.0%</w:t>
            </w:r>
          </w:p>
        </w:tc>
        <w:tc>
          <w:tcPr>
            <w:tcW w:w="766" w:type="dxa"/>
            <w:vAlign w:val="bottom"/>
          </w:tcPr>
          <w:p w14:paraId="565FDDC2" w14:textId="69AD4109"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60.0%</w:t>
            </w:r>
          </w:p>
        </w:tc>
        <w:tc>
          <w:tcPr>
            <w:tcW w:w="896" w:type="dxa"/>
          </w:tcPr>
          <w:p w14:paraId="36CB2ECC" w14:textId="47ECB988"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3.8%</w:t>
            </w:r>
          </w:p>
        </w:tc>
      </w:tr>
      <w:tr w:rsidR="00D82CF8" w:rsidRPr="008C0BE3" w14:paraId="5E8BB537" w14:textId="4283D660"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15242574"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Canada</w:t>
            </w:r>
          </w:p>
        </w:tc>
        <w:tc>
          <w:tcPr>
            <w:tcW w:w="709" w:type="dxa"/>
            <w:noWrap/>
            <w:hideMark/>
          </w:tcPr>
          <w:p w14:paraId="26BD99C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316</w:t>
            </w:r>
          </w:p>
        </w:tc>
        <w:tc>
          <w:tcPr>
            <w:tcW w:w="855" w:type="dxa"/>
            <w:gridSpan w:val="2"/>
            <w:noWrap/>
            <w:hideMark/>
          </w:tcPr>
          <w:p w14:paraId="52C20BF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31.0%</w:t>
            </w:r>
          </w:p>
        </w:tc>
        <w:tc>
          <w:tcPr>
            <w:tcW w:w="719" w:type="dxa"/>
            <w:noWrap/>
            <w:hideMark/>
          </w:tcPr>
          <w:p w14:paraId="7951C8EF"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702</w:t>
            </w:r>
          </w:p>
        </w:tc>
        <w:tc>
          <w:tcPr>
            <w:tcW w:w="851" w:type="dxa"/>
            <w:gridSpan w:val="2"/>
            <w:noWrap/>
            <w:hideMark/>
          </w:tcPr>
          <w:p w14:paraId="51968098"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69.0%</w:t>
            </w:r>
          </w:p>
        </w:tc>
        <w:tc>
          <w:tcPr>
            <w:tcW w:w="719" w:type="dxa"/>
            <w:noWrap/>
            <w:hideMark/>
          </w:tcPr>
          <w:p w14:paraId="15D02628" w14:textId="2206336D"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018</w:t>
            </w:r>
          </w:p>
        </w:tc>
        <w:tc>
          <w:tcPr>
            <w:tcW w:w="793" w:type="dxa"/>
            <w:noWrap/>
            <w:hideMark/>
          </w:tcPr>
          <w:p w14:paraId="6D548553"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4.8%</w:t>
            </w:r>
          </w:p>
        </w:tc>
        <w:tc>
          <w:tcPr>
            <w:tcW w:w="691" w:type="dxa"/>
            <w:vAlign w:val="bottom"/>
          </w:tcPr>
          <w:p w14:paraId="48A53BB9" w14:textId="6F150E3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41.0%</w:t>
            </w:r>
          </w:p>
        </w:tc>
        <w:tc>
          <w:tcPr>
            <w:tcW w:w="766" w:type="dxa"/>
            <w:vAlign w:val="bottom"/>
          </w:tcPr>
          <w:p w14:paraId="05F11023" w14:textId="40CE5727"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59.0%</w:t>
            </w:r>
          </w:p>
        </w:tc>
        <w:tc>
          <w:tcPr>
            <w:tcW w:w="896" w:type="dxa"/>
          </w:tcPr>
          <w:p w14:paraId="0C04BFB9" w14:textId="56830C25"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3.6%</w:t>
            </w:r>
          </w:p>
        </w:tc>
      </w:tr>
      <w:tr w:rsidR="00D82CF8" w:rsidRPr="008C0BE3" w14:paraId="6599575A" w14:textId="4218A073" w:rsidTr="00F85AEC">
        <w:trPr>
          <w:trHeight w:val="255"/>
        </w:trPr>
        <w:tc>
          <w:tcPr>
            <w:tcW w:w="1838" w:type="dxa"/>
            <w:noWrap/>
            <w:hideMark/>
          </w:tcPr>
          <w:p w14:paraId="30B3E6C2"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Ireland</w:t>
            </w:r>
          </w:p>
        </w:tc>
        <w:tc>
          <w:tcPr>
            <w:tcW w:w="709" w:type="dxa"/>
            <w:noWrap/>
            <w:hideMark/>
          </w:tcPr>
          <w:p w14:paraId="00A869E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304</w:t>
            </w:r>
          </w:p>
        </w:tc>
        <w:tc>
          <w:tcPr>
            <w:tcW w:w="855" w:type="dxa"/>
            <w:gridSpan w:val="2"/>
            <w:noWrap/>
            <w:hideMark/>
          </w:tcPr>
          <w:p w14:paraId="57F3C36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34.1%</w:t>
            </w:r>
          </w:p>
        </w:tc>
        <w:tc>
          <w:tcPr>
            <w:tcW w:w="719" w:type="dxa"/>
            <w:noWrap/>
            <w:hideMark/>
          </w:tcPr>
          <w:p w14:paraId="3D9CCD6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587</w:t>
            </w:r>
          </w:p>
        </w:tc>
        <w:tc>
          <w:tcPr>
            <w:tcW w:w="851" w:type="dxa"/>
            <w:gridSpan w:val="2"/>
            <w:noWrap/>
            <w:hideMark/>
          </w:tcPr>
          <w:p w14:paraId="4381563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65.9%</w:t>
            </w:r>
          </w:p>
        </w:tc>
        <w:tc>
          <w:tcPr>
            <w:tcW w:w="719" w:type="dxa"/>
            <w:noWrap/>
            <w:hideMark/>
          </w:tcPr>
          <w:p w14:paraId="53D6503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891</w:t>
            </w:r>
          </w:p>
        </w:tc>
        <w:tc>
          <w:tcPr>
            <w:tcW w:w="793" w:type="dxa"/>
            <w:noWrap/>
            <w:hideMark/>
          </w:tcPr>
          <w:p w14:paraId="5FD0BAC1"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4.2%</w:t>
            </w:r>
          </w:p>
        </w:tc>
        <w:tc>
          <w:tcPr>
            <w:tcW w:w="691" w:type="dxa"/>
            <w:vAlign w:val="bottom"/>
          </w:tcPr>
          <w:p w14:paraId="763CCC86" w14:textId="580B3CB3"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50.9%</w:t>
            </w:r>
          </w:p>
        </w:tc>
        <w:tc>
          <w:tcPr>
            <w:tcW w:w="766" w:type="dxa"/>
            <w:vAlign w:val="bottom"/>
          </w:tcPr>
          <w:p w14:paraId="157F1875" w14:textId="0E7F7454"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49.1%</w:t>
            </w:r>
          </w:p>
        </w:tc>
        <w:tc>
          <w:tcPr>
            <w:tcW w:w="896" w:type="dxa"/>
          </w:tcPr>
          <w:p w14:paraId="47DA0A02" w14:textId="7B2D2F7E"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4.9%</w:t>
            </w:r>
          </w:p>
        </w:tc>
      </w:tr>
      <w:tr w:rsidR="00D82CF8" w:rsidRPr="008C0BE3" w14:paraId="15EA2250" w14:textId="107DB0B0"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46B8FE59" w14:textId="77777777" w:rsidR="00D82CF8" w:rsidRPr="00B127E9" w:rsidRDefault="00D82CF8" w:rsidP="00A85E5D">
            <w:pPr>
              <w:keepNext/>
              <w:keepLines/>
              <w:spacing w:before="0"/>
              <w:rPr>
                <w:rFonts w:ascii="Calibri" w:eastAsia="Times New Roman" w:hAnsi="Calibri" w:cs="Calibri"/>
                <w:bCs/>
                <w:color w:val="000000"/>
                <w:sz w:val="18"/>
                <w:szCs w:val="18"/>
                <w:lang w:eastAsia="en-AU"/>
              </w:rPr>
            </w:pPr>
            <w:r w:rsidRPr="00B127E9">
              <w:rPr>
                <w:rFonts w:ascii="Calibri" w:eastAsia="Times New Roman" w:hAnsi="Calibri" w:cs="Calibri"/>
                <w:bCs/>
                <w:color w:val="000000"/>
                <w:sz w:val="18"/>
                <w:szCs w:val="18"/>
                <w:lang w:eastAsia="en-AU"/>
              </w:rPr>
              <w:t>Netherlands</w:t>
            </w:r>
          </w:p>
        </w:tc>
        <w:tc>
          <w:tcPr>
            <w:tcW w:w="709" w:type="dxa"/>
            <w:noWrap/>
            <w:hideMark/>
          </w:tcPr>
          <w:p w14:paraId="4202705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240</w:t>
            </w:r>
          </w:p>
        </w:tc>
        <w:tc>
          <w:tcPr>
            <w:tcW w:w="855" w:type="dxa"/>
            <w:gridSpan w:val="2"/>
            <w:noWrap/>
            <w:hideMark/>
          </w:tcPr>
          <w:p w14:paraId="729C11B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36.6%</w:t>
            </w:r>
          </w:p>
        </w:tc>
        <w:tc>
          <w:tcPr>
            <w:tcW w:w="719" w:type="dxa"/>
            <w:noWrap/>
            <w:hideMark/>
          </w:tcPr>
          <w:p w14:paraId="68618DF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416</w:t>
            </w:r>
          </w:p>
        </w:tc>
        <w:tc>
          <w:tcPr>
            <w:tcW w:w="851" w:type="dxa"/>
            <w:gridSpan w:val="2"/>
            <w:noWrap/>
            <w:hideMark/>
          </w:tcPr>
          <w:p w14:paraId="018F7AB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63.4%</w:t>
            </w:r>
          </w:p>
        </w:tc>
        <w:tc>
          <w:tcPr>
            <w:tcW w:w="719" w:type="dxa"/>
            <w:noWrap/>
            <w:hideMark/>
          </w:tcPr>
          <w:p w14:paraId="7863BDB5"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656</w:t>
            </w:r>
          </w:p>
        </w:tc>
        <w:tc>
          <w:tcPr>
            <w:tcW w:w="793" w:type="dxa"/>
            <w:noWrap/>
            <w:hideMark/>
          </w:tcPr>
          <w:p w14:paraId="2571B2EE"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3.1%</w:t>
            </w:r>
          </w:p>
        </w:tc>
        <w:tc>
          <w:tcPr>
            <w:tcW w:w="691" w:type="dxa"/>
            <w:vAlign w:val="bottom"/>
          </w:tcPr>
          <w:p w14:paraId="1C05D21A" w14:textId="3D3600B1"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44.1%</w:t>
            </w:r>
          </w:p>
        </w:tc>
        <w:tc>
          <w:tcPr>
            <w:tcW w:w="766" w:type="dxa"/>
            <w:vAlign w:val="bottom"/>
          </w:tcPr>
          <w:p w14:paraId="2659FEDF" w14:textId="3F116AB9"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55.9%</w:t>
            </w:r>
          </w:p>
        </w:tc>
        <w:tc>
          <w:tcPr>
            <w:tcW w:w="896" w:type="dxa"/>
          </w:tcPr>
          <w:p w14:paraId="6593792A" w14:textId="462B2EC3"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2.7%</w:t>
            </w:r>
          </w:p>
        </w:tc>
      </w:tr>
      <w:tr w:rsidR="00D82CF8" w:rsidRPr="008C0BE3" w14:paraId="02648B68" w14:textId="5FE99134" w:rsidTr="00F85AEC">
        <w:trPr>
          <w:trHeight w:val="255"/>
        </w:trPr>
        <w:tc>
          <w:tcPr>
            <w:tcW w:w="1838" w:type="dxa"/>
            <w:noWrap/>
            <w:hideMark/>
          </w:tcPr>
          <w:p w14:paraId="52332656"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Hong Kong</w:t>
            </w:r>
          </w:p>
        </w:tc>
        <w:tc>
          <w:tcPr>
            <w:tcW w:w="709" w:type="dxa"/>
            <w:noWrap/>
            <w:hideMark/>
          </w:tcPr>
          <w:p w14:paraId="0F5291D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126</w:t>
            </w:r>
          </w:p>
        </w:tc>
        <w:tc>
          <w:tcPr>
            <w:tcW w:w="855" w:type="dxa"/>
            <w:gridSpan w:val="2"/>
            <w:noWrap/>
            <w:hideMark/>
          </w:tcPr>
          <w:p w14:paraId="6DB12AA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33.3%</w:t>
            </w:r>
          </w:p>
        </w:tc>
        <w:tc>
          <w:tcPr>
            <w:tcW w:w="719" w:type="dxa"/>
            <w:noWrap/>
            <w:hideMark/>
          </w:tcPr>
          <w:p w14:paraId="40BE7B8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252</w:t>
            </w:r>
          </w:p>
        </w:tc>
        <w:tc>
          <w:tcPr>
            <w:tcW w:w="851" w:type="dxa"/>
            <w:gridSpan w:val="2"/>
            <w:noWrap/>
            <w:hideMark/>
          </w:tcPr>
          <w:p w14:paraId="66958D55"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66.7%</w:t>
            </w:r>
          </w:p>
        </w:tc>
        <w:tc>
          <w:tcPr>
            <w:tcW w:w="719" w:type="dxa"/>
            <w:noWrap/>
            <w:hideMark/>
          </w:tcPr>
          <w:p w14:paraId="125BE4E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378</w:t>
            </w:r>
          </w:p>
        </w:tc>
        <w:tc>
          <w:tcPr>
            <w:tcW w:w="793" w:type="dxa"/>
            <w:noWrap/>
            <w:hideMark/>
          </w:tcPr>
          <w:p w14:paraId="6A6A12EA"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1.8%</w:t>
            </w:r>
          </w:p>
        </w:tc>
        <w:tc>
          <w:tcPr>
            <w:tcW w:w="691" w:type="dxa"/>
            <w:vAlign w:val="bottom"/>
          </w:tcPr>
          <w:p w14:paraId="069FD598" w14:textId="74895F28"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41.5%</w:t>
            </w:r>
          </w:p>
        </w:tc>
        <w:tc>
          <w:tcPr>
            <w:tcW w:w="766" w:type="dxa"/>
            <w:vAlign w:val="bottom"/>
          </w:tcPr>
          <w:p w14:paraId="3CD1EAE8" w14:textId="0F4EB4A3"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58.5%</w:t>
            </w:r>
          </w:p>
        </w:tc>
        <w:tc>
          <w:tcPr>
            <w:tcW w:w="896" w:type="dxa"/>
          </w:tcPr>
          <w:p w14:paraId="5C2D9315" w14:textId="5CD095C8"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1.2%</w:t>
            </w:r>
          </w:p>
        </w:tc>
      </w:tr>
      <w:tr w:rsidR="00D82CF8" w:rsidRPr="008C0BE3" w14:paraId="101CC653" w14:textId="4AB62FCA"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6644B393"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China</w:t>
            </w:r>
          </w:p>
        </w:tc>
        <w:tc>
          <w:tcPr>
            <w:tcW w:w="709" w:type="dxa"/>
            <w:noWrap/>
            <w:hideMark/>
          </w:tcPr>
          <w:p w14:paraId="74AA015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86</w:t>
            </w:r>
          </w:p>
        </w:tc>
        <w:tc>
          <w:tcPr>
            <w:tcW w:w="855" w:type="dxa"/>
            <w:gridSpan w:val="2"/>
            <w:noWrap/>
            <w:hideMark/>
          </w:tcPr>
          <w:p w14:paraId="39026FE0"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27.7%</w:t>
            </w:r>
          </w:p>
        </w:tc>
        <w:tc>
          <w:tcPr>
            <w:tcW w:w="719" w:type="dxa"/>
            <w:noWrap/>
            <w:hideMark/>
          </w:tcPr>
          <w:p w14:paraId="2D8AB53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225</w:t>
            </w:r>
          </w:p>
        </w:tc>
        <w:tc>
          <w:tcPr>
            <w:tcW w:w="851" w:type="dxa"/>
            <w:gridSpan w:val="2"/>
            <w:noWrap/>
            <w:hideMark/>
          </w:tcPr>
          <w:p w14:paraId="3D57252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72.3%</w:t>
            </w:r>
          </w:p>
        </w:tc>
        <w:tc>
          <w:tcPr>
            <w:tcW w:w="719" w:type="dxa"/>
            <w:noWrap/>
            <w:hideMark/>
          </w:tcPr>
          <w:p w14:paraId="5339DE2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311</w:t>
            </w:r>
          </w:p>
        </w:tc>
        <w:tc>
          <w:tcPr>
            <w:tcW w:w="793" w:type="dxa"/>
            <w:noWrap/>
            <w:hideMark/>
          </w:tcPr>
          <w:p w14:paraId="6E0D5257"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1.5%</w:t>
            </w:r>
          </w:p>
        </w:tc>
        <w:tc>
          <w:tcPr>
            <w:tcW w:w="691" w:type="dxa"/>
            <w:vAlign w:val="bottom"/>
          </w:tcPr>
          <w:p w14:paraId="370E1ECE" w14:textId="647DFE3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27.1%</w:t>
            </w:r>
          </w:p>
        </w:tc>
        <w:tc>
          <w:tcPr>
            <w:tcW w:w="766" w:type="dxa"/>
            <w:vAlign w:val="bottom"/>
          </w:tcPr>
          <w:p w14:paraId="33C092FD" w14:textId="75F8EE77"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72.9%</w:t>
            </w:r>
          </w:p>
        </w:tc>
        <w:tc>
          <w:tcPr>
            <w:tcW w:w="896" w:type="dxa"/>
          </w:tcPr>
          <w:p w14:paraId="7DD3B8B1" w14:textId="203FF82F"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2.1%</w:t>
            </w:r>
          </w:p>
        </w:tc>
      </w:tr>
      <w:tr w:rsidR="00D82CF8" w:rsidRPr="008C0BE3" w14:paraId="4097BAEC" w14:textId="655DED16" w:rsidTr="00F85AEC">
        <w:trPr>
          <w:trHeight w:val="255"/>
        </w:trPr>
        <w:tc>
          <w:tcPr>
            <w:tcW w:w="1838" w:type="dxa"/>
            <w:noWrap/>
            <w:hideMark/>
          </w:tcPr>
          <w:p w14:paraId="3AF1153A"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Belgium</w:t>
            </w:r>
          </w:p>
        </w:tc>
        <w:tc>
          <w:tcPr>
            <w:tcW w:w="709" w:type="dxa"/>
            <w:noWrap/>
            <w:hideMark/>
          </w:tcPr>
          <w:p w14:paraId="4DC818F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119</w:t>
            </w:r>
          </w:p>
        </w:tc>
        <w:tc>
          <w:tcPr>
            <w:tcW w:w="855" w:type="dxa"/>
            <w:gridSpan w:val="2"/>
            <w:noWrap/>
            <w:hideMark/>
          </w:tcPr>
          <w:p w14:paraId="10721C0A"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43.8%</w:t>
            </w:r>
          </w:p>
        </w:tc>
        <w:tc>
          <w:tcPr>
            <w:tcW w:w="719" w:type="dxa"/>
            <w:noWrap/>
            <w:hideMark/>
          </w:tcPr>
          <w:p w14:paraId="04AA657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153</w:t>
            </w:r>
          </w:p>
        </w:tc>
        <w:tc>
          <w:tcPr>
            <w:tcW w:w="851" w:type="dxa"/>
            <w:gridSpan w:val="2"/>
            <w:noWrap/>
            <w:hideMark/>
          </w:tcPr>
          <w:p w14:paraId="1803DBD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56.3%</w:t>
            </w:r>
          </w:p>
        </w:tc>
        <w:tc>
          <w:tcPr>
            <w:tcW w:w="719" w:type="dxa"/>
            <w:noWrap/>
            <w:hideMark/>
          </w:tcPr>
          <w:p w14:paraId="67160E90"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272</w:t>
            </w:r>
          </w:p>
        </w:tc>
        <w:tc>
          <w:tcPr>
            <w:tcW w:w="793" w:type="dxa"/>
            <w:noWrap/>
            <w:hideMark/>
          </w:tcPr>
          <w:p w14:paraId="54399862"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1.3%</w:t>
            </w:r>
          </w:p>
        </w:tc>
        <w:tc>
          <w:tcPr>
            <w:tcW w:w="691" w:type="dxa"/>
            <w:vAlign w:val="bottom"/>
          </w:tcPr>
          <w:p w14:paraId="51C18BA6" w14:textId="00A7EF37"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53.5%</w:t>
            </w:r>
          </w:p>
        </w:tc>
        <w:tc>
          <w:tcPr>
            <w:tcW w:w="766" w:type="dxa"/>
            <w:vAlign w:val="bottom"/>
          </w:tcPr>
          <w:p w14:paraId="09174F40" w14:textId="5BDC448D"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46.5%</w:t>
            </w:r>
          </w:p>
        </w:tc>
        <w:tc>
          <w:tcPr>
            <w:tcW w:w="896" w:type="dxa"/>
          </w:tcPr>
          <w:p w14:paraId="5E480BF6" w14:textId="66095840"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1.2%</w:t>
            </w:r>
          </w:p>
        </w:tc>
      </w:tr>
      <w:tr w:rsidR="00D82CF8" w:rsidRPr="008C0BE3" w14:paraId="4069AC28" w14:textId="347C1E0C"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17EAC8FA"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Spain</w:t>
            </w:r>
          </w:p>
        </w:tc>
        <w:tc>
          <w:tcPr>
            <w:tcW w:w="709" w:type="dxa"/>
            <w:noWrap/>
            <w:hideMark/>
          </w:tcPr>
          <w:p w14:paraId="252CDF1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94</w:t>
            </w:r>
          </w:p>
        </w:tc>
        <w:tc>
          <w:tcPr>
            <w:tcW w:w="855" w:type="dxa"/>
            <w:gridSpan w:val="2"/>
            <w:noWrap/>
            <w:hideMark/>
          </w:tcPr>
          <w:p w14:paraId="4578092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36.0%</w:t>
            </w:r>
          </w:p>
        </w:tc>
        <w:tc>
          <w:tcPr>
            <w:tcW w:w="719" w:type="dxa"/>
            <w:noWrap/>
            <w:hideMark/>
          </w:tcPr>
          <w:p w14:paraId="290481DA"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167</w:t>
            </w:r>
          </w:p>
        </w:tc>
        <w:tc>
          <w:tcPr>
            <w:tcW w:w="851" w:type="dxa"/>
            <w:gridSpan w:val="2"/>
            <w:noWrap/>
            <w:hideMark/>
          </w:tcPr>
          <w:p w14:paraId="2CF649C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64.0%</w:t>
            </w:r>
          </w:p>
        </w:tc>
        <w:tc>
          <w:tcPr>
            <w:tcW w:w="719" w:type="dxa"/>
            <w:noWrap/>
            <w:hideMark/>
          </w:tcPr>
          <w:p w14:paraId="7F786ED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261</w:t>
            </w:r>
          </w:p>
        </w:tc>
        <w:tc>
          <w:tcPr>
            <w:tcW w:w="793" w:type="dxa"/>
            <w:noWrap/>
            <w:hideMark/>
          </w:tcPr>
          <w:p w14:paraId="4A41265D"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1.2%</w:t>
            </w:r>
          </w:p>
        </w:tc>
        <w:tc>
          <w:tcPr>
            <w:tcW w:w="691" w:type="dxa"/>
            <w:vAlign w:val="bottom"/>
          </w:tcPr>
          <w:p w14:paraId="7FD021A8" w14:textId="7B111304"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41.4%</w:t>
            </w:r>
          </w:p>
        </w:tc>
        <w:tc>
          <w:tcPr>
            <w:tcW w:w="766" w:type="dxa"/>
            <w:vAlign w:val="bottom"/>
          </w:tcPr>
          <w:p w14:paraId="6EA81A6C" w14:textId="5CAE799B"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58.6%</w:t>
            </w:r>
          </w:p>
        </w:tc>
        <w:tc>
          <w:tcPr>
            <w:tcW w:w="896" w:type="dxa"/>
          </w:tcPr>
          <w:p w14:paraId="420A8CC2" w14:textId="105AEA43"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0.7%</w:t>
            </w:r>
          </w:p>
        </w:tc>
      </w:tr>
      <w:tr w:rsidR="00D82CF8" w:rsidRPr="008C0BE3" w14:paraId="327014A8" w14:textId="4A7D44DD" w:rsidTr="00F85AEC">
        <w:trPr>
          <w:trHeight w:val="255"/>
        </w:trPr>
        <w:tc>
          <w:tcPr>
            <w:tcW w:w="1838" w:type="dxa"/>
            <w:noWrap/>
            <w:hideMark/>
          </w:tcPr>
          <w:p w14:paraId="30FE435D"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Argentina</w:t>
            </w:r>
          </w:p>
        </w:tc>
        <w:tc>
          <w:tcPr>
            <w:tcW w:w="709" w:type="dxa"/>
            <w:noWrap/>
            <w:hideMark/>
          </w:tcPr>
          <w:p w14:paraId="256B0F8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83</w:t>
            </w:r>
          </w:p>
        </w:tc>
        <w:tc>
          <w:tcPr>
            <w:tcW w:w="855" w:type="dxa"/>
            <w:gridSpan w:val="2"/>
            <w:noWrap/>
            <w:hideMark/>
          </w:tcPr>
          <w:p w14:paraId="1740094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34.7%</w:t>
            </w:r>
          </w:p>
        </w:tc>
        <w:tc>
          <w:tcPr>
            <w:tcW w:w="719" w:type="dxa"/>
            <w:noWrap/>
            <w:hideMark/>
          </w:tcPr>
          <w:p w14:paraId="0EB0FB6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156</w:t>
            </w:r>
          </w:p>
        </w:tc>
        <w:tc>
          <w:tcPr>
            <w:tcW w:w="851" w:type="dxa"/>
            <w:gridSpan w:val="2"/>
            <w:noWrap/>
            <w:hideMark/>
          </w:tcPr>
          <w:p w14:paraId="36AA707F"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65.3%</w:t>
            </w:r>
          </w:p>
        </w:tc>
        <w:tc>
          <w:tcPr>
            <w:tcW w:w="719" w:type="dxa"/>
            <w:noWrap/>
            <w:hideMark/>
          </w:tcPr>
          <w:p w14:paraId="43AA813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239</w:t>
            </w:r>
          </w:p>
        </w:tc>
        <w:tc>
          <w:tcPr>
            <w:tcW w:w="793" w:type="dxa"/>
            <w:noWrap/>
            <w:hideMark/>
          </w:tcPr>
          <w:p w14:paraId="7F2B1275"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1.1%</w:t>
            </w:r>
          </w:p>
        </w:tc>
        <w:tc>
          <w:tcPr>
            <w:tcW w:w="691" w:type="dxa"/>
            <w:vAlign w:val="bottom"/>
          </w:tcPr>
          <w:p w14:paraId="15DA4980" w14:textId="2CBCF0E2"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39.7%</w:t>
            </w:r>
          </w:p>
        </w:tc>
        <w:tc>
          <w:tcPr>
            <w:tcW w:w="766" w:type="dxa"/>
            <w:vAlign w:val="bottom"/>
          </w:tcPr>
          <w:p w14:paraId="72425EE1" w14:textId="17B0BC2A"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60.3%</w:t>
            </w:r>
          </w:p>
        </w:tc>
        <w:tc>
          <w:tcPr>
            <w:tcW w:w="896" w:type="dxa"/>
          </w:tcPr>
          <w:p w14:paraId="773EE475" w14:textId="0A1AC663"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0.6%</w:t>
            </w:r>
          </w:p>
        </w:tc>
      </w:tr>
      <w:tr w:rsidR="00D82CF8" w:rsidRPr="008C0BE3" w14:paraId="66BB43EC" w14:textId="201598D2"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10D53824"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Sweden</w:t>
            </w:r>
          </w:p>
        </w:tc>
        <w:tc>
          <w:tcPr>
            <w:tcW w:w="709" w:type="dxa"/>
            <w:noWrap/>
            <w:hideMark/>
          </w:tcPr>
          <w:p w14:paraId="5ED77F03"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59</w:t>
            </w:r>
          </w:p>
        </w:tc>
        <w:tc>
          <w:tcPr>
            <w:tcW w:w="855" w:type="dxa"/>
            <w:gridSpan w:val="2"/>
            <w:noWrap/>
            <w:hideMark/>
          </w:tcPr>
          <w:p w14:paraId="0C30904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26.3%</w:t>
            </w:r>
          </w:p>
        </w:tc>
        <w:tc>
          <w:tcPr>
            <w:tcW w:w="719" w:type="dxa"/>
            <w:noWrap/>
            <w:hideMark/>
          </w:tcPr>
          <w:p w14:paraId="3E1C974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165</w:t>
            </w:r>
          </w:p>
        </w:tc>
        <w:tc>
          <w:tcPr>
            <w:tcW w:w="851" w:type="dxa"/>
            <w:gridSpan w:val="2"/>
            <w:noWrap/>
            <w:hideMark/>
          </w:tcPr>
          <w:p w14:paraId="69E3D58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73.7%</w:t>
            </w:r>
          </w:p>
        </w:tc>
        <w:tc>
          <w:tcPr>
            <w:tcW w:w="719" w:type="dxa"/>
            <w:noWrap/>
            <w:hideMark/>
          </w:tcPr>
          <w:p w14:paraId="6482B2D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224</w:t>
            </w:r>
          </w:p>
        </w:tc>
        <w:tc>
          <w:tcPr>
            <w:tcW w:w="793" w:type="dxa"/>
            <w:noWrap/>
            <w:hideMark/>
          </w:tcPr>
          <w:p w14:paraId="0513E16A"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1.1%</w:t>
            </w:r>
          </w:p>
        </w:tc>
        <w:tc>
          <w:tcPr>
            <w:tcW w:w="691" w:type="dxa"/>
            <w:vAlign w:val="bottom"/>
          </w:tcPr>
          <w:p w14:paraId="4A1BB2DA" w14:textId="1EC5584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37.4%</w:t>
            </w:r>
          </w:p>
        </w:tc>
        <w:tc>
          <w:tcPr>
            <w:tcW w:w="766" w:type="dxa"/>
            <w:vAlign w:val="bottom"/>
          </w:tcPr>
          <w:p w14:paraId="23A924FF" w14:textId="60F79F64"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62.6%</w:t>
            </w:r>
          </w:p>
        </w:tc>
        <w:tc>
          <w:tcPr>
            <w:tcW w:w="896" w:type="dxa"/>
          </w:tcPr>
          <w:p w14:paraId="2AFD0F46" w14:textId="56C67396"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1.5%</w:t>
            </w:r>
          </w:p>
        </w:tc>
      </w:tr>
      <w:tr w:rsidR="00D82CF8" w:rsidRPr="008C0BE3" w14:paraId="548A278B" w14:textId="03848F1E" w:rsidTr="00F85AEC">
        <w:trPr>
          <w:trHeight w:val="255"/>
        </w:trPr>
        <w:tc>
          <w:tcPr>
            <w:tcW w:w="1838" w:type="dxa"/>
            <w:noWrap/>
            <w:hideMark/>
          </w:tcPr>
          <w:p w14:paraId="39299937"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Estonia</w:t>
            </w:r>
          </w:p>
        </w:tc>
        <w:tc>
          <w:tcPr>
            <w:tcW w:w="709" w:type="dxa"/>
            <w:noWrap/>
            <w:hideMark/>
          </w:tcPr>
          <w:p w14:paraId="0BE79CB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88</w:t>
            </w:r>
          </w:p>
        </w:tc>
        <w:tc>
          <w:tcPr>
            <w:tcW w:w="855" w:type="dxa"/>
            <w:gridSpan w:val="2"/>
            <w:noWrap/>
            <w:hideMark/>
          </w:tcPr>
          <w:p w14:paraId="4F73C1C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46.1%</w:t>
            </w:r>
          </w:p>
        </w:tc>
        <w:tc>
          <w:tcPr>
            <w:tcW w:w="719" w:type="dxa"/>
            <w:noWrap/>
            <w:hideMark/>
          </w:tcPr>
          <w:p w14:paraId="26DD594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103</w:t>
            </w:r>
          </w:p>
        </w:tc>
        <w:tc>
          <w:tcPr>
            <w:tcW w:w="851" w:type="dxa"/>
            <w:gridSpan w:val="2"/>
            <w:noWrap/>
            <w:hideMark/>
          </w:tcPr>
          <w:p w14:paraId="14B6501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53.9%</w:t>
            </w:r>
          </w:p>
        </w:tc>
        <w:tc>
          <w:tcPr>
            <w:tcW w:w="719" w:type="dxa"/>
            <w:noWrap/>
            <w:hideMark/>
          </w:tcPr>
          <w:p w14:paraId="312C03CF"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191</w:t>
            </w:r>
          </w:p>
        </w:tc>
        <w:tc>
          <w:tcPr>
            <w:tcW w:w="793" w:type="dxa"/>
            <w:noWrap/>
            <w:hideMark/>
          </w:tcPr>
          <w:p w14:paraId="009AFA8A"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0.9%</w:t>
            </w:r>
          </w:p>
        </w:tc>
        <w:tc>
          <w:tcPr>
            <w:tcW w:w="691" w:type="dxa"/>
            <w:vAlign w:val="bottom"/>
          </w:tcPr>
          <w:p w14:paraId="7B1E16DF" w14:textId="2BBCC188"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58.0%</w:t>
            </w:r>
          </w:p>
        </w:tc>
        <w:tc>
          <w:tcPr>
            <w:tcW w:w="766" w:type="dxa"/>
            <w:vAlign w:val="bottom"/>
          </w:tcPr>
          <w:p w14:paraId="4C605B6D" w14:textId="1613F521"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42.0%</w:t>
            </w:r>
          </w:p>
        </w:tc>
        <w:tc>
          <w:tcPr>
            <w:tcW w:w="896" w:type="dxa"/>
          </w:tcPr>
          <w:p w14:paraId="27A04C86" w14:textId="272E5880"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0.8%</w:t>
            </w:r>
          </w:p>
        </w:tc>
      </w:tr>
      <w:tr w:rsidR="00D82CF8" w:rsidRPr="008C0BE3" w14:paraId="46B72BB7" w14:textId="09C6FF32"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531BEE2A"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Chile</w:t>
            </w:r>
          </w:p>
        </w:tc>
        <w:tc>
          <w:tcPr>
            <w:tcW w:w="709" w:type="dxa"/>
            <w:noWrap/>
            <w:hideMark/>
          </w:tcPr>
          <w:p w14:paraId="718CB16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61</w:t>
            </w:r>
          </w:p>
        </w:tc>
        <w:tc>
          <w:tcPr>
            <w:tcW w:w="855" w:type="dxa"/>
            <w:gridSpan w:val="2"/>
            <w:noWrap/>
            <w:hideMark/>
          </w:tcPr>
          <w:p w14:paraId="3D7F793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42.4%</w:t>
            </w:r>
          </w:p>
        </w:tc>
        <w:tc>
          <w:tcPr>
            <w:tcW w:w="719" w:type="dxa"/>
            <w:noWrap/>
            <w:hideMark/>
          </w:tcPr>
          <w:p w14:paraId="5E5A0BE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83</w:t>
            </w:r>
          </w:p>
        </w:tc>
        <w:tc>
          <w:tcPr>
            <w:tcW w:w="851" w:type="dxa"/>
            <w:gridSpan w:val="2"/>
            <w:noWrap/>
            <w:hideMark/>
          </w:tcPr>
          <w:p w14:paraId="3F882783"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57.6%</w:t>
            </w:r>
          </w:p>
        </w:tc>
        <w:tc>
          <w:tcPr>
            <w:tcW w:w="719" w:type="dxa"/>
            <w:noWrap/>
            <w:hideMark/>
          </w:tcPr>
          <w:p w14:paraId="6560B11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144</w:t>
            </w:r>
          </w:p>
        </w:tc>
        <w:tc>
          <w:tcPr>
            <w:tcW w:w="793" w:type="dxa"/>
            <w:noWrap/>
            <w:hideMark/>
          </w:tcPr>
          <w:p w14:paraId="4975C945"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0.7%</w:t>
            </w:r>
          </w:p>
        </w:tc>
        <w:tc>
          <w:tcPr>
            <w:tcW w:w="691" w:type="dxa"/>
            <w:vAlign w:val="bottom"/>
          </w:tcPr>
          <w:p w14:paraId="57648182" w14:textId="6E4F5558"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47.4%</w:t>
            </w:r>
          </w:p>
        </w:tc>
        <w:tc>
          <w:tcPr>
            <w:tcW w:w="766" w:type="dxa"/>
            <w:vAlign w:val="bottom"/>
          </w:tcPr>
          <w:p w14:paraId="45C93C1B" w14:textId="6E79E579"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52.6%</w:t>
            </w:r>
          </w:p>
        </w:tc>
        <w:tc>
          <w:tcPr>
            <w:tcW w:w="896" w:type="dxa"/>
          </w:tcPr>
          <w:p w14:paraId="5413B684" w14:textId="6EA77F7E"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0.8%</w:t>
            </w:r>
          </w:p>
        </w:tc>
      </w:tr>
      <w:tr w:rsidR="00D82CF8" w:rsidRPr="008C0BE3" w14:paraId="17BA03C7" w14:textId="372F4342" w:rsidTr="00F85AEC">
        <w:trPr>
          <w:trHeight w:val="255"/>
        </w:trPr>
        <w:tc>
          <w:tcPr>
            <w:tcW w:w="1838" w:type="dxa"/>
            <w:noWrap/>
            <w:hideMark/>
          </w:tcPr>
          <w:p w14:paraId="7C14E88A"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Indonesia</w:t>
            </w:r>
          </w:p>
        </w:tc>
        <w:tc>
          <w:tcPr>
            <w:tcW w:w="709" w:type="dxa"/>
            <w:noWrap/>
            <w:hideMark/>
          </w:tcPr>
          <w:p w14:paraId="4929E6E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62</w:t>
            </w:r>
          </w:p>
        </w:tc>
        <w:tc>
          <w:tcPr>
            <w:tcW w:w="855" w:type="dxa"/>
            <w:gridSpan w:val="2"/>
            <w:noWrap/>
            <w:hideMark/>
          </w:tcPr>
          <w:p w14:paraId="678BEDA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45.6%</w:t>
            </w:r>
          </w:p>
        </w:tc>
        <w:tc>
          <w:tcPr>
            <w:tcW w:w="719" w:type="dxa"/>
            <w:noWrap/>
            <w:hideMark/>
          </w:tcPr>
          <w:p w14:paraId="7E281ECA"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74</w:t>
            </w:r>
          </w:p>
        </w:tc>
        <w:tc>
          <w:tcPr>
            <w:tcW w:w="851" w:type="dxa"/>
            <w:gridSpan w:val="2"/>
            <w:noWrap/>
            <w:hideMark/>
          </w:tcPr>
          <w:p w14:paraId="64321B6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54.4%</w:t>
            </w:r>
          </w:p>
        </w:tc>
        <w:tc>
          <w:tcPr>
            <w:tcW w:w="719" w:type="dxa"/>
            <w:noWrap/>
            <w:hideMark/>
          </w:tcPr>
          <w:p w14:paraId="7152072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136</w:t>
            </w:r>
          </w:p>
        </w:tc>
        <w:tc>
          <w:tcPr>
            <w:tcW w:w="793" w:type="dxa"/>
            <w:noWrap/>
            <w:hideMark/>
          </w:tcPr>
          <w:p w14:paraId="72EA0B22"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0.6%</w:t>
            </w:r>
          </w:p>
        </w:tc>
        <w:tc>
          <w:tcPr>
            <w:tcW w:w="691" w:type="dxa"/>
            <w:vAlign w:val="bottom"/>
          </w:tcPr>
          <w:p w14:paraId="7778D034" w14:textId="27DB842F"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48.9%</w:t>
            </w:r>
          </w:p>
        </w:tc>
        <w:tc>
          <w:tcPr>
            <w:tcW w:w="766" w:type="dxa"/>
            <w:vAlign w:val="bottom"/>
          </w:tcPr>
          <w:p w14:paraId="70D8509A" w14:textId="385BF0DE"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51.1%</w:t>
            </w:r>
          </w:p>
        </w:tc>
        <w:tc>
          <w:tcPr>
            <w:tcW w:w="896" w:type="dxa"/>
          </w:tcPr>
          <w:p w14:paraId="35990B92" w14:textId="69272A9C"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0.6%</w:t>
            </w:r>
          </w:p>
        </w:tc>
      </w:tr>
      <w:tr w:rsidR="00D82CF8" w:rsidRPr="008C0BE3" w14:paraId="7237CE43" w14:textId="4448EEF4"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562F9679"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Denmark</w:t>
            </w:r>
          </w:p>
        </w:tc>
        <w:tc>
          <w:tcPr>
            <w:tcW w:w="709" w:type="dxa"/>
            <w:noWrap/>
            <w:hideMark/>
          </w:tcPr>
          <w:p w14:paraId="7AAC8E1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41</w:t>
            </w:r>
          </w:p>
        </w:tc>
        <w:tc>
          <w:tcPr>
            <w:tcW w:w="855" w:type="dxa"/>
            <w:gridSpan w:val="2"/>
            <w:noWrap/>
            <w:hideMark/>
          </w:tcPr>
          <w:p w14:paraId="48D455BC"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33.1%</w:t>
            </w:r>
          </w:p>
        </w:tc>
        <w:tc>
          <w:tcPr>
            <w:tcW w:w="719" w:type="dxa"/>
            <w:noWrap/>
            <w:hideMark/>
          </w:tcPr>
          <w:p w14:paraId="14E9E27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83</w:t>
            </w:r>
          </w:p>
        </w:tc>
        <w:tc>
          <w:tcPr>
            <w:tcW w:w="851" w:type="dxa"/>
            <w:gridSpan w:val="2"/>
            <w:noWrap/>
            <w:hideMark/>
          </w:tcPr>
          <w:p w14:paraId="6BA2C367"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66.9%</w:t>
            </w:r>
          </w:p>
        </w:tc>
        <w:tc>
          <w:tcPr>
            <w:tcW w:w="719" w:type="dxa"/>
            <w:noWrap/>
            <w:hideMark/>
          </w:tcPr>
          <w:p w14:paraId="5E2F3922"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124</w:t>
            </w:r>
          </w:p>
        </w:tc>
        <w:tc>
          <w:tcPr>
            <w:tcW w:w="793" w:type="dxa"/>
            <w:noWrap/>
            <w:hideMark/>
          </w:tcPr>
          <w:p w14:paraId="54AFAAC9"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0.6%</w:t>
            </w:r>
          </w:p>
        </w:tc>
        <w:tc>
          <w:tcPr>
            <w:tcW w:w="691" w:type="dxa"/>
            <w:vAlign w:val="bottom"/>
          </w:tcPr>
          <w:p w14:paraId="2CDE7AE5" w14:textId="03B10337"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49.5%</w:t>
            </w:r>
          </w:p>
        </w:tc>
        <w:tc>
          <w:tcPr>
            <w:tcW w:w="766" w:type="dxa"/>
            <w:vAlign w:val="bottom"/>
          </w:tcPr>
          <w:p w14:paraId="6E1D723D" w14:textId="603F1BD6"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50.5%</w:t>
            </w:r>
          </w:p>
        </w:tc>
        <w:tc>
          <w:tcPr>
            <w:tcW w:w="896" w:type="dxa"/>
          </w:tcPr>
          <w:p w14:paraId="7AB48033" w14:textId="7C5163AF"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0.7%</w:t>
            </w:r>
          </w:p>
        </w:tc>
      </w:tr>
      <w:tr w:rsidR="00D82CF8" w:rsidRPr="008C0BE3" w14:paraId="044E2694" w14:textId="4DE0C608" w:rsidTr="00F85AEC">
        <w:trPr>
          <w:trHeight w:val="255"/>
        </w:trPr>
        <w:tc>
          <w:tcPr>
            <w:tcW w:w="1838" w:type="dxa"/>
            <w:noWrap/>
            <w:hideMark/>
          </w:tcPr>
          <w:p w14:paraId="61F0DA19"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Finland</w:t>
            </w:r>
          </w:p>
        </w:tc>
        <w:tc>
          <w:tcPr>
            <w:tcW w:w="709" w:type="dxa"/>
            <w:noWrap/>
            <w:hideMark/>
          </w:tcPr>
          <w:p w14:paraId="6FEBD15D"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26</w:t>
            </w:r>
          </w:p>
        </w:tc>
        <w:tc>
          <w:tcPr>
            <w:tcW w:w="855" w:type="dxa"/>
            <w:gridSpan w:val="2"/>
            <w:noWrap/>
            <w:hideMark/>
          </w:tcPr>
          <w:p w14:paraId="44CBC64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21.8%</w:t>
            </w:r>
          </w:p>
        </w:tc>
        <w:tc>
          <w:tcPr>
            <w:tcW w:w="719" w:type="dxa"/>
            <w:noWrap/>
            <w:hideMark/>
          </w:tcPr>
          <w:p w14:paraId="5882AEC4"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93</w:t>
            </w:r>
          </w:p>
        </w:tc>
        <w:tc>
          <w:tcPr>
            <w:tcW w:w="851" w:type="dxa"/>
            <w:gridSpan w:val="2"/>
            <w:noWrap/>
            <w:hideMark/>
          </w:tcPr>
          <w:p w14:paraId="287783A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78.2%</w:t>
            </w:r>
          </w:p>
        </w:tc>
        <w:tc>
          <w:tcPr>
            <w:tcW w:w="719" w:type="dxa"/>
            <w:noWrap/>
            <w:hideMark/>
          </w:tcPr>
          <w:p w14:paraId="0C02471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119</w:t>
            </w:r>
          </w:p>
        </w:tc>
        <w:tc>
          <w:tcPr>
            <w:tcW w:w="793" w:type="dxa"/>
            <w:noWrap/>
            <w:hideMark/>
          </w:tcPr>
          <w:p w14:paraId="4E6E9B71"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0.6%</w:t>
            </w:r>
          </w:p>
        </w:tc>
        <w:tc>
          <w:tcPr>
            <w:tcW w:w="691" w:type="dxa"/>
            <w:vAlign w:val="bottom"/>
          </w:tcPr>
          <w:p w14:paraId="3546DD0D" w14:textId="76FC27D1"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25.9%</w:t>
            </w:r>
          </w:p>
        </w:tc>
        <w:tc>
          <w:tcPr>
            <w:tcW w:w="766" w:type="dxa"/>
            <w:vAlign w:val="bottom"/>
          </w:tcPr>
          <w:p w14:paraId="7A9B10C3" w14:textId="3CE663AF"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74.1%</w:t>
            </w:r>
          </w:p>
        </w:tc>
        <w:tc>
          <w:tcPr>
            <w:tcW w:w="896" w:type="dxa"/>
          </w:tcPr>
          <w:p w14:paraId="29DF0F43" w14:textId="41908FC3"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0.6%</w:t>
            </w:r>
          </w:p>
        </w:tc>
      </w:tr>
      <w:tr w:rsidR="00D82CF8" w:rsidRPr="008C0BE3" w14:paraId="7540EEF8" w14:textId="0BDAA752" w:rsidTr="00F85AEC">
        <w:trPr>
          <w:cnfStyle w:val="000000100000" w:firstRow="0" w:lastRow="0" w:firstColumn="0" w:lastColumn="0" w:oddVBand="0" w:evenVBand="0" w:oddHBand="1" w:evenHBand="0" w:firstRowFirstColumn="0" w:firstRowLastColumn="0" w:lastRowFirstColumn="0" w:lastRowLastColumn="0"/>
          <w:trHeight w:val="255"/>
        </w:trPr>
        <w:tc>
          <w:tcPr>
            <w:tcW w:w="1838" w:type="dxa"/>
            <w:noWrap/>
            <w:hideMark/>
          </w:tcPr>
          <w:p w14:paraId="452ABE27" w14:textId="77777777" w:rsidR="00D82CF8" w:rsidRPr="006C6856" w:rsidRDefault="00D82CF8" w:rsidP="00A85E5D">
            <w:pPr>
              <w:keepNext/>
              <w:keepLines/>
              <w:spacing w:before="0"/>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Other</w:t>
            </w:r>
          </w:p>
        </w:tc>
        <w:tc>
          <w:tcPr>
            <w:tcW w:w="709" w:type="dxa"/>
            <w:noWrap/>
            <w:hideMark/>
          </w:tcPr>
          <w:p w14:paraId="13CDB576"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92</w:t>
            </w:r>
          </w:p>
        </w:tc>
        <w:tc>
          <w:tcPr>
            <w:tcW w:w="855" w:type="dxa"/>
            <w:gridSpan w:val="2"/>
            <w:noWrap/>
            <w:hideMark/>
          </w:tcPr>
          <w:p w14:paraId="55B73ACB"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31.7%</w:t>
            </w:r>
          </w:p>
        </w:tc>
        <w:tc>
          <w:tcPr>
            <w:tcW w:w="719" w:type="dxa"/>
            <w:noWrap/>
            <w:hideMark/>
          </w:tcPr>
          <w:p w14:paraId="71577029"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198</w:t>
            </w:r>
          </w:p>
        </w:tc>
        <w:tc>
          <w:tcPr>
            <w:tcW w:w="851" w:type="dxa"/>
            <w:gridSpan w:val="2"/>
            <w:noWrap/>
            <w:hideMark/>
          </w:tcPr>
          <w:p w14:paraId="4276BCBF"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68.3%</w:t>
            </w:r>
          </w:p>
        </w:tc>
        <w:tc>
          <w:tcPr>
            <w:tcW w:w="719" w:type="dxa"/>
            <w:noWrap/>
            <w:hideMark/>
          </w:tcPr>
          <w:p w14:paraId="6033BBEF"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290</w:t>
            </w:r>
          </w:p>
        </w:tc>
        <w:tc>
          <w:tcPr>
            <w:tcW w:w="793" w:type="dxa"/>
            <w:noWrap/>
            <w:hideMark/>
          </w:tcPr>
          <w:p w14:paraId="3BBDA3C7"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1.4%</w:t>
            </w:r>
          </w:p>
        </w:tc>
        <w:tc>
          <w:tcPr>
            <w:tcW w:w="691" w:type="dxa"/>
            <w:vAlign w:val="bottom"/>
          </w:tcPr>
          <w:p w14:paraId="67B25173" w14:textId="0818CD55"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39.0%</w:t>
            </w:r>
          </w:p>
        </w:tc>
        <w:tc>
          <w:tcPr>
            <w:tcW w:w="766" w:type="dxa"/>
            <w:vAlign w:val="bottom"/>
          </w:tcPr>
          <w:p w14:paraId="3EEB9BF1" w14:textId="590C0B3F" w:rsidR="00AE3983" w:rsidRPr="00C67BA8" w:rsidRDefault="00AE3983" w:rsidP="00AE3983">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60.9%</w:t>
            </w:r>
          </w:p>
        </w:tc>
        <w:tc>
          <w:tcPr>
            <w:tcW w:w="896" w:type="dxa"/>
          </w:tcPr>
          <w:p w14:paraId="6FCA4D5B" w14:textId="10C155A4" w:rsidR="00AE3983" w:rsidRPr="00635E75" w:rsidRDefault="00AE3983" w:rsidP="00AE3983">
            <w:pPr>
              <w:keepNext/>
              <w:keepLines/>
              <w:spacing w:before="0"/>
              <w:jc w:val="right"/>
              <w:rPr>
                <w:rFonts w:ascii="Calibri" w:eastAsia="Times New Roman" w:hAnsi="Calibri" w:cs="Calibri"/>
                <w:i/>
                <w:color w:val="1A5D9B" w:themeColor="accent1"/>
                <w:sz w:val="18"/>
                <w:szCs w:val="18"/>
                <w:lang w:eastAsia="en-AU"/>
              </w:rPr>
            </w:pPr>
            <w:r w:rsidRPr="00635E75">
              <w:rPr>
                <w:rFonts w:ascii="Calibri" w:hAnsi="Calibri" w:cs="Calibri"/>
                <w:i/>
                <w:iCs/>
                <w:color w:val="1A5D9B" w:themeColor="accent1"/>
                <w:sz w:val="18"/>
                <w:szCs w:val="18"/>
              </w:rPr>
              <w:t>1.8%</w:t>
            </w:r>
          </w:p>
        </w:tc>
      </w:tr>
      <w:tr w:rsidR="00D82CF8" w:rsidRPr="008C0BE3" w14:paraId="16E7CF9B" w14:textId="11831CC1" w:rsidTr="00F85AEC">
        <w:trPr>
          <w:cnfStyle w:val="010000000000" w:firstRow="0" w:lastRow="1" w:firstColumn="0" w:lastColumn="0" w:oddVBand="0" w:evenVBand="0" w:oddHBand="0" w:evenHBand="0" w:firstRowFirstColumn="0" w:firstRowLastColumn="0" w:lastRowFirstColumn="0" w:lastRowLastColumn="0"/>
          <w:trHeight w:val="255"/>
        </w:trPr>
        <w:tc>
          <w:tcPr>
            <w:tcW w:w="1838" w:type="dxa"/>
            <w:tcBorders>
              <w:top w:val="none" w:sz="0" w:space="0" w:color="auto"/>
            </w:tcBorders>
            <w:noWrap/>
            <w:hideMark/>
          </w:tcPr>
          <w:p w14:paraId="571C8C97" w14:textId="77777777" w:rsidR="00D82CF8" w:rsidRPr="00B20E4A" w:rsidRDefault="00D82CF8" w:rsidP="00A85E5D">
            <w:pPr>
              <w:keepNext/>
              <w:keepLines/>
              <w:spacing w:before="0"/>
              <w:rPr>
                <w:rFonts w:ascii="Calibri" w:eastAsia="Times New Roman" w:hAnsi="Calibri" w:cs="Calibri"/>
                <w:bCs w:val="0"/>
                <w:color w:val="000000"/>
                <w:sz w:val="18"/>
                <w:szCs w:val="18"/>
                <w:lang w:eastAsia="en-AU"/>
              </w:rPr>
            </w:pPr>
            <w:r w:rsidRPr="00B20E4A">
              <w:rPr>
                <w:rFonts w:ascii="Calibri" w:eastAsia="Times New Roman" w:hAnsi="Calibri" w:cs="Calibri"/>
                <w:bCs w:val="0"/>
                <w:color w:val="000000"/>
                <w:sz w:val="18"/>
                <w:szCs w:val="18"/>
                <w:lang w:eastAsia="en-AU"/>
              </w:rPr>
              <w:t>Total</w:t>
            </w:r>
          </w:p>
        </w:tc>
        <w:tc>
          <w:tcPr>
            <w:tcW w:w="709" w:type="dxa"/>
            <w:tcBorders>
              <w:top w:val="none" w:sz="0" w:space="0" w:color="auto"/>
            </w:tcBorders>
            <w:noWrap/>
            <w:hideMark/>
          </w:tcPr>
          <w:p w14:paraId="7D4A574A" w14:textId="26B88038"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8</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191</w:t>
            </w:r>
          </w:p>
        </w:tc>
        <w:tc>
          <w:tcPr>
            <w:tcW w:w="855" w:type="dxa"/>
            <w:gridSpan w:val="2"/>
            <w:tcBorders>
              <w:top w:val="none" w:sz="0" w:space="0" w:color="auto"/>
            </w:tcBorders>
            <w:noWrap/>
            <w:hideMark/>
          </w:tcPr>
          <w:p w14:paraId="2803BB4E"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38.5%</w:t>
            </w:r>
          </w:p>
        </w:tc>
        <w:tc>
          <w:tcPr>
            <w:tcW w:w="719" w:type="dxa"/>
            <w:tcBorders>
              <w:top w:val="none" w:sz="0" w:space="0" w:color="auto"/>
            </w:tcBorders>
            <w:noWrap/>
            <w:hideMark/>
          </w:tcPr>
          <w:p w14:paraId="323557E8" w14:textId="0F1BAA8E"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13</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107</w:t>
            </w:r>
          </w:p>
        </w:tc>
        <w:tc>
          <w:tcPr>
            <w:tcW w:w="851" w:type="dxa"/>
            <w:gridSpan w:val="2"/>
            <w:tcBorders>
              <w:top w:val="none" w:sz="0" w:space="0" w:color="auto"/>
            </w:tcBorders>
            <w:noWrap/>
            <w:hideMark/>
          </w:tcPr>
          <w:p w14:paraId="437A3E71" w14:textId="77777777"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61.5%</w:t>
            </w:r>
          </w:p>
        </w:tc>
        <w:tc>
          <w:tcPr>
            <w:tcW w:w="719" w:type="dxa"/>
            <w:tcBorders>
              <w:top w:val="none" w:sz="0" w:space="0" w:color="auto"/>
            </w:tcBorders>
            <w:noWrap/>
            <w:hideMark/>
          </w:tcPr>
          <w:p w14:paraId="43BA42C0" w14:textId="336AC4A1" w:rsidR="00D82CF8" w:rsidRPr="006C6856" w:rsidRDefault="00D82CF8" w:rsidP="00A85E5D">
            <w:pPr>
              <w:keepNext/>
              <w:keepLines/>
              <w:spacing w:before="0"/>
              <w:jc w:val="right"/>
              <w:rPr>
                <w:rFonts w:ascii="Calibri" w:eastAsia="Times New Roman" w:hAnsi="Calibri" w:cs="Calibri"/>
                <w:color w:val="000000"/>
                <w:sz w:val="18"/>
                <w:szCs w:val="18"/>
                <w:lang w:eastAsia="en-AU"/>
              </w:rPr>
            </w:pPr>
            <w:r w:rsidRPr="006C6856">
              <w:rPr>
                <w:rFonts w:ascii="Calibri" w:eastAsia="Times New Roman" w:hAnsi="Calibri" w:cs="Calibri"/>
                <w:color w:val="000000"/>
                <w:sz w:val="18"/>
                <w:szCs w:val="18"/>
                <w:lang w:eastAsia="en-AU"/>
              </w:rPr>
              <w:t>21</w:t>
            </w:r>
            <w:r w:rsidR="004C36E2">
              <w:rPr>
                <w:rFonts w:ascii="Calibri" w:eastAsia="Times New Roman" w:hAnsi="Calibri" w:cs="Calibri"/>
                <w:color w:val="000000"/>
                <w:sz w:val="18"/>
                <w:szCs w:val="18"/>
                <w:lang w:eastAsia="en-AU"/>
              </w:rPr>
              <w:t>,</w:t>
            </w:r>
            <w:r w:rsidRPr="006C6856">
              <w:rPr>
                <w:rFonts w:ascii="Calibri" w:eastAsia="Times New Roman" w:hAnsi="Calibri" w:cs="Calibri"/>
                <w:color w:val="000000"/>
                <w:sz w:val="18"/>
                <w:szCs w:val="18"/>
                <w:lang w:eastAsia="en-AU"/>
              </w:rPr>
              <w:t>298</w:t>
            </w:r>
          </w:p>
        </w:tc>
        <w:tc>
          <w:tcPr>
            <w:tcW w:w="793" w:type="dxa"/>
            <w:tcBorders>
              <w:top w:val="none" w:sz="0" w:space="0" w:color="auto"/>
            </w:tcBorders>
            <w:noWrap/>
            <w:hideMark/>
          </w:tcPr>
          <w:p w14:paraId="5B9FA773" w14:textId="77777777" w:rsidR="00D82CF8" w:rsidRPr="00635E75" w:rsidRDefault="00D82CF8" w:rsidP="00A85E5D">
            <w:pPr>
              <w:keepNext/>
              <w:keepLines/>
              <w:spacing w:before="0"/>
              <w:jc w:val="right"/>
              <w:rPr>
                <w:rFonts w:ascii="Calibri" w:eastAsia="Times New Roman" w:hAnsi="Calibri" w:cs="Calibri"/>
                <w:i/>
                <w:color w:val="000000"/>
                <w:sz w:val="18"/>
                <w:szCs w:val="18"/>
                <w:lang w:eastAsia="en-AU"/>
              </w:rPr>
            </w:pPr>
            <w:r w:rsidRPr="00635E75">
              <w:rPr>
                <w:rFonts w:ascii="Calibri" w:eastAsia="Times New Roman" w:hAnsi="Calibri" w:cs="Calibri"/>
                <w:i/>
                <w:color w:val="000000"/>
                <w:sz w:val="18"/>
                <w:szCs w:val="18"/>
                <w:lang w:eastAsia="en-AU"/>
              </w:rPr>
              <w:t>100.0%</w:t>
            </w:r>
          </w:p>
        </w:tc>
        <w:tc>
          <w:tcPr>
            <w:tcW w:w="691" w:type="dxa"/>
            <w:tcBorders>
              <w:top w:val="none" w:sz="0" w:space="0" w:color="auto"/>
            </w:tcBorders>
            <w:vAlign w:val="bottom"/>
          </w:tcPr>
          <w:p w14:paraId="7BFEA9B1" w14:textId="6031138E" w:rsidR="00C67BA8" w:rsidRPr="00C67BA8" w:rsidRDefault="00C67BA8" w:rsidP="00C67BA8">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47.7%</w:t>
            </w:r>
          </w:p>
        </w:tc>
        <w:tc>
          <w:tcPr>
            <w:tcW w:w="766" w:type="dxa"/>
            <w:tcBorders>
              <w:top w:val="none" w:sz="0" w:space="0" w:color="auto"/>
            </w:tcBorders>
            <w:vAlign w:val="bottom"/>
          </w:tcPr>
          <w:p w14:paraId="73C0EDE6" w14:textId="79258AAB" w:rsidR="00C67BA8" w:rsidRPr="00C67BA8" w:rsidRDefault="00C67BA8" w:rsidP="00C67BA8">
            <w:pPr>
              <w:keepNext/>
              <w:keepLines/>
              <w:spacing w:before="0"/>
              <w:jc w:val="right"/>
              <w:rPr>
                <w:rFonts w:ascii="Calibri" w:eastAsia="Times New Roman" w:hAnsi="Calibri" w:cs="Calibri"/>
                <w:color w:val="1A5D9B" w:themeColor="accent1"/>
                <w:sz w:val="18"/>
                <w:szCs w:val="18"/>
                <w:lang w:eastAsia="en-AU"/>
              </w:rPr>
            </w:pPr>
            <w:r w:rsidRPr="00C67BA8">
              <w:rPr>
                <w:rFonts w:ascii="Calibri" w:hAnsi="Calibri" w:cs="Calibri"/>
                <w:color w:val="1A5D9B" w:themeColor="accent1"/>
                <w:sz w:val="18"/>
                <w:szCs w:val="18"/>
              </w:rPr>
              <w:t>52.3%</w:t>
            </w:r>
          </w:p>
        </w:tc>
        <w:tc>
          <w:tcPr>
            <w:tcW w:w="896" w:type="dxa"/>
            <w:tcBorders>
              <w:top w:val="none" w:sz="0" w:space="0" w:color="auto"/>
            </w:tcBorders>
          </w:tcPr>
          <w:p w14:paraId="4B738179" w14:textId="54F411BF" w:rsidR="00C67BA8" w:rsidRPr="00635E75" w:rsidRDefault="00C67BA8" w:rsidP="00C67BA8">
            <w:pPr>
              <w:keepNext/>
              <w:keepLines/>
              <w:spacing w:before="0"/>
              <w:jc w:val="right"/>
              <w:rPr>
                <w:rFonts w:ascii="Calibri" w:eastAsia="Times New Roman" w:hAnsi="Calibri" w:cs="Calibri"/>
                <w:i/>
                <w:iCs/>
                <w:color w:val="1A5D9B" w:themeColor="accent1"/>
                <w:sz w:val="18"/>
                <w:szCs w:val="18"/>
                <w:lang w:eastAsia="en-AU"/>
              </w:rPr>
            </w:pPr>
            <w:r w:rsidRPr="00635E75">
              <w:rPr>
                <w:rFonts w:ascii="Calibri" w:eastAsia="Times New Roman" w:hAnsi="Calibri" w:cs="Calibri"/>
                <w:i/>
                <w:iCs/>
                <w:color w:val="1A5D9B" w:themeColor="accent1"/>
                <w:sz w:val="18"/>
                <w:szCs w:val="18"/>
                <w:lang w:eastAsia="en-AU"/>
              </w:rPr>
              <w:t>100.0%</w:t>
            </w:r>
          </w:p>
        </w:tc>
      </w:tr>
    </w:tbl>
    <w:p w14:paraId="56142534" w14:textId="23BE7F2E" w:rsidR="00D82CF8" w:rsidRPr="006D6014" w:rsidRDefault="00D82CF8" w:rsidP="00D82CF8">
      <w:pPr>
        <w:pStyle w:val="Tablenote"/>
        <w:keepNext/>
        <w:keepLines/>
      </w:pPr>
      <w:r w:rsidRPr="00144564">
        <w:t>Note</w:t>
      </w:r>
      <w:r w:rsidR="0024081F">
        <w:t>,</w:t>
      </w:r>
      <w:r w:rsidRPr="00144564">
        <w:t xml:space="preserve"> Dat</w:t>
      </w:r>
      <w:r w:rsidR="009F7568">
        <w:t>a</w:t>
      </w:r>
      <w:r w:rsidRPr="00144564">
        <w:t xml:space="preserve"> from 41 countries is presented in table. Nineteen countries representing less than 0.5% are </w:t>
      </w:r>
      <w:r w:rsidRPr="006D6014">
        <w:t>aggregated</w:t>
      </w:r>
      <w:r w:rsidRPr="00144564">
        <w:t xml:space="preserve"> in the ‘Other’ category.</w:t>
      </w:r>
      <w:r>
        <w:t xml:space="preserve"> Citizenship data was not available for 17 respondents.</w:t>
      </w:r>
    </w:p>
    <w:p w14:paraId="5DE4290F" w14:textId="4F376BFD" w:rsidR="00D82CF8" w:rsidRPr="009D07D8" w:rsidRDefault="00D82CF8" w:rsidP="00D82CF8">
      <w:pPr>
        <w:pStyle w:val="Tablenote"/>
        <w:rPr>
          <w:rFonts w:ascii="Calibri" w:eastAsia="Times New Roman" w:hAnsi="Calibri" w:cs="Calibri"/>
          <w:b/>
          <w:bCs/>
          <w:noProof w:val="0"/>
          <w:color w:val="FFFFFF"/>
          <w:sz w:val="20"/>
          <w:szCs w:val="20"/>
          <w:lang w:eastAsia="en-AU"/>
        </w:rPr>
      </w:pPr>
      <w:r w:rsidRPr="009D07D8">
        <w:t xml:space="preserve">Source: </w:t>
      </w:r>
      <w:r w:rsidR="00DE1DF9">
        <w:t>Austrade</w:t>
      </w:r>
      <w:r w:rsidR="00FF3910">
        <w:t xml:space="preserve">; </w:t>
      </w:r>
      <w:r w:rsidR="00533FC6">
        <w:t>WHM</w:t>
      </w:r>
      <w:r w:rsidRPr="009D07D8">
        <w:t xml:space="preserve"> Survey, 2020.</w:t>
      </w:r>
    </w:p>
    <w:p w14:paraId="4C69A10B" w14:textId="4B194C62" w:rsidR="001C13B3" w:rsidRPr="00BE6880" w:rsidRDefault="001C13B3" w:rsidP="002E77A1">
      <w:pPr>
        <w:pStyle w:val="Heading2"/>
      </w:pPr>
      <w:bookmarkStart w:id="42" w:name="_Toc75878451"/>
      <w:bookmarkEnd w:id="5"/>
      <w:r w:rsidRPr="009D07D8">
        <w:t>A</w:t>
      </w:r>
      <w:r w:rsidRPr="00BE6880">
        <w:t xml:space="preserve">ge and </w:t>
      </w:r>
      <w:r w:rsidR="001C71D5">
        <w:t>sex</w:t>
      </w:r>
      <w:bookmarkEnd w:id="42"/>
    </w:p>
    <w:p w14:paraId="0B540F59" w14:textId="4886BE3D" w:rsidR="001C13B3" w:rsidRDefault="001C13B3" w:rsidP="00AB6CBE">
      <w:pPr>
        <w:keepNext/>
        <w:keepLines/>
      </w:pPr>
      <w:r w:rsidRPr="00BE6880">
        <w:t>At entry to Australia,</w:t>
      </w:r>
      <w:r>
        <w:t xml:space="preserve"> all WHMs were aged between 18 and 37 years. Male WHMs made up 38.5% of the total </w:t>
      </w:r>
      <w:r w:rsidR="00AC7F33">
        <w:t xml:space="preserve">survey respondent </w:t>
      </w:r>
      <w:r>
        <w:t>cohort</w:t>
      </w:r>
      <w:r w:rsidR="00890A59">
        <w:t>, which is under</w:t>
      </w:r>
      <w:r w:rsidR="00A74A6C">
        <w:t>-</w:t>
      </w:r>
      <w:r w:rsidR="00890A59">
        <w:t xml:space="preserve">representative of the </w:t>
      </w:r>
      <w:r w:rsidR="00AC7F33">
        <w:t>47.7%</w:t>
      </w:r>
      <w:r w:rsidR="00C36654">
        <w:t xml:space="preserve"> of the WHM population. </w:t>
      </w:r>
      <w:r w:rsidR="00D81EDE">
        <w:t xml:space="preserve">Survey respondents were slightly younger than the </w:t>
      </w:r>
      <w:r w:rsidR="00BC65D6">
        <w:t xml:space="preserve">WHM </w:t>
      </w:r>
      <w:r w:rsidR="00D81EDE">
        <w:t>population</w:t>
      </w:r>
      <w:r w:rsidR="00BC65D6">
        <w:t xml:space="preserve">. </w:t>
      </w:r>
      <w:r w:rsidR="00AB7DD1">
        <w:t>Male</w:t>
      </w:r>
      <w:r w:rsidR="005045F1">
        <w:t xml:space="preserve"> </w:t>
      </w:r>
      <w:r w:rsidR="00D77D2E">
        <w:t xml:space="preserve">survey </w:t>
      </w:r>
      <w:r w:rsidR="005045F1">
        <w:t>respondents</w:t>
      </w:r>
      <w:r>
        <w:t xml:space="preserve"> were on average half a year older (25.6 years) than </w:t>
      </w:r>
      <w:r w:rsidR="005045F1">
        <w:t>female</w:t>
      </w:r>
      <w:r w:rsidR="00D77D2E">
        <w:t xml:space="preserve"> survey</w:t>
      </w:r>
      <w:r w:rsidR="005045F1">
        <w:t xml:space="preserve"> respondents</w:t>
      </w:r>
      <w:r w:rsidR="00304F1A">
        <w:t xml:space="preserve"> (25.1 years)</w:t>
      </w:r>
      <w:r w:rsidR="00D77D2E">
        <w:t xml:space="preserve"> which is a larger difference than observed in the WHM population between </w:t>
      </w:r>
      <w:r w:rsidR="00BD1370">
        <w:t xml:space="preserve">males </w:t>
      </w:r>
      <w:r w:rsidR="00D06510">
        <w:t>(25.0)</w:t>
      </w:r>
      <w:r w:rsidR="00BD1370">
        <w:t xml:space="preserve"> and females </w:t>
      </w:r>
      <w:r w:rsidR="00D06510">
        <w:t xml:space="preserve">(24.7). </w:t>
      </w:r>
      <w:r w:rsidR="00A23786">
        <w:t>The most populous age for male</w:t>
      </w:r>
      <w:r w:rsidR="00674D12">
        <w:t xml:space="preserve"> survey respondent</w:t>
      </w:r>
      <w:r w:rsidR="00A23786">
        <w:t xml:space="preserve">s </w:t>
      </w:r>
      <w:r w:rsidR="005F2D44">
        <w:t>(10.2%)</w:t>
      </w:r>
      <w:r w:rsidR="00A23786">
        <w:t xml:space="preserve"> </w:t>
      </w:r>
      <w:r w:rsidR="001B37DD">
        <w:t>w</w:t>
      </w:r>
      <w:r w:rsidR="00A23786">
        <w:t>as</w:t>
      </w:r>
      <w:r w:rsidR="001B37DD">
        <w:t xml:space="preserve"> 24 year</w:t>
      </w:r>
      <w:r w:rsidR="00890A59">
        <w:t>s</w:t>
      </w:r>
      <w:r w:rsidR="00A23786">
        <w:t xml:space="preserve"> </w:t>
      </w:r>
      <w:r w:rsidR="006F76F3">
        <w:t>with</w:t>
      </w:r>
      <w:r w:rsidR="00F168B9">
        <w:t xml:space="preserve"> most females</w:t>
      </w:r>
      <w:r w:rsidR="00A23786">
        <w:t xml:space="preserve"> </w:t>
      </w:r>
      <w:r w:rsidR="005F2D44">
        <w:t>(10.4%)</w:t>
      </w:r>
      <w:r w:rsidR="00AD204C">
        <w:t xml:space="preserve"> </w:t>
      </w:r>
      <w:r w:rsidR="005F2D44">
        <w:t>aged 25 years</w:t>
      </w:r>
      <w:r w:rsidR="00F32E0D">
        <w:t xml:space="preserve">, this was </w:t>
      </w:r>
      <w:r w:rsidR="009217B7">
        <w:t>consistent for the WHM total population</w:t>
      </w:r>
      <w:r w:rsidR="005F2D44">
        <w:t>.</w:t>
      </w:r>
      <w:r w:rsidR="00A23786">
        <w:t xml:space="preserve"> </w:t>
      </w:r>
      <w:r>
        <w:t xml:space="preserve">For the distribution of </w:t>
      </w:r>
      <w:r w:rsidR="001C71D5">
        <w:t>sex</w:t>
      </w:r>
      <w:r>
        <w:t xml:space="preserve"> by age </w:t>
      </w:r>
      <w:r w:rsidR="009217B7">
        <w:t xml:space="preserve">for both </w:t>
      </w:r>
      <w:r w:rsidR="005E4A15">
        <w:t>survey respondents and the total population,</w:t>
      </w:r>
      <w:r>
        <w:t xml:space="preserve"> see </w:t>
      </w:r>
      <w:r>
        <w:fldChar w:fldCharType="begin"/>
      </w:r>
      <w:r>
        <w:instrText xml:space="preserve"> REF _Ref56168796 \h </w:instrText>
      </w:r>
      <w:r>
        <w:fldChar w:fldCharType="separate"/>
      </w:r>
      <w:r w:rsidR="00F22012">
        <w:t xml:space="preserve">Figure </w:t>
      </w:r>
      <w:r w:rsidR="00F22012">
        <w:rPr>
          <w:noProof/>
        </w:rPr>
        <w:t>4</w:t>
      </w:r>
      <w:r w:rsidR="00F22012">
        <w:noBreakHyphen/>
      </w:r>
      <w:r w:rsidR="00F22012">
        <w:rPr>
          <w:noProof/>
        </w:rPr>
        <w:t>1</w:t>
      </w:r>
      <w:r>
        <w:fldChar w:fldCharType="end"/>
      </w:r>
      <w:r>
        <w:t xml:space="preserve">. </w:t>
      </w:r>
    </w:p>
    <w:p w14:paraId="32DD6F79" w14:textId="6FAC2C36" w:rsidR="001C13B3" w:rsidRDefault="001C13B3" w:rsidP="001C13B3">
      <w:pPr>
        <w:pStyle w:val="Caption"/>
      </w:pPr>
      <w:bookmarkStart w:id="43" w:name="_Ref56168796"/>
      <w:bookmarkStart w:id="44" w:name="_Toc7587851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4</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43"/>
      <w:r>
        <w:t xml:space="preserve">: Age distribution of </w:t>
      </w:r>
      <w:r w:rsidR="000A34DC">
        <w:t>WHM survey respondents &amp; population</w:t>
      </w:r>
      <w:r w:rsidR="00333282">
        <w:t>, by sex</w:t>
      </w:r>
      <w:bookmarkEnd w:id="44"/>
    </w:p>
    <w:p w14:paraId="740A39E3" w14:textId="46DDBB36" w:rsidR="001C13B3" w:rsidRDefault="00A4558A" w:rsidP="001C13B3">
      <w:r>
        <w:rPr>
          <w:noProof/>
          <w:lang w:eastAsia="en-AU"/>
        </w:rPr>
        <w:drawing>
          <wp:inline distT="0" distB="0" distL="0" distR="0" wp14:anchorId="0755849D" wp14:editId="1D555B83">
            <wp:extent cx="2844000" cy="4176395"/>
            <wp:effectExtent l="0" t="0" r="13970" b="14605"/>
            <wp:docPr id="50" name="Chart 50" descr="Figure 4-1 Chart showing the age distribution of WHM survey respondents and population by sex.">
              <a:extLst xmlns:a="http://schemas.openxmlformats.org/drawingml/2006/main">
                <a:ext uri="{FF2B5EF4-FFF2-40B4-BE49-F238E27FC236}">
                  <a16:creationId xmlns:a16="http://schemas.microsoft.com/office/drawing/2014/main" id="{8317331E-9F36-4837-8262-FAD66CEA8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76D16">
        <w:rPr>
          <w:noProof/>
          <w:lang w:eastAsia="en-AU"/>
        </w:rPr>
        <w:drawing>
          <wp:inline distT="0" distB="0" distL="0" distR="0" wp14:anchorId="2A3916A6" wp14:editId="67269D5F">
            <wp:extent cx="2844000" cy="4176395"/>
            <wp:effectExtent l="0" t="0" r="13970" b="14605"/>
            <wp:docPr id="52" name="Chart 52" descr="Figure 4-1 Chart showing the age distribution of WHM survey respondents and population by sex.">
              <a:extLst xmlns:a="http://schemas.openxmlformats.org/drawingml/2006/main">
                <a:ext uri="{FF2B5EF4-FFF2-40B4-BE49-F238E27FC236}">
                  <a16:creationId xmlns:a16="http://schemas.microsoft.com/office/drawing/2014/main" id="{8317331E-9F36-4837-8262-FAD66CEA8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5BBDDD" w14:textId="55C3E5E7" w:rsidR="001C13B3" w:rsidRDefault="001C13B3" w:rsidP="001C13B3">
      <w:pPr>
        <w:pStyle w:val="Tablenote"/>
        <w:rPr>
          <w:rFonts w:ascii="Calibri" w:eastAsia="Times New Roman" w:hAnsi="Calibri" w:cs="Calibri"/>
          <w:b/>
          <w:bCs/>
          <w:noProof w:val="0"/>
          <w:color w:val="FFFFFF"/>
          <w:sz w:val="20"/>
          <w:szCs w:val="20"/>
          <w:lang w:eastAsia="en-AU"/>
        </w:rPr>
      </w:pPr>
      <w:r>
        <w:t xml:space="preserve">Source: </w:t>
      </w:r>
      <w:r w:rsidR="00EA4E4B">
        <w:t>Austrade</w:t>
      </w:r>
      <w:r w:rsidR="001769F6">
        <w:t xml:space="preserve">; </w:t>
      </w:r>
      <w:r w:rsidR="00533FC6">
        <w:t>WHM</w:t>
      </w:r>
      <w:r>
        <w:t xml:space="preserve"> Survey, 2020.</w:t>
      </w:r>
    </w:p>
    <w:p w14:paraId="33C1D4B6" w14:textId="77777777" w:rsidR="00B2187F" w:rsidRDefault="00B2187F" w:rsidP="00B2187F"/>
    <w:p w14:paraId="59F3AE43" w14:textId="30B6D5FD" w:rsidR="00675B61" w:rsidRDefault="001C13B3" w:rsidP="00675B61">
      <w:r>
        <w:t xml:space="preserve">Just over half (50.8%) of all WHMs were aged 25 to 30 years, while approximately one in </w:t>
      </w:r>
      <w:r w:rsidR="003C0A25">
        <w:t xml:space="preserve">14 </w:t>
      </w:r>
      <w:r>
        <w:t xml:space="preserve">were aged 18 to 19 years (6.8%) or 31 years or older (7.6%; see </w:t>
      </w:r>
      <w:r>
        <w:fldChar w:fldCharType="begin"/>
      </w:r>
      <w:r>
        <w:instrText xml:space="preserve"> REF _Ref56171496 \h </w:instrText>
      </w:r>
      <w:r>
        <w:fldChar w:fldCharType="separate"/>
      </w:r>
      <w:r w:rsidR="00F22012">
        <w:t xml:space="preserve">Figure </w:t>
      </w:r>
      <w:r w:rsidR="00F22012">
        <w:rPr>
          <w:noProof/>
        </w:rPr>
        <w:t>4</w:t>
      </w:r>
      <w:r w:rsidR="00F22012">
        <w:noBreakHyphen/>
      </w:r>
      <w:r w:rsidR="00F22012">
        <w:rPr>
          <w:noProof/>
        </w:rPr>
        <w:t>2</w:t>
      </w:r>
      <w:r>
        <w:fldChar w:fldCharType="end"/>
      </w:r>
      <w:r>
        <w:t xml:space="preserve">). Taiwan had the oldest cohort of WHMs with three quarters (74.1%) aged 25 or over. This </w:t>
      </w:r>
      <w:r w:rsidR="00847BF9">
        <w:t>is in</w:t>
      </w:r>
      <w:r>
        <w:t xml:space="preserve"> contrast to German WHMs where more than one-third (34.2%) were aged 18 or 19 years (with a total of 69.3% aged 24 or younger) and French WHM</w:t>
      </w:r>
      <w:r w:rsidR="00847BF9">
        <w:t>s,</w:t>
      </w:r>
      <w:r>
        <w:t xml:space="preserve"> almost half of whom (48.0%) were 24 or younger.</w:t>
      </w:r>
      <w:r w:rsidR="00675B61" w:rsidRPr="00675B61">
        <w:t xml:space="preserve"> </w:t>
      </w:r>
    </w:p>
    <w:p w14:paraId="11EB9CE3" w14:textId="72F837D7" w:rsidR="001C13B3" w:rsidRDefault="001C13B3" w:rsidP="001C13B3">
      <w:pPr>
        <w:pStyle w:val="Caption"/>
      </w:pPr>
      <w:bookmarkStart w:id="45" w:name="_Ref56171496"/>
      <w:bookmarkStart w:id="46" w:name="_Toc7587851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4</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45"/>
      <w:r>
        <w:t xml:space="preserve">: </w:t>
      </w:r>
      <w:r w:rsidRPr="00A24976">
        <w:t xml:space="preserve">Age characteristics of WHMs, by </w:t>
      </w:r>
      <w:r>
        <w:t>T</w:t>
      </w:r>
      <w:r w:rsidRPr="00A24976">
        <w:t>op 10 counties</w:t>
      </w:r>
      <w:bookmarkEnd w:id="46"/>
    </w:p>
    <w:p w14:paraId="77FBE7C7" w14:textId="4A1510DA" w:rsidR="00B86419" w:rsidRPr="00B86419" w:rsidRDefault="00B86419" w:rsidP="00B86419">
      <w:r>
        <w:rPr>
          <w:noProof/>
          <w:lang w:eastAsia="en-AU"/>
        </w:rPr>
        <w:drawing>
          <wp:inline distT="0" distB="0" distL="0" distR="0" wp14:anchorId="25345809" wp14:editId="320C367F">
            <wp:extent cx="5731510" cy="3777615"/>
            <wp:effectExtent l="0" t="0" r="2540" b="13335"/>
            <wp:docPr id="30" name="Chart 30" descr="Figure 4-2 Chart showing the age characteristics of WHMs, by top 10 countries.">
              <a:extLst xmlns:a="http://schemas.openxmlformats.org/drawingml/2006/main">
                <a:ext uri="{FF2B5EF4-FFF2-40B4-BE49-F238E27FC236}">
                  <a16:creationId xmlns:a16="http://schemas.microsoft.com/office/drawing/2014/main" id="{D0087E01-1DD7-4674-98D7-F964FE5D3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461D2B" w14:textId="6CF13FF2" w:rsidR="001C13B3" w:rsidRDefault="001C13B3" w:rsidP="001C13B3">
      <w:pPr>
        <w:pStyle w:val="Tablenote"/>
      </w:pPr>
      <w:r w:rsidRPr="00144564">
        <w:t>Note</w:t>
      </w:r>
      <w:r w:rsidR="00117F8A">
        <w:t>,</w:t>
      </w:r>
      <w:r w:rsidRPr="00144564">
        <w:t xml:space="preserve"> </w:t>
      </w:r>
      <w:r w:rsidR="00117F8A">
        <w:t>f</w:t>
      </w:r>
      <w:r>
        <w:t xml:space="preserve">or this purpose Top 10 countries are those with the highest number of WHMs. </w:t>
      </w:r>
      <w:r w:rsidR="00026D01">
        <w:t>Data from other countries</w:t>
      </w:r>
      <w:r w:rsidR="00AB7E97">
        <w:t xml:space="preserve"> and missing responses</w:t>
      </w:r>
      <w:r w:rsidR="00026D01">
        <w:t xml:space="preserve"> are not</w:t>
      </w:r>
      <w:r w:rsidR="004C5A84">
        <w:t xml:space="preserve"> presented</w:t>
      </w:r>
      <w:r w:rsidRPr="00144564">
        <w:t>.</w:t>
      </w:r>
      <w:r>
        <w:t xml:space="preserve"> </w:t>
      </w:r>
      <w:r w:rsidR="00972B81">
        <w:t>‘Total’ includes responses from all countries</w:t>
      </w:r>
      <w:r>
        <w:t xml:space="preserve">. </w:t>
      </w:r>
      <w:r w:rsidR="005E24D1">
        <w:t>‘Av</w:t>
      </w:r>
      <w:r w:rsidR="00F90F1D">
        <w:t xml:space="preserve">’ is average. </w:t>
      </w:r>
      <w:r>
        <w:t>Labels are not shown when less than 5%.</w:t>
      </w:r>
    </w:p>
    <w:p w14:paraId="43D9E671" w14:textId="17487905" w:rsidR="001C13B3" w:rsidRPr="009F5A8E" w:rsidRDefault="001C13B3" w:rsidP="001C13B3">
      <w:pPr>
        <w:pStyle w:val="Tablenote"/>
        <w:rPr>
          <w:rFonts w:ascii="Calibri" w:eastAsia="Times New Roman" w:hAnsi="Calibri" w:cs="Calibri"/>
          <w:b/>
          <w:bCs/>
          <w:noProof w:val="0"/>
          <w:color w:val="FFFFFF"/>
          <w:sz w:val="20"/>
          <w:szCs w:val="20"/>
          <w:lang w:eastAsia="en-AU"/>
        </w:rPr>
      </w:pPr>
      <w:r>
        <w:t xml:space="preserve">Source: </w:t>
      </w:r>
      <w:r w:rsidR="00533FC6">
        <w:t>WHM</w:t>
      </w:r>
      <w:r>
        <w:t xml:space="preserve"> Survey, 2020.</w:t>
      </w:r>
    </w:p>
    <w:p w14:paraId="0BE71C9D" w14:textId="77777777" w:rsidR="00C922B4" w:rsidRDefault="00C922B4" w:rsidP="00C922B4">
      <w:pPr>
        <w:pStyle w:val="Heading2"/>
      </w:pPr>
      <w:bookmarkStart w:id="47" w:name="_Toc75878452"/>
      <w:bookmarkStart w:id="48" w:name="_Ref57022497"/>
      <w:r w:rsidRPr="000666CA">
        <w:t>Educational attainment</w:t>
      </w:r>
      <w:bookmarkEnd w:id="47"/>
    </w:p>
    <w:p w14:paraId="3C417CB1" w14:textId="5B5C47E6" w:rsidR="00C922B4" w:rsidRPr="004154D0" w:rsidRDefault="00C922B4" w:rsidP="00C922B4">
      <w:r>
        <w:t>Educational attainment of WHM by country of citizenship is presented in</w:t>
      </w:r>
      <w:r w:rsidR="00FA50AF">
        <w:t xml:space="preserve"> </w:t>
      </w:r>
      <w:r w:rsidR="00FA50AF">
        <w:fldChar w:fldCharType="begin"/>
      </w:r>
      <w:r w:rsidR="00FA50AF">
        <w:instrText xml:space="preserve"> REF _Ref73015239 \h </w:instrText>
      </w:r>
      <w:r w:rsidR="00FA50AF">
        <w:fldChar w:fldCharType="separate"/>
      </w:r>
      <w:r w:rsidR="00F22012">
        <w:t xml:space="preserve">Figure </w:t>
      </w:r>
      <w:r w:rsidR="00F22012">
        <w:rPr>
          <w:noProof/>
        </w:rPr>
        <w:t>4</w:t>
      </w:r>
      <w:r w:rsidR="00F22012">
        <w:noBreakHyphen/>
      </w:r>
      <w:r w:rsidR="00F22012">
        <w:rPr>
          <w:noProof/>
        </w:rPr>
        <w:t>3</w:t>
      </w:r>
      <w:r w:rsidR="00FA50AF">
        <w:fldChar w:fldCharType="end"/>
      </w:r>
      <w:r>
        <w:t xml:space="preserve">. A small proportion (1.7%) chose not to disclose their </w:t>
      </w:r>
      <w:r w:rsidR="00386982">
        <w:t>level of education</w:t>
      </w:r>
      <w:r w:rsidR="00914960">
        <w:t>,</w:t>
      </w:r>
      <w:r>
        <w:t xml:space="preserve"> with this most common for those from Taiwan (4.4%) and Japan (3.3%). The proportion of WHMs holding university degrees or higher has increased by more than </w:t>
      </w:r>
      <w:r w:rsidR="00914960">
        <w:t xml:space="preserve">ten </w:t>
      </w:r>
      <w:r>
        <w:t xml:space="preserve">percentage points from just over one half (54%) </w:t>
      </w:r>
      <w:r w:rsidR="0033543A">
        <w:t xml:space="preserve">reported in </w:t>
      </w:r>
      <w:r w:rsidR="00F04F95">
        <w:fldChar w:fldCharType="begin"/>
      </w:r>
      <w:r w:rsidR="00F04F95">
        <w:instrText xml:space="preserve"> ADDIN EN.CITE &lt;EndNote&gt;&lt;Cite AuthorYear="1"&gt;&lt;Author&gt;Tan&lt;/Author&gt;&lt;Year&gt;2009&lt;/Year&gt;&lt;RecNum&gt;19&lt;/RecNum&gt;&lt;DisplayText&gt;Tan et al. (2009)&lt;/DisplayText&gt;&lt;record&gt;&lt;rec-number&gt;19&lt;/rec-number&gt;&lt;foreign-keys&gt;&lt;key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rsidR="00F04F95">
        <w:fldChar w:fldCharType="separate"/>
      </w:r>
      <w:r w:rsidR="00F04F95">
        <w:rPr>
          <w:noProof/>
        </w:rPr>
        <w:t>Tan et al. (2009)</w:t>
      </w:r>
      <w:r w:rsidR="00F04F95">
        <w:fldChar w:fldCharType="end"/>
      </w:r>
      <w:r>
        <w:t xml:space="preserve"> to almost two-thirds (65.2%) </w:t>
      </w:r>
      <w:r w:rsidR="00652B66">
        <w:t>here</w:t>
      </w:r>
      <w:r>
        <w:t xml:space="preserve">. Of the </w:t>
      </w:r>
      <w:r w:rsidR="0005092D">
        <w:t>Top 10</w:t>
      </w:r>
      <w:r>
        <w:t xml:space="preserve"> countries, more than three quarters of respondents from Taiwan (88.3%), France (78.7%), </w:t>
      </w:r>
      <w:r w:rsidR="00977073">
        <w:t>the United States</w:t>
      </w:r>
      <w:r>
        <w:t xml:space="preserve"> (77.5%), Ireland (75.7%) and South Korea (75.5%) held University degrees. German</w:t>
      </w:r>
      <w:r w:rsidR="5103D465">
        <w:t xml:space="preserve"> WHMs</w:t>
      </w:r>
      <w:r>
        <w:t xml:space="preserve"> </w:t>
      </w:r>
      <w:r w:rsidR="00386982">
        <w:t>were</w:t>
      </w:r>
      <w:r>
        <w:t xml:space="preserve"> the most youthful cohort</w:t>
      </w:r>
      <w:r w:rsidR="04C3E429">
        <w:t>, and</w:t>
      </w:r>
      <w:r>
        <w:t xml:space="preserve"> had the highest proportion (52.5%) of respondents with only a secondary school qualification.</w:t>
      </w:r>
    </w:p>
    <w:p w14:paraId="49CE5C73" w14:textId="1965F45B" w:rsidR="00FF7709" w:rsidRDefault="00FF7709" w:rsidP="00FF7709">
      <w:pPr>
        <w:pStyle w:val="Caption"/>
      </w:pPr>
      <w:bookmarkStart w:id="49" w:name="_Ref73015239"/>
      <w:bookmarkStart w:id="50" w:name="_Toc7587851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4</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48"/>
      <w:bookmarkEnd w:id="49"/>
      <w:r w:rsidRPr="000666CA">
        <w:t>: Highest completed educational attainment of WHMs</w:t>
      </w:r>
      <w:r w:rsidR="00354FD1" w:rsidRPr="00A24976">
        <w:t xml:space="preserve">, by </w:t>
      </w:r>
      <w:r w:rsidR="001971C9">
        <w:t>T</w:t>
      </w:r>
      <w:r w:rsidR="00354FD1" w:rsidRPr="00A24976">
        <w:t>op 10 counties</w:t>
      </w:r>
      <w:bookmarkEnd w:id="50"/>
    </w:p>
    <w:p w14:paraId="0EFF24CC" w14:textId="3DA047C5" w:rsidR="0079368B" w:rsidRDefault="0079368B" w:rsidP="0079368B">
      <w:r>
        <w:rPr>
          <w:noProof/>
          <w:lang w:eastAsia="en-AU"/>
        </w:rPr>
        <w:drawing>
          <wp:inline distT="0" distB="0" distL="0" distR="0" wp14:anchorId="48EE1D98" wp14:editId="0F0DFDBC">
            <wp:extent cx="5731510" cy="4298950"/>
            <wp:effectExtent l="0" t="0" r="2540" b="6350"/>
            <wp:docPr id="33" name="Chart 33" descr="Figure 4-3 Chart showing the highest completed educational attainment of WHMs by top 10 countries">
              <a:extLst xmlns:a="http://schemas.openxmlformats.org/drawingml/2006/main">
                <a:ext uri="{FF2B5EF4-FFF2-40B4-BE49-F238E27FC236}">
                  <a16:creationId xmlns:a16="http://schemas.microsoft.com/office/drawing/2014/main" id="{9EAEB6AE-3CA3-4417-987B-C72DAD1A7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24EA86" w14:textId="7C176854" w:rsidR="00022A29" w:rsidRPr="006D6014" w:rsidRDefault="00022A29" w:rsidP="00022A29">
      <w:pPr>
        <w:pStyle w:val="Tablenote"/>
      </w:pPr>
      <w:r w:rsidRPr="00144564">
        <w:t>Note</w:t>
      </w:r>
      <w:r w:rsidR="00117F8A">
        <w:t>,</w:t>
      </w:r>
      <w:r w:rsidRPr="00144564">
        <w:t xml:space="preserve"> </w:t>
      </w:r>
      <w:r w:rsidR="00117F8A">
        <w:t>f</w:t>
      </w:r>
      <w:r w:rsidR="001971C9">
        <w:t xml:space="preserve">or this purpose Top 10 countries are those with the highest number of WHMs. </w:t>
      </w:r>
      <w:r w:rsidR="009A332E">
        <w:t>Data from other countries and missing responses are not presented</w:t>
      </w:r>
      <w:r w:rsidR="009A332E" w:rsidRPr="00144564">
        <w:t>.</w:t>
      </w:r>
      <w:r w:rsidR="009A332E">
        <w:t xml:space="preserve"> ‘Total’ includes</w:t>
      </w:r>
      <w:r w:rsidR="00C14CD4">
        <w:t xml:space="preserve"> valid</w:t>
      </w:r>
      <w:r w:rsidR="009A332E">
        <w:t xml:space="preserve"> responses from all </w:t>
      </w:r>
      <w:r w:rsidR="005342AB">
        <w:t>respondents</w:t>
      </w:r>
      <w:r w:rsidR="009A332E">
        <w:t xml:space="preserve"> (n=</w:t>
      </w:r>
      <w:r w:rsidR="007B6038">
        <w:t>9,</w:t>
      </w:r>
      <w:r w:rsidR="0068322B">
        <w:t>606</w:t>
      </w:r>
      <w:r w:rsidR="009A332E">
        <w:t>)</w:t>
      </w:r>
      <w:r>
        <w:t>.</w:t>
      </w:r>
      <w:r w:rsidR="009F5A8E" w:rsidRPr="009F5A8E">
        <w:t xml:space="preserve"> </w:t>
      </w:r>
      <w:r w:rsidR="009F5A8E">
        <w:t>Labels are not shown when less than 5%.</w:t>
      </w:r>
    </w:p>
    <w:p w14:paraId="3F669BE0" w14:textId="0ACBDBDD" w:rsidR="00C30E03" w:rsidRPr="00C30E03" w:rsidRDefault="00022A29" w:rsidP="00C30E03">
      <w:pPr>
        <w:pStyle w:val="Tablenote"/>
      </w:pPr>
      <w:r>
        <w:t xml:space="preserve">Source: </w:t>
      </w:r>
      <w:r w:rsidR="00533FC6">
        <w:t>WHM</w:t>
      </w:r>
      <w:r>
        <w:t xml:space="preserve"> Survey, 2020.</w:t>
      </w:r>
    </w:p>
    <w:p w14:paraId="116A9D60" w14:textId="3A4B9DE5" w:rsidR="00E16B19" w:rsidRPr="00582224" w:rsidRDefault="002C3B82" w:rsidP="002E77A1">
      <w:pPr>
        <w:pStyle w:val="Heading2"/>
      </w:pPr>
      <w:bookmarkStart w:id="51" w:name="_Toc75878453"/>
      <w:r>
        <w:t>Duration</w:t>
      </w:r>
      <w:r w:rsidR="00E16B19" w:rsidRPr="00582224">
        <w:t xml:space="preserve"> of stay in Australia</w:t>
      </w:r>
      <w:bookmarkEnd w:id="51"/>
    </w:p>
    <w:p w14:paraId="3B4E98DA" w14:textId="0D57A10B" w:rsidR="002C3B82" w:rsidRPr="00582224" w:rsidRDefault="00B83DFC" w:rsidP="002C3B82">
      <w:r>
        <w:t xml:space="preserve">WHMs </w:t>
      </w:r>
      <w:r w:rsidR="00956F2A">
        <w:t xml:space="preserve">stayed </w:t>
      </w:r>
      <w:r w:rsidR="00357AD8">
        <w:t>an average of 9.4 months</w:t>
      </w:r>
      <w:r w:rsidR="00773798">
        <w:t xml:space="preserve"> in Australia</w:t>
      </w:r>
      <w:r w:rsidR="00BE1F10">
        <w:t xml:space="preserve">; </w:t>
      </w:r>
      <w:r w:rsidR="00451ABD">
        <w:t xml:space="preserve">with the </w:t>
      </w:r>
      <w:r w:rsidR="00BE1F10">
        <w:t>median stay</w:t>
      </w:r>
      <w:r w:rsidR="00451ABD">
        <w:t xml:space="preserve"> slightly </w:t>
      </w:r>
      <w:r w:rsidR="00BE1F10">
        <w:t xml:space="preserve">longer </w:t>
      </w:r>
      <w:r w:rsidR="00E16422">
        <w:t xml:space="preserve">(see </w:t>
      </w:r>
      <w:r w:rsidR="009F6ECB">
        <w:fldChar w:fldCharType="begin"/>
      </w:r>
      <w:r w:rsidR="009F6ECB">
        <w:instrText xml:space="preserve"> REF _Ref57292148 \h </w:instrText>
      </w:r>
      <w:r w:rsidR="009F6ECB">
        <w:fldChar w:fldCharType="separate"/>
      </w:r>
      <w:r w:rsidR="00F22012" w:rsidRPr="00582224">
        <w:t xml:space="preserve">Figure </w:t>
      </w:r>
      <w:r w:rsidR="00F22012">
        <w:rPr>
          <w:noProof/>
        </w:rPr>
        <w:t>4</w:t>
      </w:r>
      <w:r w:rsidR="00F22012">
        <w:noBreakHyphen/>
      </w:r>
      <w:r w:rsidR="00F22012">
        <w:rPr>
          <w:noProof/>
        </w:rPr>
        <w:t>4</w:t>
      </w:r>
      <w:r w:rsidR="009F6ECB">
        <w:fldChar w:fldCharType="end"/>
      </w:r>
      <w:r w:rsidR="00E16422">
        <w:t>)</w:t>
      </w:r>
      <w:r w:rsidR="00773798">
        <w:t xml:space="preserve">. </w:t>
      </w:r>
      <w:r w:rsidR="00D925E8">
        <w:t xml:space="preserve">Of the </w:t>
      </w:r>
      <w:r w:rsidR="0005092D">
        <w:t>Top 10</w:t>
      </w:r>
      <w:r w:rsidR="00D925E8">
        <w:t xml:space="preserve"> countries</w:t>
      </w:r>
      <w:r w:rsidR="00BE6C5C">
        <w:t>, WHMs from Taiwan</w:t>
      </w:r>
      <w:r w:rsidR="008611D5">
        <w:t xml:space="preserve"> stayed the longest (average 10.5 months)</w:t>
      </w:r>
      <w:r w:rsidR="00C004C6">
        <w:t xml:space="preserve"> with one fifth </w:t>
      </w:r>
      <w:r w:rsidR="00FE31A7">
        <w:t xml:space="preserve">on a subsequent visa and </w:t>
      </w:r>
      <w:r w:rsidR="00C004C6">
        <w:t>extending their stay beyond 12 months (</w:t>
      </w:r>
      <w:r w:rsidR="00877586">
        <w:t xml:space="preserve">see </w:t>
      </w:r>
      <w:r w:rsidR="00877586">
        <w:fldChar w:fldCharType="begin"/>
      </w:r>
      <w:r w:rsidR="00877586">
        <w:instrText xml:space="preserve"> REF _Ref57293775 \h </w:instrText>
      </w:r>
      <w:r w:rsidR="00877586">
        <w:fldChar w:fldCharType="separate"/>
      </w:r>
      <w:r w:rsidR="00F22012">
        <w:t xml:space="preserve">Figure </w:t>
      </w:r>
      <w:r w:rsidR="00F22012">
        <w:rPr>
          <w:noProof/>
        </w:rPr>
        <w:t>4</w:t>
      </w:r>
      <w:r w:rsidR="00F22012">
        <w:noBreakHyphen/>
      </w:r>
      <w:r w:rsidR="00F22012">
        <w:rPr>
          <w:noProof/>
        </w:rPr>
        <w:t>5</w:t>
      </w:r>
      <w:r w:rsidR="00877586">
        <w:fldChar w:fldCharType="end"/>
      </w:r>
      <w:r w:rsidR="00877586">
        <w:t>)</w:t>
      </w:r>
      <w:r w:rsidR="00777394">
        <w:t xml:space="preserve">. The young German cohort </w:t>
      </w:r>
      <w:r w:rsidR="00FE782F">
        <w:t xml:space="preserve">spent </w:t>
      </w:r>
      <w:r w:rsidR="00451ABD">
        <w:t xml:space="preserve">the </w:t>
      </w:r>
      <w:r w:rsidR="00FE782F">
        <w:t>fewe</w:t>
      </w:r>
      <w:r w:rsidR="00E55FCF">
        <w:t>st</w:t>
      </w:r>
      <w:r w:rsidR="00FE782F">
        <w:t xml:space="preserve"> months on average in Australia (8.1 months)</w:t>
      </w:r>
      <w:r w:rsidR="001E5495">
        <w:t xml:space="preserve"> and were the only </w:t>
      </w:r>
      <w:r w:rsidR="00F17F4A">
        <w:t>citizen group</w:t>
      </w:r>
      <w:r w:rsidR="001E5495">
        <w:t xml:space="preserve"> </w:t>
      </w:r>
      <w:r w:rsidR="00F17F4A">
        <w:t>with</w:t>
      </w:r>
      <w:r w:rsidR="001E5495">
        <w:t xml:space="preserve"> more than half </w:t>
      </w:r>
      <w:r w:rsidR="00EA7E99">
        <w:t>stay</w:t>
      </w:r>
      <w:r w:rsidR="00F17F4A">
        <w:t>ing</w:t>
      </w:r>
      <w:r w:rsidR="00EA7E99">
        <w:t xml:space="preserve"> f</w:t>
      </w:r>
      <w:r w:rsidR="00451ABD">
        <w:t>or f</w:t>
      </w:r>
      <w:r w:rsidR="00EA7E99">
        <w:t>ewer than nine months</w:t>
      </w:r>
      <w:r w:rsidR="006760E4">
        <w:t>.</w:t>
      </w:r>
    </w:p>
    <w:p w14:paraId="514AB82A" w14:textId="6859FFD0" w:rsidR="002C3B82" w:rsidRDefault="002C3B82" w:rsidP="002C3B82">
      <w:pPr>
        <w:pStyle w:val="Caption"/>
      </w:pPr>
      <w:bookmarkStart w:id="52" w:name="_Ref57292148"/>
      <w:bookmarkStart w:id="53" w:name="_Toc75878518"/>
      <w:r w:rsidRPr="00582224">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4</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52"/>
      <w:r>
        <w:t xml:space="preserve">: </w:t>
      </w:r>
      <w:r w:rsidR="00AA6370">
        <w:t xml:space="preserve">Average (mean </w:t>
      </w:r>
      <w:r>
        <w:t>and median</w:t>
      </w:r>
      <w:r w:rsidR="00AA6370">
        <w:t>)</w:t>
      </w:r>
      <w:r>
        <w:t xml:space="preserve"> duration (months) of stay in Australia, </w:t>
      </w:r>
      <w:r w:rsidR="006C6F75" w:rsidRPr="00A24976">
        <w:t xml:space="preserve">by </w:t>
      </w:r>
      <w:r w:rsidR="00F602C7">
        <w:t>T</w:t>
      </w:r>
      <w:r w:rsidR="00F602C7" w:rsidRPr="00A24976">
        <w:t xml:space="preserve">op </w:t>
      </w:r>
      <w:r w:rsidR="006C6F75" w:rsidRPr="00A24976">
        <w:t>10 count</w:t>
      </w:r>
      <w:r w:rsidR="00F602C7">
        <w:t>r</w:t>
      </w:r>
      <w:r w:rsidR="006C6F75" w:rsidRPr="00A24976">
        <w:t>ies</w:t>
      </w:r>
      <w:bookmarkEnd w:id="53"/>
    </w:p>
    <w:p w14:paraId="3A87FC59" w14:textId="3DB823DF" w:rsidR="002C3B82" w:rsidRPr="000B28CA" w:rsidRDefault="00495F4E" w:rsidP="00562229">
      <w:pPr>
        <w:keepNext/>
        <w:keepLines/>
      </w:pPr>
      <w:r>
        <w:rPr>
          <w:noProof/>
          <w:lang w:eastAsia="en-AU"/>
        </w:rPr>
        <w:drawing>
          <wp:inline distT="0" distB="0" distL="0" distR="0" wp14:anchorId="2A028593" wp14:editId="425D3E81">
            <wp:extent cx="5731510" cy="1970405"/>
            <wp:effectExtent l="0" t="0" r="2540" b="10795"/>
            <wp:docPr id="53" name="Chart 53" descr="Figure 4-4 Chart showing the average (mean and median) duration (months) of stay in Australia, by top 10 countries.">
              <a:extLst xmlns:a="http://schemas.openxmlformats.org/drawingml/2006/main">
                <a:ext uri="{FF2B5EF4-FFF2-40B4-BE49-F238E27FC236}">
                  <a16:creationId xmlns:a16="http://schemas.microsoft.com/office/drawing/2014/main" id="{EDBF766B-293B-4706-A094-3D1A297C7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15E64D" w14:textId="294C6208" w:rsidR="002C3B82" w:rsidRPr="00582224" w:rsidRDefault="002C3B82" w:rsidP="002C3B82">
      <w:pPr>
        <w:pStyle w:val="Tablenote"/>
        <w:keepNext/>
        <w:keepLines/>
      </w:pPr>
      <w:r w:rsidRPr="00582224">
        <w:t>Note</w:t>
      </w:r>
      <w:r w:rsidR="00117F8A">
        <w:t>,</w:t>
      </w:r>
      <w:r w:rsidRPr="00582224">
        <w:t xml:space="preserve"> </w:t>
      </w:r>
      <w:r w:rsidR="00117F8A">
        <w:t>f</w:t>
      </w:r>
      <w:r w:rsidR="001971C9">
        <w:t xml:space="preserve">or this purpose Top 10 countries are those with the highest number of WHMs. </w:t>
      </w:r>
      <w:r w:rsidR="000864FB">
        <w:t>Data from other countries</w:t>
      </w:r>
      <w:r w:rsidR="001877EE">
        <w:t xml:space="preserve"> and missing responses</w:t>
      </w:r>
      <w:r w:rsidR="000864FB">
        <w:t xml:space="preserve"> are not presented</w:t>
      </w:r>
      <w:r w:rsidR="000864FB" w:rsidRPr="00144564">
        <w:t>.</w:t>
      </w:r>
      <w:r w:rsidR="000864FB">
        <w:t xml:space="preserve"> ‘Total’ includes</w:t>
      </w:r>
      <w:r w:rsidR="00C334FC">
        <w:t xml:space="preserve"> valid</w:t>
      </w:r>
      <w:r w:rsidR="000864FB">
        <w:t xml:space="preserve"> responses from all </w:t>
      </w:r>
      <w:r w:rsidR="00C334FC">
        <w:t>respondents</w:t>
      </w:r>
      <w:r w:rsidR="000864FB">
        <w:t xml:space="preserve">. Data </w:t>
      </w:r>
      <w:r w:rsidRPr="00582224">
        <w:t>was provided by 21,296 respondents. Labels are not shown when less than 5%.</w:t>
      </w:r>
    </w:p>
    <w:p w14:paraId="1112A62B" w14:textId="14318CCA" w:rsidR="00C30E03" w:rsidRPr="00C30E03" w:rsidRDefault="002C3B82" w:rsidP="00C30E03">
      <w:pPr>
        <w:pStyle w:val="Tablenote"/>
      </w:pPr>
      <w:r w:rsidRPr="00582224">
        <w:t xml:space="preserve">Source: </w:t>
      </w:r>
      <w:r w:rsidR="00533FC6">
        <w:t>WHM</w:t>
      </w:r>
      <w:r w:rsidRPr="00582224">
        <w:t xml:space="preserve"> Survey, 2020.</w:t>
      </w:r>
    </w:p>
    <w:p w14:paraId="5D5A49A7" w14:textId="6FF6BA25" w:rsidR="00877586" w:rsidRDefault="00877586" w:rsidP="00877586">
      <w:pPr>
        <w:pStyle w:val="Caption"/>
      </w:pPr>
      <w:bookmarkStart w:id="54" w:name="_Ref57293775"/>
      <w:bookmarkStart w:id="55" w:name="_Toc75878519"/>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4</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54"/>
      <w:r w:rsidRPr="00582224">
        <w:t xml:space="preserve">: </w:t>
      </w:r>
      <w:r>
        <w:t>Duration</w:t>
      </w:r>
      <w:r w:rsidRPr="00582224">
        <w:t xml:space="preserve"> (months) of stay </w:t>
      </w:r>
      <w:r>
        <w:t>in Australia</w:t>
      </w:r>
      <w:r w:rsidRPr="00582224">
        <w:t xml:space="preserve">, </w:t>
      </w:r>
      <w:r w:rsidRPr="00A24976">
        <w:t xml:space="preserve">by </w:t>
      </w:r>
      <w:r w:rsidR="001971C9">
        <w:t>T</w:t>
      </w:r>
      <w:r w:rsidRPr="00A24976">
        <w:t>op 10 counties</w:t>
      </w:r>
      <w:bookmarkEnd w:id="55"/>
    </w:p>
    <w:p w14:paraId="53502B9E" w14:textId="748B0E50" w:rsidR="001814BA" w:rsidRDefault="009F4665" w:rsidP="001814BA">
      <w:r>
        <w:rPr>
          <w:noProof/>
          <w:lang w:eastAsia="en-AU"/>
        </w:rPr>
        <w:drawing>
          <wp:inline distT="0" distB="0" distL="0" distR="0" wp14:anchorId="36144E8C" wp14:editId="46B46E14">
            <wp:extent cx="5731510" cy="3402965"/>
            <wp:effectExtent l="0" t="0" r="2540" b="6985"/>
            <wp:docPr id="38" name="Chart 38" descr="Figure 4-5 Chart showing the duration (months) of stay in Australia, by Top 10 countries.">
              <a:extLst xmlns:a="http://schemas.openxmlformats.org/drawingml/2006/main">
                <a:ext uri="{FF2B5EF4-FFF2-40B4-BE49-F238E27FC236}">
                  <a16:creationId xmlns:a16="http://schemas.microsoft.com/office/drawing/2014/main" id="{B478071C-0D86-4619-B37D-0C5ED31C7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480945" w14:textId="5AC390DB" w:rsidR="00C75D4B" w:rsidRPr="00582224" w:rsidRDefault="00C75D4B" w:rsidP="00D340BF">
      <w:pPr>
        <w:pStyle w:val="Tablenote"/>
        <w:keepNext/>
        <w:keepLines/>
      </w:pPr>
      <w:r w:rsidRPr="00582224">
        <w:t>Note</w:t>
      </w:r>
      <w:r w:rsidR="00117F8A">
        <w:t>,</w:t>
      </w:r>
      <w:r w:rsidRPr="00582224">
        <w:t xml:space="preserve"> </w:t>
      </w:r>
      <w:r w:rsidR="00117F8A">
        <w:t>f</w:t>
      </w:r>
      <w:r w:rsidR="001971C9">
        <w:t xml:space="preserve">or this purpose Top 10 countries are those with the highest number of WHMs. </w:t>
      </w:r>
      <w:r w:rsidR="00C87145">
        <w:t>Data from other countries and missing responses are not presented</w:t>
      </w:r>
      <w:r w:rsidRPr="00582224">
        <w:t xml:space="preserve">. Data was provided by </w:t>
      </w:r>
      <w:r w:rsidR="00D340BF" w:rsidRPr="00582224">
        <w:t>21,296</w:t>
      </w:r>
      <w:r w:rsidRPr="00582224">
        <w:t xml:space="preserve"> respondents. Labels are not shown when less than 5%.</w:t>
      </w:r>
    </w:p>
    <w:p w14:paraId="1A98844B" w14:textId="3BA03B1A" w:rsidR="00C75D4B" w:rsidRPr="0029477C" w:rsidRDefault="00C75D4B" w:rsidP="00C75D4B">
      <w:pPr>
        <w:pStyle w:val="Tablenote"/>
        <w:rPr>
          <w:rFonts w:ascii="Calibri" w:eastAsia="Times New Roman" w:hAnsi="Calibri" w:cs="Calibri"/>
          <w:b/>
          <w:bCs/>
          <w:noProof w:val="0"/>
          <w:color w:val="FFFFFF"/>
          <w:sz w:val="20"/>
          <w:szCs w:val="20"/>
          <w:lang w:eastAsia="en-AU"/>
        </w:rPr>
      </w:pPr>
      <w:r w:rsidRPr="0029477C">
        <w:t xml:space="preserve">Source: </w:t>
      </w:r>
      <w:r w:rsidR="00533FC6">
        <w:t>WHM</w:t>
      </w:r>
      <w:r w:rsidRPr="0029477C">
        <w:t xml:space="preserve"> Survey, 2020.</w:t>
      </w:r>
    </w:p>
    <w:p w14:paraId="4EC5565B" w14:textId="38E31CE9" w:rsidR="003C3D6D" w:rsidRDefault="003C3D6D" w:rsidP="00841D04">
      <w:pPr>
        <w:pStyle w:val="Heading1"/>
      </w:pPr>
      <w:bookmarkStart w:id="56" w:name="_Toc75878454"/>
      <w:r>
        <w:t>WHM: Employment, wages and spending</w:t>
      </w:r>
      <w:bookmarkEnd w:id="56"/>
    </w:p>
    <w:p w14:paraId="5239CAB0" w14:textId="4297A5ED" w:rsidR="0029477C" w:rsidRDefault="00E16B19" w:rsidP="002E77A1">
      <w:pPr>
        <w:pStyle w:val="Heading2"/>
      </w:pPr>
      <w:bookmarkStart w:id="57" w:name="_Toc75878455"/>
      <w:r w:rsidRPr="0029477C">
        <w:t xml:space="preserve">Employment </w:t>
      </w:r>
      <w:r w:rsidR="00EF5D7B">
        <w:t>in Australia</w:t>
      </w:r>
      <w:bookmarkEnd w:id="57"/>
    </w:p>
    <w:p w14:paraId="2073D42E" w14:textId="7F8AD3B6" w:rsidR="004E0E99" w:rsidRPr="004E0E99" w:rsidRDefault="004E0E99" w:rsidP="004E0E99">
      <w:r w:rsidRPr="004F26B7">
        <w:t>Almost three in five (</w:t>
      </w:r>
      <w:r w:rsidR="00E3016C" w:rsidRPr="004F26B7">
        <w:t>n=12,</w:t>
      </w:r>
      <w:r w:rsidR="007914A9" w:rsidRPr="004F26B7">
        <w:t>029</w:t>
      </w:r>
      <w:r w:rsidR="00E3016C" w:rsidRPr="004F26B7">
        <w:t xml:space="preserve">, </w:t>
      </w:r>
      <w:r w:rsidRPr="004F26B7">
        <w:t>58.6%)</w:t>
      </w:r>
      <w:r w:rsidR="00E07721" w:rsidRPr="004F26B7">
        <w:rPr>
          <w:rStyle w:val="FootnoteReference"/>
        </w:rPr>
        <w:footnoteReference w:id="11"/>
      </w:r>
      <w:r w:rsidRPr="004F26B7">
        <w:t xml:space="preserve"> WHMs reported spending time working in Australia</w:t>
      </w:r>
      <w:r w:rsidR="009C62AD">
        <w:t>.</w:t>
      </w:r>
      <w:r w:rsidR="008E37FB" w:rsidRPr="004F26B7">
        <w:rPr>
          <w:rStyle w:val="FootnoteReference"/>
        </w:rPr>
        <w:footnoteReference w:id="12"/>
      </w:r>
      <w:r w:rsidR="004A6561" w:rsidRPr="004F26B7">
        <w:t xml:space="preserve"> They worked an average of </w:t>
      </w:r>
      <w:r w:rsidR="00285AA0">
        <w:t>two</w:t>
      </w:r>
      <w:r w:rsidR="004A6561" w:rsidRPr="004F26B7">
        <w:t xml:space="preserve"> jobs</w:t>
      </w:r>
      <w:r w:rsidR="009F7E60" w:rsidRPr="004F26B7">
        <w:t xml:space="preserve"> each.</w:t>
      </w:r>
      <w:r w:rsidR="00FA7833" w:rsidRPr="004F26B7">
        <w:t xml:space="preserve"> Of those who worked, 4</w:t>
      </w:r>
      <w:r w:rsidR="007A6E05" w:rsidRPr="004F26B7">
        <w:t>5</w:t>
      </w:r>
      <w:r w:rsidR="00FA7833" w:rsidRPr="004F26B7">
        <w:t>.</w:t>
      </w:r>
      <w:r w:rsidR="007A6E05" w:rsidRPr="004F26B7">
        <w:t>3</w:t>
      </w:r>
      <w:r w:rsidR="00FA7833" w:rsidRPr="004F26B7">
        <w:t>%</w:t>
      </w:r>
      <w:r w:rsidR="00CC5E24" w:rsidRPr="004F26B7">
        <w:t xml:space="preserve"> worked in one job</w:t>
      </w:r>
      <w:r w:rsidR="00C43036" w:rsidRPr="004F26B7">
        <w:t xml:space="preserve">, </w:t>
      </w:r>
      <w:r w:rsidR="00FA7833" w:rsidRPr="004F26B7">
        <w:t>2</w:t>
      </w:r>
      <w:r w:rsidR="00E06CC8" w:rsidRPr="004F26B7">
        <w:t>8</w:t>
      </w:r>
      <w:r w:rsidR="00FA7833" w:rsidRPr="004F26B7">
        <w:t>.</w:t>
      </w:r>
      <w:r w:rsidR="00E06CC8" w:rsidRPr="004F26B7">
        <w:t>7</w:t>
      </w:r>
      <w:r w:rsidR="00FA7833" w:rsidRPr="004F26B7">
        <w:t xml:space="preserve">% </w:t>
      </w:r>
      <w:r w:rsidR="00C43036" w:rsidRPr="004F26B7">
        <w:t xml:space="preserve">in two jobs and </w:t>
      </w:r>
      <w:r w:rsidR="00FA7833" w:rsidRPr="004F26B7">
        <w:t>1</w:t>
      </w:r>
      <w:r w:rsidR="00E06CC8" w:rsidRPr="004F26B7">
        <w:t>5</w:t>
      </w:r>
      <w:r w:rsidR="00FA7833" w:rsidRPr="004F26B7">
        <w:t>.</w:t>
      </w:r>
      <w:r w:rsidR="00E06CC8" w:rsidRPr="004F26B7">
        <w:t>7</w:t>
      </w:r>
      <w:r w:rsidR="00C43036" w:rsidRPr="004F26B7">
        <w:t>% in three jobs</w:t>
      </w:r>
      <w:r w:rsidR="00856A4C" w:rsidRPr="004F26B7">
        <w:t xml:space="preserve"> (see </w:t>
      </w:r>
      <w:r w:rsidR="00856A4C" w:rsidRPr="004F26B7">
        <w:fldChar w:fldCharType="begin"/>
      </w:r>
      <w:r w:rsidR="00856A4C" w:rsidRPr="004F26B7">
        <w:instrText xml:space="preserve"> REF _Ref57379926 \h </w:instrText>
      </w:r>
      <w:r w:rsidR="00B219CB" w:rsidRPr="004F26B7">
        <w:instrText xml:space="preserve"> \* MERGEFORMAT </w:instrText>
      </w:r>
      <w:r w:rsidR="00856A4C" w:rsidRPr="004F26B7">
        <w:fldChar w:fldCharType="separate"/>
      </w:r>
      <w:r w:rsidR="00F22012">
        <w:t xml:space="preserve">Figure </w:t>
      </w:r>
      <w:r w:rsidR="00F22012">
        <w:rPr>
          <w:noProof/>
        </w:rPr>
        <w:t>5</w:t>
      </w:r>
      <w:r w:rsidR="00F22012">
        <w:rPr>
          <w:noProof/>
        </w:rPr>
        <w:noBreakHyphen/>
        <w:t>1</w:t>
      </w:r>
      <w:r w:rsidR="00856A4C" w:rsidRPr="004F26B7">
        <w:fldChar w:fldCharType="end"/>
      </w:r>
      <w:r w:rsidR="00856A4C" w:rsidRPr="004F26B7">
        <w:t>)</w:t>
      </w:r>
      <w:r w:rsidR="00C43036" w:rsidRPr="004F26B7">
        <w:t>.</w:t>
      </w:r>
      <w:r w:rsidR="004C5475" w:rsidRPr="004F26B7">
        <w:t xml:space="preserve"> </w:t>
      </w:r>
      <w:r w:rsidR="00FA7833" w:rsidRPr="004F26B7">
        <w:t>Very few (n=</w:t>
      </w:r>
      <w:r w:rsidR="004C5475" w:rsidRPr="004F26B7">
        <w:t>2</w:t>
      </w:r>
      <w:r w:rsidR="00E06CC8" w:rsidRPr="004F26B7">
        <w:t>2</w:t>
      </w:r>
      <w:r w:rsidR="00FA7833" w:rsidRPr="004F26B7">
        <w:t>)</w:t>
      </w:r>
      <w:r w:rsidR="004C5475" w:rsidRPr="004F26B7">
        <w:t xml:space="preserve"> WHMs</w:t>
      </w:r>
      <w:r w:rsidR="005D6694" w:rsidRPr="004F26B7">
        <w:t xml:space="preserve"> reported working in eight or more jobs.</w:t>
      </w:r>
      <w:r w:rsidR="00C43036">
        <w:t xml:space="preserve"> </w:t>
      </w:r>
    </w:p>
    <w:p w14:paraId="1100CD37" w14:textId="07858628" w:rsidR="004E0E99" w:rsidRDefault="004E0E99" w:rsidP="004E0E99">
      <w:pPr>
        <w:pStyle w:val="Caption"/>
      </w:pPr>
      <w:bookmarkStart w:id="58" w:name="_Ref57379926"/>
      <w:bookmarkStart w:id="59" w:name="_Toc75878520"/>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58"/>
      <w:r w:rsidR="00193904">
        <w:t xml:space="preserve">: </w:t>
      </w:r>
      <w:r w:rsidR="00DB4619">
        <w:t>Number of WHMs worked in Australia</w:t>
      </w:r>
      <w:r w:rsidR="00FD4103">
        <w:t xml:space="preserve"> by number of jobs</w:t>
      </w:r>
      <w:bookmarkEnd w:id="59"/>
    </w:p>
    <w:p w14:paraId="7000DE41" w14:textId="26FF3154" w:rsidR="004A7239" w:rsidRPr="00B87480" w:rsidRDefault="00B87480" w:rsidP="00193904">
      <w:pPr>
        <w:keepNext/>
        <w:keepLines/>
        <w:rPr>
          <w:b/>
          <w:bCs/>
        </w:rPr>
      </w:pPr>
      <w:r>
        <w:rPr>
          <w:noProof/>
          <w:lang w:eastAsia="en-AU"/>
        </w:rPr>
        <w:drawing>
          <wp:inline distT="0" distB="0" distL="0" distR="0" wp14:anchorId="27142E5F" wp14:editId="7AA08D44">
            <wp:extent cx="5760000" cy="2448000"/>
            <wp:effectExtent l="0" t="0" r="12700" b="9525"/>
            <wp:docPr id="34393988" name="Chart 34393988" descr="Figure 5-1 Chart showing the number of WHMs who worked in Australia by number of jobs.">
              <a:extLst xmlns:a="http://schemas.openxmlformats.org/drawingml/2006/main">
                <a:ext uri="{FF2B5EF4-FFF2-40B4-BE49-F238E27FC236}">
                  <a16:creationId xmlns:a16="http://schemas.microsoft.com/office/drawing/2014/main" id="{E61BAB8F-850A-4D0D-9FCE-E1360A05D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CD930B" w14:textId="2DDF9307" w:rsidR="00FA7833" w:rsidRDefault="00FA7833" w:rsidP="00026356">
      <w:pPr>
        <w:pStyle w:val="Tablenote"/>
      </w:pPr>
      <w:r>
        <w:t>Note,12,</w:t>
      </w:r>
      <w:r w:rsidR="00B87480">
        <w:t>029</w:t>
      </w:r>
      <w:r w:rsidRPr="00582224">
        <w:t xml:space="preserve"> respondents</w:t>
      </w:r>
      <w:r>
        <w:t xml:space="preserve"> reported working in one or more jobs during their stay.</w:t>
      </w:r>
    </w:p>
    <w:p w14:paraId="43E184BB" w14:textId="656A2C20" w:rsidR="00193904" w:rsidRDefault="00193904" w:rsidP="00026356">
      <w:pPr>
        <w:pStyle w:val="Tablenote"/>
      </w:pPr>
      <w:r w:rsidRPr="0029477C">
        <w:t xml:space="preserve">Source: </w:t>
      </w:r>
      <w:r w:rsidR="00533FC6">
        <w:t>WHM</w:t>
      </w:r>
      <w:r w:rsidRPr="0029477C">
        <w:t xml:space="preserve"> Survey, 2020.</w:t>
      </w:r>
    </w:p>
    <w:p w14:paraId="705CB814" w14:textId="18FCA947" w:rsidR="00D122A8" w:rsidRDefault="005A0D56" w:rsidP="00D122A8">
      <w:pPr>
        <w:rPr>
          <w:lang w:eastAsia="en-AU"/>
        </w:rPr>
      </w:pPr>
      <w:r>
        <w:rPr>
          <w:lang w:eastAsia="en-AU"/>
        </w:rPr>
        <w:t>T</w:t>
      </w:r>
      <w:r w:rsidR="00EC7FA6">
        <w:rPr>
          <w:lang w:eastAsia="en-AU"/>
        </w:rPr>
        <w:t>he majority</w:t>
      </w:r>
      <w:r w:rsidR="00DB6862">
        <w:rPr>
          <w:lang w:eastAsia="en-AU"/>
        </w:rPr>
        <w:t xml:space="preserve"> </w:t>
      </w:r>
      <w:r>
        <w:rPr>
          <w:lang w:eastAsia="en-AU"/>
        </w:rPr>
        <w:t xml:space="preserve">of jobs </w:t>
      </w:r>
      <w:r w:rsidR="00DB6862">
        <w:rPr>
          <w:lang w:eastAsia="en-AU"/>
        </w:rPr>
        <w:t>were undertaken in Queensland</w:t>
      </w:r>
      <w:r w:rsidR="00715D70">
        <w:rPr>
          <w:lang w:eastAsia="en-AU"/>
        </w:rPr>
        <w:t xml:space="preserve"> (</w:t>
      </w:r>
      <w:r w:rsidR="00EA1064">
        <w:rPr>
          <w:lang w:eastAsia="en-AU"/>
        </w:rPr>
        <w:t>26.8</w:t>
      </w:r>
      <w:r w:rsidR="00715D70">
        <w:rPr>
          <w:lang w:eastAsia="en-AU"/>
        </w:rPr>
        <w:t>%)</w:t>
      </w:r>
      <w:r w:rsidR="00E16E98">
        <w:rPr>
          <w:lang w:eastAsia="en-AU"/>
        </w:rPr>
        <w:t xml:space="preserve"> and</w:t>
      </w:r>
      <w:r w:rsidR="00DB6862">
        <w:rPr>
          <w:lang w:eastAsia="en-AU"/>
        </w:rPr>
        <w:t xml:space="preserve"> New South Wales</w:t>
      </w:r>
      <w:r w:rsidR="00715D70">
        <w:rPr>
          <w:lang w:eastAsia="en-AU"/>
        </w:rPr>
        <w:t xml:space="preserve"> (</w:t>
      </w:r>
      <w:r w:rsidR="00EA1064">
        <w:rPr>
          <w:lang w:eastAsia="en-AU"/>
        </w:rPr>
        <w:t>27.3</w:t>
      </w:r>
      <w:r w:rsidR="00E33E92">
        <w:rPr>
          <w:lang w:eastAsia="en-AU"/>
        </w:rPr>
        <w:t>%)</w:t>
      </w:r>
      <w:r w:rsidR="00E16E98">
        <w:rPr>
          <w:lang w:eastAsia="en-AU"/>
        </w:rPr>
        <w:t>, with fewer in Victoria</w:t>
      </w:r>
      <w:r w:rsidR="00E33E92">
        <w:rPr>
          <w:lang w:eastAsia="en-AU"/>
        </w:rPr>
        <w:t xml:space="preserve"> (2</w:t>
      </w:r>
      <w:r w:rsidR="00472BC6">
        <w:rPr>
          <w:lang w:eastAsia="en-AU"/>
        </w:rPr>
        <w:t>2.2</w:t>
      </w:r>
      <w:r w:rsidR="00E33E92">
        <w:rPr>
          <w:lang w:eastAsia="en-AU"/>
        </w:rPr>
        <w:t>%</w:t>
      </w:r>
      <w:r w:rsidR="00BD1440">
        <w:rPr>
          <w:lang w:eastAsia="en-AU"/>
        </w:rPr>
        <w:t xml:space="preserve">, see </w:t>
      </w:r>
      <w:r w:rsidR="00325620">
        <w:rPr>
          <w:lang w:eastAsia="en-AU"/>
        </w:rPr>
        <w:fldChar w:fldCharType="begin"/>
      </w:r>
      <w:r w:rsidR="00325620">
        <w:rPr>
          <w:lang w:eastAsia="en-AU"/>
        </w:rPr>
        <w:instrText xml:space="preserve"> REF _Ref72401895 \h </w:instrText>
      </w:r>
      <w:r w:rsidR="00325620">
        <w:rPr>
          <w:lang w:eastAsia="en-AU"/>
        </w:rPr>
      </w:r>
      <w:r w:rsidR="00325620">
        <w:rPr>
          <w:lang w:eastAsia="en-AU"/>
        </w:rPr>
        <w:fldChar w:fldCharType="separate"/>
      </w:r>
      <w:r w:rsidR="00F22012">
        <w:t xml:space="preserve">Figure </w:t>
      </w:r>
      <w:r w:rsidR="00F22012">
        <w:rPr>
          <w:noProof/>
        </w:rPr>
        <w:t>5</w:t>
      </w:r>
      <w:r w:rsidR="00F22012">
        <w:noBreakHyphen/>
      </w:r>
      <w:r w:rsidR="00F22012">
        <w:rPr>
          <w:noProof/>
        </w:rPr>
        <w:t>2</w:t>
      </w:r>
      <w:r w:rsidR="00325620">
        <w:rPr>
          <w:lang w:eastAsia="en-AU"/>
        </w:rPr>
        <w:fldChar w:fldCharType="end"/>
      </w:r>
      <w:r w:rsidR="00E33E92">
        <w:rPr>
          <w:lang w:eastAsia="en-AU"/>
        </w:rPr>
        <w:t>)</w:t>
      </w:r>
      <w:r w:rsidR="001B2983">
        <w:rPr>
          <w:lang w:eastAsia="en-AU"/>
        </w:rPr>
        <w:t xml:space="preserve">. </w:t>
      </w:r>
      <w:r w:rsidR="00054F47">
        <w:rPr>
          <w:lang w:eastAsia="en-AU"/>
        </w:rPr>
        <w:t>On</w:t>
      </w:r>
      <w:r w:rsidR="00CD21E2">
        <w:rPr>
          <w:lang w:eastAsia="en-AU"/>
        </w:rPr>
        <w:t>e-eighth were undertaken in Western Australia (1</w:t>
      </w:r>
      <w:r w:rsidR="005C02BA">
        <w:rPr>
          <w:lang w:eastAsia="en-AU"/>
        </w:rPr>
        <w:t>1.9</w:t>
      </w:r>
      <w:r w:rsidR="00CD21E2">
        <w:rPr>
          <w:lang w:eastAsia="en-AU"/>
        </w:rPr>
        <w:t xml:space="preserve">%), </w:t>
      </w:r>
      <w:r w:rsidR="0063236A">
        <w:rPr>
          <w:lang w:eastAsia="en-AU"/>
        </w:rPr>
        <w:t>4.</w:t>
      </w:r>
      <w:r w:rsidR="00BF1AFB">
        <w:rPr>
          <w:lang w:eastAsia="en-AU"/>
        </w:rPr>
        <w:t>0</w:t>
      </w:r>
      <w:r w:rsidR="0063236A">
        <w:rPr>
          <w:lang w:eastAsia="en-AU"/>
        </w:rPr>
        <w:t>% in South Australia, 3.9% in Tasmania, 3.</w:t>
      </w:r>
      <w:r w:rsidR="00AD7882">
        <w:rPr>
          <w:lang w:eastAsia="en-AU"/>
        </w:rPr>
        <w:t>1</w:t>
      </w:r>
      <w:r w:rsidR="0063236A">
        <w:rPr>
          <w:lang w:eastAsia="en-AU"/>
        </w:rPr>
        <w:t xml:space="preserve">% </w:t>
      </w:r>
      <w:r w:rsidR="003065A9">
        <w:rPr>
          <w:lang w:eastAsia="en-AU"/>
        </w:rPr>
        <w:t xml:space="preserve">in the </w:t>
      </w:r>
      <w:r w:rsidR="0063236A">
        <w:rPr>
          <w:lang w:eastAsia="en-AU"/>
        </w:rPr>
        <w:t xml:space="preserve">Northern Territory and </w:t>
      </w:r>
      <w:r w:rsidR="00DC7341">
        <w:rPr>
          <w:lang w:eastAsia="en-AU"/>
        </w:rPr>
        <w:t>0.</w:t>
      </w:r>
      <w:r w:rsidR="00B1014D">
        <w:rPr>
          <w:lang w:eastAsia="en-AU"/>
        </w:rPr>
        <w:t>8</w:t>
      </w:r>
      <w:r w:rsidR="00DC7341">
        <w:rPr>
          <w:lang w:eastAsia="en-AU"/>
        </w:rPr>
        <w:t>% in the Australian Capital Territory</w:t>
      </w:r>
      <w:r w:rsidR="002B4BB9">
        <w:rPr>
          <w:lang w:eastAsia="en-AU"/>
        </w:rPr>
        <w:t xml:space="preserve"> and other Territories</w:t>
      </w:r>
      <w:r w:rsidR="009C62AD">
        <w:rPr>
          <w:lang w:eastAsia="en-AU"/>
        </w:rPr>
        <w:t>.</w:t>
      </w:r>
      <w:r w:rsidR="004C20AF">
        <w:rPr>
          <w:rStyle w:val="FootnoteReference"/>
          <w:lang w:eastAsia="en-AU"/>
        </w:rPr>
        <w:footnoteReference w:id="13"/>
      </w:r>
    </w:p>
    <w:p w14:paraId="14D32E65" w14:textId="209583CA" w:rsidR="0090251C" w:rsidRDefault="0090251C" w:rsidP="0090251C">
      <w:pPr>
        <w:pStyle w:val="Caption"/>
      </w:pPr>
      <w:bookmarkStart w:id="60" w:name="_Ref72401895"/>
      <w:bookmarkStart w:id="61" w:name="_Toc75878521"/>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60"/>
      <w:r>
        <w:t>: Number of jobs by state</w:t>
      </w:r>
      <w:bookmarkEnd w:id="61"/>
    </w:p>
    <w:p w14:paraId="2B80F4BA" w14:textId="4E6517DA" w:rsidR="00D122A8" w:rsidRDefault="002F18A4" w:rsidP="00D122A8">
      <w:r>
        <w:rPr>
          <w:noProof/>
          <w:lang w:eastAsia="en-AU"/>
        </w:rPr>
        <w:drawing>
          <wp:inline distT="0" distB="0" distL="0" distR="0" wp14:anchorId="0DF630FD" wp14:editId="33440D44">
            <wp:extent cx="5731510" cy="3734435"/>
            <wp:effectExtent l="0" t="0" r="2540" b="18415"/>
            <wp:docPr id="42" name="Chart 42" descr="Figure 5-2 Chart showing the number of jobs by state.">
              <a:extLst xmlns:a="http://schemas.openxmlformats.org/drawingml/2006/main">
                <a:ext uri="{FF2B5EF4-FFF2-40B4-BE49-F238E27FC236}">
                  <a16:creationId xmlns:a16="http://schemas.microsoft.com/office/drawing/2014/main" id="{3ABB47A5-B98D-4826-A34B-85BAFA260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C857F7" w14:textId="1FFDE826" w:rsidR="004E5E92" w:rsidRDefault="004E5E92" w:rsidP="007A32F4">
      <w:pPr>
        <w:pStyle w:val="Tablenote"/>
      </w:pPr>
      <w:r>
        <w:t>Note,</w:t>
      </w:r>
      <w:r w:rsidR="00F3435D">
        <w:t xml:space="preserve">data </w:t>
      </w:r>
      <w:r w:rsidR="00A24A7D">
        <w:t xml:space="preserve">was available for </w:t>
      </w:r>
      <w:r w:rsidR="007A2292">
        <w:t>23,667</w:t>
      </w:r>
      <w:r w:rsidR="00E55A1F">
        <w:t xml:space="preserve"> jobs</w:t>
      </w:r>
      <w:r w:rsidR="00F42233">
        <w:t xml:space="preserve"> by location</w:t>
      </w:r>
      <w:r w:rsidR="00B0455C">
        <w:t>.</w:t>
      </w:r>
      <w:r>
        <w:t xml:space="preserve"> </w:t>
      </w:r>
    </w:p>
    <w:p w14:paraId="45196095" w14:textId="24242DE4" w:rsidR="00D122A8" w:rsidRPr="00D122A8" w:rsidRDefault="007A32F4" w:rsidP="007A32F4">
      <w:pPr>
        <w:pStyle w:val="Tablenote"/>
      </w:pPr>
      <w:r w:rsidRPr="0029477C">
        <w:t xml:space="preserve">Source: </w:t>
      </w:r>
      <w:r w:rsidR="00533FC6">
        <w:t>WHM</w:t>
      </w:r>
      <w:r w:rsidRPr="0029477C">
        <w:t xml:space="preserve"> Survey, 2020.</w:t>
      </w:r>
    </w:p>
    <w:p w14:paraId="6B0F07FD" w14:textId="4DF913A1" w:rsidR="00E16B19" w:rsidRDefault="00DE4467" w:rsidP="008A55F1">
      <w:pPr>
        <w:pStyle w:val="Heading3"/>
      </w:pPr>
      <w:bookmarkStart w:id="62" w:name="_Toc75878456"/>
      <w:r>
        <w:t>Jobs</w:t>
      </w:r>
      <w:r w:rsidR="00E16B19" w:rsidRPr="00D610D2">
        <w:t xml:space="preserve"> and industries of employment in Australia</w:t>
      </w:r>
      <w:bookmarkEnd w:id="62"/>
    </w:p>
    <w:p w14:paraId="23B23564" w14:textId="0CCDC8ED" w:rsidR="00442701" w:rsidRPr="00683DCB" w:rsidRDefault="00442701" w:rsidP="00442701">
      <w:r>
        <w:t>Si</w:t>
      </w:r>
      <w:r w:rsidR="006632D7">
        <w:t xml:space="preserve">xty-six </w:t>
      </w:r>
      <w:r w:rsidR="0072519D">
        <w:t>ANZSCO</w:t>
      </w:r>
      <w:r w:rsidR="00B3238D">
        <w:rPr>
          <w:rStyle w:val="FootnoteReference"/>
        </w:rPr>
        <w:footnoteReference w:id="14"/>
      </w:r>
      <w:r w:rsidR="00407C1A">
        <w:t xml:space="preserve"> </w:t>
      </w:r>
      <w:r w:rsidR="003D331A">
        <w:fldChar w:fldCharType="begin"/>
      </w:r>
      <w:r w:rsidR="00CC7B00">
        <w:instrText xml:space="preserve"> ADDIN EN.CITE &lt;EndNote&gt;&lt;Cite&gt;&lt;Author&gt;ABS&lt;/Author&gt;&lt;Year&gt;2019&lt;/Year&gt;&lt;RecNum&gt;29&lt;/RecNum&gt;&lt;DisplayText&gt;(ABS, 2019)&lt;/DisplayText&gt;&lt;record&gt;&lt;rec-number&gt;29&lt;/rec-number&gt;&lt;foreign-keys&gt;&lt;key app="EN" db-id="r5sv9zwer2dw2pexz935edzbrpsweevtw5ed" timestamp="1607302674"&gt;29&lt;/key&gt;&lt;/foreign-keys&gt;&lt;ref-type name="Dataset"&gt;59&lt;/ref-type&gt;&lt;contributors&gt;&lt;authors&gt;&lt;author&gt;ABS&lt;/author&gt;&lt;/authors&gt;&lt;secondary-authors&gt;&lt;author&gt;Australian Bureau of Statistics,&lt;/author&gt;&lt;/secondary-authors&gt;&lt;/contributors&gt;&lt;titles&gt;&lt;title&gt;ABS 1220.0 - ANZSCO - Australian and New Zealand Standard Classification of Occupations, Version 1.3&lt;/title&gt;&lt;/titles&gt;&lt;section&gt;05/11/2019&lt;/section&gt;&lt;dates&gt;&lt;year&gt;2019&lt;/year&gt;&lt;/dates&gt;&lt;urls&gt;&lt;related-urls&gt;&lt;url&gt;https://www.abs.gov.au/ANZSCO&lt;/url&gt;&lt;/related-urls&gt;&lt;/urls&gt;&lt;/record&gt;&lt;/Cite&gt;&lt;/EndNote&gt;</w:instrText>
      </w:r>
      <w:r w:rsidR="003D331A">
        <w:fldChar w:fldCharType="separate"/>
      </w:r>
      <w:r w:rsidR="00CC7B00">
        <w:rPr>
          <w:noProof/>
        </w:rPr>
        <w:t>(ABS, 2019)</w:t>
      </w:r>
      <w:r w:rsidR="003D331A">
        <w:fldChar w:fldCharType="end"/>
      </w:r>
      <w:r w:rsidR="003D331A">
        <w:t xml:space="preserve"> </w:t>
      </w:r>
      <w:r w:rsidR="006632D7">
        <w:t>occupations were identified by WHMs</w:t>
      </w:r>
      <w:r w:rsidR="009D55C7">
        <w:t xml:space="preserve"> working in Australian jobs</w:t>
      </w:r>
      <w:r w:rsidR="000C46A1">
        <w:t xml:space="preserve">. </w:t>
      </w:r>
      <w:r w:rsidR="0081511E">
        <w:fldChar w:fldCharType="begin"/>
      </w:r>
      <w:r w:rsidR="0081511E">
        <w:instrText xml:space="preserve"> REF _Ref72401822 \h </w:instrText>
      </w:r>
      <w:r w:rsidR="0081511E">
        <w:fldChar w:fldCharType="separate"/>
      </w:r>
      <w:r w:rsidR="00F22012">
        <w:t xml:space="preserve">Table </w:t>
      </w:r>
      <w:r w:rsidR="00F22012">
        <w:rPr>
          <w:noProof/>
        </w:rPr>
        <w:t>5</w:t>
      </w:r>
      <w:r w:rsidR="00F22012">
        <w:noBreakHyphen/>
      </w:r>
      <w:r w:rsidR="00F22012">
        <w:rPr>
          <w:noProof/>
        </w:rPr>
        <w:t>1</w:t>
      </w:r>
      <w:r w:rsidR="0081511E">
        <w:fldChar w:fldCharType="end"/>
      </w:r>
      <w:r w:rsidR="00A240A0">
        <w:t xml:space="preserve"> present</w:t>
      </w:r>
      <w:r w:rsidR="00917AFA">
        <w:t>s</w:t>
      </w:r>
      <w:r w:rsidR="00A240A0">
        <w:t xml:space="preserve"> the 34 occupations </w:t>
      </w:r>
      <w:r w:rsidR="00FE0C0F">
        <w:t>reported by more than 100 WHMs</w:t>
      </w:r>
      <w:r w:rsidR="00C41566">
        <w:t>.</w:t>
      </w:r>
      <w:r w:rsidR="006038D4">
        <w:t xml:space="preserve"> The most common occupation was</w:t>
      </w:r>
      <w:r w:rsidR="00683DCB">
        <w:t xml:space="preserve"> </w:t>
      </w:r>
      <w:r w:rsidR="00683DCB" w:rsidRPr="00683DCB">
        <w:rPr>
          <w:i/>
          <w:iCs/>
        </w:rPr>
        <w:t>Crop farm worker</w:t>
      </w:r>
      <w:r w:rsidR="00683DCB" w:rsidRPr="00683DCB">
        <w:t xml:space="preserve"> </w:t>
      </w:r>
      <w:r w:rsidR="00683DCB" w:rsidRPr="00683DCB">
        <w:rPr>
          <w:i/>
          <w:iCs/>
        </w:rPr>
        <w:t>(e.g. fruit, vegetable, nut picker, farm hand)</w:t>
      </w:r>
      <w:r w:rsidR="00683DCB">
        <w:t xml:space="preserve"> a job undertaken by more than one in five (21.8%)</w:t>
      </w:r>
      <w:r w:rsidR="00CC536D">
        <w:t xml:space="preserve"> WHMs</w:t>
      </w:r>
      <w:r w:rsidR="00AE36F6">
        <w:t xml:space="preserve">. </w:t>
      </w:r>
      <w:r w:rsidR="003A26E2" w:rsidRPr="00013FC7">
        <w:rPr>
          <w:i/>
          <w:iCs/>
        </w:rPr>
        <w:t>Waiter</w:t>
      </w:r>
      <w:r w:rsidR="003A26E2">
        <w:t xml:space="preserve"> (8.</w:t>
      </w:r>
      <w:r w:rsidR="003B1F7C">
        <w:t>5</w:t>
      </w:r>
      <w:r w:rsidR="003A26E2">
        <w:t>%) and then</w:t>
      </w:r>
      <w:r w:rsidR="006D30F0">
        <w:t xml:space="preserve"> </w:t>
      </w:r>
      <w:r w:rsidR="006D30F0" w:rsidRPr="00013FC7">
        <w:rPr>
          <w:i/>
          <w:iCs/>
        </w:rPr>
        <w:t>Bar attendant or barista</w:t>
      </w:r>
      <w:r w:rsidR="006D30F0">
        <w:t xml:space="preserve"> (6.</w:t>
      </w:r>
      <w:r w:rsidR="005C14E3">
        <w:t>3</w:t>
      </w:r>
      <w:r w:rsidR="006D30F0">
        <w:t>%) w</w:t>
      </w:r>
      <w:r w:rsidR="006C1690">
        <w:t xml:space="preserve">ere </w:t>
      </w:r>
      <w:r w:rsidR="005C5619">
        <w:t xml:space="preserve">the </w:t>
      </w:r>
      <w:r w:rsidR="006D30F0">
        <w:t>second and third</w:t>
      </w:r>
      <w:r w:rsidR="00635A65">
        <w:t xml:space="preserve"> most common jobs.</w:t>
      </w:r>
      <w:r w:rsidR="006D30F0">
        <w:t xml:space="preserve"> </w:t>
      </w:r>
      <w:r w:rsidR="00AE36F6" w:rsidRPr="00C0783C">
        <w:rPr>
          <w:i/>
          <w:iCs/>
        </w:rPr>
        <w:t>Other farm, forestry and garden workers</w:t>
      </w:r>
      <w:r w:rsidR="007E7D3A">
        <w:rPr>
          <w:i/>
          <w:iCs/>
        </w:rPr>
        <w:t xml:space="preserve"> (5.</w:t>
      </w:r>
      <w:r w:rsidR="005C14E3">
        <w:rPr>
          <w:i/>
          <w:iCs/>
        </w:rPr>
        <w:t>7</w:t>
      </w:r>
      <w:r w:rsidR="007E7D3A">
        <w:rPr>
          <w:i/>
          <w:iCs/>
        </w:rPr>
        <w:t>%)</w:t>
      </w:r>
      <w:r w:rsidR="00AE36F6">
        <w:t xml:space="preserve"> </w:t>
      </w:r>
      <w:r w:rsidR="00C0783C">
        <w:t>w</w:t>
      </w:r>
      <w:r w:rsidR="005C14E3">
        <w:t>as</w:t>
      </w:r>
      <w:r w:rsidR="00C0783C">
        <w:t xml:space="preserve"> the fourth most common occupation</w:t>
      </w:r>
      <w:r w:rsidR="0077279A">
        <w:t>,</w:t>
      </w:r>
      <w:r w:rsidR="00C0783C">
        <w:t xml:space="preserve"> </w:t>
      </w:r>
      <w:r w:rsidR="00391E43">
        <w:t>increas</w:t>
      </w:r>
      <w:r w:rsidR="00635A65">
        <w:t>ing</w:t>
      </w:r>
      <w:r w:rsidR="00391E43">
        <w:t xml:space="preserve"> </w:t>
      </w:r>
      <w:r w:rsidR="00BF323E">
        <w:t xml:space="preserve">general agricultural workers to </w:t>
      </w:r>
      <w:r w:rsidR="00635A65">
        <w:t xml:space="preserve">more than one quarter of </w:t>
      </w:r>
      <w:r w:rsidR="0095391E">
        <w:t xml:space="preserve">total </w:t>
      </w:r>
      <w:r w:rsidR="00635A65">
        <w:t>jobs</w:t>
      </w:r>
      <w:r w:rsidR="00E55BDD">
        <w:t xml:space="preserve"> (</w:t>
      </w:r>
      <w:r w:rsidR="00BF323E">
        <w:t>27.5%</w:t>
      </w:r>
      <w:r w:rsidR="00E55BDD">
        <w:t>)</w:t>
      </w:r>
      <w:r w:rsidR="00BF323E">
        <w:t>.</w:t>
      </w:r>
      <w:r w:rsidR="00C0783C">
        <w:t xml:space="preserve"> </w:t>
      </w:r>
      <w:r w:rsidR="0075214E">
        <w:t>These results</w:t>
      </w:r>
      <w:r w:rsidR="00BC768D">
        <w:t xml:space="preserve"> align closely with</w:t>
      </w:r>
      <w:r w:rsidR="0075214E">
        <w:t xml:space="preserve"> those</w:t>
      </w:r>
      <w:r w:rsidR="00BC768D">
        <w:t xml:space="preserve"> </w:t>
      </w:r>
      <w:r w:rsidR="0075214E">
        <w:t xml:space="preserve">reported </w:t>
      </w:r>
      <w:r w:rsidR="000F5F35">
        <w:t xml:space="preserve">by Tan et al. </w:t>
      </w:r>
      <w:r w:rsidR="0075214E">
        <w:fldChar w:fldCharType="begin"/>
      </w:r>
      <w:r w:rsidR="000F5F35">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rsidR="0075214E">
        <w:fldChar w:fldCharType="separate"/>
      </w:r>
      <w:r w:rsidR="000F5F35">
        <w:rPr>
          <w:noProof/>
        </w:rPr>
        <w:t>(2009)</w:t>
      </w:r>
      <w:r w:rsidR="0075214E">
        <w:fldChar w:fldCharType="end"/>
      </w:r>
      <w:r w:rsidR="000F5F35">
        <w:t>.</w:t>
      </w:r>
    </w:p>
    <w:p w14:paraId="11F11761" w14:textId="71DB78E6" w:rsidR="003072CA" w:rsidRDefault="003072CA" w:rsidP="003072CA">
      <w:pPr>
        <w:pStyle w:val="Caption"/>
      </w:pPr>
      <w:bookmarkStart w:id="63" w:name="_Ref72401822"/>
      <w:bookmarkStart w:id="64" w:name="_Toc75878595"/>
      <w:r>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1</w:t>
      </w:r>
      <w:r>
        <w:fldChar w:fldCharType="end"/>
      </w:r>
      <w:bookmarkEnd w:id="63"/>
      <w:r w:rsidR="00404556">
        <w:t xml:space="preserve">: </w:t>
      </w:r>
      <w:r w:rsidR="00DE4467">
        <w:t>Jobs</w:t>
      </w:r>
      <w:r w:rsidR="00404556">
        <w:t xml:space="preserve"> of WHMs in Australia</w:t>
      </w:r>
      <w:bookmarkEnd w:id="64"/>
    </w:p>
    <w:tbl>
      <w:tblPr>
        <w:tblStyle w:val="TableGrid"/>
        <w:tblW w:w="5000" w:type="pct"/>
        <w:tblLook w:val="04A0" w:firstRow="1" w:lastRow="0" w:firstColumn="1" w:lastColumn="0" w:noHBand="0" w:noVBand="1"/>
      </w:tblPr>
      <w:tblGrid>
        <w:gridCol w:w="7285"/>
        <w:gridCol w:w="813"/>
        <w:gridCol w:w="918"/>
      </w:tblGrid>
      <w:tr w:rsidR="00AA1408" w:rsidRPr="006C1690" w14:paraId="2BBD425D" w14:textId="77777777" w:rsidTr="00FA6DB7">
        <w:trPr>
          <w:cnfStyle w:val="100000000000" w:firstRow="1" w:lastRow="0" w:firstColumn="0" w:lastColumn="0" w:oddVBand="0" w:evenVBand="0" w:oddHBand="0" w:evenHBand="0" w:firstRowFirstColumn="0" w:firstRowLastColumn="0" w:lastRowFirstColumn="0" w:lastRowLastColumn="0"/>
          <w:trHeight w:val="225"/>
        </w:trPr>
        <w:tc>
          <w:tcPr>
            <w:tcW w:w="4040" w:type="pct"/>
            <w:noWrap/>
            <w:hideMark/>
          </w:tcPr>
          <w:p w14:paraId="629710EF" w14:textId="77777777" w:rsidR="00AA1408" w:rsidRPr="006C1690" w:rsidRDefault="00AA1408" w:rsidP="00195C70">
            <w:pPr>
              <w:keepNext/>
              <w:keepLines/>
              <w:spacing w:before="0"/>
              <w:rPr>
                <w:rFonts w:ascii="Calibri" w:eastAsia="Times New Roman" w:hAnsi="Calibri" w:cs="Calibri"/>
                <w:b/>
                <w:bCs/>
                <w:color w:val="FFFFFF"/>
                <w:sz w:val="18"/>
                <w:szCs w:val="18"/>
                <w:lang w:eastAsia="en-AU"/>
              </w:rPr>
            </w:pPr>
            <w:r w:rsidRPr="00E64E40">
              <w:rPr>
                <w:rFonts w:ascii="Calibri" w:eastAsia="Times New Roman" w:hAnsi="Calibri" w:cs="Calibri"/>
                <w:b/>
                <w:bCs/>
                <w:sz w:val="18"/>
                <w:szCs w:val="18"/>
                <w:lang w:eastAsia="en-AU"/>
              </w:rPr>
              <w:t>Occupation</w:t>
            </w:r>
          </w:p>
        </w:tc>
        <w:tc>
          <w:tcPr>
            <w:tcW w:w="451" w:type="pct"/>
            <w:noWrap/>
            <w:hideMark/>
          </w:tcPr>
          <w:p w14:paraId="58718DD8" w14:textId="77777777" w:rsidR="00AA1408" w:rsidRPr="006C1690" w:rsidRDefault="3091496E" w:rsidP="0078758F">
            <w:pPr>
              <w:keepNext/>
              <w:keepLines/>
              <w:spacing w:before="0"/>
              <w:ind w:left="-2386" w:firstLine="2386"/>
              <w:jc w:val="center"/>
              <w:rPr>
                <w:rFonts w:ascii="Calibri" w:eastAsia="Times New Roman" w:hAnsi="Calibri" w:cs="Calibri"/>
                <w:b/>
                <w:bCs/>
                <w:color w:val="FFFFFF"/>
                <w:sz w:val="18"/>
                <w:szCs w:val="18"/>
                <w:lang w:eastAsia="en-AU"/>
              </w:rPr>
            </w:pPr>
            <w:r w:rsidRPr="00E64E40">
              <w:rPr>
                <w:rFonts w:ascii="Calibri" w:eastAsia="Times New Roman" w:hAnsi="Calibri" w:cs="Calibri"/>
                <w:b/>
                <w:bCs/>
                <w:sz w:val="18"/>
                <w:szCs w:val="18"/>
                <w:lang w:eastAsia="en-AU"/>
              </w:rPr>
              <w:t>Total</w:t>
            </w:r>
          </w:p>
        </w:tc>
        <w:tc>
          <w:tcPr>
            <w:tcW w:w="509" w:type="pct"/>
            <w:noWrap/>
            <w:hideMark/>
          </w:tcPr>
          <w:p w14:paraId="175B7C53" w14:textId="77777777" w:rsidR="00AA1408" w:rsidRPr="006C1690" w:rsidRDefault="3091496E" w:rsidP="00ED073B">
            <w:pPr>
              <w:keepNext/>
              <w:keepLines/>
              <w:spacing w:before="0"/>
              <w:jc w:val="center"/>
              <w:rPr>
                <w:rFonts w:ascii="Calibri" w:eastAsia="Times New Roman" w:hAnsi="Calibri" w:cs="Calibri"/>
                <w:b/>
                <w:bCs/>
                <w:color w:val="FFFFFF"/>
                <w:sz w:val="18"/>
                <w:szCs w:val="18"/>
                <w:lang w:eastAsia="en-AU"/>
              </w:rPr>
            </w:pPr>
            <w:r w:rsidRPr="00E64E40">
              <w:rPr>
                <w:rFonts w:ascii="Calibri" w:eastAsia="Times New Roman" w:hAnsi="Calibri" w:cs="Calibri"/>
                <w:b/>
                <w:bCs/>
                <w:sz w:val="18"/>
                <w:szCs w:val="18"/>
                <w:lang w:eastAsia="en-AU"/>
              </w:rPr>
              <w:t>%</w:t>
            </w:r>
          </w:p>
        </w:tc>
      </w:tr>
      <w:tr w:rsidR="00AA1408" w:rsidRPr="006C1690" w14:paraId="49A44A63" w14:textId="77777777" w:rsidTr="00FA6DB7">
        <w:trPr>
          <w:trHeight w:val="225"/>
        </w:trPr>
        <w:tc>
          <w:tcPr>
            <w:tcW w:w="4040" w:type="pct"/>
            <w:noWrap/>
            <w:hideMark/>
          </w:tcPr>
          <w:p w14:paraId="16A7A4D5" w14:textId="77777777" w:rsidR="00AA1408" w:rsidRPr="006C1690" w:rsidRDefault="00AA1408" w:rsidP="00195C70">
            <w:pPr>
              <w:keepNext/>
              <w:keepLines/>
              <w:spacing w:before="0"/>
              <w:rPr>
                <w:rFonts w:ascii="Calibri" w:eastAsia="Times New Roman" w:hAnsi="Calibri" w:cs="Calibri"/>
                <w:b/>
                <w:bCs/>
                <w:color w:val="000000"/>
                <w:sz w:val="18"/>
                <w:szCs w:val="18"/>
                <w:lang w:eastAsia="en-AU"/>
              </w:rPr>
            </w:pPr>
            <w:r w:rsidRPr="006C1690">
              <w:rPr>
                <w:rFonts w:ascii="Calibri" w:eastAsia="Times New Roman" w:hAnsi="Calibri" w:cs="Calibri"/>
                <w:b/>
                <w:bCs/>
                <w:color w:val="000000"/>
                <w:sz w:val="18"/>
                <w:szCs w:val="18"/>
                <w:lang w:eastAsia="en-AU"/>
              </w:rPr>
              <w:t>Total</w:t>
            </w:r>
          </w:p>
        </w:tc>
        <w:tc>
          <w:tcPr>
            <w:tcW w:w="451" w:type="pct"/>
            <w:noWrap/>
            <w:hideMark/>
          </w:tcPr>
          <w:p w14:paraId="386B37F3" w14:textId="62822E50" w:rsidR="00AA1408" w:rsidRPr="006C1690" w:rsidRDefault="00AA1408" w:rsidP="00195C70">
            <w:pPr>
              <w:keepNext/>
              <w:keepLines/>
              <w:spacing w:before="0"/>
              <w:ind w:left="-2386" w:firstLine="2386"/>
              <w:jc w:val="right"/>
              <w:rPr>
                <w:rFonts w:ascii="Calibri" w:eastAsia="Times New Roman" w:hAnsi="Calibri" w:cs="Calibri"/>
                <w:b/>
                <w:bCs/>
                <w:sz w:val="18"/>
                <w:szCs w:val="18"/>
                <w:lang w:eastAsia="en-AU"/>
              </w:rPr>
            </w:pPr>
            <w:r w:rsidRPr="006C1690">
              <w:rPr>
                <w:rFonts w:ascii="Calibri" w:eastAsia="Times New Roman" w:hAnsi="Calibri" w:cs="Calibri"/>
                <w:b/>
                <w:bCs/>
                <w:sz w:val="18"/>
                <w:szCs w:val="18"/>
                <w:lang w:eastAsia="en-AU"/>
              </w:rPr>
              <w:t>23</w:t>
            </w:r>
            <w:r w:rsidR="004C36E2">
              <w:rPr>
                <w:rFonts w:ascii="Calibri" w:eastAsia="Times New Roman" w:hAnsi="Calibri" w:cs="Calibri"/>
                <w:b/>
                <w:bCs/>
                <w:sz w:val="18"/>
                <w:szCs w:val="18"/>
                <w:lang w:eastAsia="en-AU"/>
              </w:rPr>
              <w:t>,</w:t>
            </w:r>
            <w:r w:rsidRPr="006C1690">
              <w:rPr>
                <w:rFonts w:ascii="Calibri" w:eastAsia="Times New Roman" w:hAnsi="Calibri" w:cs="Calibri"/>
                <w:b/>
                <w:bCs/>
                <w:sz w:val="18"/>
                <w:szCs w:val="18"/>
                <w:lang w:eastAsia="en-AU"/>
              </w:rPr>
              <w:t>395</w:t>
            </w:r>
          </w:p>
        </w:tc>
        <w:tc>
          <w:tcPr>
            <w:tcW w:w="509" w:type="pct"/>
            <w:noWrap/>
            <w:hideMark/>
          </w:tcPr>
          <w:p w14:paraId="044E4471" w14:textId="77777777" w:rsidR="00AA1408" w:rsidRPr="006C1690" w:rsidRDefault="00AA1408" w:rsidP="00195C70">
            <w:pPr>
              <w:keepNext/>
              <w:keepLines/>
              <w:spacing w:before="0"/>
              <w:jc w:val="right"/>
              <w:rPr>
                <w:rFonts w:ascii="Calibri" w:eastAsia="Times New Roman" w:hAnsi="Calibri" w:cs="Calibri"/>
                <w:b/>
                <w:bCs/>
                <w:color w:val="000000"/>
                <w:sz w:val="18"/>
                <w:szCs w:val="18"/>
                <w:lang w:eastAsia="en-AU"/>
              </w:rPr>
            </w:pPr>
            <w:r w:rsidRPr="006C1690">
              <w:rPr>
                <w:rFonts w:ascii="Calibri" w:eastAsia="Times New Roman" w:hAnsi="Calibri" w:cs="Calibri"/>
                <w:b/>
                <w:bCs/>
                <w:color w:val="000000"/>
                <w:sz w:val="18"/>
                <w:szCs w:val="18"/>
                <w:lang w:eastAsia="en-AU"/>
              </w:rPr>
              <w:t>100.0%</w:t>
            </w:r>
          </w:p>
        </w:tc>
      </w:tr>
      <w:tr w:rsidR="00AA1408" w:rsidRPr="006C1690" w14:paraId="68E6FA22" w14:textId="77777777" w:rsidTr="00FA6DB7">
        <w:trPr>
          <w:trHeight w:val="225"/>
        </w:trPr>
        <w:tc>
          <w:tcPr>
            <w:tcW w:w="4040" w:type="pct"/>
            <w:noWrap/>
            <w:hideMark/>
          </w:tcPr>
          <w:p w14:paraId="3EC69FAA"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Crop farm worker (e.g. fruit, vegetable, nut picker, farm hand)</w:t>
            </w:r>
          </w:p>
        </w:tc>
        <w:tc>
          <w:tcPr>
            <w:tcW w:w="451" w:type="pct"/>
            <w:noWrap/>
            <w:hideMark/>
          </w:tcPr>
          <w:p w14:paraId="64E82595" w14:textId="3737AAA6"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091</w:t>
            </w:r>
          </w:p>
        </w:tc>
        <w:tc>
          <w:tcPr>
            <w:tcW w:w="509" w:type="pct"/>
            <w:noWrap/>
            <w:hideMark/>
          </w:tcPr>
          <w:p w14:paraId="38F6A364"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21.8%</w:t>
            </w:r>
          </w:p>
        </w:tc>
      </w:tr>
      <w:tr w:rsidR="00AA1408" w:rsidRPr="006C1690" w14:paraId="6A8CB9BB" w14:textId="77777777" w:rsidTr="00FA6DB7">
        <w:trPr>
          <w:trHeight w:val="225"/>
        </w:trPr>
        <w:tc>
          <w:tcPr>
            <w:tcW w:w="4040" w:type="pct"/>
            <w:noWrap/>
            <w:hideMark/>
          </w:tcPr>
          <w:p w14:paraId="0016DD25"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Waiter</w:t>
            </w:r>
          </w:p>
        </w:tc>
        <w:tc>
          <w:tcPr>
            <w:tcW w:w="451" w:type="pct"/>
            <w:noWrap/>
            <w:hideMark/>
          </w:tcPr>
          <w:p w14:paraId="082E9269" w14:textId="6D9A783F"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995</w:t>
            </w:r>
          </w:p>
        </w:tc>
        <w:tc>
          <w:tcPr>
            <w:tcW w:w="509" w:type="pct"/>
            <w:noWrap/>
            <w:hideMark/>
          </w:tcPr>
          <w:p w14:paraId="7DB381EF"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8.5%</w:t>
            </w:r>
          </w:p>
        </w:tc>
      </w:tr>
      <w:tr w:rsidR="00AA1408" w:rsidRPr="006C1690" w14:paraId="5504332C" w14:textId="77777777" w:rsidTr="00FA6DB7">
        <w:trPr>
          <w:trHeight w:val="225"/>
        </w:trPr>
        <w:tc>
          <w:tcPr>
            <w:tcW w:w="4040" w:type="pct"/>
            <w:noWrap/>
            <w:hideMark/>
          </w:tcPr>
          <w:p w14:paraId="33BE3824"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Bar attendant or barista</w:t>
            </w:r>
          </w:p>
        </w:tc>
        <w:tc>
          <w:tcPr>
            <w:tcW w:w="451" w:type="pct"/>
            <w:noWrap/>
            <w:hideMark/>
          </w:tcPr>
          <w:p w14:paraId="237C8490" w14:textId="5A03EFD6"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481</w:t>
            </w:r>
          </w:p>
        </w:tc>
        <w:tc>
          <w:tcPr>
            <w:tcW w:w="509" w:type="pct"/>
            <w:noWrap/>
            <w:hideMark/>
          </w:tcPr>
          <w:p w14:paraId="7AF646B9"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6.3%</w:t>
            </w:r>
          </w:p>
        </w:tc>
      </w:tr>
      <w:tr w:rsidR="00AA1408" w:rsidRPr="006C1690" w14:paraId="3ED7CF5A" w14:textId="77777777" w:rsidTr="00FA6DB7">
        <w:trPr>
          <w:trHeight w:val="225"/>
        </w:trPr>
        <w:tc>
          <w:tcPr>
            <w:tcW w:w="4040" w:type="pct"/>
            <w:noWrap/>
            <w:hideMark/>
          </w:tcPr>
          <w:p w14:paraId="1D2C0484"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farm, forestry and garden workers</w:t>
            </w:r>
          </w:p>
        </w:tc>
        <w:tc>
          <w:tcPr>
            <w:tcW w:w="451" w:type="pct"/>
            <w:noWrap/>
            <w:hideMark/>
          </w:tcPr>
          <w:p w14:paraId="3CB5F426" w14:textId="6414D4C2"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332</w:t>
            </w:r>
          </w:p>
        </w:tc>
        <w:tc>
          <w:tcPr>
            <w:tcW w:w="509" w:type="pct"/>
            <w:noWrap/>
            <w:hideMark/>
          </w:tcPr>
          <w:p w14:paraId="2B64387D"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5.7%</w:t>
            </w:r>
          </w:p>
        </w:tc>
      </w:tr>
      <w:tr w:rsidR="00AA1408" w:rsidRPr="006C1690" w14:paraId="4267D389" w14:textId="77777777" w:rsidTr="00FA6DB7">
        <w:trPr>
          <w:trHeight w:val="225"/>
        </w:trPr>
        <w:tc>
          <w:tcPr>
            <w:tcW w:w="4040" w:type="pct"/>
            <w:noWrap/>
            <w:hideMark/>
          </w:tcPr>
          <w:p w14:paraId="783A9585"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hospitality, tourism &amp; sport</w:t>
            </w:r>
          </w:p>
        </w:tc>
        <w:tc>
          <w:tcPr>
            <w:tcW w:w="451" w:type="pct"/>
            <w:noWrap/>
            <w:hideMark/>
          </w:tcPr>
          <w:p w14:paraId="7A8709BF" w14:textId="0E330586"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214</w:t>
            </w:r>
          </w:p>
        </w:tc>
        <w:tc>
          <w:tcPr>
            <w:tcW w:w="509" w:type="pct"/>
            <w:noWrap/>
            <w:hideMark/>
          </w:tcPr>
          <w:p w14:paraId="298DDD19"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5.2%</w:t>
            </w:r>
          </w:p>
        </w:tc>
      </w:tr>
      <w:tr w:rsidR="00AA1408" w:rsidRPr="006C1690" w14:paraId="7DE82D85" w14:textId="77777777" w:rsidTr="00FA6DB7">
        <w:trPr>
          <w:trHeight w:val="225"/>
        </w:trPr>
        <w:tc>
          <w:tcPr>
            <w:tcW w:w="4040" w:type="pct"/>
            <w:noWrap/>
            <w:hideMark/>
          </w:tcPr>
          <w:p w14:paraId="242B053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Hand packer</w:t>
            </w:r>
          </w:p>
        </w:tc>
        <w:tc>
          <w:tcPr>
            <w:tcW w:w="451" w:type="pct"/>
            <w:noWrap/>
            <w:hideMark/>
          </w:tcPr>
          <w:p w14:paraId="2174C02A" w14:textId="5667A07F"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6C1690">
              <w:rPr>
                <w:rFonts w:ascii="Calibri" w:eastAsia="Times New Roman" w:hAnsi="Calibri" w:cs="Calibri"/>
                <w:color w:val="000000"/>
                <w:sz w:val="18"/>
                <w:szCs w:val="18"/>
                <w:lang w:eastAsia="en-AU"/>
              </w:rPr>
              <w:t>080</w:t>
            </w:r>
          </w:p>
        </w:tc>
        <w:tc>
          <w:tcPr>
            <w:tcW w:w="509" w:type="pct"/>
            <w:noWrap/>
            <w:hideMark/>
          </w:tcPr>
          <w:p w14:paraId="16FCDE48"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4.6%</w:t>
            </w:r>
          </w:p>
        </w:tc>
      </w:tr>
      <w:tr w:rsidR="00AA1408" w:rsidRPr="006C1690" w14:paraId="0DEB7473" w14:textId="77777777" w:rsidTr="00FA6DB7">
        <w:trPr>
          <w:trHeight w:val="225"/>
        </w:trPr>
        <w:tc>
          <w:tcPr>
            <w:tcW w:w="4040" w:type="pct"/>
            <w:noWrap/>
            <w:hideMark/>
          </w:tcPr>
          <w:p w14:paraId="4F273E74" w14:textId="0A6EDA44"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Nanny or au pair</w:t>
            </w:r>
          </w:p>
        </w:tc>
        <w:tc>
          <w:tcPr>
            <w:tcW w:w="451" w:type="pct"/>
            <w:noWrap/>
            <w:hideMark/>
          </w:tcPr>
          <w:p w14:paraId="2F93BACA"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938</w:t>
            </w:r>
          </w:p>
        </w:tc>
        <w:tc>
          <w:tcPr>
            <w:tcW w:w="509" w:type="pct"/>
            <w:noWrap/>
            <w:hideMark/>
          </w:tcPr>
          <w:p w14:paraId="51719845"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4.0%</w:t>
            </w:r>
          </w:p>
        </w:tc>
      </w:tr>
      <w:tr w:rsidR="00AA1408" w:rsidRPr="006C1690" w14:paraId="027BDAEF" w14:textId="77777777" w:rsidTr="00FA6DB7">
        <w:trPr>
          <w:trHeight w:val="225"/>
        </w:trPr>
        <w:tc>
          <w:tcPr>
            <w:tcW w:w="4040" w:type="pct"/>
            <w:noWrap/>
            <w:hideMark/>
          </w:tcPr>
          <w:p w14:paraId="1CDF0A0A"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Meat, chicken and fish process worker</w:t>
            </w:r>
          </w:p>
        </w:tc>
        <w:tc>
          <w:tcPr>
            <w:tcW w:w="451" w:type="pct"/>
            <w:noWrap/>
            <w:hideMark/>
          </w:tcPr>
          <w:p w14:paraId="3390E631"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804</w:t>
            </w:r>
          </w:p>
        </w:tc>
        <w:tc>
          <w:tcPr>
            <w:tcW w:w="509" w:type="pct"/>
            <w:noWrap/>
            <w:hideMark/>
          </w:tcPr>
          <w:p w14:paraId="58DBC75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3.4%</w:t>
            </w:r>
          </w:p>
        </w:tc>
      </w:tr>
      <w:tr w:rsidR="00AA1408" w:rsidRPr="006C1690" w14:paraId="0B98337F" w14:textId="77777777" w:rsidTr="00FA6DB7">
        <w:trPr>
          <w:trHeight w:val="225"/>
        </w:trPr>
        <w:tc>
          <w:tcPr>
            <w:tcW w:w="4040" w:type="pct"/>
            <w:noWrap/>
            <w:hideMark/>
          </w:tcPr>
          <w:p w14:paraId="648AB360"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Building labourer</w:t>
            </w:r>
          </w:p>
        </w:tc>
        <w:tc>
          <w:tcPr>
            <w:tcW w:w="451" w:type="pct"/>
            <w:noWrap/>
            <w:hideMark/>
          </w:tcPr>
          <w:p w14:paraId="38105EB1"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725</w:t>
            </w:r>
          </w:p>
        </w:tc>
        <w:tc>
          <w:tcPr>
            <w:tcW w:w="509" w:type="pct"/>
            <w:noWrap/>
            <w:hideMark/>
          </w:tcPr>
          <w:p w14:paraId="670D7D99"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3.1%</w:t>
            </w:r>
          </w:p>
        </w:tc>
      </w:tr>
      <w:tr w:rsidR="00AA1408" w:rsidRPr="006C1690" w14:paraId="4651C900" w14:textId="77777777" w:rsidTr="00FA6DB7">
        <w:trPr>
          <w:trHeight w:val="225"/>
        </w:trPr>
        <w:tc>
          <w:tcPr>
            <w:tcW w:w="4040" w:type="pct"/>
            <w:noWrap/>
            <w:hideMark/>
          </w:tcPr>
          <w:p w14:paraId="68FC4B9A"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Kitchen hand</w:t>
            </w:r>
          </w:p>
        </w:tc>
        <w:tc>
          <w:tcPr>
            <w:tcW w:w="451" w:type="pct"/>
            <w:noWrap/>
            <w:hideMark/>
          </w:tcPr>
          <w:p w14:paraId="31ED4330"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577</w:t>
            </w:r>
          </w:p>
        </w:tc>
        <w:tc>
          <w:tcPr>
            <w:tcW w:w="509" w:type="pct"/>
            <w:noWrap/>
            <w:hideMark/>
          </w:tcPr>
          <w:p w14:paraId="76376605"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2.5%</w:t>
            </w:r>
          </w:p>
        </w:tc>
      </w:tr>
      <w:tr w:rsidR="00AA1408" w:rsidRPr="006C1690" w14:paraId="7209260E" w14:textId="77777777" w:rsidTr="00FA6DB7">
        <w:trPr>
          <w:trHeight w:val="225"/>
        </w:trPr>
        <w:tc>
          <w:tcPr>
            <w:tcW w:w="4040" w:type="pct"/>
            <w:noWrap/>
            <w:hideMark/>
          </w:tcPr>
          <w:p w14:paraId="4A98D027"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professional</w:t>
            </w:r>
          </w:p>
        </w:tc>
        <w:tc>
          <w:tcPr>
            <w:tcW w:w="451" w:type="pct"/>
            <w:noWrap/>
            <w:hideMark/>
          </w:tcPr>
          <w:p w14:paraId="63764920"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547</w:t>
            </w:r>
          </w:p>
        </w:tc>
        <w:tc>
          <w:tcPr>
            <w:tcW w:w="509" w:type="pct"/>
            <w:noWrap/>
            <w:hideMark/>
          </w:tcPr>
          <w:p w14:paraId="4BE02C1D"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2.3%</w:t>
            </w:r>
          </w:p>
        </w:tc>
      </w:tr>
      <w:tr w:rsidR="00AA1408" w:rsidRPr="006C1690" w14:paraId="7604D301" w14:textId="77777777" w:rsidTr="00FA6DB7">
        <w:trPr>
          <w:trHeight w:val="225"/>
        </w:trPr>
        <w:tc>
          <w:tcPr>
            <w:tcW w:w="4040" w:type="pct"/>
            <w:noWrap/>
            <w:hideMark/>
          </w:tcPr>
          <w:p w14:paraId="6405D8E6"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Accommodation &amp; hospitality manager (café, restaurant, hotel motel, camping)</w:t>
            </w:r>
          </w:p>
        </w:tc>
        <w:tc>
          <w:tcPr>
            <w:tcW w:w="451" w:type="pct"/>
            <w:noWrap/>
            <w:hideMark/>
          </w:tcPr>
          <w:p w14:paraId="4F5EEC76"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521</w:t>
            </w:r>
          </w:p>
        </w:tc>
        <w:tc>
          <w:tcPr>
            <w:tcW w:w="509" w:type="pct"/>
            <w:noWrap/>
            <w:hideMark/>
          </w:tcPr>
          <w:p w14:paraId="07A23CD8"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2.2%</w:t>
            </w:r>
          </w:p>
        </w:tc>
      </w:tr>
      <w:tr w:rsidR="00AA1408" w:rsidRPr="006C1690" w14:paraId="0F1F0B66" w14:textId="77777777" w:rsidTr="00FA6DB7">
        <w:trPr>
          <w:trHeight w:val="225"/>
        </w:trPr>
        <w:tc>
          <w:tcPr>
            <w:tcW w:w="4040" w:type="pct"/>
            <w:noWrap/>
            <w:hideMark/>
          </w:tcPr>
          <w:p w14:paraId="321FB178"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Chef</w:t>
            </w:r>
          </w:p>
        </w:tc>
        <w:tc>
          <w:tcPr>
            <w:tcW w:w="451" w:type="pct"/>
            <w:noWrap/>
            <w:hideMark/>
          </w:tcPr>
          <w:p w14:paraId="04E815D9"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472</w:t>
            </w:r>
          </w:p>
        </w:tc>
        <w:tc>
          <w:tcPr>
            <w:tcW w:w="509" w:type="pct"/>
            <w:noWrap/>
            <w:hideMark/>
          </w:tcPr>
          <w:p w14:paraId="569AE3B9"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2.0%</w:t>
            </w:r>
          </w:p>
        </w:tc>
      </w:tr>
      <w:tr w:rsidR="00AA1408" w:rsidRPr="006C1690" w14:paraId="54857B23" w14:textId="77777777" w:rsidTr="00FA6DB7">
        <w:trPr>
          <w:trHeight w:val="225"/>
        </w:trPr>
        <w:tc>
          <w:tcPr>
            <w:tcW w:w="4040" w:type="pct"/>
            <w:noWrap/>
            <w:hideMark/>
          </w:tcPr>
          <w:p w14:paraId="3504FDB4"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sales and marketing</w:t>
            </w:r>
          </w:p>
        </w:tc>
        <w:tc>
          <w:tcPr>
            <w:tcW w:w="451" w:type="pct"/>
            <w:noWrap/>
            <w:hideMark/>
          </w:tcPr>
          <w:p w14:paraId="1B85BE55"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453</w:t>
            </w:r>
          </w:p>
        </w:tc>
        <w:tc>
          <w:tcPr>
            <w:tcW w:w="509" w:type="pct"/>
            <w:noWrap/>
            <w:hideMark/>
          </w:tcPr>
          <w:p w14:paraId="74E3717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1.9%</w:t>
            </w:r>
          </w:p>
        </w:tc>
      </w:tr>
      <w:tr w:rsidR="00AA1408" w:rsidRPr="006C1690" w14:paraId="4D0AAE89" w14:textId="77777777" w:rsidTr="00FA6DB7">
        <w:trPr>
          <w:trHeight w:val="225"/>
        </w:trPr>
        <w:tc>
          <w:tcPr>
            <w:tcW w:w="4040" w:type="pct"/>
            <w:noWrap/>
            <w:hideMark/>
          </w:tcPr>
          <w:p w14:paraId="1FD1C682"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agriculture &amp; transport</w:t>
            </w:r>
          </w:p>
        </w:tc>
        <w:tc>
          <w:tcPr>
            <w:tcW w:w="451" w:type="pct"/>
            <w:noWrap/>
            <w:hideMark/>
          </w:tcPr>
          <w:p w14:paraId="4DB92611"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447</w:t>
            </w:r>
          </w:p>
        </w:tc>
        <w:tc>
          <w:tcPr>
            <w:tcW w:w="509" w:type="pct"/>
            <w:noWrap/>
            <w:hideMark/>
          </w:tcPr>
          <w:p w14:paraId="52F646E5"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1.9%</w:t>
            </w:r>
          </w:p>
        </w:tc>
      </w:tr>
      <w:tr w:rsidR="00AA1408" w:rsidRPr="006C1690" w14:paraId="1CDEE922" w14:textId="77777777" w:rsidTr="00FA6DB7">
        <w:trPr>
          <w:trHeight w:val="225"/>
        </w:trPr>
        <w:tc>
          <w:tcPr>
            <w:tcW w:w="4040" w:type="pct"/>
            <w:noWrap/>
            <w:hideMark/>
          </w:tcPr>
          <w:p w14:paraId="2DD69477"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Sales assistant</w:t>
            </w:r>
          </w:p>
        </w:tc>
        <w:tc>
          <w:tcPr>
            <w:tcW w:w="451" w:type="pct"/>
            <w:noWrap/>
            <w:hideMark/>
          </w:tcPr>
          <w:p w14:paraId="1C0A52C7"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420</w:t>
            </w:r>
          </w:p>
        </w:tc>
        <w:tc>
          <w:tcPr>
            <w:tcW w:w="509" w:type="pct"/>
            <w:noWrap/>
            <w:hideMark/>
          </w:tcPr>
          <w:p w14:paraId="531662F3"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1.8%</w:t>
            </w:r>
          </w:p>
        </w:tc>
      </w:tr>
      <w:tr w:rsidR="00AA1408" w:rsidRPr="006C1690" w14:paraId="4EC1626F" w14:textId="77777777" w:rsidTr="00FA6DB7">
        <w:trPr>
          <w:trHeight w:val="225"/>
        </w:trPr>
        <w:tc>
          <w:tcPr>
            <w:tcW w:w="4040" w:type="pct"/>
            <w:noWrap/>
            <w:hideMark/>
          </w:tcPr>
          <w:p w14:paraId="2EA28390"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Construction and mining labourers</w:t>
            </w:r>
          </w:p>
        </w:tc>
        <w:tc>
          <w:tcPr>
            <w:tcW w:w="451" w:type="pct"/>
            <w:noWrap/>
            <w:hideMark/>
          </w:tcPr>
          <w:p w14:paraId="2B9DE65C"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413</w:t>
            </w:r>
          </w:p>
        </w:tc>
        <w:tc>
          <w:tcPr>
            <w:tcW w:w="509" w:type="pct"/>
            <w:noWrap/>
            <w:hideMark/>
          </w:tcPr>
          <w:p w14:paraId="639B0FFE"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1.8%</w:t>
            </w:r>
          </w:p>
        </w:tc>
      </w:tr>
      <w:tr w:rsidR="00AA1408" w:rsidRPr="006C1690" w14:paraId="7963B992" w14:textId="77777777" w:rsidTr="00FA6DB7">
        <w:trPr>
          <w:trHeight w:val="225"/>
        </w:trPr>
        <w:tc>
          <w:tcPr>
            <w:tcW w:w="4040" w:type="pct"/>
            <w:noWrap/>
            <w:hideMark/>
          </w:tcPr>
          <w:p w14:paraId="6BEA0A06"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admin &amp; office</w:t>
            </w:r>
          </w:p>
        </w:tc>
        <w:tc>
          <w:tcPr>
            <w:tcW w:w="451" w:type="pct"/>
            <w:noWrap/>
            <w:hideMark/>
          </w:tcPr>
          <w:p w14:paraId="0C8F6FE2"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382</w:t>
            </w:r>
          </w:p>
        </w:tc>
        <w:tc>
          <w:tcPr>
            <w:tcW w:w="509" w:type="pct"/>
            <w:noWrap/>
            <w:hideMark/>
          </w:tcPr>
          <w:p w14:paraId="75C3F38F"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1.6%</w:t>
            </w:r>
          </w:p>
        </w:tc>
      </w:tr>
      <w:tr w:rsidR="00AA1408" w:rsidRPr="006C1690" w14:paraId="34EEA89C" w14:textId="77777777" w:rsidTr="00FA6DB7">
        <w:trPr>
          <w:trHeight w:val="225"/>
        </w:trPr>
        <w:tc>
          <w:tcPr>
            <w:tcW w:w="4040" w:type="pct"/>
            <w:noWrap/>
            <w:hideMark/>
          </w:tcPr>
          <w:p w14:paraId="01D3035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Cleaner - commercial</w:t>
            </w:r>
          </w:p>
        </w:tc>
        <w:tc>
          <w:tcPr>
            <w:tcW w:w="451" w:type="pct"/>
            <w:noWrap/>
            <w:hideMark/>
          </w:tcPr>
          <w:p w14:paraId="1734BADD"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328</w:t>
            </w:r>
          </w:p>
        </w:tc>
        <w:tc>
          <w:tcPr>
            <w:tcW w:w="509" w:type="pct"/>
            <w:noWrap/>
            <w:hideMark/>
          </w:tcPr>
          <w:p w14:paraId="5CF16CFA"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w:t>
            </w:r>
          </w:p>
        </w:tc>
      </w:tr>
      <w:tr w:rsidR="00AA1408" w:rsidRPr="006C1690" w14:paraId="3BA6F062" w14:textId="77777777" w:rsidTr="00FA6DB7">
        <w:trPr>
          <w:trHeight w:val="225"/>
        </w:trPr>
        <w:tc>
          <w:tcPr>
            <w:tcW w:w="4040" w:type="pct"/>
            <w:noWrap/>
            <w:hideMark/>
          </w:tcPr>
          <w:p w14:paraId="42C730D4"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Cleaner - home, domestic</w:t>
            </w:r>
          </w:p>
        </w:tc>
        <w:tc>
          <w:tcPr>
            <w:tcW w:w="451" w:type="pct"/>
            <w:noWrap/>
            <w:hideMark/>
          </w:tcPr>
          <w:p w14:paraId="6EA90BC8"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294</w:t>
            </w:r>
          </w:p>
        </w:tc>
        <w:tc>
          <w:tcPr>
            <w:tcW w:w="509" w:type="pct"/>
            <w:noWrap/>
            <w:hideMark/>
          </w:tcPr>
          <w:p w14:paraId="6635DE88"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1.3%</w:t>
            </w:r>
          </w:p>
        </w:tc>
      </w:tr>
      <w:tr w:rsidR="00AA1408" w:rsidRPr="006C1690" w14:paraId="627C7CAB" w14:textId="77777777" w:rsidTr="00FA6DB7">
        <w:trPr>
          <w:trHeight w:val="225"/>
        </w:trPr>
        <w:tc>
          <w:tcPr>
            <w:tcW w:w="4040" w:type="pct"/>
            <w:noWrap/>
            <w:hideMark/>
          </w:tcPr>
          <w:p w14:paraId="0E60A570"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Plant and machinery operator</w:t>
            </w:r>
          </w:p>
        </w:tc>
        <w:tc>
          <w:tcPr>
            <w:tcW w:w="451" w:type="pct"/>
            <w:noWrap/>
            <w:hideMark/>
          </w:tcPr>
          <w:p w14:paraId="2CB77841"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274</w:t>
            </w:r>
          </w:p>
        </w:tc>
        <w:tc>
          <w:tcPr>
            <w:tcW w:w="509" w:type="pct"/>
            <w:noWrap/>
            <w:hideMark/>
          </w:tcPr>
          <w:p w14:paraId="158D22C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1.2%</w:t>
            </w:r>
          </w:p>
        </w:tc>
      </w:tr>
      <w:tr w:rsidR="00AA1408" w:rsidRPr="006C1690" w14:paraId="693FE85B" w14:textId="77777777" w:rsidTr="00FA6DB7">
        <w:trPr>
          <w:trHeight w:val="225"/>
        </w:trPr>
        <w:tc>
          <w:tcPr>
            <w:tcW w:w="4040" w:type="pct"/>
            <w:noWrap/>
            <w:hideMark/>
          </w:tcPr>
          <w:p w14:paraId="5CC78B6E"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Food trades cook (e.g. restaurant, café)</w:t>
            </w:r>
          </w:p>
        </w:tc>
        <w:tc>
          <w:tcPr>
            <w:tcW w:w="451" w:type="pct"/>
            <w:noWrap/>
            <w:hideMark/>
          </w:tcPr>
          <w:p w14:paraId="6E3CD699"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230</w:t>
            </w:r>
          </w:p>
        </w:tc>
        <w:tc>
          <w:tcPr>
            <w:tcW w:w="509" w:type="pct"/>
            <w:noWrap/>
            <w:hideMark/>
          </w:tcPr>
          <w:p w14:paraId="2F018B0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1.0%</w:t>
            </w:r>
          </w:p>
        </w:tc>
      </w:tr>
      <w:tr w:rsidR="00AA1408" w:rsidRPr="006C1690" w14:paraId="5E5F12B5" w14:textId="77777777" w:rsidTr="00FA6DB7">
        <w:trPr>
          <w:trHeight w:val="225"/>
        </w:trPr>
        <w:tc>
          <w:tcPr>
            <w:tcW w:w="4040" w:type="pct"/>
            <w:noWrap/>
            <w:hideMark/>
          </w:tcPr>
          <w:p w14:paraId="53C1D036"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Sales representative</w:t>
            </w:r>
          </w:p>
        </w:tc>
        <w:tc>
          <w:tcPr>
            <w:tcW w:w="451" w:type="pct"/>
            <w:noWrap/>
            <w:hideMark/>
          </w:tcPr>
          <w:p w14:paraId="4D5D89B3"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226</w:t>
            </w:r>
          </w:p>
        </w:tc>
        <w:tc>
          <w:tcPr>
            <w:tcW w:w="509" w:type="pct"/>
            <w:noWrap/>
            <w:hideMark/>
          </w:tcPr>
          <w:p w14:paraId="187868F4"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1.0%</w:t>
            </w:r>
          </w:p>
        </w:tc>
      </w:tr>
      <w:tr w:rsidR="00AA1408" w:rsidRPr="006C1690" w14:paraId="13D75C0D" w14:textId="77777777" w:rsidTr="00FA6DB7">
        <w:trPr>
          <w:trHeight w:val="225"/>
        </w:trPr>
        <w:tc>
          <w:tcPr>
            <w:tcW w:w="4040" w:type="pct"/>
            <w:noWrap/>
            <w:hideMark/>
          </w:tcPr>
          <w:p w14:paraId="005DA132"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Gardener</w:t>
            </w:r>
          </w:p>
        </w:tc>
        <w:tc>
          <w:tcPr>
            <w:tcW w:w="451" w:type="pct"/>
            <w:noWrap/>
            <w:hideMark/>
          </w:tcPr>
          <w:p w14:paraId="22FD9CCF"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194</w:t>
            </w:r>
          </w:p>
        </w:tc>
        <w:tc>
          <w:tcPr>
            <w:tcW w:w="509" w:type="pct"/>
            <w:noWrap/>
            <w:hideMark/>
          </w:tcPr>
          <w:p w14:paraId="76757A07"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0.8%</w:t>
            </w:r>
          </w:p>
        </w:tc>
      </w:tr>
      <w:tr w:rsidR="00AA1408" w:rsidRPr="006C1690" w14:paraId="2E55888D" w14:textId="77777777" w:rsidTr="00FA6DB7">
        <w:trPr>
          <w:trHeight w:val="225"/>
        </w:trPr>
        <w:tc>
          <w:tcPr>
            <w:tcW w:w="4040" w:type="pct"/>
            <w:noWrap/>
            <w:hideMark/>
          </w:tcPr>
          <w:p w14:paraId="47F31BCA"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cleaning and gardening</w:t>
            </w:r>
          </w:p>
        </w:tc>
        <w:tc>
          <w:tcPr>
            <w:tcW w:w="451" w:type="pct"/>
            <w:noWrap/>
            <w:hideMark/>
          </w:tcPr>
          <w:p w14:paraId="547DEFA5"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190</w:t>
            </w:r>
          </w:p>
        </w:tc>
        <w:tc>
          <w:tcPr>
            <w:tcW w:w="509" w:type="pct"/>
            <w:noWrap/>
            <w:hideMark/>
          </w:tcPr>
          <w:p w14:paraId="7E5F6FE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0.8%</w:t>
            </w:r>
          </w:p>
        </w:tc>
      </w:tr>
      <w:tr w:rsidR="00AA1408" w:rsidRPr="006C1690" w14:paraId="0FD4DED3" w14:textId="77777777" w:rsidTr="00FA6DB7">
        <w:trPr>
          <w:trHeight w:val="225"/>
        </w:trPr>
        <w:tc>
          <w:tcPr>
            <w:tcW w:w="4040" w:type="pct"/>
            <w:noWrap/>
            <w:hideMark/>
          </w:tcPr>
          <w:p w14:paraId="22645E91"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Clerical and administration - other</w:t>
            </w:r>
          </w:p>
        </w:tc>
        <w:tc>
          <w:tcPr>
            <w:tcW w:w="451" w:type="pct"/>
            <w:noWrap/>
            <w:hideMark/>
          </w:tcPr>
          <w:p w14:paraId="7F8CB63E"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179</w:t>
            </w:r>
          </w:p>
        </w:tc>
        <w:tc>
          <w:tcPr>
            <w:tcW w:w="509" w:type="pct"/>
            <w:noWrap/>
            <w:hideMark/>
          </w:tcPr>
          <w:p w14:paraId="543852FF"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0.8%</w:t>
            </w:r>
          </w:p>
        </w:tc>
      </w:tr>
      <w:tr w:rsidR="00AA1408" w:rsidRPr="006C1690" w14:paraId="2DB56D93" w14:textId="77777777" w:rsidTr="00FA6DB7">
        <w:trPr>
          <w:trHeight w:val="225"/>
        </w:trPr>
        <w:tc>
          <w:tcPr>
            <w:tcW w:w="4040" w:type="pct"/>
            <w:noWrap/>
            <w:hideMark/>
          </w:tcPr>
          <w:p w14:paraId="7475047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health and aged care</w:t>
            </w:r>
          </w:p>
        </w:tc>
        <w:tc>
          <w:tcPr>
            <w:tcW w:w="451" w:type="pct"/>
            <w:noWrap/>
            <w:hideMark/>
          </w:tcPr>
          <w:p w14:paraId="483A2652"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176</w:t>
            </w:r>
          </w:p>
        </w:tc>
        <w:tc>
          <w:tcPr>
            <w:tcW w:w="509" w:type="pct"/>
            <w:noWrap/>
            <w:hideMark/>
          </w:tcPr>
          <w:p w14:paraId="79DCFBD1"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0.8%</w:t>
            </w:r>
          </w:p>
        </w:tc>
      </w:tr>
      <w:tr w:rsidR="00AA1408" w:rsidRPr="006C1690" w14:paraId="09B40EBE" w14:textId="77777777" w:rsidTr="00FA6DB7">
        <w:trPr>
          <w:trHeight w:val="225"/>
        </w:trPr>
        <w:tc>
          <w:tcPr>
            <w:tcW w:w="4040" w:type="pct"/>
            <w:noWrap/>
            <w:hideMark/>
          </w:tcPr>
          <w:p w14:paraId="24396291"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Fast food cook</w:t>
            </w:r>
          </w:p>
        </w:tc>
        <w:tc>
          <w:tcPr>
            <w:tcW w:w="451" w:type="pct"/>
            <w:noWrap/>
            <w:hideMark/>
          </w:tcPr>
          <w:p w14:paraId="48871710"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143</w:t>
            </w:r>
          </w:p>
        </w:tc>
        <w:tc>
          <w:tcPr>
            <w:tcW w:w="509" w:type="pct"/>
            <w:noWrap/>
            <w:hideMark/>
          </w:tcPr>
          <w:p w14:paraId="018C981C"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0.6%</w:t>
            </w:r>
          </w:p>
        </w:tc>
      </w:tr>
      <w:tr w:rsidR="00AA1408" w:rsidRPr="006C1690" w14:paraId="143DF113" w14:textId="77777777" w:rsidTr="00FA6DB7">
        <w:trPr>
          <w:trHeight w:val="225"/>
        </w:trPr>
        <w:tc>
          <w:tcPr>
            <w:tcW w:w="4040" w:type="pct"/>
            <w:noWrap/>
            <w:hideMark/>
          </w:tcPr>
          <w:p w14:paraId="5BA634B6"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Advertising and marketing (market research)</w:t>
            </w:r>
          </w:p>
        </w:tc>
        <w:tc>
          <w:tcPr>
            <w:tcW w:w="451" w:type="pct"/>
            <w:noWrap/>
            <w:hideMark/>
          </w:tcPr>
          <w:p w14:paraId="12411D79"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143</w:t>
            </w:r>
          </w:p>
        </w:tc>
        <w:tc>
          <w:tcPr>
            <w:tcW w:w="509" w:type="pct"/>
            <w:noWrap/>
            <w:hideMark/>
          </w:tcPr>
          <w:p w14:paraId="6714639A"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0.6%</w:t>
            </w:r>
          </w:p>
        </w:tc>
      </w:tr>
      <w:tr w:rsidR="00AA1408" w:rsidRPr="006C1690" w14:paraId="2292EE50" w14:textId="77777777" w:rsidTr="00FA6DB7">
        <w:trPr>
          <w:trHeight w:val="225"/>
        </w:trPr>
        <w:tc>
          <w:tcPr>
            <w:tcW w:w="4040" w:type="pct"/>
            <w:noWrap/>
            <w:hideMark/>
          </w:tcPr>
          <w:p w14:paraId="27562F7C"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Registered Nurse - Other</w:t>
            </w:r>
          </w:p>
        </w:tc>
        <w:tc>
          <w:tcPr>
            <w:tcW w:w="451" w:type="pct"/>
            <w:noWrap/>
            <w:hideMark/>
          </w:tcPr>
          <w:p w14:paraId="306869C3"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142</w:t>
            </w:r>
          </w:p>
        </w:tc>
        <w:tc>
          <w:tcPr>
            <w:tcW w:w="509" w:type="pct"/>
            <w:noWrap/>
            <w:hideMark/>
          </w:tcPr>
          <w:p w14:paraId="30AE1CC8"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0.6%</w:t>
            </w:r>
          </w:p>
        </w:tc>
      </w:tr>
      <w:tr w:rsidR="00AA1408" w:rsidRPr="006C1690" w14:paraId="5E68558C" w14:textId="77777777" w:rsidTr="00FA6DB7">
        <w:trPr>
          <w:trHeight w:val="225"/>
        </w:trPr>
        <w:tc>
          <w:tcPr>
            <w:tcW w:w="4040" w:type="pct"/>
            <w:noWrap/>
            <w:hideMark/>
          </w:tcPr>
          <w:p w14:paraId="79CD3BB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 education</w:t>
            </w:r>
          </w:p>
        </w:tc>
        <w:tc>
          <w:tcPr>
            <w:tcW w:w="451" w:type="pct"/>
            <w:noWrap/>
            <w:hideMark/>
          </w:tcPr>
          <w:p w14:paraId="5179C934"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141</w:t>
            </w:r>
          </w:p>
        </w:tc>
        <w:tc>
          <w:tcPr>
            <w:tcW w:w="509" w:type="pct"/>
            <w:noWrap/>
            <w:hideMark/>
          </w:tcPr>
          <w:p w14:paraId="4828C05C"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0.6%</w:t>
            </w:r>
          </w:p>
        </w:tc>
      </w:tr>
      <w:tr w:rsidR="00AA1408" w:rsidRPr="006C1690" w14:paraId="486358DF" w14:textId="77777777" w:rsidTr="00FA6DB7">
        <w:trPr>
          <w:trHeight w:val="225"/>
        </w:trPr>
        <w:tc>
          <w:tcPr>
            <w:tcW w:w="4040" w:type="pct"/>
            <w:noWrap/>
            <w:hideMark/>
          </w:tcPr>
          <w:p w14:paraId="63A6CAA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Tourism or travel adviser</w:t>
            </w:r>
          </w:p>
        </w:tc>
        <w:tc>
          <w:tcPr>
            <w:tcW w:w="451" w:type="pct"/>
            <w:noWrap/>
            <w:hideMark/>
          </w:tcPr>
          <w:p w14:paraId="10BA417E"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138</w:t>
            </w:r>
          </w:p>
        </w:tc>
        <w:tc>
          <w:tcPr>
            <w:tcW w:w="509" w:type="pct"/>
            <w:noWrap/>
            <w:hideMark/>
          </w:tcPr>
          <w:p w14:paraId="546F2ECD"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0.6%</w:t>
            </w:r>
          </w:p>
        </w:tc>
      </w:tr>
      <w:tr w:rsidR="00AA1408" w:rsidRPr="006C1690" w14:paraId="16547490" w14:textId="77777777" w:rsidTr="00FA6DB7">
        <w:trPr>
          <w:trHeight w:val="225"/>
        </w:trPr>
        <w:tc>
          <w:tcPr>
            <w:tcW w:w="4040" w:type="pct"/>
            <w:noWrap/>
            <w:hideMark/>
          </w:tcPr>
          <w:p w14:paraId="26553A28"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Receptionist</w:t>
            </w:r>
          </w:p>
        </w:tc>
        <w:tc>
          <w:tcPr>
            <w:tcW w:w="451" w:type="pct"/>
            <w:noWrap/>
            <w:hideMark/>
          </w:tcPr>
          <w:p w14:paraId="2EA4CD86"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124</w:t>
            </w:r>
          </w:p>
        </w:tc>
        <w:tc>
          <w:tcPr>
            <w:tcW w:w="509" w:type="pct"/>
            <w:noWrap/>
            <w:hideMark/>
          </w:tcPr>
          <w:p w14:paraId="036D61FA"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0.5%</w:t>
            </w:r>
          </w:p>
        </w:tc>
      </w:tr>
      <w:tr w:rsidR="00AA1408" w:rsidRPr="006C1690" w14:paraId="15812023" w14:textId="77777777" w:rsidTr="00FA6DB7">
        <w:trPr>
          <w:trHeight w:val="225"/>
        </w:trPr>
        <w:tc>
          <w:tcPr>
            <w:tcW w:w="4040" w:type="pct"/>
            <w:noWrap/>
            <w:hideMark/>
          </w:tcPr>
          <w:p w14:paraId="41086964"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Forestry and logging workers</w:t>
            </w:r>
          </w:p>
        </w:tc>
        <w:tc>
          <w:tcPr>
            <w:tcW w:w="451" w:type="pct"/>
            <w:noWrap/>
            <w:hideMark/>
          </w:tcPr>
          <w:p w14:paraId="7ABFFA31"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117</w:t>
            </w:r>
          </w:p>
        </w:tc>
        <w:tc>
          <w:tcPr>
            <w:tcW w:w="509" w:type="pct"/>
            <w:noWrap/>
            <w:hideMark/>
          </w:tcPr>
          <w:p w14:paraId="31EE13FA"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0.5%</w:t>
            </w:r>
          </w:p>
        </w:tc>
      </w:tr>
      <w:tr w:rsidR="00AA1408" w:rsidRPr="006C1690" w14:paraId="2C8F94CF" w14:textId="77777777" w:rsidTr="00FA6DB7">
        <w:trPr>
          <w:trHeight w:val="225"/>
        </w:trPr>
        <w:tc>
          <w:tcPr>
            <w:tcW w:w="4040" w:type="pct"/>
            <w:noWrap/>
            <w:hideMark/>
          </w:tcPr>
          <w:p w14:paraId="15BA88AD" w14:textId="77777777" w:rsidR="00AA1408" w:rsidRPr="006C1690" w:rsidRDefault="00AA1408" w:rsidP="00195C70">
            <w:pPr>
              <w:keepNext/>
              <w:keepLines/>
              <w:spacing w:before="0"/>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Other</w:t>
            </w:r>
          </w:p>
        </w:tc>
        <w:tc>
          <w:tcPr>
            <w:tcW w:w="451" w:type="pct"/>
            <w:noWrap/>
            <w:hideMark/>
          </w:tcPr>
          <w:p w14:paraId="301A23E6" w14:textId="77777777" w:rsidR="00AA1408" w:rsidRPr="006C1690" w:rsidRDefault="00AA1408" w:rsidP="00195C70">
            <w:pPr>
              <w:keepNext/>
              <w:keepLines/>
              <w:spacing w:before="0"/>
              <w:ind w:left="-2386" w:firstLine="2386"/>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1464</w:t>
            </w:r>
          </w:p>
        </w:tc>
        <w:tc>
          <w:tcPr>
            <w:tcW w:w="509" w:type="pct"/>
            <w:noWrap/>
            <w:hideMark/>
          </w:tcPr>
          <w:p w14:paraId="75DFFA3B" w14:textId="77777777" w:rsidR="00AA1408" w:rsidRPr="006C1690" w:rsidRDefault="00AA1408" w:rsidP="00195C70">
            <w:pPr>
              <w:keepNext/>
              <w:keepLines/>
              <w:spacing w:before="0"/>
              <w:jc w:val="right"/>
              <w:rPr>
                <w:rFonts w:ascii="Calibri" w:eastAsia="Times New Roman" w:hAnsi="Calibri" w:cs="Calibri"/>
                <w:color w:val="000000"/>
                <w:sz w:val="18"/>
                <w:szCs w:val="18"/>
                <w:lang w:eastAsia="en-AU"/>
              </w:rPr>
            </w:pPr>
            <w:r w:rsidRPr="006C1690">
              <w:rPr>
                <w:rFonts w:ascii="Calibri" w:eastAsia="Times New Roman" w:hAnsi="Calibri" w:cs="Calibri"/>
                <w:color w:val="000000"/>
                <w:sz w:val="18"/>
                <w:szCs w:val="18"/>
                <w:lang w:eastAsia="en-AU"/>
              </w:rPr>
              <w:t>6.3%</w:t>
            </w:r>
          </w:p>
        </w:tc>
      </w:tr>
    </w:tbl>
    <w:p w14:paraId="02C849B8" w14:textId="1B99182C" w:rsidR="00FE0C0F" w:rsidRPr="00582224" w:rsidRDefault="00FE0C0F" w:rsidP="00195C70">
      <w:pPr>
        <w:pStyle w:val="Tablenote"/>
      </w:pPr>
      <w:r w:rsidRPr="00582224">
        <w:t>Note</w:t>
      </w:r>
      <w:r w:rsidR="0024081F">
        <w:t>,</w:t>
      </w:r>
      <w:r w:rsidRPr="00582224">
        <w:t xml:space="preserve"> Data from </w:t>
      </w:r>
      <w:r>
        <w:t xml:space="preserve">34 </w:t>
      </w:r>
      <w:r w:rsidR="000C3FB2">
        <w:t xml:space="preserve">ANZSCO </w:t>
      </w:r>
      <w:r w:rsidR="003D331A">
        <w:fldChar w:fldCharType="begin"/>
      </w:r>
      <w:r w:rsidR="00CC7B00">
        <w:instrText xml:space="preserve"> ADDIN EN.CITE &lt;EndNote&gt;&lt;Cite&gt;&lt;Author&gt;ABS&lt;/Author&gt;&lt;Year&gt;2019&lt;/Year&gt;&lt;RecNum&gt;29&lt;/RecNum&gt;&lt;DisplayText&gt;(ABS, 2019)&lt;/DisplayText&gt;&lt;record&gt;&lt;rec-number&gt;29&lt;/rec-number&gt;&lt;foreign-keys&gt;&lt;key app="EN" db-id="r5sv9zwer2dw2pexz935edzbrpsweevtw5ed" timestamp="1607302674"&gt;29&lt;/key&gt;&lt;/foreign-keys&gt;&lt;ref-type name="Dataset"&gt;59&lt;/ref-type&gt;&lt;contributors&gt;&lt;authors&gt;&lt;author&gt;ABS&lt;/author&gt;&lt;/authors&gt;&lt;secondary-authors&gt;&lt;author&gt;Australian Bureau of Statistics,&lt;/author&gt;&lt;/secondary-authors&gt;&lt;/contributors&gt;&lt;titles&gt;&lt;title&gt;ABS 1220.0 - ANZSCO - Australian and New Zealand Standard Classification of Occupations, Version 1.3&lt;/title&gt;&lt;/titles&gt;&lt;section&gt;05/11/2019&lt;/section&gt;&lt;dates&gt;&lt;year&gt;2019&lt;/year&gt;&lt;/dates&gt;&lt;urls&gt;&lt;related-urls&gt;&lt;url&gt;https://www.abs.gov.au/ANZSCO&lt;/url&gt;&lt;/related-urls&gt;&lt;/urls&gt;&lt;/record&gt;&lt;/Cite&gt;&lt;/EndNote&gt;</w:instrText>
      </w:r>
      <w:r w:rsidR="003D331A">
        <w:fldChar w:fldCharType="separate"/>
      </w:r>
      <w:r w:rsidR="00CC7B00">
        <w:t>(ABS, 2019)</w:t>
      </w:r>
      <w:r w:rsidR="003D331A">
        <w:fldChar w:fldCharType="end"/>
      </w:r>
      <w:r w:rsidR="007B6589">
        <w:t xml:space="preserve"> </w:t>
      </w:r>
      <w:r>
        <w:t>occu</w:t>
      </w:r>
      <w:r w:rsidR="009C5054">
        <w:t>pations</w:t>
      </w:r>
      <w:r w:rsidRPr="00582224">
        <w:t xml:space="preserve"> is presented in </w:t>
      </w:r>
      <w:r w:rsidR="00537B1E">
        <w:t xml:space="preserve">the </w:t>
      </w:r>
      <w:r w:rsidRPr="00582224">
        <w:t>table. Thirty-</w:t>
      </w:r>
      <w:r w:rsidR="009C5054">
        <w:t>two</w:t>
      </w:r>
      <w:r w:rsidRPr="00582224">
        <w:t xml:space="preserve"> </w:t>
      </w:r>
      <w:r w:rsidR="009C5054">
        <w:t>occupations</w:t>
      </w:r>
      <w:r w:rsidRPr="00582224">
        <w:t xml:space="preserve"> are aggregated in the ‘Other’ category. Data was provided by </w:t>
      </w:r>
      <w:r w:rsidR="00B23664">
        <w:t>12,02</w:t>
      </w:r>
      <w:r w:rsidR="002A42A6">
        <w:t>9</w:t>
      </w:r>
      <w:r w:rsidRPr="00582224">
        <w:t xml:space="preserve"> respondents</w:t>
      </w:r>
      <w:r w:rsidR="00DA68BB">
        <w:t xml:space="preserve"> for </w:t>
      </w:r>
      <w:r w:rsidR="0062402B">
        <w:t>23,395</w:t>
      </w:r>
      <w:r w:rsidR="00DA68BB">
        <w:t xml:space="preserve"> jobs.</w:t>
      </w:r>
    </w:p>
    <w:p w14:paraId="58C0D954" w14:textId="533D638E" w:rsidR="00FE0C0F" w:rsidRDefault="00FE0C0F" w:rsidP="00FE0C0F">
      <w:pPr>
        <w:pStyle w:val="Tablenote"/>
      </w:pPr>
      <w:r w:rsidRPr="0029477C">
        <w:t xml:space="preserve">Source: </w:t>
      </w:r>
      <w:r w:rsidR="00533FC6">
        <w:t>WHM</w:t>
      </w:r>
      <w:r w:rsidRPr="0029477C">
        <w:t xml:space="preserve"> Survey, 2020.</w:t>
      </w:r>
    </w:p>
    <w:p w14:paraId="2303F54D" w14:textId="06610CEE" w:rsidR="00C310DB" w:rsidRPr="007D09C0" w:rsidRDefault="00A73732" w:rsidP="002F7C09">
      <w:pPr>
        <w:keepNext/>
        <w:keepLines/>
      </w:pPr>
      <w:r>
        <w:t>T</w:t>
      </w:r>
      <w:r w:rsidR="00AB42BF">
        <w:t xml:space="preserve">he proportion of people </w:t>
      </w:r>
      <w:r>
        <w:t xml:space="preserve">engaged in different </w:t>
      </w:r>
      <w:r w:rsidR="003A26E2">
        <w:t>jobs</w:t>
      </w:r>
      <w:r w:rsidR="00FC2982">
        <w:t xml:space="preserve"> varied </w:t>
      </w:r>
      <w:r w:rsidR="0053550B">
        <w:t xml:space="preserve">substantially </w:t>
      </w:r>
      <w:r w:rsidR="00FC2982">
        <w:t>by state and territory</w:t>
      </w:r>
      <w:r w:rsidR="0066379B">
        <w:t xml:space="preserve"> (see </w:t>
      </w:r>
      <w:r w:rsidR="0066379B">
        <w:fldChar w:fldCharType="begin"/>
      </w:r>
      <w:r w:rsidR="0066379B">
        <w:instrText xml:space="preserve"> REF _Ref73015300 \h </w:instrText>
      </w:r>
      <w:r w:rsidR="0066379B">
        <w:fldChar w:fldCharType="separate"/>
      </w:r>
      <w:r w:rsidR="00F22012">
        <w:t xml:space="preserve">Table </w:t>
      </w:r>
      <w:r w:rsidR="00F22012">
        <w:rPr>
          <w:noProof/>
        </w:rPr>
        <w:t>5</w:t>
      </w:r>
      <w:r w:rsidR="00F22012">
        <w:noBreakHyphen/>
      </w:r>
      <w:r w:rsidR="00F22012">
        <w:rPr>
          <w:noProof/>
        </w:rPr>
        <w:t>2</w:t>
      </w:r>
      <w:r w:rsidR="0066379B">
        <w:fldChar w:fldCharType="end"/>
      </w:r>
      <w:r w:rsidR="0066379B">
        <w:t>)</w:t>
      </w:r>
      <w:r w:rsidR="00302CFB">
        <w:t xml:space="preserve">. </w:t>
      </w:r>
      <w:r w:rsidR="00A11838">
        <w:t>For example</w:t>
      </w:r>
      <w:r>
        <w:t>,</w:t>
      </w:r>
      <w:r w:rsidR="00302CFB">
        <w:t xml:space="preserve"> 59.4% of Tasmania </w:t>
      </w:r>
      <w:r w:rsidR="00497695">
        <w:t>jobs</w:t>
      </w:r>
      <w:r w:rsidR="00DC12E9">
        <w:t xml:space="preserve"> were</w:t>
      </w:r>
      <w:r w:rsidR="00DF5491">
        <w:t xml:space="preserve"> for</w:t>
      </w:r>
      <w:r w:rsidR="00DC12E9">
        <w:t xml:space="preserve"> </w:t>
      </w:r>
      <w:r w:rsidR="0056101F">
        <w:rPr>
          <w:i/>
          <w:iCs/>
        </w:rPr>
        <w:t>C</w:t>
      </w:r>
      <w:r w:rsidR="00B02B3C" w:rsidRPr="00B02B3C">
        <w:rPr>
          <w:i/>
          <w:iCs/>
        </w:rPr>
        <w:t>rop farm workers</w:t>
      </w:r>
      <w:r w:rsidR="00EF5449">
        <w:t>,</w:t>
      </w:r>
      <w:r w:rsidR="00B02B3C">
        <w:t xml:space="preserve"> compared</w:t>
      </w:r>
      <w:r w:rsidR="00EF5449">
        <w:t xml:space="preserve"> with a third (32.8%) of Queensland </w:t>
      </w:r>
      <w:r w:rsidR="00497695">
        <w:t>jobs</w:t>
      </w:r>
      <w:r w:rsidR="00EF5449">
        <w:t xml:space="preserve"> and three in ten (29.2%) from South Australia</w:t>
      </w:r>
      <w:r w:rsidR="00FB7260">
        <w:t xml:space="preserve">. </w:t>
      </w:r>
      <w:r w:rsidR="00527E3E">
        <w:t>A total of t</w:t>
      </w:r>
      <w:r w:rsidR="00C310DB">
        <w:t>hree in ten</w:t>
      </w:r>
      <w:r w:rsidR="009C72F2">
        <w:t xml:space="preserve"> (30.1%)</w:t>
      </w:r>
      <w:r w:rsidR="00C310DB">
        <w:t xml:space="preserve"> Northern Territory jobs were </w:t>
      </w:r>
      <w:r w:rsidR="009A2372">
        <w:t>in the hospital</w:t>
      </w:r>
      <w:r w:rsidR="00797508">
        <w:t>ity</w:t>
      </w:r>
      <w:r w:rsidR="009A2372">
        <w:t xml:space="preserve"> </w:t>
      </w:r>
      <w:r w:rsidR="005D06A5">
        <w:t>jobs of</w:t>
      </w:r>
      <w:r w:rsidR="00240B1E">
        <w:t xml:space="preserve"> </w:t>
      </w:r>
      <w:r w:rsidR="00D744F5">
        <w:rPr>
          <w:i/>
          <w:iCs/>
        </w:rPr>
        <w:t>b</w:t>
      </w:r>
      <w:r w:rsidR="00240B1E" w:rsidRPr="00B46BD0">
        <w:rPr>
          <w:i/>
          <w:iCs/>
        </w:rPr>
        <w:t>ar attendants o</w:t>
      </w:r>
      <w:r w:rsidR="00B46BD0">
        <w:rPr>
          <w:i/>
          <w:iCs/>
        </w:rPr>
        <w:t>r</w:t>
      </w:r>
      <w:r w:rsidR="00240B1E" w:rsidRPr="00B46BD0">
        <w:rPr>
          <w:i/>
          <w:iCs/>
        </w:rPr>
        <w:t xml:space="preserve"> baristas</w:t>
      </w:r>
      <w:r w:rsidR="00240B1E">
        <w:t xml:space="preserve">, </w:t>
      </w:r>
      <w:r w:rsidR="00D744F5">
        <w:rPr>
          <w:i/>
          <w:iCs/>
        </w:rPr>
        <w:t>o</w:t>
      </w:r>
      <w:r w:rsidR="00B46BD0" w:rsidRPr="00B46BD0">
        <w:rPr>
          <w:i/>
          <w:iCs/>
        </w:rPr>
        <w:t>ther hospitality, tourism and sport</w:t>
      </w:r>
      <w:r w:rsidR="00B46BD0">
        <w:t xml:space="preserve"> or </w:t>
      </w:r>
      <w:r w:rsidR="00D744F5">
        <w:rPr>
          <w:i/>
          <w:iCs/>
        </w:rPr>
        <w:t>w</w:t>
      </w:r>
      <w:r w:rsidR="00B46BD0" w:rsidRPr="00B46BD0">
        <w:rPr>
          <w:i/>
          <w:iCs/>
        </w:rPr>
        <w:t>aiters</w:t>
      </w:r>
      <w:r w:rsidR="007D09C0" w:rsidRPr="007D09C0">
        <w:t xml:space="preserve"> </w:t>
      </w:r>
      <w:r w:rsidR="007D09C0">
        <w:t>–</w:t>
      </w:r>
      <w:r w:rsidR="007D09C0" w:rsidRPr="007D09C0">
        <w:t xml:space="preserve"> </w:t>
      </w:r>
      <w:r w:rsidR="009C72F2">
        <w:t xml:space="preserve">compared with 22.8% in Victoria and </w:t>
      </w:r>
      <w:r w:rsidR="00552BFF">
        <w:t>21.8% in New South Wales.</w:t>
      </w:r>
      <w:r w:rsidR="005B6906">
        <w:t xml:space="preserve"> One in five (20.7%)</w:t>
      </w:r>
      <w:r w:rsidR="0097698E">
        <w:t xml:space="preserve"> WHM jobs in the Australian Capital Territory were as a </w:t>
      </w:r>
      <w:r w:rsidR="00D744F5" w:rsidRPr="00466C5F">
        <w:rPr>
          <w:i/>
        </w:rPr>
        <w:t>n</w:t>
      </w:r>
      <w:r w:rsidR="0097698E" w:rsidRPr="009845F7">
        <w:rPr>
          <w:i/>
          <w:iCs/>
        </w:rPr>
        <w:t>anny</w:t>
      </w:r>
      <w:r w:rsidR="0097698E" w:rsidRPr="0097698E">
        <w:rPr>
          <w:i/>
          <w:iCs/>
        </w:rPr>
        <w:t xml:space="preserve"> or au pair</w:t>
      </w:r>
      <w:r w:rsidR="000758AE">
        <w:t xml:space="preserve"> </w:t>
      </w:r>
      <w:r w:rsidR="005029D7">
        <w:t>–</w:t>
      </w:r>
      <w:r w:rsidR="000758AE">
        <w:t xml:space="preserve"> </w:t>
      </w:r>
      <w:r w:rsidR="00784542">
        <w:t xml:space="preserve">more than </w:t>
      </w:r>
      <w:r w:rsidR="000758AE">
        <w:t>four</w:t>
      </w:r>
      <w:r w:rsidR="005029D7">
        <w:t xml:space="preserve"> times </w:t>
      </w:r>
      <w:r w:rsidR="00784542">
        <w:t>higher</w:t>
      </w:r>
      <w:r w:rsidR="005029D7">
        <w:t xml:space="preserve"> than any other state or </w:t>
      </w:r>
      <w:r w:rsidR="0007470A">
        <w:t>territory</w:t>
      </w:r>
      <w:r w:rsidR="00784542">
        <w:t>.</w:t>
      </w:r>
    </w:p>
    <w:p w14:paraId="6F3B92C0" w14:textId="38A0E090" w:rsidR="00FF0529" w:rsidRDefault="00FF0529" w:rsidP="0074359C">
      <w:pPr>
        <w:pStyle w:val="Caption"/>
      </w:pPr>
      <w:bookmarkStart w:id="65" w:name="_Ref73015300"/>
      <w:bookmarkStart w:id="66" w:name="_Toc75878596"/>
      <w:r>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2</w:t>
      </w:r>
      <w:r>
        <w:fldChar w:fldCharType="end"/>
      </w:r>
      <w:bookmarkEnd w:id="65"/>
      <w:r>
        <w:t>:</w:t>
      </w:r>
      <w:r w:rsidR="0087395A">
        <w:t xml:space="preserve"> Occupations by state</w:t>
      </w:r>
      <w:r w:rsidR="001A44BB">
        <w:t xml:space="preserve">, </w:t>
      </w:r>
      <w:r w:rsidR="004D3CCD">
        <w:t>T</w:t>
      </w:r>
      <w:r w:rsidR="004F068E">
        <w:t>op 10 occupations</w:t>
      </w:r>
      <w:bookmarkEnd w:id="66"/>
    </w:p>
    <w:tbl>
      <w:tblPr>
        <w:tblStyle w:val="TableGrid"/>
        <w:tblW w:w="9351" w:type="dxa"/>
        <w:tblLayout w:type="fixed"/>
        <w:tblLook w:val="04E0" w:firstRow="1" w:lastRow="1" w:firstColumn="1" w:lastColumn="0" w:noHBand="0" w:noVBand="1"/>
      </w:tblPr>
      <w:tblGrid>
        <w:gridCol w:w="2972"/>
        <w:gridCol w:w="693"/>
        <w:gridCol w:w="693"/>
        <w:gridCol w:w="693"/>
        <w:gridCol w:w="693"/>
        <w:gridCol w:w="693"/>
        <w:gridCol w:w="693"/>
        <w:gridCol w:w="693"/>
        <w:gridCol w:w="693"/>
        <w:gridCol w:w="835"/>
      </w:tblGrid>
      <w:tr w:rsidR="001B7E01" w:rsidRPr="00D8200B" w14:paraId="763188CF" w14:textId="77777777" w:rsidTr="00FA6DB7">
        <w:trPr>
          <w:cnfStyle w:val="100000000000" w:firstRow="1" w:lastRow="0" w:firstColumn="0" w:lastColumn="0" w:oddVBand="0" w:evenVBand="0" w:oddHBand="0" w:evenHBand="0" w:firstRowFirstColumn="0" w:firstRowLastColumn="0" w:lastRowFirstColumn="0" w:lastRowLastColumn="0"/>
          <w:trHeight w:val="227"/>
        </w:trPr>
        <w:tc>
          <w:tcPr>
            <w:tcW w:w="2972" w:type="dxa"/>
            <w:hideMark/>
          </w:tcPr>
          <w:p w14:paraId="5A71675B" w14:textId="5AFFAEB4" w:rsidR="00D8200B" w:rsidRPr="00B07BAC" w:rsidRDefault="00D8200B" w:rsidP="0074359C">
            <w:pPr>
              <w:keepNext/>
              <w:keepLines/>
              <w:spacing w:before="0"/>
              <w:jc w:val="center"/>
              <w:rPr>
                <w:rFonts w:ascii="Calibri" w:eastAsia="Times New Roman" w:hAnsi="Calibri" w:cs="Calibri"/>
                <w:b/>
                <w:bCs/>
                <w:color w:val="A6A6A6"/>
                <w:sz w:val="18"/>
                <w:szCs w:val="18"/>
                <w:lang w:eastAsia="en-AU"/>
              </w:rPr>
            </w:pPr>
          </w:p>
        </w:tc>
        <w:tc>
          <w:tcPr>
            <w:tcW w:w="693" w:type="dxa"/>
            <w:noWrap/>
            <w:hideMark/>
          </w:tcPr>
          <w:p w14:paraId="4B96E6EC"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NSW</w:t>
            </w:r>
          </w:p>
        </w:tc>
        <w:tc>
          <w:tcPr>
            <w:tcW w:w="693" w:type="dxa"/>
            <w:noWrap/>
            <w:hideMark/>
          </w:tcPr>
          <w:p w14:paraId="7725D5E8"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VIC</w:t>
            </w:r>
          </w:p>
        </w:tc>
        <w:tc>
          <w:tcPr>
            <w:tcW w:w="693" w:type="dxa"/>
            <w:noWrap/>
            <w:hideMark/>
          </w:tcPr>
          <w:p w14:paraId="018C0DE3" w14:textId="5B411810" w:rsidR="00D8200B" w:rsidRPr="00B07BAC" w:rsidRDefault="00D8200B" w:rsidP="009845F7">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Q</w:t>
            </w:r>
            <w:r w:rsidR="009845F7">
              <w:rPr>
                <w:rFonts w:ascii="Calibri" w:eastAsia="Times New Roman" w:hAnsi="Calibri" w:cs="Calibri"/>
                <w:b/>
                <w:bCs/>
                <w:sz w:val="18"/>
                <w:szCs w:val="18"/>
                <w:lang w:eastAsia="en-AU"/>
              </w:rPr>
              <w:t>LD</w:t>
            </w:r>
          </w:p>
        </w:tc>
        <w:tc>
          <w:tcPr>
            <w:tcW w:w="693" w:type="dxa"/>
            <w:noWrap/>
            <w:hideMark/>
          </w:tcPr>
          <w:p w14:paraId="74FD6074"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SA</w:t>
            </w:r>
          </w:p>
        </w:tc>
        <w:tc>
          <w:tcPr>
            <w:tcW w:w="693" w:type="dxa"/>
            <w:noWrap/>
            <w:hideMark/>
          </w:tcPr>
          <w:p w14:paraId="376A3BAD"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WA</w:t>
            </w:r>
          </w:p>
        </w:tc>
        <w:tc>
          <w:tcPr>
            <w:tcW w:w="693" w:type="dxa"/>
            <w:noWrap/>
            <w:hideMark/>
          </w:tcPr>
          <w:p w14:paraId="018032B2" w14:textId="6B4513F9" w:rsidR="00D8200B" w:rsidRPr="00B07BAC" w:rsidRDefault="00D8200B" w:rsidP="009845F7">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T</w:t>
            </w:r>
            <w:r w:rsidR="009845F7">
              <w:rPr>
                <w:rFonts w:ascii="Calibri" w:eastAsia="Times New Roman" w:hAnsi="Calibri" w:cs="Calibri"/>
                <w:b/>
                <w:bCs/>
                <w:sz w:val="18"/>
                <w:szCs w:val="18"/>
                <w:lang w:eastAsia="en-AU"/>
              </w:rPr>
              <w:t>AS</w:t>
            </w:r>
          </w:p>
        </w:tc>
        <w:tc>
          <w:tcPr>
            <w:tcW w:w="693" w:type="dxa"/>
            <w:noWrap/>
            <w:hideMark/>
          </w:tcPr>
          <w:p w14:paraId="2E2577C9"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NT</w:t>
            </w:r>
          </w:p>
        </w:tc>
        <w:tc>
          <w:tcPr>
            <w:tcW w:w="693" w:type="dxa"/>
            <w:noWrap/>
            <w:hideMark/>
          </w:tcPr>
          <w:p w14:paraId="6E71186F"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ACT</w:t>
            </w:r>
          </w:p>
        </w:tc>
        <w:tc>
          <w:tcPr>
            <w:tcW w:w="835" w:type="dxa"/>
            <w:noWrap/>
            <w:hideMark/>
          </w:tcPr>
          <w:p w14:paraId="03C34B6F" w14:textId="77777777" w:rsidR="00D8200B" w:rsidRPr="00B07BAC" w:rsidRDefault="00D8200B" w:rsidP="0074359C">
            <w:pPr>
              <w:keepNext/>
              <w:keepLines/>
              <w:spacing w:before="0"/>
              <w:jc w:val="center"/>
              <w:rPr>
                <w:rFonts w:ascii="Calibri" w:eastAsia="Times New Roman" w:hAnsi="Calibri" w:cs="Calibri"/>
                <w:b/>
                <w:bCs/>
                <w:sz w:val="18"/>
                <w:szCs w:val="18"/>
                <w:lang w:eastAsia="en-AU"/>
              </w:rPr>
            </w:pPr>
            <w:r w:rsidRPr="00B07BAC">
              <w:rPr>
                <w:rFonts w:ascii="Calibri" w:eastAsia="Times New Roman" w:hAnsi="Calibri" w:cs="Calibri"/>
                <w:b/>
                <w:bCs/>
                <w:sz w:val="18"/>
                <w:szCs w:val="18"/>
                <w:lang w:eastAsia="en-AU"/>
              </w:rPr>
              <w:t>Total</w:t>
            </w:r>
          </w:p>
        </w:tc>
      </w:tr>
      <w:tr w:rsidR="001B7E01" w:rsidRPr="00D8200B" w14:paraId="7E0CC872" w14:textId="77777777" w:rsidTr="00FA6DB7">
        <w:trPr>
          <w:trHeight w:val="227"/>
        </w:trPr>
        <w:tc>
          <w:tcPr>
            <w:tcW w:w="2972" w:type="dxa"/>
            <w:noWrap/>
            <w:hideMark/>
          </w:tcPr>
          <w:p w14:paraId="655A62D6"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Crop farm worker</w:t>
            </w:r>
          </w:p>
        </w:tc>
        <w:tc>
          <w:tcPr>
            <w:tcW w:w="693" w:type="dxa"/>
            <w:noWrap/>
            <w:hideMark/>
          </w:tcPr>
          <w:p w14:paraId="578E8C7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12.1%</w:t>
            </w:r>
          </w:p>
        </w:tc>
        <w:tc>
          <w:tcPr>
            <w:tcW w:w="693" w:type="dxa"/>
            <w:noWrap/>
            <w:hideMark/>
          </w:tcPr>
          <w:p w14:paraId="12AFEAE8"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14.1%</w:t>
            </w:r>
          </w:p>
        </w:tc>
        <w:tc>
          <w:tcPr>
            <w:tcW w:w="693" w:type="dxa"/>
            <w:noWrap/>
            <w:hideMark/>
          </w:tcPr>
          <w:p w14:paraId="01D37DC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32.8%</w:t>
            </w:r>
          </w:p>
        </w:tc>
        <w:tc>
          <w:tcPr>
            <w:tcW w:w="693" w:type="dxa"/>
            <w:noWrap/>
            <w:hideMark/>
          </w:tcPr>
          <w:p w14:paraId="298E122B"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29.2%</w:t>
            </w:r>
          </w:p>
        </w:tc>
        <w:tc>
          <w:tcPr>
            <w:tcW w:w="693" w:type="dxa"/>
            <w:noWrap/>
            <w:hideMark/>
          </w:tcPr>
          <w:p w14:paraId="4A5BB64B"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21.8%</w:t>
            </w:r>
          </w:p>
        </w:tc>
        <w:tc>
          <w:tcPr>
            <w:tcW w:w="693" w:type="dxa"/>
            <w:noWrap/>
            <w:hideMark/>
          </w:tcPr>
          <w:p w14:paraId="3B6D2E58"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59.4%</w:t>
            </w:r>
          </w:p>
        </w:tc>
        <w:tc>
          <w:tcPr>
            <w:tcW w:w="693" w:type="dxa"/>
            <w:noWrap/>
            <w:hideMark/>
          </w:tcPr>
          <w:p w14:paraId="6697AA4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11.5%</w:t>
            </w:r>
          </w:p>
        </w:tc>
        <w:tc>
          <w:tcPr>
            <w:tcW w:w="693" w:type="dxa"/>
            <w:noWrap/>
            <w:hideMark/>
          </w:tcPr>
          <w:p w14:paraId="636D3EF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3.2%</w:t>
            </w:r>
          </w:p>
        </w:tc>
        <w:tc>
          <w:tcPr>
            <w:tcW w:w="835" w:type="dxa"/>
            <w:noWrap/>
            <w:hideMark/>
          </w:tcPr>
          <w:p w14:paraId="711642C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21.8%</w:t>
            </w:r>
          </w:p>
        </w:tc>
      </w:tr>
      <w:tr w:rsidR="001B7E01" w:rsidRPr="00D8200B" w14:paraId="73CA9A1B" w14:textId="77777777" w:rsidTr="00FA6DB7">
        <w:trPr>
          <w:trHeight w:val="227"/>
        </w:trPr>
        <w:tc>
          <w:tcPr>
            <w:tcW w:w="2972" w:type="dxa"/>
            <w:noWrap/>
            <w:hideMark/>
          </w:tcPr>
          <w:p w14:paraId="4B72BCDE"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Waiter</w:t>
            </w:r>
          </w:p>
        </w:tc>
        <w:tc>
          <w:tcPr>
            <w:tcW w:w="693" w:type="dxa"/>
            <w:noWrap/>
            <w:hideMark/>
          </w:tcPr>
          <w:p w14:paraId="0BC46971"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10.1%</w:t>
            </w:r>
          </w:p>
        </w:tc>
        <w:tc>
          <w:tcPr>
            <w:tcW w:w="693" w:type="dxa"/>
            <w:noWrap/>
            <w:hideMark/>
          </w:tcPr>
          <w:p w14:paraId="090DD0E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10.2%</w:t>
            </w:r>
          </w:p>
        </w:tc>
        <w:tc>
          <w:tcPr>
            <w:tcW w:w="693" w:type="dxa"/>
            <w:noWrap/>
            <w:hideMark/>
          </w:tcPr>
          <w:p w14:paraId="7213A78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7.7%</w:t>
            </w:r>
          </w:p>
        </w:tc>
        <w:tc>
          <w:tcPr>
            <w:tcW w:w="693" w:type="dxa"/>
            <w:noWrap/>
            <w:hideMark/>
          </w:tcPr>
          <w:p w14:paraId="770F9533"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3.9%</w:t>
            </w:r>
          </w:p>
        </w:tc>
        <w:tc>
          <w:tcPr>
            <w:tcW w:w="693" w:type="dxa"/>
            <w:noWrap/>
            <w:hideMark/>
          </w:tcPr>
          <w:p w14:paraId="2BDBC2B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7.7%</w:t>
            </w:r>
          </w:p>
        </w:tc>
        <w:tc>
          <w:tcPr>
            <w:tcW w:w="693" w:type="dxa"/>
            <w:noWrap/>
            <w:hideMark/>
          </w:tcPr>
          <w:p w14:paraId="28CA6DDB"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2.8%</w:t>
            </w:r>
          </w:p>
        </w:tc>
        <w:tc>
          <w:tcPr>
            <w:tcW w:w="693" w:type="dxa"/>
            <w:noWrap/>
            <w:hideMark/>
          </w:tcPr>
          <w:p w14:paraId="78E52FF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8.1%</w:t>
            </w:r>
          </w:p>
        </w:tc>
        <w:tc>
          <w:tcPr>
            <w:tcW w:w="693" w:type="dxa"/>
            <w:noWrap/>
            <w:hideMark/>
          </w:tcPr>
          <w:p w14:paraId="0B6D120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6.3%</w:t>
            </w:r>
          </w:p>
        </w:tc>
        <w:tc>
          <w:tcPr>
            <w:tcW w:w="835" w:type="dxa"/>
            <w:noWrap/>
            <w:hideMark/>
          </w:tcPr>
          <w:p w14:paraId="7259A2E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8.5%</w:t>
            </w:r>
          </w:p>
        </w:tc>
      </w:tr>
      <w:tr w:rsidR="001B7E01" w:rsidRPr="00D8200B" w14:paraId="493C6A51" w14:textId="77777777" w:rsidTr="00FA6DB7">
        <w:trPr>
          <w:trHeight w:val="227"/>
        </w:trPr>
        <w:tc>
          <w:tcPr>
            <w:tcW w:w="2972" w:type="dxa"/>
            <w:noWrap/>
            <w:hideMark/>
          </w:tcPr>
          <w:p w14:paraId="3E86EE20"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Bar attendant or barista</w:t>
            </w:r>
          </w:p>
        </w:tc>
        <w:tc>
          <w:tcPr>
            <w:tcW w:w="693" w:type="dxa"/>
            <w:noWrap/>
            <w:hideMark/>
          </w:tcPr>
          <w:p w14:paraId="596A2641"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6.1%</w:t>
            </w:r>
          </w:p>
        </w:tc>
        <w:tc>
          <w:tcPr>
            <w:tcW w:w="693" w:type="dxa"/>
            <w:noWrap/>
            <w:hideMark/>
          </w:tcPr>
          <w:p w14:paraId="584A634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7.8%</w:t>
            </w:r>
          </w:p>
        </w:tc>
        <w:tc>
          <w:tcPr>
            <w:tcW w:w="693" w:type="dxa"/>
            <w:noWrap/>
            <w:hideMark/>
          </w:tcPr>
          <w:p w14:paraId="38CF889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5.7%</w:t>
            </w:r>
          </w:p>
        </w:tc>
        <w:tc>
          <w:tcPr>
            <w:tcW w:w="693" w:type="dxa"/>
            <w:noWrap/>
            <w:hideMark/>
          </w:tcPr>
          <w:p w14:paraId="0CB6DA2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3.2%</w:t>
            </w:r>
          </w:p>
        </w:tc>
        <w:tc>
          <w:tcPr>
            <w:tcW w:w="693" w:type="dxa"/>
            <w:noWrap/>
            <w:hideMark/>
          </w:tcPr>
          <w:p w14:paraId="5DDAC0F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6.8%</w:t>
            </w:r>
          </w:p>
        </w:tc>
        <w:tc>
          <w:tcPr>
            <w:tcW w:w="693" w:type="dxa"/>
            <w:noWrap/>
            <w:hideMark/>
          </w:tcPr>
          <w:p w14:paraId="2C2A68B4"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2.0%</w:t>
            </w:r>
          </w:p>
        </w:tc>
        <w:tc>
          <w:tcPr>
            <w:tcW w:w="693" w:type="dxa"/>
            <w:noWrap/>
            <w:hideMark/>
          </w:tcPr>
          <w:p w14:paraId="71FF7D1B"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11.6%</w:t>
            </w:r>
          </w:p>
        </w:tc>
        <w:tc>
          <w:tcPr>
            <w:tcW w:w="693" w:type="dxa"/>
            <w:noWrap/>
            <w:hideMark/>
          </w:tcPr>
          <w:p w14:paraId="716F6C1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3.6%</w:t>
            </w:r>
          </w:p>
        </w:tc>
        <w:tc>
          <w:tcPr>
            <w:tcW w:w="835" w:type="dxa"/>
            <w:noWrap/>
            <w:hideMark/>
          </w:tcPr>
          <w:p w14:paraId="5A92B526"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6.3%</w:t>
            </w:r>
          </w:p>
        </w:tc>
      </w:tr>
      <w:tr w:rsidR="001B7E01" w:rsidRPr="00D8200B" w14:paraId="3EA073A4" w14:textId="77777777" w:rsidTr="00FA6DB7">
        <w:trPr>
          <w:trHeight w:val="227"/>
        </w:trPr>
        <w:tc>
          <w:tcPr>
            <w:tcW w:w="2972" w:type="dxa"/>
            <w:noWrap/>
            <w:hideMark/>
          </w:tcPr>
          <w:p w14:paraId="2DC77467" w14:textId="34F9A5C1"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Other farm, forestry, garden worker</w:t>
            </w:r>
          </w:p>
        </w:tc>
        <w:tc>
          <w:tcPr>
            <w:tcW w:w="693" w:type="dxa"/>
            <w:noWrap/>
            <w:hideMark/>
          </w:tcPr>
          <w:p w14:paraId="57C9582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4.8%</w:t>
            </w:r>
          </w:p>
        </w:tc>
        <w:tc>
          <w:tcPr>
            <w:tcW w:w="693" w:type="dxa"/>
            <w:noWrap/>
            <w:hideMark/>
          </w:tcPr>
          <w:p w14:paraId="6246B31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5.3%</w:t>
            </w:r>
          </w:p>
        </w:tc>
        <w:tc>
          <w:tcPr>
            <w:tcW w:w="693" w:type="dxa"/>
            <w:noWrap/>
            <w:hideMark/>
          </w:tcPr>
          <w:p w14:paraId="4D526A8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5.9%</w:t>
            </w:r>
          </w:p>
        </w:tc>
        <w:tc>
          <w:tcPr>
            <w:tcW w:w="693" w:type="dxa"/>
            <w:noWrap/>
            <w:hideMark/>
          </w:tcPr>
          <w:p w14:paraId="6DCD94B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9.6%</w:t>
            </w:r>
          </w:p>
        </w:tc>
        <w:tc>
          <w:tcPr>
            <w:tcW w:w="693" w:type="dxa"/>
            <w:noWrap/>
            <w:hideMark/>
          </w:tcPr>
          <w:p w14:paraId="02CED18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6.5%</w:t>
            </w:r>
          </w:p>
        </w:tc>
        <w:tc>
          <w:tcPr>
            <w:tcW w:w="693" w:type="dxa"/>
            <w:noWrap/>
            <w:hideMark/>
          </w:tcPr>
          <w:p w14:paraId="5348DF9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6.7%</w:t>
            </w:r>
          </w:p>
        </w:tc>
        <w:tc>
          <w:tcPr>
            <w:tcW w:w="693" w:type="dxa"/>
            <w:noWrap/>
            <w:hideMark/>
          </w:tcPr>
          <w:p w14:paraId="2DB5880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5.0%</w:t>
            </w:r>
          </w:p>
        </w:tc>
        <w:tc>
          <w:tcPr>
            <w:tcW w:w="693" w:type="dxa"/>
            <w:noWrap/>
            <w:hideMark/>
          </w:tcPr>
          <w:p w14:paraId="282F8666"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5.0%</w:t>
            </w:r>
          </w:p>
        </w:tc>
        <w:tc>
          <w:tcPr>
            <w:tcW w:w="835" w:type="dxa"/>
            <w:noWrap/>
            <w:hideMark/>
          </w:tcPr>
          <w:p w14:paraId="4243D07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5.7%</w:t>
            </w:r>
          </w:p>
        </w:tc>
      </w:tr>
      <w:tr w:rsidR="001B7E01" w:rsidRPr="00D8200B" w14:paraId="1EB6A7EE" w14:textId="77777777" w:rsidTr="00FA6DB7">
        <w:trPr>
          <w:trHeight w:val="227"/>
        </w:trPr>
        <w:tc>
          <w:tcPr>
            <w:tcW w:w="2972" w:type="dxa"/>
            <w:noWrap/>
            <w:hideMark/>
          </w:tcPr>
          <w:p w14:paraId="2C812655"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Other hospitality, tourism &amp; sport</w:t>
            </w:r>
          </w:p>
        </w:tc>
        <w:tc>
          <w:tcPr>
            <w:tcW w:w="693" w:type="dxa"/>
            <w:noWrap/>
            <w:hideMark/>
          </w:tcPr>
          <w:p w14:paraId="71A856DA"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5.6%</w:t>
            </w:r>
          </w:p>
        </w:tc>
        <w:tc>
          <w:tcPr>
            <w:tcW w:w="693" w:type="dxa"/>
            <w:noWrap/>
            <w:hideMark/>
          </w:tcPr>
          <w:p w14:paraId="6218F07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4.9%</w:t>
            </w:r>
          </w:p>
        </w:tc>
        <w:tc>
          <w:tcPr>
            <w:tcW w:w="693" w:type="dxa"/>
            <w:noWrap/>
            <w:hideMark/>
          </w:tcPr>
          <w:p w14:paraId="71CCF3A4"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5.5%</w:t>
            </w:r>
          </w:p>
        </w:tc>
        <w:tc>
          <w:tcPr>
            <w:tcW w:w="693" w:type="dxa"/>
            <w:noWrap/>
            <w:hideMark/>
          </w:tcPr>
          <w:p w14:paraId="5EABDD8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3.9%</w:t>
            </w:r>
          </w:p>
        </w:tc>
        <w:tc>
          <w:tcPr>
            <w:tcW w:w="693" w:type="dxa"/>
            <w:noWrap/>
            <w:hideMark/>
          </w:tcPr>
          <w:p w14:paraId="025F578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4.2%</w:t>
            </w:r>
          </w:p>
        </w:tc>
        <w:tc>
          <w:tcPr>
            <w:tcW w:w="693" w:type="dxa"/>
            <w:noWrap/>
            <w:hideMark/>
          </w:tcPr>
          <w:p w14:paraId="1EAE49D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2.3%</w:t>
            </w:r>
          </w:p>
        </w:tc>
        <w:tc>
          <w:tcPr>
            <w:tcW w:w="693" w:type="dxa"/>
            <w:noWrap/>
            <w:hideMark/>
          </w:tcPr>
          <w:p w14:paraId="1F545903"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10.4%</w:t>
            </w:r>
          </w:p>
        </w:tc>
        <w:tc>
          <w:tcPr>
            <w:tcW w:w="693" w:type="dxa"/>
            <w:noWrap/>
            <w:hideMark/>
          </w:tcPr>
          <w:p w14:paraId="01E79BA4"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6.3%</w:t>
            </w:r>
          </w:p>
        </w:tc>
        <w:tc>
          <w:tcPr>
            <w:tcW w:w="835" w:type="dxa"/>
            <w:noWrap/>
            <w:hideMark/>
          </w:tcPr>
          <w:p w14:paraId="2D4A83F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5.2%</w:t>
            </w:r>
          </w:p>
        </w:tc>
      </w:tr>
      <w:tr w:rsidR="001B7E01" w:rsidRPr="00D8200B" w14:paraId="10E756F3" w14:textId="77777777" w:rsidTr="00FA6DB7">
        <w:trPr>
          <w:trHeight w:val="227"/>
        </w:trPr>
        <w:tc>
          <w:tcPr>
            <w:tcW w:w="2972" w:type="dxa"/>
            <w:noWrap/>
            <w:hideMark/>
          </w:tcPr>
          <w:p w14:paraId="60551B38"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Hand packer</w:t>
            </w:r>
          </w:p>
        </w:tc>
        <w:tc>
          <w:tcPr>
            <w:tcW w:w="693" w:type="dxa"/>
            <w:noWrap/>
            <w:hideMark/>
          </w:tcPr>
          <w:p w14:paraId="3C02114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3.2%</w:t>
            </w:r>
          </w:p>
        </w:tc>
        <w:tc>
          <w:tcPr>
            <w:tcW w:w="693" w:type="dxa"/>
            <w:noWrap/>
            <w:hideMark/>
          </w:tcPr>
          <w:p w14:paraId="365EAEA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4.9%</w:t>
            </w:r>
          </w:p>
        </w:tc>
        <w:tc>
          <w:tcPr>
            <w:tcW w:w="693" w:type="dxa"/>
            <w:noWrap/>
            <w:hideMark/>
          </w:tcPr>
          <w:p w14:paraId="695E59C3"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6.1%</w:t>
            </w:r>
          </w:p>
        </w:tc>
        <w:tc>
          <w:tcPr>
            <w:tcW w:w="693" w:type="dxa"/>
            <w:noWrap/>
            <w:hideMark/>
          </w:tcPr>
          <w:p w14:paraId="63A670AB"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6.2%</w:t>
            </w:r>
          </w:p>
        </w:tc>
        <w:tc>
          <w:tcPr>
            <w:tcW w:w="693" w:type="dxa"/>
            <w:noWrap/>
            <w:hideMark/>
          </w:tcPr>
          <w:p w14:paraId="033D405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3.6%</w:t>
            </w:r>
          </w:p>
        </w:tc>
        <w:tc>
          <w:tcPr>
            <w:tcW w:w="693" w:type="dxa"/>
            <w:noWrap/>
            <w:hideMark/>
          </w:tcPr>
          <w:p w14:paraId="5FDB0D5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6.8%</w:t>
            </w:r>
          </w:p>
        </w:tc>
        <w:tc>
          <w:tcPr>
            <w:tcW w:w="693" w:type="dxa"/>
            <w:noWrap/>
            <w:hideMark/>
          </w:tcPr>
          <w:p w14:paraId="719CCA5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1.8%</w:t>
            </w:r>
          </w:p>
        </w:tc>
        <w:tc>
          <w:tcPr>
            <w:tcW w:w="693" w:type="dxa"/>
            <w:noWrap/>
            <w:hideMark/>
          </w:tcPr>
          <w:p w14:paraId="270B010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0.9%</w:t>
            </w:r>
          </w:p>
        </w:tc>
        <w:tc>
          <w:tcPr>
            <w:tcW w:w="835" w:type="dxa"/>
            <w:noWrap/>
            <w:hideMark/>
          </w:tcPr>
          <w:p w14:paraId="6C338E4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4.6%</w:t>
            </w:r>
          </w:p>
        </w:tc>
      </w:tr>
      <w:tr w:rsidR="001B7E01" w:rsidRPr="00D8200B" w14:paraId="6EA1A5CA" w14:textId="77777777" w:rsidTr="00FA6DB7">
        <w:trPr>
          <w:trHeight w:val="227"/>
        </w:trPr>
        <w:tc>
          <w:tcPr>
            <w:tcW w:w="2972" w:type="dxa"/>
            <w:noWrap/>
            <w:hideMark/>
          </w:tcPr>
          <w:p w14:paraId="15FF71A3"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 xml:space="preserve">Nanny or </w:t>
            </w:r>
            <w:proofErr w:type="spellStart"/>
            <w:r w:rsidRPr="00B07BAC">
              <w:rPr>
                <w:rFonts w:ascii="Calibri" w:eastAsia="Times New Roman" w:hAnsi="Calibri" w:cs="Calibri"/>
                <w:sz w:val="18"/>
                <w:szCs w:val="18"/>
                <w:lang w:eastAsia="en-AU"/>
              </w:rPr>
              <w:t>aupair</w:t>
            </w:r>
            <w:proofErr w:type="spellEnd"/>
          </w:p>
        </w:tc>
        <w:tc>
          <w:tcPr>
            <w:tcW w:w="693" w:type="dxa"/>
            <w:noWrap/>
            <w:hideMark/>
          </w:tcPr>
          <w:p w14:paraId="03B7270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4.7%</w:t>
            </w:r>
          </w:p>
        </w:tc>
        <w:tc>
          <w:tcPr>
            <w:tcW w:w="693" w:type="dxa"/>
            <w:noWrap/>
            <w:hideMark/>
          </w:tcPr>
          <w:p w14:paraId="2460DC7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4.1%</w:t>
            </w:r>
          </w:p>
        </w:tc>
        <w:tc>
          <w:tcPr>
            <w:tcW w:w="693" w:type="dxa"/>
            <w:noWrap/>
            <w:hideMark/>
          </w:tcPr>
          <w:p w14:paraId="32F74994"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3.0%</w:t>
            </w:r>
          </w:p>
        </w:tc>
        <w:tc>
          <w:tcPr>
            <w:tcW w:w="693" w:type="dxa"/>
            <w:noWrap/>
            <w:hideMark/>
          </w:tcPr>
          <w:p w14:paraId="53CE8603"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3.5%</w:t>
            </w:r>
          </w:p>
        </w:tc>
        <w:tc>
          <w:tcPr>
            <w:tcW w:w="693" w:type="dxa"/>
            <w:noWrap/>
            <w:hideMark/>
          </w:tcPr>
          <w:p w14:paraId="34F7F35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4.8%</w:t>
            </w:r>
          </w:p>
        </w:tc>
        <w:tc>
          <w:tcPr>
            <w:tcW w:w="693" w:type="dxa"/>
            <w:noWrap/>
            <w:hideMark/>
          </w:tcPr>
          <w:p w14:paraId="273FFB3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0.9%</w:t>
            </w:r>
          </w:p>
        </w:tc>
        <w:tc>
          <w:tcPr>
            <w:tcW w:w="693" w:type="dxa"/>
            <w:noWrap/>
            <w:hideMark/>
          </w:tcPr>
          <w:p w14:paraId="5C9480C8"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2.5%</w:t>
            </w:r>
          </w:p>
        </w:tc>
        <w:tc>
          <w:tcPr>
            <w:tcW w:w="693" w:type="dxa"/>
            <w:noWrap/>
            <w:hideMark/>
          </w:tcPr>
          <w:p w14:paraId="481D6DC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20.7%</w:t>
            </w:r>
          </w:p>
        </w:tc>
        <w:tc>
          <w:tcPr>
            <w:tcW w:w="835" w:type="dxa"/>
            <w:noWrap/>
            <w:hideMark/>
          </w:tcPr>
          <w:p w14:paraId="2C08F4BC"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4.0%</w:t>
            </w:r>
          </w:p>
        </w:tc>
      </w:tr>
      <w:tr w:rsidR="001B7E01" w:rsidRPr="00D8200B" w14:paraId="110EA72A" w14:textId="77777777" w:rsidTr="00FA6DB7">
        <w:trPr>
          <w:trHeight w:val="227"/>
        </w:trPr>
        <w:tc>
          <w:tcPr>
            <w:tcW w:w="2972" w:type="dxa"/>
            <w:noWrap/>
            <w:hideMark/>
          </w:tcPr>
          <w:p w14:paraId="4A6219E3" w14:textId="13F35B3E"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Meat, chicken</w:t>
            </w:r>
            <w:r w:rsidR="00B07BAC">
              <w:rPr>
                <w:rFonts w:ascii="Calibri" w:eastAsia="Times New Roman" w:hAnsi="Calibri" w:cs="Calibri"/>
                <w:sz w:val="18"/>
                <w:szCs w:val="18"/>
                <w:lang w:eastAsia="en-AU"/>
              </w:rPr>
              <w:t>,</w:t>
            </w:r>
            <w:r w:rsidRPr="00B07BAC">
              <w:rPr>
                <w:rFonts w:ascii="Calibri" w:eastAsia="Times New Roman" w:hAnsi="Calibri" w:cs="Calibri"/>
                <w:sz w:val="18"/>
                <w:szCs w:val="18"/>
                <w:lang w:eastAsia="en-AU"/>
              </w:rPr>
              <w:t xml:space="preserve"> fish process worker</w:t>
            </w:r>
          </w:p>
        </w:tc>
        <w:tc>
          <w:tcPr>
            <w:tcW w:w="693" w:type="dxa"/>
            <w:noWrap/>
            <w:hideMark/>
          </w:tcPr>
          <w:p w14:paraId="3087FBB2"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4.1%</w:t>
            </w:r>
          </w:p>
        </w:tc>
        <w:tc>
          <w:tcPr>
            <w:tcW w:w="693" w:type="dxa"/>
            <w:noWrap/>
            <w:hideMark/>
          </w:tcPr>
          <w:p w14:paraId="6BCFBA8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3.7%</w:t>
            </w:r>
          </w:p>
        </w:tc>
        <w:tc>
          <w:tcPr>
            <w:tcW w:w="693" w:type="dxa"/>
            <w:noWrap/>
            <w:hideMark/>
          </w:tcPr>
          <w:p w14:paraId="1B337ED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3.1%</w:t>
            </w:r>
          </w:p>
        </w:tc>
        <w:tc>
          <w:tcPr>
            <w:tcW w:w="693" w:type="dxa"/>
            <w:noWrap/>
            <w:hideMark/>
          </w:tcPr>
          <w:p w14:paraId="219702E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3.7%</w:t>
            </w:r>
          </w:p>
        </w:tc>
        <w:tc>
          <w:tcPr>
            <w:tcW w:w="693" w:type="dxa"/>
            <w:noWrap/>
            <w:hideMark/>
          </w:tcPr>
          <w:p w14:paraId="39576C94"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3.8%</w:t>
            </w:r>
          </w:p>
        </w:tc>
        <w:tc>
          <w:tcPr>
            <w:tcW w:w="693" w:type="dxa"/>
            <w:noWrap/>
            <w:hideMark/>
          </w:tcPr>
          <w:p w14:paraId="69ED2BA0"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1.7%</w:t>
            </w:r>
          </w:p>
        </w:tc>
        <w:tc>
          <w:tcPr>
            <w:tcW w:w="693" w:type="dxa"/>
            <w:noWrap/>
            <w:hideMark/>
          </w:tcPr>
          <w:p w14:paraId="4AAF8C5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0.8%</w:t>
            </w:r>
          </w:p>
        </w:tc>
        <w:tc>
          <w:tcPr>
            <w:tcW w:w="693" w:type="dxa"/>
            <w:noWrap/>
            <w:hideMark/>
          </w:tcPr>
          <w:p w14:paraId="4BA8B38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1.8%</w:t>
            </w:r>
          </w:p>
        </w:tc>
        <w:tc>
          <w:tcPr>
            <w:tcW w:w="835" w:type="dxa"/>
            <w:noWrap/>
            <w:hideMark/>
          </w:tcPr>
          <w:p w14:paraId="21FD64B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3.4%</w:t>
            </w:r>
          </w:p>
        </w:tc>
      </w:tr>
      <w:tr w:rsidR="001B7E01" w:rsidRPr="00D8200B" w14:paraId="41450288" w14:textId="77777777" w:rsidTr="00FA6DB7">
        <w:trPr>
          <w:trHeight w:val="227"/>
        </w:trPr>
        <w:tc>
          <w:tcPr>
            <w:tcW w:w="2972" w:type="dxa"/>
            <w:noWrap/>
            <w:hideMark/>
          </w:tcPr>
          <w:p w14:paraId="7A2FBD70"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Building labourer</w:t>
            </w:r>
          </w:p>
        </w:tc>
        <w:tc>
          <w:tcPr>
            <w:tcW w:w="693" w:type="dxa"/>
            <w:noWrap/>
            <w:hideMark/>
          </w:tcPr>
          <w:p w14:paraId="148360F6"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3.9%</w:t>
            </w:r>
          </w:p>
        </w:tc>
        <w:tc>
          <w:tcPr>
            <w:tcW w:w="693" w:type="dxa"/>
            <w:noWrap/>
            <w:hideMark/>
          </w:tcPr>
          <w:p w14:paraId="0F2B66C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3.3%</w:t>
            </w:r>
          </w:p>
        </w:tc>
        <w:tc>
          <w:tcPr>
            <w:tcW w:w="693" w:type="dxa"/>
            <w:noWrap/>
            <w:hideMark/>
          </w:tcPr>
          <w:p w14:paraId="0F13B17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1.9%</w:t>
            </w:r>
          </w:p>
        </w:tc>
        <w:tc>
          <w:tcPr>
            <w:tcW w:w="693" w:type="dxa"/>
            <w:noWrap/>
            <w:hideMark/>
          </w:tcPr>
          <w:p w14:paraId="018C311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4.4%</w:t>
            </w:r>
          </w:p>
        </w:tc>
        <w:tc>
          <w:tcPr>
            <w:tcW w:w="693" w:type="dxa"/>
            <w:noWrap/>
            <w:hideMark/>
          </w:tcPr>
          <w:p w14:paraId="7A4534A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3.4%</w:t>
            </w:r>
          </w:p>
        </w:tc>
        <w:tc>
          <w:tcPr>
            <w:tcW w:w="693" w:type="dxa"/>
            <w:noWrap/>
            <w:hideMark/>
          </w:tcPr>
          <w:p w14:paraId="4C019B9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1.1%</w:t>
            </w:r>
          </w:p>
        </w:tc>
        <w:tc>
          <w:tcPr>
            <w:tcW w:w="693" w:type="dxa"/>
            <w:noWrap/>
            <w:hideMark/>
          </w:tcPr>
          <w:p w14:paraId="74BB131F"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4.4%</w:t>
            </w:r>
          </w:p>
        </w:tc>
        <w:tc>
          <w:tcPr>
            <w:tcW w:w="693" w:type="dxa"/>
            <w:noWrap/>
            <w:hideMark/>
          </w:tcPr>
          <w:p w14:paraId="47D9849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4.1%</w:t>
            </w:r>
          </w:p>
        </w:tc>
        <w:tc>
          <w:tcPr>
            <w:tcW w:w="835" w:type="dxa"/>
            <w:noWrap/>
            <w:hideMark/>
          </w:tcPr>
          <w:p w14:paraId="7EC0B0A1"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3.1%</w:t>
            </w:r>
          </w:p>
        </w:tc>
      </w:tr>
      <w:tr w:rsidR="001B7E01" w:rsidRPr="00D8200B" w14:paraId="1D8CB922" w14:textId="77777777" w:rsidTr="00FA6DB7">
        <w:trPr>
          <w:trHeight w:val="227"/>
        </w:trPr>
        <w:tc>
          <w:tcPr>
            <w:tcW w:w="2972" w:type="dxa"/>
            <w:noWrap/>
            <w:hideMark/>
          </w:tcPr>
          <w:p w14:paraId="0F7EE091" w14:textId="77777777" w:rsidR="00D8200B" w:rsidRPr="00B07BAC" w:rsidRDefault="00D8200B" w:rsidP="0074359C">
            <w:pPr>
              <w:keepNext/>
              <w:keepLines/>
              <w:spacing w:before="0"/>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Kitchen hand</w:t>
            </w:r>
          </w:p>
        </w:tc>
        <w:tc>
          <w:tcPr>
            <w:tcW w:w="693" w:type="dxa"/>
            <w:noWrap/>
            <w:hideMark/>
          </w:tcPr>
          <w:p w14:paraId="1179E741"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2.1%</w:t>
            </w:r>
          </w:p>
        </w:tc>
        <w:tc>
          <w:tcPr>
            <w:tcW w:w="693" w:type="dxa"/>
            <w:noWrap/>
            <w:hideMark/>
          </w:tcPr>
          <w:p w14:paraId="0CA9748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2.3%</w:t>
            </w:r>
          </w:p>
        </w:tc>
        <w:tc>
          <w:tcPr>
            <w:tcW w:w="693" w:type="dxa"/>
            <w:noWrap/>
            <w:hideMark/>
          </w:tcPr>
          <w:p w14:paraId="5BE7C5DE"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2.7%</w:t>
            </w:r>
          </w:p>
        </w:tc>
        <w:tc>
          <w:tcPr>
            <w:tcW w:w="693" w:type="dxa"/>
            <w:noWrap/>
            <w:hideMark/>
          </w:tcPr>
          <w:p w14:paraId="659EAE4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1.3%</w:t>
            </w:r>
          </w:p>
        </w:tc>
        <w:tc>
          <w:tcPr>
            <w:tcW w:w="693" w:type="dxa"/>
            <w:noWrap/>
            <w:hideMark/>
          </w:tcPr>
          <w:p w14:paraId="13912227"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3.5%</w:t>
            </w:r>
          </w:p>
        </w:tc>
        <w:tc>
          <w:tcPr>
            <w:tcW w:w="693" w:type="dxa"/>
            <w:noWrap/>
            <w:hideMark/>
          </w:tcPr>
          <w:p w14:paraId="41D800C5"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1.0%</w:t>
            </w:r>
          </w:p>
        </w:tc>
        <w:tc>
          <w:tcPr>
            <w:tcW w:w="693" w:type="dxa"/>
            <w:noWrap/>
            <w:hideMark/>
          </w:tcPr>
          <w:p w14:paraId="16A24DCD"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4.4%</w:t>
            </w:r>
          </w:p>
        </w:tc>
        <w:tc>
          <w:tcPr>
            <w:tcW w:w="693" w:type="dxa"/>
            <w:noWrap/>
            <w:hideMark/>
          </w:tcPr>
          <w:p w14:paraId="6B8F68D8"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0.9%</w:t>
            </w:r>
          </w:p>
        </w:tc>
        <w:tc>
          <w:tcPr>
            <w:tcW w:w="835" w:type="dxa"/>
            <w:noWrap/>
            <w:hideMark/>
          </w:tcPr>
          <w:p w14:paraId="77B60939" w14:textId="77777777" w:rsidR="00D8200B" w:rsidRPr="00B07BAC" w:rsidRDefault="00D8200B" w:rsidP="0074359C">
            <w:pPr>
              <w:keepNext/>
              <w:keepLines/>
              <w:spacing w:before="0"/>
              <w:jc w:val="right"/>
              <w:rPr>
                <w:rFonts w:ascii="Calibri" w:eastAsia="Times New Roman" w:hAnsi="Calibri" w:cs="Calibri"/>
                <w:sz w:val="18"/>
                <w:szCs w:val="18"/>
                <w:lang w:eastAsia="en-AU"/>
              </w:rPr>
            </w:pPr>
            <w:r w:rsidRPr="00B07BAC">
              <w:rPr>
                <w:rFonts w:ascii="Calibri" w:eastAsia="Times New Roman" w:hAnsi="Calibri" w:cs="Calibri"/>
                <w:sz w:val="18"/>
                <w:szCs w:val="18"/>
                <w:lang w:eastAsia="en-AU"/>
              </w:rPr>
              <w:t>2.5%</w:t>
            </w:r>
          </w:p>
        </w:tc>
      </w:tr>
      <w:tr w:rsidR="001B7E01" w:rsidRPr="00D8200B" w14:paraId="2C16753F" w14:textId="77777777" w:rsidTr="00FA6DB7">
        <w:trPr>
          <w:trHeight w:val="227"/>
        </w:trPr>
        <w:tc>
          <w:tcPr>
            <w:tcW w:w="2972" w:type="dxa"/>
            <w:noWrap/>
          </w:tcPr>
          <w:p w14:paraId="54F34B17" w14:textId="4AAFA95C" w:rsidR="00A44985" w:rsidRPr="00B07BAC" w:rsidRDefault="00A44985" w:rsidP="00A44985">
            <w:pPr>
              <w:keepNext/>
              <w:keepLines/>
              <w:spacing w:before="0"/>
              <w:rPr>
                <w:rFonts w:ascii="Calibri" w:eastAsia="Times New Roman" w:hAnsi="Calibri" w:cs="Calibri"/>
                <w:sz w:val="18"/>
                <w:szCs w:val="18"/>
                <w:lang w:eastAsia="en-AU"/>
              </w:rPr>
            </w:pPr>
            <w:r>
              <w:rPr>
                <w:rFonts w:ascii="Calibri" w:eastAsia="Times New Roman" w:hAnsi="Calibri" w:cs="Calibri"/>
                <w:sz w:val="18"/>
                <w:szCs w:val="18"/>
                <w:lang w:eastAsia="en-AU"/>
              </w:rPr>
              <w:t>Total (n)</w:t>
            </w:r>
          </w:p>
        </w:tc>
        <w:tc>
          <w:tcPr>
            <w:tcW w:w="693" w:type="dxa"/>
            <w:noWrap/>
          </w:tcPr>
          <w:p w14:paraId="1494A413" w14:textId="4B632A2B"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6</w:t>
            </w:r>
            <w:r w:rsidR="0005525F" w:rsidRPr="0063713A">
              <w:rPr>
                <w:rFonts w:ascii="Calibri" w:hAnsi="Calibri" w:cs="Calibri"/>
                <w:sz w:val="18"/>
                <w:szCs w:val="18"/>
              </w:rPr>
              <w:t>,</w:t>
            </w:r>
            <w:r w:rsidRPr="0063713A">
              <w:rPr>
                <w:rFonts w:ascii="Calibri" w:hAnsi="Calibri" w:cs="Calibri"/>
                <w:sz w:val="18"/>
                <w:szCs w:val="18"/>
              </w:rPr>
              <w:t>266</w:t>
            </w:r>
          </w:p>
        </w:tc>
        <w:tc>
          <w:tcPr>
            <w:tcW w:w="693" w:type="dxa"/>
            <w:noWrap/>
          </w:tcPr>
          <w:p w14:paraId="256723E7" w14:textId="365598C6"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5</w:t>
            </w:r>
            <w:r w:rsidR="0005525F" w:rsidRPr="0063713A">
              <w:rPr>
                <w:rFonts w:ascii="Calibri" w:hAnsi="Calibri" w:cs="Calibri"/>
                <w:sz w:val="18"/>
                <w:szCs w:val="18"/>
              </w:rPr>
              <w:t>,</w:t>
            </w:r>
            <w:r w:rsidRPr="0063713A">
              <w:rPr>
                <w:rFonts w:ascii="Calibri" w:hAnsi="Calibri" w:cs="Calibri"/>
                <w:sz w:val="18"/>
                <w:szCs w:val="18"/>
              </w:rPr>
              <w:t>107</w:t>
            </w:r>
          </w:p>
        </w:tc>
        <w:tc>
          <w:tcPr>
            <w:tcW w:w="693" w:type="dxa"/>
            <w:noWrap/>
          </w:tcPr>
          <w:p w14:paraId="00D914D6" w14:textId="0CD2C604"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6</w:t>
            </w:r>
            <w:r w:rsidR="0005525F" w:rsidRPr="0063713A">
              <w:rPr>
                <w:rFonts w:ascii="Calibri" w:hAnsi="Calibri" w:cs="Calibri"/>
                <w:sz w:val="18"/>
                <w:szCs w:val="18"/>
              </w:rPr>
              <w:t>,</w:t>
            </w:r>
            <w:r w:rsidRPr="0063713A">
              <w:rPr>
                <w:rFonts w:ascii="Calibri" w:hAnsi="Calibri" w:cs="Calibri"/>
                <w:sz w:val="18"/>
                <w:szCs w:val="18"/>
              </w:rPr>
              <w:t>325</w:t>
            </w:r>
          </w:p>
        </w:tc>
        <w:tc>
          <w:tcPr>
            <w:tcW w:w="693" w:type="dxa"/>
            <w:noWrap/>
          </w:tcPr>
          <w:p w14:paraId="230106E6" w14:textId="4EA27D86"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941</w:t>
            </w:r>
          </w:p>
        </w:tc>
        <w:tc>
          <w:tcPr>
            <w:tcW w:w="693" w:type="dxa"/>
            <w:noWrap/>
          </w:tcPr>
          <w:p w14:paraId="79725F06" w14:textId="4AB64EC0"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2</w:t>
            </w:r>
            <w:r w:rsidR="0005525F" w:rsidRPr="0063713A">
              <w:rPr>
                <w:rFonts w:ascii="Calibri" w:hAnsi="Calibri" w:cs="Calibri"/>
                <w:sz w:val="18"/>
                <w:szCs w:val="18"/>
              </w:rPr>
              <w:t>,</w:t>
            </w:r>
            <w:r w:rsidRPr="0063713A">
              <w:rPr>
                <w:rFonts w:ascii="Calibri" w:hAnsi="Calibri" w:cs="Calibri"/>
                <w:sz w:val="18"/>
                <w:szCs w:val="18"/>
              </w:rPr>
              <w:t>861</w:t>
            </w:r>
          </w:p>
        </w:tc>
        <w:tc>
          <w:tcPr>
            <w:tcW w:w="693" w:type="dxa"/>
            <w:noWrap/>
          </w:tcPr>
          <w:p w14:paraId="33B45ABC" w14:textId="300F2192"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916</w:t>
            </w:r>
          </w:p>
        </w:tc>
        <w:tc>
          <w:tcPr>
            <w:tcW w:w="693" w:type="dxa"/>
            <w:noWrap/>
          </w:tcPr>
          <w:p w14:paraId="2909AF99" w14:textId="4F87AF69"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757</w:t>
            </w:r>
          </w:p>
        </w:tc>
        <w:tc>
          <w:tcPr>
            <w:tcW w:w="693" w:type="dxa"/>
            <w:noWrap/>
          </w:tcPr>
          <w:p w14:paraId="73A23721" w14:textId="23613307"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222</w:t>
            </w:r>
          </w:p>
        </w:tc>
        <w:tc>
          <w:tcPr>
            <w:tcW w:w="835" w:type="dxa"/>
            <w:noWrap/>
          </w:tcPr>
          <w:p w14:paraId="3129CFD2" w14:textId="0BC9EEAD" w:rsidR="00A44985" w:rsidRPr="009131F5" w:rsidRDefault="00A44985" w:rsidP="00A44985">
            <w:pPr>
              <w:keepNext/>
              <w:keepLines/>
              <w:spacing w:before="0"/>
              <w:jc w:val="right"/>
              <w:rPr>
                <w:rFonts w:ascii="Calibri" w:eastAsia="Times New Roman" w:hAnsi="Calibri" w:cs="Calibri"/>
                <w:sz w:val="18"/>
                <w:szCs w:val="18"/>
                <w:lang w:eastAsia="en-AU"/>
              </w:rPr>
            </w:pPr>
            <w:r w:rsidRPr="0063713A">
              <w:rPr>
                <w:rFonts w:ascii="Calibri" w:hAnsi="Calibri" w:cs="Calibri"/>
                <w:sz w:val="18"/>
                <w:szCs w:val="18"/>
              </w:rPr>
              <w:t>23</w:t>
            </w:r>
            <w:r w:rsidR="0005525F" w:rsidRPr="0063713A">
              <w:rPr>
                <w:rFonts w:ascii="Calibri" w:hAnsi="Calibri" w:cs="Calibri"/>
                <w:sz w:val="18"/>
                <w:szCs w:val="18"/>
              </w:rPr>
              <w:t>,</w:t>
            </w:r>
            <w:r w:rsidRPr="0063713A">
              <w:rPr>
                <w:rFonts w:ascii="Calibri" w:hAnsi="Calibri" w:cs="Calibri"/>
                <w:sz w:val="18"/>
                <w:szCs w:val="18"/>
              </w:rPr>
              <w:t>395</w:t>
            </w:r>
          </w:p>
        </w:tc>
      </w:tr>
    </w:tbl>
    <w:p w14:paraId="023BD1D1" w14:textId="541C2274" w:rsidR="00E2720F" w:rsidRDefault="00E2720F" w:rsidP="0074359C">
      <w:pPr>
        <w:pStyle w:val="Tablenote"/>
        <w:keepNext/>
        <w:keepLines/>
      </w:pPr>
      <w:r w:rsidRPr="00582224">
        <w:t>Note</w:t>
      </w:r>
      <w:r w:rsidR="0024081F">
        <w:t>,</w:t>
      </w:r>
      <w:r w:rsidRPr="00582224">
        <w:t xml:space="preserve"> Data from </w:t>
      </w:r>
      <w:r>
        <w:t xml:space="preserve">10 </w:t>
      </w:r>
      <w:r w:rsidR="0072519D">
        <w:t xml:space="preserve">ANZSCO </w:t>
      </w:r>
      <w:r w:rsidR="003D331A">
        <w:fldChar w:fldCharType="begin"/>
      </w:r>
      <w:r w:rsidR="00CC7B00">
        <w:instrText xml:space="preserve"> ADDIN EN.CITE &lt;EndNote&gt;&lt;Cite&gt;&lt;Author&gt;ABS&lt;/Author&gt;&lt;Year&gt;2019&lt;/Year&gt;&lt;RecNum&gt;29&lt;/RecNum&gt;&lt;DisplayText&gt;(ABS, 2019)&lt;/DisplayText&gt;&lt;record&gt;&lt;rec-number&gt;29&lt;/rec-number&gt;&lt;foreign-keys&gt;&lt;key app="EN" db-id="r5sv9zwer2dw2pexz935edzbrpsweevtw5ed" timestamp="1607302674"&gt;29&lt;/key&gt;&lt;/foreign-keys&gt;&lt;ref-type name="Dataset"&gt;59&lt;/ref-type&gt;&lt;contributors&gt;&lt;authors&gt;&lt;author&gt;ABS&lt;/author&gt;&lt;/authors&gt;&lt;secondary-authors&gt;&lt;author&gt;Australian Bureau of Statistics,&lt;/author&gt;&lt;/secondary-authors&gt;&lt;/contributors&gt;&lt;titles&gt;&lt;title&gt;ABS 1220.0 - ANZSCO - Australian and New Zealand Standard Classification of Occupations, Version 1.3&lt;/title&gt;&lt;/titles&gt;&lt;section&gt;05/11/2019&lt;/section&gt;&lt;dates&gt;&lt;year&gt;2019&lt;/year&gt;&lt;/dates&gt;&lt;urls&gt;&lt;related-urls&gt;&lt;url&gt;https://www.abs.gov.au/ANZSCO&lt;/url&gt;&lt;/related-urls&gt;&lt;/urls&gt;&lt;/record&gt;&lt;/Cite&gt;&lt;/EndNote&gt;</w:instrText>
      </w:r>
      <w:r w:rsidR="003D331A">
        <w:fldChar w:fldCharType="separate"/>
      </w:r>
      <w:r w:rsidR="00CC7B00">
        <w:t>(ABS, 2019)</w:t>
      </w:r>
      <w:r w:rsidR="003D331A">
        <w:fldChar w:fldCharType="end"/>
      </w:r>
      <w:r w:rsidR="0072519D">
        <w:t xml:space="preserve"> </w:t>
      </w:r>
      <w:r>
        <w:t>occupations</w:t>
      </w:r>
      <w:r w:rsidR="00E67CBC">
        <w:t xml:space="preserve"> representing 15,237 </w:t>
      </w:r>
      <w:r w:rsidR="00D44D34">
        <w:t>(6</w:t>
      </w:r>
      <w:r w:rsidR="008848C6">
        <w:t>5</w:t>
      </w:r>
      <w:r w:rsidR="00D44D34">
        <w:t>.</w:t>
      </w:r>
      <w:r w:rsidR="008848C6">
        <w:t>1</w:t>
      </w:r>
      <w:r w:rsidR="00D44D34">
        <w:t xml:space="preserve">%) </w:t>
      </w:r>
      <w:r w:rsidR="00E67CBC">
        <w:t>jobs</w:t>
      </w:r>
      <w:r w:rsidRPr="00582224">
        <w:t xml:space="preserve"> is presented in</w:t>
      </w:r>
      <w:r>
        <w:t xml:space="preserve"> the</w:t>
      </w:r>
      <w:r w:rsidRPr="00582224">
        <w:t xml:space="preserve"> table</w:t>
      </w:r>
      <w:r>
        <w:t>.</w:t>
      </w:r>
    </w:p>
    <w:p w14:paraId="7B833979" w14:textId="0FCB64D5" w:rsidR="00FF0529" w:rsidRDefault="00FF0529" w:rsidP="00FF0529">
      <w:pPr>
        <w:pStyle w:val="Tablenote"/>
      </w:pPr>
      <w:r w:rsidRPr="0029477C">
        <w:t xml:space="preserve">Source: </w:t>
      </w:r>
      <w:r w:rsidR="00533FC6">
        <w:t>WHM</w:t>
      </w:r>
      <w:r w:rsidRPr="0029477C">
        <w:t xml:space="preserve"> Survey, 2020.</w:t>
      </w:r>
    </w:p>
    <w:p w14:paraId="242E3544" w14:textId="431ABDD6" w:rsidR="00237BBB" w:rsidRDefault="005F406A" w:rsidP="00442701">
      <w:r>
        <w:t>Two in f</w:t>
      </w:r>
      <w:r w:rsidR="00FE2263">
        <w:t>ive (39.9%)</w:t>
      </w:r>
      <w:r>
        <w:t xml:space="preserve"> WHM jobs in Australia were in </w:t>
      </w:r>
      <w:r w:rsidR="00086C9D">
        <w:t xml:space="preserve">the </w:t>
      </w:r>
      <w:r w:rsidR="00846294">
        <w:t>industry group</w:t>
      </w:r>
      <w:r w:rsidR="00846294">
        <w:rPr>
          <w:rStyle w:val="FootnoteReference"/>
        </w:rPr>
        <w:footnoteReference w:id="15"/>
      </w:r>
      <w:r w:rsidR="009875AC">
        <w:t xml:space="preserve"> </w:t>
      </w:r>
      <w:r w:rsidR="00540E5D">
        <w:t>a</w:t>
      </w:r>
      <w:r w:rsidR="009875AC" w:rsidRPr="00540E5D">
        <w:t xml:space="preserve">griculture </w:t>
      </w:r>
      <w:r w:rsidR="7ED9C9B2" w:rsidRPr="00540E5D">
        <w:t>and</w:t>
      </w:r>
      <w:r w:rsidR="009875AC" w:rsidRPr="00540E5D">
        <w:t xml:space="preserve"> transport</w:t>
      </w:r>
      <w:r w:rsidR="009E2FDE" w:rsidRPr="29D6F3C6">
        <w:rPr>
          <w:i/>
          <w:iCs/>
        </w:rPr>
        <w:t xml:space="preserve"> </w:t>
      </w:r>
      <w:r w:rsidR="009E2FDE" w:rsidRPr="009E2FDE">
        <w:t>category</w:t>
      </w:r>
      <w:r w:rsidR="008C0AE1">
        <w:t>,</w:t>
      </w:r>
      <w:r w:rsidR="00086C9D">
        <w:t xml:space="preserve"> </w:t>
      </w:r>
      <w:r w:rsidR="008C0AE1">
        <w:t>with this industry making up</w:t>
      </w:r>
      <w:r w:rsidR="00FE2263">
        <w:t xml:space="preserve"> more than half</w:t>
      </w:r>
      <w:r w:rsidR="00D02515">
        <w:t xml:space="preserve"> of WHM jobs in Tasmania (79.7</w:t>
      </w:r>
      <w:r w:rsidR="00B07BAC">
        <w:t>%)</w:t>
      </w:r>
      <w:r w:rsidR="00D02515">
        <w:t>, South Australia (60.0%) and Queensland (50.9%</w:t>
      </w:r>
      <w:r w:rsidR="0071589A">
        <w:t xml:space="preserve">; see </w:t>
      </w:r>
      <w:r w:rsidR="0071589A">
        <w:fldChar w:fldCharType="begin"/>
      </w:r>
      <w:r w:rsidR="0071589A">
        <w:instrText xml:space="preserve"> REF _Ref73015339 \h </w:instrText>
      </w:r>
      <w:r w:rsidR="0071589A">
        <w:fldChar w:fldCharType="separate"/>
      </w:r>
      <w:r w:rsidR="00F22012">
        <w:t xml:space="preserve">Table </w:t>
      </w:r>
      <w:r w:rsidR="00F22012">
        <w:rPr>
          <w:noProof/>
        </w:rPr>
        <w:t>5</w:t>
      </w:r>
      <w:r w:rsidR="00F22012">
        <w:noBreakHyphen/>
      </w:r>
      <w:r w:rsidR="00F22012">
        <w:rPr>
          <w:noProof/>
        </w:rPr>
        <w:t>3</w:t>
      </w:r>
      <w:r w:rsidR="0071589A">
        <w:fldChar w:fldCharType="end"/>
      </w:r>
      <w:r w:rsidR="00D02515">
        <w:t>)</w:t>
      </w:r>
      <w:r w:rsidR="00024ADD">
        <w:t xml:space="preserve">. </w:t>
      </w:r>
      <w:r w:rsidR="0009544C">
        <w:t>Three</w:t>
      </w:r>
      <w:r w:rsidR="00763B10">
        <w:t xml:space="preserve"> in t</w:t>
      </w:r>
      <w:r w:rsidR="0009544C">
        <w:t>en</w:t>
      </w:r>
      <w:r w:rsidR="00763B10">
        <w:t xml:space="preserve"> jobs</w:t>
      </w:r>
      <w:r w:rsidR="00D04C33">
        <w:t xml:space="preserve"> (</w:t>
      </w:r>
      <w:r w:rsidR="0009544C">
        <w:t>29.6%)</w:t>
      </w:r>
      <w:r w:rsidR="00763B10">
        <w:t xml:space="preserve"> were in the </w:t>
      </w:r>
      <w:r w:rsidR="00F40F2D" w:rsidRPr="00F40F2D">
        <w:t>h</w:t>
      </w:r>
      <w:r w:rsidR="00763B10" w:rsidRPr="00F40F2D">
        <w:t xml:space="preserve">ospitality, tourism </w:t>
      </w:r>
      <w:r w:rsidR="00F40F2D">
        <w:t>and</w:t>
      </w:r>
      <w:r w:rsidR="00763B10" w:rsidRPr="00F40F2D">
        <w:t xml:space="preserve"> sport</w:t>
      </w:r>
      <w:r w:rsidR="00057A74">
        <w:t xml:space="preserve"> industry</w:t>
      </w:r>
      <w:r w:rsidR="00BA68F2">
        <w:t xml:space="preserve">, </w:t>
      </w:r>
      <w:r w:rsidR="00BE1084">
        <w:t>peaking with</w:t>
      </w:r>
      <w:r w:rsidR="00BA68F2">
        <w:t xml:space="preserve"> nearly half of Northern Territory </w:t>
      </w:r>
      <w:r w:rsidR="0074359C">
        <w:t xml:space="preserve">(46.6%) </w:t>
      </w:r>
      <w:r w:rsidR="00BA68F2">
        <w:t>WHMs</w:t>
      </w:r>
      <w:r w:rsidR="0074359C">
        <w:t xml:space="preserve">, and almost </w:t>
      </w:r>
      <w:r w:rsidR="00ED073B">
        <w:t>one</w:t>
      </w:r>
      <w:r w:rsidR="00AE6CE2">
        <w:t xml:space="preserve"> </w:t>
      </w:r>
      <w:r w:rsidR="0074359C">
        <w:t>third of New South Wales and Victorian WHM</w:t>
      </w:r>
      <w:r w:rsidR="008C0AE1">
        <w:t xml:space="preserve"> job</w:t>
      </w:r>
      <w:r w:rsidR="0074359C">
        <w:t>s</w:t>
      </w:r>
      <w:r w:rsidR="001B1046">
        <w:t>.</w:t>
      </w:r>
      <w:r w:rsidR="0086707A">
        <w:t xml:space="preserve"> </w:t>
      </w:r>
      <w:r w:rsidR="00F70AA5">
        <w:t>More than o</w:t>
      </w:r>
      <w:r w:rsidR="007724F7">
        <w:t xml:space="preserve">ne in ten jobs in </w:t>
      </w:r>
      <w:r w:rsidR="00F70AA5">
        <w:t xml:space="preserve">the Australian Capital Territory (12.4%), </w:t>
      </w:r>
      <w:r w:rsidR="00FA1716">
        <w:t>Northern Terr</w:t>
      </w:r>
      <w:r w:rsidR="00DF60BE">
        <w:t>itory (11.0%)</w:t>
      </w:r>
      <w:r w:rsidR="004B4D26">
        <w:t>, New South Wales (10.3%) and Western Australia (10.2%) were in</w:t>
      </w:r>
      <w:r w:rsidR="00F70AA5">
        <w:t xml:space="preserve"> c</w:t>
      </w:r>
      <w:r w:rsidR="0086707A">
        <w:t>onstruction and mining</w:t>
      </w:r>
      <w:r w:rsidR="004B4D26">
        <w:t>.</w:t>
      </w:r>
      <w:r w:rsidR="000673B7">
        <w:t xml:space="preserve"> </w:t>
      </w:r>
      <w:r w:rsidR="00DA1356">
        <w:t>Approaching one in ten jobs in New South Wales (9.6%)</w:t>
      </w:r>
      <w:r w:rsidR="00B502B0">
        <w:t xml:space="preserve"> were office, admin or IT</w:t>
      </w:r>
      <w:r w:rsidR="006B5A09">
        <w:t xml:space="preserve"> jobs</w:t>
      </w:r>
      <w:r w:rsidR="000C6C3E">
        <w:t>.</w:t>
      </w:r>
    </w:p>
    <w:p w14:paraId="5AEA33AA" w14:textId="2CAED3A9" w:rsidR="00954588" w:rsidRDefault="00954588" w:rsidP="00954588">
      <w:pPr>
        <w:pStyle w:val="Caption"/>
      </w:pPr>
      <w:bookmarkStart w:id="67" w:name="_Ref73015339"/>
      <w:bookmarkStart w:id="68" w:name="_Toc75878597"/>
      <w:r>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3</w:t>
      </w:r>
      <w:r>
        <w:fldChar w:fldCharType="end"/>
      </w:r>
      <w:bookmarkEnd w:id="67"/>
      <w:r>
        <w:t>: Industr</w:t>
      </w:r>
      <w:r w:rsidR="00D62721">
        <w:t>y group</w:t>
      </w:r>
      <w:r>
        <w:t xml:space="preserve"> by state</w:t>
      </w:r>
      <w:bookmarkEnd w:id="68"/>
    </w:p>
    <w:tbl>
      <w:tblPr>
        <w:tblStyle w:val="TableGrid"/>
        <w:tblW w:w="9209" w:type="dxa"/>
        <w:tblLayout w:type="fixed"/>
        <w:tblLook w:val="04A0" w:firstRow="1" w:lastRow="0" w:firstColumn="1" w:lastColumn="0" w:noHBand="0" w:noVBand="1"/>
      </w:tblPr>
      <w:tblGrid>
        <w:gridCol w:w="2440"/>
        <w:gridCol w:w="752"/>
        <w:gridCol w:w="752"/>
        <w:gridCol w:w="752"/>
        <w:gridCol w:w="752"/>
        <w:gridCol w:w="752"/>
        <w:gridCol w:w="752"/>
        <w:gridCol w:w="752"/>
        <w:gridCol w:w="752"/>
        <w:gridCol w:w="753"/>
      </w:tblGrid>
      <w:tr w:rsidR="009C16AA" w:rsidRPr="009C16AA" w14:paraId="419BED78" w14:textId="77777777" w:rsidTr="00FA6DB7">
        <w:trPr>
          <w:cnfStyle w:val="100000000000" w:firstRow="1" w:lastRow="0" w:firstColumn="0" w:lastColumn="0" w:oddVBand="0" w:evenVBand="0" w:oddHBand="0" w:evenHBand="0" w:firstRowFirstColumn="0" w:firstRowLastColumn="0" w:lastRowFirstColumn="0" w:lastRowLastColumn="0"/>
          <w:trHeight w:val="227"/>
        </w:trPr>
        <w:tc>
          <w:tcPr>
            <w:tcW w:w="2440" w:type="dxa"/>
            <w:hideMark/>
          </w:tcPr>
          <w:p w14:paraId="632A9980" w14:textId="1DDE082F" w:rsidR="009C16AA" w:rsidRPr="009C16AA" w:rsidRDefault="009C16AA" w:rsidP="009C16AA">
            <w:pPr>
              <w:spacing w:before="0"/>
              <w:jc w:val="center"/>
              <w:rPr>
                <w:rFonts w:ascii="Calibri" w:eastAsia="Times New Roman" w:hAnsi="Calibri" w:cs="Calibri"/>
                <w:b/>
                <w:bCs/>
                <w:color w:val="A6A6A6"/>
                <w:sz w:val="16"/>
                <w:szCs w:val="16"/>
                <w:lang w:eastAsia="en-AU"/>
              </w:rPr>
            </w:pPr>
          </w:p>
        </w:tc>
        <w:tc>
          <w:tcPr>
            <w:tcW w:w="752" w:type="dxa"/>
            <w:noWrap/>
            <w:hideMark/>
          </w:tcPr>
          <w:p w14:paraId="744FB085"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NSW</w:t>
            </w:r>
          </w:p>
        </w:tc>
        <w:tc>
          <w:tcPr>
            <w:tcW w:w="752" w:type="dxa"/>
            <w:noWrap/>
            <w:hideMark/>
          </w:tcPr>
          <w:p w14:paraId="3033C32C" w14:textId="5662A4AA" w:rsidR="009C16AA" w:rsidRPr="009C16AA" w:rsidRDefault="009C16AA" w:rsidP="009845F7">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V</w:t>
            </w:r>
            <w:r w:rsidR="009845F7">
              <w:rPr>
                <w:rFonts w:ascii="Calibri" w:eastAsia="Times New Roman" w:hAnsi="Calibri" w:cs="Calibri"/>
                <w:b/>
                <w:bCs/>
                <w:sz w:val="16"/>
                <w:szCs w:val="16"/>
                <w:lang w:eastAsia="en-AU"/>
              </w:rPr>
              <w:t>IC</w:t>
            </w:r>
          </w:p>
        </w:tc>
        <w:tc>
          <w:tcPr>
            <w:tcW w:w="752" w:type="dxa"/>
            <w:noWrap/>
            <w:hideMark/>
          </w:tcPr>
          <w:p w14:paraId="4CD33557" w14:textId="2153F682" w:rsidR="009C16AA" w:rsidRPr="009C16AA" w:rsidRDefault="009C16AA" w:rsidP="009845F7">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Q</w:t>
            </w:r>
            <w:r w:rsidR="009845F7">
              <w:rPr>
                <w:rFonts w:ascii="Calibri" w:eastAsia="Times New Roman" w:hAnsi="Calibri" w:cs="Calibri"/>
                <w:b/>
                <w:bCs/>
                <w:sz w:val="16"/>
                <w:szCs w:val="16"/>
                <w:lang w:eastAsia="en-AU"/>
              </w:rPr>
              <w:t>LD</w:t>
            </w:r>
          </w:p>
        </w:tc>
        <w:tc>
          <w:tcPr>
            <w:tcW w:w="752" w:type="dxa"/>
            <w:noWrap/>
            <w:hideMark/>
          </w:tcPr>
          <w:p w14:paraId="5DB239F3"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SA</w:t>
            </w:r>
          </w:p>
        </w:tc>
        <w:tc>
          <w:tcPr>
            <w:tcW w:w="752" w:type="dxa"/>
            <w:noWrap/>
            <w:hideMark/>
          </w:tcPr>
          <w:p w14:paraId="1965F5F9"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WA</w:t>
            </w:r>
          </w:p>
        </w:tc>
        <w:tc>
          <w:tcPr>
            <w:tcW w:w="752" w:type="dxa"/>
            <w:noWrap/>
            <w:hideMark/>
          </w:tcPr>
          <w:p w14:paraId="779A0B00" w14:textId="2D24B085" w:rsidR="009C16AA" w:rsidRPr="009C16AA" w:rsidRDefault="009C16AA" w:rsidP="009845F7">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T</w:t>
            </w:r>
            <w:r w:rsidR="009845F7">
              <w:rPr>
                <w:rFonts w:ascii="Calibri" w:eastAsia="Times New Roman" w:hAnsi="Calibri" w:cs="Calibri"/>
                <w:b/>
                <w:bCs/>
                <w:sz w:val="16"/>
                <w:szCs w:val="16"/>
                <w:lang w:eastAsia="en-AU"/>
              </w:rPr>
              <w:t>AS</w:t>
            </w:r>
          </w:p>
        </w:tc>
        <w:tc>
          <w:tcPr>
            <w:tcW w:w="752" w:type="dxa"/>
            <w:noWrap/>
            <w:hideMark/>
          </w:tcPr>
          <w:p w14:paraId="6BA4EC05"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NT</w:t>
            </w:r>
          </w:p>
        </w:tc>
        <w:tc>
          <w:tcPr>
            <w:tcW w:w="752" w:type="dxa"/>
            <w:noWrap/>
            <w:hideMark/>
          </w:tcPr>
          <w:p w14:paraId="30FF60BF"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ACT</w:t>
            </w:r>
          </w:p>
        </w:tc>
        <w:tc>
          <w:tcPr>
            <w:tcW w:w="753" w:type="dxa"/>
            <w:noWrap/>
            <w:hideMark/>
          </w:tcPr>
          <w:p w14:paraId="502F4CA3" w14:textId="77777777" w:rsidR="009C16AA" w:rsidRPr="009C16AA" w:rsidRDefault="009C16AA" w:rsidP="0074359C">
            <w:pPr>
              <w:spacing w:before="0"/>
              <w:jc w:val="center"/>
              <w:rPr>
                <w:rFonts w:ascii="Calibri" w:eastAsia="Times New Roman" w:hAnsi="Calibri" w:cs="Calibri"/>
                <w:b/>
                <w:bCs/>
                <w:sz w:val="16"/>
                <w:szCs w:val="16"/>
                <w:lang w:eastAsia="en-AU"/>
              </w:rPr>
            </w:pPr>
            <w:r w:rsidRPr="009C16AA">
              <w:rPr>
                <w:rFonts w:ascii="Calibri" w:eastAsia="Times New Roman" w:hAnsi="Calibri" w:cs="Calibri"/>
                <w:b/>
                <w:bCs/>
                <w:sz w:val="16"/>
                <w:szCs w:val="16"/>
                <w:lang w:eastAsia="en-AU"/>
              </w:rPr>
              <w:t>Total</w:t>
            </w:r>
          </w:p>
        </w:tc>
      </w:tr>
      <w:tr w:rsidR="00737CAC" w:rsidRPr="009C16AA" w14:paraId="74DA228D" w14:textId="77777777" w:rsidTr="00FA6DB7">
        <w:trPr>
          <w:trHeight w:val="227"/>
        </w:trPr>
        <w:tc>
          <w:tcPr>
            <w:tcW w:w="2440" w:type="dxa"/>
            <w:noWrap/>
            <w:hideMark/>
          </w:tcPr>
          <w:p w14:paraId="15F1EFC9" w14:textId="52FA950B"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Agriculture &amp; transport</w:t>
            </w:r>
          </w:p>
        </w:tc>
        <w:tc>
          <w:tcPr>
            <w:tcW w:w="752" w:type="dxa"/>
            <w:noWrap/>
          </w:tcPr>
          <w:p w14:paraId="7D88A7AA" w14:textId="4C67639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27.4%</w:t>
            </w:r>
          </w:p>
        </w:tc>
        <w:tc>
          <w:tcPr>
            <w:tcW w:w="752" w:type="dxa"/>
            <w:noWrap/>
          </w:tcPr>
          <w:p w14:paraId="7E95270E" w14:textId="35648D45"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32.6%</w:t>
            </w:r>
          </w:p>
        </w:tc>
        <w:tc>
          <w:tcPr>
            <w:tcW w:w="752" w:type="dxa"/>
            <w:noWrap/>
          </w:tcPr>
          <w:p w14:paraId="3B083F7E" w14:textId="6D8C5BBE"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50.9%</w:t>
            </w:r>
          </w:p>
        </w:tc>
        <w:tc>
          <w:tcPr>
            <w:tcW w:w="752" w:type="dxa"/>
            <w:noWrap/>
          </w:tcPr>
          <w:p w14:paraId="4678A4E8" w14:textId="3CA87365"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60.0%</w:t>
            </w:r>
          </w:p>
        </w:tc>
        <w:tc>
          <w:tcPr>
            <w:tcW w:w="752" w:type="dxa"/>
            <w:noWrap/>
          </w:tcPr>
          <w:p w14:paraId="1D5B33D9" w14:textId="255FCEC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41.9%</w:t>
            </w:r>
          </w:p>
        </w:tc>
        <w:tc>
          <w:tcPr>
            <w:tcW w:w="752" w:type="dxa"/>
            <w:noWrap/>
          </w:tcPr>
          <w:p w14:paraId="4EE0BDF5" w14:textId="678C36AD"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79.7%</w:t>
            </w:r>
          </w:p>
        </w:tc>
        <w:tc>
          <w:tcPr>
            <w:tcW w:w="752" w:type="dxa"/>
            <w:noWrap/>
          </w:tcPr>
          <w:p w14:paraId="1EE44DB4" w14:textId="091A8642"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27.2%</w:t>
            </w:r>
          </w:p>
        </w:tc>
        <w:tc>
          <w:tcPr>
            <w:tcW w:w="752" w:type="dxa"/>
            <w:noWrap/>
          </w:tcPr>
          <w:p w14:paraId="3785A2DF" w14:textId="599D4BAC"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14.2%</w:t>
            </w:r>
          </w:p>
        </w:tc>
        <w:tc>
          <w:tcPr>
            <w:tcW w:w="753" w:type="dxa"/>
            <w:noWrap/>
          </w:tcPr>
          <w:p w14:paraId="1CC60C7F" w14:textId="026CDA15"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39.9%</w:t>
            </w:r>
          </w:p>
        </w:tc>
      </w:tr>
      <w:tr w:rsidR="00737CAC" w:rsidRPr="009C16AA" w14:paraId="792ADA28" w14:textId="77777777" w:rsidTr="00FA6DB7">
        <w:trPr>
          <w:trHeight w:val="227"/>
        </w:trPr>
        <w:tc>
          <w:tcPr>
            <w:tcW w:w="2440" w:type="dxa"/>
            <w:noWrap/>
            <w:hideMark/>
          </w:tcPr>
          <w:p w14:paraId="6F6C60D3" w14:textId="121A0F14"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Hospitality, tourism &amp; sport</w:t>
            </w:r>
          </w:p>
        </w:tc>
        <w:tc>
          <w:tcPr>
            <w:tcW w:w="752" w:type="dxa"/>
            <w:noWrap/>
          </w:tcPr>
          <w:p w14:paraId="2BCB642F" w14:textId="24F70DE1"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31.5%</w:t>
            </w:r>
          </w:p>
        </w:tc>
        <w:tc>
          <w:tcPr>
            <w:tcW w:w="752" w:type="dxa"/>
            <w:noWrap/>
          </w:tcPr>
          <w:p w14:paraId="34CF1759" w14:textId="34DC37B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31.5%</w:t>
            </w:r>
          </w:p>
        </w:tc>
        <w:tc>
          <w:tcPr>
            <w:tcW w:w="752" w:type="dxa"/>
            <w:noWrap/>
          </w:tcPr>
          <w:p w14:paraId="07BF749F" w14:textId="7F51990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29.1%</w:t>
            </w:r>
          </w:p>
        </w:tc>
        <w:tc>
          <w:tcPr>
            <w:tcW w:w="752" w:type="dxa"/>
            <w:noWrap/>
          </w:tcPr>
          <w:p w14:paraId="56E9AF95" w14:textId="78689AEC"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17.1%</w:t>
            </w:r>
          </w:p>
        </w:tc>
        <w:tc>
          <w:tcPr>
            <w:tcW w:w="752" w:type="dxa"/>
            <w:noWrap/>
          </w:tcPr>
          <w:p w14:paraId="5E01CD54" w14:textId="600C59D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28.8%</w:t>
            </w:r>
          </w:p>
        </w:tc>
        <w:tc>
          <w:tcPr>
            <w:tcW w:w="752" w:type="dxa"/>
            <w:noWrap/>
          </w:tcPr>
          <w:p w14:paraId="062F066E" w14:textId="54DEEADD"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11.1%</w:t>
            </w:r>
          </w:p>
        </w:tc>
        <w:tc>
          <w:tcPr>
            <w:tcW w:w="752" w:type="dxa"/>
            <w:noWrap/>
          </w:tcPr>
          <w:p w14:paraId="5516678D" w14:textId="06E4F9C1"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46.6%</w:t>
            </w:r>
          </w:p>
        </w:tc>
        <w:tc>
          <w:tcPr>
            <w:tcW w:w="752" w:type="dxa"/>
            <w:noWrap/>
          </w:tcPr>
          <w:p w14:paraId="578F71E6" w14:textId="194E0FF2"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25.8%</w:t>
            </w:r>
          </w:p>
        </w:tc>
        <w:tc>
          <w:tcPr>
            <w:tcW w:w="753" w:type="dxa"/>
            <w:noWrap/>
          </w:tcPr>
          <w:p w14:paraId="3511710D" w14:textId="62C67E8B"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29.6%</w:t>
            </w:r>
          </w:p>
        </w:tc>
      </w:tr>
      <w:tr w:rsidR="00737CAC" w:rsidRPr="009C16AA" w14:paraId="2ECAFAE3" w14:textId="77777777" w:rsidTr="00FA6DB7">
        <w:trPr>
          <w:trHeight w:val="227"/>
        </w:trPr>
        <w:tc>
          <w:tcPr>
            <w:tcW w:w="2440" w:type="dxa"/>
            <w:noWrap/>
            <w:hideMark/>
          </w:tcPr>
          <w:p w14:paraId="7C0039F2" w14:textId="0C1707A3"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Construction and mining</w:t>
            </w:r>
          </w:p>
        </w:tc>
        <w:tc>
          <w:tcPr>
            <w:tcW w:w="752" w:type="dxa"/>
            <w:noWrap/>
          </w:tcPr>
          <w:p w14:paraId="2FBBFE36" w14:textId="73F18D35"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10.3%</w:t>
            </w:r>
          </w:p>
        </w:tc>
        <w:tc>
          <w:tcPr>
            <w:tcW w:w="752" w:type="dxa"/>
            <w:noWrap/>
          </w:tcPr>
          <w:p w14:paraId="5A143CDA" w14:textId="14C32DFB"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7.7%</w:t>
            </w:r>
          </w:p>
        </w:tc>
        <w:tc>
          <w:tcPr>
            <w:tcW w:w="752" w:type="dxa"/>
            <w:noWrap/>
          </w:tcPr>
          <w:p w14:paraId="556F4BDD" w14:textId="1EC7B640"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4.5%</w:t>
            </w:r>
          </w:p>
        </w:tc>
        <w:tc>
          <w:tcPr>
            <w:tcW w:w="752" w:type="dxa"/>
            <w:noWrap/>
          </w:tcPr>
          <w:p w14:paraId="29BE40DE" w14:textId="6EA7745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8.7%</w:t>
            </w:r>
          </w:p>
        </w:tc>
        <w:tc>
          <w:tcPr>
            <w:tcW w:w="752" w:type="dxa"/>
            <w:noWrap/>
          </w:tcPr>
          <w:p w14:paraId="02CB477D" w14:textId="2927053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10.2%</w:t>
            </w:r>
          </w:p>
        </w:tc>
        <w:tc>
          <w:tcPr>
            <w:tcW w:w="752" w:type="dxa"/>
            <w:noWrap/>
          </w:tcPr>
          <w:p w14:paraId="4B823AC9" w14:textId="58FF360A"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2.9%</w:t>
            </w:r>
          </w:p>
        </w:tc>
        <w:tc>
          <w:tcPr>
            <w:tcW w:w="752" w:type="dxa"/>
            <w:noWrap/>
          </w:tcPr>
          <w:p w14:paraId="5E160996" w14:textId="51C9068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11.0%</w:t>
            </w:r>
          </w:p>
        </w:tc>
        <w:tc>
          <w:tcPr>
            <w:tcW w:w="752" w:type="dxa"/>
            <w:noWrap/>
          </w:tcPr>
          <w:p w14:paraId="0E7AA4CC" w14:textId="280C74A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12.4%</w:t>
            </w:r>
          </w:p>
        </w:tc>
        <w:tc>
          <w:tcPr>
            <w:tcW w:w="753" w:type="dxa"/>
            <w:noWrap/>
          </w:tcPr>
          <w:p w14:paraId="1210EFC4" w14:textId="00E353E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7.9%</w:t>
            </w:r>
          </w:p>
        </w:tc>
      </w:tr>
      <w:tr w:rsidR="00737CAC" w:rsidRPr="009C16AA" w14:paraId="36354C6D" w14:textId="77777777" w:rsidTr="00FA6DB7">
        <w:trPr>
          <w:trHeight w:val="227"/>
        </w:trPr>
        <w:tc>
          <w:tcPr>
            <w:tcW w:w="2440" w:type="dxa"/>
            <w:noWrap/>
            <w:hideMark/>
          </w:tcPr>
          <w:p w14:paraId="3C079149" w14:textId="34712E08"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Sales and marketing</w:t>
            </w:r>
          </w:p>
        </w:tc>
        <w:tc>
          <w:tcPr>
            <w:tcW w:w="752" w:type="dxa"/>
            <w:noWrap/>
          </w:tcPr>
          <w:p w14:paraId="095D678D" w14:textId="2C1691B9"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8.8%</w:t>
            </w:r>
          </w:p>
        </w:tc>
        <w:tc>
          <w:tcPr>
            <w:tcW w:w="752" w:type="dxa"/>
            <w:noWrap/>
          </w:tcPr>
          <w:p w14:paraId="5F5A5161" w14:textId="78E120A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7.3%</w:t>
            </w:r>
          </w:p>
        </w:tc>
        <w:tc>
          <w:tcPr>
            <w:tcW w:w="752" w:type="dxa"/>
            <w:noWrap/>
          </w:tcPr>
          <w:p w14:paraId="26F0E92E" w14:textId="6FAE7FB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3.4%</w:t>
            </w:r>
          </w:p>
        </w:tc>
        <w:tc>
          <w:tcPr>
            <w:tcW w:w="752" w:type="dxa"/>
            <w:noWrap/>
          </w:tcPr>
          <w:p w14:paraId="032E559E" w14:textId="14669E5F"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4.0%</w:t>
            </w:r>
          </w:p>
        </w:tc>
        <w:tc>
          <w:tcPr>
            <w:tcW w:w="752" w:type="dxa"/>
            <w:noWrap/>
          </w:tcPr>
          <w:p w14:paraId="239741F3" w14:textId="3FD664F9"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3.4%</w:t>
            </w:r>
          </w:p>
        </w:tc>
        <w:tc>
          <w:tcPr>
            <w:tcW w:w="752" w:type="dxa"/>
            <w:noWrap/>
          </w:tcPr>
          <w:p w14:paraId="7CC9DFEB" w14:textId="1EEC82B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1.5%</w:t>
            </w:r>
          </w:p>
        </w:tc>
        <w:tc>
          <w:tcPr>
            <w:tcW w:w="752" w:type="dxa"/>
            <w:noWrap/>
          </w:tcPr>
          <w:p w14:paraId="67A026A4" w14:textId="725F93A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2.7%</w:t>
            </w:r>
          </w:p>
        </w:tc>
        <w:tc>
          <w:tcPr>
            <w:tcW w:w="752" w:type="dxa"/>
            <w:noWrap/>
          </w:tcPr>
          <w:p w14:paraId="05F74D8E" w14:textId="57B03A1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10.2%</w:t>
            </w:r>
          </w:p>
        </w:tc>
        <w:tc>
          <w:tcPr>
            <w:tcW w:w="753" w:type="dxa"/>
            <w:noWrap/>
          </w:tcPr>
          <w:p w14:paraId="7B66EA3E" w14:textId="1EB18F0D"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5.7%</w:t>
            </w:r>
          </w:p>
        </w:tc>
      </w:tr>
      <w:tr w:rsidR="00737CAC" w:rsidRPr="009C16AA" w14:paraId="2B67DAB6" w14:textId="77777777" w:rsidTr="00FA6DB7">
        <w:trPr>
          <w:trHeight w:val="227"/>
        </w:trPr>
        <w:tc>
          <w:tcPr>
            <w:tcW w:w="2440" w:type="dxa"/>
            <w:noWrap/>
            <w:hideMark/>
          </w:tcPr>
          <w:p w14:paraId="35C1CDD6" w14:textId="30AD1FD1"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Office, admin &amp; IT</w:t>
            </w:r>
          </w:p>
        </w:tc>
        <w:tc>
          <w:tcPr>
            <w:tcW w:w="752" w:type="dxa"/>
            <w:noWrap/>
          </w:tcPr>
          <w:p w14:paraId="67025538" w14:textId="1CC9A185"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9.6%</w:t>
            </w:r>
          </w:p>
        </w:tc>
        <w:tc>
          <w:tcPr>
            <w:tcW w:w="752" w:type="dxa"/>
            <w:noWrap/>
          </w:tcPr>
          <w:p w14:paraId="5F8C3450" w14:textId="7E461CD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8.4%</w:t>
            </w:r>
          </w:p>
        </w:tc>
        <w:tc>
          <w:tcPr>
            <w:tcW w:w="752" w:type="dxa"/>
            <w:noWrap/>
          </w:tcPr>
          <w:p w14:paraId="20BFBB47" w14:textId="62CD66C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2.3%</w:t>
            </w:r>
          </w:p>
        </w:tc>
        <w:tc>
          <w:tcPr>
            <w:tcW w:w="752" w:type="dxa"/>
            <w:noWrap/>
          </w:tcPr>
          <w:p w14:paraId="768060F1" w14:textId="7CECD81A"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2.1%</w:t>
            </w:r>
          </w:p>
        </w:tc>
        <w:tc>
          <w:tcPr>
            <w:tcW w:w="752" w:type="dxa"/>
            <w:noWrap/>
          </w:tcPr>
          <w:p w14:paraId="3613E8B3" w14:textId="252B484C"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2.6%</w:t>
            </w:r>
          </w:p>
        </w:tc>
        <w:tc>
          <w:tcPr>
            <w:tcW w:w="752" w:type="dxa"/>
            <w:noWrap/>
          </w:tcPr>
          <w:p w14:paraId="34D2EB47" w14:textId="08813FFD"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0.2%</w:t>
            </w:r>
          </w:p>
        </w:tc>
        <w:tc>
          <w:tcPr>
            <w:tcW w:w="752" w:type="dxa"/>
            <w:noWrap/>
          </w:tcPr>
          <w:p w14:paraId="1A98CAE0" w14:textId="61807F1C"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2.1%</w:t>
            </w:r>
          </w:p>
        </w:tc>
        <w:tc>
          <w:tcPr>
            <w:tcW w:w="752" w:type="dxa"/>
            <w:noWrap/>
          </w:tcPr>
          <w:p w14:paraId="72ABC32C" w14:textId="199949D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4.9%</w:t>
            </w:r>
          </w:p>
        </w:tc>
        <w:tc>
          <w:tcPr>
            <w:tcW w:w="753" w:type="dxa"/>
            <w:noWrap/>
          </w:tcPr>
          <w:p w14:paraId="426B59FB" w14:textId="28B2697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5.6%</w:t>
            </w:r>
          </w:p>
        </w:tc>
      </w:tr>
      <w:tr w:rsidR="00737CAC" w:rsidRPr="009C16AA" w14:paraId="677B2A37" w14:textId="77777777" w:rsidTr="00FA6DB7">
        <w:trPr>
          <w:trHeight w:val="227"/>
        </w:trPr>
        <w:tc>
          <w:tcPr>
            <w:tcW w:w="2440" w:type="dxa"/>
            <w:noWrap/>
            <w:hideMark/>
          </w:tcPr>
          <w:p w14:paraId="4A3E3A81" w14:textId="6D504FA3"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Education</w:t>
            </w:r>
          </w:p>
        </w:tc>
        <w:tc>
          <w:tcPr>
            <w:tcW w:w="752" w:type="dxa"/>
            <w:noWrap/>
          </w:tcPr>
          <w:p w14:paraId="50573E27" w14:textId="5F84C21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6.3%</w:t>
            </w:r>
          </w:p>
        </w:tc>
        <w:tc>
          <w:tcPr>
            <w:tcW w:w="752" w:type="dxa"/>
            <w:noWrap/>
          </w:tcPr>
          <w:p w14:paraId="3DF84F76" w14:textId="0316A741"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6.4%</w:t>
            </w:r>
          </w:p>
        </w:tc>
        <w:tc>
          <w:tcPr>
            <w:tcW w:w="752" w:type="dxa"/>
            <w:noWrap/>
          </w:tcPr>
          <w:p w14:paraId="7A0D2DEB" w14:textId="171B1340"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3.8%</w:t>
            </w:r>
          </w:p>
        </w:tc>
        <w:tc>
          <w:tcPr>
            <w:tcW w:w="752" w:type="dxa"/>
            <w:noWrap/>
          </w:tcPr>
          <w:p w14:paraId="66A77838" w14:textId="04BE3F4B"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4.4%</w:t>
            </w:r>
          </w:p>
        </w:tc>
        <w:tc>
          <w:tcPr>
            <w:tcW w:w="752" w:type="dxa"/>
            <w:noWrap/>
          </w:tcPr>
          <w:p w14:paraId="41BBF341" w14:textId="118EDDD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5.9%</w:t>
            </w:r>
          </w:p>
        </w:tc>
        <w:tc>
          <w:tcPr>
            <w:tcW w:w="752" w:type="dxa"/>
            <w:noWrap/>
          </w:tcPr>
          <w:p w14:paraId="626FE891" w14:textId="30E1406C"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1.0%</w:t>
            </w:r>
          </w:p>
        </w:tc>
        <w:tc>
          <w:tcPr>
            <w:tcW w:w="752" w:type="dxa"/>
            <w:noWrap/>
          </w:tcPr>
          <w:p w14:paraId="7A39E85A" w14:textId="4C71355E"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3.0%</w:t>
            </w:r>
          </w:p>
        </w:tc>
        <w:tc>
          <w:tcPr>
            <w:tcW w:w="752" w:type="dxa"/>
            <w:noWrap/>
          </w:tcPr>
          <w:p w14:paraId="1A93B132" w14:textId="2E19319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22.2%</w:t>
            </w:r>
          </w:p>
        </w:tc>
        <w:tc>
          <w:tcPr>
            <w:tcW w:w="753" w:type="dxa"/>
            <w:noWrap/>
          </w:tcPr>
          <w:p w14:paraId="2F017F3E" w14:textId="17902A8D"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5.4%</w:t>
            </w:r>
          </w:p>
        </w:tc>
      </w:tr>
      <w:tr w:rsidR="00737CAC" w:rsidRPr="009C16AA" w14:paraId="3E84C449" w14:textId="77777777" w:rsidTr="00FA6DB7">
        <w:trPr>
          <w:trHeight w:val="227"/>
        </w:trPr>
        <w:tc>
          <w:tcPr>
            <w:tcW w:w="2440" w:type="dxa"/>
            <w:noWrap/>
            <w:hideMark/>
          </w:tcPr>
          <w:p w14:paraId="7B0F5EC3" w14:textId="479597D3"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Cleaning and gardening</w:t>
            </w:r>
          </w:p>
        </w:tc>
        <w:tc>
          <w:tcPr>
            <w:tcW w:w="752" w:type="dxa"/>
            <w:noWrap/>
          </w:tcPr>
          <w:p w14:paraId="17B3566E" w14:textId="10BD1BA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3.9%</w:t>
            </w:r>
          </w:p>
        </w:tc>
        <w:tc>
          <w:tcPr>
            <w:tcW w:w="752" w:type="dxa"/>
            <w:noWrap/>
          </w:tcPr>
          <w:p w14:paraId="5607698A" w14:textId="41DA5A2A"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3.8%</w:t>
            </w:r>
          </w:p>
        </w:tc>
        <w:tc>
          <w:tcPr>
            <w:tcW w:w="752" w:type="dxa"/>
            <w:noWrap/>
          </w:tcPr>
          <w:p w14:paraId="7568BA15" w14:textId="70C1D33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5.0%</w:t>
            </w:r>
          </w:p>
        </w:tc>
        <w:tc>
          <w:tcPr>
            <w:tcW w:w="752" w:type="dxa"/>
            <w:noWrap/>
          </w:tcPr>
          <w:p w14:paraId="4DB7A77F" w14:textId="56D0327A"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2.5%</w:t>
            </w:r>
          </w:p>
        </w:tc>
        <w:tc>
          <w:tcPr>
            <w:tcW w:w="752" w:type="dxa"/>
            <w:noWrap/>
          </w:tcPr>
          <w:p w14:paraId="19A19452" w14:textId="0C2D625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5.1%</w:t>
            </w:r>
          </w:p>
        </w:tc>
        <w:tc>
          <w:tcPr>
            <w:tcW w:w="752" w:type="dxa"/>
            <w:noWrap/>
          </w:tcPr>
          <w:p w14:paraId="66C3D7D1" w14:textId="44226C49"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3.3%</w:t>
            </w:r>
          </w:p>
        </w:tc>
        <w:tc>
          <w:tcPr>
            <w:tcW w:w="752" w:type="dxa"/>
            <w:noWrap/>
          </w:tcPr>
          <w:p w14:paraId="023B5874" w14:textId="77A10DB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6.0%</w:t>
            </w:r>
          </w:p>
        </w:tc>
        <w:tc>
          <w:tcPr>
            <w:tcW w:w="752" w:type="dxa"/>
            <w:noWrap/>
          </w:tcPr>
          <w:p w14:paraId="39BD005B" w14:textId="78977C6B"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8.0%</w:t>
            </w:r>
          </w:p>
        </w:tc>
        <w:tc>
          <w:tcPr>
            <w:tcW w:w="753" w:type="dxa"/>
            <w:noWrap/>
          </w:tcPr>
          <w:p w14:paraId="22C36EF7" w14:textId="668D0064"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4.3%</w:t>
            </w:r>
          </w:p>
        </w:tc>
      </w:tr>
      <w:tr w:rsidR="00737CAC" w:rsidRPr="009C16AA" w14:paraId="6672BF9F" w14:textId="77777777" w:rsidTr="00FA6DB7">
        <w:trPr>
          <w:trHeight w:val="227"/>
        </w:trPr>
        <w:tc>
          <w:tcPr>
            <w:tcW w:w="2440" w:type="dxa"/>
            <w:noWrap/>
            <w:hideMark/>
          </w:tcPr>
          <w:p w14:paraId="066AF419" w14:textId="5B78A7E5" w:rsidR="00737CAC" w:rsidRPr="00B07BAC" w:rsidRDefault="00737CAC" w:rsidP="00737CAC">
            <w:pPr>
              <w:spacing w:before="0"/>
              <w:rPr>
                <w:rFonts w:ascii="Calibri" w:eastAsia="Times New Roman" w:hAnsi="Calibri" w:cs="Calibri"/>
                <w:sz w:val="18"/>
                <w:szCs w:val="18"/>
                <w:lang w:eastAsia="en-AU"/>
              </w:rPr>
            </w:pPr>
            <w:r w:rsidRPr="00B07BAC">
              <w:rPr>
                <w:rFonts w:ascii="Calibri" w:hAnsi="Calibri" w:cs="Calibri"/>
                <w:sz w:val="18"/>
                <w:szCs w:val="18"/>
              </w:rPr>
              <w:t>Health and aged care</w:t>
            </w:r>
          </w:p>
        </w:tc>
        <w:tc>
          <w:tcPr>
            <w:tcW w:w="752" w:type="dxa"/>
            <w:noWrap/>
          </w:tcPr>
          <w:p w14:paraId="502312D0" w14:textId="4A54EF58"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2.2%</w:t>
            </w:r>
          </w:p>
        </w:tc>
        <w:tc>
          <w:tcPr>
            <w:tcW w:w="752" w:type="dxa"/>
            <w:noWrap/>
          </w:tcPr>
          <w:p w14:paraId="6C958416" w14:textId="376ED5D7"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2.3%</w:t>
            </w:r>
          </w:p>
        </w:tc>
        <w:tc>
          <w:tcPr>
            <w:tcW w:w="752" w:type="dxa"/>
            <w:noWrap/>
          </w:tcPr>
          <w:p w14:paraId="3EF9279E" w14:textId="320E6EE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1.1%</w:t>
            </w:r>
          </w:p>
        </w:tc>
        <w:tc>
          <w:tcPr>
            <w:tcW w:w="752" w:type="dxa"/>
            <w:noWrap/>
          </w:tcPr>
          <w:p w14:paraId="7771BA54" w14:textId="6EC14691"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1.1%</w:t>
            </w:r>
          </w:p>
        </w:tc>
        <w:tc>
          <w:tcPr>
            <w:tcW w:w="752" w:type="dxa"/>
            <w:noWrap/>
          </w:tcPr>
          <w:p w14:paraId="610611DD" w14:textId="07BD20CA"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2.1%</w:t>
            </w:r>
          </w:p>
        </w:tc>
        <w:tc>
          <w:tcPr>
            <w:tcW w:w="752" w:type="dxa"/>
            <w:noWrap/>
          </w:tcPr>
          <w:p w14:paraId="40E8341C" w14:textId="7D9F9F73"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0.3%</w:t>
            </w:r>
          </w:p>
        </w:tc>
        <w:tc>
          <w:tcPr>
            <w:tcW w:w="752" w:type="dxa"/>
            <w:noWrap/>
          </w:tcPr>
          <w:p w14:paraId="2723F46F" w14:textId="6FB4F636"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1.4%</w:t>
            </w:r>
          </w:p>
        </w:tc>
        <w:tc>
          <w:tcPr>
            <w:tcW w:w="752" w:type="dxa"/>
            <w:noWrap/>
          </w:tcPr>
          <w:p w14:paraId="29650D22" w14:textId="0C566424"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2.2%</w:t>
            </w:r>
          </w:p>
        </w:tc>
        <w:tc>
          <w:tcPr>
            <w:tcW w:w="753" w:type="dxa"/>
            <w:noWrap/>
          </w:tcPr>
          <w:p w14:paraId="24B59DC8" w14:textId="694C698E" w:rsidR="00737CAC" w:rsidRPr="00B07BAC" w:rsidRDefault="00737CAC" w:rsidP="00737CAC">
            <w:pPr>
              <w:spacing w:before="0"/>
              <w:jc w:val="right"/>
              <w:rPr>
                <w:rFonts w:ascii="Calibri" w:eastAsia="Times New Roman" w:hAnsi="Calibri" w:cs="Calibri"/>
                <w:sz w:val="18"/>
                <w:szCs w:val="18"/>
                <w:lang w:eastAsia="en-AU"/>
              </w:rPr>
            </w:pPr>
            <w:r w:rsidRPr="00B07BAC">
              <w:rPr>
                <w:rFonts w:ascii="Calibri" w:hAnsi="Calibri" w:cs="Calibri"/>
                <w:sz w:val="18"/>
                <w:szCs w:val="18"/>
              </w:rPr>
              <w:t>1.8%</w:t>
            </w:r>
          </w:p>
        </w:tc>
      </w:tr>
    </w:tbl>
    <w:p w14:paraId="00EA2CE5" w14:textId="2D55DA0F" w:rsidR="00D11C74" w:rsidRDefault="00846294" w:rsidP="00D11C74">
      <w:pPr>
        <w:pStyle w:val="Tablenote"/>
      </w:pPr>
      <w:r>
        <w:t>I</w:t>
      </w:r>
      <w:r w:rsidR="0007781C">
        <w:t xml:space="preserve">ndustry </w:t>
      </w:r>
      <w:r>
        <w:t>groups</w:t>
      </w:r>
      <w:r w:rsidR="00D11C74" w:rsidRPr="00582224">
        <w:t xml:space="preserve"> </w:t>
      </w:r>
      <w:r w:rsidR="00DC0601">
        <w:t>are</w:t>
      </w:r>
      <w:r w:rsidR="00835250">
        <w:t xml:space="preserve"> presented</w:t>
      </w:r>
      <w:r w:rsidR="00575FFB">
        <w:t xml:space="preserve"> for 23,395 jobs</w:t>
      </w:r>
      <w:r w:rsidR="00D11C74">
        <w:t>.</w:t>
      </w:r>
    </w:p>
    <w:p w14:paraId="1C3D2BF2" w14:textId="6A4652B3" w:rsidR="00E16B19" w:rsidRPr="0074359C" w:rsidRDefault="00D11C74" w:rsidP="0074359C">
      <w:pPr>
        <w:pStyle w:val="Tablenote"/>
      </w:pPr>
      <w:r w:rsidRPr="0029477C">
        <w:t xml:space="preserve">Source: </w:t>
      </w:r>
      <w:r w:rsidR="00533FC6">
        <w:t>WHM</w:t>
      </w:r>
      <w:r w:rsidRPr="0029477C">
        <w:t xml:space="preserve"> Survey, 2020.</w:t>
      </w:r>
    </w:p>
    <w:p w14:paraId="71CBAA78" w14:textId="4DC99028" w:rsidR="00E16B19" w:rsidRDefault="00E16B19" w:rsidP="008A55F1">
      <w:pPr>
        <w:pStyle w:val="Heading3"/>
      </w:pPr>
      <w:bookmarkStart w:id="69" w:name="_Toc75878457"/>
      <w:r w:rsidRPr="00A178EC">
        <w:t>Methods used to find jobs</w:t>
      </w:r>
      <w:bookmarkEnd w:id="69"/>
    </w:p>
    <w:p w14:paraId="40AC26E2" w14:textId="04B43FA3" w:rsidR="00D54900" w:rsidRDefault="00A21AFA" w:rsidP="00D54900">
      <w:r>
        <w:t xml:space="preserve">Respondents regularly </w:t>
      </w:r>
      <w:r w:rsidR="00061D55">
        <w:t xml:space="preserve">reported multiple approaches for job seeking. </w:t>
      </w:r>
      <w:r w:rsidR="003D10EE">
        <w:t xml:space="preserve">Almost one half </w:t>
      </w:r>
      <w:r w:rsidR="00061D55">
        <w:t>(48.6%)</w:t>
      </w:r>
      <w:r w:rsidR="003D10EE">
        <w:t xml:space="preserve"> indicated they </w:t>
      </w:r>
      <w:r w:rsidR="00481BAF">
        <w:t xml:space="preserve">personally </w:t>
      </w:r>
      <w:r w:rsidR="003D10EE">
        <w:t>approached employer</w:t>
      </w:r>
      <w:r w:rsidR="003E0CC6">
        <w:t>s</w:t>
      </w:r>
      <w:r w:rsidR="003D10EE">
        <w:t xml:space="preserve"> to </w:t>
      </w:r>
      <w:r w:rsidR="003A34F0">
        <w:t>find work</w:t>
      </w:r>
      <w:r w:rsidR="005C3B68">
        <w:t xml:space="preserve"> (see </w:t>
      </w:r>
      <w:r w:rsidR="005C3B68">
        <w:fldChar w:fldCharType="begin"/>
      </w:r>
      <w:r w:rsidR="005C3B68">
        <w:instrText xml:space="preserve"> REF _Ref54782224 \h </w:instrText>
      </w:r>
      <w:r w:rsidR="005C3B68">
        <w:fldChar w:fldCharType="separate"/>
      </w:r>
      <w:r w:rsidR="00F22012" w:rsidRPr="00A178EC">
        <w:t xml:space="preserve">Table </w:t>
      </w:r>
      <w:r w:rsidR="00F22012">
        <w:rPr>
          <w:noProof/>
        </w:rPr>
        <w:t>5</w:t>
      </w:r>
      <w:r w:rsidR="00F22012">
        <w:noBreakHyphen/>
      </w:r>
      <w:r w:rsidR="00F22012">
        <w:rPr>
          <w:noProof/>
        </w:rPr>
        <w:t>4</w:t>
      </w:r>
      <w:r w:rsidR="005C3B68">
        <w:fldChar w:fldCharType="end"/>
      </w:r>
      <w:r w:rsidR="005C3B68">
        <w:t>).</w:t>
      </w:r>
      <w:r w:rsidR="00365767">
        <w:t xml:space="preserve"> </w:t>
      </w:r>
      <w:r w:rsidR="005C3B68">
        <w:t>A</w:t>
      </w:r>
      <w:r w:rsidR="005F42E6">
        <w:t>lm</w:t>
      </w:r>
      <w:r w:rsidR="009118F3">
        <w:t>ost</w:t>
      </w:r>
      <w:r w:rsidR="00365767">
        <w:t xml:space="preserve"> two in five</w:t>
      </w:r>
      <w:r w:rsidR="00EA04F7">
        <w:t xml:space="preserve"> </w:t>
      </w:r>
      <w:r w:rsidR="00061D55">
        <w:t xml:space="preserve">(38.9%) </w:t>
      </w:r>
      <w:r w:rsidR="005C3B68">
        <w:t xml:space="preserve">reported </w:t>
      </w:r>
      <w:r w:rsidR="003E0CC6">
        <w:t>looking for work</w:t>
      </w:r>
      <w:r w:rsidR="00EA04F7">
        <w:t xml:space="preserve"> through</w:t>
      </w:r>
      <w:r w:rsidR="003007EA">
        <w:t xml:space="preserve"> online or newspaper advertisements</w:t>
      </w:r>
      <w:r w:rsidR="009118F3">
        <w:t xml:space="preserve"> and/or social media</w:t>
      </w:r>
      <w:r w:rsidR="00E2609C">
        <w:rPr>
          <w:rStyle w:val="FootnoteReference"/>
        </w:rPr>
        <w:footnoteReference w:id="16"/>
      </w:r>
      <w:r w:rsidR="003007EA">
        <w:t xml:space="preserve"> </w:t>
      </w:r>
      <w:r w:rsidR="00061D55">
        <w:t>(37.2%)</w:t>
      </w:r>
      <w:r w:rsidR="007B6AF7">
        <w:t xml:space="preserve"> with</w:t>
      </w:r>
      <w:r w:rsidR="00061D55">
        <w:t xml:space="preserve"> </w:t>
      </w:r>
      <w:r w:rsidR="00056343">
        <w:t>just over half</w:t>
      </w:r>
      <w:r w:rsidR="00881C0D">
        <w:t xml:space="preserve"> </w:t>
      </w:r>
      <w:r w:rsidR="00056343">
        <w:t xml:space="preserve">of these </w:t>
      </w:r>
      <w:r w:rsidR="00B35149">
        <w:t>indicat</w:t>
      </w:r>
      <w:r w:rsidR="00C567DE">
        <w:t xml:space="preserve">ing </w:t>
      </w:r>
      <w:r w:rsidR="00881C0D">
        <w:t>t</w:t>
      </w:r>
      <w:r w:rsidR="007F7FF8">
        <w:t xml:space="preserve">hey had </w:t>
      </w:r>
      <w:r w:rsidR="005C3B68">
        <w:t>sought jobs using both methods</w:t>
      </w:r>
      <w:r w:rsidR="003007EA">
        <w:t>.</w:t>
      </w:r>
      <w:r w:rsidR="0008358B">
        <w:t xml:space="preserve"> </w:t>
      </w:r>
      <w:r w:rsidR="0039420B">
        <w:t>Approximately</w:t>
      </w:r>
      <w:r w:rsidR="0008358B">
        <w:t xml:space="preserve"> one-third </w:t>
      </w:r>
      <w:r w:rsidR="00061D55">
        <w:t xml:space="preserve">(36.2%) </w:t>
      </w:r>
      <w:r w:rsidR="0008358B">
        <w:t>were ass</w:t>
      </w:r>
      <w:r w:rsidR="00C875DB">
        <w:t xml:space="preserve">isted by </w:t>
      </w:r>
      <w:r w:rsidR="0039420B">
        <w:t>other travellers with sligh</w:t>
      </w:r>
      <w:r w:rsidR="00916616">
        <w:t>t</w:t>
      </w:r>
      <w:r w:rsidR="0039420B">
        <w:t>ly fewer</w:t>
      </w:r>
      <w:r w:rsidR="00916616">
        <w:t xml:space="preserve"> receiving input from family and friends</w:t>
      </w:r>
      <w:r w:rsidR="00061D55">
        <w:t xml:space="preserve"> (29.4%)</w:t>
      </w:r>
      <w:r w:rsidR="00916616">
        <w:t>.</w:t>
      </w:r>
      <w:r w:rsidR="0039420B">
        <w:t xml:space="preserve"> </w:t>
      </w:r>
      <w:r w:rsidR="000B1555">
        <w:t>Approximately half of those receiving help from family and friends had also received hel</w:t>
      </w:r>
      <w:r w:rsidR="00445B86">
        <w:t>p</w:t>
      </w:r>
      <w:r w:rsidR="000B1555">
        <w:t xml:space="preserve"> from other travellers</w:t>
      </w:r>
      <w:r w:rsidR="00445B86">
        <w:t>.</w:t>
      </w:r>
      <w:r w:rsidR="00092007">
        <w:t xml:space="preserve"> Most </w:t>
      </w:r>
      <w:r w:rsidR="00B2168C">
        <w:t>of those who reported ‘other’ indicated that they had not</w:t>
      </w:r>
      <w:r w:rsidR="000546EA">
        <w:t xml:space="preserve"> sought work i</w:t>
      </w:r>
      <w:r w:rsidR="00CE5C24">
        <w:t>n Australia.</w:t>
      </w:r>
      <w:r w:rsidR="00D54900" w:rsidRPr="00D54900">
        <w:t xml:space="preserve"> </w:t>
      </w:r>
    </w:p>
    <w:p w14:paraId="48AC3542" w14:textId="404A3BFA" w:rsidR="00A178EC" w:rsidRPr="00A178EC" w:rsidRDefault="00D54900" w:rsidP="00A178EC">
      <w:r>
        <w:t>Respondents reported their job-seeking methods were successful more than half the time. The most successful approach involved a previous employer helping the WHM to find their next position, when used this was successful for nine in ten persons (89.3%) – however only a small proportion of all WHMs used this approach (9.2%). While the number using the methods varied, help from family and friends, a personal approach to employers and labour hire agencies were successful around two-thirds of the time.</w:t>
      </w:r>
      <w:r w:rsidR="008F2559">
        <w:t xml:space="preserve"> Two in five</w:t>
      </w:r>
      <w:r w:rsidR="003660DF">
        <w:t xml:space="preserve"> WHMs reported </w:t>
      </w:r>
      <w:r w:rsidR="00C46B2F">
        <w:t>looking for work through online or newspaper advertisements</w:t>
      </w:r>
      <w:r w:rsidR="003202F3">
        <w:t>, with a similar number using social media</w:t>
      </w:r>
      <w:r w:rsidR="00A92CD0">
        <w:t xml:space="preserve"> to find a job</w:t>
      </w:r>
      <w:r w:rsidR="00FE36C9">
        <w:t xml:space="preserve"> –</w:t>
      </w:r>
      <w:r w:rsidR="00C46B2F">
        <w:t xml:space="preserve"> </w:t>
      </w:r>
      <w:r w:rsidR="00A92CD0">
        <w:t>approximately</w:t>
      </w:r>
      <w:r w:rsidR="00C46B2F">
        <w:t xml:space="preserve"> half of these </w:t>
      </w:r>
      <w:r w:rsidR="00463772">
        <w:t>approaches</w:t>
      </w:r>
      <w:r w:rsidR="00C46B2F">
        <w:t xml:space="preserve"> led to </w:t>
      </w:r>
      <w:r w:rsidR="00A92CD0">
        <w:t>work</w:t>
      </w:r>
      <w:r w:rsidR="00205187">
        <w:t>.</w:t>
      </w:r>
      <w:r w:rsidR="00190C2C">
        <w:t xml:space="preserve"> </w:t>
      </w:r>
      <w:r w:rsidR="00463772">
        <w:t>A</w:t>
      </w:r>
      <w:r w:rsidR="00D501E3">
        <w:t>lmost all</w:t>
      </w:r>
      <w:r w:rsidR="00803E4B">
        <w:t xml:space="preserve"> </w:t>
      </w:r>
      <w:r w:rsidR="00463772">
        <w:t xml:space="preserve">WHM </w:t>
      </w:r>
      <w:r w:rsidR="00803E4B">
        <w:t>jobs</w:t>
      </w:r>
      <w:r w:rsidR="00462DBB">
        <w:t xml:space="preserve"> were sourced after arriving in Australia</w:t>
      </w:r>
      <w:r w:rsidR="007508B5">
        <w:t>. W</w:t>
      </w:r>
      <w:r w:rsidR="00FE36C9">
        <w:t>hile</w:t>
      </w:r>
      <w:r w:rsidR="00D501E3">
        <w:t xml:space="preserve"> </w:t>
      </w:r>
      <w:r w:rsidR="00F46DC2">
        <w:t xml:space="preserve">personal connections and introductions tended to </w:t>
      </w:r>
      <w:r w:rsidR="00FC4834">
        <w:t xml:space="preserve">have </w:t>
      </w:r>
      <w:r w:rsidR="00210A49">
        <w:t xml:space="preserve">a </w:t>
      </w:r>
      <w:r w:rsidR="00601384">
        <w:t>higher</w:t>
      </w:r>
      <w:r w:rsidR="00210A49">
        <w:t xml:space="preserve"> success rate</w:t>
      </w:r>
      <w:r w:rsidR="00A171B7">
        <w:t xml:space="preserve">, </w:t>
      </w:r>
      <w:r w:rsidR="000036EF">
        <w:t>it is fair to say</w:t>
      </w:r>
      <w:r w:rsidR="00A171B7">
        <w:t xml:space="preserve"> WHM</w:t>
      </w:r>
      <w:r w:rsidR="00601384">
        <w:t xml:space="preserve"> job prospects</w:t>
      </w:r>
      <w:r w:rsidR="007508B5">
        <w:t xml:space="preserve"> were</w:t>
      </w:r>
      <w:r w:rsidR="00084BBC">
        <w:t xml:space="preserve"> good</w:t>
      </w:r>
      <w:r w:rsidR="00FE36C9">
        <w:t xml:space="preserve"> even without these.</w:t>
      </w:r>
    </w:p>
    <w:p w14:paraId="2D57A958" w14:textId="5DF24903" w:rsidR="00E16B19" w:rsidRDefault="00E16B19" w:rsidP="00E16B19">
      <w:pPr>
        <w:pStyle w:val="Caption"/>
      </w:pPr>
      <w:bookmarkStart w:id="70" w:name="_Ref54782224"/>
      <w:bookmarkStart w:id="71" w:name="_Ref54782219"/>
      <w:bookmarkStart w:id="72" w:name="_Toc75878598"/>
      <w:r w:rsidRPr="00A178EC">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4</w:t>
      </w:r>
      <w:r>
        <w:fldChar w:fldCharType="end"/>
      </w:r>
      <w:bookmarkEnd w:id="70"/>
      <w:r w:rsidRPr="00A178EC">
        <w:t xml:space="preserve">: </w:t>
      </w:r>
      <w:r w:rsidR="00DE05BF">
        <w:t>Job-</w:t>
      </w:r>
      <w:r w:rsidR="009F4E4E">
        <w:t>seeking</w:t>
      </w:r>
      <w:r w:rsidR="00A84646">
        <w:t xml:space="preserve"> </w:t>
      </w:r>
      <w:r w:rsidR="00DD2A6E">
        <w:t>methods and their success</w:t>
      </w:r>
      <w:bookmarkEnd w:id="71"/>
      <w:bookmarkEnd w:id="72"/>
    </w:p>
    <w:tbl>
      <w:tblPr>
        <w:tblStyle w:val="ListTable4-Accent4"/>
        <w:tblW w:w="8926" w:type="dxa"/>
        <w:tblLayout w:type="fixed"/>
        <w:tblLook w:val="0460" w:firstRow="1" w:lastRow="1" w:firstColumn="0" w:lastColumn="0" w:noHBand="0" w:noVBand="1"/>
      </w:tblPr>
      <w:tblGrid>
        <w:gridCol w:w="3964"/>
        <w:gridCol w:w="1240"/>
        <w:gridCol w:w="1241"/>
        <w:gridCol w:w="1240"/>
        <w:gridCol w:w="1241"/>
      </w:tblGrid>
      <w:tr w:rsidR="00AC660E" w:rsidRPr="00815822" w14:paraId="7B8DDBD2" w14:textId="77777777" w:rsidTr="00096E5D">
        <w:trPr>
          <w:cnfStyle w:val="100000000000" w:firstRow="1" w:lastRow="0" w:firstColumn="0" w:lastColumn="0" w:oddVBand="0" w:evenVBand="0" w:oddHBand="0" w:evenHBand="0" w:firstRowFirstColumn="0" w:firstRowLastColumn="0" w:lastRowFirstColumn="0" w:lastRowLastColumn="0"/>
          <w:trHeight w:val="300"/>
          <w:tblHeader/>
        </w:trPr>
        <w:tc>
          <w:tcPr>
            <w:tcW w:w="3964" w:type="dxa"/>
            <w:noWrap/>
            <w:vAlign w:val="center"/>
            <w:hideMark/>
          </w:tcPr>
          <w:p w14:paraId="05AFEA2D" w14:textId="77777777" w:rsidR="00DB400E" w:rsidRPr="00815822" w:rsidRDefault="00DB400E" w:rsidP="00096E5D">
            <w:pPr>
              <w:spacing w:before="0"/>
              <w:rPr>
                <w:rFonts w:ascii="Calibri" w:eastAsia="Times New Roman" w:hAnsi="Calibri" w:cs="Calibri"/>
                <w:sz w:val="18"/>
                <w:szCs w:val="18"/>
                <w:lang w:eastAsia="en-AU"/>
              </w:rPr>
            </w:pPr>
          </w:p>
        </w:tc>
        <w:tc>
          <w:tcPr>
            <w:tcW w:w="2481" w:type="dxa"/>
            <w:gridSpan w:val="2"/>
            <w:noWrap/>
            <w:vAlign w:val="center"/>
            <w:hideMark/>
          </w:tcPr>
          <w:p w14:paraId="48B77193" w14:textId="20CE9FC4"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How looked for work</w:t>
            </w:r>
          </w:p>
        </w:tc>
        <w:tc>
          <w:tcPr>
            <w:tcW w:w="2481" w:type="dxa"/>
            <w:gridSpan w:val="2"/>
            <w:noWrap/>
            <w:vAlign w:val="center"/>
            <w:hideMark/>
          </w:tcPr>
          <w:p w14:paraId="408CFB34"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This led to a job</w:t>
            </w:r>
          </w:p>
        </w:tc>
      </w:tr>
      <w:tr w:rsidR="00A45CB9" w:rsidRPr="00815822" w14:paraId="76DE64EC" w14:textId="77777777" w:rsidTr="00096E5D">
        <w:trPr>
          <w:cnfStyle w:val="100000000000" w:firstRow="1" w:lastRow="0" w:firstColumn="0" w:lastColumn="0" w:oddVBand="0" w:evenVBand="0" w:oddHBand="0" w:evenHBand="0" w:firstRowFirstColumn="0" w:firstRowLastColumn="0" w:lastRowFirstColumn="0" w:lastRowLastColumn="0"/>
          <w:trHeight w:val="300"/>
          <w:tblHeader/>
        </w:trPr>
        <w:tc>
          <w:tcPr>
            <w:tcW w:w="3964" w:type="dxa"/>
            <w:noWrap/>
            <w:vAlign w:val="center"/>
            <w:hideMark/>
          </w:tcPr>
          <w:p w14:paraId="0C36F0A4" w14:textId="77777777" w:rsidR="00DB400E" w:rsidRPr="00815822" w:rsidRDefault="00DB400E" w:rsidP="00096E5D">
            <w:pPr>
              <w:spacing w:before="0"/>
              <w:rPr>
                <w:rFonts w:ascii="Calibri" w:eastAsia="Times New Roman" w:hAnsi="Calibri" w:cs="Calibri"/>
                <w:color w:val="000000"/>
                <w:sz w:val="18"/>
                <w:szCs w:val="18"/>
                <w:lang w:eastAsia="en-AU"/>
              </w:rPr>
            </w:pPr>
          </w:p>
        </w:tc>
        <w:tc>
          <w:tcPr>
            <w:tcW w:w="1240" w:type="dxa"/>
            <w:noWrap/>
            <w:vAlign w:val="center"/>
            <w:hideMark/>
          </w:tcPr>
          <w:p w14:paraId="32BA860A" w14:textId="77777777" w:rsidR="00DB400E" w:rsidRPr="00815822" w:rsidRDefault="00DB400E" w:rsidP="00815822">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n</w:t>
            </w:r>
          </w:p>
        </w:tc>
        <w:tc>
          <w:tcPr>
            <w:tcW w:w="1241" w:type="dxa"/>
            <w:noWrap/>
            <w:vAlign w:val="center"/>
            <w:hideMark/>
          </w:tcPr>
          <w:p w14:paraId="38B50BE5"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 of total</w:t>
            </w:r>
          </w:p>
        </w:tc>
        <w:tc>
          <w:tcPr>
            <w:tcW w:w="1240" w:type="dxa"/>
            <w:noWrap/>
            <w:vAlign w:val="center"/>
            <w:hideMark/>
          </w:tcPr>
          <w:p w14:paraId="14961700"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n</w:t>
            </w:r>
          </w:p>
        </w:tc>
        <w:tc>
          <w:tcPr>
            <w:tcW w:w="1241" w:type="dxa"/>
            <w:noWrap/>
            <w:vAlign w:val="center"/>
            <w:hideMark/>
          </w:tcPr>
          <w:p w14:paraId="5CFD276D"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 of method</w:t>
            </w:r>
          </w:p>
        </w:tc>
      </w:tr>
      <w:tr w:rsidR="00A45CB9" w:rsidRPr="00815822" w14:paraId="09D2816B" w14:textId="77777777" w:rsidTr="00096E5D">
        <w:trPr>
          <w:cnfStyle w:val="000000100000" w:firstRow="0" w:lastRow="0" w:firstColumn="0" w:lastColumn="0" w:oddVBand="0" w:evenVBand="0" w:oddHBand="1" w:evenHBand="0" w:firstRowFirstColumn="0" w:firstRowLastColumn="0" w:lastRowFirstColumn="0" w:lastRowLastColumn="0"/>
          <w:trHeight w:val="300"/>
        </w:trPr>
        <w:tc>
          <w:tcPr>
            <w:tcW w:w="3964" w:type="dxa"/>
            <w:noWrap/>
            <w:vAlign w:val="center"/>
            <w:hideMark/>
          </w:tcPr>
          <w:p w14:paraId="4CD2BA41" w14:textId="6D301920" w:rsidR="00DB400E" w:rsidRPr="00815822" w:rsidRDefault="00762515" w:rsidP="00096E5D">
            <w:pPr>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WHM</w:t>
            </w:r>
            <w:r w:rsidRPr="00815822">
              <w:rPr>
                <w:rFonts w:ascii="Calibri" w:eastAsia="Times New Roman" w:hAnsi="Calibri" w:cs="Calibri"/>
                <w:color w:val="000000"/>
                <w:sz w:val="18"/>
                <w:szCs w:val="18"/>
                <w:lang w:eastAsia="en-AU"/>
              </w:rPr>
              <w:t xml:space="preserve"> </w:t>
            </w:r>
            <w:r w:rsidR="00DB400E" w:rsidRPr="00815822">
              <w:rPr>
                <w:rFonts w:ascii="Calibri" w:eastAsia="Times New Roman" w:hAnsi="Calibri" w:cs="Calibri"/>
                <w:color w:val="000000"/>
                <w:sz w:val="18"/>
                <w:szCs w:val="18"/>
                <w:lang w:eastAsia="en-AU"/>
              </w:rPr>
              <w:t>approached the employer</w:t>
            </w:r>
          </w:p>
        </w:tc>
        <w:tc>
          <w:tcPr>
            <w:tcW w:w="1240" w:type="dxa"/>
            <w:noWrap/>
            <w:vAlign w:val="center"/>
            <w:hideMark/>
          </w:tcPr>
          <w:p w14:paraId="4B4027A7" w14:textId="60851887"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10</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367</w:t>
            </w:r>
          </w:p>
        </w:tc>
        <w:tc>
          <w:tcPr>
            <w:tcW w:w="1241" w:type="dxa"/>
            <w:noWrap/>
            <w:vAlign w:val="center"/>
            <w:hideMark/>
          </w:tcPr>
          <w:p w14:paraId="773E1BEA"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48.6%</w:t>
            </w:r>
          </w:p>
        </w:tc>
        <w:tc>
          <w:tcPr>
            <w:tcW w:w="1240" w:type="dxa"/>
            <w:noWrap/>
            <w:vAlign w:val="center"/>
            <w:hideMark/>
          </w:tcPr>
          <w:p w14:paraId="24C1CF94" w14:textId="2313A728"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849</w:t>
            </w:r>
          </w:p>
        </w:tc>
        <w:tc>
          <w:tcPr>
            <w:tcW w:w="1241" w:type="dxa"/>
            <w:noWrap/>
            <w:vAlign w:val="center"/>
            <w:hideMark/>
          </w:tcPr>
          <w:p w14:paraId="3A452613"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66.1%</w:t>
            </w:r>
          </w:p>
        </w:tc>
      </w:tr>
      <w:tr w:rsidR="00A45CB9" w:rsidRPr="00815822" w14:paraId="4F055C98" w14:textId="77777777" w:rsidTr="00096E5D">
        <w:trPr>
          <w:trHeight w:val="300"/>
        </w:trPr>
        <w:tc>
          <w:tcPr>
            <w:tcW w:w="3964" w:type="dxa"/>
            <w:noWrap/>
            <w:vAlign w:val="center"/>
            <w:hideMark/>
          </w:tcPr>
          <w:p w14:paraId="6BBBA987" w14:textId="77777777"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Advertisement (online/ newspaper)</w:t>
            </w:r>
          </w:p>
        </w:tc>
        <w:tc>
          <w:tcPr>
            <w:tcW w:w="1240" w:type="dxa"/>
            <w:noWrap/>
            <w:vAlign w:val="center"/>
            <w:hideMark/>
          </w:tcPr>
          <w:p w14:paraId="1963A112" w14:textId="6D0ADE90"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8</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290</w:t>
            </w:r>
          </w:p>
        </w:tc>
        <w:tc>
          <w:tcPr>
            <w:tcW w:w="1241" w:type="dxa"/>
            <w:noWrap/>
            <w:vAlign w:val="center"/>
            <w:hideMark/>
          </w:tcPr>
          <w:p w14:paraId="1E27014A"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38.9%</w:t>
            </w:r>
          </w:p>
        </w:tc>
        <w:tc>
          <w:tcPr>
            <w:tcW w:w="1240" w:type="dxa"/>
            <w:noWrap/>
            <w:vAlign w:val="center"/>
            <w:hideMark/>
          </w:tcPr>
          <w:p w14:paraId="59692DE0" w14:textId="44006912"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4</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492</w:t>
            </w:r>
          </w:p>
        </w:tc>
        <w:tc>
          <w:tcPr>
            <w:tcW w:w="1241" w:type="dxa"/>
            <w:noWrap/>
            <w:vAlign w:val="center"/>
            <w:hideMark/>
          </w:tcPr>
          <w:p w14:paraId="3311DAD8"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54.2%</w:t>
            </w:r>
          </w:p>
        </w:tc>
      </w:tr>
      <w:tr w:rsidR="00A45CB9" w:rsidRPr="00815822" w14:paraId="7CF03DC4" w14:textId="77777777" w:rsidTr="00096E5D">
        <w:trPr>
          <w:cnfStyle w:val="000000100000" w:firstRow="0" w:lastRow="0" w:firstColumn="0" w:lastColumn="0" w:oddVBand="0" w:evenVBand="0" w:oddHBand="1" w:evenHBand="0" w:firstRowFirstColumn="0" w:firstRowLastColumn="0" w:lastRowFirstColumn="0" w:lastRowLastColumn="0"/>
          <w:trHeight w:val="300"/>
        </w:trPr>
        <w:tc>
          <w:tcPr>
            <w:tcW w:w="3964" w:type="dxa"/>
            <w:noWrap/>
            <w:vAlign w:val="center"/>
            <w:hideMark/>
          </w:tcPr>
          <w:p w14:paraId="1BBE220A" w14:textId="77777777"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Social media</w:t>
            </w:r>
          </w:p>
        </w:tc>
        <w:tc>
          <w:tcPr>
            <w:tcW w:w="1240" w:type="dxa"/>
            <w:noWrap/>
            <w:vAlign w:val="center"/>
            <w:hideMark/>
          </w:tcPr>
          <w:p w14:paraId="682CA5E8" w14:textId="55092D40"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7</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936</w:t>
            </w:r>
          </w:p>
        </w:tc>
        <w:tc>
          <w:tcPr>
            <w:tcW w:w="1241" w:type="dxa"/>
            <w:noWrap/>
            <w:vAlign w:val="center"/>
            <w:hideMark/>
          </w:tcPr>
          <w:p w14:paraId="13E5B20A"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37.2%</w:t>
            </w:r>
          </w:p>
        </w:tc>
        <w:tc>
          <w:tcPr>
            <w:tcW w:w="1240" w:type="dxa"/>
            <w:noWrap/>
            <w:vAlign w:val="center"/>
            <w:hideMark/>
          </w:tcPr>
          <w:p w14:paraId="6DEBEDAA" w14:textId="5ECBB293"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3</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997</w:t>
            </w:r>
          </w:p>
        </w:tc>
        <w:tc>
          <w:tcPr>
            <w:tcW w:w="1241" w:type="dxa"/>
            <w:noWrap/>
            <w:vAlign w:val="center"/>
            <w:hideMark/>
          </w:tcPr>
          <w:p w14:paraId="0F099044"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50.4%</w:t>
            </w:r>
          </w:p>
        </w:tc>
      </w:tr>
      <w:tr w:rsidR="00A45CB9" w:rsidRPr="00815822" w14:paraId="6535433F" w14:textId="77777777" w:rsidTr="00096E5D">
        <w:trPr>
          <w:trHeight w:val="300"/>
        </w:trPr>
        <w:tc>
          <w:tcPr>
            <w:tcW w:w="3964" w:type="dxa"/>
            <w:noWrap/>
            <w:vAlign w:val="center"/>
            <w:hideMark/>
          </w:tcPr>
          <w:p w14:paraId="277E89D5" w14:textId="77777777"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Other travellers helped or made suggestions</w:t>
            </w:r>
          </w:p>
        </w:tc>
        <w:tc>
          <w:tcPr>
            <w:tcW w:w="1240" w:type="dxa"/>
            <w:noWrap/>
            <w:vAlign w:val="center"/>
            <w:hideMark/>
          </w:tcPr>
          <w:p w14:paraId="3C7A6D25" w14:textId="5C19E2AA"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7</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707</w:t>
            </w:r>
          </w:p>
        </w:tc>
        <w:tc>
          <w:tcPr>
            <w:tcW w:w="1241" w:type="dxa"/>
            <w:noWrap/>
            <w:vAlign w:val="center"/>
            <w:hideMark/>
          </w:tcPr>
          <w:p w14:paraId="3FBA0A32"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36.2%</w:t>
            </w:r>
          </w:p>
        </w:tc>
        <w:tc>
          <w:tcPr>
            <w:tcW w:w="1240" w:type="dxa"/>
            <w:noWrap/>
            <w:vAlign w:val="center"/>
            <w:hideMark/>
          </w:tcPr>
          <w:p w14:paraId="5F25ED44" w14:textId="478EA5D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4</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311</w:t>
            </w:r>
          </w:p>
        </w:tc>
        <w:tc>
          <w:tcPr>
            <w:tcW w:w="1241" w:type="dxa"/>
            <w:noWrap/>
            <w:vAlign w:val="center"/>
            <w:hideMark/>
          </w:tcPr>
          <w:p w14:paraId="4D0C2005"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55.9%</w:t>
            </w:r>
          </w:p>
        </w:tc>
      </w:tr>
      <w:tr w:rsidR="00A45CB9" w:rsidRPr="00815822" w14:paraId="2B891D4B" w14:textId="77777777" w:rsidTr="00096E5D">
        <w:trPr>
          <w:cnfStyle w:val="000000100000" w:firstRow="0" w:lastRow="0" w:firstColumn="0" w:lastColumn="0" w:oddVBand="0" w:evenVBand="0" w:oddHBand="1" w:evenHBand="0" w:firstRowFirstColumn="0" w:firstRowLastColumn="0" w:lastRowFirstColumn="0" w:lastRowLastColumn="0"/>
          <w:trHeight w:val="300"/>
        </w:trPr>
        <w:tc>
          <w:tcPr>
            <w:tcW w:w="3964" w:type="dxa"/>
            <w:noWrap/>
            <w:vAlign w:val="center"/>
            <w:hideMark/>
          </w:tcPr>
          <w:p w14:paraId="4761A326" w14:textId="77777777"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Family or friends helped</w:t>
            </w:r>
          </w:p>
        </w:tc>
        <w:tc>
          <w:tcPr>
            <w:tcW w:w="1240" w:type="dxa"/>
            <w:noWrap/>
            <w:vAlign w:val="center"/>
            <w:hideMark/>
          </w:tcPr>
          <w:p w14:paraId="07BCCBCA" w14:textId="68197B9B"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277</w:t>
            </w:r>
          </w:p>
        </w:tc>
        <w:tc>
          <w:tcPr>
            <w:tcW w:w="1241" w:type="dxa"/>
            <w:noWrap/>
            <w:vAlign w:val="center"/>
            <w:hideMark/>
          </w:tcPr>
          <w:p w14:paraId="70E2B5D5"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29.4%</w:t>
            </w:r>
          </w:p>
        </w:tc>
        <w:tc>
          <w:tcPr>
            <w:tcW w:w="1240" w:type="dxa"/>
            <w:noWrap/>
            <w:vAlign w:val="center"/>
            <w:hideMark/>
          </w:tcPr>
          <w:p w14:paraId="4466A816" w14:textId="467D0D49"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4</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335</w:t>
            </w:r>
          </w:p>
        </w:tc>
        <w:tc>
          <w:tcPr>
            <w:tcW w:w="1241" w:type="dxa"/>
            <w:noWrap/>
            <w:vAlign w:val="center"/>
            <w:hideMark/>
          </w:tcPr>
          <w:p w14:paraId="314B29A3"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69.1%</w:t>
            </w:r>
          </w:p>
        </w:tc>
      </w:tr>
      <w:tr w:rsidR="00A45CB9" w:rsidRPr="00815822" w14:paraId="3451D730" w14:textId="77777777" w:rsidTr="00096E5D">
        <w:trPr>
          <w:trHeight w:val="300"/>
        </w:trPr>
        <w:tc>
          <w:tcPr>
            <w:tcW w:w="3964" w:type="dxa"/>
            <w:noWrap/>
            <w:vAlign w:val="center"/>
            <w:hideMark/>
          </w:tcPr>
          <w:p w14:paraId="4635A03C" w14:textId="6940CC72" w:rsidR="00DB400E" w:rsidRPr="00815822" w:rsidRDefault="00762515" w:rsidP="00096E5D">
            <w:pPr>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w:t>
            </w:r>
            <w:r w:rsidR="00DB400E" w:rsidRPr="00815822">
              <w:rPr>
                <w:rFonts w:ascii="Calibri" w:eastAsia="Times New Roman" w:hAnsi="Calibri" w:cs="Calibri"/>
                <w:color w:val="000000"/>
                <w:sz w:val="18"/>
                <w:szCs w:val="18"/>
                <w:lang w:eastAsia="en-AU"/>
              </w:rPr>
              <w:t>sed an employment/ labour hire agency</w:t>
            </w:r>
          </w:p>
        </w:tc>
        <w:tc>
          <w:tcPr>
            <w:tcW w:w="1240" w:type="dxa"/>
            <w:noWrap/>
            <w:vAlign w:val="center"/>
            <w:hideMark/>
          </w:tcPr>
          <w:p w14:paraId="1250FD69" w14:textId="34A7E012"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244</w:t>
            </w:r>
          </w:p>
        </w:tc>
        <w:tc>
          <w:tcPr>
            <w:tcW w:w="1241" w:type="dxa"/>
            <w:noWrap/>
            <w:vAlign w:val="center"/>
            <w:hideMark/>
          </w:tcPr>
          <w:p w14:paraId="48164FEE"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29.3%</w:t>
            </w:r>
          </w:p>
        </w:tc>
        <w:tc>
          <w:tcPr>
            <w:tcW w:w="1240" w:type="dxa"/>
            <w:noWrap/>
            <w:vAlign w:val="center"/>
            <w:hideMark/>
          </w:tcPr>
          <w:p w14:paraId="1B052C70" w14:textId="46737DBD"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4</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037</w:t>
            </w:r>
          </w:p>
        </w:tc>
        <w:tc>
          <w:tcPr>
            <w:tcW w:w="1241" w:type="dxa"/>
            <w:noWrap/>
            <w:vAlign w:val="center"/>
            <w:hideMark/>
          </w:tcPr>
          <w:p w14:paraId="30868966"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64.7%</w:t>
            </w:r>
          </w:p>
        </w:tc>
      </w:tr>
      <w:tr w:rsidR="00A45CB9" w:rsidRPr="00815822" w14:paraId="13225B3E" w14:textId="77777777" w:rsidTr="00096E5D">
        <w:trPr>
          <w:cnfStyle w:val="000000100000" w:firstRow="0" w:lastRow="0" w:firstColumn="0" w:lastColumn="0" w:oddVBand="0" w:evenVBand="0" w:oddHBand="1" w:evenHBand="0" w:firstRowFirstColumn="0" w:firstRowLastColumn="0" w:lastRowFirstColumn="0" w:lastRowLastColumn="0"/>
          <w:trHeight w:val="300"/>
        </w:trPr>
        <w:tc>
          <w:tcPr>
            <w:tcW w:w="3964" w:type="dxa"/>
            <w:noWrap/>
            <w:vAlign w:val="center"/>
            <w:hideMark/>
          </w:tcPr>
          <w:p w14:paraId="42B90AB4" w14:textId="75F019F0"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It was arranged before coming to Australia</w:t>
            </w:r>
          </w:p>
        </w:tc>
        <w:tc>
          <w:tcPr>
            <w:tcW w:w="1240" w:type="dxa"/>
            <w:noWrap/>
            <w:vAlign w:val="center"/>
            <w:hideMark/>
          </w:tcPr>
          <w:p w14:paraId="4FDC730E" w14:textId="274BE88F"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839</w:t>
            </w:r>
          </w:p>
        </w:tc>
        <w:tc>
          <w:tcPr>
            <w:tcW w:w="1241" w:type="dxa"/>
            <w:noWrap/>
            <w:vAlign w:val="center"/>
            <w:hideMark/>
          </w:tcPr>
          <w:p w14:paraId="5736CDDB"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13.3%</w:t>
            </w:r>
          </w:p>
        </w:tc>
        <w:tc>
          <w:tcPr>
            <w:tcW w:w="1240" w:type="dxa"/>
            <w:noWrap/>
            <w:vAlign w:val="center"/>
            <w:hideMark/>
          </w:tcPr>
          <w:p w14:paraId="6C84285E" w14:textId="57AB9BCB"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2</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265</w:t>
            </w:r>
          </w:p>
        </w:tc>
        <w:tc>
          <w:tcPr>
            <w:tcW w:w="1241" w:type="dxa"/>
            <w:noWrap/>
            <w:vAlign w:val="center"/>
            <w:hideMark/>
          </w:tcPr>
          <w:p w14:paraId="250D87E0"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79.8%</w:t>
            </w:r>
          </w:p>
        </w:tc>
      </w:tr>
      <w:tr w:rsidR="00A45CB9" w:rsidRPr="00815822" w14:paraId="35C9802B" w14:textId="77777777" w:rsidTr="00096E5D">
        <w:trPr>
          <w:trHeight w:val="300"/>
        </w:trPr>
        <w:tc>
          <w:tcPr>
            <w:tcW w:w="3964" w:type="dxa"/>
            <w:noWrap/>
            <w:vAlign w:val="center"/>
            <w:hideMark/>
          </w:tcPr>
          <w:p w14:paraId="28131C36" w14:textId="400472A1"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 xml:space="preserve">A previous employer helped </w:t>
            </w:r>
            <w:r w:rsidR="00434578">
              <w:rPr>
                <w:rFonts w:ascii="Calibri" w:eastAsia="Times New Roman" w:hAnsi="Calibri" w:cs="Calibri"/>
                <w:color w:val="000000"/>
                <w:sz w:val="18"/>
                <w:szCs w:val="18"/>
                <w:lang w:eastAsia="en-AU"/>
              </w:rPr>
              <w:t xml:space="preserve">WHM </w:t>
            </w:r>
            <w:r w:rsidRPr="00815822">
              <w:rPr>
                <w:rFonts w:ascii="Calibri" w:eastAsia="Times New Roman" w:hAnsi="Calibri" w:cs="Calibri"/>
                <w:color w:val="000000"/>
                <w:sz w:val="18"/>
                <w:szCs w:val="18"/>
                <w:lang w:eastAsia="en-AU"/>
              </w:rPr>
              <w:t>find next job</w:t>
            </w:r>
          </w:p>
        </w:tc>
        <w:tc>
          <w:tcPr>
            <w:tcW w:w="1240" w:type="dxa"/>
            <w:noWrap/>
            <w:vAlign w:val="center"/>
            <w:hideMark/>
          </w:tcPr>
          <w:p w14:paraId="002E106C" w14:textId="26257D82" w:rsidR="00DB400E" w:rsidRPr="00815822" w:rsidRDefault="00DB400E" w:rsidP="00FC757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966</w:t>
            </w:r>
          </w:p>
        </w:tc>
        <w:tc>
          <w:tcPr>
            <w:tcW w:w="1241" w:type="dxa"/>
            <w:noWrap/>
            <w:vAlign w:val="center"/>
            <w:hideMark/>
          </w:tcPr>
          <w:p w14:paraId="0238B9AF"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9.2%</w:t>
            </w:r>
          </w:p>
        </w:tc>
        <w:tc>
          <w:tcPr>
            <w:tcW w:w="1240" w:type="dxa"/>
            <w:noWrap/>
            <w:vAlign w:val="center"/>
            <w:hideMark/>
          </w:tcPr>
          <w:p w14:paraId="553815C3" w14:textId="6D84964E"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1</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756</w:t>
            </w:r>
          </w:p>
        </w:tc>
        <w:tc>
          <w:tcPr>
            <w:tcW w:w="1241" w:type="dxa"/>
            <w:noWrap/>
            <w:vAlign w:val="center"/>
            <w:hideMark/>
          </w:tcPr>
          <w:p w14:paraId="63A7C1FA"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89.3%</w:t>
            </w:r>
          </w:p>
        </w:tc>
      </w:tr>
      <w:tr w:rsidR="00AC660E" w:rsidRPr="00815822" w14:paraId="7B6A73E6" w14:textId="77777777" w:rsidTr="00096E5D">
        <w:trPr>
          <w:cnfStyle w:val="010000000000" w:firstRow="0" w:lastRow="1" w:firstColumn="0" w:lastColumn="0" w:oddVBand="0" w:evenVBand="0" w:oddHBand="0" w:evenHBand="0" w:firstRowFirstColumn="0" w:firstRowLastColumn="0" w:lastRowFirstColumn="0" w:lastRowLastColumn="0"/>
          <w:trHeight w:val="300"/>
        </w:trPr>
        <w:tc>
          <w:tcPr>
            <w:tcW w:w="3964" w:type="dxa"/>
            <w:noWrap/>
            <w:vAlign w:val="center"/>
            <w:hideMark/>
          </w:tcPr>
          <w:p w14:paraId="0E46BE20" w14:textId="77777777" w:rsidR="00DB400E" w:rsidRPr="00815822" w:rsidRDefault="00DB400E" w:rsidP="00096E5D">
            <w:pPr>
              <w:spacing w:before="0"/>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Total</w:t>
            </w:r>
          </w:p>
        </w:tc>
        <w:tc>
          <w:tcPr>
            <w:tcW w:w="1240" w:type="dxa"/>
            <w:noWrap/>
            <w:vAlign w:val="center"/>
            <w:hideMark/>
          </w:tcPr>
          <w:p w14:paraId="4AF8968F" w14:textId="074CA99D"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21</w:t>
            </w:r>
            <w:r w:rsidR="004C36E2">
              <w:rPr>
                <w:rFonts w:ascii="Calibri" w:eastAsia="Times New Roman" w:hAnsi="Calibri" w:cs="Calibri"/>
                <w:color w:val="000000"/>
                <w:sz w:val="18"/>
                <w:szCs w:val="18"/>
                <w:lang w:eastAsia="en-AU"/>
              </w:rPr>
              <w:t>,</w:t>
            </w:r>
            <w:r w:rsidRPr="00815822">
              <w:rPr>
                <w:rFonts w:ascii="Calibri" w:eastAsia="Times New Roman" w:hAnsi="Calibri" w:cs="Calibri"/>
                <w:color w:val="000000"/>
                <w:sz w:val="18"/>
                <w:szCs w:val="18"/>
                <w:lang w:eastAsia="en-AU"/>
              </w:rPr>
              <w:t>315</w:t>
            </w:r>
          </w:p>
        </w:tc>
        <w:tc>
          <w:tcPr>
            <w:tcW w:w="1241" w:type="dxa"/>
            <w:noWrap/>
            <w:vAlign w:val="center"/>
            <w:hideMark/>
          </w:tcPr>
          <w:p w14:paraId="3DB4C9FC" w14:textId="77777777" w:rsidR="00DB400E" w:rsidRPr="00815822" w:rsidRDefault="00DB400E" w:rsidP="00096E5D">
            <w:pPr>
              <w:spacing w:before="0"/>
              <w:jc w:val="center"/>
              <w:rPr>
                <w:rFonts w:ascii="Calibri" w:eastAsia="Times New Roman" w:hAnsi="Calibri" w:cs="Calibri"/>
                <w:color w:val="000000"/>
                <w:sz w:val="18"/>
                <w:szCs w:val="18"/>
                <w:lang w:eastAsia="en-AU"/>
              </w:rPr>
            </w:pPr>
            <w:r w:rsidRPr="00815822">
              <w:rPr>
                <w:rFonts w:ascii="Calibri" w:eastAsia="Times New Roman" w:hAnsi="Calibri" w:cs="Calibri"/>
                <w:color w:val="000000"/>
                <w:sz w:val="18"/>
                <w:szCs w:val="18"/>
                <w:lang w:eastAsia="en-AU"/>
              </w:rPr>
              <w:t>100.0%</w:t>
            </w:r>
          </w:p>
        </w:tc>
        <w:tc>
          <w:tcPr>
            <w:tcW w:w="1240" w:type="dxa"/>
            <w:noWrap/>
            <w:vAlign w:val="center"/>
            <w:hideMark/>
          </w:tcPr>
          <w:p w14:paraId="5BB5A0D0" w14:textId="77777777" w:rsidR="00DB400E" w:rsidRPr="00815822" w:rsidRDefault="00DB400E" w:rsidP="00096E5D">
            <w:pPr>
              <w:spacing w:before="0"/>
              <w:jc w:val="center"/>
              <w:rPr>
                <w:rFonts w:ascii="Calibri" w:eastAsia="Times New Roman" w:hAnsi="Calibri" w:cs="Calibri"/>
                <w:color w:val="000000"/>
                <w:sz w:val="18"/>
                <w:szCs w:val="18"/>
                <w:lang w:eastAsia="en-AU"/>
              </w:rPr>
            </w:pPr>
          </w:p>
        </w:tc>
        <w:tc>
          <w:tcPr>
            <w:tcW w:w="1241" w:type="dxa"/>
            <w:noWrap/>
            <w:vAlign w:val="center"/>
            <w:hideMark/>
          </w:tcPr>
          <w:p w14:paraId="61E7245A" w14:textId="77777777" w:rsidR="00DB400E" w:rsidRPr="00815822" w:rsidRDefault="00DB400E" w:rsidP="00096E5D">
            <w:pPr>
              <w:spacing w:before="0"/>
              <w:jc w:val="center"/>
              <w:rPr>
                <w:rFonts w:ascii="Calibri" w:eastAsia="Times New Roman" w:hAnsi="Calibri" w:cs="Calibri"/>
                <w:sz w:val="18"/>
                <w:szCs w:val="18"/>
                <w:lang w:eastAsia="en-AU"/>
              </w:rPr>
            </w:pPr>
          </w:p>
        </w:tc>
      </w:tr>
    </w:tbl>
    <w:p w14:paraId="3C1B12B3" w14:textId="5DE01763" w:rsidR="00365767" w:rsidRDefault="00365767" w:rsidP="006D6014">
      <w:pPr>
        <w:pStyle w:val="Tablenote"/>
      </w:pPr>
      <w:r>
        <w:t>Note</w:t>
      </w:r>
      <w:r w:rsidR="00042CF8">
        <w:t xml:space="preserve">, </w:t>
      </w:r>
      <w:r w:rsidR="005706E1">
        <w:t>multiple responses were allowed, these figures sum to more than 100%</w:t>
      </w:r>
      <w:r w:rsidR="005C3B68">
        <w:t>.</w:t>
      </w:r>
    </w:p>
    <w:p w14:paraId="6E2D2281" w14:textId="20249CB5" w:rsidR="000265EF" w:rsidRPr="000265EF" w:rsidRDefault="00356B43" w:rsidP="000265EF">
      <w:pPr>
        <w:pStyle w:val="Tablenote"/>
      </w:pPr>
      <w:r w:rsidRPr="009D07D8">
        <w:t xml:space="preserve">Source: </w:t>
      </w:r>
      <w:r w:rsidR="00533FC6">
        <w:t>WHM</w:t>
      </w:r>
      <w:r w:rsidRPr="009D07D8">
        <w:t xml:space="preserve"> Survey, 2020.</w:t>
      </w:r>
    </w:p>
    <w:p w14:paraId="6BD4D024" w14:textId="3F5736DD" w:rsidR="00E16B19" w:rsidRDefault="00070FF4" w:rsidP="002E77A1">
      <w:pPr>
        <w:pStyle w:val="Heading2"/>
      </w:pPr>
      <w:bookmarkStart w:id="73" w:name="_Toc75878458"/>
      <w:r>
        <w:t>Wages</w:t>
      </w:r>
      <w:bookmarkEnd w:id="73"/>
    </w:p>
    <w:p w14:paraId="147CE6EA" w14:textId="5D3C4A02" w:rsidR="00B04679" w:rsidRPr="00B04679" w:rsidRDefault="00B04679" w:rsidP="008A55F1">
      <w:pPr>
        <w:pStyle w:val="Heading3"/>
      </w:pPr>
      <w:bookmarkStart w:id="74" w:name="_Toc75878459"/>
      <w:r>
        <w:t>Hourly rate of pay</w:t>
      </w:r>
      <w:bookmarkEnd w:id="74"/>
    </w:p>
    <w:p w14:paraId="4106ED2B" w14:textId="5BE08D71" w:rsidR="0046632D" w:rsidRPr="003A2136" w:rsidRDefault="0004267B" w:rsidP="0046632D">
      <w:bookmarkStart w:id="75" w:name="_Hlk64883452"/>
      <w:r>
        <w:t>Fewer than o</w:t>
      </w:r>
      <w:r w:rsidR="003A2136" w:rsidRPr="003A2136">
        <w:t xml:space="preserve">ne </w:t>
      </w:r>
      <w:r w:rsidR="00DC1A83">
        <w:t>in ten</w:t>
      </w:r>
      <w:r w:rsidR="00F67639">
        <w:t xml:space="preserve"> (</w:t>
      </w:r>
      <w:r w:rsidR="00DC1A83">
        <w:t>8</w:t>
      </w:r>
      <w:r>
        <w:t>.6</w:t>
      </w:r>
      <w:r w:rsidR="00F67639">
        <w:t>%)</w:t>
      </w:r>
      <w:r w:rsidR="003A2136" w:rsidRPr="003A2136">
        <w:t xml:space="preserve"> </w:t>
      </w:r>
      <w:r w:rsidR="00B2292D">
        <w:t>jobs paid</w:t>
      </w:r>
      <w:r w:rsidR="003A2136">
        <w:t xml:space="preserve"> </w:t>
      </w:r>
      <w:r w:rsidR="00DC1A83">
        <w:t>up to</w:t>
      </w:r>
      <w:r w:rsidR="00025CED">
        <w:t xml:space="preserve"> $</w:t>
      </w:r>
      <w:r w:rsidR="002A3AE3">
        <w:t>15</w:t>
      </w:r>
      <w:r w:rsidR="00EA5EA8">
        <w:t xml:space="preserve"> per hour; with a further 1</w:t>
      </w:r>
      <w:r w:rsidR="00CB0999">
        <w:t>9.8</w:t>
      </w:r>
      <w:r w:rsidR="00EA5EA8">
        <w:t xml:space="preserve">% </w:t>
      </w:r>
      <w:r w:rsidR="006F68E5">
        <w:t xml:space="preserve">of </w:t>
      </w:r>
      <w:r w:rsidR="00195ADC">
        <w:t>jobs paying</w:t>
      </w:r>
      <w:r w:rsidR="00EA5EA8">
        <w:t xml:space="preserve"> </w:t>
      </w:r>
      <w:r w:rsidR="008A0580">
        <w:t xml:space="preserve">between $15 and </w:t>
      </w:r>
      <w:r w:rsidR="00400A59">
        <w:t>$20 per hour</w:t>
      </w:r>
      <w:r w:rsidR="00E37485">
        <w:t xml:space="preserve"> (see </w:t>
      </w:r>
      <w:r w:rsidR="00E37485">
        <w:fldChar w:fldCharType="begin"/>
      </w:r>
      <w:r w:rsidR="00E37485">
        <w:instrText xml:space="preserve"> REF _Ref59029505 \h </w:instrText>
      </w:r>
      <w:r w:rsidR="00E37485">
        <w:fldChar w:fldCharType="separate"/>
      </w:r>
      <w:r w:rsidR="00F22012" w:rsidRPr="00ED77C9">
        <w:t xml:space="preserve">Table </w:t>
      </w:r>
      <w:r w:rsidR="00F22012">
        <w:rPr>
          <w:noProof/>
        </w:rPr>
        <w:t>5</w:t>
      </w:r>
      <w:r w:rsidR="00F22012">
        <w:noBreakHyphen/>
      </w:r>
      <w:r w:rsidR="00F22012">
        <w:rPr>
          <w:noProof/>
        </w:rPr>
        <w:t>5</w:t>
      </w:r>
      <w:r w:rsidR="00E37485">
        <w:fldChar w:fldCharType="end"/>
      </w:r>
      <w:r w:rsidR="00E37485">
        <w:t>)</w:t>
      </w:r>
      <w:r w:rsidR="00400A59">
        <w:t xml:space="preserve">. </w:t>
      </w:r>
      <w:r w:rsidR="006473BD">
        <w:t>Two in five (4</w:t>
      </w:r>
      <w:r w:rsidR="005878AA">
        <w:t>3.5</w:t>
      </w:r>
      <w:r w:rsidR="006473BD">
        <w:t xml:space="preserve">%) </w:t>
      </w:r>
      <w:r w:rsidR="00931DD2">
        <w:t>jobs paid</w:t>
      </w:r>
      <w:r w:rsidR="006473BD">
        <w:t xml:space="preserve"> </w:t>
      </w:r>
      <w:r w:rsidR="009A6E73">
        <w:t>between $20 and $25 per hour</w:t>
      </w:r>
      <w:r w:rsidR="00E91511">
        <w:t>. Only 1.</w:t>
      </w:r>
      <w:r w:rsidR="0056521B">
        <w:t>4</w:t>
      </w:r>
      <w:r w:rsidR="00E91511">
        <w:t xml:space="preserve">% </w:t>
      </w:r>
      <w:r w:rsidR="00F37746">
        <w:t xml:space="preserve">of </w:t>
      </w:r>
      <w:r w:rsidR="00931DD2">
        <w:t>jobs paid</w:t>
      </w:r>
      <w:r w:rsidR="00E91511">
        <w:t xml:space="preserve"> more than $40 per hour</w:t>
      </w:r>
      <w:r w:rsidR="00093C0D">
        <w:t xml:space="preserve">. </w:t>
      </w:r>
      <w:r w:rsidR="00E359E0">
        <w:t xml:space="preserve">A small proportion </w:t>
      </w:r>
      <w:r w:rsidR="0003452E">
        <w:t>(2.</w:t>
      </w:r>
      <w:r w:rsidR="00372613">
        <w:t>2</w:t>
      </w:r>
      <w:r w:rsidR="0003452E">
        <w:t xml:space="preserve">%) </w:t>
      </w:r>
      <w:r w:rsidR="00E359E0">
        <w:t xml:space="preserve">of jobs were </w:t>
      </w:r>
      <w:r w:rsidR="007D5A9E">
        <w:t xml:space="preserve">reportedly </w:t>
      </w:r>
      <w:r w:rsidR="0003452E">
        <w:t>undertaken for no pay</w:t>
      </w:r>
      <w:r w:rsidR="00D42A1B">
        <w:t>. S</w:t>
      </w:r>
      <w:r w:rsidR="00E87B6C">
        <w:t>ales repr</w:t>
      </w:r>
      <w:r w:rsidR="00EF67D7">
        <w:t xml:space="preserve">esentatives, </w:t>
      </w:r>
      <w:r w:rsidR="009F16BE">
        <w:t>market research and nanny or au</w:t>
      </w:r>
      <w:r w:rsidR="00995DD9">
        <w:t xml:space="preserve"> </w:t>
      </w:r>
      <w:r w:rsidR="009F16BE">
        <w:t xml:space="preserve">pairs </w:t>
      </w:r>
      <w:r w:rsidR="00710C25">
        <w:t xml:space="preserve">were </w:t>
      </w:r>
      <w:r w:rsidR="00275DFA">
        <w:t xml:space="preserve">the </w:t>
      </w:r>
      <w:r w:rsidR="00710C25">
        <w:t>jobs</w:t>
      </w:r>
      <w:r w:rsidR="00544A9B">
        <w:t xml:space="preserve"> most likely to fall into th</w:t>
      </w:r>
      <w:r w:rsidR="00D42A1B">
        <w:t>ese categories, although</w:t>
      </w:r>
      <w:r w:rsidR="006D7524">
        <w:t xml:space="preserve"> </w:t>
      </w:r>
      <w:r w:rsidR="00512E3C">
        <w:t>responses indicating</w:t>
      </w:r>
      <w:r w:rsidR="000610F8">
        <w:t xml:space="preserve"> $0</w:t>
      </w:r>
      <w:r w:rsidR="00805F6E">
        <w:t xml:space="preserve"> </w:t>
      </w:r>
      <w:r w:rsidR="00853B93">
        <w:t xml:space="preserve">hourly rates of </w:t>
      </w:r>
      <w:r w:rsidR="00F70C51">
        <w:t xml:space="preserve">pay </w:t>
      </w:r>
      <w:r w:rsidR="00805F6E">
        <w:t xml:space="preserve">were </w:t>
      </w:r>
      <w:r w:rsidR="00E527E6">
        <w:t>present across almost</w:t>
      </w:r>
      <w:r w:rsidR="006D7524">
        <w:t xml:space="preserve"> all job</w:t>
      </w:r>
      <w:r w:rsidR="000610F8">
        <w:t>s.</w:t>
      </w:r>
      <w:r w:rsidR="00952B59">
        <w:t xml:space="preserve"> We note that some</w:t>
      </w:r>
      <w:r w:rsidR="00C06A78">
        <w:t xml:space="preserve"> jobs (e.g. </w:t>
      </w:r>
      <w:r w:rsidR="00A17344">
        <w:t>nannies</w:t>
      </w:r>
      <w:r w:rsidR="00C944F6">
        <w:t>,</w:t>
      </w:r>
      <w:r w:rsidR="00A17344">
        <w:t xml:space="preserve"> hospitali</w:t>
      </w:r>
      <w:r w:rsidR="00C944F6">
        <w:t xml:space="preserve">ty, etc) </w:t>
      </w:r>
      <w:r w:rsidR="000E1784">
        <w:t>may</w:t>
      </w:r>
      <w:r w:rsidR="00C03B2C">
        <w:t xml:space="preserve"> </w:t>
      </w:r>
      <w:r w:rsidR="00234D58">
        <w:t>involve</w:t>
      </w:r>
      <w:r w:rsidR="00C03B2C">
        <w:t xml:space="preserve"> a sal</w:t>
      </w:r>
      <w:r w:rsidR="00E83F69">
        <w:t xml:space="preserve">ary package that </w:t>
      </w:r>
      <w:r w:rsidR="000E1784">
        <w:t>includes accommodation</w:t>
      </w:r>
      <w:r w:rsidR="00F30AAC">
        <w:t>, meals and travel</w:t>
      </w:r>
      <w:r w:rsidR="00A16A2D">
        <w:t>. I</w:t>
      </w:r>
      <w:r w:rsidR="004A5D2F">
        <w:t xml:space="preserve">t is not known how many </w:t>
      </w:r>
      <w:r w:rsidR="000B784B">
        <w:t>jobs fall into this category</w:t>
      </w:r>
      <w:r w:rsidR="00A16A2D">
        <w:t>, but it</w:t>
      </w:r>
      <w:r w:rsidR="00C9425C">
        <w:t xml:space="preserve"> is</w:t>
      </w:r>
      <w:r w:rsidR="00A16A2D">
        <w:t xml:space="preserve"> expected that this accounts for some </w:t>
      </w:r>
      <w:r w:rsidR="00CC1212">
        <w:t>jobs with a low hourly rate.</w:t>
      </w:r>
    </w:p>
    <w:p w14:paraId="5E41ECD0" w14:textId="295E4378" w:rsidR="00E16B19" w:rsidRPr="00ED77C9" w:rsidRDefault="00E16B19" w:rsidP="00F71B1B">
      <w:pPr>
        <w:pStyle w:val="Caption"/>
      </w:pPr>
      <w:bookmarkStart w:id="76" w:name="_Ref59029505"/>
      <w:bookmarkStart w:id="77" w:name="_Toc75878599"/>
      <w:r w:rsidRPr="00ED77C9">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5</w:t>
      </w:r>
      <w:r>
        <w:fldChar w:fldCharType="end"/>
      </w:r>
      <w:bookmarkEnd w:id="76"/>
      <w:r w:rsidRPr="00ED77C9">
        <w:t xml:space="preserve">: Hourly rate of </w:t>
      </w:r>
      <w:r w:rsidR="00905300">
        <w:t>pay</w:t>
      </w:r>
      <w:bookmarkEnd w:id="77"/>
    </w:p>
    <w:tbl>
      <w:tblPr>
        <w:tblStyle w:val="GridTable4-Accent4"/>
        <w:tblW w:w="5000" w:type="pct"/>
        <w:tblLook w:val="0460" w:firstRow="1" w:lastRow="1" w:firstColumn="0" w:lastColumn="0" w:noHBand="0" w:noVBand="1"/>
      </w:tblPr>
      <w:tblGrid>
        <w:gridCol w:w="4730"/>
        <w:gridCol w:w="1805"/>
        <w:gridCol w:w="2481"/>
      </w:tblGrid>
      <w:tr w:rsidR="00F35045" w:rsidRPr="00976204" w14:paraId="54956E24" w14:textId="77777777" w:rsidTr="00C62611">
        <w:trPr>
          <w:cnfStyle w:val="100000000000" w:firstRow="1" w:lastRow="0" w:firstColumn="0" w:lastColumn="0" w:oddVBand="0" w:evenVBand="0" w:oddHBand="0" w:evenHBand="0" w:firstRowFirstColumn="0" w:firstRowLastColumn="0" w:lastRowFirstColumn="0" w:lastRowLastColumn="0"/>
          <w:trHeight w:val="300"/>
        </w:trPr>
        <w:tc>
          <w:tcPr>
            <w:tcW w:w="2623" w:type="pct"/>
            <w:tcBorders>
              <w:top w:val="none" w:sz="0" w:space="0" w:color="auto"/>
              <w:left w:val="none" w:sz="0" w:space="0" w:color="auto"/>
              <w:bottom w:val="none" w:sz="0" w:space="0" w:color="auto"/>
              <w:right w:val="none" w:sz="0" w:space="0" w:color="auto"/>
            </w:tcBorders>
            <w:noWrap/>
            <w:vAlign w:val="center"/>
            <w:hideMark/>
          </w:tcPr>
          <w:p w14:paraId="00F9D716" w14:textId="77777777" w:rsidR="00976204" w:rsidRPr="00976204" w:rsidRDefault="00976204" w:rsidP="00C62611">
            <w:pPr>
              <w:keepNext/>
              <w:keepLines/>
              <w:spacing w:before="0"/>
              <w:rPr>
                <w:rFonts w:ascii="Calibri" w:eastAsia="Times New Roman" w:hAnsi="Calibri" w:cs="Calibri"/>
                <w:sz w:val="18"/>
                <w:szCs w:val="18"/>
                <w:lang w:eastAsia="en-AU"/>
              </w:rPr>
            </w:pPr>
          </w:p>
        </w:tc>
        <w:tc>
          <w:tcPr>
            <w:tcW w:w="1001" w:type="pct"/>
            <w:tcBorders>
              <w:top w:val="none" w:sz="0" w:space="0" w:color="auto"/>
              <w:left w:val="none" w:sz="0" w:space="0" w:color="auto"/>
              <w:bottom w:val="none" w:sz="0" w:space="0" w:color="auto"/>
              <w:right w:val="none" w:sz="0" w:space="0" w:color="auto"/>
            </w:tcBorders>
            <w:noWrap/>
            <w:vAlign w:val="center"/>
            <w:hideMark/>
          </w:tcPr>
          <w:p w14:paraId="0BBD2423" w14:textId="49A88595" w:rsidR="00976204" w:rsidRPr="00976204" w:rsidRDefault="00212C30" w:rsidP="00C62611">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No. of jobs</w:t>
            </w:r>
          </w:p>
        </w:tc>
        <w:tc>
          <w:tcPr>
            <w:tcW w:w="1376" w:type="pct"/>
            <w:tcBorders>
              <w:top w:val="none" w:sz="0" w:space="0" w:color="auto"/>
              <w:left w:val="none" w:sz="0" w:space="0" w:color="auto"/>
              <w:bottom w:val="none" w:sz="0" w:space="0" w:color="auto"/>
              <w:right w:val="none" w:sz="0" w:space="0" w:color="auto"/>
            </w:tcBorders>
            <w:noWrap/>
            <w:vAlign w:val="center"/>
            <w:hideMark/>
          </w:tcPr>
          <w:p w14:paraId="72201A14" w14:textId="66F9C18C" w:rsidR="00976204" w:rsidRPr="00976204" w:rsidRDefault="00212C30" w:rsidP="00C62611">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of jobs</w:t>
            </w:r>
          </w:p>
        </w:tc>
      </w:tr>
      <w:tr w:rsidR="00F35045" w:rsidRPr="00976204" w14:paraId="6A0AFB1F"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03AF4C26" w14:textId="77777777" w:rsidR="00976204" w:rsidRPr="00976204" w:rsidRDefault="00976204"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$0</w:t>
            </w:r>
          </w:p>
        </w:tc>
        <w:tc>
          <w:tcPr>
            <w:tcW w:w="1001" w:type="pct"/>
            <w:noWrap/>
            <w:vAlign w:val="center"/>
            <w:hideMark/>
          </w:tcPr>
          <w:p w14:paraId="770904F3" w14:textId="1CDFE4AE"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410</w:t>
            </w:r>
          </w:p>
        </w:tc>
        <w:tc>
          <w:tcPr>
            <w:tcW w:w="1376" w:type="pct"/>
            <w:noWrap/>
            <w:vAlign w:val="center"/>
            <w:hideMark/>
          </w:tcPr>
          <w:p w14:paraId="300FD27E" w14:textId="4C3249F2"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2.</w:t>
            </w:r>
            <w:r w:rsidR="00C4701E">
              <w:rPr>
                <w:rFonts w:ascii="Calibri" w:hAnsi="Calibri" w:cs="Calibri"/>
                <w:color w:val="000000"/>
                <w:sz w:val="18"/>
                <w:szCs w:val="18"/>
              </w:rPr>
              <w:t>2</w:t>
            </w:r>
            <w:r w:rsidR="0054391F">
              <w:rPr>
                <w:rFonts w:ascii="Calibri" w:hAnsi="Calibri" w:cs="Calibri"/>
                <w:color w:val="000000"/>
                <w:sz w:val="18"/>
                <w:szCs w:val="18"/>
              </w:rPr>
              <w:t>%</w:t>
            </w:r>
          </w:p>
        </w:tc>
      </w:tr>
      <w:tr w:rsidR="00976204" w:rsidRPr="00976204" w14:paraId="3CC04737" w14:textId="77777777" w:rsidTr="00C62611">
        <w:trPr>
          <w:trHeight w:val="300"/>
        </w:trPr>
        <w:tc>
          <w:tcPr>
            <w:tcW w:w="2623" w:type="pct"/>
            <w:noWrap/>
            <w:vAlign w:val="center"/>
            <w:hideMark/>
          </w:tcPr>
          <w:p w14:paraId="4250BBD0" w14:textId="0B991174"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xml:space="preserve">More than </w:t>
            </w:r>
            <w:r w:rsidRPr="00976204">
              <w:rPr>
                <w:rFonts w:ascii="Calibri" w:eastAsia="Times New Roman" w:hAnsi="Calibri" w:cs="Calibri"/>
                <w:color w:val="000000"/>
                <w:sz w:val="18"/>
                <w:szCs w:val="18"/>
                <w:lang w:eastAsia="en-AU"/>
              </w:rPr>
              <w:t xml:space="preserve">$0 </w:t>
            </w:r>
            <w:r>
              <w:rPr>
                <w:rFonts w:ascii="Calibri" w:eastAsia="Times New Roman" w:hAnsi="Calibri" w:cs="Calibri"/>
                <w:color w:val="000000"/>
                <w:sz w:val="18"/>
                <w:szCs w:val="18"/>
                <w:lang w:eastAsia="en-AU"/>
              </w:rPr>
              <w:t xml:space="preserve">and less than </w:t>
            </w:r>
            <w:r w:rsidRPr="00976204">
              <w:rPr>
                <w:rFonts w:ascii="Calibri" w:eastAsia="Times New Roman" w:hAnsi="Calibri" w:cs="Calibri"/>
                <w:color w:val="000000"/>
                <w:sz w:val="18"/>
                <w:szCs w:val="18"/>
                <w:lang w:eastAsia="en-AU"/>
              </w:rPr>
              <w:t>$5</w:t>
            </w:r>
          </w:p>
        </w:tc>
        <w:tc>
          <w:tcPr>
            <w:tcW w:w="1001" w:type="pct"/>
            <w:noWrap/>
            <w:vAlign w:val="center"/>
            <w:hideMark/>
          </w:tcPr>
          <w:p w14:paraId="2E41F574" w14:textId="3222671A"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191</w:t>
            </w:r>
          </w:p>
        </w:tc>
        <w:tc>
          <w:tcPr>
            <w:tcW w:w="1376" w:type="pct"/>
            <w:noWrap/>
            <w:vAlign w:val="center"/>
            <w:hideMark/>
          </w:tcPr>
          <w:p w14:paraId="33722348" w14:textId="09559B88"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w:t>
            </w:r>
            <w:r w:rsidR="0054391F">
              <w:rPr>
                <w:rFonts w:ascii="Calibri" w:hAnsi="Calibri" w:cs="Calibri"/>
                <w:color w:val="000000"/>
                <w:sz w:val="18"/>
                <w:szCs w:val="18"/>
              </w:rPr>
              <w:t>.0%</w:t>
            </w:r>
          </w:p>
        </w:tc>
      </w:tr>
      <w:tr w:rsidR="00F35045" w:rsidRPr="00976204" w14:paraId="0F7D1878"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3778DC74" w14:textId="05F990DD"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$5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$10</w:t>
            </w:r>
          </w:p>
        </w:tc>
        <w:tc>
          <w:tcPr>
            <w:tcW w:w="1001" w:type="pct"/>
            <w:noWrap/>
            <w:vAlign w:val="center"/>
            <w:hideMark/>
          </w:tcPr>
          <w:p w14:paraId="32AE0EF4" w14:textId="0A9FF47C"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970</w:t>
            </w:r>
          </w:p>
        </w:tc>
        <w:tc>
          <w:tcPr>
            <w:tcW w:w="1376" w:type="pct"/>
            <w:noWrap/>
            <w:vAlign w:val="center"/>
            <w:hideMark/>
          </w:tcPr>
          <w:p w14:paraId="5A80850D" w14:textId="17108986"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5.3</w:t>
            </w:r>
            <w:r w:rsidR="0054391F">
              <w:rPr>
                <w:rFonts w:ascii="Calibri" w:hAnsi="Calibri" w:cs="Calibri"/>
                <w:color w:val="000000"/>
                <w:sz w:val="18"/>
                <w:szCs w:val="18"/>
              </w:rPr>
              <w:t>%</w:t>
            </w:r>
          </w:p>
        </w:tc>
      </w:tr>
      <w:tr w:rsidR="00976204" w:rsidRPr="00976204" w14:paraId="53A52C2B" w14:textId="77777777" w:rsidTr="00C62611">
        <w:trPr>
          <w:trHeight w:val="300"/>
        </w:trPr>
        <w:tc>
          <w:tcPr>
            <w:tcW w:w="2623" w:type="pct"/>
            <w:noWrap/>
            <w:vAlign w:val="center"/>
            <w:hideMark/>
          </w:tcPr>
          <w:p w14:paraId="4D2077C7" w14:textId="26DA86F4"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$10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$15</w:t>
            </w:r>
          </w:p>
        </w:tc>
        <w:tc>
          <w:tcPr>
            <w:tcW w:w="1001" w:type="pct"/>
            <w:noWrap/>
            <w:vAlign w:val="center"/>
            <w:hideMark/>
          </w:tcPr>
          <w:p w14:paraId="719FF25E" w14:textId="5DE2B126"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956</w:t>
            </w:r>
          </w:p>
        </w:tc>
        <w:tc>
          <w:tcPr>
            <w:tcW w:w="1376" w:type="pct"/>
            <w:noWrap/>
            <w:vAlign w:val="center"/>
            <w:hideMark/>
          </w:tcPr>
          <w:p w14:paraId="202201A0" w14:textId="54398318"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5.2</w:t>
            </w:r>
            <w:r w:rsidR="0054391F">
              <w:rPr>
                <w:rFonts w:ascii="Calibri" w:hAnsi="Calibri" w:cs="Calibri"/>
                <w:color w:val="000000"/>
                <w:sz w:val="18"/>
                <w:szCs w:val="18"/>
              </w:rPr>
              <w:t>%</w:t>
            </w:r>
          </w:p>
        </w:tc>
      </w:tr>
      <w:tr w:rsidR="00F35045" w:rsidRPr="00976204" w14:paraId="7B0EE8BC"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029C4DAF" w14:textId="218101AB"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$15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$20</w:t>
            </w:r>
          </w:p>
        </w:tc>
        <w:tc>
          <w:tcPr>
            <w:tcW w:w="1001" w:type="pct"/>
            <w:noWrap/>
            <w:vAlign w:val="center"/>
            <w:hideMark/>
          </w:tcPr>
          <w:p w14:paraId="415CE0CE" w14:textId="42A81699"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3,630</w:t>
            </w:r>
          </w:p>
        </w:tc>
        <w:tc>
          <w:tcPr>
            <w:tcW w:w="1376" w:type="pct"/>
            <w:noWrap/>
            <w:vAlign w:val="center"/>
            <w:hideMark/>
          </w:tcPr>
          <w:p w14:paraId="23291B74" w14:textId="4CC6BD62"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19.8%</w:t>
            </w:r>
          </w:p>
        </w:tc>
      </w:tr>
      <w:tr w:rsidR="00976204" w:rsidRPr="00976204" w14:paraId="230D34E1" w14:textId="77777777" w:rsidTr="00C62611">
        <w:trPr>
          <w:trHeight w:val="300"/>
        </w:trPr>
        <w:tc>
          <w:tcPr>
            <w:tcW w:w="2623" w:type="pct"/>
            <w:noWrap/>
            <w:vAlign w:val="center"/>
            <w:hideMark/>
          </w:tcPr>
          <w:p w14:paraId="06036BF6" w14:textId="77903F66"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$20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$25</w:t>
            </w:r>
          </w:p>
        </w:tc>
        <w:tc>
          <w:tcPr>
            <w:tcW w:w="1001" w:type="pct"/>
            <w:noWrap/>
            <w:vAlign w:val="center"/>
            <w:hideMark/>
          </w:tcPr>
          <w:p w14:paraId="4C5172FD" w14:textId="4577C259"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7,961</w:t>
            </w:r>
          </w:p>
        </w:tc>
        <w:tc>
          <w:tcPr>
            <w:tcW w:w="1376" w:type="pct"/>
            <w:noWrap/>
            <w:vAlign w:val="center"/>
            <w:hideMark/>
          </w:tcPr>
          <w:p w14:paraId="6BB53DB5" w14:textId="395A4725"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43.5%</w:t>
            </w:r>
          </w:p>
        </w:tc>
      </w:tr>
      <w:tr w:rsidR="00F35045" w:rsidRPr="00976204" w14:paraId="3A924B1B"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4CB25369" w14:textId="085C21B1"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$25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$30</w:t>
            </w:r>
          </w:p>
        </w:tc>
        <w:tc>
          <w:tcPr>
            <w:tcW w:w="1001" w:type="pct"/>
            <w:noWrap/>
            <w:vAlign w:val="center"/>
            <w:hideMark/>
          </w:tcPr>
          <w:p w14:paraId="7036BB68" w14:textId="1E67B736"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3,065</w:t>
            </w:r>
          </w:p>
        </w:tc>
        <w:tc>
          <w:tcPr>
            <w:tcW w:w="1376" w:type="pct"/>
            <w:noWrap/>
            <w:vAlign w:val="center"/>
            <w:hideMark/>
          </w:tcPr>
          <w:p w14:paraId="7EC083EE" w14:textId="73723AC1"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16.7%</w:t>
            </w:r>
          </w:p>
        </w:tc>
      </w:tr>
      <w:tr w:rsidR="00976204" w:rsidRPr="00976204" w14:paraId="0ADDA130" w14:textId="77777777" w:rsidTr="00C62611">
        <w:trPr>
          <w:trHeight w:val="300"/>
        </w:trPr>
        <w:tc>
          <w:tcPr>
            <w:tcW w:w="2623" w:type="pct"/>
            <w:noWrap/>
            <w:vAlign w:val="center"/>
            <w:hideMark/>
          </w:tcPr>
          <w:p w14:paraId="19581836" w14:textId="7DB8CBCA"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$30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$35</w:t>
            </w:r>
          </w:p>
        </w:tc>
        <w:tc>
          <w:tcPr>
            <w:tcW w:w="1001" w:type="pct"/>
            <w:noWrap/>
            <w:vAlign w:val="center"/>
            <w:hideMark/>
          </w:tcPr>
          <w:p w14:paraId="63A59B71" w14:textId="71420227"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562</w:t>
            </w:r>
          </w:p>
        </w:tc>
        <w:tc>
          <w:tcPr>
            <w:tcW w:w="1376" w:type="pct"/>
            <w:noWrap/>
            <w:vAlign w:val="center"/>
            <w:hideMark/>
          </w:tcPr>
          <w:p w14:paraId="6349375C" w14:textId="63260882"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3.1</w:t>
            </w:r>
            <w:r w:rsidR="0054391F">
              <w:rPr>
                <w:rFonts w:ascii="Calibri" w:hAnsi="Calibri" w:cs="Calibri"/>
                <w:color w:val="000000"/>
                <w:sz w:val="18"/>
                <w:szCs w:val="18"/>
              </w:rPr>
              <w:t>%</w:t>
            </w:r>
          </w:p>
        </w:tc>
      </w:tr>
      <w:tr w:rsidR="00F35045" w:rsidRPr="00976204" w14:paraId="5E5047C9"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737D5CF7" w14:textId="7FEFF626"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$35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$40</w:t>
            </w:r>
          </w:p>
        </w:tc>
        <w:tc>
          <w:tcPr>
            <w:tcW w:w="1001" w:type="pct"/>
            <w:noWrap/>
            <w:vAlign w:val="center"/>
            <w:hideMark/>
          </w:tcPr>
          <w:p w14:paraId="2B646837" w14:textId="29EB076C"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304</w:t>
            </w:r>
          </w:p>
        </w:tc>
        <w:tc>
          <w:tcPr>
            <w:tcW w:w="1376" w:type="pct"/>
            <w:noWrap/>
            <w:vAlign w:val="center"/>
            <w:hideMark/>
          </w:tcPr>
          <w:p w14:paraId="45FEE2D1" w14:textId="69FBD634"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w:t>
            </w:r>
            <w:r w:rsidR="00C4701E">
              <w:rPr>
                <w:rFonts w:ascii="Calibri" w:hAnsi="Calibri" w:cs="Calibri"/>
                <w:color w:val="000000"/>
                <w:sz w:val="18"/>
                <w:szCs w:val="18"/>
              </w:rPr>
              <w:t>7</w:t>
            </w:r>
            <w:r w:rsidR="0054391F">
              <w:rPr>
                <w:rFonts w:ascii="Calibri" w:hAnsi="Calibri" w:cs="Calibri"/>
                <w:color w:val="000000"/>
                <w:sz w:val="18"/>
                <w:szCs w:val="18"/>
              </w:rPr>
              <w:t>%</w:t>
            </w:r>
          </w:p>
        </w:tc>
      </w:tr>
      <w:tr w:rsidR="00976204" w:rsidRPr="00976204" w14:paraId="1965D6AE" w14:textId="77777777" w:rsidTr="00C62611">
        <w:trPr>
          <w:trHeight w:val="300"/>
        </w:trPr>
        <w:tc>
          <w:tcPr>
            <w:tcW w:w="2623" w:type="pct"/>
            <w:noWrap/>
            <w:vAlign w:val="center"/>
            <w:hideMark/>
          </w:tcPr>
          <w:p w14:paraId="48DEDE62" w14:textId="5C165C3C"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 xml:space="preserve">$40 </w:t>
            </w:r>
            <w:r>
              <w:rPr>
                <w:rFonts w:ascii="Calibri" w:eastAsia="Times New Roman" w:hAnsi="Calibri" w:cs="Calibri"/>
                <w:color w:val="000000"/>
                <w:sz w:val="18"/>
                <w:szCs w:val="18"/>
                <w:lang w:eastAsia="en-AU"/>
              </w:rPr>
              <w:t xml:space="preserve">to less than </w:t>
            </w:r>
            <w:r w:rsidRPr="00976204">
              <w:rPr>
                <w:rFonts w:ascii="Calibri" w:eastAsia="Times New Roman" w:hAnsi="Calibri" w:cs="Calibri"/>
                <w:color w:val="000000"/>
                <w:sz w:val="18"/>
                <w:szCs w:val="18"/>
                <w:lang w:eastAsia="en-AU"/>
              </w:rPr>
              <w:t>$45</w:t>
            </w:r>
          </w:p>
        </w:tc>
        <w:tc>
          <w:tcPr>
            <w:tcW w:w="1001" w:type="pct"/>
            <w:noWrap/>
            <w:vAlign w:val="center"/>
            <w:hideMark/>
          </w:tcPr>
          <w:p w14:paraId="290632D0" w14:textId="51997C02"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181</w:t>
            </w:r>
          </w:p>
        </w:tc>
        <w:tc>
          <w:tcPr>
            <w:tcW w:w="1376" w:type="pct"/>
            <w:noWrap/>
            <w:vAlign w:val="center"/>
            <w:hideMark/>
          </w:tcPr>
          <w:p w14:paraId="6DD82DE7" w14:textId="48E672FC" w:rsidR="00976204" w:rsidRPr="00976204" w:rsidRDefault="00C4701E"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w:t>
            </w:r>
            <w:r w:rsidR="00976204">
              <w:rPr>
                <w:rFonts w:ascii="Calibri" w:hAnsi="Calibri" w:cs="Calibri"/>
                <w:color w:val="000000"/>
                <w:sz w:val="18"/>
                <w:szCs w:val="18"/>
              </w:rPr>
              <w:t>0</w:t>
            </w:r>
            <w:r w:rsidR="0054391F">
              <w:rPr>
                <w:rFonts w:ascii="Calibri" w:hAnsi="Calibri" w:cs="Calibri"/>
                <w:color w:val="000000"/>
                <w:sz w:val="18"/>
                <w:szCs w:val="18"/>
              </w:rPr>
              <w:t>%</w:t>
            </w:r>
          </w:p>
        </w:tc>
      </w:tr>
      <w:tr w:rsidR="00F35045" w:rsidRPr="00976204" w14:paraId="0EF2A162" w14:textId="77777777" w:rsidTr="00C62611">
        <w:trPr>
          <w:cnfStyle w:val="000000100000" w:firstRow="0" w:lastRow="0" w:firstColumn="0" w:lastColumn="0" w:oddVBand="0" w:evenVBand="0" w:oddHBand="1" w:evenHBand="0" w:firstRowFirstColumn="0" w:firstRowLastColumn="0" w:lastRowFirstColumn="0" w:lastRowLastColumn="0"/>
          <w:trHeight w:val="300"/>
        </w:trPr>
        <w:tc>
          <w:tcPr>
            <w:tcW w:w="2623" w:type="pct"/>
            <w:noWrap/>
            <w:vAlign w:val="center"/>
            <w:hideMark/>
          </w:tcPr>
          <w:p w14:paraId="72E98A14" w14:textId="6F0BDAB0" w:rsidR="00976204" w:rsidRPr="00976204" w:rsidRDefault="00C4701E"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$50</w:t>
            </w:r>
            <w:r>
              <w:rPr>
                <w:rFonts w:ascii="Calibri" w:eastAsia="Times New Roman" w:hAnsi="Calibri" w:cs="Calibri"/>
                <w:color w:val="000000"/>
                <w:sz w:val="18"/>
                <w:szCs w:val="18"/>
                <w:lang w:eastAsia="en-AU"/>
              </w:rPr>
              <w:t xml:space="preserve"> and higher</w:t>
            </w:r>
          </w:p>
        </w:tc>
        <w:tc>
          <w:tcPr>
            <w:tcW w:w="1001" w:type="pct"/>
            <w:noWrap/>
            <w:vAlign w:val="center"/>
            <w:hideMark/>
          </w:tcPr>
          <w:p w14:paraId="04631C4D" w14:textId="6E05A5B4"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72</w:t>
            </w:r>
          </w:p>
        </w:tc>
        <w:tc>
          <w:tcPr>
            <w:tcW w:w="1376" w:type="pct"/>
            <w:noWrap/>
            <w:vAlign w:val="center"/>
            <w:hideMark/>
          </w:tcPr>
          <w:p w14:paraId="69417356" w14:textId="0B890CE4" w:rsidR="00976204" w:rsidRPr="00976204" w:rsidRDefault="00976204" w:rsidP="00C62611">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0.4</w:t>
            </w:r>
            <w:r w:rsidR="0054391F">
              <w:rPr>
                <w:rFonts w:ascii="Calibri" w:hAnsi="Calibri" w:cs="Calibri"/>
                <w:color w:val="000000"/>
                <w:sz w:val="18"/>
                <w:szCs w:val="18"/>
              </w:rPr>
              <w:t>%</w:t>
            </w:r>
          </w:p>
        </w:tc>
      </w:tr>
      <w:tr w:rsidR="00F35045" w:rsidRPr="00976204" w14:paraId="0B84C10E" w14:textId="77777777" w:rsidTr="00C62611">
        <w:trPr>
          <w:cnfStyle w:val="010000000000" w:firstRow="0" w:lastRow="1" w:firstColumn="0" w:lastColumn="0" w:oddVBand="0" w:evenVBand="0" w:oddHBand="0" w:evenHBand="0" w:firstRowFirstColumn="0" w:firstRowLastColumn="0" w:lastRowFirstColumn="0" w:lastRowLastColumn="0"/>
          <w:trHeight w:val="300"/>
        </w:trPr>
        <w:tc>
          <w:tcPr>
            <w:tcW w:w="2623" w:type="pct"/>
            <w:tcBorders>
              <w:top w:val="none" w:sz="0" w:space="0" w:color="auto"/>
            </w:tcBorders>
            <w:noWrap/>
            <w:vAlign w:val="center"/>
            <w:hideMark/>
          </w:tcPr>
          <w:p w14:paraId="52E866BE" w14:textId="533C6240" w:rsidR="00976204" w:rsidRPr="00976204" w:rsidRDefault="00F35045" w:rsidP="00C62611">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Total</w:t>
            </w:r>
          </w:p>
        </w:tc>
        <w:tc>
          <w:tcPr>
            <w:tcW w:w="1001" w:type="pct"/>
            <w:tcBorders>
              <w:top w:val="none" w:sz="0" w:space="0" w:color="auto"/>
            </w:tcBorders>
            <w:noWrap/>
            <w:vAlign w:val="center"/>
            <w:hideMark/>
          </w:tcPr>
          <w:p w14:paraId="38BA6536" w14:textId="0EAA9F25" w:rsidR="00976204" w:rsidRPr="00976204" w:rsidRDefault="00976204"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1</w:t>
            </w:r>
            <w:r w:rsidR="00C4701E">
              <w:rPr>
                <w:rFonts w:ascii="Calibri" w:eastAsia="Times New Roman" w:hAnsi="Calibri" w:cs="Calibri"/>
                <w:color w:val="000000"/>
                <w:sz w:val="18"/>
                <w:szCs w:val="18"/>
                <w:lang w:eastAsia="en-AU"/>
              </w:rPr>
              <w:t>8,302</w:t>
            </w:r>
          </w:p>
        </w:tc>
        <w:tc>
          <w:tcPr>
            <w:tcW w:w="1376" w:type="pct"/>
            <w:tcBorders>
              <w:top w:val="none" w:sz="0" w:space="0" w:color="auto"/>
            </w:tcBorders>
            <w:noWrap/>
            <w:vAlign w:val="center"/>
            <w:hideMark/>
          </w:tcPr>
          <w:p w14:paraId="61C98874" w14:textId="7E78877D" w:rsidR="00976204" w:rsidRPr="00976204" w:rsidRDefault="00976204" w:rsidP="00C62611">
            <w:pPr>
              <w:keepNext/>
              <w:keepLines/>
              <w:spacing w:before="0"/>
              <w:rPr>
                <w:rFonts w:ascii="Calibri" w:eastAsia="Times New Roman" w:hAnsi="Calibri" w:cs="Calibri"/>
                <w:color w:val="000000"/>
                <w:sz w:val="18"/>
                <w:szCs w:val="18"/>
                <w:lang w:eastAsia="en-AU"/>
              </w:rPr>
            </w:pPr>
            <w:r w:rsidRPr="00976204">
              <w:rPr>
                <w:rFonts w:ascii="Calibri" w:eastAsia="Times New Roman" w:hAnsi="Calibri" w:cs="Calibri"/>
                <w:color w:val="000000"/>
                <w:sz w:val="18"/>
                <w:szCs w:val="18"/>
                <w:lang w:eastAsia="en-AU"/>
              </w:rPr>
              <w:t>100</w:t>
            </w:r>
            <w:r w:rsidR="00F35045">
              <w:rPr>
                <w:rFonts w:ascii="Calibri" w:eastAsia="Times New Roman" w:hAnsi="Calibri" w:cs="Calibri"/>
                <w:color w:val="000000"/>
                <w:sz w:val="18"/>
                <w:szCs w:val="18"/>
                <w:lang w:eastAsia="en-AU"/>
              </w:rPr>
              <w:t>.0%</w:t>
            </w:r>
          </w:p>
        </w:tc>
      </w:tr>
    </w:tbl>
    <w:p w14:paraId="79733EB6" w14:textId="5085A792" w:rsidR="001752A0" w:rsidRDefault="001752A0" w:rsidP="00ED77C9">
      <w:pPr>
        <w:pStyle w:val="Tablenote"/>
      </w:pPr>
      <w:r w:rsidRPr="00582224">
        <w:t>Note</w:t>
      </w:r>
      <w:r>
        <w:t xml:space="preserve">, </w:t>
      </w:r>
      <w:r w:rsidR="009D1856">
        <w:t xml:space="preserve">valid </w:t>
      </w:r>
      <w:r>
        <w:t>d</w:t>
      </w:r>
      <w:r w:rsidRPr="00582224">
        <w:t xml:space="preserve">ata was provided </w:t>
      </w:r>
      <w:r>
        <w:t>for a total of 1</w:t>
      </w:r>
      <w:r w:rsidR="009D1856">
        <w:t>8</w:t>
      </w:r>
      <w:r>
        <w:t>,</w:t>
      </w:r>
      <w:r w:rsidR="009D1856">
        <w:t>302</w:t>
      </w:r>
      <w:r>
        <w:t xml:space="preserve"> jobs</w:t>
      </w:r>
      <w:r w:rsidR="007B2EED">
        <w:t>, data was missing for 1,296</w:t>
      </w:r>
      <w:r>
        <w:t xml:space="preserve"> jobs</w:t>
      </w:r>
      <w:r w:rsidRPr="00582224">
        <w:t xml:space="preserve">. </w:t>
      </w:r>
    </w:p>
    <w:p w14:paraId="300447BD" w14:textId="32E0E3EA" w:rsidR="000265EF" w:rsidRPr="000265EF" w:rsidRDefault="00356B43" w:rsidP="000265EF">
      <w:pPr>
        <w:pStyle w:val="Tablenote"/>
      </w:pPr>
      <w:r w:rsidRPr="009D07D8">
        <w:t xml:space="preserve">Source: </w:t>
      </w:r>
      <w:r w:rsidR="00533FC6">
        <w:t>WHM</w:t>
      </w:r>
      <w:r w:rsidRPr="009D07D8">
        <w:t xml:space="preserve"> Survey, 2020.</w:t>
      </w:r>
    </w:p>
    <w:p w14:paraId="6682708C" w14:textId="14CCDBD1" w:rsidR="00976204" w:rsidRPr="00E37485" w:rsidRDefault="00971F2E" w:rsidP="00976204">
      <w:r>
        <w:t>Three in five</w:t>
      </w:r>
      <w:r w:rsidR="00295993">
        <w:t xml:space="preserve"> (</w:t>
      </w:r>
      <w:r>
        <w:t>60.2</w:t>
      </w:r>
      <w:r w:rsidR="00295993">
        <w:t xml:space="preserve">%) </w:t>
      </w:r>
      <w:r w:rsidR="001C7212">
        <w:t>Australian WHM jobs paid between $20 and $30</w:t>
      </w:r>
      <w:r w:rsidR="00BF4797">
        <w:t xml:space="preserve"> per hour</w:t>
      </w:r>
      <w:r w:rsidR="005838F7">
        <w:t xml:space="preserve"> (see </w:t>
      </w:r>
      <w:r w:rsidR="005838F7">
        <w:fldChar w:fldCharType="begin"/>
      </w:r>
      <w:r w:rsidR="005838F7">
        <w:instrText xml:space="preserve"> REF _Ref59029682 \h </w:instrText>
      </w:r>
      <w:r w:rsidR="005838F7">
        <w:fldChar w:fldCharType="separate"/>
      </w:r>
      <w:r w:rsidR="00F22012">
        <w:t xml:space="preserve">Figure </w:t>
      </w:r>
      <w:r w:rsidR="00F22012">
        <w:rPr>
          <w:noProof/>
        </w:rPr>
        <w:t>5</w:t>
      </w:r>
      <w:r w:rsidR="00F22012">
        <w:noBreakHyphen/>
      </w:r>
      <w:r w:rsidR="00F22012">
        <w:rPr>
          <w:noProof/>
        </w:rPr>
        <w:t>3</w:t>
      </w:r>
      <w:r w:rsidR="005838F7">
        <w:fldChar w:fldCharType="end"/>
      </w:r>
      <w:r w:rsidR="005838F7">
        <w:t>)</w:t>
      </w:r>
      <w:r w:rsidR="00BF4797">
        <w:t>. Payment in this range peaked in Northern Territory</w:t>
      </w:r>
      <w:r w:rsidR="007878E0">
        <w:t>, where 7</w:t>
      </w:r>
      <w:r w:rsidR="0018652E">
        <w:t>4.9</w:t>
      </w:r>
      <w:r w:rsidR="007878E0">
        <w:t>% were paid in this range</w:t>
      </w:r>
      <w:r w:rsidR="005838F7">
        <w:t xml:space="preserve">. At the other end of the spectrum, </w:t>
      </w:r>
      <w:r w:rsidR="00960266">
        <w:t xml:space="preserve">only </w:t>
      </w:r>
      <w:r w:rsidR="0051786C">
        <w:t>50.6</w:t>
      </w:r>
      <w:r w:rsidR="00960266">
        <w:t xml:space="preserve">% of jobs in the Australian Capital Territory were paid </w:t>
      </w:r>
      <w:r w:rsidR="006423DB">
        <w:t xml:space="preserve">at this level. We note that </w:t>
      </w:r>
      <w:r w:rsidR="00566163">
        <w:t xml:space="preserve">one in </w:t>
      </w:r>
      <w:r w:rsidR="00B46C0A">
        <w:t>three</w:t>
      </w:r>
      <w:r w:rsidR="002226BB">
        <w:t xml:space="preserve"> (</w:t>
      </w:r>
      <w:r w:rsidR="00241F7A">
        <w:t>32</w:t>
      </w:r>
      <w:r w:rsidR="002226BB">
        <w:t>.9%)</w:t>
      </w:r>
      <w:r w:rsidR="00566163">
        <w:t xml:space="preserve"> </w:t>
      </w:r>
      <w:r w:rsidR="00F95EFC">
        <w:t xml:space="preserve">WHMs working in the Australian Capital </w:t>
      </w:r>
      <w:r w:rsidR="006423DB">
        <w:t xml:space="preserve">Territory </w:t>
      </w:r>
      <w:r w:rsidR="00C312F3">
        <w:t xml:space="preserve">reported </w:t>
      </w:r>
      <w:r w:rsidR="003A75F6">
        <w:t>receiving</w:t>
      </w:r>
      <w:r w:rsidR="00C312F3">
        <w:t xml:space="preserve"> </w:t>
      </w:r>
      <w:r w:rsidR="00241F7A">
        <w:t>less than $15</w:t>
      </w:r>
      <w:r w:rsidR="003A75F6">
        <w:t xml:space="preserve"> per hour</w:t>
      </w:r>
      <w:r w:rsidR="00805B05">
        <w:t xml:space="preserve"> (including 4.9% who reported</w:t>
      </w:r>
      <w:r w:rsidR="007E3773">
        <w:t xml:space="preserve"> $0 per hour)</w:t>
      </w:r>
      <w:r w:rsidR="00160AD9">
        <w:t xml:space="preserve">, with this likely to be related to the high number of </w:t>
      </w:r>
      <w:r w:rsidR="000043CF">
        <w:t>nannies and au pairs in this territory</w:t>
      </w:r>
      <w:r w:rsidR="005B51BE">
        <w:t xml:space="preserve"> </w:t>
      </w:r>
      <w:r w:rsidR="00801E49">
        <w:t>and</w:t>
      </w:r>
      <w:r w:rsidR="005B51BE">
        <w:t xml:space="preserve"> the difficulty of </w:t>
      </w:r>
      <w:r w:rsidR="0040421A">
        <w:t>identifying</w:t>
      </w:r>
      <w:r w:rsidR="005B51BE">
        <w:t xml:space="preserve"> a</w:t>
      </w:r>
      <w:r w:rsidR="0054176B">
        <w:t>n hourly</w:t>
      </w:r>
      <w:r w:rsidR="005B51BE">
        <w:t xml:space="preserve"> </w:t>
      </w:r>
      <w:r w:rsidR="0040421A">
        <w:t>pay rate for this type of work</w:t>
      </w:r>
      <w:r w:rsidR="000043CF">
        <w:t>.</w:t>
      </w:r>
    </w:p>
    <w:p w14:paraId="49818F3D" w14:textId="32D12658" w:rsidR="00DA3A78" w:rsidRDefault="00DA3A78" w:rsidP="00DA3A78">
      <w:pPr>
        <w:pStyle w:val="Caption"/>
      </w:pPr>
      <w:bookmarkStart w:id="78" w:name="_Ref59029682"/>
      <w:bookmarkStart w:id="79" w:name="_Toc75878522"/>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78"/>
      <w:r>
        <w:t xml:space="preserve">: </w:t>
      </w:r>
      <w:r w:rsidRPr="00ED77C9">
        <w:t xml:space="preserve">Hourly rate of </w:t>
      </w:r>
      <w:r w:rsidR="00905300">
        <w:t>pay</w:t>
      </w:r>
      <w:r w:rsidRPr="00ED77C9">
        <w:t xml:space="preserve">, by </w:t>
      </w:r>
      <w:r w:rsidR="00244CAA">
        <w:t>state</w:t>
      </w:r>
      <w:bookmarkEnd w:id="79"/>
    </w:p>
    <w:p w14:paraId="3F43C842" w14:textId="76715903" w:rsidR="00CE24E0" w:rsidRPr="00CE24E0" w:rsidRDefault="00CE24E0" w:rsidP="007C1BE6">
      <w:pPr>
        <w:keepNext/>
        <w:keepLines/>
      </w:pPr>
      <w:r>
        <w:rPr>
          <w:noProof/>
          <w:lang w:eastAsia="en-AU"/>
        </w:rPr>
        <w:drawing>
          <wp:inline distT="0" distB="0" distL="0" distR="0" wp14:anchorId="7570CA89" wp14:editId="0A2286C9">
            <wp:extent cx="5731510" cy="2932981"/>
            <wp:effectExtent l="0" t="0" r="2540" b="1270"/>
            <wp:docPr id="21" name="Chart 21" descr="Figure 5-3 Chart showing hourly rate of pay, by state.">
              <a:extLst xmlns:a="http://schemas.openxmlformats.org/drawingml/2006/main">
                <a:ext uri="{FF2B5EF4-FFF2-40B4-BE49-F238E27FC236}">
                  <a16:creationId xmlns:a16="http://schemas.microsoft.com/office/drawing/2014/main" id="{3DCE78E0-F07B-4E3F-8BC4-E7BB396A0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C8FF13" w14:textId="014328EF" w:rsidR="00093ADC" w:rsidRPr="00582224" w:rsidRDefault="00093ADC" w:rsidP="007C1BE6">
      <w:pPr>
        <w:pStyle w:val="Tablenote"/>
        <w:keepNext/>
        <w:keepLines/>
      </w:pPr>
      <w:r w:rsidRPr="00582224">
        <w:t>Note</w:t>
      </w:r>
      <w:r w:rsidR="007E13B9">
        <w:t xml:space="preserve">, </w:t>
      </w:r>
      <w:r w:rsidR="00C109D5">
        <w:t xml:space="preserve">valid </w:t>
      </w:r>
      <w:r w:rsidR="007E13B9">
        <w:t>d</w:t>
      </w:r>
      <w:r w:rsidRPr="00582224">
        <w:t xml:space="preserve">ata was provided </w:t>
      </w:r>
      <w:r>
        <w:t>for a total of 1</w:t>
      </w:r>
      <w:r w:rsidR="00C109D5">
        <w:t>8</w:t>
      </w:r>
      <w:r>
        <w:t>,</w:t>
      </w:r>
      <w:r w:rsidR="00C109D5">
        <w:t>302</w:t>
      </w:r>
      <w:r>
        <w:t xml:space="preserve"> jobs</w:t>
      </w:r>
      <w:r w:rsidR="005757DB">
        <w:t>, data was missing for 1,296 jobs</w:t>
      </w:r>
      <w:r w:rsidRPr="00582224">
        <w:t>. Labels are not shown when less than 5%.</w:t>
      </w:r>
    </w:p>
    <w:p w14:paraId="6CCD8FCF" w14:textId="7E9CB632" w:rsidR="00D3576B" w:rsidRPr="00D3576B" w:rsidRDefault="00356B43" w:rsidP="00D3576B">
      <w:pPr>
        <w:pStyle w:val="Tablenote"/>
      </w:pPr>
      <w:r w:rsidRPr="009D07D8">
        <w:t xml:space="preserve">Source: </w:t>
      </w:r>
      <w:r w:rsidR="00533FC6">
        <w:t>WHM</w:t>
      </w:r>
      <w:r w:rsidRPr="009D07D8">
        <w:t xml:space="preserve"> Survey, 2020.</w:t>
      </w:r>
    </w:p>
    <w:p w14:paraId="40B2E6BB" w14:textId="5DAC1190" w:rsidR="00F71B1B" w:rsidRDefault="0047073C" w:rsidP="00F71B1B">
      <w:r>
        <w:t xml:space="preserve">The </w:t>
      </w:r>
      <w:r w:rsidR="002564DD">
        <w:t>Australian</w:t>
      </w:r>
      <w:r w:rsidR="007E7ED9">
        <w:t xml:space="preserve"> </w:t>
      </w:r>
      <w:r>
        <w:t xml:space="preserve">Fair </w:t>
      </w:r>
      <w:r w:rsidR="00E86178">
        <w:t>Work Commission determines</w:t>
      </w:r>
      <w:r w:rsidR="007E7ED9">
        <w:t xml:space="preserve"> </w:t>
      </w:r>
      <w:r w:rsidR="005C3CAC">
        <w:t xml:space="preserve">both the </w:t>
      </w:r>
      <w:r w:rsidR="00CC31DF">
        <w:t>minimum wages associated with industr</w:t>
      </w:r>
      <w:r w:rsidR="00464BD9">
        <w:t>y groups</w:t>
      </w:r>
      <w:r w:rsidR="00CC31DF">
        <w:t xml:space="preserve"> and occupations</w:t>
      </w:r>
      <w:r w:rsidR="009345D3">
        <w:t>, and</w:t>
      </w:r>
      <w:r w:rsidR="00CC31DF">
        <w:t xml:space="preserve"> </w:t>
      </w:r>
      <w:r w:rsidR="005C3CAC">
        <w:t xml:space="preserve">the </w:t>
      </w:r>
      <w:r w:rsidR="003A7D06">
        <w:t>national</w:t>
      </w:r>
      <w:r w:rsidR="005C3CAC">
        <w:t xml:space="preserve"> mi</w:t>
      </w:r>
      <w:r w:rsidR="003A7D06">
        <w:t>nimum wage</w:t>
      </w:r>
      <w:r w:rsidR="009345D3">
        <w:t xml:space="preserve"> (</w:t>
      </w:r>
      <w:r w:rsidR="00C07442">
        <w:t>which applies</w:t>
      </w:r>
      <w:r w:rsidR="009345D3">
        <w:t xml:space="preserve"> to those </w:t>
      </w:r>
      <w:r w:rsidR="00C33C99">
        <w:t>not covered by another award).</w:t>
      </w:r>
      <w:r w:rsidR="003A7D06">
        <w:t xml:space="preserve"> </w:t>
      </w:r>
      <w:r w:rsidR="00C33C99">
        <w:t>These are updated annually. A</w:t>
      </w:r>
      <w:r w:rsidR="00442DB3">
        <w:t xml:space="preserve">t </w:t>
      </w:r>
      <w:r w:rsidR="005B5B2E">
        <w:t>1 July 2020</w:t>
      </w:r>
      <w:r w:rsidR="00C33C99">
        <w:t xml:space="preserve">, the </w:t>
      </w:r>
      <w:r w:rsidR="00783156">
        <w:t>n</w:t>
      </w:r>
      <w:r w:rsidR="007F5E7E">
        <w:t xml:space="preserve">ational </w:t>
      </w:r>
      <w:r w:rsidR="00783156">
        <w:t>m</w:t>
      </w:r>
      <w:r w:rsidR="007F5E7E">
        <w:t>inimum</w:t>
      </w:r>
      <w:r w:rsidR="00783156">
        <w:t xml:space="preserve"> wage</w:t>
      </w:r>
      <w:r w:rsidR="007F5E7E">
        <w:t xml:space="preserve"> </w:t>
      </w:r>
      <w:r w:rsidR="005B5B2E">
        <w:t xml:space="preserve">was </w:t>
      </w:r>
      <w:r w:rsidR="00C56960">
        <w:t>$19.84 per hour ($7</w:t>
      </w:r>
      <w:r w:rsidR="004F6B70">
        <w:t xml:space="preserve">53.80 per week for </w:t>
      </w:r>
      <w:r w:rsidR="00FF6694">
        <w:t>38 hours</w:t>
      </w:r>
      <w:r w:rsidR="00DB0308">
        <w:t>).</w:t>
      </w:r>
      <w:r w:rsidR="00DB0308">
        <w:rPr>
          <w:rStyle w:val="FootnoteReference"/>
        </w:rPr>
        <w:footnoteReference w:id="17"/>
      </w:r>
      <w:r w:rsidR="007F5E7E">
        <w:t xml:space="preserve"> </w:t>
      </w:r>
      <w:r w:rsidR="00F71B1B">
        <w:t>The average hourly rate for WHM jobs in Australia in 2019</w:t>
      </w:r>
      <w:r w:rsidR="003777EB">
        <w:t>-</w:t>
      </w:r>
      <w:r w:rsidR="00F71B1B">
        <w:t xml:space="preserve">2020 was $22.15 per hour, rising to $22.66 when excluding those who reported </w:t>
      </w:r>
      <w:r w:rsidR="007C09CC">
        <w:t xml:space="preserve">receiving </w:t>
      </w:r>
      <w:r w:rsidR="00F71B1B">
        <w:t>$0 per hour</w:t>
      </w:r>
      <w:r w:rsidR="00FF20CE">
        <w:t xml:space="preserve"> (see </w:t>
      </w:r>
      <w:r w:rsidR="00FF20CE">
        <w:fldChar w:fldCharType="begin"/>
      </w:r>
      <w:r w:rsidR="00FF20CE">
        <w:instrText xml:space="preserve"> REF _Ref63329708 \h </w:instrText>
      </w:r>
      <w:r w:rsidR="00FF20CE">
        <w:fldChar w:fldCharType="separate"/>
      </w:r>
      <w:r w:rsidR="00F22012">
        <w:t xml:space="preserve">Figure </w:t>
      </w:r>
      <w:r w:rsidR="00F22012">
        <w:rPr>
          <w:noProof/>
        </w:rPr>
        <w:t>5</w:t>
      </w:r>
      <w:r w:rsidR="00F22012">
        <w:noBreakHyphen/>
      </w:r>
      <w:r w:rsidR="00F22012">
        <w:rPr>
          <w:noProof/>
        </w:rPr>
        <w:t>4</w:t>
      </w:r>
      <w:r w:rsidR="00FF20CE">
        <w:fldChar w:fldCharType="end"/>
      </w:r>
      <w:r w:rsidR="00FF20CE">
        <w:t>)</w:t>
      </w:r>
      <w:r w:rsidR="00F71B1B">
        <w:t>.</w:t>
      </w:r>
      <w:r w:rsidR="007C09CC">
        <w:t xml:space="preserve"> Hourly rates of pay were highest in the Northern Territory, and lowest in the Australian Capital Territory.</w:t>
      </w:r>
    </w:p>
    <w:p w14:paraId="2A4A6AA1" w14:textId="0B56D1DE" w:rsidR="00F71B1B" w:rsidRDefault="00F71B1B" w:rsidP="00F71B1B">
      <w:pPr>
        <w:pStyle w:val="Caption"/>
      </w:pPr>
      <w:bookmarkStart w:id="80" w:name="_Ref63329708"/>
      <w:bookmarkStart w:id="81" w:name="_Toc7587852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80"/>
      <w:r>
        <w:t>: Average hourly rate of pay, by state.</w:t>
      </w:r>
      <w:bookmarkEnd w:id="81"/>
    </w:p>
    <w:p w14:paraId="03E95C0A" w14:textId="3568E416" w:rsidR="00F71B1B" w:rsidRDefault="00F71B1B" w:rsidP="00F71B1B">
      <w:r>
        <w:rPr>
          <w:noProof/>
          <w:lang w:eastAsia="en-AU"/>
        </w:rPr>
        <w:drawing>
          <wp:inline distT="0" distB="0" distL="0" distR="0" wp14:anchorId="2A7C8BEE" wp14:editId="11D885AE">
            <wp:extent cx="5731510" cy="2160000"/>
            <wp:effectExtent l="0" t="0" r="2540" b="12065"/>
            <wp:docPr id="23" name="Chart 23" descr="Figure 5-4 Chart showing average hourly rate of pay, by state.">
              <a:extLst xmlns:a="http://schemas.openxmlformats.org/drawingml/2006/main">
                <a:ext uri="{FF2B5EF4-FFF2-40B4-BE49-F238E27FC236}">
                  <a16:creationId xmlns:a16="http://schemas.microsoft.com/office/drawing/2014/main" id="{7E732698-697E-4919-979A-0BBAD63AF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BB648C" w14:textId="226A31BD" w:rsidR="007C09CC" w:rsidRDefault="007C09CC" w:rsidP="007C09CC">
      <w:pPr>
        <w:pStyle w:val="Tablenote"/>
      </w:pPr>
      <w:r w:rsidRPr="00582224">
        <w:t>Note</w:t>
      </w:r>
      <w:r w:rsidR="007E13B9">
        <w:t>,</w:t>
      </w:r>
      <w:r w:rsidRPr="00582224">
        <w:t xml:space="preserve"> </w:t>
      </w:r>
      <w:r>
        <w:t>‘</w:t>
      </w:r>
      <w:r w:rsidR="00F41CAF">
        <w:t>Average</w:t>
      </w:r>
      <w:r>
        <w:t xml:space="preserve"> pay’ d</w:t>
      </w:r>
      <w:r w:rsidRPr="00582224">
        <w:t xml:space="preserve">ata </w:t>
      </w:r>
      <w:r>
        <w:t>accounts for 19,598 jobs</w:t>
      </w:r>
      <w:r w:rsidRPr="00582224">
        <w:t xml:space="preserve">. </w:t>
      </w:r>
      <w:r>
        <w:t>‘Average pay rate &gt; $0/hour’ data</w:t>
      </w:r>
      <w:r w:rsidR="00425096">
        <w:t xml:space="preserve"> excludes persons reporting $0/hour pay rates and</w:t>
      </w:r>
      <w:r>
        <w:t xml:space="preserve"> accounts for 19,188 jobs. </w:t>
      </w:r>
    </w:p>
    <w:p w14:paraId="1DC30967" w14:textId="257D925F" w:rsidR="00D3576B" w:rsidRPr="00D3576B" w:rsidRDefault="00356B43" w:rsidP="00D3576B">
      <w:pPr>
        <w:pStyle w:val="Tablenote"/>
      </w:pPr>
      <w:r w:rsidRPr="009D07D8">
        <w:t xml:space="preserve">Source: </w:t>
      </w:r>
      <w:r w:rsidR="00533FC6">
        <w:t>WHM</w:t>
      </w:r>
      <w:r w:rsidRPr="009D07D8">
        <w:t xml:space="preserve"> Survey, 2020.</w:t>
      </w:r>
    </w:p>
    <w:p w14:paraId="3F4A1B07" w14:textId="012B9B00" w:rsidR="000B5FBC" w:rsidRPr="000B5FBC" w:rsidRDefault="006A3E62" w:rsidP="000B5FBC">
      <w:r>
        <w:t xml:space="preserve">Females were almost twice as likely as males to receive an hourly pay rate of less than $15 per hour (see </w:t>
      </w:r>
      <w:r>
        <w:fldChar w:fldCharType="begin"/>
      </w:r>
      <w:r>
        <w:instrText xml:space="preserve"> REF _Ref63332857 \h </w:instrText>
      </w:r>
      <w:r>
        <w:fldChar w:fldCharType="separate"/>
      </w:r>
      <w:r w:rsidR="00F22012">
        <w:t xml:space="preserve">Figure </w:t>
      </w:r>
      <w:r w:rsidR="00F22012">
        <w:rPr>
          <w:noProof/>
        </w:rPr>
        <w:t>5</w:t>
      </w:r>
      <w:r w:rsidR="00F22012">
        <w:noBreakHyphen/>
      </w:r>
      <w:r w:rsidR="00F22012">
        <w:rPr>
          <w:noProof/>
        </w:rPr>
        <w:t>5</w:t>
      </w:r>
      <w:r>
        <w:fldChar w:fldCharType="end"/>
      </w:r>
      <w:r>
        <w:t>). Correspondingly, males were more likely to receive more than $20 per hour.</w:t>
      </w:r>
      <w:r w:rsidR="006C26EE">
        <w:t xml:space="preserve"> This is reflected in males reporting a higher average hourly pay rate of $23.26, almost two dollars more </w:t>
      </w:r>
      <w:r w:rsidR="009F3ABF">
        <w:t xml:space="preserve">per hour </w:t>
      </w:r>
      <w:r w:rsidR="006C26EE">
        <w:t>than females ($21.44).</w:t>
      </w:r>
    </w:p>
    <w:p w14:paraId="610D0291" w14:textId="58004780" w:rsidR="000B5FBC" w:rsidRDefault="000B5FBC" w:rsidP="000B5FBC">
      <w:pPr>
        <w:pStyle w:val="Caption"/>
      </w:pPr>
      <w:bookmarkStart w:id="82" w:name="_Ref63332857"/>
      <w:bookmarkStart w:id="83" w:name="_Toc7587852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82"/>
      <w:r>
        <w:t xml:space="preserve">: </w:t>
      </w:r>
      <w:r w:rsidRPr="00ED77C9">
        <w:t xml:space="preserve">Hourly rate of </w:t>
      </w:r>
      <w:r>
        <w:t>pay</w:t>
      </w:r>
      <w:r w:rsidRPr="00ED77C9">
        <w:t xml:space="preserve"> </w:t>
      </w:r>
      <w:r>
        <w:t>for</w:t>
      </w:r>
      <w:r w:rsidRPr="00ED77C9">
        <w:t xml:space="preserve"> WHM</w:t>
      </w:r>
      <w:r w:rsidR="001752A0">
        <w:t>s, by</w:t>
      </w:r>
      <w:r w:rsidR="00F70717">
        <w:t xml:space="preserve"> </w:t>
      </w:r>
      <w:r w:rsidR="006B64F0">
        <w:t>sex</w:t>
      </w:r>
      <w:bookmarkEnd w:id="83"/>
    </w:p>
    <w:p w14:paraId="01F08B81" w14:textId="153F5BA7" w:rsidR="007C09CC" w:rsidRDefault="0002239A" w:rsidP="00F71B1B">
      <w:r>
        <w:rPr>
          <w:noProof/>
          <w:lang w:eastAsia="en-AU"/>
        </w:rPr>
        <w:drawing>
          <wp:inline distT="0" distB="0" distL="0" distR="0" wp14:anchorId="268ABEA0" wp14:editId="18CC8A99">
            <wp:extent cx="5731510" cy="1794294"/>
            <wp:effectExtent l="0" t="0" r="2540" b="15875"/>
            <wp:docPr id="49" name="Chart 49" descr="Figure 5-5 Chart showing hourly rate of pay for WHMs, by sex.">
              <a:extLst xmlns:a="http://schemas.openxmlformats.org/drawingml/2006/main">
                <a:ext uri="{FF2B5EF4-FFF2-40B4-BE49-F238E27FC236}">
                  <a16:creationId xmlns:a16="http://schemas.microsoft.com/office/drawing/2014/main" id="{57BBEE5F-1596-4857-B755-EAD7FB2BA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26CB98" w14:textId="059FFD47" w:rsidR="00E16B19" w:rsidRPr="000B5FBC" w:rsidRDefault="000B5FBC" w:rsidP="000B5FBC">
      <w:pPr>
        <w:pStyle w:val="Tablenote"/>
      </w:pPr>
      <w:r w:rsidRPr="000B5FBC">
        <w:t>Note</w:t>
      </w:r>
      <w:r w:rsidR="007E13B9">
        <w:t>, m</w:t>
      </w:r>
      <w:r w:rsidR="00C377F9">
        <w:t>ales reported 7,</w:t>
      </w:r>
      <w:r w:rsidR="006600DF">
        <w:t>200</w:t>
      </w:r>
      <w:r w:rsidRPr="000B5FBC">
        <w:t xml:space="preserve"> jobs</w:t>
      </w:r>
      <w:r w:rsidR="00C377F9">
        <w:t>; females reported 1</w:t>
      </w:r>
      <w:r w:rsidR="006600DF">
        <w:t>1</w:t>
      </w:r>
      <w:r w:rsidR="00C377F9">
        <w:t>,</w:t>
      </w:r>
      <w:r w:rsidR="006600DF">
        <w:t>102</w:t>
      </w:r>
      <w:r w:rsidR="00C377F9">
        <w:t xml:space="preserve"> jobs</w:t>
      </w:r>
      <w:r w:rsidRPr="000B5FBC">
        <w:t>.</w:t>
      </w:r>
      <w:r w:rsidR="002D6038">
        <w:t xml:space="preserve"> </w:t>
      </w:r>
      <w:r w:rsidR="006600DF">
        <w:t xml:space="preserve">Missing data not included. </w:t>
      </w:r>
      <w:r w:rsidR="002D6038">
        <w:t>Labels are not shown when less than 5%.</w:t>
      </w:r>
    </w:p>
    <w:p w14:paraId="09CDE2EF" w14:textId="1A422A82" w:rsidR="00D3576B" w:rsidRPr="00D3576B" w:rsidRDefault="00356B43" w:rsidP="00D3576B">
      <w:pPr>
        <w:pStyle w:val="Tablenote"/>
      </w:pPr>
      <w:r w:rsidRPr="009D07D8">
        <w:t xml:space="preserve">Source: </w:t>
      </w:r>
      <w:r w:rsidR="00533FC6">
        <w:t>WHM</w:t>
      </w:r>
      <w:r w:rsidRPr="009D07D8">
        <w:t xml:space="preserve"> Survey, 2020.</w:t>
      </w:r>
    </w:p>
    <w:p w14:paraId="1B5568BB" w14:textId="49B3BDA8" w:rsidR="000B5FBC" w:rsidRPr="00B36568" w:rsidRDefault="004B69FC" w:rsidP="00B36568">
      <w:r>
        <w:t>The youngest</w:t>
      </w:r>
      <w:r w:rsidR="00B36568">
        <w:t xml:space="preserve"> WHM </w:t>
      </w:r>
      <w:r>
        <w:t xml:space="preserve">workers (aged 18-19 years) </w:t>
      </w:r>
      <w:r w:rsidR="00B36568">
        <w:t>received less pay per hour than the older</w:t>
      </w:r>
      <w:r w:rsidR="00C14A18">
        <w:t xml:space="preserve"> </w:t>
      </w:r>
      <w:r w:rsidR="00B36568">
        <w:t>cohort</w:t>
      </w:r>
      <w:r w:rsidR="00C14A18">
        <w:t>s</w:t>
      </w:r>
      <w:r w:rsidR="00B36568">
        <w:t xml:space="preserve">, with </w:t>
      </w:r>
      <w:r w:rsidR="00642BFD">
        <w:t>more than</w:t>
      </w:r>
      <w:r w:rsidR="00B36568">
        <w:t xml:space="preserve"> a third (3</w:t>
      </w:r>
      <w:r w:rsidR="00642BFD">
        <w:t>8.0</w:t>
      </w:r>
      <w:r w:rsidR="00B36568">
        <w:t xml:space="preserve">%) paid less than $15 per hour </w:t>
      </w:r>
      <w:r>
        <w:t>and a</w:t>
      </w:r>
      <w:r w:rsidR="00F11301">
        <w:t>n average</w:t>
      </w:r>
      <w:r>
        <w:t xml:space="preserve"> of $17.02 </w:t>
      </w:r>
      <w:r w:rsidR="00B36568">
        <w:t xml:space="preserve">(see </w:t>
      </w:r>
      <w:r w:rsidR="00B36568">
        <w:fldChar w:fldCharType="begin"/>
      </w:r>
      <w:r w:rsidR="00B36568">
        <w:instrText xml:space="preserve"> REF _Ref63422931 \h </w:instrText>
      </w:r>
      <w:r w:rsidR="00B36568">
        <w:fldChar w:fldCharType="separate"/>
      </w:r>
      <w:r w:rsidR="00F22012">
        <w:t xml:space="preserve">Figure </w:t>
      </w:r>
      <w:r w:rsidR="00F22012">
        <w:rPr>
          <w:noProof/>
        </w:rPr>
        <w:t>5</w:t>
      </w:r>
      <w:r w:rsidR="00F22012">
        <w:noBreakHyphen/>
      </w:r>
      <w:r w:rsidR="00F22012">
        <w:rPr>
          <w:noProof/>
        </w:rPr>
        <w:t>6</w:t>
      </w:r>
      <w:r w:rsidR="00B36568">
        <w:fldChar w:fldCharType="end"/>
      </w:r>
      <w:r w:rsidR="00B36568">
        <w:t>).</w:t>
      </w:r>
      <w:r>
        <w:t xml:space="preserve"> The youngest cohort were also </w:t>
      </w:r>
      <w:r w:rsidR="00FA783A">
        <w:t xml:space="preserve">the </w:t>
      </w:r>
      <w:r>
        <w:t xml:space="preserve">least likely to provide a response regarding their amount of pay. </w:t>
      </w:r>
    </w:p>
    <w:p w14:paraId="39FEE814" w14:textId="0A758835" w:rsidR="001525F1" w:rsidRDefault="00F70717" w:rsidP="00F70717">
      <w:pPr>
        <w:pStyle w:val="Caption"/>
      </w:pPr>
      <w:bookmarkStart w:id="84" w:name="_Ref63422931"/>
      <w:bookmarkStart w:id="85" w:name="_Toc7587852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6</w:t>
      </w:r>
      <w:r w:rsidR="008949B3">
        <w:rPr>
          <w:noProof/>
        </w:rPr>
        <w:fldChar w:fldCharType="end"/>
      </w:r>
      <w:bookmarkEnd w:id="84"/>
      <w:r>
        <w:t xml:space="preserve">: </w:t>
      </w:r>
      <w:r w:rsidRPr="00ED77C9">
        <w:t xml:space="preserve">Hourly rate of </w:t>
      </w:r>
      <w:r>
        <w:t>pay</w:t>
      </w:r>
      <w:r w:rsidRPr="00ED77C9">
        <w:t xml:space="preserve"> </w:t>
      </w:r>
      <w:r>
        <w:t>for</w:t>
      </w:r>
      <w:r w:rsidRPr="00ED77C9">
        <w:t xml:space="preserve"> WHMs</w:t>
      </w:r>
      <w:r w:rsidR="001752A0">
        <w:t>,</w:t>
      </w:r>
      <w:r w:rsidR="00F41CAF">
        <w:t xml:space="preserve"> by</w:t>
      </w:r>
      <w:r>
        <w:t xml:space="preserve"> age group</w:t>
      </w:r>
      <w:bookmarkEnd w:id="85"/>
    </w:p>
    <w:p w14:paraId="761B5A99" w14:textId="668A4087" w:rsidR="001525F1" w:rsidRPr="002F7846" w:rsidRDefault="00BA7D55" w:rsidP="00E16B19">
      <w:r>
        <w:rPr>
          <w:noProof/>
          <w:lang w:eastAsia="en-AU"/>
        </w:rPr>
        <w:drawing>
          <wp:inline distT="0" distB="0" distL="0" distR="0" wp14:anchorId="3AB61B4A" wp14:editId="4E17368E">
            <wp:extent cx="5731510" cy="2149475"/>
            <wp:effectExtent l="0" t="0" r="2540" b="3175"/>
            <wp:docPr id="54" name="Chart 54" descr="Figure 5-6 Chart showing hourly rate of pay for WHMs, by age group.">
              <a:extLst xmlns:a="http://schemas.openxmlformats.org/drawingml/2006/main">
                <a:ext uri="{FF2B5EF4-FFF2-40B4-BE49-F238E27FC236}">
                  <a16:creationId xmlns:a16="http://schemas.microsoft.com/office/drawing/2014/main" id="{72DA9504-A5BC-46E6-A04B-446D311AC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3723F7" w14:textId="38286899" w:rsidR="00BD1430" w:rsidRPr="000B5FBC" w:rsidRDefault="00BD1430" w:rsidP="00BD1430">
      <w:pPr>
        <w:pStyle w:val="Tablenote"/>
      </w:pPr>
      <w:r w:rsidRPr="000B5FBC">
        <w:t>Note</w:t>
      </w:r>
      <w:r w:rsidR="007E13B9">
        <w:t>,</w:t>
      </w:r>
      <w:r w:rsidRPr="000B5FBC">
        <w:t xml:space="preserve"> </w:t>
      </w:r>
      <w:r>
        <w:t>Age 18-19 years reported 1,</w:t>
      </w:r>
      <w:r w:rsidR="00FB23D8">
        <w:t>007</w:t>
      </w:r>
      <w:r w:rsidRPr="000B5FBC">
        <w:t xml:space="preserve"> jobs</w:t>
      </w:r>
      <w:r>
        <w:t xml:space="preserve">; Age 20-24 reported </w:t>
      </w:r>
      <w:r w:rsidR="00FB23D8">
        <w:t>5</w:t>
      </w:r>
      <w:r>
        <w:t>,</w:t>
      </w:r>
      <w:r w:rsidR="00FB23D8">
        <w:t>566</w:t>
      </w:r>
      <w:r>
        <w:t xml:space="preserve"> jobs</w:t>
      </w:r>
      <w:r w:rsidR="00B23253">
        <w:t xml:space="preserve">; Age 25-30 reported </w:t>
      </w:r>
      <w:r w:rsidR="00FB23D8">
        <w:t>9</w:t>
      </w:r>
      <w:r w:rsidR="00B23253">
        <w:t>,</w:t>
      </w:r>
      <w:r w:rsidR="00FB23D8">
        <w:t>852</w:t>
      </w:r>
      <w:r w:rsidR="00B23253">
        <w:t xml:space="preserve"> jobs; Age 31+ reported 1,</w:t>
      </w:r>
      <w:r w:rsidR="00FB23D8">
        <w:t>532</w:t>
      </w:r>
      <w:r w:rsidR="00B23253">
        <w:t xml:space="preserve"> jobs.</w:t>
      </w:r>
      <w:r w:rsidR="002D6038" w:rsidRPr="002D6038">
        <w:t xml:space="preserve"> </w:t>
      </w:r>
      <w:r w:rsidR="00FB23D8">
        <w:t xml:space="preserve">Missing data not included. </w:t>
      </w:r>
      <w:r w:rsidR="002D6038">
        <w:t>Labels are not shown when less than 5%.</w:t>
      </w:r>
    </w:p>
    <w:p w14:paraId="2A68BF1F" w14:textId="17FBAD30" w:rsidR="003426DF" w:rsidRPr="003426DF" w:rsidRDefault="00356B43" w:rsidP="003426DF">
      <w:pPr>
        <w:pStyle w:val="Tablenote"/>
      </w:pPr>
      <w:r w:rsidRPr="009D07D8">
        <w:t xml:space="preserve">Source: </w:t>
      </w:r>
      <w:r w:rsidR="00533FC6">
        <w:t>WHM</w:t>
      </w:r>
      <w:r w:rsidRPr="009D07D8">
        <w:t xml:space="preserve"> Survey, 2020.</w:t>
      </w:r>
    </w:p>
    <w:p w14:paraId="5134A0F3" w14:textId="05062A3C" w:rsidR="00B04679" w:rsidRDefault="00CE7212" w:rsidP="00B04679">
      <w:r>
        <w:t xml:space="preserve">The ten most common jobs </w:t>
      </w:r>
      <w:r w:rsidR="007F5C65">
        <w:t xml:space="preserve">by </w:t>
      </w:r>
      <w:r w:rsidR="00E14B98">
        <w:t xml:space="preserve">average </w:t>
      </w:r>
      <w:r w:rsidR="007F5C65">
        <w:t xml:space="preserve">pay rate </w:t>
      </w:r>
      <w:r w:rsidR="00670213">
        <w:t xml:space="preserve">are shown </w:t>
      </w:r>
      <w:r>
        <w:t xml:space="preserve">in </w:t>
      </w:r>
      <w:r w:rsidR="007F5C65">
        <w:fldChar w:fldCharType="begin"/>
      </w:r>
      <w:r w:rsidR="007F5C65">
        <w:instrText xml:space="preserve"> REF _Ref63927548 \h </w:instrText>
      </w:r>
      <w:r w:rsidR="007F5C65">
        <w:fldChar w:fldCharType="separate"/>
      </w:r>
      <w:r w:rsidR="00F22012">
        <w:t xml:space="preserve">Figure </w:t>
      </w:r>
      <w:r w:rsidR="00F22012">
        <w:rPr>
          <w:noProof/>
        </w:rPr>
        <w:t>5</w:t>
      </w:r>
      <w:r w:rsidR="00F22012">
        <w:noBreakHyphen/>
      </w:r>
      <w:r w:rsidR="00F22012">
        <w:rPr>
          <w:noProof/>
        </w:rPr>
        <w:t>7</w:t>
      </w:r>
      <w:r w:rsidR="007F5C65">
        <w:fldChar w:fldCharType="end"/>
      </w:r>
      <w:r>
        <w:t>. Nannies and au pairs were the seventh most common occupation for WHMs. As previously mentioned, nannies and au pairs were most likely to indicate a low or $0 hourly rate of pay</w:t>
      </w:r>
      <w:r w:rsidR="007F5C65">
        <w:t xml:space="preserve"> with </w:t>
      </w:r>
      <w:r w:rsidR="00B20D20">
        <w:t>83.2</w:t>
      </w:r>
      <w:r w:rsidR="007F5C65">
        <w:t>% receiving less than $15 per hour</w:t>
      </w:r>
      <w:r>
        <w:t xml:space="preserve"> </w:t>
      </w:r>
      <w:r w:rsidR="007F5C65">
        <w:t>and</w:t>
      </w:r>
      <w:r>
        <w:t xml:space="preserve"> an overall average of $11.06. </w:t>
      </w:r>
      <w:r w:rsidR="007F5C65">
        <w:t xml:space="preserve">The highest number of WHMs jobs were </w:t>
      </w:r>
      <w:r w:rsidR="0039172F">
        <w:t>c</w:t>
      </w:r>
      <w:r>
        <w:t>rop farm worker</w:t>
      </w:r>
      <w:r w:rsidR="007F5C65">
        <w:t>s</w:t>
      </w:r>
      <w:r w:rsidR="00E82015">
        <w:t xml:space="preserve"> </w:t>
      </w:r>
      <w:r w:rsidR="007F5C65">
        <w:t>who received</w:t>
      </w:r>
      <w:r w:rsidR="00E82015">
        <w:t xml:space="preserve"> an average of $19.82 per hour.</w:t>
      </w:r>
      <w:r w:rsidR="00956580">
        <w:t xml:space="preserve"> </w:t>
      </w:r>
      <w:r w:rsidR="00815E0E">
        <w:t>Just under</w:t>
      </w:r>
      <w:r w:rsidR="004B00CF">
        <w:t xml:space="preserve"> one</w:t>
      </w:r>
      <w:r w:rsidR="007F5C65">
        <w:t xml:space="preserve"> in </w:t>
      </w:r>
      <w:r w:rsidR="004B00CF">
        <w:t>ten</w:t>
      </w:r>
      <w:r w:rsidR="007F5C65">
        <w:t xml:space="preserve"> (8.</w:t>
      </w:r>
      <w:r w:rsidR="004B00CF">
        <w:t>9</w:t>
      </w:r>
      <w:r w:rsidR="007F5C65">
        <w:t>%) b</w:t>
      </w:r>
      <w:r w:rsidR="00956580">
        <w:t>uilding labourers</w:t>
      </w:r>
      <w:r w:rsidR="007F5C65">
        <w:t xml:space="preserve"> were paid more than $30 per hour</w:t>
      </w:r>
      <w:r w:rsidR="00067F29">
        <w:t>;</w:t>
      </w:r>
      <w:r w:rsidR="007F5C65">
        <w:t xml:space="preserve"> those working in this job</w:t>
      </w:r>
      <w:r w:rsidR="00956580">
        <w:t xml:space="preserve"> were best paid ($25.43</w:t>
      </w:r>
      <w:r w:rsidR="007F5C65">
        <w:t xml:space="preserve"> per hour</w:t>
      </w:r>
      <w:r w:rsidR="00956580">
        <w:t xml:space="preserve">) amongst </w:t>
      </w:r>
      <w:r w:rsidR="007F5C65">
        <w:t>the most common jobs.</w:t>
      </w:r>
    </w:p>
    <w:p w14:paraId="1277C116" w14:textId="00C69966" w:rsidR="0055766B" w:rsidRDefault="00A51ABE" w:rsidP="0055766B">
      <w:pPr>
        <w:pStyle w:val="Caption"/>
      </w:pPr>
      <w:bookmarkStart w:id="86" w:name="_Ref63927548"/>
      <w:bookmarkStart w:id="87" w:name="_Toc7587852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7</w:t>
      </w:r>
      <w:r w:rsidR="008949B3">
        <w:rPr>
          <w:noProof/>
        </w:rPr>
        <w:fldChar w:fldCharType="end"/>
      </w:r>
      <w:bookmarkEnd w:id="86"/>
      <w:r>
        <w:t xml:space="preserve">: </w:t>
      </w:r>
      <w:r w:rsidRPr="00ED77C9">
        <w:t xml:space="preserve">Hourly rate of </w:t>
      </w:r>
      <w:r>
        <w:t>pay</w:t>
      </w:r>
      <w:r w:rsidRPr="00ED77C9">
        <w:t xml:space="preserve"> </w:t>
      </w:r>
      <w:r>
        <w:t>for</w:t>
      </w:r>
      <w:r w:rsidRPr="00ED77C9">
        <w:t xml:space="preserve"> </w:t>
      </w:r>
      <w:r w:rsidR="00102BD4">
        <w:t xml:space="preserve">Top 10 </w:t>
      </w:r>
      <w:r w:rsidRPr="00ED77C9">
        <w:t>WHM jobs</w:t>
      </w:r>
      <w:bookmarkEnd w:id="87"/>
    </w:p>
    <w:p w14:paraId="5880E2CA" w14:textId="4E1409AA" w:rsidR="00A51ABE" w:rsidRPr="00A40B51" w:rsidRDefault="00C32B9A" w:rsidP="00365B78">
      <w:r>
        <w:rPr>
          <w:noProof/>
          <w:lang w:eastAsia="en-AU"/>
        </w:rPr>
        <w:drawing>
          <wp:inline distT="0" distB="0" distL="0" distR="0" wp14:anchorId="55A3DE6C" wp14:editId="4E0BB640">
            <wp:extent cx="5728828" cy="4032000"/>
            <wp:effectExtent l="0" t="0" r="5715" b="6985"/>
            <wp:docPr id="55" name="Chart 55" descr="Figure 5-7 Chart showing hourly rate of pay for top 10 WHM jobs.">
              <a:extLst xmlns:a="http://schemas.openxmlformats.org/drawingml/2006/main">
                <a:ext uri="{FF2B5EF4-FFF2-40B4-BE49-F238E27FC236}">
                  <a16:creationId xmlns:a16="http://schemas.microsoft.com/office/drawing/2014/main" id="{4A5F1BBB-B413-4BF1-ADDB-D6BAB5EBA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AA091F" w14:textId="5AF8E709" w:rsidR="002D6038" w:rsidRDefault="003C4C74" w:rsidP="00052EA3">
      <w:pPr>
        <w:pStyle w:val="Tablenote"/>
        <w:keepNext/>
        <w:keepLines/>
      </w:pPr>
      <w:r>
        <w:t>Note, for this purpose Top 10 jobs are those reported most commonly</w:t>
      </w:r>
      <w:r w:rsidR="000A52FF">
        <w:t xml:space="preserve"> and account for 1</w:t>
      </w:r>
      <w:r w:rsidR="00F70A91">
        <w:t>1</w:t>
      </w:r>
      <w:r w:rsidR="000A52FF">
        <w:t>,</w:t>
      </w:r>
      <w:r w:rsidR="00F70A91">
        <w:t>729</w:t>
      </w:r>
      <w:r w:rsidR="000A52FF">
        <w:t xml:space="preserve"> jobs</w:t>
      </w:r>
      <w:r>
        <w:t xml:space="preserve">. </w:t>
      </w:r>
      <w:r w:rsidR="004002AB">
        <w:t xml:space="preserve">Missing data not included. </w:t>
      </w:r>
      <w:r w:rsidR="002D6038">
        <w:t>Labels are not shown when less than 5%.</w:t>
      </w:r>
    </w:p>
    <w:p w14:paraId="42AF1201" w14:textId="0AED5A0F" w:rsidR="005333A3" w:rsidRPr="005333A3" w:rsidRDefault="00356B43" w:rsidP="005333A3">
      <w:pPr>
        <w:pStyle w:val="Tablenote"/>
      </w:pPr>
      <w:r w:rsidRPr="009D07D8">
        <w:t xml:space="preserve">Source: </w:t>
      </w:r>
      <w:r w:rsidR="00533FC6">
        <w:t>WHM</w:t>
      </w:r>
      <w:r w:rsidRPr="009D07D8">
        <w:t xml:space="preserve"> Survey, 2020.</w:t>
      </w:r>
    </w:p>
    <w:p w14:paraId="6AA47F9B" w14:textId="793BE2D3" w:rsidR="00DB6609" w:rsidRDefault="00AC15B4" w:rsidP="00DB6609">
      <w:r>
        <w:t>Accounting for</w:t>
      </w:r>
      <w:r w:rsidR="00C07D81">
        <w:t xml:space="preserve"> the highest number of young workers, German workers were the lowest paid ($19.71</w:t>
      </w:r>
      <w:r w:rsidR="00CF48D2">
        <w:t xml:space="preserve"> per hour on average</w:t>
      </w:r>
      <w:r w:rsidR="00C07D81">
        <w:t xml:space="preserve">) of all WHM countries </w:t>
      </w:r>
      <w:r w:rsidR="0039172F">
        <w:t>(</w:t>
      </w:r>
      <w:r w:rsidR="00C07D81">
        <w:t>except</w:t>
      </w:r>
      <w:r w:rsidR="00023451">
        <w:t xml:space="preserve"> for</w:t>
      </w:r>
      <w:r w:rsidR="00C07D81">
        <w:t xml:space="preserve"> Poland whose citizens only reported 19 jobs</w:t>
      </w:r>
      <w:r w:rsidR="0039172F">
        <w:t>)</w:t>
      </w:r>
      <w:r>
        <w:t xml:space="preserve"> </w:t>
      </w:r>
      <w:r w:rsidR="003A2421">
        <w:t xml:space="preserve">(see </w:t>
      </w:r>
      <w:r w:rsidR="003A2421">
        <w:fldChar w:fldCharType="begin"/>
      </w:r>
      <w:r w:rsidR="003A2421">
        <w:instrText xml:space="preserve"> REF _Ref63929169 \h </w:instrText>
      </w:r>
      <w:r w:rsidR="003A2421">
        <w:fldChar w:fldCharType="separate"/>
      </w:r>
      <w:r w:rsidR="00F22012">
        <w:t xml:space="preserve">Figure </w:t>
      </w:r>
      <w:r w:rsidR="00F22012">
        <w:rPr>
          <w:noProof/>
        </w:rPr>
        <w:t>5</w:t>
      </w:r>
      <w:r w:rsidR="00F22012">
        <w:noBreakHyphen/>
      </w:r>
      <w:r w:rsidR="00F22012">
        <w:rPr>
          <w:noProof/>
        </w:rPr>
        <w:t>8</w:t>
      </w:r>
      <w:r w:rsidR="003A2421">
        <w:fldChar w:fldCharType="end"/>
      </w:r>
      <w:r w:rsidR="003A2421">
        <w:t>)</w:t>
      </w:r>
      <w:r w:rsidR="00C07D81">
        <w:t>.</w:t>
      </w:r>
      <w:r w:rsidR="0039172F">
        <w:t xml:space="preserve"> </w:t>
      </w:r>
      <w:r w:rsidR="003A2421">
        <w:t>Almost one in five (1</w:t>
      </w:r>
      <w:r w:rsidR="00F06B02">
        <w:t>9.3</w:t>
      </w:r>
      <w:r w:rsidR="003A2421">
        <w:t xml:space="preserve">%) </w:t>
      </w:r>
      <w:r w:rsidR="00376988">
        <w:t xml:space="preserve">Irish WHMs </w:t>
      </w:r>
      <w:r w:rsidR="003A2421">
        <w:t xml:space="preserve">received more than $30 per hour with an overall average of $26.03 per hour. </w:t>
      </w:r>
      <w:r w:rsidR="004978F3">
        <w:t>The hourly rate is most likely due to the type of job</w:t>
      </w:r>
      <w:r w:rsidR="008F4B48">
        <w:t xml:space="preserve"> (rather than nationality) as a</w:t>
      </w:r>
      <w:r w:rsidR="003A2421">
        <w:t xml:space="preserve">lmost half of </w:t>
      </w:r>
      <w:r w:rsidR="00B82BD4">
        <w:t xml:space="preserve">jobs for </w:t>
      </w:r>
      <w:r w:rsidR="003A2421">
        <w:t>German WHM</w:t>
      </w:r>
      <w:r w:rsidR="00B82BD4">
        <w:t>s</w:t>
      </w:r>
      <w:r w:rsidR="003A2421">
        <w:t xml:space="preserve"> were </w:t>
      </w:r>
      <w:r w:rsidR="00DF0332">
        <w:t>in low-paying jobs</w:t>
      </w:r>
      <w:r w:rsidR="003A2421">
        <w:t xml:space="preserve"> </w:t>
      </w:r>
      <w:r w:rsidR="00DF0332">
        <w:t>(</w:t>
      </w:r>
      <w:r w:rsidR="003A2421">
        <w:t>crop farm workers, nannies or au pairs</w:t>
      </w:r>
      <w:r w:rsidR="0062040D">
        <w:t>,</w:t>
      </w:r>
      <w:r w:rsidR="003A2421">
        <w:t xml:space="preserve"> or</w:t>
      </w:r>
      <w:r w:rsidR="00E34720">
        <w:t xml:space="preserve"> as</w:t>
      </w:r>
      <w:r w:rsidR="003A2421">
        <w:t xml:space="preserve"> other farm workers</w:t>
      </w:r>
      <w:r w:rsidR="00DF0332">
        <w:t>)</w:t>
      </w:r>
      <w:r w:rsidR="003A2421">
        <w:t xml:space="preserve"> </w:t>
      </w:r>
      <w:r w:rsidR="008F4B48">
        <w:t>while</w:t>
      </w:r>
      <w:r w:rsidR="003A2421">
        <w:t xml:space="preserve"> fewer than one quarter of Irish WHMs reported being engaged in these jobs.</w:t>
      </w:r>
    </w:p>
    <w:p w14:paraId="59911850" w14:textId="751E97A8" w:rsidR="00504BEB" w:rsidRDefault="2B6941A4" w:rsidP="00504BEB">
      <w:pPr>
        <w:pStyle w:val="Caption"/>
      </w:pPr>
      <w:bookmarkStart w:id="88" w:name="_Ref63929169"/>
      <w:bookmarkStart w:id="89" w:name="_Toc7587852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8</w:t>
      </w:r>
      <w:r w:rsidR="008949B3">
        <w:rPr>
          <w:noProof/>
        </w:rPr>
        <w:fldChar w:fldCharType="end"/>
      </w:r>
      <w:bookmarkEnd w:id="88"/>
      <w:r>
        <w:t xml:space="preserve">: </w:t>
      </w:r>
      <w:r w:rsidRPr="00ED77C9">
        <w:t xml:space="preserve">Hourly rate of </w:t>
      </w:r>
      <w:r>
        <w:t>pay</w:t>
      </w:r>
      <w:r w:rsidR="312EAE8C">
        <w:t xml:space="preserve"> </w:t>
      </w:r>
      <w:r>
        <w:t>for</w:t>
      </w:r>
      <w:r w:rsidRPr="00ED77C9">
        <w:t xml:space="preserve"> </w:t>
      </w:r>
      <w:r w:rsidR="04DFF1C0">
        <w:t xml:space="preserve">Top 10 </w:t>
      </w:r>
      <w:r w:rsidRPr="00ED77C9">
        <w:t>WHM</w:t>
      </w:r>
      <w:r w:rsidR="04DFF1C0">
        <w:t xml:space="preserve"> countries</w:t>
      </w:r>
      <w:bookmarkEnd w:id="89"/>
    </w:p>
    <w:p w14:paraId="0CFC418D" w14:textId="13A33330" w:rsidR="003C4C74" w:rsidRPr="005470D0" w:rsidRDefault="00400E92" w:rsidP="00E16B19">
      <w:r>
        <w:rPr>
          <w:noProof/>
          <w:lang w:eastAsia="en-AU"/>
        </w:rPr>
        <w:drawing>
          <wp:inline distT="0" distB="0" distL="0" distR="0" wp14:anchorId="1C7E617C" wp14:editId="03D97EC1">
            <wp:extent cx="5728827" cy="4032000"/>
            <wp:effectExtent l="0" t="0" r="5715" b="6985"/>
            <wp:docPr id="57" name="Chart 57" descr="Figure 5-8 Chart showing hourly rate of pay for top 10 WHM countries.">
              <a:extLst xmlns:a="http://schemas.openxmlformats.org/drawingml/2006/main">
                <a:ext uri="{FF2B5EF4-FFF2-40B4-BE49-F238E27FC236}">
                  <a16:creationId xmlns:a16="http://schemas.microsoft.com/office/drawing/2014/main" id="{14E64E51-C326-4FB8-A9A5-234D61683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177D52" w14:textId="1565E170" w:rsidR="003C4C74" w:rsidRDefault="003C4C74" w:rsidP="003C4C74">
      <w:pPr>
        <w:pStyle w:val="Tablenote"/>
      </w:pPr>
      <w:r>
        <w:t xml:space="preserve">Note, for this purpose </w:t>
      </w:r>
      <w:r w:rsidR="004D3CCD">
        <w:t>T</w:t>
      </w:r>
      <w:r>
        <w:t>op 10 countries are those with the most listed jobs</w:t>
      </w:r>
      <w:r w:rsidR="000A52FF">
        <w:t>, and account fo</w:t>
      </w:r>
      <w:r w:rsidR="0075012D">
        <w:t>r</w:t>
      </w:r>
      <w:r w:rsidR="000A52FF">
        <w:t xml:space="preserve"> 1</w:t>
      </w:r>
      <w:r w:rsidR="00B6654F">
        <w:t>4</w:t>
      </w:r>
      <w:r w:rsidR="000A52FF">
        <w:t>,</w:t>
      </w:r>
      <w:r w:rsidR="00B6654F">
        <w:t>849</w:t>
      </w:r>
      <w:r w:rsidR="000A52FF">
        <w:t xml:space="preserve"> jobs</w:t>
      </w:r>
      <w:r>
        <w:t xml:space="preserve">. </w:t>
      </w:r>
      <w:r w:rsidR="004002AB">
        <w:t>Missing data not included.</w:t>
      </w:r>
      <w:r>
        <w:t xml:space="preserve"> Labels are not shown when less than 5%.</w:t>
      </w:r>
    </w:p>
    <w:p w14:paraId="29F3945D" w14:textId="65F399CB" w:rsidR="00052EA3" w:rsidRPr="00052EA3" w:rsidRDefault="00356B43" w:rsidP="00052EA3">
      <w:pPr>
        <w:pStyle w:val="Tablenote"/>
      </w:pPr>
      <w:r w:rsidRPr="009D07D8">
        <w:t xml:space="preserve">Source: </w:t>
      </w:r>
      <w:r w:rsidR="00533FC6">
        <w:t>WHM</w:t>
      </w:r>
      <w:r w:rsidRPr="009D07D8">
        <w:t xml:space="preserve"> Survey, 2020.</w:t>
      </w:r>
    </w:p>
    <w:p w14:paraId="279B0EF9" w14:textId="7E7CDFAF" w:rsidR="00E16B19" w:rsidRPr="00F443FE" w:rsidRDefault="00F443FE" w:rsidP="008A55F1">
      <w:pPr>
        <w:pStyle w:val="Heading3"/>
      </w:pPr>
      <w:bookmarkStart w:id="90" w:name="_Toc75878460"/>
      <w:bookmarkEnd w:id="75"/>
      <w:r w:rsidRPr="00F443FE">
        <w:t xml:space="preserve">Hours per </w:t>
      </w:r>
      <w:r w:rsidRPr="008A55F1">
        <w:t>week</w:t>
      </w:r>
      <w:bookmarkEnd w:id="90"/>
    </w:p>
    <w:p w14:paraId="179E2EFE" w14:textId="2D82C9C7" w:rsidR="00F443FE" w:rsidRDefault="00850F12" w:rsidP="00F443FE">
      <w:r>
        <w:t>When they had a job, most WHMs were working the equivalent of full-time</w:t>
      </w:r>
      <w:r w:rsidR="00C7521B">
        <w:t xml:space="preserve">, </w:t>
      </w:r>
      <w:r w:rsidR="003C2CDF">
        <w:t>indicating the value of this workforce</w:t>
      </w:r>
      <w:r w:rsidR="00C7521B">
        <w:t xml:space="preserve"> to employers in Australia.</w:t>
      </w:r>
      <w:r>
        <w:t xml:space="preserve"> </w:t>
      </w:r>
      <w:r w:rsidR="001E559D">
        <w:t>Almost half (46.</w:t>
      </w:r>
      <w:r w:rsidR="009D39B2">
        <w:t>8</w:t>
      </w:r>
      <w:r w:rsidR="001E559D">
        <w:t>%) of the jobs reported by WHMs involved between 30 to 40 hours per week, with one in five (</w:t>
      </w:r>
      <w:r w:rsidR="004763E3">
        <w:t>20</w:t>
      </w:r>
      <w:r w:rsidR="001E559D">
        <w:t>.</w:t>
      </w:r>
      <w:r w:rsidR="004763E3">
        <w:t>1</w:t>
      </w:r>
      <w:r w:rsidR="001E559D">
        <w:t xml:space="preserve">%) jobs exceeding 40 hours per week (see </w:t>
      </w:r>
      <w:r w:rsidR="001E559D">
        <w:fldChar w:fldCharType="begin"/>
      </w:r>
      <w:r w:rsidR="001E559D">
        <w:instrText xml:space="preserve"> REF _Ref64034908 \h </w:instrText>
      </w:r>
      <w:r w:rsidR="001E559D">
        <w:fldChar w:fldCharType="separate"/>
      </w:r>
      <w:r w:rsidR="00F22012" w:rsidRPr="00ED77C9">
        <w:t xml:space="preserve">Table </w:t>
      </w:r>
      <w:r w:rsidR="00F22012">
        <w:rPr>
          <w:noProof/>
        </w:rPr>
        <w:t>5</w:t>
      </w:r>
      <w:r w:rsidR="00F22012">
        <w:noBreakHyphen/>
      </w:r>
      <w:r w:rsidR="00F22012">
        <w:rPr>
          <w:noProof/>
        </w:rPr>
        <w:t>6</w:t>
      </w:r>
      <w:r w:rsidR="001E559D">
        <w:fldChar w:fldCharType="end"/>
      </w:r>
      <w:r w:rsidR="001E559D">
        <w:t>).</w:t>
      </w:r>
      <w:r>
        <w:t xml:space="preserve"> A relatively small proportion of WHM jobs (6.2%) were for fewer than </w:t>
      </w:r>
      <w:r w:rsidR="00C21F23">
        <w:t xml:space="preserve">ten </w:t>
      </w:r>
      <w:r>
        <w:t xml:space="preserve">hours per week – with </w:t>
      </w:r>
      <w:r w:rsidR="00DF38BF">
        <w:t xml:space="preserve">cleaners, teachers and educational support workers most likely to be working limited hours. </w:t>
      </w:r>
      <w:r w:rsidR="00E57062">
        <w:t xml:space="preserve">WHM jobs in </w:t>
      </w:r>
      <w:r w:rsidR="00CF31C7">
        <w:t>the Northern Territory (29.6%) and</w:t>
      </w:r>
      <w:r w:rsidR="00E57062">
        <w:t xml:space="preserve"> Western Australia </w:t>
      </w:r>
      <w:r w:rsidR="00CF31C7">
        <w:t>(25.1%)</w:t>
      </w:r>
      <w:r w:rsidR="00E57062">
        <w:t xml:space="preserve"> were most likely to involve more than 40 hours per week (see </w:t>
      </w:r>
      <w:r w:rsidR="008D2E84">
        <w:fldChar w:fldCharType="begin"/>
      </w:r>
      <w:r w:rsidR="008D2E84">
        <w:instrText xml:space="preserve"> REF _Ref72419076 \h </w:instrText>
      </w:r>
      <w:r w:rsidR="008D2E84">
        <w:fldChar w:fldCharType="separate"/>
      </w:r>
      <w:r w:rsidR="00F22012" w:rsidRPr="00F443FE">
        <w:t xml:space="preserve">Figure </w:t>
      </w:r>
      <w:r w:rsidR="00F22012">
        <w:rPr>
          <w:noProof/>
        </w:rPr>
        <w:t>5</w:t>
      </w:r>
      <w:r w:rsidR="00F22012">
        <w:noBreakHyphen/>
      </w:r>
      <w:r w:rsidR="00F22012">
        <w:rPr>
          <w:noProof/>
        </w:rPr>
        <w:t>9</w:t>
      </w:r>
      <w:r w:rsidR="008D2E84">
        <w:fldChar w:fldCharType="end"/>
      </w:r>
      <w:r w:rsidR="00E57062">
        <w:t>)</w:t>
      </w:r>
      <w:r w:rsidR="00E32998">
        <w:t xml:space="preserve"> w</w:t>
      </w:r>
      <w:r w:rsidR="00E57062">
        <w:t>hile just under one in ten (9.</w:t>
      </w:r>
      <w:r w:rsidR="00CF31C7">
        <w:t>4</w:t>
      </w:r>
      <w:r w:rsidR="00E57062">
        <w:t xml:space="preserve">%) Tasmanian jobs were for </w:t>
      </w:r>
      <w:r w:rsidR="00C21F23">
        <w:t xml:space="preserve">ten </w:t>
      </w:r>
      <w:r w:rsidR="00E57062">
        <w:t>or fewer hours.</w:t>
      </w:r>
      <w:r w:rsidR="00CF31C7" w:rsidRPr="00CF31C7">
        <w:t xml:space="preserve"> </w:t>
      </w:r>
      <w:r w:rsidR="00CF31C7" w:rsidRPr="00E57062">
        <w:t>On average</w:t>
      </w:r>
      <w:r w:rsidR="00CF31C7">
        <w:t xml:space="preserve"> WHMs reported jobs where they worked 35.8 hours per week. Hours worked per week ranged from a high of 39.0 hours highest in the Northern Territory down to 34.6 hours in the Australian Capital Territory</w:t>
      </w:r>
      <w:r w:rsidR="009C62AD">
        <w:t>.</w:t>
      </w:r>
      <w:r w:rsidR="00CD6BAC">
        <w:rPr>
          <w:rStyle w:val="FootnoteReference"/>
        </w:rPr>
        <w:footnoteReference w:id="18"/>
      </w:r>
    </w:p>
    <w:p w14:paraId="74704AE9" w14:textId="7DB1030A" w:rsidR="00E808EC" w:rsidRPr="00ED77C9" w:rsidRDefault="00E808EC" w:rsidP="00E808EC">
      <w:pPr>
        <w:pStyle w:val="Caption"/>
      </w:pPr>
      <w:bookmarkStart w:id="91" w:name="_Ref64034908"/>
      <w:bookmarkStart w:id="92" w:name="_Toc75878600"/>
      <w:r w:rsidRPr="00ED77C9">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6</w:t>
      </w:r>
      <w:r>
        <w:fldChar w:fldCharType="end"/>
      </w:r>
      <w:bookmarkEnd w:id="91"/>
      <w:r w:rsidRPr="00ED77C9">
        <w:t>: Hour</w:t>
      </w:r>
      <w:r w:rsidR="00382871">
        <w:t>s worked per week</w:t>
      </w:r>
      <w:bookmarkEnd w:id="92"/>
    </w:p>
    <w:tbl>
      <w:tblPr>
        <w:tblStyle w:val="GridTable4-Accent4"/>
        <w:tblW w:w="5000" w:type="pct"/>
        <w:tblLook w:val="0460" w:firstRow="1" w:lastRow="1" w:firstColumn="0" w:lastColumn="0" w:noHBand="0" w:noVBand="1"/>
      </w:tblPr>
      <w:tblGrid>
        <w:gridCol w:w="4382"/>
        <w:gridCol w:w="2194"/>
        <w:gridCol w:w="2440"/>
      </w:tblGrid>
      <w:tr w:rsidR="00E808EC" w:rsidRPr="00382871" w14:paraId="3824DC81" w14:textId="77777777" w:rsidTr="00142AE3">
        <w:trPr>
          <w:cnfStyle w:val="100000000000" w:firstRow="1" w:lastRow="0" w:firstColumn="0" w:lastColumn="0" w:oddVBand="0" w:evenVBand="0" w:oddHBand="0" w:evenHBand="0" w:firstRowFirstColumn="0" w:firstRowLastColumn="0" w:lastRowFirstColumn="0" w:lastRowLastColumn="0"/>
          <w:trHeight w:val="300"/>
        </w:trPr>
        <w:tc>
          <w:tcPr>
            <w:tcW w:w="2430" w:type="pct"/>
            <w:tcBorders>
              <w:top w:val="none" w:sz="0" w:space="0" w:color="auto"/>
              <w:left w:val="none" w:sz="0" w:space="0" w:color="auto"/>
              <w:bottom w:val="none" w:sz="0" w:space="0" w:color="auto"/>
              <w:right w:val="none" w:sz="0" w:space="0" w:color="auto"/>
            </w:tcBorders>
            <w:noWrap/>
            <w:vAlign w:val="center"/>
            <w:hideMark/>
          </w:tcPr>
          <w:p w14:paraId="12F6D491" w14:textId="77777777" w:rsidR="00E808EC" w:rsidRPr="00382871" w:rsidRDefault="00E808EC" w:rsidP="00142AE3">
            <w:pPr>
              <w:keepNext/>
              <w:keepLines/>
              <w:spacing w:before="0"/>
              <w:rPr>
                <w:rFonts w:ascii="Calibri" w:eastAsia="Times New Roman" w:hAnsi="Calibri" w:cs="Calibri"/>
                <w:sz w:val="18"/>
                <w:szCs w:val="18"/>
                <w:lang w:eastAsia="en-AU"/>
              </w:rPr>
            </w:pPr>
          </w:p>
        </w:tc>
        <w:tc>
          <w:tcPr>
            <w:tcW w:w="1217" w:type="pct"/>
            <w:tcBorders>
              <w:top w:val="none" w:sz="0" w:space="0" w:color="auto"/>
              <w:left w:val="none" w:sz="0" w:space="0" w:color="auto"/>
              <w:bottom w:val="none" w:sz="0" w:space="0" w:color="auto"/>
              <w:right w:val="none" w:sz="0" w:space="0" w:color="auto"/>
            </w:tcBorders>
            <w:noWrap/>
            <w:vAlign w:val="center"/>
            <w:hideMark/>
          </w:tcPr>
          <w:p w14:paraId="22458556" w14:textId="4D7293D8"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No. of jobs</w:t>
            </w:r>
          </w:p>
        </w:tc>
        <w:tc>
          <w:tcPr>
            <w:tcW w:w="1353" w:type="pct"/>
            <w:tcBorders>
              <w:top w:val="none" w:sz="0" w:space="0" w:color="auto"/>
              <w:left w:val="none" w:sz="0" w:space="0" w:color="auto"/>
              <w:bottom w:val="none" w:sz="0" w:space="0" w:color="auto"/>
              <w:right w:val="none" w:sz="0" w:space="0" w:color="auto"/>
            </w:tcBorders>
            <w:noWrap/>
            <w:vAlign w:val="center"/>
            <w:hideMark/>
          </w:tcPr>
          <w:p w14:paraId="6018F2BB" w14:textId="41B47DFF"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 of jobs</w:t>
            </w:r>
          </w:p>
        </w:tc>
      </w:tr>
      <w:tr w:rsidR="00E808EC" w:rsidRPr="00382871" w14:paraId="6860E577" w14:textId="77777777" w:rsidTr="00142AE3">
        <w:trPr>
          <w:cnfStyle w:val="000000100000" w:firstRow="0" w:lastRow="0" w:firstColumn="0" w:lastColumn="0" w:oddVBand="0" w:evenVBand="0" w:oddHBand="1" w:evenHBand="0" w:firstRowFirstColumn="0" w:firstRowLastColumn="0" w:lastRowFirstColumn="0" w:lastRowLastColumn="0"/>
          <w:trHeight w:val="300"/>
        </w:trPr>
        <w:tc>
          <w:tcPr>
            <w:tcW w:w="2430" w:type="pct"/>
            <w:noWrap/>
            <w:vAlign w:val="center"/>
            <w:hideMark/>
          </w:tcPr>
          <w:p w14:paraId="792C2244" w14:textId="27EBF2F2"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0 to 10 hours</w:t>
            </w:r>
          </w:p>
        </w:tc>
        <w:tc>
          <w:tcPr>
            <w:tcW w:w="1217" w:type="pct"/>
            <w:noWrap/>
            <w:vAlign w:val="center"/>
            <w:hideMark/>
          </w:tcPr>
          <w:p w14:paraId="2D2B9001" w14:textId="7B57EB48"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w:t>
            </w:r>
            <w:r w:rsidR="008220B1">
              <w:rPr>
                <w:rFonts w:ascii="Calibri" w:hAnsi="Calibri" w:cs="Calibri"/>
                <w:color w:val="000000"/>
                <w:sz w:val="18"/>
                <w:szCs w:val="18"/>
              </w:rPr>
              <w:t>,</w:t>
            </w:r>
            <w:r w:rsidRPr="00382871">
              <w:rPr>
                <w:rFonts w:ascii="Calibri" w:hAnsi="Calibri" w:cs="Calibri"/>
                <w:color w:val="000000"/>
                <w:sz w:val="18"/>
                <w:szCs w:val="18"/>
              </w:rPr>
              <w:t>210</w:t>
            </w:r>
          </w:p>
        </w:tc>
        <w:tc>
          <w:tcPr>
            <w:tcW w:w="1353" w:type="pct"/>
            <w:noWrap/>
            <w:vAlign w:val="center"/>
            <w:hideMark/>
          </w:tcPr>
          <w:p w14:paraId="7B402F3B" w14:textId="5268CDAD"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6.</w:t>
            </w:r>
            <w:r w:rsidR="00E87485">
              <w:rPr>
                <w:rFonts w:ascii="Calibri" w:hAnsi="Calibri" w:cs="Calibri"/>
                <w:color w:val="000000"/>
                <w:sz w:val="18"/>
                <w:szCs w:val="18"/>
              </w:rPr>
              <w:t>3</w:t>
            </w:r>
            <w:r w:rsidRPr="00382871">
              <w:rPr>
                <w:rFonts w:ascii="Calibri" w:hAnsi="Calibri" w:cs="Calibri"/>
                <w:color w:val="000000"/>
                <w:sz w:val="18"/>
                <w:szCs w:val="18"/>
              </w:rPr>
              <w:t>%</w:t>
            </w:r>
          </w:p>
        </w:tc>
      </w:tr>
      <w:tr w:rsidR="00E808EC" w:rsidRPr="00382871" w14:paraId="00FA06B9" w14:textId="77777777" w:rsidTr="00142AE3">
        <w:trPr>
          <w:trHeight w:val="300"/>
        </w:trPr>
        <w:tc>
          <w:tcPr>
            <w:tcW w:w="2430" w:type="pct"/>
            <w:noWrap/>
            <w:vAlign w:val="center"/>
            <w:hideMark/>
          </w:tcPr>
          <w:p w14:paraId="684FE9F5" w14:textId="228BC091"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10 to 20 hours</w:t>
            </w:r>
          </w:p>
        </w:tc>
        <w:tc>
          <w:tcPr>
            <w:tcW w:w="1217" w:type="pct"/>
            <w:noWrap/>
            <w:vAlign w:val="center"/>
            <w:hideMark/>
          </w:tcPr>
          <w:p w14:paraId="5CCF5323" w14:textId="76EA25FC"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w:t>
            </w:r>
            <w:r w:rsidR="008220B1">
              <w:rPr>
                <w:rFonts w:ascii="Calibri" w:hAnsi="Calibri" w:cs="Calibri"/>
                <w:color w:val="000000"/>
                <w:sz w:val="18"/>
                <w:szCs w:val="18"/>
              </w:rPr>
              <w:t>,</w:t>
            </w:r>
            <w:r w:rsidRPr="00382871">
              <w:rPr>
                <w:rFonts w:ascii="Calibri" w:hAnsi="Calibri" w:cs="Calibri"/>
                <w:color w:val="000000"/>
                <w:sz w:val="18"/>
                <w:szCs w:val="18"/>
              </w:rPr>
              <w:t>731</w:t>
            </w:r>
          </w:p>
        </w:tc>
        <w:tc>
          <w:tcPr>
            <w:tcW w:w="1353" w:type="pct"/>
            <w:noWrap/>
            <w:vAlign w:val="center"/>
            <w:hideMark/>
          </w:tcPr>
          <w:p w14:paraId="18B55E94" w14:textId="3EE74442"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8.</w:t>
            </w:r>
            <w:r w:rsidR="00E87485">
              <w:rPr>
                <w:rFonts w:ascii="Calibri" w:hAnsi="Calibri" w:cs="Calibri"/>
                <w:color w:val="000000"/>
                <w:sz w:val="18"/>
                <w:szCs w:val="18"/>
              </w:rPr>
              <w:t>9</w:t>
            </w:r>
            <w:r w:rsidRPr="00382871">
              <w:rPr>
                <w:rFonts w:ascii="Calibri" w:hAnsi="Calibri" w:cs="Calibri"/>
                <w:color w:val="000000"/>
                <w:sz w:val="18"/>
                <w:szCs w:val="18"/>
              </w:rPr>
              <w:t>%</w:t>
            </w:r>
          </w:p>
        </w:tc>
      </w:tr>
      <w:tr w:rsidR="00E808EC" w:rsidRPr="00382871" w14:paraId="2F7182EB" w14:textId="77777777" w:rsidTr="00142AE3">
        <w:trPr>
          <w:cnfStyle w:val="000000100000" w:firstRow="0" w:lastRow="0" w:firstColumn="0" w:lastColumn="0" w:oddVBand="0" w:evenVBand="0" w:oddHBand="1" w:evenHBand="0" w:firstRowFirstColumn="0" w:firstRowLastColumn="0" w:lastRowFirstColumn="0" w:lastRowLastColumn="0"/>
          <w:trHeight w:val="300"/>
        </w:trPr>
        <w:tc>
          <w:tcPr>
            <w:tcW w:w="2430" w:type="pct"/>
            <w:noWrap/>
            <w:vAlign w:val="center"/>
            <w:hideMark/>
          </w:tcPr>
          <w:p w14:paraId="12E0881B" w14:textId="3B03D801"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20 to 30 hours</w:t>
            </w:r>
          </w:p>
        </w:tc>
        <w:tc>
          <w:tcPr>
            <w:tcW w:w="1217" w:type="pct"/>
            <w:noWrap/>
            <w:vAlign w:val="center"/>
            <w:hideMark/>
          </w:tcPr>
          <w:p w14:paraId="4AD21D52" w14:textId="0FC02611"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3</w:t>
            </w:r>
            <w:r w:rsidR="008220B1">
              <w:rPr>
                <w:rFonts w:ascii="Calibri" w:hAnsi="Calibri" w:cs="Calibri"/>
                <w:color w:val="000000"/>
                <w:sz w:val="18"/>
                <w:szCs w:val="18"/>
              </w:rPr>
              <w:t>,</w:t>
            </w:r>
            <w:r w:rsidRPr="00382871">
              <w:rPr>
                <w:rFonts w:ascii="Calibri" w:hAnsi="Calibri" w:cs="Calibri"/>
                <w:color w:val="000000"/>
                <w:sz w:val="18"/>
                <w:szCs w:val="18"/>
              </w:rPr>
              <w:t>452</w:t>
            </w:r>
          </w:p>
        </w:tc>
        <w:tc>
          <w:tcPr>
            <w:tcW w:w="1353" w:type="pct"/>
            <w:noWrap/>
            <w:vAlign w:val="center"/>
            <w:hideMark/>
          </w:tcPr>
          <w:p w14:paraId="79BBA9E4" w14:textId="2F311181"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17.</w:t>
            </w:r>
            <w:r w:rsidR="00E87485">
              <w:rPr>
                <w:rFonts w:ascii="Calibri" w:hAnsi="Calibri" w:cs="Calibri"/>
                <w:color w:val="000000"/>
                <w:sz w:val="18"/>
                <w:szCs w:val="18"/>
              </w:rPr>
              <w:t>8</w:t>
            </w:r>
            <w:r w:rsidRPr="00382871">
              <w:rPr>
                <w:rFonts w:ascii="Calibri" w:hAnsi="Calibri" w:cs="Calibri"/>
                <w:color w:val="000000"/>
                <w:sz w:val="18"/>
                <w:szCs w:val="18"/>
              </w:rPr>
              <w:t>%</w:t>
            </w:r>
          </w:p>
        </w:tc>
      </w:tr>
      <w:tr w:rsidR="00E808EC" w:rsidRPr="00382871" w14:paraId="4A0AE3A8" w14:textId="77777777" w:rsidTr="00142AE3">
        <w:trPr>
          <w:trHeight w:val="300"/>
        </w:trPr>
        <w:tc>
          <w:tcPr>
            <w:tcW w:w="2430" w:type="pct"/>
            <w:noWrap/>
            <w:vAlign w:val="center"/>
            <w:hideMark/>
          </w:tcPr>
          <w:p w14:paraId="30B84B36" w14:textId="2FB7C6AB"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30 to 40 hours</w:t>
            </w:r>
          </w:p>
        </w:tc>
        <w:tc>
          <w:tcPr>
            <w:tcW w:w="1217" w:type="pct"/>
            <w:noWrap/>
            <w:vAlign w:val="center"/>
            <w:hideMark/>
          </w:tcPr>
          <w:p w14:paraId="292A284A" w14:textId="598114D8"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9</w:t>
            </w:r>
            <w:r w:rsidR="008220B1">
              <w:rPr>
                <w:rFonts w:ascii="Calibri" w:hAnsi="Calibri" w:cs="Calibri"/>
                <w:color w:val="000000"/>
                <w:sz w:val="18"/>
                <w:szCs w:val="18"/>
              </w:rPr>
              <w:t>,</w:t>
            </w:r>
            <w:r w:rsidRPr="00382871">
              <w:rPr>
                <w:rFonts w:ascii="Calibri" w:hAnsi="Calibri" w:cs="Calibri"/>
                <w:color w:val="000000"/>
                <w:sz w:val="18"/>
                <w:szCs w:val="18"/>
              </w:rPr>
              <w:t>053</w:t>
            </w:r>
          </w:p>
        </w:tc>
        <w:tc>
          <w:tcPr>
            <w:tcW w:w="1353" w:type="pct"/>
            <w:noWrap/>
            <w:vAlign w:val="center"/>
            <w:hideMark/>
          </w:tcPr>
          <w:p w14:paraId="51587846" w14:textId="31418B44"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46.</w:t>
            </w:r>
            <w:r w:rsidR="00E87485">
              <w:rPr>
                <w:rFonts w:ascii="Calibri" w:hAnsi="Calibri" w:cs="Calibri"/>
                <w:color w:val="000000"/>
                <w:sz w:val="18"/>
                <w:szCs w:val="18"/>
              </w:rPr>
              <w:t>8</w:t>
            </w:r>
            <w:r w:rsidRPr="00382871">
              <w:rPr>
                <w:rFonts w:ascii="Calibri" w:hAnsi="Calibri" w:cs="Calibri"/>
                <w:color w:val="000000"/>
                <w:sz w:val="18"/>
                <w:szCs w:val="18"/>
              </w:rPr>
              <w:t>%</w:t>
            </w:r>
          </w:p>
        </w:tc>
      </w:tr>
      <w:tr w:rsidR="00E808EC" w:rsidRPr="00382871" w14:paraId="794402D5" w14:textId="77777777" w:rsidTr="00142AE3">
        <w:trPr>
          <w:cnfStyle w:val="000000100000" w:firstRow="0" w:lastRow="0" w:firstColumn="0" w:lastColumn="0" w:oddVBand="0" w:evenVBand="0" w:oddHBand="1" w:evenHBand="0" w:firstRowFirstColumn="0" w:firstRowLastColumn="0" w:lastRowFirstColumn="0" w:lastRowLastColumn="0"/>
          <w:trHeight w:val="300"/>
        </w:trPr>
        <w:tc>
          <w:tcPr>
            <w:tcW w:w="2430" w:type="pct"/>
            <w:noWrap/>
            <w:vAlign w:val="center"/>
            <w:hideMark/>
          </w:tcPr>
          <w:p w14:paraId="1ECC6FC9" w14:textId="0CC2583B"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40 to 50 hours</w:t>
            </w:r>
          </w:p>
        </w:tc>
        <w:tc>
          <w:tcPr>
            <w:tcW w:w="1217" w:type="pct"/>
            <w:noWrap/>
            <w:vAlign w:val="center"/>
            <w:hideMark/>
          </w:tcPr>
          <w:p w14:paraId="23E93E00" w14:textId="480984ED"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2</w:t>
            </w:r>
            <w:r w:rsidR="008220B1">
              <w:rPr>
                <w:rFonts w:ascii="Calibri" w:hAnsi="Calibri" w:cs="Calibri"/>
                <w:color w:val="000000"/>
                <w:sz w:val="18"/>
                <w:szCs w:val="18"/>
              </w:rPr>
              <w:t>,</w:t>
            </w:r>
            <w:r w:rsidRPr="00382871">
              <w:rPr>
                <w:rFonts w:ascii="Calibri" w:hAnsi="Calibri" w:cs="Calibri"/>
                <w:color w:val="000000"/>
                <w:sz w:val="18"/>
                <w:szCs w:val="18"/>
              </w:rPr>
              <w:t>415</w:t>
            </w:r>
          </w:p>
        </w:tc>
        <w:tc>
          <w:tcPr>
            <w:tcW w:w="1353" w:type="pct"/>
            <w:noWrap/>
            <w:vAlign w:val="center"/>
            <w:hideMark/>
          </w:tcPr>
          <w:p w14:paraId="45FC4085" w14:textId="1EE6FB26"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12.</w:t>
            </w:r>
            <w:r w:rsidR="00E87485">
              <w:rPr>
                <w:rFonts w:ascii="Calibri" w:hAnsi="Calibri" w:cs="Calibri"/>
                <w:color w:val="000000"/>
                <w:sz w:val="18"/>
                <w:szCs w:val="18"/>
              </w:rPr>
              <w:t>5</w:t>
            </w:r>
            <w:r w:rsidRPr="00382871">
              <w:rPr>
                <w:rFonts w:ascii="Calibri" w:hAnsi="Calibri" w:cs="Calibri"/>
                <w:color w:val="000000"/>
                <w:sz w:val="18"/>
                <w:szCs w:val="18"/>
              </w:rPr>
              <w:t>%</w:t>
            </w:r>
          </w:p>
        </w:tc>
      </w:tr>
      <w:tr w:rsidR="00E808EC" w:rsidRPr="00382871" w14:paraId="70D1BE0B" w14:textId="77777777" w:rsidTr="00142AE3">
        <w:trPr>
          <w:trHeight w:val="300"/>
        </w:trPr>
        <w:tc>
          <w:tcPr>
            <w:tcW w:w="2430" w:type="pct"/>
            <w:noWrap/>
            <w:vAlign w:val="center"/>
            <w:hideMark/>
          </w:tcPr>
          <w:p w14:paraId="412DA163" w14:textId="4ED6D63E"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50 to 60 hours</w:t>
            </w:r>
          </w:p>
        </w:tc>
        <w:tc>
          <w:tcPr>
            <w:tcW w:w="1217" w:type="pct"/>
            <w:noWrap/>
            <w:vAlign w:val="center"/>
            <w:hideMark/>
          </w:tcPr>
          <w:p w14:paraId="0E951E1F" w14:textId="588E1E0B"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929</w:t>
            </w:r>
          </w:p>
        </w:tc>
        <w:tc>
          <w:tcPr>
            <w:tcW w:w="1353" w:type="pct"/>
            <w:noWrap/>
            <w:vAlign w:val="center"/>
            <w:hideMark/>
          </w:tcPr>
          <w:p w14:paraId="09B145DC" w14:textId="40454817"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4.</w:t>
            </w:r>
            <w:r w:rsidR="00E87485">
              <w:rPr>
                <w:rFonts w:ascii="Calibri" w:hAnsi="Calibri" w:cs="Calibri"/>
                <w:color w:val="000000"/>
                <w:sz w:val="18"/>
                <w:szCs w:val="18"/>
              </w:rPr>
              <w:t>8</w:t>
            </w:r>
            <w:r w:rsidRPr="00382871">
              <w:rPr>
                <w:rFonts w:ascii="Calibri" w:hAnsi="Calibri" w:cs="Calibri"/>
                <w:color w:val="000000"/>
                <w:sz w:val="18"/>
                <w:szCs w:val="18"/>
              </w:rPr>
              <w:t>%</w:t>
            </w:r>
          </w:p>
        </w:tc>
      </w:tr>
      <w:tr w:rsidR="00E808EC" w:rsidRPr="00382871" w14:paraId="7FEEAA16" w14:textId="77777777" w:rsidTr="00142AE3">
        <w:trPr>
          <w:cnfStyle w:val="000000100000" w:firstRow="0" w:lastRow="0" w:firstColumn="0" w:lastColumn="0" w:oddVBand="0" w:evenVBand="0" w:oddHBand="1" w:evenHBand="0" w:firstRowFirstColumn="0" w:firstRowLastColumn="0" w:lastRowFirstColumn="0" w:lastRowLastColumn="0"/>
          <w:trHeight w:val="300"/>
        </w:trPr>
        <w:tc>
          <w:tcPr>
            <w:tcW w:w="2430" w:type="pct"/>
            <w:noWrap/>
            <w:vAlign w:val="center"/>
            <w:hideMark/>
          </w:tcPr>
          <w:p w14:paraId="3974A3E2" w14:textId="6A29846F" w:rsidR="00E808EC" w:rsidRPr="00382871" w:rsidRDefault="0017088D" w:rsidP="00142AE3">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00E808EC" w:rsidRPr="00382871">
              <w:rPr>
                <w:rFonts w:ascii="Calibri" w:hAnsi="Calibri" w:cs="Calibri"/>
                <w:color w:val="000000"/>
                <w:sz w:val="18"/>
                <w:szCs w:val="18"/>
              </w:rPr>
              <w:t>60 hours</w:t>
            </w:r>
          </w:p>
        </w:tc>
        <w:tc>
          <w:tcPr>
            <w:tcW w:w="1217" w:type="pct"/>
            <w:noWrap/>
            <w:vAlign w:val="center"/>
            <w:hideMark/>
          </w:tcPr>
          <w:p w14:paraId="4ABFE08E" w14:textId="0696B896"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553</w:t>
            </w:r>
          </w:p>
        </w:tc>
        <w:tc>
          <w:tcPr>
            <w:tcW w:w="1353" w:type="pct"/>
            <w:noWrap/>
            <w:vAlign w:val="center"/>
            <w:hideMark/>
          </w:tcPr>
          <w:p w14:paraId="3E167E0E" w14:textId="3150A892" w:rsidR="00E808EC" w:rsidRPr="00E87485" w:rsidRDefault="00E808EC" w:rsidP="00142AE3">
            <w:pPr>
              <w:keepNext/>
              <w:keepLines/>
              <w:spacing w:before="0"/>
              <w:rPr>
                <w:rFonts w:ascii="Calibri" w:hAnsi="Calibri" w:cs="Calibri"/>
                <w:color w:val="000000"/>
                <w:sz w:val="18"/>
                <w:szCs w:val="18"/>
              </w:rPr>
            </w:pPr>
            <w:r w:rsidRPr="00382871">
              <w:rPr>
                <w:rFonts w:ascii="Calibri" w:hAnsi="Calibri" w:cs="Calibri"/>
                <w:color w:val="000000"/>
                <w:sz w:val="18"/>
                <w:szCs w:val="18"/>
              </w:rPr>
              <w:t>2.</w:t>
            </w:r>
            <w:r w:rsidR="00E87485">
              <w:rPr>
                <w:rFonts w:ascii="Calibri" w:hAnsi="Calibri" w:cs="Calibri"/>
                <w:color w:val="000000"/>
                <w:sz w:val="18"/>
                <w:szCs w:val="18"/>
              </w:rPr>
              <w:t>9</w:t>
            </w:r>
            <w:r w:rsidRPr="00382871">
              <w:rPr>
                <w:rFonts w:ascii="Calibri" w:hAnsi="Calibri" w:cs="Calibri"/>
                <w:color w:val="000000"/>
                <w:sz w:val="18"/>
                <w:szCs w:val="18"/>
              </w:rPr>
              <w:t>%</w:t>
            </w:r>
          </w:p>
        </w:tc>
      </w:tr>
      <w:tr w:rsidR="00E808EC" w:rsidRPr="00382871" w14:paraId="67A85387" w14:textId="77777777" w:rsidTr="00142AE3">
        <w:trPr>
          <w:cnfStyle w:val="010000000000" w:firstRow="0" w:lastRow="1" w:firstColumn="0" w:lastColumn="0" w:oddVBand="0" w:evenVBand="0" w:oddHBand="0" w:evenHBand="0" w:firstRowFirstColumn="0" w:firstRowLastColumn="0" w:lastRowFirstColumn="0" w:lastRowLastColumn="0"/>
          <w:trHeight w:val="300"/>
        </w:trPr>
        <w:tc>
          <w:tcPr>
            <w:tcW w:w="2430" w:type="pct"/>
            <w:tcBorders>
              <w:top w:val="none" w:sz="0" w:space="0" w:color="auto"/>
            </w:tcBorders>
            <w:noWrap/>
            <w:vAlign w:val="center"/>
            <w:hideMark/>
          </w:tcPr>
          <w:p w14:paraId="7F9BED3C" w14:textId="48FD69BD"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Total</w:t>
            </w:r>
          </w:p>
        </w:tc>
        <w:tc>
          <w:tcPr>
            <w:tcW w:w="1217" w:type="pct"/>
            <w:tcBorders>
              <w:top w:val="none" w:sz="0" w:space="0" w:color="auto"/>
            </w:tcBorders>
            <w:noWrap/>
            <w:vAlign w:val="center"/>
            <w:hideMark/>
          </w:tcPr>
          <w:p w14:paraId="1BE9053E" w14:textId="0B9557DA"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19</w:t>
            </w:r>
            <w:r w:rsidR="008220B1">
              <w:rPr>
                <w:rFonts w:ascii="Calibri" w:hAnsi="Calibri" w:cs="Calibri"/>
                <w:color w:val="000000"/>
                <w:sz w:val="18"/>
                <w:szCs w:val="18"/>
              </w:rPr>
              <w:t>,343</w:t>
            </w:r>
          </w:p>
        </w:tc>
        <w:tc>
          <w:tcPr>
            <w:tcW w:w="1353" w:type="pct"/>
            <w:tcBorders>
              <w:top w:val="none" w:sz="0" w:space="0" w:color="auto"/>
            </w:tcBorders>
            <w:noWrap/>
            <w:vAlign w:val="center"/>
            <w:hideMark/>
          </w:tcPr>
          <w:p w14:paraId="557AEB79" w14:textId="4D2B4967" w:rsidR="00E808EC" w:rsidRPr="00382871" w:rsidRDefault="00E808EC" w:rsidP="00142AE3">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100.0%</w:t>
            </w:r>
          </w:p>
        </w:tc>
      </w:tr>
    </w:tbl>
    <w:p w14:paraId="12F63136" w14:textId="633819F6" w:rsidR="00F56685" w:rsidRDefault="00F56685" w:rsidP="00F56685">
      <w:pPr>
        <w:pStyle w:val="Tablenote"/>
      </w:pPr>
      <w:r w:rsidRPr="00582224">
        <w:t>Note</w:t>
      </w:r>
      <w:r>
        <w:t>, d</w:t>
      </w:r>
      <w:r w:rsidRPr="00582224">
        <w:t xml:space="preserve">ata was provided </w:t>
      </w:r>
      <w:r>
        <w:t>for a total of 19,</w:t>
      </w:r>
      <w:r w:rsidR="00CF31C7">
        <w:t>343</w:t>
      </w:r>
      <w:r>
        <w:t xml:space="preserve"> jobs</w:t>
      </w:r>
      <w:r w:rsidRPr="00582224">
        <w:t xml:space="preserve">. </w:t>
      </w:r>
      <w:r w:rsidR="00CF31C7">
        <w:t>Missing data not included.</w:t>
      </w:r>
      <w:r w:rsidRPr="00582224">
        <w:t xml:space="preserve"> </w:t>
      </w:r>
    </w:p>
    <w:p w14:paraId="7F1DFD6C" w14:textId="2E629A1B" w:rsidR="00356B43" w:rsidRDefault="00356B43" w:rsidP="00356B43">
      <w:pPr>
        <w:pStyle w:val="Tablenote"/>
      </w:pPr>
      <w:bookmarkStart w:id="93" w:name="_Ref64035973"/>
      <w:r w:rsidRPr="009D07D8">
        <w:t xml:space="preserve">Source: </w:t>
      </w:r>
      <w:r w:rsidR="00533FC6">
        <w:t>WHM</w:t>
      </w:r>
      <w:r w:rsidRPr="009D07D8">
        <w:t xml:space="preserve"> Survey, 2020.</w:t>
      </w:r>
    </w:p>
    <w:p w14:paraId="00F3685F" w14:textId="637C42E0" w:rsidR="00F443FE" w:rsidRPr="00F443FE" w:rsidRDefault="00F443FE" w:rsidP="00F443FE">
      <w:pPr>
        <w:pStyle w:val="Caption"/>
      </w:pPr>
      <w:bookmarkStart w:id="94" w:name="_Ref72419076"/>
      <w:bookmarkStart w:id="95" w:name="_Toc75878528"/>
      <w:r w:rsidRPr="00F443FE">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9</w:t>
      </w:r>
      <w:r w:rsidR="008949B3">
        <w:rPr>
          <w:noProof/>
        </w:rPr>
        <w:fldChar w:fldCharType="end"/>
      </w:r>
      <w:bookmarkEnd w:id="93"/>
      <w:bookmarkEnd w:id="94"/>
      <w:r w:rsidRPr="00F443FE">
        <w:t>: Hours</w:t>
      </w:r>
      <w:r w:rsidR="00261D73">
        <w:t xml:space="preserve"> worked</w:t>
      </w:r>
      <w:r w:rsidRPr="00F443FE">
        <w:t xml:space="preserve"> per week</w:t>
      </w:r>
      <w:r w:rsidR="001752A0">
        <w:t>,</w:t>
      </w:r>
      <w:r w:rsidRPr="00F443FE">
        <w:t xml:space="preserve"> by state</w:t>
      </w:r>
      <w:bookmarkEnd w:id="95"/>
    </w:p>
    <w:p w14:paraId="30873682" w14:textId="717A8570" w:rsidR="002A67CE" w:rsidRPr="002A67CE" w:rsidRDefault="00190BA7" w:rsidP="00F443FE">
      <w:r>
        <w:rPr>
          <w:noProof/>
          <w:lang w:eastAsia="en-AU"/>
        </w:rPr>
        <w:drawing>
          <wp:inline distT="0" distB="0" distL="0" distR="0" wp14:anchorId="2C526144" wp14:editId="11AB476E">
            <wp:extent cx="5676900" cy="2938463"/>
            <wp:effectExtent l="0" t="0" r="0" b="14605"/>
            <wp:docPr id="25" name="Chart 25" descr="Figure 5-9 Chart showing hours worked per week, by state.">
              <a:extLst xmlns:a="http://schemas.openxmlformats.org/drawingml/2006/main">
                <a:ext uri="{FF2B5EF4-FFF2-40B4-BE49-F238E27FC236}">
                  <a16:creationId xmlns:a16="http://schemas.microsoft.com/office/drawing/2014/main" id="{7FBF6363-5269-427C-BEEA-63F2162F3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20210F" w14:textId="3DF6E4D0" w:rsidR="002A67CE" w:rsidRPr="00582224" w:rsidRDefault="002A67CE" w:rsidP="002A67CE">
      <w:pPr>
        <w:pStyle w:val="Tablenote"/>
        <w:keepNext/>
        <w:keepLines/>
      </w:pPr>
      <w:r w:rsidRPr="00582224">
        <w:t>Note</w:t>
      </w:r>
      <w:r w:rsidR="007E13B9">
        <w:t>, d</w:t>
      </w:r>
      <w:r w:rsidRPr="00582224">
        <w:t xml:space="preserve">ata was provided </w:t>
      </w:r>
      <w:r>
        <w:t>for a total of 19,</w:t>
      </w:r>
      <w:r w:rsidR="00F210F2">
        <w:t>343</w:t>
      </w:r>
      <w:r>
        <w:t xml:space="preserve"> jobs</w:t>
      </w:r>
      <w:r w:rsidRPr="00582224">
        <w:t xml:space="preserve">. </w:t>
      </w:r>
      <w:r w:rsidR="007C2160">
        <w:t>Missing data not included.</w:t>
      </w:r>
      <w:r w:rsidRPr="00582224">
        <w:t xml:space="preserve"> Labels are not shown when less than 5%.</w:t>
      </w:r>
    </w:p>
    <w:p w14:paraId="4D9D05C3" w14:textId="0C1EC608" w:rsidR="00356B43" w:rsidRDefault="00356B43" w:rsidP="00356B43">
      <w:pPr>
        <w:pStyle w:val="Tablenote"/>
      </w:pPr>
      <w:r w:rsidRPr="009D07D8">
        <w:t xml:space="preserve">Source: </w:t>
      </w:r>
      <w:r w:rsidR="00533FC6">
        <w:t>WHM</w:t>
      </w:r>
      <w:r w:rsidRPr="009D07D8">
        <w:t xml:space="preserve"> Survey, 2020.</w:t>
      </w:r>
    </w:p>
    <w:p w14:paraId="1662B548" w14:textId="5FB1581D" w:rsidR="001D18C9" w:rsidRPr="000505AD" w:rsidRDefault="000774A4" w:rsidP="002A67CE">
      <w:pPr>
        <w:rPr>
          <w:highlight w:val="yellow"/>
        </w:rPr>
      </w:pPr>
      <w:r w:rsidRPr="000774A4">
        <w:t>Males</w:t>
      </w:r>
      <w:r>
        <w:t xml:space="preserve"> (10.</w:t>
      </w:r>
      <w:r w:rsidR="00490799">
        <w:t>8</w:t>
      </w:r>
      <w:r>
        <w:t>%) were twice as likely as females (5.</w:t>
      </w:r>
      <w:r w:rsidR="00490799">
        <w:t>7</w:t>
      </w:r>
      <w:r>
        <w:t xml:space="preserve">%) to work more than 50 hours per week (see </w:t>
      </w:r>
      <w:r>
        <w:fldChar w:fldCharType="begin"/>
      </w:r>
      <w:r>
        <w:instrText xml:space="preserve"> REF _Ref64036547 \h </w:instrText>
      </w:r>
      <w:r>
        <w:fldChar w:fldCharType="separate"/>
      </w:r>
      <w:r w:rsidR="00F22012" w:rsidRPr="0095195A">
        <w:t xml:space="preserve">Figure </w:t>
      </w:r>
      <w:r w:rsidR="00F22012">
        <w:rPr>
          <w:noProof/>
        </w:rPr>
        <w:t>5</w:t>
      </w:r>
      <w:r w:rsidR="00F22012">
        <w:noBreakHyphen/>
      </w:r>
      <w:r w:rsidR="00F22012">
        <w:rPr>
          <w:noProof/>
        </w:rPr>
        <w:t>10</w:t>
      </w:r>
      <w:r>
        <w:fldChar w:fldCharType="end"/>
      </w:r>
      <w:r>
        <w:t>).</w:t>
      </w:r>
      <w:r w:rsidR="00B97AD5">
        <w:t xml:space="preserve"> Jobs held by males (14.</w:t>
      </w:r>
      <w:r w:rsidR="008B4ED5">
        <w:t>9</w:t>
      </w:r>
      <w:r w:rsidR="00B97AD5">
        <w:t>%) were also more likely than those held by females (10.</w:t>
      </w:r>
      <w:r w:rsidR="008B4ED5">
        <w:t>9</w:t>
      </w:r>
      <w:r w:rsidR="00B97AD5">
        <w:t xml:space="preserve">%) to require </w:t>
      </w:r>
      <w:r w:rsidR="00656FCC">
        <w:t>between</w:t>
      </w:r>
      <w:r w:rsidR="00B97AD5">
        <w:t xml:space="preserve"> 40 </w:t>
      </w:r>
      <w:r w:rsidR="00B97AD5" w:rsidRPr="0095195A">
        <w:t>and 50 hours.</w:t>
      </w:r>
      <w:r w:rsidR="001D18C9" w:rsidRPr="0095195A">
        <w:t xml:space="preserve"> </w:t>
      </w:r>
      <w:r w:rsidR="002A67CE" w:rsidRPr="0095195A">
        <w:t>This is reflected in</w:t>
      </w:r>
      <w:r w:rsidR="0095195A" w:rsidRPr="0095195A">
        <w:t xml:space="preserve"> jobs reported by</w:t>
      </w:r>
      <w:r w:rsidR="002A67CE" w:rsidRPr="0095195A">
        <w:t xml:space="preserve"> males </w:t>
      </w:r>
      <w:r w:rsidR="0095195A" w:rsidRPr="0095195A">
        <w:t>requiring</w:t>
      </w:r>
      <w:r w:rsidR="001D18C9" w:rsidRPr="0095195A">
        <w:t xml:space="preserve"> an average of 38.1 hours per week</w:t>
      </w:r>
      <w:r w:rsidR="0095195A" w:rsidRPr="0095195A">
        <w:t xml:space="preserve"> and jobs for females being 34.3 hours per week.</w:t>
      </w:r>
      <w:r w:rsidR="000505AD" w:rsidRPr="000505AD">
        <w:t xml:space="preserve"> </w:t>
      </w:r>
      <w:r w:rsidR="000505AD">
        <w:t>Jobs for t</w:t>
      </w:r>
      <w:r w:rsidR="000505AD" w:rsidRPr="003E7278">
        <w:t xml:space="preserve">he youngest cohort of WHM workers </w:t>
      </w:r>
      <w:r w:rsidR="000505AD">
        <w:t xml:space="preserve">involved </w:t>
      </w:r>
      <w:r w:rsidR="00B54EE7">
        <w:t>the fewest</w:t>
      </w:r>
      <w:r w:rsidR="000505AD">
        <w:t xml:space="preserve"> work hours per week as 43.0% of WHMs aged 18-19 years worked 30 hours or less, compared with a third of the older WHM cohorts (see </w:t>
      </w:r>
      <w:r w:rsidR="002A3DD9">
        <w:fldChar w:fldCharType="begin"/>
      </w:r>
      <w:r w:rsidR="002A3DD9">
        <w:instrText xml:space="preserve"> REF _Ref72497270 \h </w:instrText>
      </w:r>
      <w:r w:rsidR="002A3DD9">
        <w:fldChar w:fldCharType="separate"/>
      </w:r>
      <w:r w:rsidR="00F22012" w:rsidRPr="00035289">
        <w:t xml:space="preserve">Figure </w:t>
      </w:r>
      <w:r w:rsidR="00F22012">
        <w:rPr>
          <w:noProof/>
        </w:rPr>
        <w:t>5</w:t>
      </w:r>
      <w:r w:rsidR="00F22012">
        <w:noBreakHyphen/>
      </w:r>
      <w:r w:rsidR="00F22012">
        <w:rPr>
          <w:noProof/>
        </w:rPr>
        <w:t>11</w:t>
      </w:r>
      <w:r w:rsidR="002A3DD9">
        <w:fldChar w:fldCharType="end"/>
      </w:r>
      <w:r w:rsidR="000505AD">
        <w:t>).</w:t>
      </w:r>
    </w:p>
    <w:p w14:paraId="2F27B168" w14:textId="195EF76C" w:rsidR="002A67CE" w:rsidRPr="007C5A6B" w:rsidRDefault="002A67CE" w:rsidP="002A67CE">
      <w:pPr>
        <w:pStyle w:val="Caption"/>
      </w:pPr>
      <w:bookmarkStart w:id="96" w:name="_Ref64036547"/>
      <w:bookmarkStart w:id="97" w:name="_Toc75878529"/>
      <w:r w:rsidRPr="0095195A">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10</w:t>
      </w:r>
      <w:r w:rsidR="008949B3">
        <w:rPr>
          <w:noProof/>
        </w:rPr>
        <w:fldChar w:fldCharType="end"/>
      </w:r>
      <w:bookmarkEnd w:id="96"/>
      <w:r w:rsidRPr="0095195A">
        <w:t>: Hour</w:t>
      </w:r>
      <w:r w:rsidR="007C5A6B" w:rsidRPr="0095195A">
        <w:t>s</w:t>
      </w:r>
      <w:r w:rsidR="006C088B" w:rsidRPr="0095195A">
        <w:t xml:space="preserve"> worked</w:t>
      </w:r>
      <w:r w:rsidR="007C5A6B" w:rsidRPr="0095195A">
        <w:t xml:space="preserve"> per week</w:t>
      </w:r>
      <w:r w:rsidR="00352298" w:rsidRPr="0095195A">
        <w:t>,</w:t>
      </w:r>
      <w:r w:rsidRPr="0095195A">
        <w:t xml:space="preserve"> </w:t>
      </w:r>
      <w:r w:rsidR="006C088B" w:rsidRPr="0095195A">
        <w:t>by</w:t>
      </w:r>
      <w:r w:rsidRPr="0095195A">
        <w:t xml:space="preserve"> </w:t>
      </w:r>
      <w:r w:rsidR="006B64F0">
        <w:t>sex</w:t>
      </w:r>
      <w:bookmarkEnd w:id="97"/>
    </w:p>
    <w:p w14:paraId="282A78B1" w14:textId="2C51133E" w:rsidR="007C5A6B" w:rsidRPr="007C5A6B" w:rsidRDefault="00CF31C7" w:rsidP="00C05586">
      <w:pPr>
        <w:keepNext/>
        <w:keepLines/>
      </w:pPr>
      <w:r>
        <w:rPr>
          <w:noProof/>
          <w:lang w:eastAsia="en-AU"/>
        </w:rPr>
        <w:drawing>
          <wp:inline distT="0" distB="0" distL="0" distR="0" wp14:anchorId="72CEF291" wp14:editId="7022DB49">
            <wp:extent cx="5731510" cy="1733550"/>
            <wp:effectExtent l="0" t="0" r="2540" b="0"/>
            <wp:docPr id="26" name="Chart 26" descr="Figure 5-10 Chart showing hours worked per week, by sex.">
              <a:extLst xmlns:a="http://schemas.openxmlformats.org/drawingml/2006/main">
                <a:ext uri="{FF2B5EF4-FFF2-40B4-BE49-F238E27FC236}">
                  <a16:creationId xmlns:a16="http://schemas.microsoft.com/office/drawing/2014/main" id="{43B5A1BF-8800-4DC4-A91B-6B255BC8E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CDAE94" w14:textId="51C2DFF2" w:rsidR="002A67CE" w:rsidRPr="007C5A6B" w:rsidRDefault="002A67CE" w:rsidP="00C05586">
      <w:pPr>
        <w:pStyle w:val="Tablenote"/>
        <w:keepNext/>
        <w:keepLines/>
      </w:pPr>
      <w:r w:rsidRPr="007C5A6B">
        <w:t>Note</w:t>
      </w:r>
      <w:r w:rsidR="007C5A6B" w:rsidRPr="007C5A6B">
        <w:t>,</w:t>
      </w:r>
      <w:r w:rsidRPr="007C5A6B">
        <w:t xml:space="preserve"> </w:t>
      </w:r>
      <w:r w:rsidR="007C5A6B" w:rsidRPr="007C5A6B">
        <w:t>m</w:t>
      </w:r>
      <w:r w:rsidRPr="007C5A6B">
        <w:t>ales reported 7,</w:t>
      </w:r>
      <w:r w:rsidR="00EF49D9">
        <w:t>489</w:t>
      </w:r>
      <w:r w:rsidRPr="007C5A6B">
        <w:t xml:space="preserve"> jobs; females reported 1</w:t>
      </w:r>
      <w:r w:rsidR="00EF49D9">
        <w:t>1</w:t>
      </w:r>
      <w:r w:rsidRPr="007C5A6B">
        <w:t>,</w:t>
      </w:r>
      <w:r w:rsidR="00EF49D9">
        <w:t>854</w:t>
      </w:r>
      <w:r w:rsidRPr="007C5A6B">
        <w:t xml:space="preserve"> jobs. </w:t>
      </w:r>
      <w:r w:rsidR="00EF49D9">
        <w:t>Missing data not included.</w:t>
      </w:r>
      <w:r w:rsidRPr="007C5A6B">
        <w:t xml:space="preserve"> Labels are not shown when less than 5%.</w:t>
      </w:r>
    </w:p>
    <w:p w14:paraId="17A20C11" w14:textId="6516ADB9" w:rsidR="00356B43" w:rsidRDefault="00356B43" w:rsidP="00356B43">
      <w:pPr>
        <w:pStyle w:val="Tablenote"/>
      </w:pPr>
      <w:bookmarkStart w:id="98" w:name="_Ref64276142"/>
      <w:r w:rsidRPr="009D07D8">
        <w:t xml:space="preserve">Source: </w:t>
      </w:r>
      <w:r w:rsidR="00533FC6">
        <w:t>WHM</w:t>
      </w:r>
      <w:r w:rsidRPr="009D07D8">
        <w:t xml:space="preserve"> Survey, 2020.</w:t>
      </w:r>
    </w:p>
    <w:p w14:paraId="1C8259D9" w14:textId="112E9822" w:rsidR="002A67CE" w:rsidRPr="00035289" w:rsidRDefault="002A67CE" w:rsidP="002A67CE">
      <w:pPr>
        <w:pStyle w:val="Caption"/>
      </w:pPr>
      <w:bookmarkStart w:id="99" w:name="_Ref72497270"/>
      <w:bookmarkStart w:id="100" w:name="_Toc75878530"/>
      <w:r w:rsidRPr="00035289">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11</w:t>
      </w:r>
      <w:r w:rsidR="008949B3">
        <w:rPr>
          <w:noProof/>
        </w:rPr>
        <w:fldChar w:fldCharType="end"/>
      </w:r>
      <w:bookmarkEnd w:id="98"/>
      <w:bookmarkEnd w:id="99"/>
      <w:r w:rsidRPr="00035289">
        <w:t>: Hour</w:t>
      </w:r>
      <w:r w:rsidR="006C088B" w:rsidRPr="00035289">
        <w:t>s worked per week</w:t>
      </w:r>
      <w:r w:rsidR="00352298">
        <w:t>,</w:t>
      </w:r>
      <w:r w:rsidRPr="00035289">
        <w:t xml:space="preserve"> by age group</w:t>
      </w:r>
      <w:bookmarkEnd w:id="100"/>
    </w:p>
    <w:p w14:paraId="6E60D3CB" w14:textId="0F5E67C8" w:rsidR="0098190D" w:rsidRPr="00035289" w:rsidRDefault="009F5C35" w:rsidP="00C05586">
      <w:pPr>
        <w:keepNext/>
        <w:keepLines/>
      </w:pPr>
      <w:r>
        <w:rPr>
          <w:noProof/>
          <w:lang w:eastAsia="en-AU"/>
        </w:rPr>
        <w:drawing>
          <wp:inline distT="0" distB="0" distL="0" distR="0" wp14:anchorId="33C00D51" wp14:editId="5D210786">
            <wp:extent cx="5731510" cy="2333625"/>
            <wp:effectExtent l="0" t="0" r="2540" b="9525"/>
            <wp:docPr id="27" name="Chart 27" descr="Figure 5-11 Chart showing hours worked per week, by age group.">
              <a:extLst xmlns:a="http://schemas.openxmlformats.org/drawingml/2006/main">
                <a:ext uri="{FF2B5EF4-FFF2-40B4-BE49-F238E27FC236}">
                  <a16:creationId xmlns:a16="http://schemas.microsoft.com/office/drawing/2014/main" id="{EFC6B252-D01A-4338-A26B-C132D1537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E6C5A7" w14:textId="42E91B97" w:rsidR="002A67CE" w:rsidRPr="00035289" w:rsidRDefault="002A67CE" w:rsidP="00C05586">
      <w:pPr>
        <w:pStyle w:val="Tablenote"/>
        <w:keepNext/>
        <w:keepLines/>
      </w:pPr>
      <w:r w:rsidRPr="00035289">
        <w:t>Note</w:t>
      </w:r>
      <w:r w:rsidR="00854263">
        <w:t xml:space="preserve">, </w:t>
      </w:r>
      <w:r w:rsidRPr="00035289">
        <w:t xml:space="preserve">Age 18-19 years reported 1,132 jobs; Age 20-24 reported </w:t>
      </w:r>
      <w:r w:rsidR="00035289" w:rsidRPr="00035289">
        <w:t>6</w:t>
      </w:r>
      <w:r w:rsidRPr="00035289">
        <w:t>,014 jobs; Age 25-30 reported 10,418 jobs; Age 31+ reported 1,646 jobs. Labels are not shown when less than 5%.</w:t>
      </w:r>
    </w:p>
    <w:p w14:paraId="57E76A6A" w14:textId="4AEBD2A8" w:rsidR="00356B43" w:rsidRPr="0075620D" w:rsidRDefault="00356B43" w:rsidP="00356B43">
      <w:pPr>
        <w:pStyle w:val="Tablenote"/>
        <w:rPr>
          <w:rFonts w:ascii="Calibri" w:eastAsia="Times New Roman" w:hAnsi="Calibri" w:cs="Calibri"/>
          <w:b/>
          <w:bCs/>
          <w:noProof w:val="0"/>
          <w:color w:val="FFFFFF"/>
          <w:sz w:val="20"/>
          <w:szCs w:val="20"/>
          <w:lang w:eastAsia="en-AU"/>
        </w:rPr>
      </w:pPr>
      <w:r w:rsidRPr="009D07D8">
        <w:t xml:space="preserve">Source: </w:t>
      </w:r>
      <w:r w:rsidR="00533FC6">
        <w:t>WHM</w:t>
      </w:r>
      <w:r w:rsidRPr="009D07D8">
        <w:t xml:space="preserve"> Survey, 2020.</w:t>
      </w:r>
    </w:p>
    <w:p w14:paraId="2D8BDB35" w14:textId="32785CCC" w:rsidR="00E14B98" w:rsidRDefault="002A67CE" w:rsidP="002A67CE">
      <w:pPr>
        <w:rPr>
          <w:highlight w:val="yellow"/>
        </w:rPr>
      </w:pPr>
      <w:r w:rsidRPr="00E14B98">
        <w:t xml:space="preserve">The ten most common jobs are presented by </w:t>
      </w:r>
      <w:r w:rsidR="00E14B98" w:rsidRPr="00E14B98">
        <w:t>hours worked</w:t>
      </w:r>
      <w:r w:rsidRPr="00E14B98">
        <w:t xml:space="preserve"> in </w:t>
      </w:r>
      <w:r w:rsidR="00005F6B">
        <w:fldChar w:fldCharType="begin"/>
      </w:r>
      <w:r w:rsidR="00005F6B">
        <w:instrText xml:space="preserve"> REF _Ref64276606 \h </w:instrText>
      </w:r>
      <w:r w:rsidR="00005F6B">
        <w:fldChar w:fldCharType="separate"/>
      </w:r>
      <w:r w:rsidR="00F22012" w:rsidRPr="00474E30">
        <w:t xml:space="preserve">Figure </w:t>
      </w:r>
      <w:r w:rsidR="00F22012">
        <w:rPr>
          <w:noProof/>
        </w:rPr>
        <w:t>5</w:t>
      </w:r>
      <w:r w:rsidR="00F22012">
        <w:noBreakHyphen/>
      </w:r>
      <w:r w:rsidR="00F22012">
        <w:rPr>
          <w:noProof/>
        </w:rPr>
        <w:t>12</w:t>
      </w:r>
      <w:r w:rsidR="00005F6B">
        <w:fldChar w:fldCharType="end"/>
      </w:r>
      <w:r w:rsidRPr="00E14B98">
        <w:t xml:space="preserve">. </w:t>
      </w:r>
      <w:r w:rsidR="00E14B98" w:rsidRPr="00E14B98">
        <w:t>Waiters were the second</w:t>
      </w:r>
      <w:r w:rsidRPr="00E14B98">
        <w:t xml:space="preserve"> most common </w:t>
      </w:r>
      <w:r w:rsidR="002F54B8">
        <w:t xml:space="preserve">WHM job, with these workers reporting the fewest hours of </w:t>
      </w:r>
      <w:r w:rsidR="007842B8">
        <w:t xml:space="preserve">the </w:t>
      </w:r>
      <w:r w:rsidR="004D3CCD">
        <w:t>T</w:t>
      </w:r>
      <w:r w:rsidR="002F54B8">
        <w:t>op 10 jobs</w:t>
      </w:r>
      <w:r w:rsidR="0022120A">
        <w:t>. Waiters worked an average</w:t>
      </w:r>
      <w:r w:rsidR="00E14B98">
        <w:t xml:space="preserve"> of 30.9 </w:t>
      </w:r>
      <w:r w:rsidR="00173B3F">
        <w:t>hours</w:t>
      </w:r>
      <w:r w:rsidR="00E14B98">
        <w:t xml:space="preserve"> per week</w:t>
      </w:r>
      <w:r w:rsidR="002F54B8">
        <w:t xml:space="preserve"> </w:t>
      </w:r>
      <w:r w:rsidR="0022120A">
        <w:t>with</w:t>
      </w:r>
      <w:r w:rsidR="002F54B8">
        <w:t xml:space="preserve"> almost one quarter working fewer than 20 hours</w:t>
      </w:r>
      <w:r w:rsidR="00E14B98">
        <w:t>.</w:t>
      </w:r>
      <w:r w:rsidR="0022120A">
        <w:t xml:space="preserve"> Building labourers worked longest of the </w:t>
      </w:r>
      <w:r w:rsidR="004D3CCD">
        <w:t>T</w:t>
      </w:r>
      <w:r w:rsidR="0022120A">
        <w:t>op 10 and averaged 39.8 hours per week; 14.5% of building labourers worked more than 50 hours per week. Of note, two thirds (6</w:t>
      </w:r>
      <w:r w:rsidR="00C51F9D">
        <w:t>7</w:t>
      </w:r>
      <w:r w:rsidR="0022120A">
        <w:t>.</w:t>
      </w:r>
      <w:r w:rsidR="00C51F9D">
        <w:t>6</w:t>
      </w:r>
      <w:r w:rsidR="0022120A">
        <w:t>%) of meat, chicken and fish process workers reported a working week of 30 to 40 hours.</w:t>
      </w:r>
    </w:p>
    <w:p w14:paraId="74310C3A" w14:textId="5D269EDC" w:rsidR="002A67CE" w:rsidRDefault="002A67CE" w:rsidP="002A67CE">
      <w:pPr>
        <w:pStyle w:val="Caption"/>
      </w:pPr>
      <w:bookmarkStart w:id="101" w:name="_Ref64276606"/>
      <w:bookmarkStart w:id="102" w:name="_Toc75878531"/>
      <w:r w:rsidRPr="00474E30">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12</w:t>
      </w:r>
      <w:r w:rsidR="008949B3">
        <w:rPr>
          <w:noProof/>
        </w:rPr>
        <w:fldChar w:fldCharType="end"/>
      </w:r>
      <w:bookmarkEnd w:id="101"/>
      <w:r w:rsidRPr="00474E30">
        <w:t xml:space="preserve">: </w:t>
      </w:r>
      <w:r w:rsidR="00352298" w:rsidRPr="00474E30">
        <w:t>Hours worked per week</w:t>
      </w:r>
      <w:r w:rsidRPr="00474E30">
        <w:t xml:space="preserve"> </w:t>
      </w:r>
      <w:r w:rsidR="00352298" w:rsidRPr="00474E30">
        <w:t>in</w:t>
      </w:r>
      <w:r w:rsidRPr="00474E30">
        <w:t xml:space="preserve"> </w:t>
      </w:r>
      <w:r w:rsidR="004D3CCD">
        <w:t>T</w:t>
      </w:r>
      <w:r w:rsidRPr="00474E30">
        <w:t>op 10 jobs</w:t>
      </w:r>
      <w:bookmarkEnd w:id="102"/>
    </w:p>
    <w:p w14:paraId="0FED58F9" w14:textId="5FE3058E" w:rsidR="003C6DB0" w:rsidRPr="003C6DB0" w:rsidRDefault="00D80BE4" w:rsidP="003C6DB0">
      <w:r>
        <w:rPr>
          <w:noProof/>
          <w:lang w:eastAsia="en-AU"/>
        </w:rPr>
        <w:drawing>
          <wp:inline distT="0" distB="0" distL="0" distR="0" wp14:anchorId="03EA55D5" wp14:editId="3214FD47">
            <wp:extent cx="5731510" cy="4037162"/>
            <wp:effectExtent l="0" t="0" r="2540" b="1905"/>
            <wp:docPr id="59" name="Chart 59" descr="Figure 5-12 Chart showing hours worked per week in top 10 jobs.">
              <a:extLst xmlns:a="http://schemas.openxmlformats.org/drawingml/2006/main">
                <a:ext uri="{FF2B5EF4-FFF2-40B4-BE49-F238E27FC236}">
                  <a16:creationId xmlns:a16="http://schemas.microsoft.com/office/drawing/2014/main" id="{8664F9AA-6B2A-435D-AAD2-2CE422879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2EDA70" w14:textId="447BEE5E" w:rsidR="002A67CE" w:rsidRPr="00474E30" w:rsidRDefault="002A67CE" w:rsidP="002A67CE">
      <w:pPr>
        <w:pStyle w:val="Tablenote"/>
      </w:pPr>
      <w:r w:rsidRPr="00474E30">
        <w:t>Note, for this purpose Top 10 jobs are those reported most commonly</w:t>
      </w:r>
      <w:r w:rsidR="0075012D" w:rsidRPr="0075012D">
        <w:t xml:space="preserve"> </w:t>
      </w:r>
      <w:r w:rsidR="0075012D">
        <w:t>and account for 12,485 jobs</w:t>
      </w:r>
      <w:r w:rsidRPr="00474E30">
        <w:t>. Labels are not shown when less than 5%.</w:t>
      </w:r>
    </w:p>
    <w:p w14:paraId="49F4A118" w14:textId="7B70FD9C" w:rsidR="00356B43" w:rsidRPr="0075620D" w:rsidRDefault="00356B43" w:rsidP="00356B43">
      <w:pPr>
        <w:pStyle w:val="Tablenote"/>
        <w:rPr>
          <w:rFonts w:ascii="Calibri" w:eastAsia="Times New Roman" w:hAnsi="Calibri" w:cs="Calibri"/>
          <w:b/>
          <w:bCs/>
          <w:noProof w:val="0"/>
          <w:color w:val="FFFFFF"/>
          <w:sz w:val="20"/>
          <w:szCs w:val="20"/>
          <w:lang w:eastAsia="en-AU"/>
        </w:rPr>
      </w:pPr>
      <w:r w:rsidRPr="009D07D8">
        <w:t xml:space="preserve">Source: </w:t>
      </w:r>
      <w:r w:rsidR="00533FC6">
        <w:t>WHM</w:t>
      </w:r>
      <w:r w:rsidRPr="009D07D8">
        <w:t xml:space="preserve"> Survey, 2020.</w:t>
      </w:r>
    </w:p>
    <w:p w14:paraId="6F5AF904" w14:textId="5F58AC4C" w:rsidR="00194820" w:rsidRPr="00194820" w:rsidRDefault="00AF578D" w:rsidP="00194820">
      <w:r>
        <w:t xml:space="preserve">Of the </w:t>
      </w:r>
      <w:r w:rsidR="004D3CCD">
        <w:t>T</w:t>
      </w:r>
      <w:r>
        <w:t xml:space="preserve">op 10 countries, </w:t>
      </w:r>
      <w:r w:rsidR="002870C9">
        <w:t>WHMs from Ireland</w:t>
      </w:r>
      <w:r w:rsidR="00194820">
        <w:t xml:space="preserve"> (38.7 hours)</w:t>
      </w:r>
      <w:r w:rsidR="00194820" w:rsidRPr="00194820">
        <w:t xml:space="preserve"> and </w:t>
      </w:r>
      <w:r w:rsidR="002870C9">
        <w:t>the United Kingdom</w:t>
      </w:r>
      <w:r w:rsidR="00194820" w:rsidRPr="00194820">
        <w:t xml:space="preserve"> </w:t>
      </w:r>
      <w:r w:rsidR="00194820">
        <w:t>(37.7 hours) work</w:t>
      </w:r>
      <w:r>
        <w:t>ed</w:t>
      </w:r>
      <w:r w:rsidR="00194820">
        <w:t xml:space="preserve"> the longest hours per week on average</w:t>
      </w:r>
      <w:r w:rsidR="0090301D">
        <w:t xml:space="preserve"> (see </w:t>
      </w:r>
      <w:r w:rsidR="0090301D">
        <w:fldChar w:fldCharType="begin"/>
      </w:r>
      <w:r w:rsidR="0090301D">
        <w:instrText xml:space="preserve"> REF _Ref73015740 \h </w:instrText>
      </w:r>
      <w:r w:rsidR="0090301D">
        <w:fldChar w:fldCharType="separate"/>
      </w:r>
      <w:r w:rsidR="00F22012" w:rsidRPr="00A61F69">
        <w:t xml:space="preserve">Figure </w:t>
      </w:r>
      <w:r w:rsidR="00F22012">
        <w:rPr>
          <w:noProof/>
        </w:rPr>
        <w:t>5</w:t>
      </w:r>
      <w:r w:rsidR="00F22012">
        <w:noBreakHyphen/>
      </w:r>
      <w:r w:rsidR="00F22012">
        <w:rPr>
          <w:noProof/>
        </w:rPr>
        <w:t>13</w:t>
      </w:r>
      <w:r w:rsidR="0090301D">
        <w:fldChar w:fldCharType="end"/>
      </w:r>
      <w:r w:rsidR="0090301D">
        <w:t>)</w:t>
      </w:r>
      <w:r w:rsidR="00194820">
        <w:t>. This is reflected in a low proportion</w:t>
      </w:r>
      <w:r w:rsidR="003D557A">
        <w:t xml:space="preserve"> </w:t>
      </w:r>
      <w:r w:rsidR="006A5C60">
        <w:t>of British</w:t>
      </w:r>
      <w:r w:rsidR="00194820" w:rsidDel="006A5C60">
        <w:t xml:space="preserve"> </w:t>
      </w:r>
      <w:r w:rsidR="00194820">
        <w:t>(2</w:t>
      </w:r>
      <w:r w:rsidR="00F136B1">
        <w:t>7</w:t>
      </w:r>
      <w:r w:rsidR="00194820">
        <w:t>.</w:t>
      </w:r>
      <w:r w:rsidR="00F136B1">
        <w:t>1</w:t>
      </w:r>
      <w:r w:rsidR="00194820">
        <w:t>%) and particularly Irish (21.</w:t>
      </w:r>
      <w:r w:rsidR="00757996">
        <w:t>4</w:t>
      </w:r>
      <w:r w:rsidR="00194820">
        <w:t>%) workers employed for fewer than 30 hours per week.</w:t>
      </w:r>
      <w:r w:rsidR="00E26FAA">
        <w:t xml:space="preserve"> Japanese </w:t>
      </w:r>
      <w:r w:rsidR="009442EE">
        <w:t>WHMs reported the lowest number of hours per week, an average of 30.8 hours</w:t>
      </w:r>
      <w:r w:rsidR="006A5C60">
        <w:t>.</w:t>
      </w:r>
      <w:r w:rsidR="009442EE" w:rsidDel="006A5C60">
        <w:t xml:space="preserve"> </w:t>
      </w:r>
      <w:r w:rsidR="006A5C60">
        <w:t xml:space="preserve">Almost </w:t>
      </w:r>
      <w:r w:rsidR="009442EE">
        <w:t>half (4</w:t>
      </w:r>
      <w:r w:rsidR="00757996">
        <w:t>7</w:t>
      </w:r>
      <w:r w:rsidR="009442EE">
        <w:t>.</w:t>
      </w:r>
      <w:r w:rsidR="00757996">
        <w:t>9</w:t>
      </w:r>
      <w:r w:rsidR="009442EE">
        <w:t>%) of</w:t>
      </w:r>
      <w:r w:rsidR="00540267">
        <w:t xml:space="preserve"> the jobs undertaken by</w:t>
      </w:r>
      <w:r w:rsidR="009442EE">
        <w:t xml:space="preserve"> Japanese </w:t>
      </w:r>
      <w:r w:rsidR="00540267">
        <w:t xml:space="preserve">WHMs </w:t>
      </w:r>
      <w:r w:rsidR="009442EE">
        <w:t>required fewer than 30 hours per week.</w:t>
      </w:r>
    </w:p>
    <w:p w14:paraId="2A44A1E1" w14:textId="4BFCF9C0" w:rsidR="002A67CE" w:rsidRPr="00A61F69" w:rsidRDefault="002A67CE" w:rsidP="002A67CE">
      <w:pPr>
        <w:pStyle w:val="Caption"/>
      </w:pPr>
      <w:bookmarkStart w:id="103" w:name="_Ref73015740"/>
      <w:bookmarkStart w:id="104" w:name="_Toc75878532"/>
      <w:r w:rsidRPr="00A61F69">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13</w:t>
      </w:r>
      <w:r w:rsidR="008949B3">
        <w:rPr>
          <w:noProof/>
        </w:rPr>
        <w:fldChar w:fldCharType="end"/>
      </w:r>
      <w:bookmarkEnd w:id="103"/>
      <w:r w:rsidRPr="00A61F69">
        <w:t xml:space="preserve">: </w:t>
      </w:r>
      <w:r w:rsidR="0062701B">
        <w:t>Average h</w:t>
      </w:r>
      <w:r w:rsidRPr="00A61F69">
        <w:t>our</w:t>
      </w:r>
      <w:r w:rsidR="00352298" w:rsidRPr="00A61F69">
        <w:t>s worked per week</w:t>
      </w:r>
      <w:r w:rsidRPr="00A61F69">
        <w:t xml:space="preserve"> for </w:t>
      </w:r>
      <w:r w:rsidR="004D3CCD">
        <w:t>T</w:t>
      </w:r>
      <w:r w:rsidRPr="00A61F69">
        <w:t>op 10 countries</w:t>
      </w:r>
      <w:bookmarkEnd w:id="104"/>
    </w:p>
    <w:p w14:paraId="6266CF2B" w14:textId="7427E2FE" w:rsidR="002A67CE" w:rsidRPr="00A61F69" w:rsidRDefault="00A50E23" w:rsidP="006A638B">
      <w:r>
        <w:rPr>
          <w:noProof/>
          <w:lang w:eastAsia="en-AU"/>
        </w:rPr>
        <w:drawing>
          <wp:inline distT="0" distB="0" distL="0" distR="0" wp14:anchorId="393C2A2D" wp14:editId="470D3E1C">
            <wp:extent cx="5728827" cy="4032000"/>
            <wp:effectExtent l="0" t="0" r="5715" b="6985"/>
            <wp:docPr id="61" name="Chart 61" descr="Figure 5-13 Chart showing average hours worked per week for top 10 countries.">
              <a:extLst xmlns:a="http://schemas.openxmlformats.org/drawingml/2006/main">
                <a:ext uri="{FF2B5EF4-FFF2-40B4-BE49-F238E27FC236}">
                  <a16:creationId xmlns:a16="http://schemas.microsoft.com/office/drawing/2014/main" id="{C90FB37C-C607-461A-A6EF-F167E106E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256FF0" w14:textId="4EFD016E" w:rsidR="002A67CE" w:rsidRPr="00E35B6C" w:rsidRDefault="002A67CE" w:rsidP="002A67CE">
      <w:pPr>
        <w:pStyle w:val="Tablenote"/>
      </w:pPr>
      <w:r w:rsidRPr="00A61F69">
        <w:t>Note, for this purpose Top 10 countries are those with the most listed jobs</w:t>
      </w:r>
      <w:r w:rsidR="0075012D" w:rsidRPr="00A61F69">
        <w:t>, and account for 15,</w:t>
      </w:r>
      <w:r w:rsidR="004D6E76">
        <w:t>753</w:t>
      </w:r>
      <w:r w:rsidR="0075012D" w:rsidRPr="00A61F69">
        <w:t xml:space="preserve"> jobs.</w:t>
      </w:r>
      <w:r w:rsidRPr="00E35B6C">
        <w:t xml:space="preserve"> </w:t>
      </w:r>
      <w:r w:rsidR="004852D9">
        <w:t xml:space="preserve">Missing data not included. </w:t>
      </w:r>
      <w:r w:rsidRPr="00E35B6C">
        <w:t>Labels are not shown when less than 5%.</w:t>
      </w:r>
    </w:p>
    <w:p w14:paraId="533271B2" w14:textId="2DB0B44B" w:rsidR="002A67CE" w:rsidRDefault="002A67CE" w:rsidP="00356B43">
      <w:pPr>
        <w:pStyle w:val="Tablenote"/>
      </w:pPr>
      <w:r w:rsidRPr="00E35B6C">
        <w:t xml:space="preserve">Source: </w:t>
      </w:r>
      <w:r w:rsidR="00533FC6">
        <w:t>WHM</w:t>
      </w:r>
      <w:r w:rsidRPr="00E35B6C">
        <w:t xml:space="preserve"> Survey, </w:t>
      </w:r>
      <w:r w:rsidR="00356B43" w:rsidRPr="009D07D8">
        <w:t>2020.</w:t>
      </w:r>
    </w:p>
    <w:p w14:paraId="77FB15C9" w14:textId="08F30F8E" w:rsidR="002A67CE" w:rsidRPr="001B7E29" w:rsidRDefault="000E4AE2" w:rsidP="008A55F1">
      <w:pPr>
        <w:pStyle w:val="Heading3"/>
      </w:pPr>
      <w:bookmarkStart w:id="105" w:name="_Toc75878461"/>
      <w:r>
        <w:t>Duration of work</w:t>
      </w:r>
      <w:bookmarkEnd w:id="105"/>
    </w:p>
    <w:p w14:paraId="0A4C11B4" w14:textId="03ED9FF4" w:rsidR="00E27CA9" w:rsidRPr="00E27CA9" w:rsidRDefault="00654BD9" w:rsidP="00E27CA9">
      <w:r>
        <w:t>WHMs reported working an average of 15 weeks per job</w:t>
      </w:r>
      <w:r w:rsidR="00193E64">
        <w:t>, with a third (3</w:t>
      </w:r>
      <w:r w:rsidR="00392C90">
        <w:t>4.4</w:t>
      </w:r>
      <w:r w:rsidR="00193E64">
        <w:t xml:space="preserve">%) of jobs held for between three and six months (13 to 26 weeks) (see </w:t>
      </w:r>
      <w:r>
        <w:fldChar w:fldCharType="begin"/>
      </w:r>
      <w:r>
        <w:instrText xml:space="preserve"> REF _Ref64886428 \h  \* MERGEFORMAT </w:instrText>
      </w:r>
      <w:r>
        <w:fldChar w:fldCharType="separate"/>
      </w:r>
      <w:r w:rsidR="00F22012">
        <w:t>Figure 5</w:t>
      </w:r>
      <w:r w:rsidR="00F22012">
        <w:noBreakHyphen/>
        <w:t>14</w:t>
      </w:r>
      <w:r>
        <w:fldChar w:fldCharType="end"/>
      </w:r>
      <w:r w:rsidR="00193E64">
        <w:t>)</w:t>
      </w:r>
      <w:r w:rsidR="00E31A6F">
        <w:t>.</w:t>
      </w:r>
      <w:r w:rsidR="006D1C1A">
        <w:t xml:space="preserve"> WHMs worked for fewer weeks per job in Tasmania (1</w:t>
      </w:r>
      <w:r w:rsidR="000E1CDF">
        <w:t>0.7</w:t>
      </w:r>
      <w:r w:rsidR="006D1C1A">
        <w:t xml:space="preserve"> weeks) and South Australia (12</w:t>
      </w:r>
      <w:r w:rsidR="000E1CDF">
        <w:t>.3</w:t>
      </w:r>
      <w:r w:rsidR="006D1C1A">
        <w:t xml:space="preserve"> weeks), spending longer periods </w:t>
      </w:r>
      <w:r w:rsidR="25C97049">
        <w:t>i</w:t>
      </w:r>
      <w:r w:rsidR="006D1C1A">
        <w:t>n jobs in the Australian Capital Territory (</w:t>
      </w:r>
      <w:r w:rsidR="000E1CDF">
        <w:t>16.7</w:t>
      </w:r>
      <w:r w:rsidR="006D1C1A">
        <w:t xml:space="preserve"> weeks), Victoria and New South Wales (16</w:t>
      </w:r>
      <w:r w:rsidR="000E1CDF">
        <w:t>.1</w:t>
      </w:r>
      <w:r w:rsidR="006D1C1A">
        <w:t xml:space="preserve"> weeks each</w:t>
      </w:r>
      <w:r w:rsidR="000E1CDF">
        <w:t>, see</w:t>
      </w:r>
      <w:r w:rsidR="00E27CA9">
        <w:t xml:space="preserve"> </w:t>
      </w:r>
      <w:r>
        <w:fldChar w:fldCharType="begin"/>
      </w:r>
      <w:r>
        <w:instrText xml:space="preserve"> REF _Ref72500632 \h  \* MERGEFORMAT </w:instrText>
      </w:r>
      <w:r>
        <w:fldChar w:fldCharType="separate"/>
      </w:r>
      <w:r w:rsidR="00F22012">
        <w:t xml:space="preserve">Figure </w:t>
      </w:r>
      <w:r w:rsidR="00F22012">
        <w:rPr>
          <w:noProof/>
        </w:rPr>
        <w:t>5</w:t>
      </w:r>
      <w:r w:rsidR="00F22012">
        <w:rPr>
          <w:noProof/>
        </w:rPr>
        <w:noBreakHyphen/>
        <w:t>15</w:t>
      </w:r>
      <w:r>
        <w:fldChar w:fldCharType="end"/>
      </w:r>
      <w:r w:rsidR="00E27CA9">
        <w:t>).</w:t>
      </w:r>
    </w:p>
    <w:p w14:paraId="3D4B1D0D" w14:textId="719DCAF4" w:rsidR="00193E64" w:rsidRDefault="00193E64" w:rsidP="00193E64">
      <w:pPr>
        <w:pStyle w:val="Caption"/>
      </w:pPr>
      <w:bookmarkStart w:id="106" w:name="_Ref64886428"/>
      <w:bookmarkStart w:id="107" w:name="_Toc7587853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14</w:t>
      </w:r>
      <w:r w:rsidR="008949B3">
        <w:rPr>
          <w:noProof/>
        </w:rPr>
        <w:fldChar w:fldCharType="end"/>
      </w:r>
      <w:bookmarkEnd w:id="106"/>
      <w:r>
        <w:t>: Weeks worked per job</w:t>
      </w:r>
      <w:bookmarkEnd w:id="107"/>
    </w:p>
    <w:p w14:paraId="0CEBE00B" w14:textId="1CF9A7B8" w:rsidR="00193E64" w:rsidRDefault="00AD5772" w:rsidP="00E16B19">
      <w:r>
        <w:rPr>
          <w:noProof/>
          <w:lang w:eastAsia="en-AU"/>
        </w:rPr>
        <w:drawing>
          <wp:inline distT="0" distB="0" distL="0" distR="0" wp14:anchorId="30A40EEB" wp14:editId="6CC85DCE">
            <wp:extent cx="5728335" cy="2047875"/>
            <wp:effectExtent l="0" t="0" r="5715" b="9525"/>
            <wp:docPr id="63" name="Chart 63" descr="A column chart of the number of weeks worked per job. The largest proportion of WHM (34.4%) worked between 13 to 26 weeks. ">
              <a:extLst xmlns:a="http://schemas.openxmlformats.org/drawingml/2006/main">
                <a:ext uri="{FF2B5EF4-FFF2-40B4-BE49-F238E27FC236}">
                  <a16:creationId xmlns:a16="http://schemas.microsoft.com/office/drawing/2014/main" id="{E750D0F5-E607-48C9-B5E9-40A2E7FA4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645719" w14:textId="77777777" w:rsidR="002E43F2" w:rsidRDefault="002E43F2" w:rsidP="002E43F2">
      <w:pPr>
        <w:pStyle w:val="Tablenote"/>
      </w:pPr>
      <w:r w:rsidRPr="00582224">
        <w:t>Note</w:t>
      </w:r>
      <w:r>
        <w:t>, d</w:t>
      </w:r>
      <w:r w:rsidRPr="00582224">
        <w:t xml:space="preserve">ata was provided </w:t>
      </w:r>
      <w:r>
        <w:t>for a total of 19,598 jobs</w:t>
      </w:r>
      <w:r w:rsidRPr="00582224">
        <w:t xml:space="preserve">. </w:t>
      </w:r>
    </w:p>
    <w:p w14:paraId="016257A6" w14:textId="02B45F73" w:rsidR="00DF5E18" w:rsidRPr="00DF5E18" w:rsidRDefault="00356B43" w:rsidP="00DF5E18">
      <w:pPr>
        <w:pStyle w:val="Tablenote"/>
      </w:pPr>
      <w:bookmarkStart w:id="108" w:name="_Ref65486144"/>
      <w:r w:rsidRPr="009D07D8">
        <w:t xml:space="preserve">Source: </w:t>
      </w:r>
      <w:r w:rsidR="00533FC6">
        <w:t>WHM</w:t>
      </w:r>
      <w:r w:rsidRPr="009D07D8">
        <w:t xml:space="preserve"> Survey, 2020.</w:t>
      </w:r>
    </w:p>
    <w:p w14:paraId="5A2E021C" w14:textId="20CC3E77" w:rsidR="000E1CDF" w:rsidRDefault="000E1CDF" w:rsidP="000E1CDF">
      <w:pPr>
        <w:pStyle w:val="Caption"/>
      </w:pPr>
      <w:bookmarkStart w:id="109" w:name="_Ref72500632"/>
      <w:bookmarkStart w:id="110" w:name="_Toc7587853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15</w:t>
      </w:r>
      <w:r w:rsidR="008949B3">
        <w:rPr>
          <w:noProof/>
        </w:rPr>
        <w:fldChar w:fldCharType="end"/>
      </w:r>
      <w:bookmarkEnd w:id="108"/>
      <w:bookmarkEnd w:id="109"/>
      <w:r>
        <w:t>: Average weeks worked per job, by state</w:t>
      </w:r>
      <w:bookmarkEnd w:id="110"/>
    </w:p>
    <w:p w14:paraId="79C95CC9" w14:textId="2F115189" w:rsidR="00DF534A" w:rsidRDefault="00DF534A" w:rsidP="00DF534A">
      <w:r>
        <w:rPr>
          <w:noProof/>
          <w:lang w:eastAsia="en-AU"/>
        </w:rPr>
        <w:drawing>
          <wp:inline distT="0" distB="0" distL="0" distR="0" wp14:anchorId="52F374A8" wp14:editId="421E41DA">
            <wp:extent cx="5760000" cy="2160000"/>
            <wp:effectExtent l="0" t="0" r="12700" b="12065"/>
            <wp:docPr id="70" name="Chart 70" descr="Figure 5-15 Chart showing average weeks worked per job, by state.">
              <a:extLst xmlns:a="http://schemas.openxmlformats.org/drawingml/2006/main">
                <a:ext uri="{FF2B5EF4-FFF2-40B4-BE49-F238E27FC236}">
                  <a16:creationId xmlns:a16="http://schemas.microsoft.com/office/drawing/2014/main" id="{A522B6E5-2520-49F3-A1DC-110FEFA12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0D7F7F" w14:textId="77777777" w:rsidR="000E1CDF" w:rsidRDefault="000E1CDF" w:rsidP="000E1CDF">
      <w:pPr>
        <w:pStyle w:val="Tablenote"/>
      </w:pPr>
      <w:r w:rsidRPr="00582224">
        <w:t>Note</w:t>
      </w:r>
      <w:r>
        <w:t>, d</w:t>
      </w:r>
      <w:r w:rsidRPr="00582224">
        <w:t xml:space="preserve">ata was provided </w:t>
      </w:r>
      <w:r>
        <w:t>for a total of 19,598 jobs</w:t>
      </w:r>
      <w:r w:rsidRPr="00582224">
        <w:t xml:space="preserve">. </w:t>
      </w:r>
    </w:p>
    <w:p w14:paraId="44E2EBC1" w14:textId="73F2AB13" w:rsidR="00DF5E18" w:rsidRDefault="00356B43" w:rsidP="00DF5E18">
      <w:pPr>
        <w:pStyle w:val="Tablenote"/>
      </w:pPr>
      <w:r w:rsidRPr="009D07D8">
        <w:t xml:space="preserve">Source: </w:t>
      </w:r>
      <w:r w:rsidR="00533FC6">
        <w:t>WHM</w:t>
      </w:r>
      <w:r w:rsidRPr="009D07D8">
        <w:t xml:space="preserve"> Survey, 2020.</w:t>
      </w:r>
    </w:p>
    <w:p w14:paraId="3F465731" w14:textId="5ECA8829" w:rsidR="00CA05DC" w:rsidRDefault="00CA05DC" w:rsidP="00CA05DC">
      <w:r w:rsidRPr="0093078C">
        <w:t xml:space="preserve">The intensity of </w:t>
      </w:r>
      <w:r w:rsidR="00DF74DD" w:rsidRPr="0093078C">
        <w:t>employment</w:t>
      </w:r>
      <w:r w:rsidR="00D32020" w:rsidRPr="0093078C">
        <w:t xml:space="preserve">, based on the total duration of employment, varied across jobs. </w:t>
      </w:r>
      <w:r w:rsidR="002F16BF" w:rsidRPr="0093078C">
        <w:t>Civil engineers</w:t>
      </w:r>
      <w:r w:rsidR="00221649" w:rsidRPr="0093078C">
        <w:t xml:space="preserve"> </w:t>
      </w:r>
      <w:r w:rsidR="00A755BB" w:rsidRPr="0093078C">
        <w:t>worked for the longest total number of hours during their stay in Australia</w:t>
      </w:r>
      <w:r w:rsidR="00B87A73" w:rsidRPr="0093078C">
        <w:t xml:space="preserve">, averaging </w:t>
      </w:r>
      <w:r w:rsidR="003E4961" w:rsidRPr="0093078C">
        <w:t xml:space="preserve">41.5 hours per week across 28.4 weeks, </w:t>
      </w:r>
      <w:r w:rsidR="00EF71C2" w:rsidRPr="0093078C">
        <w:t xml:space="preserve">followed by drillers, miners and shot firers who worked 65 hours per week across 17.7 weeks. </w:t>
      </w:r>
      <w:r w:rsidR="009C1039" w:rsidRPr="0093078C">
        <w:t xml:space="preserve">Those who worked the fewest total hours during their stay were employed as cleaners, averaging </w:t>
      </w:r>
      <w:r w:rsidR="00FA23E7" w:rsidRPr="0093078C">
        <w:t xml:space="preserve">28.5 hours per week for 14.2 weeks. </w:t>
      </w:r>
      <w:r w:rsidR="0000782A">
        <w:fldChar w:fldCharType="begin"/>
      </w:r>
      <w:r w:rsidR="0000782A">
        <w:instrText xml:space="preserve"> REF _Ref73016606 \h </w:instrText>
      </w:r>
      <w:r w:rsidR="0000782A">
        <w:fldChar w:fldCharType="separate"/>
      </w:r>
      <w:r w:rsidR="00F22012">
        <w:t xml:space="preserve">Figure </w:t>
      </w:r>
      <w:r w:rsidR="00F22012">
        <w:rPr>
          <w:noProof/>
        </w:rPr>
        <w:t>5</w:t>
      </w:r>
      <w:r w:rsidR="00F22012">
        <w:noBreakHyphen/>
      </w:r>
      <w:r w:rsidR="00F22012">
        <w:rPr>
          <w:noProof/>
        </w:rPr>
        <w:t>16</w:t>
      </w:r>
      <w:r w:rsidR="0000782A">
        <w:fldChar w:fldCharType="end"/>
      </w:r>
      <w:r w:rsidR="0000782A">
        <w:t xml:space="preserve"> </w:t>
      </w:r>
      <w:r w:rsidR="00047477" w:rsidRPr="0093078C">
        <w:t xml:space="preserve">shows </w:t>
      </w:r>
      <w:r w:rsidR="00F13CE5" w:rsidRPr="0093078C">
        <w:t>the similarities between industr</w:t>
      </w:r>
      <w:r w:rsidR="00E7259D">
        <w:t>y groups</w:t>
      </w:r>
      <w:r w:rsidR="00F13CE5" w:rsidRPr="0093078C">
        <w:t xml:space="preserve"> </w:t>
      </w:r>
      <w:r w:rsidR="00846600" w:rsidRPr="0093078C">
        <w:t>for intensity of work. Jobs in construction and mining</w:t>
      </w:r>
      <w:r w:rsidR="00EA201A" w:rsidRPr="0093078C">
        <w:t xml:space="preserve"> and agriculture and transport</w:t>
      </w:r>
      <w:r w:rsidR="00846600" w:rsidRPr="0093078C">
        <w:t xml:space="preserve"> </w:t>
      </w:r>
      <w:r w:rsidR="00473DA6" w:rsidRPr="0093078C">
        <w:t xml:space="preserve">tend to be </w:t>
      </w:r>
      <w:r w:rsidR="00EA201A" w:rsidRPr="0093078C">
        <w:t>higher hours per week for a shorter overall duration, compared to jobs in office, admin and IT which are fewer hours per week but for a longer duration.</w:t>
      </w:r>
      <w:r w:rsidR="00EA201A">
        <w:t xml:space="preserve"> </w:t>
      </w:r>
    </w:p>
    <w:p w14:paraId="68BFDA16" w14:textId="7A42402F" w:rsidR="0000782A" w:rsidRDefault="0000782A" w:rsidP="0000782A">
      <w:pPr>
        <w:pStyle w:val="Caption"/>
      </w:pPr>
      <w:bookmarkStart w:id="111" w:name="_Ref73016606"/>
      <w:bookmarkStart w:id="112" w:name="_Toc7587853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16</w:t>
      </w:r>
      <w:r w:rsidR="008949B3">
        <w:rPr>
          <w:noProof/>
        </w:rPr>
        <w:fldChar w:fldCharType="end"/>
      </w:r>
      <w:bookmarkEnd w:id="111"/>
      <w:r>
        <w:t>: Job duration by industry group</w:t>
      </w:r>
      <w:bookmarkEnd w:id="112"/>
    </w:p>
    <w:p w14:paraId="3E70E764" w14:textId="01DC5B8E" w:rsidR="00FA23E7" w:rsidRDefault="00FA23E7" w:rsidP="00CA05DC">
      <w:r>
        <w:rPr>
          <w:noProof/>
          <w:lang w:eastAsia="en-AU"/>
        </w:rPr>
        <w:drawing>
          <wp:inline distT="0" distB="0" distL="0" distR="0" wp14:anchorId="7DB107CF" wp14:editId="545CA44F">
            <wp:extent cx="5731510" cy="3400425"/>
            <wp:effectExtent l="0" t="0" r="2540" b="9525"/>
            <wp:docPr id="66" name="Chart 66" descr="Figure 5-16 Chart showing job duration by industry group.">
              <a:extLst xmlns:a="http://schemas.openxmlformats.org/drawingml/2006/main">
                <a:ext uri="{FF2B5EF4-FFF2-40B4-BE49-F238E27FC236}">
                  <a16:creationId xmlns:a16="http://schemas.microsoft.com/office/drawing/2014/main" id="{A73FD78C-BE8D-4720-B79E-DCA0D626D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620352" w14:textId="0354549C" w:rsidR="0093078C" w:rsidRDefault="0093078C" w:rsidP="0093078C">
      <w:pPr>
        <w:pStyle w:val="Tablenote"/>
      </w:pPr>
      <w:r w:rsidRPr="009D07D8">
        <w:t xml:space="preserve">Source: </w:t>
      </w:r>
      <w:r>
        <w:t>WHM</w:t>
      </w:r>
      <w:r w:rsidRPr="009D07D8">
        <w:t xml:space="preserve"> Survey, 2020.</w:t>
      </w:r>
    </w:p>
    <w:p w14:paraId="5DCD4F04" w14:textId="652CC643" w:rsidR="00461E4F" w:rsidRDefault="000E4AE2" w:rsidP="000E4AE2">
      <w:pPr>
        <w:pStyle w:val="Heading3"/>
      </w:pPr>
      <w:bookmarkStart w:id="113" w:name="_Toc75878462"/>
      <w:r>
        <w:t>Total pay</w:t>
      </w:r>
      <w:bookmarkEnd w:id="113"/>
    </w:p>
    <w:p w14:paraId="6EF98E2D" w14:textId="134FB054" w:rsidR="002E43F2" w:rsidRDefault="00A549DE" w:rsidP="00E16B19">
      <w:r>
        <w:t xml:space="preserve">Income per job was variable aligning with the fact </w:t>
      </w:r>
      <w:r w:rsidR="00831A3A">
        <w:t>that half (50.4%) of WHM jobs were held for less</w:t>
      </w:r>
      <w:r>
        <w:t xml:space="preserve"> than three months. One quarter</w:t>
      </w:r>
      <w:r w:rsidR="00831A3A">
        <w:t xml:space="preserve"> of jobs</w:t>
      </w:r>
      <w:r>
        <w:t xml:space="preserve"> (2</w:t>
      </w:r>
      <w:r w:rsidR="004C7D01">
        <w:t>7</w:t>
      </w:r>
      <w:r>
        <w:t xml:space="preserve">.2%) </w:t>
      </w:r>
      <w:r w:rsidR="00831A3A">
        <w:t>paid</w:t>
      </w:r>
      <w:r>
        <w:t xml:space="preserve"> between $10,000 and $20,000, while just under one in five (</w:t>
      </w:r>
      <w:r w:rsidR="007565A6">
        <w:t>20.7</w:t>
      </w:r>
      <w:r>
        <w:t xml:space="preserve">%) of jobs </w:t>
      </w:r>
      <w:r w:rsidR="00831A3A">
        <w:t>paid</w:t>
      </w:r>
      <w:r>
        <w:t xml:space="preserve"> WHMs $5,000 to $10,000</w:t>
      </w:r>
      <w:r w:rsidR="00831A3A">
        <w:t xml:space="preserve"> (see </w:t>
      </w:r>
      <w:r w:rsidR="003511B6">
        <w:fldChar w:fldCharType="begin"/>
      </w:r>
      <w:r w:rsidR="003511B6">
        <w:instrText xml:space="preserve"> REF _Ref72940720 \h </w:instrText>
      </w:r>
      <w:r w:rsidR="003511B6">
        <w:fldChar w:fldCharType="separate"/>
      </w:r>
      <w:r w:rsidR="00F22012" w:rsidRPr="00ED77C9">
        <w:t xml:space="preserve">Table </w:t>
      </w:r>
      <w:r w:rsidR="00F22012">
        <w:rPr>
          <w:noProof/>
        </w:rPr>
        <w:t>5</w:t>
      </w:r>
      <w:r w:rsidR="00F22012">
        <w:noBreakHyphen/>
      </w:r>
      <w:r w:rsidR="00F22012">
        <w:rPr>
          <w:noProof/>
        </w:rPr>
        <w:t>7</w:t>
      </w:r>
      <w:r w:rsidR="003511B6">
        <w:fldChar w:fldCharType="end"/>
      </w:r>
      <w:r w:rsidR="00831A3A">
        <w:t xml:space="preserve">). </w:t>
      </w:r>
      <w:r w:rsidR="003A1983">
        <w:t>Earnings of more than $40,000</w:t>
      </w:r>
      <w:r w:rsidR="00506582">
        <w:t xml:space="preserve"> were relatively rare, occurring in </w:t>
      </w:r>
      <w:r w:rsidR="003511B6">
        <w:t>4.4</w:t>
      </w:r>
      <w:r w:rsidR="00831A3A">
        <w:t>%</w:t>
      </w:r>
      <w:r w:rsidR="00506582">
        <w:t xml:space="preserve"> of jobs</w:t>
      </w:r>
      <w:r w:rsidR="00831A3A">
        <w:t xml:space="preserve">. </w:t>
      </w:r>
    </w:p>
    <w:p w14:paraId="743E1300" w14:textId="1184BD56" w:rsidR="001B7E29" w:rsidRPr="00ED77C9" w:rsidRDefault="001B7E29" w:rsidP="001B7E29">
      <w:pPr>
        <w:pStyle w:val="Caption"/>
      </w:pPr>
      <w:bookmarkStart w:id="114" w:name="_Ref72940720"/>
      <w:bookmarkStart w:id="115" w:name="_Toc75878601"/>
      <w:r w:rsidRPr="00ED77C9">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7</w:t>
      </w:r>
      <w:r>
        <w:fldChar w:fldCharType="end"/>
      </w:r>
      <w:bookmarkEnd w:id="114"/>
      <w:r w:rsidRPr="00ED77C9">
        <w:t xml:space="preserve">: </w:t>
      </w:r>
      <w:r>
        <w:t>Total pay per job</w:t>
      </w:r>
      <w:bookmarkEnd w:id="115"/>
    </w:p>
    <w:tbl>
      <w:tblPr>
        <w:tblStyle w:val="GridTable4-Accent4"/>
        <w:tblW w:w="5000" w:type="pct"/>
        <w:tblLook w:val="0460" w:firstRow="1" w:lastRow="1" w:firstColumn="0" w:lastColumn="0" w:noHBand="0" w:noVBand="1"/>
      </w:tblPr>
      <w:tblGrid>
        <w:gridCol w:w="5062"/>
        <w:gridCol w:w="2113"/>
        <w:gridCol w:w="1841"/>
      </w:tblGrid>
      <w:tr w:rsidR="001B7E29" w:rsidRPr="00382871" w14:paraId="1E2EE3A8" w14:textId="77777777" w:rsidTr="003511B6">
        <w:trPr>
          <w:cnfStyle w:val="100000000000" w:firstRow="1" w:lastRow="0" w:firstColumn="0" w:lastColumn="0" w:oddVBand="0" w:evenVBand="0" w:oddHBand="0" w:evenHBand="0" w:firstRowFirstColumn="0" w:firstRowLastColumn="0" w:lastRowFirstColumn="0" w:lastRowLastColumn="0"/>
          <w:trHeight w:val="300"/>
        </w:trPr>
        <w:tc>
          <w:tcPr>
            <w:tcW w:w="2806" w:type="pct"/>
            <w:noWrap/>
            <w:vAlign w:val="center"/>
            <w:hideMark/>
          </w:tcPr>
          <w:p w14:paraId="0C6BE2C9" w14:textId="77777777" w:rsidR="001B7E29" w:rsidRPr="00382871" w:rsidRDefault="001B7E29" w:rsidP="003511B6">
            <w:pPr>
              <w:keepNext/>
              <w:keepLines/>
              <w:spacing w:before="0"/>
              <w:rPr>
                <w:rFonts w:ascii="Calibri" w:eastAsia="Times New Roman" w:hAnsi="Calibri" w:cs="Calibri"/>
                <w:sz w:val="18"/>
                <w:szCs w:val="18"/>
                <w:lang w:eastAsia="en-AU"/>
              </w:rPr>
            </w:pPr>
          </w:p>
        </w:tc>
        <w:tc>
          <w:tcPr>
            <w:tcW w:w="1172" w:type="pct"/>
            <w:noWrap/>
            <w:vAlign w:val="center"/>
            <w:hideMark/>
          </w:tcPr>
          <w:p w14:paraId="21E7EF32" w14:textId="77777777" w:rsidR="001B7E29" w:rsidRPr="00382871" w:rsidRDefault="001B7E29" w:rsidP="003511B6">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No. of jobs</w:t>
            </w:r>
          </w:p>
        </w:tc>
        <w:tc>
          <w:tcPr>
            <w:tcW w:w="1021" w:type="pct"/>
            <w:noWrap/>
            <w:vAlign w:val="center"/>
            <w:hideMark/>
          </w:tcPr>
          <w:p w14:paraId="59D01127" w14:textId="77777777" w:rsidR="001B7E29" w:rsidRPr="00382871" w:rsidRDefault="001B7E29" w:rsidP="003511B6">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 of jobs</w:t>
            </w:r>
          </w:p>
        </w:tc>
      </w:tr>
      <w:tr w:rsidR="001B7E29" w:rsidRPr="00382871" w14:paraId="4C865635" w14:textId="77777777" w:rsidTr="003511B6">
        <w:trPr>
          <w:cnfStyle w:val="000000100000" w:firstRow="0" w:lastRow="0" w:firstColumn="0" w:lastColumn="0" w:oddVBand="0" w:evenVBand="0" w:oddHBand="1" w:evenHBand="0" w:firstRowFirstColumn="0" w:firstRowLastColumn="0" w:lastRowFirstColumn="0" w:lastRowLastColumn="0"/>
          <w:trHeight w:val="300"/>
        </w:trPr>
        <w:tc>
          <w:tcPr>
            <w:tcW w:w="2806" w:type="pct"/>
            <w:noWrap/>
            <w:vAlign w:val="center"/>
            <w:hideMark/>
          </w:tcPr>
          <w:p w14:paraId="07E05962" w14:textId="4EE53B52" w:rsidR="001B7E29" w:rsidRPr="001B7E29" w:rsidRDefault="001B7E29"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Up to $1,000</w:t>
            </w:r>
          </w:p>
        </w:tc>
        <w:tc>
          <w:tcPr>
            <w:tcW w:w="1172" w:type="pct"/>
            <w:noWrap/>
            <w:vAlign w:val="center"/>
            <w:hideMark/>
          </w:tcPr>
          <w:p w14:paraId="44D1C4AA" w14:textId="02224349"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1</w:t>
            </w:r>
            <w:r>
              <w:rPr>
                <w:rFonts w:ascii="Calibri" w:hAnsi="Calibri" w:cs="Calibri"/>
                <w:color w:val="000000"/>
                <w:sz w:val="18"/>
                <w:szCs w:val="18"/>
              </w:rPr>
              <w:t>,</w:t>
            </w:r>
            <w:r w:rsidRPr="001B7E29">
              <w:rPr>
                <w:rFonts w:ascii="Calibri" w:hAnsi="Calibri" w:cs="Calibri"/>
                <w:color w:val="000000"/>
                <w:sz w:val="18"/>
                <w:szCs w:val="18"/>
              </w:rPr>
              <w:t>574</w:t>
            </w:r>
          </w:p>
        </w:tc>
        <w:tc>
          <w:tcPr>
            <w:tcW w:w="1021" w:type="pct"/>
            <w:noWrap/>
            <w:vAlign w:val="center"/>
            <w:hideMark/>
          </w:tcPr>
          <w:p w14:paraId="3E729336" w14:textId="798A07EA"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9</w:t>
            </w:r>
            <w:r w:rsidR="001B7E29" w:rsidRPr="001B7E29">
              <w:rPr>
                <w:rFonts w:ascii="Calibri" w:hAnsi="Calibri" w:cs="Calibri"/>
                <w:color w:val="000000"/>
                <w:sz w:val="18"/>
                <w:szCs w:val="18"/>
              </w:rPr>
              <w:t>.0%</w:t>
            </w:r>
          </w:p>
        </w:tc>
      </w:tr>
      <w:tr w:rsidR="001B7E29" w:rsidRPr="00382871" w14:paraId="21E05C4D" w14:textId="77777777" w:rsidTr="003511B6">
        <w:trPr>
          <w:trHeight w:val="300"/>
        </w:trPr>
        <w:tc>
          <w:tcPr>
            <w:tcW w:w="2806" w:type="pct"/>
            <w:noWrap/>
            <w:vAlign w:val="center"/>
            <w:hideMark/>
          </w:tcPr>
          <w:p w14:paraId="58A6160E" w14:textId="50796631" w:rsidR="001B7E29" w:rsidRPr="001B7E29" w:rsidRDefault="00A748AB"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Pr="001B7E29">
              <w:rPr>
                <w:rFonts w:ascii="Calibri" w:hAnsi="Calibri" w:cs="Calibri"/>
                <w:color w:val="000000"/>
                <w:sz w:val="18"/>
                <w:szCs w:val="18"/>
              </w:rPr>
              <w:t>$</w:t>
            </w:r>
            <w:r w:rsidR="001B7E29" w:rsidRPr="001B7E29">
              <w:rPr>
                <w:rFonts w:ascii="Calibri" w:hAnsi="Calibri" w:cs="Calibri"/>
                <w:color w:val="000000"/>
                <w:sz w:val="18"/>
                <w:szCs w:val="18"/>
              </w:rPr>
              <w:t>1,000 to $2,000</w:t>
            </w:r>
          </w:p>
        </w:tc>
        <w:tc>
          <w:tcPr>
            <w:tcW w:w="1172" w:type="pct"/>
            <w:noWrap/>
            <w:vAlign w:val="center"/>
            <w:hideMark/>
          </w:tcPr>
          <w:p w14:paraId="76A8F904" w14:textId="777C05B5"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1</w:t>
            </w:r>
            <w:r>
              <w:rPr>
                <w:rFonts w:ascii="Calibri" w:hAnsi="Calibri" w:cs="Calibri"/>
                <w:color w:val="000000"/>
                <w:sz w:val="18"/>
                <w:szCs w:val="18"/>
              </w:rPr>
              <w:t>,</w:t>
            </w:r>
            <w:r w:rsidRPr="001B7E29">
              <w:rPr>
                <w:rFonts w:ascii="Calibri" w:hAnsi="Calibri" w:cs="Calibri"/>
                <w:color w:val="000000"/>
                <w:sz w:val="18"/>
                <w:szCs w:val="18"/>
              </w:rPr>
              <w:t>072</w:t>
            </w:r>
          </w:p>
        </w:tc>
        <w:tc>
          <w:tcPr>
            <w:tcW w:w="1021" w:type="pct"/>
            <w:noWrap/>
            <w:vAlign w:val="center"/>
            <w:hideMark/>
          </w:tcPr>
          <w:p w14:paraId="4B65F7CD" w14:textId="2A652355"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6.1</w:t>
            </w:r>
            <w:r w:rsidR="001B7E29" w:rsidRPr="001B7E29">
              <w:rPr>
                <w:rFonts w:ascii="Calibri" w:hAnsi="Calibri" w:cs="Calibri"/>
                <w:color w:val="000000"/>
                <w:sz w:val="18"/>
                <w:szCs w:val="18"/>
              </w:rPr>
              <w:t>%</w:t>
            </w:r>
          </w:p>
        </w:tc>
      </w:tr>
      <w:tr w:rsidR="001B7E29" w:rsidRPr="00382871" w14:paraId="0736DED0" w14:textId="77777777" w:rsidTr="003511B6">
        <w:trPr>
          <w:cnfStyle w:val="000000100000" w:firstRow="0" w:lastRow="0" w:firstColumn="0" w:lastColumn="0" w:oddVBand="0" w:evenVBand="0" w:oddHBand="1" w:evenHBand="0" w:firstRowFirstColumn="0" w:firstRowLastColumn="0" w:lastRowFirstColumn="0" w:lastRowLastColumn="0"/>
          <w:trHeight w:val="300"/>
        </w:trPr>
        <w:tc>
          <w:tcPr>
            <w:tcW w:w="2806" w:type="pct"/>
            <w:noWrap/>
            <w:vAlign w:val="center"/>
            <w:hideMark/>
          </w:tcPr>
          <w:p w14:paraId="3741ADDF" w14:textId="3879348D" w:rsidR="001B7E29" w:rsidRPr="001B7E29" w:rsidRDefault="00A748AB"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Pr="001B7E29">
              <w:rPr>
                <w:rFonts w:ascii="Calibri" w:hAnsi="Calibri" w:cs="Calibri"/>
                <w:color w:val="000000"/>
                <w:sz w:val="18"/>
                <w:szCs w:val="18"/>
              </w:rPr>
              <w:t>$</w:t>
            </w:r>
            <w:r w:rsidR="001B7E29" w:rsidRPr="001B7E29">
              <w:rPr>
                <w:rFonts w:ascii="Calibri" w:hAnsi="Calibri" w:cs="Calibri"/>
                <w:color w:val="000000"/>
                <w:sz w:val="18"/>
                <w:szCs w:val="18"/>
              </w:rPr>
              <w:t>2,000 to $5,000</w:t>
            </w:r>
          </w:p>
        </w:tc>
        <w:tc>
          <w:tcPr>
            <w:tcW w:w="1172" w:type="pct"/>
            <w:noWrap/>
            <w:vAlign w:val="center"/>
            <w:hideMark/>
          </w:tcPr>
          <w:p w14:paraId="6DB80AD1" w14:textId="6BF3E7D1"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2</w:t>
            </w:r>
            <w:r>
              <w:rPr>
                <w:rFonts w:ascii="Calibri" w:hAnsi="Calibri" w:cs="Calibri"/>
                <w:color w:val="000000"/>
                <w:sz w:val="18"/>
                <w:szCs w:val="18"/>
              </w:rPr>
              <w:t>,</w:t>
            </w:r>
            <w:r w:rsidRPr="001B7E29">
              <w:rPr>
                <w:rFonts w:ascii="Calibri" w:hAnsi="Calibri" w:cs="Calibri"/>
                <w:color w:val="000000"/>
                <w:sz w:val="18"/>
                <w:szCs w:val="18"/>
              </w:rPr>
              <w:t>813</w:t>
            </w:r>
          </w:p>
        </w:tc>
        <w:tc>
          <w:tcPr>
            <w:tcW w:w="1021" w:type="pct"/>
            <w:noWrap/>
            <w:vAlign w:val="center"/>
            <w:hideMark/>
          </w:tcPr>
          <w:p w14:paraId="4883E6B7" w14:textId="4FA70CA5"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16.1%</w:t>
            </w:r>
          </w:p>
        </w:tc>
      </w:tr>
      <w:tr w:rsidR="001B7E29" w:rsidRPr="00382871" w14:paraId="16BA6B4E" w14:textId="77777777" w:rsidTr="003511B6">
        <w:trPr>
          <w:trHeight w:val="300"/>
        </w:trPr>
        <w:tc>
          <w:tcPr>
            <w:tcW w:w="2806" w:type="pct"/>
            <w:noWrap/>
            <w:vAlign w:val="center"/>
            <w:hideMark/>
          </w:tcPr>
          <w:p w14:paraId="5F0E8D5B" w14:textId="1EE129E0" w:rsidR="001B7E29" w:rsidRPr="001B7E29" w:rsidRDefault="00A748AB"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Pr="001B7E29">
              <w:rPr>
                <w:rFonts w:ascii="Calibri" w:hAnsi="Calibri" w:cs="Calibri"/>
                <w:color w:val="000000"/>
                <w:sz w:val="18"/>
                <w:szCs w:val="18"/>
              </w:rPr>
              <w:t>$</w:t>
            </w:r>
            <w:r w:rsidR="001B7E29" w:rsidRPr="001B7E29">
              <w:rPr>
                <w:rFonts w:ascii="Calibri" w:hAnsi="Calibri" w:cs="Calibri"/>
                <w:color w:val="000000"/>
                <w:sz w:val="18"/>
                <w:szCs w:val="18"/>
              </w:rPr>
              <w:t>5,000 to $10,000</w:t>
            </w:r>
          </w:p>
        </w:tc>
        <w:tc>
          <w:tcPr>
            <w:tcW w:w="1172" w:type="pct"/>
            <w:noWrap/>
            <w:vAlign w:val="center"/>
            <w:hideMark/>
          </w:tcPr>
          <w:p w14:paraId="4C51B3F3" w14:textId="07111F76"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3</w:t>
            </w:r>
            <w:r>
              <w:rPr>
                <w:rFonts w:ascii="Calibri" w:hAnsi="Calibri" w:cs="Calibri"/>
                <w:color w:val="000000"/>
                <w:sz w:val="18"/>
                <w:szCs w:val="18"/>
              </w:rPr>
              <w:t>,</w:t>
            </w:r>
            <w:r w:rsidRPr="001B7E29">
              <w:rPr>
                <w:rFonts w:ascii="Calibri" w:hAnsi="Calibri" w:cs="Calibri"/>
                <w:color w:val="000000"/>
                <w:sz w:val="18"/>
                <w:szCs w:val="18"/>
              </w:rPr>
              <w:t>614</w:t>
            </w:r>
          </w:p>
        </w:tc>
        <w:tc>
          <w:tcPr>
            <w:tcW w:w="1021" w:type="pct"/>
            <w:noWrap/>
            <w:vAlign w:val="center"/>
            <w:hideMark/>
          </w:tcPr>
          <w:p w14:paraId="75714D96" w14:textId="60DAD878"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20.7%</w:t>
            </w:r>
          </w:p>
        </w:tc>
      </w:tr>
      <w:tr w:rsidR="001B7E29" w:rsidRPr="00382871" w14:paraId="4F4777E5" w14:textId="77777777" w:rsidTr="003511B6">
        <w:trPr>
          <w:cnfStyle w:val="000000100000" w:firstRow="0" w:lastRow="0" w:firstColumn="0" w:lastColumn="0" w:oddVBand="0" w:evenVBand="0" w:oddHBand="1" w:evenHBand="0" w:firstRowFirstColumn="0" w:firstRowLastColumn="0" w:lastRowFirstColumn="0" w:lastRowLastColumn="0"/>
          <w:trHeight w:val="300"/>
        </w:trPr>
        <w:tc>
          <w:tcPr>
            <w:tcW w:w="2806" w:type="pct"/>
            <w:noWrap/>
            <w:vAlign w:val="center"/>
            <w:hideMark/>
          </w:tcPr>
          <w:p w14:paraId="08B353E6" w14:textId="6E91CEC8" w:rsidR="001B7E29" w:rsidRPr="001B7E29" w:rsidRDefault="00A748AB"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Pr="001B7E29">
              <w:rPr>
                <w:rFonts w:ascii="Calibri" w:hAnsi="Calibri" w:cs="Calibri"/>
                <w:color w:val="000000"/>
                <w:sz w:val="18"/>
                <w:szCs w:val="18"/>
              </w:rPr>
              <w:t>$</w:t>
            </w:r>
            <w:r w:rsidR="001B7E29" w:rsidRPr="001B7E29">
              <w:rPr>
                <w:rFonts w:ascii="Calibri" w:hAnsi="Calibri" w:cs="Calibri"/>
                <w:color w:val="000000"/>
                <w:sz w:val="18"/>
                <w:szCs w:val="18"/>
              </w:rPr>
              <w:t>10,000 to $20,000</w:t>
            </w:r>
          </w:p>
        </w:tc>
        <w:tc>
          <w:tcPr>
            <w:tcW w:w="1172" w:type="pct"/>
            <w:noWrap/>
            <w:vAlign w:val="center"/>
            <w:hideMark/>
          </w:tcPr>
          <w:p w14:paraId="62A659BF" w14:textId="36F09FF3"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4</w:t>
            </w:r>
            <w:r>
              <w:rPr>
                <w:rFonts w:ascii="Calibri" w:hAnsi="Calibri" w:cs="Calibri"/>
                <w:color w:val="000000"/>
                <w:sz w:val="18"/>
                <w:szCs w:val="18"/>
              </w:rPr>
              <w:t>,</w:t>
            </w:r>
            <w:r w:rsidRPr="001B7E29">
              <w:rPr>
                <w:rFonts w:ascii="Calibri" w:hAnsi="Calibri" w:cs="Calibri"/>
                <w:color w:val="000000"/>
                <w:sz w:val="18"/>
                <w:szCs w:val="18"/>
              </w:rPr>
              <w:t>751</w:t>
            </w:r>
          </w:p>
        </w:tc>
        <w:tc>
          <w:tcPr>
            <w:tcW w:w="1021" w:type="pct"/>
            <w:noWrap/>
            <w:vAlign w:val="center"/>
            <w:hideMark/>
          </w:tcPr>
          <w:p w14:paraId="22CDE142" w14:textId="505F744B"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27</w:t>
            </w:r>
            <w:r w:rsidR="001B7E29" w:rsidRPr="001B7E29">
              <w:rPr>
                <w:rFonts w:ascii="Calibri" w:hAnsi="Calibri" w:cs="Calibri"/>
                <w:color w:val="000000"/>
                <w:sz w:val="18"/>
                <w:szCs w:val="18"/>
              </w:rPr>
              <w:t>.2%</w:t>
            </w:r>
          </w:p>
        </w:tc>
      </w:tr>
      <w:tr w:rsidR="001B7E29" w:rsidRPr="00382871" w14:paraId="7438DAEF" w14:textId="77777777" w:rsidTr="003511B6">
        <w:trPr>
          <w:trHeight w:val="300"/>
        </w:trPr>
        <w:tc>
          <w:tcPr>
            <w:tcW w:w="2806" w:type="pct"/>
            <w:noWrap/>
            <w:vAlign w:val="center"/>
            <w:hideMark/>
          </w:tcPr>
          <w:p w14:paraId="03CF5AA5" w14:textId="7F9E1CF2" w:rsidR="001B7E29" w:rsidRPr="001B7E29" w:rsidRDefault="00A748AB"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 xml:space="preserve">More than </w:t>
            </w:r>
            <w:r w:rsidRPr="001B7E29">
              <w:rPr>
                <w:rFonts w:ascii="Calibri" w:hAnsi="Calibri" w:cs="Calibri"/>
                <w:color w:val="000000"/>
                <w:sz w:val="18"/>
                <w:szCs w:val="18"/>
              </w:rPr>
              <w:t>$</w:t>
            </w:r>
            <w:r w:rsidR="001B7E29" w:rsidRPr="001B7E29">
              <w:rPr>
                <w:rFonts w:ascii="Calibri" w:hAnsi="Calibri" w:cs="Calibri"/>
                <w:color w:val="000000"/>
                <w:sz w:val="18"/>
                <w:szCs w:val="18"/>
              </w:rPr>
              <w:t>20,000 to $40,000</w:t>
            </w:r>
          </w:p>
        </w:tc>
        <w:tc>
          <w:tcPr>
            <w:tcW w:w="1172" w:type="pct"/>
            <w:noWrap/>
            <w:vAlign w:val="center"/>
            <w:hideMark/>
          </w:tcPr>
          <w:p w14:paraId="44D5263C" w14:textId="4834FBF4" w:rsidR="001B7E29" w:rsidRPr="001B7E29" w:rsidRDefault="00A748AB"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2</w:t>
            </w:r>
            <w:r>
              <w:rPr>
                <w:rFonts w:ascii="Calibri" w:hAnsi="Calibri" w:cs="Calibri"/>
                <w:color w:val="000000"/>
                <w:sz w:val="18"/>
                <w:szCs w:val="18"/>
              </w:rPr>
              <w:t>,</w:t>
            </w:r>
            <w:r w:rsidRPr="001B7E29">
              <w:rPr>
                <w:rFonts w:ascii="Calibri" w:hAnsi="Calibri" w:cs="Calibri"/>
                <w:color w:val="000000"/>
                <w:sz w:val="18"/>
                <w:szCs w:val="18"/>
              </w:rPr>
              <w:t>894</w:t>
            </w:r>
          </w:p>
        </w:tc>
        <w:tc>
          <w:tcPr>
            <w:tcW w:w="1021" w:type="pct"/>
            <w:noWrap/>
            <w:vAlign w:val="center"/>
            <w:hideMark/>
          </w:tcPr>
          <w:p w14:paraId="4028B1C6" w14:textId="28854D80"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16.6%</w:t>
            </w:r>
          </w:p>
        </w:tc>
      </w:tr>
      <w:tr w:rsidR="001B7E29" w:rsidRPr="00382871" w14:paraId="5367C1A4" w14:textId="77777777" w:rsidTr="003511B6">
        <w:trPr>
          <w:cnfStyle w:val="000000100000" w:firstRow="0" w:lastRow="0" w:firstColumn="0" w:lastColumn="0" w:oddVBand="0" w:evenVBand="0" w:oddHBand="1" w:evenHBand="0" w:firstRowFirstColumn="0" w:firstRowLastColumn="0" w:lastRowFirstColumn="0" w:lastRowLastColumn="0"/>
          <w:trHeight w:val="300"/>
        </w:trPr>
        <w:tc>
          <w:tcPr>
            <w:tcW w:w="2806" w:type="pct"/>
            <w:noWrap/>
            <w:vAlign w:val="center"/>
            <w:hideMark/>
          </w:tcPr>
          <w:p w14:paraId="4433F324" w14:textId="41E58EB3" w:rsidR="001B7E29" w:rsidRPr="001B7E29" w:rsidRDefault="001B7E29"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More than $40,000</w:t>
            </w:r>
          </w:p>
        </w:tc>
        <w:tc>
          <w:tcPr>
            <w:tcW w:w="1172" w:type="pct"/>
            <w:noWrap/>
            <w:vAlign w:val="center"/>
            <w:hideMark/>
          </w:tcPr>
          <w:p w14:paraId="180390B6" w14:textId="6678C5A7" w:rsidR="001B7E29" w:rsidRPr="001B7E29" w:rsidRDefault="001B7E29" w:rsidP="003511B6">
            <w:pPr>
              <w:keepNext/>
              <w:keepLines/>
              <w:spacing w:before="0"/>
              <w:rPr>
                <w:rFonts w:ascii="Calibri" w:eastAsia="Times New Roman" w:hAnsi="Calibri" w:cs="Calibri"/>
                <w:color w:val="000000"/>
                <w:sz w:val="18"/>
                <w:szCs w:val="18"/>
                <w:lang w:eastAsia="en-AU"/>
              </w:rPr>
            </w:pPr>
            <w:r w:rsidRPr="001B7E29">
              <w:rPr>
                <w:rFonts w:ascii="Calibri" w:hAnsi="Calibri" w:cs="Calibri"/>
                <w:color w:val="000000"/>
                <w:sz w:val="18"/>
                <w:szCs w:val="18"/>
              </w:rPr>
              <w:t>763</w:t>
            </w:r>
          </w:p>
        </w:tc>
        <w:tc>
          <w:tcPr>
            <w:tcW w:w="1021" w:type="pct"/>
            <w:noWrap/>
            <w:vAlign w:val="center"/>
            <w:hideMark/>
          </w:tcPr>
          <w:p w14:paraId="5BD3476B" w14:textId="5F44F3C4" w:rsidR="001B7E29" w:rsidRPr="001B7E29" w:rsidRDefault="00A748AB" w:rsidP="003511B6">
            <w:pPr>
              <w:keepNext/>
              <w:keepLines/>
              <w:spacing w:before="0"/>
              <w:rPr>
                <w:rFonts w:ascii="Calibri" w:eastAsia="Times New Roman" w:hAnsi="Calibri" w:cs="Calibri"/>
                <w:color w:val="000000"/>
                <w:sz w:val="18"/>
                <w:szCs w:val="18"/>
                <w:lang w:eastAsia="en-AU"/>
              </w:rPr>
            </w:pPr>
            <w:r w:rsidRPr="00A748AB">
              <w:rPr>
                <w:rFonts w:ascii="Calibri" w:hAnsi="Calibri" w:cs="Calibri"/>
                <w:color w:val="000000"/>
                <w:sz w:val="18"/>
                <w:szCs w:val="18"/>
              </w:rPr>
              <w:t>4.4</w:t>
            </w:r>
            <w:r w:rsidR="001B7E29" w:rsidRPr="001B7E29">
              <w:rPr>
                <w:rFonts w:ascii="Calibri" w:hAnsi="Calibri" w:cs="Calibri"/>
                <w:color w:val="000000"/>
                <w:sz w:val="18"/>
                <w:szCs w:val="18"/>
              </w:rPr>
              <w:t>%</w:t>
            </w:r>
          </w:p>
        </w:tc>
      </w:tr>
      <w:tr w:rsidR="001B7E29" w:rsidRPr="00382871" w14:paraId="1B9D5A1C" w14:textId="77777777" w:rsidTr="003511B6">
        <w:trPr>
          <w:cnfStyle w:val="010000000000" w:firstRow="0" w:lastRow="1" w:firstColumn="0" w:lastColumn="0" w:oddVBand="0" w:evenVBand="0" w:oddHBand="0" w:evenHBand="0" w:firstRowFirstColumn="0" w:firstRowLastColumn="0" w:lastRowFirstColumn="0" w:lastRowLastColumn="0"/>
          <w:trHeight w:val="300"/>
        </w:trPr>
        <w:tc>
          <w:tcPr>
            <w:tcW w:w="2806" w:type="pct"/>
            <w:noWrap/>
            <w:vAlign w:val="center"/>
            <w:hideMark/>
          </w:tcPr>
          <w:p w14:paraId="39DEF39C" w14:textId="77777777" w:rsidR="001B7E29" w:rsidRPr="00382871" w:rsidRDefault="001B7E29" w:rsidP="003511B6">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Total</w:t>
            </w:r>
          </w:p>
        </w:tc>
        <w:tc>
          <w:tcPr>
            <w:tcW w:w="1172" w:type="pct"/>
            <w:noWrap/>
            <w:vAlign w:val="center"/>
            <w:hideMark/>
          </w:tcPr>
          <w:p w14:paraId="3934881B" w14:textId="14B5410B" w:rsidR="001B7E29" w:rsidRPr="00382871" w:rsidRDefault="008A5D7E" w:rsidP="003511B6">
            <w:pPr>
              <w:keepNext/>
              <w:keepLines/>
              <w:spacing w:before="0"/>
              <w:rPr>
                <w:rFonts w:ascii="Calibri" w:eastAsia="Times New Roman" w:hAnsi="Calibri" w:cs="Calibri"/>
                <w:color w:val="000000"/>
                <w:sz w:val="18"/>
                <w:szCs w:val="18"/>
                <w:lang w:eastAsia="en-AU"/>
              </w:rPr>
            </w:pPr>
            <w:r>
              <w:rPr>
                <w:rFonts w:ascii="Calibri" w:hAnsi="Calibri" w:cs="Calibri"/>
                <w:color w:val="000000"/>
                <w:sz w:val="18"/>
                <w:szCs w:val="18"/>
              </w:rPr>
              <w:t>17,481</w:t>
            </w:r>
          </w:p>
        </w:tc>
        <w:tc>
          <w:tcPr>
            <w:tcW w:w="1021" w:type="pct"/>
            <w:noWrap/>
            <w:vAlign w:val="center"/>
            <w:hideMark/>
          </w:tcPr>
          <w:p w14:paraId="2F5644E2" w14:textId="77777777" w:rsidR="001B7E29" w:rsidRPr="00382871" w:rsidRDefault="001B7E29" w:rsidP="003511B6">
            <w:pPr>
              <w:keepNext/>
              <w:keepLines/>
              <w:spacing w:before="0"/>
              <w:rPr>
                <w:rFonts w:ascii="Calibri" w:eastAsia="Times New Roman" w:hAnsi="Calibri" w:cs="Calibri"/>
                <w:color w:val="000000"/>
                <w:sz w:val="18"/>
                <w:szCs w:val="18"/>
                <w:lang w:eastAsia="en-AU"/>
              </w:rPr>
            </w:pPr>
            <w:r w:rsidRPr="00382871">
              <w:rPr>
                <w:rFonts w:ascii="Calibri" w:hAnsi="Calibri" w:cs="Calibri"/>
                <w:color w:val="000000"/>
                <w:sz w:val="18"/>
                <w:szCs w:val="18"/>
              </w:rPr>
              <w:t>100.0%</w:t>
            </w:r>
          </w:p>
        </w:tc>
      </w:tr>
    </w:tbl>
    <w:p w14:paraId="7E96AD00" w14:textId="5C3F076C" w:rsidR="001B7E29" w:rsidRDefault="001B7E29" w:rsidP="001B7E29">
      <w:pPr>
        <w:pStyle w:val="Tablenote"/>
      </w:pPr>
      <w:r w:rsidRPr="00582224">
        <w:t>Note</w:t>
      </w:r>
      <w:r>
        <w:t>, d</w:t>
      </w:r>
      <w:r w:rsidRPr="00582224">
        <w:t xml:space="preserve">ata was provided </w:t>
      </w:r>
      <w:r>
        <w:t>for a total of 1</w:t>
      </w:r>
      <w:r w:rsidR="00AE42F5">
        <w:t>7</w:t>
      </w:r>
      <w:r>
        <w:t>,</w:t>
      </w:r>
      <w:r w:rsidR="00AE42F5">
        <w:t>481</w:t>
      </w:r>
      <w:r>
        <w:t xml:space="preserve"> jobs</w:t>
      </w:r>
      <w:r w:rsidRPr="00582224">
        <w:t xml:space="preserve">. </w:t>
      </w:r>
      <w:r w:rsidR="00180648">
        <w:t>Missing data not included.</w:t>
      </w:r>
      <w:r w:rsidRPr="00582224">
        <w:t xml:space="preserve"> </w:t>
      </w:r>
    </w:p>
    <w:p w14:paraId="3035FDD9" w14:textId="09A7A61C" w:rsidR="00B54352" w:rsidRPr="00B54352" w:rsidRDefault="00356B43" w:rsidP="0055434D">
      <w:pPr>
        <w:pStyle w:val="Tablenote"/>
      </w:pPr>
      <w:r w:rsidRPr="009D07D8">
        <w:t xml:space="preserve">Source: </w:t>
      </w:r>
      <w:r w:rsidR="00533FC6">
        <w:t>WHM</w:t>
      </w:r>
      <w:r w:rsidRPr="009D07D8">
        <w:t xml:space="preserve"> Survey, 2020.</w:t>
      </w:r>
    </w:p>
    <w:p w14:paraId="6B7ABB6B" w14:textId="71E77F2B" w:rsidR="00B45229" w:rsidRDefault="00DF534A" w:rsidP="00B45229">
      <w:r>
        <w:t xml:space="preserve">On average </w:t>
      </w:r>
      <w:r w:rsidR="00150E2C">
        <w:t xml:space="preserve">WHMs were </w:t>
      </w:r>
      <w:r>
        <w:t>paid $13,053</w:t>
      </w:r>
      <w:r w:rsidR="00150E2C">
        <w:t xml:space="preserve"> per Australian job</w:t>
      </w:r>
      <w:r w:rsidR="009C62AD">
        <w:t>.</w:t>
      </w:r>
      <w:r w:rsidR="00D73DB0">
        <w:rPr>
          <w:rStyle w:val="FootnoteReference"/>
        </w:rPr>
        <w:footnoteReference w:id="19"/>
      </w:r>
      <w:r w:rsidR="00A508DA">
        <w:t xml:space="preserve"> As </w:t>
      </w:r>
      <w:r w:rsidR="006B0669">
        <w:t xml:space="preserve">job </w:t>
      </w:r>
      <w:r w:rsidR="00A508DA">
        <w:t>income was</w:t>
      </w:r>
      <w:r>
        <w:t xml:space="preserve"> largely dependent on the duration of work</w:t>
      </w:r>
      <w:r w:rsidR="00B54352">
        <w:t xml:space="preserve">, </w:t>
      </w:r>
      <w:r w:rsidR="00C1490C">
        <w:t>Tasmania WHMs (</w:t>
      </w:r>
      <w:r w:rsidR="00150E2C">
        <w:t xml:space="preserve">average </w:t>
      </w:r>
      <w:r w:rsidR="00C1490C">
        <w:t xml:space="preserve">$8,885) earnt less per job than workers in other states and territories (see </w:t>
      </w:r>
      <w:r w:rsidR="00C1490C">
        <w:fldChar w:fldCharType="begin"/>
      </w:r>
      <w:r w:rsidR="00C1490C">
        <w:instrText xml:space="preserve"> REF _Ref65485286 \h </w:instrText>
      </w:r>
      <w:r w:rsidR="00C1490C">
        <w:fldChar w:fldCharType="separate"/>
      </w:r>
      <w:r w:rsidR="00F22012">
        <w:t xml:space="preserve">Figure </w:t>
      </w:r>
      <w:r w:rsidR="00F22012">
        <w:rPr>
          <w:noProof/>
        </w:rPr>
        <w:t>5</w:t>
      </w:r>
      <w:r w:rsidR="00F22012">
        <w:noBreakHyphen/>
      </w:r>
      <w:r w:rsidR="00F22012">
        <w:rPr>
          <w:noProof/>
        </w:rPr>
        <w:t>17</w:t>
      </w:r>
      <w:r w:rsidR="00C1490C">
        <w:fldChar w:fldCharType="end"/>
      </w:r>
      <w:r w:rsidR="00C1490C">
        <w:t>)</w:t>
      </w:r>
      <w:r w:rsidR="00A01D2D">
        <w:t>, with 4</w:t>
      </w:r>
      <w:r w:rsidR="00AF5BC6">
        <w:t>6</w:t>
      </w:r>
      <w:r w:rsidR="00A01D2D">
        <w:t>.</w:t>
      </w:r>
      <w:r w:rsidR="00AF5BC6">
        <w:t>9</w:t>
      </w:r>
      <w:r w:rsidR="00A01D2D">
        <w:t>% of</w:t>
      </w:r>
      <w:r w:rsidR="006B0669">
        <w:t xml:space="preserve"> Tasmanian</w:t>
      </w:r>
      <w:r w:rsidR="00A01D2D">
        <w:t xml:space="preserve"> jobs yielding less than $5,000 </w:t>
      </w:r>
      <w:r w:rsidR="006B0669">
        <w:t>income</w:t>
      </w:r>
      <w:r w:rsidR="00A01D2D">
        <w:t>.</w:t>
      </w:r>
      <w:r>
        <w:t xml:space="preserve"> In New South Wales, Western Australia and Victoria WHMs earnt around $14,000 per job; in these states </w:t>
      </w:r>
      <w:r w:rsidR="00765C32">
        <w:t>about half</w:t>
      </w:r>
      <w:r>
        <w:t xml:space="preserve"> of</w:t>
      </w:r>
      <w:r w:rsidR="00765C32">
        <w:t xml:space="preserve"> all</w:t>
      </w:r>
      <w:r>
        <w:t xml:space="preserve"> workers earnt more than $10,000 per job.</w:t>
      </w:r>
      <w:r w:rsidR="00B45229" w:rsidRPr="00B45229">
        <w:t xml:space="preserve"> </w:t>
      </w:r>
    </w:p>
    <w:p w14:paraId="5A7ABB39" w14:textId="179B5416" w:rsidR="00B45229" w:rsidRPr="00DD7141" w:rsidRDefault="00B45229" w:rsidP="00B45229">
      <w:r w:rsidRPr="00DD7141">
        <w:t>Male</w:t>
      </w:r>
      <w:r>
        <w:t xml:space="preserve"> WHMs ($14,117) were paid almost $2,000 more per job than females ($12,368), with the largest difference in the proportion of those paid $20,000 and higher per job (17.8% compared with 15.7%, respectively; see </w:t>
      </w:r>
      <w:r>
        <w:fldChar w:fldCharType="begin"/>
      </w:r>
      <w:r>
        <w:instrText xml:space="preserve"> REF _Ref73016668 \h </w:instrText>
      </w:r>
      <w:r>
        <w:fldChar w:fldCharType="separate"/>
      </w:r>
      <w:r w:rsidR="00F22012" w:rsidRPr="00DD7141">
        <w:t xml:space="preserve">Figure </w:t>
      </w:r>
      <w:r w:rsidR="00F22012">
        <w:rPr>
          <w:noProof/>
        </w:rPr>
        <w:t>5</w:t>
      </w:r>
      <w:r w:rsidR="00F22012">
        <w:noBreakHyphen/>
      </w:r>
      <w:r w:rsidR="00F22012">
        <w:rPr>
          <w:noProof/>
        </w:rPr>
        <w:t>18</w:t>
      </w:r>
      <w:r>
        <w:fldChar w:fldCharType="end"/>
      </w:r>
      <w:r>
        <w:t>). This disparity is particularly notable as males (14.6 weeks) worked almost one week less per job than females (15.4 weeks).</w:t>
      </w:r>
    </w:p>
    <w:p w14:paraId="033D2F87" w14:textId="316D67A1" w:rsidR="00C1490C" w:rsidRPr="00DF534A" w:rsidRDefault="00C1490C" w:rsidP="00C1490C"/>
    <w:p w14:paraId="5D54F8C0" w14:textId="2D6D6D6E" w:rsidR="00C1490C" w:rsidRDefault="00C1490C" w:rsidP="00C1490C">
      <w:pPr>
        <w:pStyle w:val="Caption"/>
      </w:pPr>
      <w:bookmarkStart w:id="116" w:name="_Ref65485286"/>
      <w:bookmarkStart w:id="117" w:name="_Toc7587853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17</w:t>
      </w:r>
      <w:r w:rsidR="008949B3">
        <w:rPr>
          <w:noProof/>
        </w:rPr>
        <w:fldChar w:fldCharType="end"/>
      </w:r>
      <w:bookmarkEnd w:id="116"/>
      <w:r>
        <w:t xml:space="preserve">: </w:t>
      </w:r>
      <w:r w:rsidR="00DD3F36">
        <w:t>Total</w:t>
      </w:r>
      <w:r>
        <w:t xml:space="preserve"> pay per job, by state</w:t>
      </w:r>
      <w:bookmarkEnd w:id="117"/>
    </w:p>
    <w:p w14:paraId="242FDB75" w14:textId="55A579D2" w:rsidR="001D7631" w:rsidRPr="001D7631" w:rsidRDefault="001D7631" w:rsidP="001D7631">
      <w:r>
        <w:rPr>
          <w:noProof/>
          <w:lang w:eastAsia="en-AU"/>
        </w:rPr>
        <w:drawing>
          <wp:inline distT="0" distB="0" distL="0" distR="0" wp14:anchorId="483F3E96" wp14:editId="3E893426">
            <wp:extent cx="5676900" cy="4191000"/>
            <wp:effectExtent l="0" t="0" r="0" b="0"/>
            <wp:docPr id="12" name="Chart 12" descr="Figure 5-17 Chart showing total pay per job, by state.">
              <a:extLst xmlns:a="http://schemas.openxmlformats.org/drawingml/2006/main">
                <a:ext uri="{FF2B5EF4-FFF2-40B4-BE49-F238E27FC236}">
                  <a16:creationId xmlns:a16="http://schemas.microsoft.com/office/drawing/2014/main" id="{82022012-EB1E-497A-AA49-2B6796AA0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8E40D5" w14:textId="0225181E" w:rsidR="00C45FCC" w:rsidRPr="00582224" w:rsidRDefault="00C45FCC" w:rsidP="0050128E">
      <w:pPr>
        <w:pStyle w:val="Tablenote"/>
      </w:pPr>
      <w:r w:rsidRPr="00582224">
        <w:t>Note</w:t>
      </w:r>
      <w:r>
        <w:t>, d</w:t>
      </w:r>
      <w:r w:rsidRPr="00582224">
        <w:t xml:space="preserve">ata was provided </w:t>
      </w:r>
      <w:r>
        <w:t xml:space="preserve">for a total of </w:t>
      </w:r>
      <w:r w:rsidR="00B05B82">
        <w:t>17</w:t>
      </w:r>
      <w:r w:rsidR="00401A25">
        <w:t>,481</w:t>
      </w:r>
      <w:r>
        <w:t xml:space="preserve"> jobs</w:t>
      </w:r>
      <w:r w:rsidRPr="00582224">
        <w:t>.</w:t>
      </w:r>
      <w:r w:rsidR="00401A25">
        <w:t xml:space="preserve"> Missing data not included.</w:t>
      </w:r>
      <w:r w:rsidRPr="00582224">
        <w:t xml:space="preserve"> Labels are not shown when less than 5%.</w:t>
      </w:r>
    </w:p>
    <w:p w14:paraId="1C38475E" w14:textId="28129D41" w:rsidR="00AB6F7D" w:rsidRPr="00AB6F7D" w:rsidRDefault="00356B43" w:rsidP="00AB6F7D">
      <w:pPr>
        <w:pStyle w:val="Tablenote"/>
      </w:pPr>
      <w:r w:rsidRPr="009D07D8">
        <w:t xml:space="preserve">Source: </w:t>
      </w:r>
      <w:r w:rsidR="00533FC6">
        <w:t>WHM</w:t>
      </w:r>
      <w:r w:rsidRPr="009D07D8">
        <w:t xml:space="preserve"> Survey, 2020.</w:t>
      </w:r>
    </w:p>
    <w:p w14:paraId="6C442D9E" w14:textId="6049F353" w:rsidR="00097979" w:rsidRDefault="00097979" w:rsidP="00097979">
      <w:pPr>
        <w:pStyle w:val="Caption"/>
      </w:pPr>
      <w:bookmarkStart w:id="118" w:name="_Ref73016668"/>
      <w:bookmarkStart w:id="119" w:name="_Toc75878537"/>
      <w:r w:rsidRPr="00DD7141">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18</w:t>
      </w:r>
      <w:r w:rsidR="008949B3">
        <w:rPr>
          <w:noProof/>
        </w:rPr>
        <w:fldChar w:fldCharType="end"/>
      </w:r>
      <w:bookmarkEnd w:id="118"/>
      <w:r w:rsidRPr="00DD7141">
        <w:t xml:space="preserve">: </w:t>
      </w:r>
      <w:r w:rsidR="002A577C">
        <w:t>Total p</w:t>
      </w:r>
      <w:r w:rsidRPr="00DD7141">
        <w:t>ay</w:t>
      </w:r>
      <w:r w:rsidR="009B30B4" w:rsidRPr="00DD7141">
        <w:t xml:space="preserve"> </w:t>
      </w:r>
      <w:r w:rsidRPr="00DD7141">
        <w:t>per job</w:t>
      </w:r>
      <w:r w:rsidRPr="0095195A">
        <w:t xml:space="preserve">, by </w:t>
      </w:r>
      <w:r w:rsidR="006B64F0">
        <w:t>sex</w:t>
      </w:r>
      <w:bookmarkEnd w:id="119"/>
    </w:p>
    <w:p w14:paraId="4D869DF3" w14:textId="0D5FC84A" w:rsidR="00FD0728" w:rsidRDefault="00E7380A" w:rsidP="00E16B19">
      <w:pPr>
        <w:rPr>
          <w:highlight w:val="yellow"/>
        </w:rPr>
      </w:pPr>
      <w:r>
        <w:rPr>
          <w:noProof/>
          <w:lang w:eastAsia="en-AU"/>
        </w:rPr>
        <w:drawing>
          <wp:inline distT="0" distB="0" distL="0" distR="0" wp14:anchorId="45CE7F6D" wp14:editId="57D97D95">
            <wp:extent cx="5731510" cy="2149475"/>
            <wp:effectExtent l="0" t="0" r="2540" b="3175"/>
            <wp:docPr id="75" name="Chart 75" descr="Figure 5-18 Chart showing total pay per job, by sex.">
              <a:extLst xmlns:a="http://schemas.openxmlformats.org/drawingml/2006/main">
                <a:ext uri="{FF2B5EF4-FFF2-40B4-BE49-F238E27FC236}">
                  <a16:creationId xmlns:a16="http://schemas.microsoft.com/office/drawing/2014/main" id="{2C7E6C09-C4BE-44B1-88DC-0BCAF2406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D6902D" w14:textId="7394A93E" w:rsidR="00C45FCC" w:rsidRPr="007C5A6B" w:rsidRDefault="00C45FCC" w:rsidP="00C45FCC">
      <w:pPr>
        <w:pStyle w:val="Tablenote"/>
      </w:pPr>
      <w:r w:rsidRPr="007C5A6B">
        <w:t xml:space="preserve">Note, </w:t>
      </w:r>
      <w:r w:rsidR="00C846F2">
        <w:t>d</w:t>
      </w:r>
      <w:r w:rsidR="00C846F2" w:rsidRPr="00582224">
        <w:t xml:space="preserve">ata was provided </w:t>
      </w:r>
      <w:r w:rsidR="00C846F2">
        <w:t>for a total of 17,481 jobs</w:t>
      </w:r>
      <w:r w:rsidR="00C846F2" w:rsidRPr="00582224">
        <w:t>.</w:t>
      </w:r>
      <w:r w:rsidR="00C846F2">
        <w:t xml:space="preserve"> Missing data not included</w:t>
      </w:r>
      <w:r w:rsidRPr="007C5A6B">
        <w:t>. Labels are not shown when less than 5%.</w:t>
      </w:r>
    </w:p>
    <w:p w14:paraId="2C172463" w14:textId="6D278BEB" w:rsidR="00AB6F7D" w:rsidRPr="00AB6F7D" w:rsidRDefault="00356B43" w:rsidP="00AB6F7D">
      <w:pPr>
        <w:pStyle w:val="Tablenote"/>
      </w:pPr>
      <w:r w:rsidRPr="009D07D8">
        <w:t xml:space="preserve">Source: </w:t>
      </w:r>
      <w:r w:rsidR="00533FC6">
        <w:t>WHM</w:t>
      </w:r>
      <w:r w:rsidRPr="009D07D8">
        <w:t xml:space="preserve"> Survey, 2020.</w:t>
      </w:r>
    </w:p>
    <w:p w14:paraId="2F758BE6" w14:textId="2A8147A8" w:rsidR="00FD0728" w:rsidRPr="005C105B" w:rsidRDefault="005C105B" w:rsidP="00881D22">
      <w:pPr>
        <w:keepNext/>
        <w:keepLines/>
      </w:pPr>
      <w:r w:rsidRPr="005C105B">
        <w:t>The youngest cohort of workers</w:t>
      </w:r>
      <w:r>
        <w:t xml:space="preserve"> (aged 18-19 years) received </w:t>
      </w:r>
      <w:r w:rsidR="00406952">
        <w:t>the lowest</w:t>
      </w:r>
      <w:r>
        <w:t xml:space="preserve"> pay per hour</w:t>
      </w:r>
      <w:r w:rsidR="00406952">
        <w:t xml:space="preserve"> ($17.02</w:t>
      </w:r>
      <w:r w:rsidR="00282CC0">
        <w:t>;</w:t>
      </w:r>
      <w:r w:rsidR="00874DD3">
        <w:t xml:space="preserve"> see </w:t>
      </w:r>
      <w:r w:rsidR="00874DD3">
        <w:fldChar w:fldCharType="begin"/>
      </w:r>
      <w:r w:rsidR="00874DD3">
        <w:instrText xml:space="preserve"> REF _Ref63422931 \h </w:instrText>
      </w:r>
      <w:r w:rsidR="00874DD3">
        <w:fldChar w:fldCharType="separate"/>
      </w:r>
      <w:r w:rsidR="00F22012">
        <w:t xml:space="preserve">Figure </w:t>
      </w:r>
      <w:r w:rsidR="00F22012">
        <w:rPr>
          <w:noProof/>
        </w:rPr>
        <w:t>5</w:t>
      </w:r>
      <w:r w:rsidR="00F22012">
        <w:noBreakHyphen/>
      </w:r>
      <w:r w:rsidR="00F22012">
        <w:rPr>
          <w:noProof/>
        </w:rPr>
        <w:t>6</w:t>
      </w:r>
      <w:r w:rsidR="00874DD3">
        <w:fldChar w:fldCharType="end"/>
      </w:r>
      <w:r w:rsidR="00406952">
        <w:t>)</w:t>
      </w:r>
      <w:r w:rsidR="00E623CA">
        <w:t>,</w:t>
      </w:r>
      <w:r w:rsidR="00406952">
        <w:t xml:space="preserve"> worked the fewest hours per week (34.0 hours</w:t>
      </w:r>
      <w:r w:rsidR="00282CC0">
        <w:t>;</w:t>
      </w:r>
      <w:r w:rsidR="00874DD3">
        <w:t xml:space="preserve"> see</w:t>
      </w:r>
      <w:r w:rsidR="001D3ADD">
        <w:t xml:space="preserve"> </w:t>
      </w:r>
      <w:r w:rsidR="00F20524">
        <w:fldChar w:fldCharType="begin"/>
      </w:r>
      <w:r w:rsidR="00F20524">
        <w:instrText xml:space="preserve"> REF _Ref72497270 \h </w:instrText>
      </w:r>
      <w:r w:rsidR="00F20524">
        <w:fldChar w:fldCharType="separate"/>
      </w:r>
      <w:r w:rsidR="00F22012" w:rsidRPr="00035289">
        <w:t xml:space="preserve">Figure </w:t>
      </w:r>
      <w:r w:rsidR="00F22012">
        <w:rPr>
          <w:noProof/>
        </w:rPr>
        <w:t>5</w:t>
      </w:r>
      <w:r w:rsidR="00F22012">
        <w:noBreakHyphen/>
      </w:r>
      <w:r w:rsidR="00F22012">
        <w:rPr>
          <w:noProof/>
        </w:rPr>
        <w:t>11</w:t>
      </w:r>
      <w:r w:rsidR="00F20524">
        <w:fldChar w:fldCharType="end"/>
      </w:r>
      <w:r w:rsidR="00406952">
        <w:t>)</w:t>
      </w:r>
      <w:r w:rsidR="00317587">
        <w:t xml:space="preserve"> and</w:t>
      </w:r>
      <w:r w:rsidR="00406952">
        <w:t xml:space="preserve"> worked the fewest weeks per job (12.4 weeks) resulting in them receiving</w:t>
      </w:r>
      <w:r>
        <w:t xml:space="preserve"> less </w:t>
      </w:r>
      <w:r w:rsidR="00406952">
        <w:t>pay</w:t>
      </w:r>
      <w:r>
        <w:t xml:space="preserve"> per job ($7,197</w:t>
      </w:r>
      <w:r w:rsidR="00282CC0">
        <w:t>;</w:t>
      </w:r>
      <w:r w:rsidR="00874DD3">
        <w:t xml:space="preserve"> </w:t>
      </w:r>
      <w:r w:rsidR="00406952">
        <w:t xml:space="preserve">see </w:t>
      </w:r>
      <w:r w:rsidR="00406952">
        <w:fldChar w:fldCharType="begin"/>
      </w:r>
      <w:r w:rsidR="00406952">
        <w:instrText xml:space="preserve"> REF _Ref65491652 \h </w:instrText>
      </w:r>
      <w:r w:rsidR="00406952">
        <w:fldChar w:fldCharType="separate"/>
      </w:r>
      <w:r w:rsidR="00F22012" w:rsidRPr="00B31731">
        <w:t xml:space="preserve">Figure </w:t>
      </w:r>
      <w:r w:rsidR="00F22012">
        <w:rPr>
          <w:noProof/>
        </w:rPr>
        <w:t>5</w:t>
      </w:r>
      <w:r w:rsidR="00F22012">
        <w:noBreakHyphen/>
      </w:r>
      <w:r w:rsidR="00F22012">
        <w:rPr>
          <w:noProof/>
        </w:rPr>
        <w:t>19</w:t>
      </w:r>
      <w:r w:rsidR="00406952">
        <w:fldChar w:fldCharType="end"/>
      </w:r>
      <w:r>
        <w:t>)</w:t>
      </w:r>
      <w:r w:rsidR="00406952">
        <w:t>.</w:t>
      </w:r>
      <w:r w:rsidR="00AF4D9A">
        <w:rPr>
          <w:rStyle w:val="FootnoteReference"/>
        </w:rPr>
        <w:footnoteReference w:id="20"/>
      </w:r>
      <w:r w:rsidR="00BE2CFE">
        <w:t xml:space="preserve"> </w:t>
      </w:r>
    </w:p>
    <w:p w14:paraId="3A9511F1" w14:textId="715D5EF1" w:rsidR="00C319E3" w:rsidRPr="00B31731" w:rsidRDefault="00C319E3" w:rsidP="00C319E3">
      <w:pPr>
        <w:pStyle w:val="Caption"/>
      </w:pPr>
      <w:bookmarkStart w:id="120" w:name="_Ref65491652"/>
      <w:bookmarkStart w:id="121" w:name="_Toc75878538"/>
      <w:r w:rsidRPr="00B31731">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19</w:t>
      </w:r>
      <w:r w:rsidR="008949B3">
        <w:rPr>
          <w:noProof/>
        </w:rPr>
        <w:fldChar w:fldCharType="end"/>
      </w:r>
      <w:bookmarkEnd w:id="120"/>
      <w:r w:rsidRPr="00B31731">
        <w:t xml:space="preserve">: </w:t>
      </w:r>
      <w:r w:rsidR="002A577C">
        <w:t>Total p</w:t>
      </w:r>
      <w:r w:rsidR="0028751A" w:rsidRPr="00B31731">
        <w:t xml:space="preserve">ay per job, by </w:t>
      </w:r>
      <w:r w:rsidRPr="00B31731">
        <w:t>age group</w:t>
      </w:r>
      <w:bookmarkEnd w:id="121"/>
    </w:p>
    <w:p w14:paraId="79311732" w14:textId="126EABC7" w:rsidR="00DE39C1" w:rsidRDefault="00DD2616" w:rsidP="00DE39C1">
      <w:pPr>
        <w:rPr>
          <w:highlight w:val="yellow"/>
        </w:rPr>
      </w:pPr>
      <w:r>
        <w:rPr>
          <w:noProof/>
          <w:lang w:eastAsia="en-AU"/>
        </w:rPr>
        <w:drawing>
          <wp:inline distT="0" distB="0" distL="0" distR="0" wp14:anchorId="497C3A9C" wp14:editId="70363E28">
            <wp:extent cx="5731510" cy="3076575"/>
            <wp:effectExtent l="0" t="0" r="2540" b="9525"/>
            <wp:docPr id="76" name="Chart 76" descr="Figure 5-19 Chart showing total pay per job, by age group.">
              <a:extLst xmlns:a="http://schemas.openxmlformats.org/drawingml/2006/main">
                <a:ext uri="{FF2B5EF4-FFF2-40B4-BE49-F238E27FC236}">
                  <a16:creationId xmlns:a16="http://schemas.microsoft.com/office/drawing/2014/main" id="{161C0DB0-E873-4018-B305-63716E5EC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787753" w14:textId="292DA1F1" w:rsidR="0028751A" w:rsidRPr="00035289" w:rsidRDefault="0028751A" w:rsidP="0028751A">
      <w:pPr>
        <w:pStyle w:val="Tablenote"/>
      </w:pPr>
      <w:r w:rsidRPr="00035289">
        <w:t>Note</w:t>
      </w:r>
      <w:r w:rsidR="00C846F2">
        <w:t>, d</w:t>
      </w:r>
      <w:r w:rsidR="00C846F2" w:rsidRPr="00582224">
        <w:t xml:space="preserve">ata was provided </w:t>
      </w:r>
      <w:r w:rsidR="00C846F2">
        <w:t>for a total of 17,</w:t>
      </w:r>
      <w:r w:rsidR="00C65F08">
        <w:t>162</w:t>
      </w:r>
      <w:r w:rsidR="00C846F2">
        <w:t xml:space="preserve"> jobs</w:t>
      </w:r>
      <w:r w:rsidR="00C846F2" w:rsidRPr="00582224">
        <w:t>.</w:t>
      </w:r>
      <w:r w:rsidR="00C846F2">
        <w:t xml:space="preserve"> Missing data not included.</w:t>
      </w:r>
      <w:r w:rsidR="00C846F2" w:rsidRPr="00582224">
        <w:t xml:space="preserve"> </w:t>
      </w:r>
      <w:r w:rsidRPr="00035289">
        <w:t xml:space="preserve"> Labels are not shown when less than 5%.</w:t>
      </w:r>
    </w:p>
    <w:p w14:paraId="646A802B" w14:textId="71DA149C" w:rsidR="00AB6F7D" w:rsidRPr="00AB6F7D" w:rsidRDefault="00356B43" w:rsidP="00AB6F7D">
      <w:pPr>
        <w:pStyle w:val="Tablenote"/>
      </w:pPr>
      <w:r w:rsidRPr="009D07D8">
        <w:t xml:space="preserve">Source: </w:t>
      </w:r>
      <w:r w:rsidR="00533FC6">
        <w:t>WHM</w:t>
      </w:r>
      <w:r w:rsidRPr="009D07D8">
        <w:t xml:space="preserve"> Survey, 2020.</w:t>
      </w:r>
    </w:p>
    <w:p w14:paraId="37CFFCCE" w14:textId="5A3B8A8C" w:rsidR="003918A5" w:rsidRDefault="006F32C9" w:rsidP="00DE39C1">
      <w:r>
        <w:t>Of the ten most common jobs, meat, chicken</w:t>
      </w:r>
      <w:r w:rsidR="00F23216">
        <w:t>,</w:t>
      </w:r>
      <w:r>
        <w:t xml:space="preserve"> and fish process workers received the </w:t>
      </w:r>
      <w:r w:rsidR="00FD66E0">
        <w:t xml:space="preserve">highest pay per job receiving an average of $17,674 for an average of 19.6 weeks work (see </w:t>
      </w:r>
      <w:r w:rsidR="00FD66E0">
        <w:fldChar w:fldCharType="begin"/>
      </w:r>
      <w:r w:rsidR="00FD66E0">
        <w:instrText xml:space="preserve"> REF _Ref65499297 \h </w:instrText>
      </w:r>
      <w:r w:rsidR="00FD66E0">
        <w:fldChar w:fldCharType="separate"/>
      </w:r>
      <w:r w:rsidR="00F22012" w:rsidRPr="006F32C9">
        <w:t xml:space="preserve">Figure </w:t>
      </w:r>
      <w:r w:rsidR="00F22012">
        <w:rPr>
          <w:noProof/>
        </w:rPr>
        <w:t>5</w:t>
      </w:r>
      <w:r w:rsidR="00F22012">
        <w:noBreakHyphen/>
      </w:r>
      <w:r w:rsidR="00F22012">
        <w:rPr>
          <w:noProof/>
        </w:rPr>
        <w:t>20</w:t>
      </w:r>
      <w:r w:rsidR="00FD66E0">
        <w:fldChar w:fldCharType="end"/>
      </w:r>
      <w:r w:rsidR="00FD66E0">
        <w:t>). This can be contrasted with nannies and au pairs who received $6,527 for a similar duration (19.3 weeks). Crop farm workers spent an average of 11.8 weeks on a job for $9,577 pay</w:t>
      </w:r>
      <w:r w:rsidR="00530684">
        <w:t>; whereas building labourers worked on a job for an average of 12.0 weeks to receive an average of $13,604</w:t>
      </w:r>
      <w:r w:rsidR="00713B13">
        <w:t>.</w:t>
      </w:r>
      <w:r w:rsidR="00DD5841">
        <w:t xml:space="preserve"> </w:t>
      </w:r>
      <w:r w:rsidR="0005453F">
        <w:t xml:space="preserve">Half </w:t>
      </w:r>
      <w:r w:rsidR="00DD5841">
        <w:t>(</w:t>
      </w:r>
      <w:r w:rsidR="0080164D">
        <w:t>50.8</w:t>
      </w:r>
      <w:r w:rsidR="00DD5841">
        <w:t xml:space="preserve">%) of </w:t>
      </w:r>
      <w:r w:rsidR="00713B13">
        <w:t>this group</w:t>
      </w:r>
      <w:r w:rsidR="00DD5841">
        <w:t xml:space="preserve"> earned more than $</w:t>
      </w:r>
      <w:r w:rsidR="0080164D">
        <w:t>1</w:t>
      </w:r>
      <w:r w:rsidR="00DD5841">
        <w:t>0,000</w:t>
      </w:r>
      <w:r w:rsidR="00530684">
        <w:t xml:space="preserve">. </w:t>
      </w:r>
      <w:r w:rsidR="00524EBD">
        <w:t>Waiters received an average of $11,088 per job</w:t>
      </w:r>
      <w:r w:rsidR="5389E8F5">
        <w:t>,</w:t>
      </w:r>
      <w:r w:rsidR="00524EBD">
        <w:t xml:space="preserve"> with </w:t>
      </w:r>
      <w:r w:rsidR="00606720">
        <w:t>four in five</w:t>
      </w:r>
      <w:r w:rsidR="00524EBD">
        <w:t xml:space="preserve"> (</w:t>
      </w:r>
      <w:r w:rsidR="00606720">
        <w:t>81.4</w:t>
      </w:r>
      <w:r w:rsidR="00524EBD">
        <w:t xml:space="preserve">%) </w:t>
      </w:r>
      <w:r w:rsidR="00CB3139">
        <w:t>paid</w:t>
      </w:r>
      <w:r w:rsidR="00524EBD">
        <w:t xml:space="preserve"> less than $10,000.</w:t>
      </w:r>
    </w:p>
    <w:p w14:paraId="10836DE0" w14:textId="5A37B10A" w:rsidR="00881D22" w:rsidRDefault="00881D22" w:rsidP="00881D22">
      <w:r>
        <w:t xml:space="preserve">The high proportion of young German WHMs and the comparatively low pay rate for young workers has contributed to the fact that German citizens ($9,511) reported the lowest pay per job of the Top 10 countries (see </w:t>
      </w:r>
      <w:r>
        <w:fldChar w:fldCharType="begin"/>
      </w:r>
      <w:r>
        <w:instrText xml:space="preserve"> REF _Ref65504143 \h </w:instrText>
      </w:r>
      <w:r>
        <w:fldChar w:fldCharType="separate"/>
      </w:r>
      <w:r w:rsidR="00F22012" w:rsidRPr="00EA0C65">
        <w:t xml:space="preserve">Figure </w:t>
      </w:r>
      <w:r w:rsidR="00F22012">
        <w:rPr>
          <w:noProof/>
        </w:rPr>
        <w:t>5</w:t>
      </w:r>
      <w:r w:rsidR="00F22012">
        <w:noBreakHyphen/>
      </w:r>
      <w:r w:rsidR="00F22012">
        <w:rPr>
          <w:noProof/>
        </w:rPr>
        <w:t>21</w:t>
      </w:r>
      <w:r>
        <w:fldChar w:fldCharType="end"/>
      </w:r>
      <w:r>
        <w:t xml:space="preserve">). Only 12.1% of German WHMs reported being paid more than $20,000 in a job (see </w:t>
      </w:r>
      <w:r>
        <w:fldChar w:fldCharType="begin"/>
      </w:r>
      <w:r>
        <w:instrText xml:space="preserve"> REF _Ref73006744 \h </w:instrText>
      </w:r>
      <w:r>
        <w:fldChar w:fldCharType="separate"/>
      </w:r>
      <w:r w:rsidR="00F22012" w:rsidRPr="00EA0C65">
        <w:t xml:space="preserve">Figure </w:t>
      </w:r>
      <w:r w:rsidR="00F22012">
        <w:rPr>
          <w:noProof/>
        </w:rPr>
        <w:t>5</w:t>
      </w:r>
      <w:r w:rsidR="00F22012">
        <w:noBreakHyphen/>
      </w:r>
      <w:r w:rsidR="00F22012">
        <w:rPr>
          <w:noProof/>
        </w:rPr>
        <w:t>22</w:t>
      </w:r>
      <w:r>
        <w:fldChar w:fldCharType="end"/>
      </w:r>
      <w:r>
        <w:t>). This can be contrasted with the</w:t>
      </w:r>
      <w:r w:rsidDel="00061848">
        <w:t xml:space="preserve"> </w:t>
      </w:r>
      <w:r>
        <w:t xml:space="preserve">Irish, more than three quarters (78.6%) of whom worked more than 30 hours per week for an average of 17.4 weeks for $19,025. </w:t>
      </w:r>
    </w:p>
    <w:p w14:paraId="7E73F249" w14:textId="77777777" w:rsidR="00881D22" w:rsidRPr="006F32C9" w:rsidRDefault="00881D22" w:rsidP="00DE39C1"/>
    <w:p w14:paraId="705CAE26" w14:textId="26E40B79" w:rsidR="00C319E3" w:rsidRPr="00EB68E7" w:rsidRDefault="00C319E3" w:rsidP="00C319E3">
      <w:pPr>
        <w:pStyle w:val="Caption"/>
      </w:pPr>
      <w:bookmarkStart w:id="122" w:name="_Ref65499297"/>
      <w:bookmarkStart w:id="123" w:name="_Toc75878539"/>
      <w:r w:rsidRPr="006F32C9">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20</w:t>
      </w:r>
      <w:r w:rsidR="008949B3">
        <w:rPr>
          <w:noProof/>
        </w:rPr>
        <w:fldChar w:fldCharType="end"/>
      </w:r>
      <w:bookmarkEnd w:id="122"/>
      <w:r w:rsidRPr="006F32C9">
        <w:t xml:space="preserve">: </w:t>
      </w:r>
      <w:r w:rsidR="002A577C">
        <w:t>Total p</w:t>
      </w:r>
      <w:r w:rsidR="00EB68E7" w:rsidRPr="00EB68E7">
        <w:t xml:space="preserve">ay per </w:t>
      </w:r>
      <w:r w:rsidR="00FD66E0">
        <w:t>job</w:t>
      </w:r>
      <w:r w:rsidRPr="00EB68E7">
        <w:t xml:space="preserve"> in Top 10 WHMs jobs</w:t>
      </w:r>
      <w:bookmarkEnd w:id="123"/>
    </w:p>
    <w:p w14:paraId="2A17803A" w14:textId="747FEA0B" w:rsidR="00C319E3" w:rsidRPr="00C319E3" w:rsidRDefault="0099270A" w:rsidP="006024C4">
      <w:pPr>
        <w:keepNext/>
        <w:keepLines/>
        <w:rPr>
          <w:highlight w:val="yellow"/>
        </w:rPr>
      </w:pPr>
      <w:r>
        <w:rPr>
          <w:noProof/>
          <w:lang w:eastAsia="en-AU"/>
        </w:rPr>
        <w:drawing>
          <wp:inline distT="0" distB="0" distL="0" distR="0" wp14:anchorId="278F5992" wp14:editId="6516842D">
            <wp:extent cx="5728827" cy="4032000"/>
            <wp:effectExtent l="0" t="0" r="5715" b="6985"/>
            <wp:docPr id="78" name="Chart 78" descr="Figure 5-20 Chart showing total pay per job in top 10 WHM jobs">
              <a:extLst xmlns:a="http://schemas.openxmlformats.org/drawingml/2006/main">
                <a:ext uri="{FF2B5EF4-FFF2-40B4-BE49-F238E27FC236}">
                  <a16:creationId xmlns:a16="http://schemas.microsoft.com/office/drawing/2014/main" id="{6DE205B6-9EC0-478D-9ED1-86A7AC11C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9EE871" w14:textId="2C68B63C" w:rsidR="00C319E3" w:rsidRPr="00E34B27" w:rsidRDefault="00C319E3" w:rsidP="00C319E3">
      <w:pPr>
        <w:pStyle w:val="Tablenote"/>
      </w:pPr>
      <w:r w:rsidRPr="00E34B27">
        <w:t>Note, for this purpose Top 10 jobs are those reported most commonly and account for 1</w:t>
      </w:r>
      <w:r w:rsidR="00985834">
        <w:t>1</w:t>
      </w:r>
      <w:r w:rsidRPr="00E34B27">
        <w:t>,</w:t>
      </w:r>
      <w:r w:rsidR="002A577C">
        <w:t>255</w:t>
      </w:r>
      <w:r w:rsidRPr="00E34B27">
        <w:t xml:space="preserve"> jobs.</w:t>
      </w:r>
      <w:r w:rsidR="002A577C">
        <w:t xml:space="preserve"> Missing data not included.</w:t>
      </w:r>
      <w:r w:rsidRPr="00E34B27">
        <w:t xml:space="preserve"> Labels are not shown when less than 5%.</w:t>
      </w:r>
    </w:p>
    <w:p w14:paraId="089A55FF" w14:textId="33C743C0" w:rsidR="00AB6F7D" w:rsidRPr="00AB6F7D" w:rsidRDefault="00356B43" w:rsidP="00AB6F7D">
      <w:pPr>
        <w:pStyle w:val="Tablenote"/>
      </w:pPr>
      <w:r w:rsidRPr="009D07D8">
        <w:t xml:space="preserve">Source: </w:t>
      </w:r>
      <w:r w:rsidR="00533FC6">
        <w:t>WHM</w:t>
      </w:r>
      <w:r w:rsidRPr="009D07D8">
        <w:t xml:space="preserve"> Survey, 2020.</w:t>
      </w:r>
    </w:p>
    <w:p w14:paraId="00B95CE2" w14:textId="0E28E981" w:rsidR="00C319E3" w:rsidRPr="00EA0C65" w:rsidRDefault="00C319E3" w:rsidP="00C319E3">
      <w:pPr>
        <w:pStyle w:val="Caption"/>
      </w:pPr>
      <w:bookmarkStart w:id="124" w:name="_Ref65504143"/>
      <w:bookmarkStart w:id="125" w:name="_Toc75878540"/>
      <w:r w:rsidRPr="00EA0C65">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21</w:t>
      </w:r>
      <w:r w:rsidR="008949B3">
        <w:rPr>
          <w:noProof/>
        </w:rPr>
        <w:fldChar w:fldCharType="end"/>
      </w:r>
      <w:bookmarkEnd w:id="124"/>
      <w:r w:rsidRPr="00EA0C65">
        <w:t xml:space="preserve">: </w:t>
      </w:r>
      <w:r w:rsidR="00F47F87" w:rsidRPr="00EA0C65">
        <w:t xml:space="preserve">Average pay per job </w:t>
      </w:r>
      <w:r w:rsidRPr="00EA0C65">
        <w:t>for Top 10 countries</w:t>
      </w:r>
      <w:bookmarkEnd w:id="125"/>
    </w:p>
    <w:p w14:paraId="622CF82E" w14:textId="3E535CC6" w:rsidR="00C319E3" w:rsidRPr="00EA0C65" w:rsidRDefault="00EA0C65" w:rsidP="00C319E3">
      <w:pPr>
        <w:keepNext/>
        <w:keepLines/>
      </w:pPr>
      <w:r w:rsidRPr="00EA0C65">
        <w:rPr>
          <w:noProof/>
          <w:lang w:eastAsia="en-AU"/>
        </w:rPr>
        <w:drawing>
          <wp:inline distT="0" distB="0" distL="0" distR="0" wp14:anchorId="1F1AEA94" wp14:editId="18F7EE19">
            <wp:extent cx="5781675" cy="2743200"/>
            <wp:effectExtent l="0" t="0" r="9525" b="0"/>
            <wp:docPr id="1091" name="Chart 1091" descr="Figure 5-21 Chart showing average pay per job for top 10 countries.">
              <a:extLst xmlns:a="http://schemas.openxmlformats.org/drawingml/2006/main">
                <a:ext uri="{FF2B5EF4-FFF2-40B4-BE49-F238E27FC236}">
                  <a16:creationId xmlns:a16="http://schemas.microsoft.com/office/drawing/2014/main" id="{32128CCB-27A0-4ECE-A007-D57D1CDD3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39F1BF" w14:textId="77777777" w:rsidR="00C319E3" w:rsidRPr="00EA0C65" w:rsidRDefault="00C319E3" w:rsidP="00C319E3">
      <w:pPr>
        <w:pStyle w:val="Tablenote"/>
      </w:pPr>
      <w:r w:rsidRPr="00EA0C65">
        <w:t>Note, for this purpose Top 10 countries are those with the most listed jobs, and account for 15,970 jobs.</w:t>
      </w:r>
    </w:p>
    <w:p w14:paraId="6E089F2F" w14:textId="741E6B01" w:rsidR="00356B43" w:rsidRDefault="00356B43" w:rsidP="00356B43">
      <w:pPr>
        <w:pStyle w:val="Tablenote"/>
      </w:pPr>
      <w:bookmarkStart w:id="126" w:name="_Ref65504170"/>
      <w:r w:rsidRPr="009D07D8">
        <w:t xml:space="preserve">Source: </w:t>
      </w:r>
      <w:r w:rsidR="00533FC6">
        <w:t>WHM</w:t>
      </w:r>
      <w:r w:rsidRPr="009D07D8">
        <w:t xml:space="preserve"> Survey, 2020.</w:t>
      </w:r>
    </w:p>
    <w:p w14:paraId="6C670D41" w14:textId="5555DAB7" w:rsidR="00C319E3" w:rsidRDefault="00C319E3" w:rsidP="00C319E3">
      <w:pPr>
        <w:pStyle w:val="Caption"/>
      </w:pPr>
      <w:bookmarkStart w:id="127" w:name="_Ref73006744"/>
      <w:bookmarkStart w:id="128" w:name="_Toc75878541"/>
      <w:r w:rsidRPr="00EA0C65">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22</w:t>
      </w:r>
      <w:r w:rsidR="008949B3">
        <w:rPr>
          <w:noProof/>
        </w:rPr>
        <w:fldChar w:fldCharType="end"/>
      </w:r>
      <w:bookmarkEnd w:id="126"/>
      <w:bookmarkEnd w:id="127"/>
      <w:r w:rsidRPr="00EA0C65">
        <w:t xml:space="preserve">: </w:t>
      </w:r>
      <w:r w:rsidR="004002A3">
        <w:t>P</w:t>
      </w:r>
      <w:r w:rsidR="00EA0C65" w:rsidRPr="00EA0C65">
        <w:t>ay</w:t>
      </w:r>
      <w:r w:rsidRPr="00EA0C65">
        <w:t xml:space="preserve"> </w:t>
      </w:r>
      <w:r w:rsidR="00EA0C65" w:rsidRPr="00EA0C65">
        <w:t>per job</w:t>
      </w:r>
      <w:r w:rsidRPr="00EA0C65">
        <w:t xml:space="preserve"> for Top 10 countries</w:t>
      </w:r>
      <w:bookmarkEnd w:id="128"/>
    </w:p>
    <w:p w14:paraId="487456F9" w14:textId="08383A6D" w:rsidR="00C319E3" w:rsidRPr="00EA0C65" w:rsidRDefault="00227DA5" w:rsidP="00C319E3">
      <w:r>
        <w:rPr>
          <w:noProof/>
          <w:lang w:eastAsia="en-AU"/>
        </w:rPr>
        <w:drawing>
          <wp:inline distT="0" distB="0" distL="0" distR="0" wp14:anchorId="63623405" wp14:editId="3AF1255C">
            <wp:extent cx="5728335" cy="3890513"/>
            <wp:effectExtent l="0" t="0" r="5715" b="15240"/>
            <wp:docPr id="84" name="Chart 84" descr="Figure 5-22 Chart showing pay per job for top 10 countries.">
              <a:extLst xmlns:a="http://schemas.openxmlformats.org/drawingml/2006/main">
                <a:ext uri="{FF2B5EF4-FFF2-40B4-BE49-F238E27FC236}">
                  <a16:creationId xmlns:a16="http://schemas.microsoft.com/office/drawing/2014/main" id="{26345BF0-03F8-4BC5-AE68-CA5BF4DB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3958B6" w14:textId="02A1A7D1" w:rsidR="00C319E3" w:rsidRPr="00EA0C65" w:rsidRDefault="00C319E3" w:rsidP="00C319E3">
      <w:pPr>
        <w:pStyle w:val="Tablenote"/>
      </w:pPr>
      <w:r w:rsidRPr="00EA0C65">
        <w:t>Note, for this purpose Top 10 countries are those with the most listed jobs, and account for 1</w:t>
      </w:r>
      <w:r w:rsidR="003F28DC">
        <w:t>4</w:t>
      </w:r>
      <w:r w:rsidRPr="00EA0C65">
        <w:t>,</w:t>
      </w:r>
      <w:r w:rsidR="003F28DC">
        <w:t>174</w:t>
      </w:r>
      <w:r w:rsidRPr="00EA0C65">
        <w:t xml:space="preserve"> jobs. </w:t>
      </w:r>
      <w:r w:rsidR="003F28DC">
        <w:t xml:space="preserve">Missing data not included. </w:t>
      </w:r>
      <w:r w:rsidRPr="00EA0C65">
        <w:t>Labels are not shown when less than 5%.</w:t>
      </w:r>
    </w:p>
    <w:p w14:paraId="5CB1C823" w14:textId="4DFBFB60" w:rsidR="00E16B19" w:rsidRDefault="00C319E3" w:rsidP="00356B43">
      <w:pPr>
        <w:pStyle w:val="Tablenote"/>
      </w:pPr>
      <w:r w:rsidRPr="00EA0C65">
        <w:t xml:space="preserve">Source: </w:t>
      </w:r>
      <w:r w:rsidR="00533FC6">
        <w:t>WHM</w:t>
      </w:r>
      <w:r w:rsidRPr="00EA0C65">
        <w:t xml:space="preserve"> Survey, </w:t>
      </w:r>
      <w:r w:rsidR="00356B43" w:rsidRPr="009D07D8">
        <w:t>2020.</w:t>
      </w:r>
    </w:p>
    <w:p w14:paraId="2B57C3C7" w14:textId="56E76F03" w:rsidR="00E16B19" w:rsidRPr="002F6B2D" w:rsidRDefault="00070FF4" w:rsidP="00FD49B5">
      <w:pPr>
        <w:pStyle w:val="Heading2"/>
        <w:spacing w:after="0"/>
        <w:ind w:hanging="578"/>
      </w:pPr>
      <w:bookmarkStart w:id="129" w:name="_Toc75878463"/>
      <w:r>
        <w:t>Spending</w:t>
      </w:r>
      <w:bookmarkEnd w:id="129"/>
    </w:p>
    <w:p w14:paraId="121A7CC2" w14:textId="77777777" w:rsidR="00E16B19" w:rsidRPr="00CB4A6E" w:rsidRDefault="00E16B19" w:rsidP="008A55F1">
      <w:pPr>
        <w:pStyle w:val="Heading3"/>
      </w:pPr>
      <w:bookmarkStart w:id="130" w:name="_Toc75878464"/>
      <w:r w:rsidRPr="00CB4A6E">
        <w:t>Structure of expenditure</w:t>
      </w:r>
      <w:bookmarkEnd w:id="130"/>
    </w:p>
    <w:p w14:paraId="0B677BE5" w14:textId="4F9093F6" w:rsidR="00AA5FC1" w:rsidRDefault="00AA5FC1" w:rsidP="00B46E66">
      <w:r>
        <w:t>Survey participants were asked to estimate their average weekly expenditure for each location in which they spent longer than one week. Expenditure was allocated over seven categories including accommodation, transport, food and drink, entertainment, tourism, bills, and other</w:t>
      </w:r>
      <w:r w:rsidR="00553C83">
        <w:t>.</w:t>
      </w:r>
    </w:p>
    <w:p w14:paraId="4A935F34" w14:textId="23354A9E" w:rsidR="009078CE" w:rsidRDefault="005039CF" w:rsidP="00B46E66">
      <w:r>
        <w:t>Accommodation was identified as</w:t>
      </w:r>
      <w:r w:rsidR="00B11E58" w:rsidRPr="00CB4A6E">
        <w:t xml:space="preserve"> the largest expenditure category for WHM</w:t>
      </w:r>
      <w:r w:rsidR="00D83039" w:rsidRPr="00CB4A6E">
        <w:t xml:space="preserve">s </w:t>
      </w:r>
      <w:r w:rsidR="00F357A8" w:rsidRPr="00CB4A6E">
        <w:t>with average total expenditure of $8,0</w:t>
      </w:r>
      <w:r w:rsidR="00AB74F3">
        <w:t>00</w:t>
      </w:r>
      <w:r w:rsidR="00AB74F3">
        <w:rPr>
          <w:rStyle w:val="FootnoteReference"/>
        </w:rPr>
        <w:footnoteReference w:id="21"/>
      </w:r>
      <w:r w:rsidR="000F5A06">
        <w:t xml:space="preserve"> </w:t>
      </w:r>
      <w:r w:rsidR="00433D2E">
        <w:t xml:space="preserve">(see </w:t>
      </w:r>
      <w:r w:rsidR="008615FD">
        <w:fldChar w:fldCharType="begin"/>
      </w:r>
      <w:r w:rsidR="008615FD">
        <w:instrText xml:space="preserve"> REF _Ref69134215 \h </w:instrText>
      </w:r>
      <w:r w:rsidR="008615FD">
        <w:fldChar w:fldCharType="separate"/>
      </w:r>
      <w:r w:rsidR="00F22012">
        <w:t xml:space="preserve">Table </w:t>
      </w:r>
      <w:r w:rsidR="00F22012">
        <w:rPr>
          <w:noProof/>
        </w:rPr>
        <w:t>5</w:t>
      </w:r>
      <w:r w:rsidR="00F22012">
        <w:noBreakHyphen/>
      </w:r>
      <w:r w:rsidR="00F22012">
        <w:rPr>
          <w:noProof/>
        </w:rPr>
        <w:t>8</w:t>
      </w:r>
      <w:r w:rsidR="008615FD">
        <w:fldChar w:fldCharType="end"/>
      </w:r>
      <w:r w:rsidR="00433D2E">
        <w:t>)</w:t>
      </w:r>
      <w:r w:rsidR="008E6DC1" w:rsidRPr="00CB4A6E">
        <w:t xml:space="preserve">. </w:t>
      </w:r>
      <w:r w:rsidR="008C63A5" w:rsidRPr="00CB4A6E">
        <w:t xml:space="preserve">The next largest categories were </w:t>
      </w:r>
      <w:r w:rsidR="00EC101B">
        <w:t>f</w:t>
      </w:r>
      <w:r w:rsidR="008C63A5" w:rsidRPr="00CB4A6E">
        <w:t xml:space="preserve">ood and </w:t>
      </w:r>
      <w:r w:rsidR="00EC101B">
        <w:t>d</w:t>
      </w:r>
      <w:r w:rsidR="008C63A5" w:rsidRPr="00CB4A6E">
        <w:t>rink with average total expenditure of $4,6</w:t>
      </w:r>
      <w:r w:rsidR="008F0AC5">
        <w:t>00</w:t>
      </w:r>
      <w:r w:rsidR="008C63A5" w:rsidRPr="00CB4A6E">
        <w:t xml:space="preserve"> </w:t>
      </w:r>
      <w:r w:rsidR="001A6391">
        <w:t>followed by</w:t>
      </w:r>
      <w:r w:rsidR="008C63A5" w:rsidRPr="00CB4A6E">
        <w:t xml:space="preserve"> </w:t>
      </w:r>
      <w:r w:rsidR="00EC101B">
        <w:t>e</w:t>
      </w:r>
      <w:r w:rsidR="008C63A5" w:rsidRPr="00CB4A6E">
        <w:t xml:space="preserve">ntertainment </w:t>
      </w:r>
      <w:r w:rsidR="000A2D6B" w:rsidRPr="00CB4A6E">
        <w:t>at $3,</w:t>
      </w:r>
      <w:r w:rsidR="008F0AC5">
        <w:t>300</w:t>
      </w:r>
      <w:r w:rsidR="00590386" w:rsidRPr="00CB4A6E">
        <w:t xml:space="preserve">. </w:t>
      </w:r>
      <w:r w:rsidR="00D5391B">
        <w:t xml:space="preserve">As </w:t>
      </w:r>
      <w:r w:rsidR="001D0E8B">
        <w:t>previously</w:t>
      </w:r>
      <w:r w:rsidR="00D5391B">
        <w:t xml:space="preserve"> discussed, m</w:t>
      </w:r>
      <w:r w:rsidR="00191BA6">
        <w:t>en</w:t>
      </w:r>
      <w:r w:rsidR="00AF210C">
        <w:t xml:space="preserve"> </w:t>
      </w:r>
      <w:r w:rsidR="000D1CE9">
        <w:t>had a higher expenditure</w:t>
      </w:r>
      <w:r w:rsidR="00AF210C">
        <w:t xml:space="preserve"> </w:t>
      </w:r>
      <w:r w:rsidR="002F6311">
        <w:t xml:space="preserve">than women </w:t>
      </w:r>
      <w:r w:rsidR="00AF210C">
        <w:t>during their time in Australia</w:t>
      </w:r>
      <w:r w:rsidR="002F6311">
        <w:t>.</w:t>
      </w:r>
      <w:r w:rsidR="00D5391B">
        <w:t xml:space="preserve"> </w:t>
      </w:r>
      <w:r w:rsidR="00943F76">
        <w:t>T</w:t>
      </w:r>
      <w:r w:rsidR="00D7230B" w:rsidRPr="00CB4A6E">
        <w:t>his typically came from increased expenditure on food and drink ($5,</w:t>
      </w:r>
      <w:r w:rsidR="008F0AC5">
        <w:t>100</w:t>
      </w:r>
      <w:r w:rsidR="00D7230B" w:rsidRPr="00CB4A6E">
        <w:t xml:space="preserve"> for men</w:t>
      </w:r>
      <w:r w:rsidR="00EF64F7">
        <w:t>;</w:t>
      </w:r>
      <w:r w:rsidR="00D7230B" w:rsidRPr="00CB4A6E">
        <w:t xml:space="preserve"> $4,</w:t>
      </w:r>
      <w:r w:rsidR="008F0AC5">
        <w:t>400</w:t>
      </w:r>
      <w:r w:rsidR="00D7230B" w:rsidRPr="00CB4A6E">
        <w:t xml:space="preserve"> for women), entertainment ($3,</w:t>
      </w:r>
      <w:r w:rsidR="008F0AC5">
        <w:t>800</w:t>
      </w:r>
      <w:r w:rsidR="00D7230B" w:rsidRPr="00CB4A6E">
        <w:t xml:space="preserve"> for men</w:t>
      </w:r>
      <w:r w:rsidR="00EF64F7">
        <w:t>;</w:t>
      </w:r>
      <w:r w:rsidR="00D7230B" w:rsidRPr="00CB4A6E">
        <w:t xml:space="preserve"> $2</w:t>
      </w:r>
      <w:r w:rsidR="00EF64F7">
        <w:t>,</w:t>
      </w:r>
      <w:r w:rsidR="00D7230B" w:rsidRPr="00CB4A6E">
        <w:t>9</w:t>
      </w:r>
      <w:r w:rsidR="008F0AC5">
        <w:t>00</w:t>
      </w:r>
      <w:r w:rsidR="00D7230B" w:rsidRPr="00CB4A6E">
        <w:t xml:space="preserve"> for women) and tourism ($3,1</w:t>
      </w:r>
      <w:r w:rsidR="008F0AC5">
        <w:t>00</w:t>
      </w:r>
      <w:r w:rsidR="00D7230B" w:rsidRPr="00CB4A6E">
        <w:t xml:space="preserve"> for men</w:t>
      </w:r>
      <w:r w:rsidR="00EF64F7">
        <w:t>;</w:t>
      </w:r>
      <w:r w:rsidR="00D7230B" w:rsidRPr="00CB4A6E">
        <w:t xml:space="preserve"> $2,</w:t>
      </w:r>
      <w:r w:rsidR="008F0AC5">
        <w:t>800</w:t>
      </w:r>
      <w:r w:rsidR="00D7230B" w:rsidRPr="00CB4A6E">
        <w:t xml:space="preserve"> for women).</w:t>
      </w:r>
      <w:r w:rsidR="007C5C05">
        <w:t xml:space="preserve"> </w:t>
      </w:r>
      <w:r w:rsidR="004A4A73">
        <w:t>In dollar terms, m</w:t>
      </w:r>
      <w:r w:rsidR="007C5C05">
        <w:t>en and women spent roughly eq</w:t>
      </w:r>
      <w:r w:rsidR="00D4320E">
        <w:t>u</w:t>
      </w:r>
      <w:r w:rsidR="007C5C05">
        <w:t>ivalent amounts</w:t>
      </w:r>
      <w:r w:rsidR="00084DB3">
        <w:t xml:space="preserve"> on accommodation</w:t>
      </w:r>
      <w:r w:rsidR="007F3CA9">
        <w:t>. H</w:t>
      </w:r>
      <w:r w:rsidR="00102E74">
        <w:t>owever</w:t>
      </w:r>
      <w:r w:rsidR="007F3CA9">
        <w:t>,</w:t>
      </w:r>
      <w:r w:rsidR="00102E74">
        <w:t xml:space="preserve"> this </w:t>
      </w:r>
      <w:r w:rsidR="00BD595A">
        <w:t xml:space="preserve">represented a higher proportion of </w:t>
      </w:r>
      <w:r w:rsidR="00BD13DC">
        <w:t xml:space="preserve">female </w:t>
      </w:r>
      <w:r w:rsidR="007B6A20">
        <w:t>expenditure overall</w:t>
      </w:r>
      <w:r w:rsidR="006A2D71">
        <w:t>,</w:t>
      </w:r>
      <w:r w:rsidR="007F3CA9">
        <w:t xml:space="preserve"> at</w:t>
      </w:r>
      <w:r w:rsidR="006A2D71">
        <w:t xml:space="preserve"> 31.2%</w:t>
      </w:r>
      <w:r w:rsidR="00F353A3">
        <w:t>, compared with 28.2% for m</w:t>
      </w:r>
      <w:r w:rsidR="00D2247D">
        <w:t xml:space="preserve">ales (see </w:t>
      </w:r>
      <w:r w:rsidR="00D2247D">
        <w:fldChar w:fldCharType="begin"/>
      </w:r>
      <w:r w:rsidR="00D2247D">
        <w:instrText xml:space="preserve"> REF _Ref69135265 \h </w:instrText>
      </w:r>
      <w:r w:rsidR="00D2247D">
        <w:fldChar w:fldCharType="separate"/>
      </w:r>
      <w:r w:rsidR="00F22012">
        <w:t xml:space="preserve">Figure </w:t>
      </w:r>
      <w:r w:rsidR="00F22012">
        <w:rPr>
          <w:noProof/>
        </w:rPr>
        <w:t>5</w:t>
      </w:r>
      <w:r w:rsidR="00F22012">
        <w:noBreakHyphen/>
      </w:r>
      <w:r w:rsidR="00F22012">
        <w:rPr>
          <w:noProof/>
        </w:rPr>
        <w:t>23</w:t>
      </w:r>
      <w:r w:rsidR="00D2247D">
        <w:fldChar w:fldCharType="end"/>
      </w:r>
      <w:r w:rsidR="00D2247D">
        <w:t>).</w:t>
      </w:r>
      <w:r w:rsidR="006A2D71">
        <w:t xml:space="preserve"> </w:t>
      </w:r>
    </w:p>
    <w:p w14:paraId="54C06161" w14:textId="25E847CF" w:rsidR="003A040C" w:rsidRDefault="00745BA6" w:rsidP="00B46E66">
      <w:r>
        <w:t>E</w:t>
      </w:r>
      <w:r w:rsidR="003A040C" w:rsidRPr="00CB4A6E">
        <w:t>xpenditure across all categories increased consistently with the age group of the WHM</w:t>
      </w:r>
      <w:r w:rsidR="00F80475">
        <w:t xml:space="preserve"> -</w:t>
      </w:r>
      <w:r w:rsidR="00803EBB">
        <w:t xml:space="preserve"> </w:t>
      </w:r>
      <w:r w:rsidR="00DD6BC0">
        <w:t>except for</w:t>
      </w:r>
      <w:r w:rsidR="00803EBB">
        <w:t xml:space="preserve"> transport, tourism and bills which </w:t>
      </w:r>
      <w:r w:rsidR="007E103B">
        <w:t>were</w:t>
      </w:r>
      <w:r w:rsidR="00803EBB">
        <w:t xml:space="preserve"> higher for </w:t>
      </w:r>
      <w:r w:rsidR="00717C5F">
        <w:t>those aged</w:t>
      </w:r>
      <w:r w:rsidR="008B554D">
        <w:t xml:space="preserve"> 25 to 30 years</w:t>
      </w:r>
      <w:r w:rsidR="00717C5F">
        <w:t>.</w:t>
      </w:r>
      <w:r w:rsidR="00070B21">
        <w:t xml:space="preserve"> While lower in average dollar terms </w:t>
      </w:r>
      <w:r w:rsidR="004A2691">
        <w:t>(</w:t>
      </w:r>
      <w:r w:rsidR="00070B21">
        <w:t>$5,9</w:t>
      </w:r>
      <w:r w:rsidR="008F0AC5">
        <w:t>00</w:t>
      </w:r>
      <w:r w:rsidR="004A2691">
        <w:t xml:space="preserve">), </w:t>
      </w:r>
      <w:r w:rsidR="006647F4">
        <w:t xml:space="preserve">accommodation expenditure of </w:t>
      </w:r>
      <w:r w:rsidR="004A2691">
        <w:t>the young cohort</w:t>
      </w:r>
      <w:r w:rsidR="00DE5B9B">
        <w:t xml:space="preserve"> </w:t>
      </w:r>
      <w:r w:rsidR="008E500E">
        <w:t>aged</w:t>
      </w:r>
      <w:r w:rsidR="0055465B">
        <w:t xml:space="preserve"> 18 to 19 year</w:t>
      </w:r>
      <w:r w:rsidR="008E500E">
        <w:t xml:space="preserve">s </w:t>
      </w:r>
      <w:r w:rsidR="00410499">
        <w:t>was one third (33.2%)</w:t>
      </w:r>
      <w:r w:rsidR="000906FA">
        <w:t xml:space="preserve"> of their total spend - </w:t>
      </w:r>
      <w:r w:rsidR="00081D36">
        <w:t>a</w:t>
      </w:r>
      <w:r w:rsidR="008E500E">
        <w:t xml:space="preserve"> highe</w:t>
      </w:r>
      <w:r w:rsidR="00081D36">
        <w:t>r</w:t>
      </w:r>
      <w:r w:rsidR="008E500E">
        <w:t xml:space="preserve"> proportion </w:t>
      </w:r>
      <w:r w:rsidR="004D20BF">
        <w:t>than</w:t>
      </w:r>
      <w:r w:rsidR="002B3712">
        <w:t xml:space="preserve"> other WHMs</w:t>
      </w:r>
      <w:r w:rsidR="005229D8">
        <w:t xml:space="preserve"> (see </w:t>
      </w:r>
      <w:r w:rsidR="005229D8">
        <w:fldChar w:fldCharType="begin"/>
      </w:r>
      <w:r w:rsidR="005229D8">
        <w:instrText xml:space="preserve"> REF _Ref69136488 \h </w:instrText>
      </w:r>
      <w:r w:rsidR="005229D8">
        <w:fldChar w:fldCharType="separate"/>
      </w:r>
      <w:r w:rsidR="00F22012">
        <w:t xml:space="preserve">Figure </w:t>
      </w:r>
      <w:r w:rsidR="00F22012">
        <w:rPr>
          <w:noProof/>
        </w:rPr>
        <w:t>5</w:t>
      </w:r>
      <w:r w:rsidR="00F22012">
        <w:noBreakHyphen/>
      </w:r>
      <w:r w:rsidR="00F22012">
        <w:rPr>
          <w:noProof/>
        </w:rPr>
        <w:t>24</w:t>
      </w:r>
      <w:r w:rsidR="005229D8">
        <w:fldChar w:fldCharType="end"/>
      </w:r>
      <w:r w:rsidR="005229D8">
        <w:t>)</w:t>
      </w:r>
      <w:r w:rsidR="002B3712">
        <w:t>.</w:t>
      </w:r>
      <w:r w:rsidR="008E500E">
        <w:t xml:space="preserve"> </w:t>
      </w:r>
      <w:r w:rsidR="009A7BB6">
        <w:t xml:space="preserve">This was balanced by </w:t>
      </w:r>
      <w:r w:rsidR="000C4895">
        <w:t xml:space="preserve">a </w:t>
      </w:r>
      <w:r w:rsidR="00055B29">
        <w:t xml:space="preserve">reduced spend on </w:t>
      </w:r>
      <w:r w:rsidR="00391185">
        <w:t>food and drink</w:t>
      </w:r>
      <w:r w:rsidR="00F74A25">
        <w:t xml:space="preserve"> ($2,8</w:t>
      </w:r>
      <w:r w:rsidR="008F0AC5">
        <w:t>00</w:t>
      </w:r>
      <w:r w:rsidR="00FA6A46">
        <w:t>;</w:t>
      </w:r>
      <w:r w:rsidR="00FA57EF">
        <w:t xml:space="preserve"> 15.8% of </w:t>
      </w:r>
      <w:r w:rsidR="003D04EB">
        <w:t xml:space="preserve">their </w:t>
      </w:r>
      <w:r w:rsidR="00FA57EF">
        <w:t>total expenditure</w:t>
      </w:r>
      <w:r w:rsidR="00035882">
        <w:t>)</w:t>
      </w:r>
      <w:r w:rsidR="00EE6FCF">
        <w:t>, compared</w:t>
      </w:r>
      <w:r w:rsidR="008E500E">
        <w:t xml:space="preserve"> </w:t>
      </w:r>
      <w:r w:rsidR="003A7A7F">
        <w:t xml:space="preserve">with the other cohorts who </w:t>
      </w:r>
      <w:r w:rsidR="004410EA">
        <w:t>averaged</w:t>
      </w:r>
      <w:r w:rsidR="003A7A7F">
        <w:t xml:space="preserve"> </w:t>
      </w:r>
      <w:r w:rsidR="002B05D9">
        <w:t xml:space="preserve">well over $4,000 </w:t>
      </w:r>
      <w:r w:rsidR="000630F9">
        <w:t>(16.9% to 18.1% of expenditure</w:t>
      </w:r>
      <w:r w:rsidR="002633A7">
        <w:t xml:space="preserve"> for their age cohorts</w:t>
      </w:r>
      <w:r w:rsidR="00097501">
        <w:t>)</w:t>
      </w:r>
      <w:r w:rsidR="002633A7">
        <w:t>.</w:t>
      </w:r>
    </w:p>
    <w:p w14:paraId="0E8904E1" w14:textId="135C0DD2" w:rsidR="00FC6246" w:rsidRDefault="00FC6246" w:rsidP="00FC6246">
      <w:pPr>
        <w:pStyle w:val="Caption"/>
      </w:pPr>
      <w:bookmarkStart w:id="131" w:name="_Ref69134215"/>
      <w:bookmarkStart w:id="132" w:name="_Toc75878602"/>
      <w:bookmarkStart w:id="133" w:name="_Ref68170192"/>
      <w:r>
        <w:t xml:space="preserve">Table </w:t>
      </w:r>
      <w:r>
        <w:fldChar w:fldCharType="begin"/>
      </w:r>
      <w:r>
        <w:instrText>STYLEREF 1 \s</w:instrText>
      </w:r>
      <w:r>
        <w:fldChar w:fldCharType="separate"/>
      </w:r>
      <w:r w:rsidR="00F22012">
        <w:rPr>
          <w:noProof/>
        </w:rPr>
        <w:t>5</w:t>
      </w:r>
      <w:r>
        <w:fldChar w:fldCharType="end"/>
      </w:r>
      <w:r w:rsidR="00E71DF1">
        <w:noBreakHyphen/>
      </w:r>
      <w:r>
        <w:fldChar w:fldCharType="begin"/>
      </w:r>
      <w:r>
        <w:instrText>SEQ Table \* ARABIC \s 1</w:instrText>
      </w:r>
      <w:r>
        <w:fldChar w:fldCharType="separate"/>
      </w:r>
      <w:r w:rsidR="00F22012">
        <w:rPr>
          <w:noProof/>
        </w:rPr>
        <w:t>8</w:t>
      </w:r>
      <w:r>
        <w:fldChar w:fldCharType="end"/>
      </w:r>
      <w:bookmarkEnd w:id="131"/>
      <w:r>
        <w:t xml:space="preserve">: </w:t>
      </w:r>
      <w:r w:rsidR="002B77B9">
        <w:t>Average</w:t>
      </w:r>
      <w:r>
        <w:t xml:space="preserve"> expenditure categories by sex, age group, and </w:t>
      </w:r>
      <w:r w:rsidR="00FC05B9" w:rsidDel="0005092D">
        <w:t xml:space="preserve">Top </w:t>
      </w:r>
      <w:r w:rsidR="0005092D">
        <w:t>10</w:t>
      </w:r>
      <w:r w:rsidR="00FC05B9">
        <w:t xml:space="preserve"> </w:t>
      </w:r>
      <w:r>
        <w:t>countr</w:t>
      </w:r>
      <w:r w:rsidR="00452BAE">
        <w:t>ies</w:t>
      </w:r>
      <w:bookmarkEnd w:id="132"/>
    </w:p>
    <w:tbl>
      <w:tblPr>
        <w:tblStyle w:val="ListTable3-Accent1"/>
        <w:tblW w:w="9704" w:type="dxa"/>
        <w:tblLayout w:type="fixed"/>
        <w:tblLook w:val="0460" w:firstRow="1" w:lastRow="1" w:firstColumn="0" w:lastColumn="0" w:noHBand="0" w:noVBand="1"/>
      </w:tblPr>
      <w:tblGrid>
        <w:gridCol w:w="1213"/>
        <w:gridCol w:w="131"/>
        <w:gridCol w:w="1082"/>
        <w:gridCol w:w="112"/>
        <w:gridCol w:w="1101"/>
        <w:gridCol w:w="93"/>
        <w:gridCol w:w="1120"/>
        <w:gridCol w:w="74"/>
        <w:gridCol w:w="1139"/>
        <w:gridCol w:w="56"/>
        <w:gridCol w:w="1157"/>
        <w:gridCol w:w="37"/>
        <w:gridCol w:w="1176"/>
        <w:gridCol w:w="18"/>
        <w:gridCol w:w="1195"/>
      </w:tblGrid>
      <w:tr w:rsidR="00FC6246" w:rsidRPr="005D7F61" w14:paraId="5309B4FB" w14:textId="77777777" w:rsidTr="006F5753">
        <w:trPr>
          <w:cnfStyle w:val="100000000000" w:firstRow="1" w:lastRow="0" w:firstColumn="0" w:lastColumn="0" w:oddVBand="0" w:evenVBand="0" w:oddHBand="0" w:evenHBand="0" w:firstRowFirstColumn="0" w:firstRowLastColumn="0" w:lastRowFirstColumn="0" w:lastRowLastColumn="0"/>
          <w:trHeight w:val="227"/>
        </w:trPr>
        <w:tc>
          <w:tcPr>
            <w:tcW w:w="1344" w:type="dxa"/>
            <w:gridSpan w:val="2"/>
            <w:noWrap/>
            <w:hideMark/>
          </w:tcPr>
          <w:p w14:paraId="398CF0BF" w14:textId="77777777" w:rsidR="00FC6246" w:rsidRPr="005D7F61" w:rsidRDefault="00FC6246" w:rsidP="00FC6246">
            <w:pPr>
              <w:keepNext/>
              <w:keepLines/>
              <w:spacing w:before="0"/>
              <w:rPr>
                <w:rFonts w:ascii="Calibri" w:eastAsia="Times New Roman" w:hAnsi="Calibri" w:cs="Calibri"/>
                <w:sz w:val="18"/>
                <w:szCs w:val="18"/>
                <w:lang w:eastAsia="en-AU"/>
              </w:rPr>
            </w:pPr>
          </w:p>
        </w:tc>
        <w:tc>
          <w:tcPr>
            <w:tcW w:w="1194" w:type="dxa"/>
            <w:gridSpan w:val="2"/>
            <w:noWrap/>
            <w:hideMark/>
          </w:tcPr>
          <w:p w14:paraId="6EFCB463"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Accommodation</w:t>
            </w:r>
          </w:p>
        </w:tc>
        <w:tc>
          <w:tcPr>
            <w:tcW w:w="1194" w:type="dxa"/>
            <w:gridSpan w:val="2"/>
            <w:noWrap/>
            <w:hideMark/>
          </w:tcPr>
          <w:p w14:paraId="6FA13478"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Food and Drink</w:t>
            </w:r>
          </w:p>
        </w:tc>
        <w:tc>
          <w:tcPr>
            <w:tcW w:w="1194" w:type="dxa"/>
            <w:gridSpan w:val="2"/>
            <w:noWrap/>
            <w:hideMark/>
          </w:tcPr>
          <w:p w14:paraId="1666DF33"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Entertainment</w:t>
            </w:r>
          </w:p>
        </w:tc>
        <w:tc>
          <w:tcPr>
            <w:tcW w:w="1195" w:type="dxa"/>
            <w:gridSpan w:val="2"/>
            <w:noWrap/>
            <w:hideMark/>
          </w:tcPr>
          <w:p w14:paraId="038D67E5"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Transport</w:t>
            </w:r>
          </w:p>
        </w:tc>
        <w:tc>
          <w:tcPr>
            <w:tcW w:w="1194" w:type="dxa"/>
            <w:gridSpan w:val="2"/>
            <w:noWrap/>
            <w:hideMark/>
          </w:tcPr>
          <w:p w14:paraId="62D770CA"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Tourism</w:t>
            </w:r>
          </w:p>
        </w:tc>
        <w:tc>
          <w:tcPr>
            <w:tcW w:w="1194" w:type="dxa"/>
            <w:gridSpan w:val="2"/>
            <w:noWrap/>
            <w:hideMark/>
          </w:tcPr>
          <w:p w14:paraId="7E0EE2D9"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Bills</w:t>
            </w:r>
          </w:p>
        </w:tc>
        <w:tc>
          <w:tcPr>
            <w:tcW w:w="1195" w:type="dxa"/>
            <w:noWrap/>
            <w:hideMark/>
          </w:tcPr>
          <w:p w14:paraId="1C21AD7F"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sidRPr="005D7F61">
              <w:rPr>
                <w:rFonts w:ascii="Calibri" w:eastAsia="Times New Roman" w:hAnsi="Calibri" w:cs="Calibri"/>
                <w:sz w:val="18"/>
                <w:szCs w:val="18"/>
                <w:lang w:eastAsia="en-AU"/>
              </w:rPr>
              <w:t>Other</w:t>
            </w:r>
          </w:p>
        </w:tc>
      </w:tr>
      <w:tr w:rsidR="00725893" w:rsidRPr="005D7F61" w14:paraId="2407D5E9" w14:textId="77777777" w:rsidTr="00A24585">
        <w:trPr>
          <w:cnfStyle w:val="000000100000" w:firstRow="0" w:lastRow="0" w:firstColumn="0" w:lastColumn="0" w:oddVBand="0" w:evenVBand="0" w:oddHBand="1" w:evenHBand="0" w:firstRowFirstColumn="0" w:firstRowLastColumn="0" w:lastRowFirstColumn="0" w:lastRowLastColumn="0"/>
          <w:trHeight w:val="227"/>
        </w:trPr>
        <w:tc>
          <w:tcPr>
            <w:tcW w:w="1213" w:type="dxa"/>
            <w:shd w:val="clear" w:color="auto" w:fill="C6DEF5" w:themeFill="accent1" w:themeFillTint="33"/>
            <w:noWrap/>
            <w:hideMark/>
          </w:tcPr>
          <w:p w14:paraId="58768898"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i/>
                <w:iCs/>
                <w:color w:val="000000"/>
                <w:sz w:val="18"/>
                <w:szCs w:val="18"/>
                <w:lang w:eastAsia="en-AU"/>
              </w:rPr>
              <w:t>(a) by sex</w:t>
            </w:r>
          </w:p>
        </w:tc>
        <w:tc>
          <w:tcPr>
            <w:tcW w:w="1213" w:type="dxa"/>
            <w:gridSpan w:val="2"/>
            <w:shd w:val="clear" w:color="auto" w:fill="C6DEF5" w:themeFill="accent1" w:themeFillTint="33"/>
          </w:tcPr>
          <w:p w14:paraId="56630ED4"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313CAC2A"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7FA5963B"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0E814082"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0F94846F"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4FA95B8F" w14:textId="77777777" w:rsidR="00725893" w:rsidRPr="005D7F61" w:rsidRDefault="00725893" w:rsidP="00FC6246">
            <w:pPr>
              <w:keepNext/>
              <w:keepLines/>
              <w:spacing w:before="0"/>
              <w:rPr>
                <w:rFonts w:ascii="Calibri" w:eastAsia="Times New Roman" w:hAnsi="Calibri" w:cs="Calibri"/>
                <w:color w:val="000000"/>
                <w:sz w:val="18"/>
                <w:szCs w:val="18"/>
                <w:lang w:eastAsia="en-AU"/>
              </w:rPr>
            </w:pPr>
          </w:p>
        </w:tc>
        <w:tc>
          <w:tcPr>
            <w:tcW w:w="1213" w:type="dxa"/>
            <w:gridSpan w:val="2"/>
            <w:shd w:val="clear" w:color="auto" w:fill="C6DEF5" w:themeFill="accent1" w:themeFillTint="33"/>
          </w:tcPr>
          <w:p w14:paraId="3670E4D7" w14:textId="391AE957" w:rsidR="00725893" w:rsidRPr="005D7F61" w:rsidRDefault="00725893" w:rsidP="00FC6246">
            <w:pPr>
              <w:keepNext/>
              <w:keepLines/>
              <w:spacing w:before="0"/>
              <w:rPr>
                <w:rFonts w:ascii="Calibri" w:eastAsia="Times New Roman" w:hAnsi="Calibri" w:cs="Calibri"/>
                <w:color w:val="000000"/>
                <w:sz w:val="18"/>
                <w:szCs w:val="18"/>
                <w:lang w:eastAsia="en-AU"/>
              </w:rPr>
            </w:pPr>
          </w:p>
        </w:tc>
      </w:tr>
      <w:tr w:rsidR="00FC6246" w:rsidRPr="005D7F61" w14:paraId="35AA5E1A" w14:textId="77777777" w:rsidTr="006F5753">
        <w:trPr>
          <w:trHeight w:val="227"/>
        </w:trPr>
        <w:tc>
          <w:tcPr>
            <w:tcW w:w="1344" w:type="dxa"/>
            <w:gridSpan w:val="2"/>
            <w:noWrap/>
            <w:hideMark/>
          </w:tcPr>
          <w:p w14:paraId="5BA62243"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Male</w:t>
            </w:r>
          </w:p>
        </w:tc>
        <w:tc>
          <w:tcPr>
            <w:tcW w:w="1194" w:type="dxa"/>
            <w:gridSpan w:val="2"/>
            <w:noWrap/>
          </w:tcPr>
          <w:p w14:paraId="0F7D3D48"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7,974</w:t>
            </w:r>
          </w:p>
        </w:tc>
        <w:tc>
          <w:tcPr>
            <w:tcW w:w="1194" w:type="dxa"/>
            <w:gridSpan w:val="2"/>
            <w:noWrap/>
          </w:tcPr>
          <w:p w14:paraId="52A4BDE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5,095</w:t>
            </w:r>
          </w:p>
        </w:tc>
        <w:tc>
          <w:tcPr>
            <w:tcW w:w="1194" w:type="dxa"/>
            <w:gridSpan w:val="2"/>
            <w:noWrap/>
          </w:tcPr>
          <w:p w14:paraId="15175E4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3,790</w:t>
            </w:r>
          </w:p>
        </w:tc>
        <w:tc>
          <w:tcPr>
            <w:tcW w:w="1195" w:type="dxa"/>
            <w:gridSpan w:val="2"/>
            <w:noWrap/>
          </w:tcPr>
          <w:p w14:paraId="3C89A01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2,784</w:t>
            </w:r>
          </w:p>
        </w:tc>
        <w:tc>
          <w:tcPr>
            <w:tcW w:w="1194" w:type="dxa"/>
            <w:gridSpan w:val="2"/>
            <w:noWrap/>
          </w:tcPr>
          <w:p w14:paraId="06CE7BD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3,114</w:t>
            </w:r>
          </w:p>
        </w:tc>
        <w:tc>
          <w:tcPr>
            <w:tcW w:w="1194" w:type="dxa"/>
            <w:gridSpan w:val="2"/>
            <w:noWrap/>
          </w:tcPr>
          <w:p w14:paraId="3A712AB7"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1,969</w:t>
            </w:r>
          </w:p>
        </w:tc>
        <w:tc>
          <w:tcPr>
            <w:tcW w:w="1195" w:type="dxa"/>
            <w:noWrap/>
          </w:tcPr>
          <w:p w14:paraId="228078E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3,537</w:t>
            </w:r>
          </w:p>
        </w:tc>
      </w:tr>
      <w:tr w:rsidR="00FC6246" w:rsidRPr="005D7F61" w14:paraId="5085AE1C"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63E8E9C7"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Female</w:t>
            </w:r>
          </w:p>
        </w:tc>
        <w:tc>
          <w:tcPr>
            <w:tcW w:w="1194" w:type="dxa"/>
            <w:gridSpan w:val="2"/>
            <w:noWrap/>
            <w:hideMark/>
          </w:tcPr>
          <w:p w14:paraId="795D6B6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8,092</w:t>
            </w:r>
          </w:p>
        </w:tc>
        <w:tc>
          <w:tcPr>
            <w:tcW w:w="1194" w:type="dxa"/>
            <w:gridSpan w:val="2"/>
            <w:noWrap/>
            <w:hideMark/>
          </w:tcPr>
          <w:p w14:paraId="0FEF49A2"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4,374</w:t>
            </w:r>
          </w:p>
        </w:tc>
        <w:tc>
          <w:tcPr>
            <w:tcW w:w="1194" w:type="dxa"/>
            <w:gridSpan w:val="2"/>
            <w:noWrap/>
            <w:hideMark/>
          </w:tcPr>
          <w:p w14:paraId="69E88A44"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2,938</w:t>
            </w:r>
          </w:p>
        </w:tc>
        <w:tc>
          <w:tcPr>
            <w:tcW w:w="1195" w:type="dxa"/>
            <w:gridSpan w:val="2"/>
            <w:noWrap/>
            <w:hideMark/>
          </w:tcPr>
          <w:p w14:paraId="190D384F"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2,541</w:t>
            </w:r>
          </w:p>
        </w:tc>
        <w:tc>
          <w:tcPr>
            <w:tcW w:w="1194" w:type="dxa"/>
            <w:gridSpan w:val="2"/>
            <w:noWrap/>
            <w:hideMark/>
          </w:tcPr>
          <w:p w14:paraId="2B35EDDE"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2,787</w:t>
            </w:r>
          </w:p>
        </w:tc>
        <w:tc>
          <w:tcPr>
            <w:tcW w:w="1194" w:type="dxa"/>
            <w:gridSpan w:val="2"/>
            <w:noWrap/>
            <w:hideMark/>
          </w:tcPr>
          <w:p w14:paraId="4EF315D8" w14:textId="16E53246"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1,669</w:t>
            </w:r>
          </w:p>
        </w:tc>
        <w:tc>
          <w:tcPr>
            <w:tcW w:w="1195" w:type="dxa"/>
            <w:noWrap/>
            <w:hideMark/>
          </w:tcPr>
          <w:p w14:paraId="5E99E226" w14:textId="77777777" w:rsidR="00FC6246" w:rsidRPr="005D7F61" w:rsidRDefault="00FC6246" w:rsidP="00FC6246">
            <w:pPr>
              <w:keepNext/>
              <w:keepLines/>
              <w:spacing w:before="0"/>
              <w:jc w:val="center"/>
              <w:rPr>
                <w:rFonts w:ascii="Calibri" w:eastAsia="Times New Roman" w:hAnsi="Calibri" w:cs="Calibri"/>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3,498</w:t>
            </w:r>
          </w:p>
        </w:tc>
      </w:tr>
      <w:tr w:rsidR="00941AD0" w:rsidRPr="005D7F61" w14:paraId="363E2A12" w14:textId="77777777" w:rsidTr="007D3895">
        <w:trPr>
          <w:trHeight w:val="227"/>
        </w:trPr>
        <w:tc>
          <w:tcPr>
            <w:tcW w:w="1213" w:type="dxa"/>
            <w:shd w:val="clear" w:color="auto" w:fill="C6DEF5" w:themeFill="accent1" w:themeFillTint="33"/>
            <w:noWrap/>
            <w:hideMark/>
          </w:tcPr>
          <w:p w14:paraId="34C543CE" w14:textId="13AC29A4" w:rsidR="00941AD0" w:rsidRPr="005D7F61" w:rsidRDefault="00941AD0" w:rsidP="00FC6246">
            <w:pPr>
              <w:keepNext/>
              <w:keepLines/>
              <w:spacing w:before="0"/>
              <w:rPr>
                <w:rFonts w:ascii="Calibri" w:eastAsia="Times New Roman" w:hAnsi="Calibri" w:cs="Calibri"/>
                <w:sz w:val="18"/>
                <w:szCs w:val="18"/>
                <w:lang w:eastAsia="en-AU"/>
              </w:rPr>
            </w:pPr>
            <w:r w:rsidRPr="005D7F61">
              <w:rPr>
                <w:rFonts w:ascii="Calibri" w:eastAsia="Times New Roman" w:hAnsi="Calibri" w:cs="Calibri"/>
                <w:i/>
                <w:iCs/>
                <w:color w:val="000000"/>
                <w:sz w:val="18"/>
                <w:szCs w:val="18"/>
                <w:lang w:eastAsia="en-AU"/>
              </w:rPr>
              <w:t xml:space="preserve">(b) by age </w:t>
            </w:r>
          </w:p>
        </w:tc>
        <w:tc>
          <w:tcPr>
            <w:tcW w:w="1213" w:type="dxa"/>
            <w:gridSpan w:val="2"/>
            <w:shd w:val="clear" w:color="auto" w:fill="C6DEF5" w:themeFill="accent1" w:themeFillTint="33"/>
          </w:tcPr>
          <w:p w14:paraId="0EC6F6A7"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01F11CB8"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19E76D3A"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5E560E42"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266DCFB2"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5DC5B1B6" w14:textId="77777777" w:rsidR="00941AD0" w:rsidRPr="005D7F61" w:rsidRDefault="00941AD0"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33754E00" w14:textId="7D07F169" w:rsidR="00941AD0" w:rsidRPr="005D7F61" w:rsidRDefault="00941AD0" w:rsidP="00FC6246">
            <w:pPr>
              <w:keepNext/>
              <w:keepLines/>
              <w:spacing w:before="0"/>
              <w:rPr>
                <w:rFonts w:ascii="Calibri" w:eastAsia="Times New Roman" w:hAnsi="Calibri" w:cs="Calibri"/>
                <w:sz w:val="18"/>
                <w:szCs w:val="18"/>
                <w:lang w:eastAsia="en-AU"/>
              </w:rPr>
            </w:pPr>
          </w:p>
        </w:tc>
      </w:tr>
      <w:tr w:rsidR="00FC6246" w:rsidRPr="005D7F61" w14:paraId="2CD1D6FE" w14:textId="77777777" w:rsidTr="00A94F17">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tcBorders>
              <w:top w:val="none" w:sz="0" w:space="0" w:color="auto"/>
              <w:bottom w:val="none" w:sz="0" w:space="0" w:color="auto"/>
            </w:tcBorders>
            <w:noWrap/>
            <w:vAlign w:val="bottom"/>
            <w:hideMark/>
          </w:tcPr>
          <w:p w14:paraId="09E0C6BD" w14:textId="6F3007E2" w:rsidR="00FC6246" w:rsidRPr="005D7F61" w:rsidRDefault="00FC6246" w:rsidP="00FC6246">
            <w:pPr>
              <w:keepNext/>
              <w:keepLines/>
              <w:spacing w:before="0"/>
              <w:rPr>
                <w:rFonts w:ascii="Calibri" w:eastAsia="Times New Roman" w:hAnsi="Calibri" w:cs="Calibri"/>
                <w:color w:val="000000"/>
                <w:sz w:val="18"/>
                <w:szCs w:val="18"/>
                <w:lang w:eastAsia="en-AU"/>
              </w:rPr>
            </w:pPr>
            <w:r w:rsidRPr="00696C89">
              <w:rPr>
                <w:rFonts w:ascii="Calibri" w:eastAsia="Times New Roman" w:hAnsi="Calibri" w:cs="Calibri"/>
                <w:color w:val="000000"/>
                <w:sz w:val="16"/>
                <w:szCs w:val="16"/>
                <w:lang w:eastAsia="en-AU"/>
              </w:rPr>
              <w:t>18-19</w:t>
            </w:r>
            <w:r w:rsidR="00696C89" w:rsidRPr="00696C89">
              <w:rPr>
                <w:rFonts w:ascii="Calibri" w:eastAsia="Times New Roman" w:hAnsi="Calibri" w:cs="Calibri"/>
                <w:color w:val="000000"/>
                <w:sz w:val="16"/>
                <w:szCs w:val="16"/>
                <w:lang w:eastAsia="en-AU"/>
              </w:rPr>
              <w:t xml:space="preserve"> years</w:t>
            </w:r>
          </w:p>
        </w:tc>
        <w:tc>
          <w:tcPr>
            <w:tcW w:w="1194" w:type="dxa"/>
            <w:gridSpan w:val="2"/>
            <w:tcBorders>
              <w:top w:val="none" w:sz="0" w:space="0" w:color="auto"/>
              <w:bottom w:val="none" w:sz="0" w:space="0" w:color="auto"/>
            </w:tcBorders>
            <w:noWrap/>
            <w:hideMark/>
          </w:tcPr>
          <w:p w14:paraId="0F34FE1B"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5,926</w:t>
            </w:r>
          </w:p>
        </w:tc>
        <w:tc>
          <w:tcPr>
            <w:tcW w:w="1194" w:type="dxa"/>
            <w:gridSpan w:val="2"/>
            <w:tcBorders>
              <w:top w:val="none" w:sz="0" w:space="0" w:color="auto"/>
              <w:bottom w:val="none" w:sz="0" w:space="0" w:color="auto"/>
            </w:tcBorders>
            <w:noWrap/>
            <w:hideMark/>
          </w:tcPr>
          <w:p w14:paraId="7F05032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2,818</w:t>
            </w:r>
          </w:p>
        </w:tc>
        <w:tc>
          <w:tcPr>
            <w:tcW w:w="1194" w:type="dxa"/>
            <w:gridSpan w:val="2"/>
            <w:tcBorders>
              <w:top w:val="none" w:sz="0" w:space="0" w:color="auto"/>
              <w:bottom w:val="none" w:sz="0" w:space="0" w:color="auto"/>
            </w:tcBorders>
            <w:noWrap/>
            <w:hideMark/>
          </w:tcPr>
          <w:p w14:paraId="7E5816C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2,099</w:t>
            </w:r>
          </w:p>
        </w:tc>
        <w:tc>
          <w:tcPr>
            <w:tcW w:w="1195" w:type="dxa"/>
            <w:gridSpan w:val="2"/>
            <w:tcBorders>
              <w:top w:val="none" w:sz="0" w:space="0" w:color="auto"/>
              <w:bottom w:val="none" w:sz="0" w:space="0" w:color="auto"/>
            </w:tcBorders>
            <w:noWrap/>
            <w:hideMark/>
          </w:tcPr>
          <w:p w14:paraId="14700368"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1,878</w:t>
            </w:r>
          </w:p>
        </w:tc>
        <w:tc>
          <w:tcPr>
            <w:tcW w:w="1194" w:type="dxa"/>
            <w:gridSpan w:val="2"/>
            <w:tcBorders>
              <w:top w:val="none" w:sz="0" w:space="0" w:color="auto"/>
              <w:bottom w:val="none" w:sz="0" w:space="0" w:color="auto"/>
            </w:tcBorders>
            <w:noWrap/>
            <w:hideMark/>
          </w:tcPr>
          <w:p w14:paraId="283F582B"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1,898</w:t>
            </w:r>
          </w:p>
        </w:tc>
        <w:tc>
          <w:tcPr>
            <w:tcW w:w="1194" w:type="dxa"/>
            <w:gridSpan w:val="2"/>
            <w:tcBorders>
              <w:top w:val="none" w:sz="0" w:space="0" w:color="auto"/>
              <w:bottom w:val="none" w:sz="0" w:space="0" w:color="auto"/>
            </w:tcBorders>
            <w:noWrap/>
            <w:hideMark/>
          </w:tcPr>
          <w:p w14:paraId="2126239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964</w:t>
            </w:r>
          </w:p>
        </w:tc>
        <w:tc>
          <w:tcPr>
            <w:tcW w:w="1195" w:type="dxa"/>
            <w:tcBorders>
              <w:top w:val="none" w:sz="0" w:space="0" w:color="auto"/>
              <w:bottom w:val="none" w:sz="0" w:space="0" w:color="auto"/>
            </w:tcBorders>
            <w:noWrap/>
            <w:hideMark/>
          </w:tcPr>
          <w:p w14:paraId="4F312E8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2,285</w:t>
            </w:r>
          </w:p>
        </w:tc>
      </w:tr>
      <w:tr w:rsidR="00FC6246" w:rsidRPr="005D7F61" w14:paraId="7D02B590" w14:textId="77777777" w:rsidTr="00A94F17">
        <w:trPr>
          <w:trHeight w:val="227"/>
        </w:trPr>
        <w:tc>
          <w:tcPr>
            <w:tcW w:w="1344" w:type="dxa"/>
            <w:gridSpan w:val="2"/>
            <w:noWrap/>
            <w:vAlign w:val="bottom"/>
            <w:hideMark/>
          </w:tcPr>
          <w:p w14:paraId="093196BC" w14:textId="6A63ED8C" w:rsidR="00FC6246" w:rsidRPr="005D7F61" w:rsidRDefault="00FC6246" w:rsidP="00FC6246">
            <w:pPr>
              <w:keepNext/>
              <w:keepLines/>
              <w:spacing w:before="0"/>
              <w:rPr>
                <w:rFonts w:ascii="Calibri" w:eastAsia="Times New Roman" w:hAnsi="Calibri" w:cs="Calibri"/>
                <w:color w:val="000000"/>
                <w:sz w:val="18"/>
                <w:szCs w:val="18"/>
                <w:lang w:eastAsia="en-AU"/>
              </w:rPr>
            </w:pPr>
            <w:r w:rsidRPr="00696C89">
              <w:rPr>
                <w:rFonts w:ascii="Calibri" w:eastAsia="Times New Roman" w:hAnsi="Calibri" w:cs="Calibri"/>
                <w:color w:val="000000"/>
                <w:sz w:val="16"/>
                <w:szCs w:val="16"/>
                <w:lang w:eastAsia="en-AU"/>
              </w:rPr>
              <w:t>20-24</w:t>
            </w:r>
            <w:r w:rsidR="00696C89" w:rsidRPr="00696C89">
              <w:rPr>
                <w:rFonts w:ascii="Calibri" w:eastAsia="Times New Roman" w:hAnsi="Calibri" w:cs="Calibri"/>
                <w:color w:val="000000"/>
                <w:sz w:val="16"/>
                <w:szCs w:val="16"/>
                <w:lang w:eastAsia="en-AU"/>
              </w:rPr>
              <w:t xml:space="preserve"> years</w:t>
            </w:r>
          </w:p>
        </w:tc>
        <w:tc>
          <w:tcPr>
            <w:tcW w:w="1194" w:type="dxa"/>
            <w:gridSpan w:val="2"/>
            <w:noWrap/>
            <w:hideMark/>
          </w:tcPr>
          <w:p w14:paraId="4E70503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7,663</w:t>
            </w:r>
          </w:p>
        </w:tc>
        <w:tc>
          <w:tcPr>
            <w:tcW w:w="1194" w:type="dxa"/>
            <w:gridSpan w:val="2"/>
            <w:noWrap/>
            <w:hideMark/>
          </w:tcPr>
          <w:p w14:paraId="45C1FE02"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4,271</w:t>
            </w:r>
          </w:p>
        </w:tc>
        <w:tc>
          <w:tcPr>
            <w:tcW w:w="1194" w:type="dxa"/>
            <w:gridSpan w:val="2"/>
            <w:noWrap/>
            <w:hideMark/>
          </w:tcPr>
          <w:p w14:paraId="3E3A7D2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3,028</w:t>
            </w:r>
          </w:p>
        </w:tc>
        <w:tc>
          <w:tcPr>
            <w:tcW w:w="1195" w:type="dxa"/>
            <w:gridSpan w:val="2"/>
            <w:noWrap/>
            <w:hideMark/>
          </w:tcPr>
          <w:p w14:paraId="64DF0BC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2,312</w:t>
            </w:r>
          </w:p>
        </w:tc>
        <w:tc>
          <w:tcPr>
            <w:tcW w:w="1194" w:type="dxa"/>
            <w:gridSpan w:val="2"/>
            <w:noWrap/>
            <w:hideMark/>
          </w:tcPr>
          <w:p w14:paraId="5BD3418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2,538</w:t>
            </w:r>
          </w:p>
        </w:tc>
        <w:tc>
          <w:tcPr>
            <w:tcW w:w="1194" w:type="dxa"/>
            <w:gridSpan w:val="2"/>
            <w:noWrap/>
            <w:hideMark/>
          </w:tcPr>
          <w:p w14:paraId="5286DF3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1,727</w:t>
            </w:r>
          </w:p>
        </w:tc>
        <w:tc>
          <w:tcPr>
            <w:tcW w:w="1195" w:type="dxa"/>
            <w:noWrap/>
            <w:hideMark/>
          </w:tcPr>
          <w:p w14:paraId="1B2F34A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3,797</w:t>
            </w:r>
          </w:p>
        </w:tc>
      </w:tr>
      <w:tr w:rsidR="00FC6246" w:rsidRPr="005D7F61" w14:paraId="4E90AB45" w14:textId="77777777" w:rsidTr="00A94F17">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tcBorders>
              <w:top w:val="none" w:sz="0" w:space="0" w:color="auto"/>
              <w:bottom w:val="none" w:sz="0" w:space="0" w:color="auto"/>
            </w:tcBorders>
            <w:noWrap/>
            <w:vAlign w:val="bottom"/>
            <w:hideMark/>
          </w:tcPr>
          <w:p w14:paraId="6BFC548A" w14:textId="2073F9E1" w:rsidR="00FC6246" w:rsidRPr="005D7F61" w:rsidRDefault="00FC6246" w:rsidP="00FC6246">
            <w:pPr>
              <w:keepNext/>
              <w:keepLines/>
              <w:spacing w:before="0"/>
              <w:rPr>
                <w:rFonts w:ascii="Calibri" w:eastAsia="Times New Roman" w:hAnsi="Calibri" w:cs="Calibri"/>
                <w:color w:val="000000"/>
                <w:sz w:val="18"/>
                <w:szCs w:val="18"/>
                <w:lang w:eastAsia="en-AU"/>
              </w:rPr>
            </w:pPr>
            <w:r w:rsidRPr="00696C89">
              <w:rPr>
                <w:rFonts w:ascii="Calibri" w:eastAsia="Times New Roman" w:hAnsi="Calibri" w:cs="Calibri"/>
                <w:color w:val="000000"/>
                <w:sz w:val="16"/>
                <w:szCs w:val="16"/>
                <w:lang w:eastAsia="en-AU"/>
              </w:rPr>
              <w:t>25-30</w:t>
            </w:r>
            <w:r w:rsidR="00696C89" w:rsidRPr="00696C89">
              <w:rPr>
                <w:rFonts w:ascii="Calibri" w:eastAsia="Times New Roman" w:hAnsi="Calibri" w:cs="Calibri"/>
                <w:color w:val="000000"/>
                <w:sz w:val="16"/>
                <w:szCs w:val="16"/>
                <w:lang w:eastAsia="en-AU"/>
              </w:rPr>
              <w:t xml:space="preserve"> years</w:t>
            </w:r>
          </w:p>
        </w:tc>
        <w:tc>
          <w:tcPr>
            <w:tcW w:w="1194" w:type="dxa"/>
            <w:gridSpan w:val="2"/>
            <w:tcBorders>
              <w:top w:val="none" w:sz="0" w:space="0" w:color="auto"/>
              <w:bottom w:val="none" w:sz="0" w:space="0" w:color="auto"/>
            </w:tcBorders>
            <w:noWrap/>
            <w:hideMark/>
          </w:tcPr>
          <w:p w14:paraId="4A441C75"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8,315</w:t>
            </w:r>
          </w:p>
        </w:tc>
        <w:tc>
          <w:tcPr>
            <w:tcW w:w="1194" w:type="dxa"/>
            <w:gridSpan w:val="2"/>
            <w:tcBorders>
              <w:top w:val="none" w:sz="0" w:space="0" w:color="auto"/>
              <w:bottom w:val="none" w:sz="0" w:space="0" w:color="auto"/>
            </w:tcBorders>
            <w:noWrap/>
            <w:hideMark/>
          </w:tcPr>
          <w:p w14:paraId="320484C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4,999</w:t>
            </w:r>
          </w:p>
        </w:tc>
        <w:tc>
          <w:tcPr>
            <w:tcW w:w="1194" w:type="dxa"/>
            <w:gridSpan w:val="2"/>
            <w:tcBorders>
              <w:top w:val="none" w:sz="0" w:space="0" w:color="auto"/>
              <w:bottom w:val="none" w:sz="0" w:space="0" w:color="auto"/>
            </w:tcBorders>
            <w:noWrap/>
            <w:hideMark/>
          </w:tcPr>
          <w:p w14:paraId="7265A83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3,525</w:t>
            </w:r>
          </w:p>
        </w:tc>
        <w:tc>
          <w:tcPr>
            <w:tcW w:w="1195" w:type="dxa"/>
            <w:gridSpan w:val="2"/>
            <w:tcBorders>
              <w:top w:val="none" w:sz="0" w:space="0" w:color="auto"/>
              <w:bottom w:val="none" w:sz="0" w:space="0" w:color="auto"/>
            </w:tcBorders>
            <w:noWrap/>
            <w:hideMark/>
          </w:tcPr>
          <w:p w14:paraId="40F255F7"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2,904</w:t>
            </w:r>
          </w:p>
        </w:tc>
        <w:tc>
          <w:tcPr>
            <w:tcW w:w="1194" w:type="dxa"/>
            <w:gridSpan w:val="2"/>
            <w:tcBorders>
              <w:top w:val="none" w:sz="0" w:space="0" w:color="auto"/>
              <w:bottom w:val="none" w:sz="0" w:space="0" w:color="auto"/>
            </w:tcBorders>
            <w:noWrap/>
            <w:hideMark/>
          </w:tcPr>
          <w:p w14:paraId="2BD8A97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3,330</w:t>
            </w:r>
          </w:p>
        </w:tc>
        <w:tc>
          <w:tcPr>
            <w:tcW w:w="1194" w:type="dxa"/>
            <w:gridSpan w:val="2"/>
            <w:tcBorders>
              <w:top w:val="none" w:sz="0" w:space="0" w:color="auto"/>
              <w:bottom w:val="none" w:sz="0" w:space="0" w:color="auto"/>
            </w:tcBorders>
            <w:noWrap/>
            <w:hideMark/>
          </w:tcPr>
          <w:p w14:paraId="31E91D2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1,903</w:t>
            </w:r>
          </w:p>
        </w:tc>
        <w:tc>
          <w:tcPr>
            <w:tcW w:w="1195" w:type="dxa"/>
            <w:tcBorders>
              <w:top w:val="none" w:sz="0" w:space="0" w:color="auto"/>
              <w:bottom w:val="none" w:sz="0" w:space="0" w:color="auto"/>
            </w:tcBorders>
            <w:noWrap/>
            <w:hideMark/>
          </w:tcPr>
          <w:p w14:paraId="57115257"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3,355</w:t>
            </w:r>
          </w:p>
        </w:tc>
      </w:tr>
      <w:tr w:rsidR="00FC6246" w:rsidRPr="005D7F61" w14:paraId="03EB385B" w14:textId="77777777" w:rsidTr="00A94F17">
        <w:trPr>
          <w:trHeight w:val="227"/>
        </w:trPr>
        <w:tc>
          <w:tcPr>
            <w:tcW w:w="1344" w:type="dxa"/>
            <w:gridSpan w:val="2"/>
            <w:noWrap/>
            <w:vAlign w:val="bottom"/>
            <w:hideMark/>
          </w:tcPr>
          <w:p w14:paraId="1F0763D7" w14:textId="410D8043" w:rsidR="00FC6246" w:rsidRPr="005D7F61" w:rsidRDefault="00696C89" w:rsidP="00FC6246">
            <w:pPr>
              <w:keepNext/>
              <w:keepLines/>
              <w:spacing w:before="0"/>
              <w:rPr>
                <w:rFonts w:ascii="Calibri" w:eastAsia="Times New Roman" w:hAnsi="Calibri" w:cs="Calibri"/>
                <w:color w:val="000000"/>
                <w:sz w:val="18"/>
                <w:szCs w:val="18"/>
                <w:lang w:eastAsia="en-AU"/>
              </w:rPr>
            </w:pPr>
            <w:r w:rsidRPr="00696C89">
              <w:rPr>
                <w:rFonts w:ascii="Calibri" w:eastAsia="Times New Roman" w:hAnsi="Calibri" w:cs="Calibri"/>
                <w:color w:val="000000"/>
                <w:sz w:val="16"/>
                <w:szCs w:val="16"/>
                <w:lang w:eastAsia="en-AU"/>
              </w:rPr>
              <w:t>31+ years</w:t>
            </w:r>
          </w:p>
        </w:tc>
        <w:tc>
          <w:tcPr>
            <w:tcW w:w="1194" w:type="dxa"/>
            <w:gridSpan w:val="2"/>
            <w:noWrap/>
            <w:hideMark/>
          </w:tcPr>
          <w:p w14:paraId="798DE68D"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9,049</w:t>
            </w:r>
          </w:p>
        </w:tc>
        <w:tc>
          <w:tcPr>
            <w:tcW w:w="1194" w:type="dxa"/>
            <w:gridSpan w:val="2"/>
            <w:noWrap/>
            <w:hideMark/>
          </w:tcPr>
          <w:p w14:paraId="53D298F2"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5,530</w:t>
            </w:r>
          </w:p>
        </w:tc>
        <w:tc>
          <w:tcPr>
            <w:tcW w:w="1194" w:type="dxa"/>
            <w:gridSpan w:val="2"/>
            <w:noWrap/>
            <w:hideMark/>
          </w:tcPr>
          <w:p w14:paraId="5142612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3,842</w:t>
            </w:r>
          </w:p>
        </w:tc>
        <w:tc>
          <w:tcPr>
            <w:tcW w:w="1195" w:type="dxa"/>
            <w:gridSpan w:val="2"/>
            <w:noWrap/>
            <w:hideMark/>
          </w:tcPr>
          <w:p w14:paraId="7A958B2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2,758</w:t>
            </w:r>
          </w:p>
        </w:tc>
        <w:tc>
          <w:tcPr>
            <w:tcW w:w="1194" w:type="dxa"/>
            <w:gridSpan w:val="2"/>
            <w:noWrap/>
            <w:hideMark/>
          </w:tcPr>
          <w:p w14:paraId="56073DC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3,154</w:t>
            </w:r>
          </w:p>
        </w:tc>
        <w:tc>
          <w:tcPr>
            <w:tcW w:w="1194" w:type="dxa"/>
            <w:gridSpan w:val="2"/>
            <w:noWrap/>
            <w:hideMark/>
          </w:tcPr>
          <w:p w14:paraId="6EDA4F4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1,834</w:t>
            </w:r>
          </w:p>
        </w:tc>
        <w:tc>
          <w:tcPr>
            <w:tcW w:w="1195" w:type="dxa"/>
            <w:noWrap/>
            <w:hideMark/>
          </w:tcPr>
          <w:p w14:paraId="481FB839"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4,433</w:t>
            </w:r>
          </w:p>
        </w:tc>
      </w:tr>
      <w:tr w:rsidR="001075F6" w:rsidRPr="005D7F61" w14:paraId="5E4748EB" w14:textId="77777777" w:rsidTr="0027628A">
        <w:trPr>
          <w:cnfStyle w:val="000000100000" w:firstRow="0" w:lastRow="0" w:firstColumn="0" w:lastColumn="0" w:oddVBand="0" w:evenVBand="0" w:oddHBand="1" w:evenHBand="0" w:firstRowFirstColumn="0" w:firstRowLastColumn="0" w:lastRowFirstColumn="0" w:lastRowLastColumn="0"/>
          <w:trHeight w:val="227"/>
        </w:trPr>
        <w:tc>
          <w:tcPr>
            <w:tcW w:w="1213" w:type="dxa"/>
            <w:shd w:val="clear" w:color="auto" w:fill="C6DEF5" w:themeFill="accent1" w:themeFillTint="33"/>
            <w:noWrap/>
            <w:hideMark/>
          </w:tcPr>
          <w:p w14:paraId="35975B46" w14:textId="77777777" w:rsidR="001075F6" w:rsidRPr="005D7F61" w:rsidRDefault="001075F6" w:rsidP="00FC6246">
            <w:pPr>
              <w:keepNext/>
              <w:keepLines/>
              <w:spacing w:before="0"/>
              <w:rPr>
                <w:rFonts w:ascii="Calibri" w:eastAsia="Times New Roman" w:hAnsi="Calibri" w:cs="Calibri"/>
                <w:sz w:val="18"/>
                <w:szCs w:val="18"/>
                <w:lang w:eastAsia="en-AU"/>
              </w:rPr>
            </w:pPr>
            <w:r w:rsidRPr="005D7F61">
              <w:rPr>
                <w:rFonts w:ascii="Calibri" w:eastAsia="Times New Roman" w:hAnsi="Calibri" w:cs="Calibri"/>
                <w:i/>
                <w:iCs/>
                <w:color w:val="000000"/>
                <w:sz w:val="18"/>
                <w:szCs w:val="18"/>
                <w:lang w:eastAsia="en-AU"/>
              </w:rPr>
              <w:t>(c) by country</w:t>
            </w:r>
          </w:p>
        </w:tc>
        <w:tc>
          <w:tcPr>
            <w:tcW w:w="1213" w:type="dxa"/>
            <w:gridSpan w:val="2"/>
            <w:shd w:val="clear" w:color="auto" w:fill="C6DEF5" w:themeFill="accent1" w:themeFillTint="33"/>
          </w:tcPr>
          <w:p w14:paraId="0A9557BC"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1E538FD4"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06C18B44"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4A085B9C"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3DAF5A72"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0B2D9B0A" w14:textId="77777777" w:rsidR="001075F6" w:rsidRPr="005D7F61" w:rsidRDefault="001075F6" w:rsidP="00FC6246">
            <w:pPr>
              <w:keepNext/>
              <w:keepLines/>
              <w:spacing w:before="0"/>
              <w:rPr>
                <w:rFonts w:ascii="Calibri" w:eastAsia="Times New Roman" w:hAnsi="Calibri" w:cs="Calibri"/>
                <w:sz w:val="18"/>
                <w:szCs w:val="18"/>
                <w:lang w:eastAsia="en-AU"/>
              </w:rPr>
            </w:pPr>
          </w:p>
        </w:tc>
        <w:tc>
          <w:tcPr>
            <w:tcW w:w="1213" w:type="dxa"/>
            <w:gridSpan w:val="2"/>
            <w:shd w:val="clear" w:color="auto" w:fill="C6DEF5" w:themeFill="accent1" w:themeFillTint="33"/>
          </w:tcPr>
          <w:p w14:paraId="71DD9FC5" w14:textId="0AECB2E3" w:rsidR="001075F6" w:rsidRPr="005D7F61" w:rsidRDefault="001075F6" w:rsidP="00FC6246">
            <w:pPr>
              <w:keepNext/>
              <w:keepLines/>
              <w:spacing w:before="0"/>
              <w:rPr>
                <w:rFonts w:ascii="Calibri" w:eastAsia="Times New Roman" w:hAnsi="Calibri" w:cs="Calibri"/>
                <w:sz w:val="18"/>
                <w:szCs w:val="18"/>
                <w:lang w:eastAsia="en-AU"/>
              </w:rPr>
            </w:pPr>
          </w:p>
        </w:tc>
      </w:tr>
      <w:tr w:rsidR="00FC6246" w:rsidRPr="005D7F61" w14:paraId="43D39686" w14:textId="77777777" w:rsidTr="006F5753">
        <w:trPr>
          <w:trHeight w:val="227"/>
        </w:trPr>
        <w:tc>
          <w:tcPr>
            <w:tcW w:w="1344" w:type="dxa"/>
            <w:gridSpan w:val="2"/>
            <w:noWrap/>
            <w:hideMark/>
          </w:tcPr>
          <w:p w14:paraId="6FC53F0D"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Germany</w:t>
            </w:r>
          </w:p>
        </w:tc>
        <w:tc>
          <w:tcPr>
            <w:tcW w:w="1194" w:type="dxa"/>
            <w:gridSpan w:val="2"/>
            <w:noWrap/>
            <w:hideMark/>
          </w:tcPr>
          <w:p w14:paraId="7D10D43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6,400</w:t>
            </w:r>
          </w:p>
        </w:tc>
        <w:tc>
          <w:tcPr>
            <w:tcW w:w="1194" w:type="dxa"/>
            <w:gridSpan w:val="2"/>
            <w:noWrap/>
            <w:hideMark/>
          </w:tcPr>
          <w:p w14:paraId="09A999B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3,590</w:t>
            </w:r>
          </w:p>
        </w:tc>
        <w:tc>
          <w:tcPr>
            <w:tcW w:w="1194" w:type="dxa"/>
            <w:gridSpan w:val="2"/>
            <w:noWrap/>
            <w:hideMark/>
          </w:tcPr>
          <w:p w14:paraId="4A7BF98C"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2,236</w:t>
            </w:r>
          </w:p>
        </w:tc>
        <w:tc>
          <w:tcPr>
            <w:tcW w:w="1195" w:type="dxa"/>
            <w:gridSpan w:val="2"/>
            <w:noWrap/>
            <w:hideMark/>
          </w:tcPr>
          <w:p w14:paraId="11213C7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2,221</w:t>
            </w:r>
          </w:p>
        </w:tc>
        <w:tc>
          <w:tcPr>
            <w:tcW w:w="1194" w:type="dxa"/>
            <w:gridSpan w:val="2"/>
            <w:noWrap/>
            <w:hideMark/>
          </w:tcPr>
          <w:p w14:paraId="43186097"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2,056</w:t>
            </w:r>
          </w:p>
        </w:tc>
        <w:tc>
          <w:tcPr>
            <w:tcW w:w="1194" w:type="dxa"/>
            <w:gridSpan w:val="2"/>
            <w:noWrap/>
            <w:hideMark/>
          </w:tcPr>
          <w:p w14:paraId="193E5AC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1,154</w:t>
            </w:r>
          </w:p>
        </w:tc>
        <w:tc>
          <w:tcPr>
            <w:tcW w:w="1195" w:type="dxa"/>
            <w:noWrap/>
            <w:hideMark/>
          </w:tcPr>
          <w:p w14:paraId="082D103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3,726</w:t>
            </w:r>
          </w:p>
        </w:tc>
      </w:tr>
      <w:tr w:rsidR="00FC6246" w:rsidRPr="005D7F61" w14:paraId="392F9665"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27426148"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UK</w:t>
            </w:r>
          </w:p>
        </w:tc>
        <w:tc>
          <w:tcPr>
            <w:tcW w:w="1194" w:type="dxa"/>
            <w:gridSpan w:val="2"/>
            <w:noWrap/>
            <w:hideMark/>
          </w:tcPr>
          <w:p w14:paraId="389ACF6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9,380</w:t>
            </w:r>
          </w:p>
        </w:tc>
        <w:tc>
          <w:tcPr>
            <w:tcW w:w="1194" w:type="dxa"/>
            <w:gridSpan w:val="2"/>
            <w:noWrap/>
            <w:hideMark/>
          </w:tcPr>
          <w:p w14:paraId="2612E6B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4,939</w:t>
            </w:r>
          </w:p>
        </w:tc>
        <w:tc>
          <w:tcPr>
            <w:tcW w:w="1194" w:type="dxa"/>
            <w:gridSpan w:val="2"/>
            <w:noWrap/>
            <w:hideMark/>
          </w:tcPr>
          <w:p w14:paraId="3E2943C9"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4,184</w:t>
            </w:r>
          </w:p>
        </w:tc>
        <w:tc>
          <w:tcPr>
            <w:tcW w:w="1195" w:type="dxa"/>
            <w:gridSpan w:val="2"/>
            <w:noWrap/>
            <w:hideMark/>
          </w:tcPr>
          <w:p w14:paraId="501A38E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2,770</w:t>
            </w:r>
          </w:p>
        </w:tc>
        <w:tc>
          <w:tcPr>
            <w:tcW w:w="1194" w:type="dxa"/>
            <w:gridSpan w:val="2"/>
            <w:noWrap/>
            <w:hideMark/>
          </w:tcPr>
          <w:p w14:paraId="1906E42C"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3,629</w:t>
            </w:r>
          </w:p>
        </w:tc>
        <w:tc>
          <w:tcPr>
            <w:tcW w:w="1194" w:type="dxa"/>
            <w:gridSpan w:val="2"/>
            <w:noWrap/>
            <w:hideMark/>
          </w:tcPr>
          <w:p w14:paraId="386C1A1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1,811</w:t>
            </w:r>
          </w:p>
        </w:tc>
        <w:tc>
          <w:tcPr>
            <w:tcW w:w="1195" w:type="dxa"/>
            <w:noWrap/>
            <w:hideMark/>
          </w:tcPr>
          <w:p w14:paraId="2630CCD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4,035</w:t>
            </w:r>
          </w:p>
        </w:tc>
      </w:tr>
      <w:tr w:rsidR="00FC6246" w:rsidRPr="005D7F61" w14:paraId="398B5175" w14:textId="77777777" w:rsidTr="006F5753">
        <w:trPr>
          <w:trHeight w:val="227"/>
        </w:trPr>
        <w:tc>
          <w:tcPr>
            <w:tcW w:w="1344" w:type="dxa"/>
            <w:gridSpan w:val="2"/>
            <w:noWrap/>
            <w:hideMark/>
          </w:tcPr>
          <w:p w14:paraId="71A97A4E"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France</w:t>
            </w:r>
          </w:p>
        </w:tc>
        <w:tc>
          <w:tcPr>
            <w:tcW w:w="1194" w:type="dxa"/>
            <w:gridSpan w:val="2"/>
            <w:noWrap/>
            <w:hideMark/>
          </w:tcPr>
          <w:p w14:paraId="0DC5E578"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7,948</w:t>
            </w:r>
          </w:p>
        </w:tc>
        <w:tc>
          <w:tcPr>
            <w:tcW w:w="1194" w:type="dxa"/>
            <w:gridSpan w:val="2"/>
            <w:noWrap/>
            <w:hideMark/>
          </w:tcPr>
          <w:p w14:paraId="7C00EC0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4,555</w:t>
            </w:r>
          </w:p>
        </w:tc>
        <w:tc>
          <w:tcPr>
            <w:tcW w:w="1194" w:type="dxa"/>
            <w:gridSpan w:val="2"/>
            <w:noWrap/>
            <w:hideMark/>
          </w:tcPr>
          <w:p w14:paraId="4A6CCF85"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3,248</w:t>
            </w:r>
          </w:p>
        </w:tc>
        <w:tc>
          <w:tcPr>
            <w:tcW w:w="1195" w:type="dxa"/>
            <w:gridSpan w:val="2"/>
            <w:noWrap/>
            <w:hideMark/>
          </w:tcPr>
          <w:p w14:paraId="4B61F3A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2,674</w:t>
            </w:r>
          </w:p>
        </w:tc>
        <w:tc>
          <w:tcPr>
            <w:tcW w:w="1194" w:type="dxa"/>
            <w:gridSpan w:val="2"/>
            <w:noWrap/>
            <w:hideMark/>
          </w:tcPr>
          <w:p w14:paraId="07CD8C2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2,573</w:t>
            </w:r>
          </w:p>
        </w:tc>
        <w:tc>
          <w:tcPr>
            <w:tcW w:w="1194" w:type="dxa"/>
            <w:gridSpan w:val="2"/>
            <w:noWrap/>
            <w:hideMark/>
          </w:tcPr>
          <w:p w14:paraId="7385EA3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1,558</w:t>
            </w:r>
          </w:p>
        </w:tc>
        <w:tc>
          <w:tcPr>
            <w:tcW w:w="1195" w:type="dxa"/>
            <w:noWrap/>
            <w:hideMark/>
          </w:tcPr>
          <w:p w14:paraId="73770F1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3,127</w:t>
            </w:r>
          </w:p>
        </w:tc>
      </w:tr>
      <w:tr w:rsidR="00FC6246" w:rsidRPr="005D7F61" w14:paraId="33C3A8CC"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30C0B678"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Taiwan</w:t>
            </w:r>
          </w:p>
        </w:tc>
        <w:tc>
          <w:tcPr>
            <w:tcW w:w="1194" w:type="dxa"/>
            <w:gridSpan w:val="2"/>
            <w:noWrap/>
            <w:hideMark/>
          </w:tcPr>
          <w:p w14:paraId="6C24DF9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6,615</w:t>
            </w:r>
          </w:p>
        </w:tc>
        <w:tc>
          <w:tcPr>
            <w:tcW w:w="1194" w:type="dxa"/>
            <w:gridSpan w:val="2"/>
            <w:noWrap/>
            <w:hideMark/>
          </w:tcPr>
          <w:p w14:paraId="5DA1FD4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4,387</w:t>
            </w:r>
          </w:p>
        </w:tc>
        <w:tc>
          <w:tcPr>
            <w:tcW w:w="1194" w:type="dxa"/>
            <w:gridSpan w:val="2"/>
            <w:noWrap/>
            <w:hideMark/>
          </w:tcPr>
          <w:p w14:paraId="2A7E051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2,495</w:t>
            </w:r>
          </w:p>
        </w:tc>
        <w:tc>
          <w:tcPr>
            <w:tcW w:w="1195" w:type="dxa"/>
            <w:gridSpan w:val="2"/>
            <w:noWrap/>
            <w:hideMark/>
          </w:tcPr>
          <w:p w14:paraId="3F958EE8"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2,673</w:t>
            </w:r>
          </w:p>
        </w:tc>
        <w:tc>
          <w:tcPr>
            <w:tcW w:w="1194" w:type="dxa"/>
            <w:gridSpan w:val="2"/>
            <w:noWrap/>
            <w:hideMark/>
          </w:tcPr>
          <w:p w14:paraId="67982E6C"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3,431</w:t>
            </w:r>
          </w:p>
        </w:tc>
        <w:tc>
          <w:tcPr>
            <w:tcW w:w="1194" w:type="dxa"/>
            <w:gridSpan w:val="2"/>
            <w:noWrap/>
            <w:hideMark/>
          </w:tcPr>
          <w:p w14:paraId="5439E4C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1,896</w:t>
            </w:r>
          </w:p>
        </w:tc>
        <w:tc>
          <w:tcPr>
            <w:tcW w:w="1195" w:type="dxa"/>
            <w:noWrap/>
            <w:hideMark/>
          </w:tcPr>
          <w:p w14:paraId="4C09EC8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3,168</w:t>
            </w:r>
          </w:p>
        </w:tc>
      </w:tr>
      <w:tr w:rsidR="00FC6246" w:rsidRPr="005D7F61" w14:paraId="35807D35" w14:textId="77777777" w:rsidTr="006F5753">
        <w:trPr>
          <w:trHeight w:val="227"/>
        </w:trPr>
        <w:tc>
          <w:tcPr>
            <w:tcW w:w="1344" w:type="dxa"/>
            <w:gridSpan w:val="2"/>
            <w:noWrap/>
            <w:hideMark/>
          </w:tcPr>
          <w:p w14:paraId="742F64F6"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Italy</w:t>
            </w:r>
          </w:p>
        </w:tc>
        <w:tc>
          <w:tcPr>
            <w:tcW w:w="1194" w:type="dxa"/>
            <w:gridSpan w:val="2"/>
            <w:noWrap/>
            <w:hideMark/>
          </w:tcPr>
          <w:p w14:paraId="59411CD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8,290</w:t>
            </w:r>
          </w:p>
        </w:tc>
        <w:tc>
          <w:tcPr>
            <w:tcW w:w="1194" w:type="dxa"/>
            <w:gridSpan w:val="2"/>
            <w:noWrap/>
            <w:hideMark/>
          </w:tcPr>
          <w:p w14:paraId="31FB43A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4,700</w:t>
            </w:r>
          </w:p>
        </w:tc>
        <w:tc>
          <w:tcPr>
            <w:tcW w:w="1194" w:type="dxa"/>
            <w:gridSpan w:val="2"/>
            <w:noWrap/>
            <w:hideMark/>
          </w:tcPr>
          <w:p w14:paraId="0F606E8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3,015</w:t>
            </w:r>
          </w:p>
        </w:tc>
        <w:tc>
          <w:tcPr>
            <w:tcW w:w="1195" w:type="dxa"/>
            <w:gridSpan w:val="2"/>
            <w:noWrap/>
            <w:hideMark/>
          </w:tcPr>
          <w:p w14:paraId="017D4F12"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2,661</w:t>
            </w:r>
          </w:p>
        </w:tc>
        <w:tc>
          <w:tcPr>
            <w:tcW w:w="1194" w:type="dxa"/>
            <w:gridSpan w:val="2"/>
            <w:noWrap/>
            <w:hideMark/>
          </w:tcPr>
          <w:p w14:paraId="3F4F1C1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2,748</w:t>
            </w:r>
          </w:p>
        </w:tc>
        <w:tc>
          <w:tcPr>
            <w:tcW w:w="1194" w:type="dxa"/>
            <w:gridSpan w:val="2"/>
            <w:noWrap/>
            <w:hideMark/>
          </w:tcPr>
          <w:p w14:paraId="58F55AD3"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1,712</w:t>
            </w:r>
          </w:p>
        </w:tc>
        <w:tc>
          <w:tcPr>
            <w:tcW w:w="1195" w:type="dxa"/>
            <w:noWrap/>
            <w:hideMark/>
          </w:tcPr>
          <w:p w14:paraId="57AA25F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2,959</w:t>
            </w:r>
          </w:p>
        </w:tc>
      </w:tr>
      <w:tr w:rsidR="00FC6246" w:rsidRPr="005D7F61" w14:paraId="01CD24E4"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1D501E5E"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Canada</w:t>
            </w:r>
          </w:p>
        </w:tc>
        <w:tc>
          <w:tcPr>
            <w:tcW w:w="1194" w:type="dxa"/>
            <w:gridSpan w:val="2"/>
            <w:noWrap/>
            <w:hideMark/>
          </w:tcPr>
          <w:p w14:paraId="25A9B3E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9,271</w:t>
            </w:r>
          </w:p>
        </w:tc>
        <w:tc>
          <w:tcPr>
            <w:tcW w:w="1194" w:type="dxa"/>
            <w:gridSpan w:val="2"/>
            <w:noWrap/>
            <w:hideMark/>
          </w:tcPr>
          <w:p w14:paraId="7A67376C"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4,751</w:t>
            </w:r>
          </w:p>
        </w:tc>
        <w:tc>
          <w:tcPr>
            <w:tcW w:w="1194" w:type="dxa"/>
            <w:gridSpan w:val="2"/>
            <w:noWrap/>
            <w:hideMark/>
          </w:tcPr>
          <w:p w14:paraId="64C6254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3,232</w:t>
            </w:r>
          </w:p>
        </w:tc>
        <w:tc>
          <w:tcPr>
            <w:tcW w:w="1195" w:type="dxa"/>
            <w:gridSpan w:val="2"/>
            <w:noWrap/>
            <w:hideMark/>
          </w:tcPr>
          <w:p w14:paraId="2090856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2,511</w:t>
            </w:r>
          </w:p>
        </w:tc>
        <w:tc>
          <w:tcPr>
            <w:tcW w:w="1194" w:type="dxa"/>
            <w:gridSpan w:val="2"/>
            <w:noWrap/>
            <w:hideMark/>
          </w:tcPr>
          <w:p w14:paraId="635BC418"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2,656</w:t>
            </w:r>
          </w:p>
        </w:tc>
        <w:tc>
          <w:tcPr>
            <w:tcW w:w="1194" w:type="dxa"/>
            <w:gridSpan w:val="2"/>
            <w:noWrap/>
            <w:hideMark/>
          </w:tcPr>
          <w:p w14:paraId="527EC59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1,427</w:t>
            </w:r>
          </w:p>
        </w:tc>
        <w:tc>
          <w:tcPr>
            <w:tcW w:w="1195" w:type="dxa"/>
            <w:noWrap/>
            <w:hideMark/>
          </w:tcPr>
          <w:p w14:paraId="646E981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2,485</w:t>
            </w:r>
          </w:p>
        </w:tc>
      </w:tr>
      <w:tr w:rsidR="00FC6246" w:rsidRPr="005D7F61" w14:paraId="795E03C8" w14:textId="77777777" w:rsidTr="006F5753">
        <w:trPr>
          <w:trHeight w:val="227"/>
        </w:trPr>
        <w:tc>
          <w:tcPr>
            <w:tcW w:w="1344" w:type="dxa"/>
            <w:gridSpan w:val="2"/>
            <w:noWrap/>
            <w:hideMark/>
          </w:tcPr>
          <w:p w14:paraId="360CE857"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USA</w:t>
            </w:r>
          </w:p>
        </w:tc>
        <w:tc>
          <w:tcPr>
            <w:tcW w:w="1194" w:type="dxa"/>
            <w:gridSpan w:val="2"/>
            <w:noWrap/>
            <w:hideMark/>
          </w:tcPr>
          <w:p w14:paraId="283A1D3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9,038</w:t>
            </w:r>
          </w:p>
        </w:tc>
        <w:tc>
          <w:tcPr>
            <w:tcW w:w="1194" w:type="dxa"/>
            <w:gridSpan w:val="2"/>
            <w:noWrap/>
            <w:hideMark/>
          </w:tcPr>
          <w:p w14:paraId="587F75A9"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4,358</w:t>
            </w:r>
          </w:p>
        </w:tc>
        <w:tc>
          <w:tcPr>
            <w:tcW w:w="1194" w:type="dxa"/>
            <w:gridSpan w:val="2"/>
            <w:noWrap/>
            <w:hideMark/>
          </w:tcPr>
          <w:p w14:paraId="2CD1B47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2,595</w:t>
            </w:r>
          </w:p>
        </w:tc>
        <w:tc>
          <w:tcPr>
            <w:tcW w:w="1195" w:type="dxa"/>
            <w:gridSpan w:val="2"/>
            <w:noWrap/>
            <w:hideMark/>
          </w:tcPr>
          <w:p w14:paraId="04049ABD"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2,211</w:t>
            </w:r>
          </w:p>
        </w:tc>
        <w:tc>
          <w:tcPr>
            <w:tcW w:w="1194" w:type="dxa"/>
            <w:gridSpan w:val="2"/>
            <w:noWrap/>
            <w:hideMark/>
          </w:tcPr>
          <w:p w14:paraId="3FB0FAE9"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1,976</w:t>
            </w:r>
          </w:p>
        </w:tc>
        <w:tc>
          <w:tcPr>
            <w:tcW w:w="1194" w:type="dxa"/>
            <w:gridSpan w:val="2"/>
            <w:noWrap/>
            <w:hideMark/>
          </w:tcPr>
          <w:p w14:paraId="0396839B"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2,176</w:t>
            </w:r>
          </w:p>
        </w:tc>
        <w:tc>
          <w:tcPr>
            <w:tcW w:w="1195" w:type="dxa"/>
            <w:noWrap/>
            <w:hideMark/>
          </w:tcPr>
          <w:p w14:paraId="4043854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2,700</w:t>
            </w:r>
          </w:p>
        </w:tc>
      </w:tr>
      <w:tr w:rsidR="00FC6246" w:rsidRPr="005D7F61" w14:paraId="681EFB65"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26C418ED" w14:textId="79E3BE79" w:rsidR="00FC6246" w:rsidRPr="005D7F61" w:rsidRDefault="002D33DC" w:rsidP="00FC6246">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xml:space="preserve">South </w:t>
            </w:r>
            <w:r w:rsidR="00FC6246" w:rsidRPr="005D7F61">
              <w:rPr>
                <w:rFonts w:ascii="Calibri" w:eastAsia="Times New Roman" w:hAnsi="Calibri" w:cs="Calibri"/>
                <w:color w:val="000000"/>
                <w:sz w:val="18"/>
                <w:szCs w:val="18"/>
                <w:lang w:eastAsia="en-AU"/>
              </w:rPr>
              <w:t>Korea</w:t>
            </w:r>
          </w:p>
        </w:tc>
        <w:tc>
          <w:tcPr>
            <w:tcW w:w="1194" w:type="dxa"/>
            <w:gridSpan w:val="2"/>
            <w:noWrap/>
            <w:hideMark/>
          </w:tcPr>
          <w:p w14:paraId="4BFD0CF2"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7,673</w:t>
            </w:r>
          </w:p>
        </w:tc>
        <w:tc>
          <w:tcPr>
            <w:tcW w:w="1194" w:type="dxa"/>
            <w:gridSpan w:val="2"/>
            <w:noWrap/>
            <w:hideMark/>
          </w:tcPr>
          <w:p w14:paraId="45E6796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6,002</w:t>
            </w:r>
          </w:p>
        </w:tc>
        <w:tc>
          <w:tcPr>
            <w:tcW w:w="1194" w:type="dxa"/>
            <w:gridSpan w:val="2"/>
            <w:noWrap/>
            <w:hideMark/>
          </w:tcPr>
          <w:p w14:paraId="35CB536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3,184</w:t>
            </w:r>
          </w:p>
        </w:tc>
        <w:tc>
          <w:tcPr>
            <w:tcW w:w="1195" w:type="dxa"/>
            <w:gridSpan w:val="2"/>
            <w:noWrap/>
            <w:hideMark/>
          </w:tcPr>
          <w:p w14:paraId="544C90F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3,122</w:t>
            </w:r>
          </w:p>
        </w:tc>
        <w:tc>
          <w:tcPr>
            <w:tcW w:w="1194" w:type="dxa"/>
            <w:gridSpan w:val="2"/>
            <w:noWrap/>
            <w:hideMark/>
          </w:tcPr>
          <w:p w14:paraId="1861D35C"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3,688</w:t>
            </w:r>
          </w:p>
        </w:tc>
        <w:tc>
          <w:tcPr>
            <w:tcW w:w="1194" w:type="dxa"/>
            <w:gridSpan w:val="2"/>
            <w:noWrap/>
            <w:hideMark/>
          </w:tcPr>
          <w:p w14:paraId="7BF6276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3,126</w:t>
            </w:r>
          </w:p>
        </w:tc>
        <w:tc>
          <w:tcPr>
            <w:tcW w:w="1195" w:type="dxa"/>
            <w:noWrap/>
            <w:hideMark/>
          </w:tcPr>
          <w:p w14:paraId="2D531A2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4,868</w:t>
            </w:r>
          </w:p>
        </w:tc>
      </w:tr>
      <w:tr w:rsidR="00FC6246" w:rsidRPr="005D7F61" w14:paraId="09D17644" w14:textId="77777777" w:rsidTr="006F5753">
        <w:trPr>
          <w:trHeight w:val="227"/>
        </w:trPr>
        <w:tc>
          <w:tcPr>
            <w:tcW w:w="1344" w:type="dxa"/>
            <w:gridSpan w:val="2"/>
            <w:noWrap/>
            <w:hideMark/>
          </w:tcPr>
          <w:p w14:paraId="079F387F"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Netherlands</w:t>
            </w:r>
          </w:p>
        </w:tc>
        <w:tc>
          <w:tcPr>
            <w:tcW w:w="1194" w:type="dxa"/>
            <w:gridSpan w:val="2"/>
            <w:noWrap/>
            <w:hideMark/>
          </w:tcPr>
          <w:p w14:paraId="02471BB5"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7,588</w:t>
            </w:r>
          </w:p>
        </w:tc>
        <w:tc>
          <w:tcPr>
            <w:tcW w:w="1194" w:type="dxa"/>
            <w:gridSpan w:val="2"/>
            <w:noWrap/>
            <w:hideMark/>
          </w:tcPr>
          <w:p w14:paraId="7CFEB1BD"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4,011</w:t>
            </w:r>
          </w:p>
        </w:tc>
        <w:tc>
          <w:tcPr>
            <w:tcW w:w="1194" w:type="dxa"/>
            <w:gridSpan w:val="2"/>
            <w:noWrap/>
            <w:hideMark/>
          </w:tcPr>
          <w:p w14:paraId="51F58856"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2,383</w:t>
            </w:r>
          </w:p>
        </w:tc>
        <w:tc>
          <w:tcPr>
            <w:tcW w:w="1195" w:type="dxa"/>
            <w:gridSpan w:val="2"/>
            <w:noWrap/>
            <w:hideMark/>
          </w:tcPr>
          <w:p w14:paraId="537C329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2,247</w:t>
            </w:r>
          </w:p>
        </w:tc>
        <w:tc>
          <w:tcPr>
            <w:tcW w:w="1194" w:type="dxa"/>
            <w:gridSpan w:val="2"/>
            <w:noWrap/>
            <w:hideMark/>
          </w:tcPr>
          <w:p w14:paraId="5EACD105"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1,735</w:t>
            </w:r>
          </w:p>
        </w:tc>
        <w:tc>
          <w:tcPr>
            <w:tcW w:w="1194" w:type="dxa"/>
            <w:gridSpan w:val="2"/>
            <w:noWrap/>
            <w:hideMark/>
          </w:tcPr>
          <w:p w14:paraId="26DB9FA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1,107</w:t>
            </w:r>
          </w:p>
        </w:tc>
        <w:tc>
          <w:tcPr>
            <w:tcW w:w="1195" w:type="dxa"/>
            <w:noWrap/>
            <w:hideMark/>
          </w:tcPr>
          <w:p w14:paraId="5289C182"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1,790</w:t>
            </w:r>
          </w:p>
        </w:tc>
      </w:tr>
      <w:tr w:rsidR="00FC6246" w:rsidRPr="005D7F61" w14:paraId="57F3437D" w14:textId="77777777" w:rsidTr="006F5753">
        <w:trPr>
          <w:cnfStyle w:val="000000100000" w:firstRow="0" w:lastRow="0" w:firstColumn="0" w:lastColumn="0" w:oddVBand="0" w:evenVBand="0" w:oddHBand="1" w:evenHBand="0" w:firstRowFirstColumn="0" w:firstRowLastColumn="0" w:lastRowFirstColumn="0" w:lastRowLastColumn="0"/>
          <w:trHeight w:val="227"/>
        </w:trPr>
        <w:tc>
          <w:tcPr>
            <w:tcW w:w="1344" w:type="dxa"/>
            <w:gridSpan w:val="2"/>
            <w:noWrap/>
            <w:hideMark/>
          </w:tcPr>
          <w:p w14:paraId="43B2C09B"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Japan</w:t>
            </w:r>
          </w:p>
        </w:tc>
        <w:tc>
          <w:tcPr>
            <w:tcW w:w="1194" w:type="dxa"/>
            <w:gridSpan w:val="2"/>
            <w:noWrap/>
            <w:hideMark/>
          </w:tcPr>
          <w:p w14:paraId="3B93D319"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7,405</w:t>
            </w:r>
          </w:p>
        </w:tc>
        <w:tc>
          <w:tcPr>
            <w:tcW w:w="1194" w:type="dxa"/>
            <w:gridSpan w:val="2"/>
            <w:noWrap/>
            <w:hideMark/>
          </w:tcPr>
          <w:p w14:paraId="3116494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4,243</w:t>
            </w:r>
          </w:p>
        </w:tc>
        <w:tc>
          <w:tcPr>
            <w:tcW w:w="1194" w:type="dxa"/>
            <w:gridSpan w:val="2"/>
            <w:noWrap/>
            <w:hideMark/>
          </w:tcPr>
          <w:p w14:paraId="3F06623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2,333</w:t>
            </w:r>
          </w:p>
        </w:tc>
        <w:tc>
          <w:tcPr>
            <w:tcW w:w="1195" w:type="dxa"/>
            <w:gridSpan w:val="2"/>
            <w:noWrap/>
            <w:hideMark/>
          </w:tcPr>
          <w:p w14:paraId="72F3AD80"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2,435</w:t>
            </w:r>
          </w:p>
        </w:tc>
        <w:tc>
          <w:tcPr>
            <w:tcW w:w="1194" w:type="dxa"/>
            <w:gridSpan w:val="2"/>
            <w:noWrap/>
            <w:hideMark/>
          </w:tcPr>
          <w:p w14:paraId="0954048F"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2,599</w:t>
            </w:r>
          </w:p>
        </w:tc>
        <w:tc>
          <w:tcPr>
            <w:tcW w:w="1194" w:type="dxa"/>
            <w:gridSpan w:val="2"/>
            <w:noWrap/>
            <w:hideMark/>
          </w:tcPr>
          <w:p w14:paraId="773F9B9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1,545</w:t>
            </w:r>
          </w:p>
        </w:tc>
        <w:tc>
          <w:tcPr>
            <w:tcW w:w="1195" w:type="dxa"/>
            <w:noWrap/>
            <w:hideMark/>
          </w:tcPr>
          <w:p w14:paraId="5E3FFDA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3,947</w:t>
            </w:r>
          </w:p>
        </w:tc>
      </w:tr>
      <w:tr w:rsidR="00FC6246" w:rsidRPr="005D7F61" w14:paraId="7B74A902" w14:textId="77777777" w:rsidTr="007100A5">
        <w:trPr>
          <w:trHeight w:val="227"/>
        </w:trPr>
        <w:tc>
          <w:tcPr>
            <w:tcW w:w="1344" w:type="dxa"/>
            <w:gridSpan w:val="2"/>
            <w:tcBorders>
              <w:bottom w:val="single" w:sz="4" w:space="0" w:color="FDD969" w:themeColor="accent2"/>
            </w:tcBorders>
            <w:noWrap/>
            <w:hideMark/>
          </w:tcPr>
          <w:p w14:paraId="2A70FF5C" w14:textId="77777777" w:rsidR="00FC6246" w:rsidRPr="005D7F61" w:rsidRDefault="00FC6246" w:rsidP="00FC6246">
            <w:pPr>
              <w:keepNext/>
              <w:keepLines/>
              <w:spacing w:before="0"/>
              <w:rPr>
                <w:rFonts w:ascii="Calibri" w:eastAsia="Times New Roman" w:hAnsi="Calibri" w:cs="Calibri"/>
                <w:color w:val="000000"/>
                <w:sz w:val="18"/>
                <w:szCs w:val="18"/>
                <w:lang w:eastAsia="en-AU"/>
              </w:rPr>
            </w:pPr>
            <w:r w:rsidRPr="005D7F61">
              <w:rPr>
                <w:rFonts w:ascii="Calibri" w:eastAsia="Times New Roman" w:hAnsi="Calibri" w:cs="Calibri"/>
                <w:color w:val="000000"/>
                <w:sz w:val="18"/>
                <w:szCs w:val="18"/>
                <w:lang w:eastAsia="en-AU"/>
              </w:rPr>
              <w:t>Other</w:t>
            </w:r>
          </w:p>
        </w:tc>
        <w:tc>
          <w:tcPr>
            <w:tcW w:w="1194" w:type="dxa"/>
            <w:gridSpan w:val="2"/>
            <w:tcBorders>
              <w:bottom w:val="single" w:sz="4" w:space="0" w:color="FDD969" w:themeColor="accent2"/>
            </w:tcBorders>
            <w:noWrap/>
            <w:hideMark/>
          </w:tcPr>
          <w:p w14:paraId="4C0123F1"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8,558</w:t>
            </w:r>
          </w:p>
        </w:tc>
        <w:tc>
          <w:tcPr>
            <w:tcW w:w="1194" w:type="dxa"/>
            <w:gridSpan w:val="2"/>
            <w:tcBorders>
              <w:bottom w:val="single" w:sz="4" w:space="0" w:color="FDD969" w:themeColor="accent2"/>
            </w:tcBorders>
            <w:noWrap/>
            <w:hideMark/>
          </w:tcPr>
          <w:p w14:paraId="62CCC53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5,325</w:t>
            </w:r>
          </w:p>
        </w:tc>
        <w:tc>
          <w:tcPr>
            <w:tcW w:w="1194" w:type="dxa"/>
            <w:gridSpan w:val="2"/>
            <w:tcBorders>
              <w:bottom w:val="single" w:sz="4" w:space="0" w:color="FDD969" w:themeColor="accent2"/>
            </w:tcBorders>
            <w:noWrap/>
            <w:hideMark/>
          </w:tcPr>
          <w:p w14:paraId="64B7BC8E"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3,995</w:t>
            </w:r>
          </w:p>
        </w:tc>
        <w:tc>
          <w:tcPr>
            <w:tcW w:w="1195" w:type="dxa"/>
            <w:gridSpan w:val="2"/>
            <w:tcBorders>
              <w:bottom w:val="single" w:sz="4" w:space="0" w:color="FDD969" w:themeColor="accent2"/>
            </w:tcBorders>
            <w:noWrap/>
            <w:hideMark/>
          </w:tcPr>
          <w:p w14:paraId="77C9760A"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2,931</w:t>
            </w:r>
          </w:p>
        </w:tc>
        <w:tc>
          <w:tcPr>
            <w:tcW w:w="1194" w:type="dxa"/>
            <w:gridSpan w:val="2"/>
            <w:tcBorders>
              <w:bottom w:val="single" w:sz="4" w:space="0" w:color="FDD969" w:themeColor="accent2"/>
            </w:tcBorders>
            <w:noWrap/>
            <w:hideMark/>
          </w:tcPr>
          <w:p w14:paraId="06C25167"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3,557</w:t>
            </w:r>
          </w:p>
        </w:tc>
        <w:tc>
          <w:tcPr>
            <w:tcW w:w="1194" w:type="dxa"/>
            <w:gridSpan w:val="2"/>
            <w:tcBorders>
              <w:bottom w:val="single" w:sz="4" w:space="0" w:color="FDD969" w:themeColor="accent2"/>
            </w:tcBorders>
            <w:noWrap/>
            <w:hideMark/>
          </w:tcPr>
          <w:p w14:paraId="67B981F4"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1,949</w:t>
            </w:r>
          </w:p>
        </w:tc>
        <w:tc>
          <w:tcPr>
            <w:tcW w:w="1195" w:type="dxa"/>
            <w:tcBorders>
              <w:bottom w:val="single" w:sz="4" w:space="0" w:color="FDD969" w:themeColor="accent2"/>
            </w:tcBorders>
            <w:noWrap/>
            <w:hideMark/>
          </w:tcPr>
          <w:p w14:paraId="52BB6DEB" w14:textId="77777777" w:rsidR="00FC6246" w:rsidRPr="005D7F61" w:rsidRDefault="00FC6246" w:rsidP="00FC6246">
            <w:pPr>
              <w:keepNext/>
              <w:keepLines/>
              <w:spacing w:before="0"/>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t>
            </w:r>
            <w:r w:rsidRPr="005D7F61">
              <w:rPr>
                <w:rFonts w:ascii="Calibri" w:eastAsia="Times New Roman" w:hAnsi="Calibri" w:cs="Calibri"/>
                <w:color w:val="000000"/>
                <w:sz w:val="18"/>
                <w:szCs w:val="18"/>
                <w:lang w:eastAsia="en-AU"/>
              </w:rPr>
              <w:t>4,187</w:t>
            </w:r>
          </w:p>
        </w:tc>
      </w:tr>
      <w:tr w:rsidR="004B067D" w:rsidRPr="005D7F61" w14:paraId="0B6E94EA" w14:textId="77777777" w:rsidTr="00E01DF3">
        <w:trPr>
          <w:cnfStyle w:val="000000100000" w:firstRow="0" w:lastRow="0" w:firstColumn="0" w:lastColumn="0" w:oddVBand="0" w:evenVBand="0" w:oddHBand="1" w:evenHBand="0" w:firstRowFirstColumn="0" w:firstRowLastColumn="0" w:lastRowFirstColumn="0" w:lastRowLastColumn="0"/>
          <w:trHeight w:val="227"/>
        </w:trPr>
        <w:tc>
          <w:tcPr>
            <w:tcW w:w="1213" w:type="dxa"/>
            <w:tcBorders>
              <w:top w:val="single" w:sz="4" w:space="0" w:color="FDD969" w:themeColor="accent2"/>
              <w:bottom w:val="single" w:sz="4" w:space="0" w:color="FDD969" w:themeColor="accent2"/>
            </w:tcBorders>
            <w:shd w:val="clear" w:color="auto" w:fill="FEEFC2" w:themeFill="accent2" w:themeFillTint="66"/>
            <w:noWrap/>
          </w:tcPr>
          <w:p w14:paraId="4D62648A"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r w:rsidRPr="0089169C">
              <w:rPr>
                <w:rFonts w:ascii="Calibri" w:eastAsia="Times New Roman" w:hAnsi="Calibri" w:cs="Calibri"/>
                <w:i/>
                <w:iCs/>
                <w:color w:val="000000"/>
                <w:sz w:val="18"/>
                <w:szCs w:val="18"/>
                <w:lang w:eastAsia="en-AU"/>
              </w:rPr>
              <w:t>(d) by week</w:t>
            </w: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52B7E9C2"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748F9954"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43FA3443"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70B3B4D8"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392DBFC0"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2B21F734" w14:textId="77777777"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c>
          <w:tcPr>
            <w:tcW w:w="1213" w:type="dxa"/>
            <w:gridSpan w:val="2"/>
            <w:tcBorders>
              <w:top w:val="single" w:sz="4" w:space="0" w:color="FDD969" w:themeColor="accent2"/>
              <w:bottom w:val="single" w:sz="4" w:space="0" w:color="FDD969" w:themeColor="accent2"/>
            </w:tcBorders>
            <w:shd w:val="clear" w:color="auto" w:fill="FEEFC2" w:themeFill="accent2" w:themeFillTint="66"/>
          </w:tcPr>
          <w:p w14:paraId="22A0BC90" w14:textId="33EE05D4" w:rsidR="004B067D" w:rsidRPr="004D4D9E" w:rsidRDefault="004B067D" w:rsidP="004D4D9E">
            <w:pPr>
              <w:keepNext/>
              <w:keepLines/>
              <w:spacing w:before="0"/>
              <w:rPr>
                <w:rFonts w:ascii="Calibri" w:eastAsia="Times New Roman" w:hAnsi="Calibri" w:cs="Calibri"/>
                <w:i/>
                <w:iCs/>
                <w:color w:val="000000"/>
                <w:sz w:val="18"/>
                <w:szCs w:val="18"/>
                <w:lang w:eastAsia="en-AU"/>
              </w:rPr>
            </w:pPr>
          </w:p>
        </w:tc>
      </w:tr>
      <w:tr w:rsidR="004D4D9E" w:rsidRPr="005D7F61" w14:paraId="34A3CD09" w14:textId="77777777" w:rsidTr="007100A5">
        <w:trPr>
          <w:trHeight w:val="227"/>
        </w:trPr>
        <w:tc>
          <w:tcPr>
            <w:tcW w:w="1344" w:type="dxa"/>
            <w:gridSpan w:val="2"/>
            <w:tcBorders>
              <w:top w:val="single" w:sz="4" w:space="0" w:color="FDD969" w:themeColor="accent2"/>
            </w:tcBorders>
            <w:noWrap/>
          </w:tcPr>
          <w:p w14:paraId="7D128904" w14:textId="77777777" w:rsidR="004D4D9E" w:rsidRPr="005D7F61" w:rsidRDefault="004D4D9E" w:rsidP="004D4D9E">
            <w:pPr>
              <w:keepNext/>
              <w:keepLines/>
              <w:spacing w:before="0"/>
              <w:rPr>
                <w:rFonts w:ascii="Calibri" w:eastAsia="Times New Roman" w:hAnsi="Calibri" w:cs="Calibri"/>
                <w:b/>
                <w:bCs/>
                <w:color w:val="000000"/>
                <w:sz w:val="18"/>
                <w:szCs w:val="18"/>
                <w:lang w:eastAsia="en-AU"/>
              </w:rPr>
            </w:pPr>
          </w:p>
        </w:tc>
        <w:tc>
          <w:tcPr>
            <w:tcW w:w="1194" w:type="dxa"/>
            <w:gridSpan w:val="2"/>
            <w:tcBorders>
              <w:top w:val="single" w:sz="4" w:space="0" w:color="FDD969" w:themeColor="accent2"/>
            </w:tcBorders>
            <w:noWrap/>
          </w:tcPr>
          <w:p w14:paraId="4B1F60E7" w14:textId="32701F9E"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$197</w:t>
            </w:r>
          </w:p>
        </w:tc>
        <w:tc>
          <w:tcPr>
            <w:tcW w:w="1194" w:type="dxa"/>
            <w:gridSpan w:val="2"/>
            <w:tcBorders>
              <w:top w:val="single" w:sz="4" w:space="0" w:color="FDD969" w:themeColor="accent2"/>
            </w:tcBorders>
            <w:noWrap/>
          </w:tcPr>
          <w:p w14:paraId="0DD560E7" w14:textId="1163CB77"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$114</w:t>
            </w:r>
          </w:p>
        </w:tc>
        <w:tc>
          <w:tcPr>
            <w:tcW w:w="1194" w:type="dxa"/>
            <w:gridSpan w:val="2"/>
            <w:tcBorders>
              <w:top w:val="single" w:sz="4" w:space="0" w:color="FDD969" w:themeColor="accent2"/>
            </w:tcBorders>
            <w:noWrap/>
          </w:tcPr>
          <w:p w14:paraId="4DF32F5F" w14:textId="274DDA61"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$80</w:t>
            </w:r>
          </w:p>
        </w:tc>
        <w:tc>
          <w:tcPr>
            <w:tcW w:w="1195" w:type="dxa"/>
            <w:gridSpan w:val="2"/>
            <w:tcBorders>
              <w:top w:val="single" w:sz="4" w:space="0" w:color="FDD969" w:themeColor="accent2"/>
            </w:tcBorders>
            <w:noWrap/>
          </w:tcPr>
          <w:p w14:paraId="056D24DC" w14:textId="2BEB30F9"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$65</w:t>
            </w:r>
          </w:p>
        </w:tc>
        <w:tc>
          <w:tcPr>
            <w:tcW w:w="1194" w:type="dxa"/>
            <w:gridSpan w:val="2"/>
            <w:tcBorders>
              <w:top w:val="single" w:sz="4" w:space="0" w:color="FDD969" w:themeColor="accent2"/>
            </w:tcBorders>
            <w:noWrap/>
          </w:tcPr>
          <w:p w14:paraId="472BBB20" w14:textId="38828B1A"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$71</w:t>
            </w:r>
          </w:p>
        </w:tc>
        <w:tc>
          <w:tcPr>
            <w:tcW w:w="1194" w:type="dxa"/>
            <w:gridSpan w:val="2"/>
            <w:tcBorders>
              <w:top w:val="single" w:sz="4" w:space="0" w:color="FDD969" w:themeColor="accent2"/>
            </w:tcBorders>
            <w:noWrap/>
          </w:tcPr>
          <w:p w14:paraId="73B6A518" w14:textId="57C0CE02"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$44</w:t>
            </w:r>
          </w:p>
        </w:tc>
        <w:tc>
          <w:tcPr>
            <w:tcW w:w="1195" w:type="dxa"/>
            <w:tcBorders>
              <w:top w:val="single" w:sz="4" w:space="0" w:color="FDD969" w:themeColor="accent2"/>
            </w:tcBorders>
            <w:noWrap/>
          </w:tcPr>
          <w:p w14:paraId="40E88E31" w14:textId="7E8E4E10" w:rsidR="004D4D9E" w:rsidRDefault="009E7155" w:rsidP="004D4D9E">
            <w:pPr>
              <w:keepNext/>
              <w:keepLines/>
              <w:spacing w:before="0"/>
              <w:jc w:val="center"/>
              <w:rPr>
                <w:rFonts w:ascii="Calibri" w:eastAsia="Times New Roman" w:hAnsi="Calibri" w:cs="Calibri"/>
                <w:b/>
                <w:bCs/>
                <w:color w:val="000000"/>
                <w:sz w:val="18"/>
                <w:szCs w:val="18"/>
                <w:lang w:eastAsia="en-AU"/>
              </w:rPr>
            </w:pPr>
            <w:r>
              <w:rPr>
                <w:rFonts w:ascii="Calibri" w:eastAsia="Times New Roman" w:hAnsi="Calibri" w:cs="Calibri"/>
                <w:color w:val="000000"/>
                <w:sz w:val="18"/>
                <w:szCs w:val="18"/>
                <w:lang w:eastAsia="en-AU"/>
              </w:rPr>
              <w:t>$86</w:t>
            </w:r>
          </w:p>
        </w:tc>
      </w:tr>
      <w:tr w:rsidR="004D4D9E" w:rsidRPr="009E7155" w14:paraId="06DE4189" w14:textId="77777777" w:rsidTr="006F5753">
        <w:trPr>
          <w:cnfStyle w:val="010000000000" w:firstRow="0" w:lastRow="1" w:firstColumn="0" w:lastColumn="0" w:oddVBand="0" w:evenVBand="0" w:oddHBand="0" w:evenHBand="0" w:firstRowFirstColumn="0" w:firstRowLastColumn="0" w:lastRowFirstColumn="0" w:lastRowLastColumn="0"/>
          <w:trHeight w:val="227"/>
        </w:trPr>
        <w:tc>
          <w:tcPr>
            <w:tcW w:w="1344" w:type="dxa"/>
            <w:gridSpan w:val="2"/>
            <w:noWrap/>
          </w:tcPr>
          <w:p w14:paraId="4584AD5C" w14:textId="77777777" w:rsidR="004D4D9E" w:rsidRPr="009E7155" w:rsidRDefault="004D4D9E" w:rsidP="004D4D9E">
            <w:pPr>
              <w:keepNext/>
              <w:keepLines/>
              <w:spacing w:before="0"/>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TOTAL</w:t>
            </w:r>
          </w:p>
        </w:tc>
        <w:tc>
          <w:tcPr>
            <w:tcW w:w="1194" w:type="dxa"/>
            <w:gridSpan w:val="2"/>
            <w:noWrap/>
          </w:tcPr>
          <w:p w14:paraId="0DFB712D"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$8,046</w:t>
            </w:r>
          </w:p>
        </w:tc>
        <w:tc>
          <w:tcPr>
            <w:tcW w:w="1194" w:type="dxa"/>
            <w:gridSpan w:val="2"/>
            <w:noWrap/>
          </w:tcPr>
          <w:p w14:paraId="02317B28"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$4,637</w:t>
            </w:r>
          </w:p>
        </w:tc>
        <w:tc>
          <w:tcPr>
            <w:tcW w:w="1194" w:type="dxa"/>
            <w:gridSpan w:val="2"/>
            <w:noWrap/>
          </w:tcPr>
          <w:p w14:paraId="3F4E5CA9"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$3,271</w:t>
            </w:r>
          </w:p>
        </w:tc>
        <w:tc>
          <w:tcPr>
            <w:tcW w:w="1195" w:type="dxa"/>
            <w:gridSpan w:val="2"/>
            <w:noWrap/>
          </w:tcPr>
          <w:p w14:paraId="3C45A2E7"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$2,632</w:t>
            </w:r>
          </w:p>
        </w:tc>
        <w:tc>
          <w:tcPr>
            <w:tcW w:w="1194" w:type="dxa"/>
            <w:gridSpan w:val="2"/>
            <w:noWrap/>
          </w:tcPr>
          <w:p w14:paraId="56874ACA"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$2,909</w:t>
            </w:r>
          </w:p>
        </w:tc>
        <w:tc>
          <w:tcPr>
            <w:tcW w:w="1194" w:type="dxa"/>
            <w:gridSpan w:val="2"/>
            <w:noWrap/>
          </w:tcPr>
          <w:p w14:paraId="1F4CFD2E"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$1,776</w:t>
            </w:r>
          </w:p>
        </w:tc>
        <w:tc>
          <w:tcPr>
            <w:tcW w:w="1195" w:type="dxa"/>
            <w:noWrap/>
          </w:tcPr>
          <w:p w14:paraId="6799805C" w14:textId="77777777" w:rsidR="004D4D9E" w:rsidRPr="009E7155" w:rsidRDefault="004D4D9E" w:rsidP="004D4D9E">
            <w:pPr>
              <w:keepNext/>
              <w:keepLines/>
              <w:spacing w:before="0"/>
              <w:jc w:val="center"/>
              <w:rPr>
                <w:rFonts w:ascii="Calibri" w:eastAsia="Times New Roman" w:hAnsi="Calibri" w:cs="Calibri"/>
                <w:color w:val="000000"/>
                <w:sz w:val="18"/>
                <w:szCs w:val="18"/>
                <w:lang w:eastAsia="en-AU"/>
              </w:rPr>
            </w:pPr>
            <w:r w:rsidRPr="009E7155">
              <w:rPr>
                <w:rFonts w:ascii="Calibri" w:eastAsia="Times New Roman" w:hAnsi="Calibri" w:cs="Calibri"/>
                <w:color w:val="000000"/>
                <w:sz w:val="18"/>
                <w:szCs w:val="18"/>
                <w:lang w:eastAsia="en-AU"/>
              </w:rPr>
              <w:t>$3,515</w:t>
            </w:r>
          </w:p>
        </w:tc>
      </w:tr>
    </w:tbl>
    <w:p w14:paraId="5E4F1BD8" w14:textId="24461FDC" w:rsidR="00FC05B9" w:rsidRDefault="00FC05B9" w:rsidP="00FC6246">
      <w:pPr>
        <w:pStyle w:val="Tablenote"/>
      </w:pPr>
      <w:r>
        <w:t xml:space="preserve">Note, </w:t>
      </w:r>
      <w:r w:rsidR="004D4D9E">
        <w:t xml:space="preserve">Average weekly expenditure is calculated based on the average WHM stay of 9.4 months. </w:t>
      </w:r>
      <w:r w:rsidR="00117F8A">
        <w:t>F</w:t>
      </w:r>
      <w:r>
        <w:t xml:space="preserve">or this purpose Top 10 countries are those with the most WHMs reporting valid expenditure. ‘Other’ aggregates the responses of WHMs from all other countries. </w:t>
      </w:r>
    </w:p>
    <w:p w14:paraId="1784DEC4" w14:textId="2E6A1B98" w:rsidR="00FC6246" w:rsidRDefault="00FC6246" w:rsidP="00FC6246">
      <w:pPr>
        <w:pStyle w:val="Tablenote"/>
      </w:pPr>
      <w:r w:rsidRPr="009D07D8">
        <w:t xml:space="preserve">Source: </w:t>
      </w:r>
      <w:r w:rsidR="00533FC6">
        <w:t>WHM</w:t>
      </w:r>
      <w:r w:rsidRPr="009D07D8">
        <w:t xml:space="preserve"> Survey, 2020.</w:t>
      </w:r>
    </w:p>
    <w:p w14:paraId="0D9971E7" w14:textId="57B73593" w:rsidR="002F235B" w:rsidRDefault="002F235B" w:rsidP="002F235B">
      <w:pPr>
        <w:pStyle w:val="Caption"/>
      </w:pPr>
      <w:bookmarkStart w:id="134" w:name="_Ref69135265"/>
      <w:bookmarkStart w:id="135" w:name="_Toc75878542"/>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23</w:t>
      </w:r>
      <w:r w:rsidR="008949B3">
        <w:rPr>
          <w:noProof/>
        </w:rPr>
        <w:fldChar w:fldCharType="end"/>
      </w:r>
      <w:bookmarkEnd w:id="133"/>
      <w:bookmarkEnd w:id="134"/>
      <w:r>
        <w:t xml:space="preserve">: </w:t>
      </w:r>
      <w:r w:rsidR="006D2272">
        <w:t>E</w:t>
      </w:r>
      <w:r>
        <w:t>xpenditure category</w:t>
      </w:r>
      <w:r w:rsidR="006D2272">
        <w:t>,</w:t>
      </w:r>
      <w:r>
        <w:t xml:space="preserve"> by sex</w:t>
      </w:r>
      <w:bookmarkEnd w:id="135"/>
    </w:p>
    <w:p w14:paraId="56090141" w14:textId="2CE778D1" w:rsidR="00744E9F" w:rsidRDefault="007473FA" w:rsidP="00B46E66">
      <w:r>
        <w:rPr>
          <w:noProof/>
          <w:lang w:eastAsia="en-AU"/>
        </w:rPr>
        <w:drawing>
          <wp:inline distT="0" distB="0" distL="0" distR="0" wp14:anchorId="4D2DBA4C" wp14:editId="2F8E4771">
            <wp:extent cx="5760000" cy="1260000"/>
            <wp:effectExtent l="0" t="0" r="12700" b="16510"/>
            <wp:docPr id="17" name="Chart 17" descr="Bar chart of proportion of total expenditure spent on each category showing the similarities between male and female expenditure. ">
              <a:extLst xmlns:a="http://schemas.openxmlformats.org/drawingml/2006/main">
                <a:ext uri="{FF2B5EF4-FFF2-40B4-BE49-F238E27FC236}">
                  <a16:creationId xmlns:a16="http://schemas.microsoft.com/office/drawing/2014/main" id="{F1B7F585-17C8-4EEE-9BAA-E060F643B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7230B" w:rsidRPr="00CB4A6E">
        <w:t xml:space="preserve"> </w:t>
      </w:r>
    </w:p>
    <w:p w14:paraId="334BF3AD" w14:textId="7A23F419" w:rsidR="00356B43" w:rsidRDefault="00356B43" w:rsidP="00356B43">
      <w:pPr>
        <w:pStyle w:val="Tablenote"/>
      </w:pPr>
      <w:r w:rsidRPr="009D07D8">
        <w:t xml:space="preserve">Source: </w:t>
      </w:r>
      <w:r w:rsidR="00533FC6">
        <w:t>WHM</w:t>
      </w:r>
      <w:r w:rsidRPr="009D07D8">
        <w:t xml:space="preserve"> Survey, 2020.</w:t>
      </w:r>
    </w:p>
    <w:p w14:paraId="56AB09B4" w14:textId="1B518F5B" w:rsidR="004247C0" w:rsidRDefault="004247C0" w:rsidP="004247C0">
      <w:pPr>
        <w:pStyle w:val="Caption"/>
      </w:pPr>
      <w:bookmarkStart w:id="136" w:name="_Ref69136488"/>
      <w:bookmarkStart w:id="137" w:name="_Toc7587854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24</w:t>
      </w:r>
      <w:r w:rsidR="008949B3">
        <w:rPr>
          <w:noProof/>
        </w:rPr>
        <w:fldChar w:fldCharType="end"/>
      </w:r>
      <w:bookmarkEnd w:id="136"/>
      <w:r>
        <w:t>: Expenditure category, by age group</w:t>
      </w:r>
      <w:bookmarkEnd w:id="137"/>
    </w:p>
    <w:p w14:paraId="4CA7EAEA" w14:textId="79105428" w:rsidR="002B7173" w:rsidRPr="002B7173" w:rsidRDefault="002B7173" w:rsidP="002B7173">
      <w:r>
        <w:rPr>
          <w:noProof/>
          <w:lang w:eastAsia="en-AU"/>
        </w:rPr>
        <w:drawing>
          <wp:inline distT="0" distB="0" distL="0" distR="0" wp14:anchorId="02796DE8" wp14:editId="4D5E939F">
            <wp:extent cx="5731510" cy="1638300"/>
            <wp:effectExtent l="0" t="0" r="2540" b="0"/>
            <wp:docPr id="36" name="Chart 36" descr="Bar chart of proportion of total expenditure spent on each category showing the similarities between expenditure by age group. ">
              <a:extLst xmlns:a="http://schemas.openxmlformats.org/drawingml/2006/main">
                <a:ext uri="{FF2B5EF4-FFF2-40B4-BE49-F238E27FC236}">
                  <a16:creationId xmlns:a16="http://schemas.microsoft.com/office/drawing/2014/main" id="{E965B631-8AC1-4EE0-9FDD-BDF180E39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25A0D7" w14:textId="505862C2" w:rsidR="00457AA1" w:rsidRPr="002B7173" w:rsidRDefault="00457AA1" w:rsidP="00457AA1">
      <w:pPr>
        <w:pStyle w:val="Tablenote"/>
      </w:pPr>
      <w:r w:rsidRPr="009D07D8">
        <w:t xml:space="preserve">Source: </w:t>
      </w:r>
      <w:r w:rsidR="00533FC6">
        <w:t>WHM</w:t>
      </w:r>
      <w:r w:rsidRPr="009D07D8">
        <w:t xml:space="preserve"> Survey, 2020.</w:t>
      </w:r>
    </w:p>
    <w:p w14:paraId="657D7BBB" w14:textId="6BD762E8" w:rsidR="007265E9" w:rsidRDefault="00B643AE" w:rsidP="00B46E66">
      <w:r>
        <w:t>Some</w:t>
      </w:r>
      <w:r w:rsidR="00F52787" w:rsidRPr="00CB4A6E">
        <w:t xml:space="preserve"> significant differences are observable in the expenditure by </w:t>
      </w:r>
      <w:r w:rsidR="000D7891" w:rsidRPr="00CB4A6E">
        <w:t>country of citizenship</w:t>
      </w:r>
      <w:r w:rsidR="00AD377E">
        <w:t xml:space="preserve"> </w:t>
      </w:r>
      <w:r w:rsidR="00346FD8">
        <w:t xml:space="preserve">(see </w:t>
      </w:r>
      <w:r w:rsidR="00D12494">
        <w:fldChar w:fldCharType="begin"/>
      </w:r>
      <w:r w:rsidR="00D12494">
        <w:instrText xml:space="preserve"> REF _Ref68597951 \h </w:instrText>
      </w:r>
      <w:r w:rsidR="00D12494">
        <w:fldChar w:fldCharType="separate"/>
      </w:r>
      <w:r w:rsidR="00F22012">
        <w:t xml:space="preserve">Figure </w:t>
      </w:r>
      <w:r w:rsidR="00F22012">
        <w:rPr>
          <w:noProof/>
        </w:rPr>
        <w:t>5</w:t>
      </w:r>
      <w:r w:rsidR="00F22012">
        <w:noBreakHyphen/>
      </w:r>
      <w:r w:rsidR="00F22012">
        <w:rPr>
          <w:noProof/>
        </w:rPr>
        <w:t>25</w:t>
      </w:r>
      <w:r w:rsidR="00D12494">
        <w:fldChar w:fldCharType="end"/>
      </w:r>
      <w:r w:rsidR="00346FD8">
        <w:t>).</w:t>
      </w:r>
      <w:r w:rsidR="000D7891" w:rsidRPr="00CB4A6E">
        <w:t xml:space="preserve"> </w:t>
      </w:r>
      <w:r w:rsidR="00407725">
        <w:t xml:space="preserve">Highest </w:t>
      </w:r>
      <w:r w:rsidR="007265E9">
        <w:t xml:space="preserve">average </w:t>
      </w:r>
      <w:r w:rsidR="00A24250">
        <w:t xml:space="preserve">accommodation </w:t>
      </w:r>
      <w:r w:rsidR="008C7BA6">
        <w:t xml:space="preserve">expenditure was for </w:t>
      </w:r>
      <w:r w:rsidR="00E11705">
        <w:t xml:space="preserve">WHMs from the </w:t>
      </w:r>
      <w:r w:rsidR="007449F0">
        <w:t>United Kingdom</w:t>
      </w:r>
      <w:r w:rsidR="00794EA8">
        <w:t xml:space="preserve"> who spent an average of $9,</w:t>
      </w:r>
      <w:r w:rsidR="001D17B1">
        <w:t>40</w:t>
      </w:r>
      <w:r w:rsidR="00794EA8">
        <w:t>0</w:t>
      </w:r>
      <w:r w:rsidR="00CB7C61">
        <w:t xml:space="preserve">. However, this </w:t>
      </w:r>
      <w:r w:rsidR="005B6586">
        <w:t>(30.5%)</w:t>
      </w:r>
      <w:r w:rsidR="000B70AE">
        <w:t xml:space="preserve"> aligned closely with the </w:t>
      </w:r>
      <w:r w:rsidR="00E11054">
        <w:t xml:space="preserve">overall </w:t>
      </w:r>
      <w:r w:rsidR="000B70AE">
        <w:t>average</w:t>
      </w:r>
      <w:r w:rsidR="0085516F">
        <w:t xml:space="preserve"> accommodation spend </w:t>
      </w:r>
      <w:r w:rsidR="008F338F">
        <w:t>of 30.0%</w:t>
      </w:r>
      <w:r w:rsidR="007202E1">
        <w:t>.</w:t>
      </w:r>
      <w:r w:rsidR="00520EDD">
        <w:t xml:space="preserve"> I</w:t>
      </w:r>
      <w:r w:rsidR="006C0AC7">
        <w:t xml:space="preserve">t can be compared with </w:t>
      </w:r>
      <w:r w:rsidR="00A45484">
        <w:t xml:space="preserve">the </w:t>
      </w:r>
      <w:r w:rsidR="000C6388">
        <w:t xml:space="preserve">high </w:t>
      </w:r>
      <w:r w:rsidR="00A45484">
        <w:t>accommodation</w:t>
      </w:r>
      <w:r w:rsidR="000C6388">
        <w:t xml:space="preserve"> spend</w:t>
      </w:r>
      <w:r w:rsidR="00A45484">
        <w:t xml:space="preserve">s of </w:t>
      </w:r>
      <w:r w:rsidR="00396EB3">
        <w:t xml:space="preserve">WHMs from </w:t>
      </w:r>
      <w:r w:rsidR="00D00311">
        <w:t>Canada ($9,</w:t>
      </w:r>
      <w:r w:rsidR="001D17B1">
        <w:t>300</w:t>
      </w:r>
      <w:r w:rsidR="00CE4419">
        <w:t xml:space="preserve">) and the </w:t>
      </w:r>
      <w:r w:rsidR="002E1EA6">
        <w:t>United States</w:t>
      </w:r>
      <w:r w:rsidR="000C6388">
        <w:t xml:space="preserve"> </w:t>
      </w:r>
      <w:r w:rsidR="000318C6">
        <w:t>($9,</w:t>
      </w:r>
      <w:r w:rsidR="00CF1669">
        <w:t>0</w:t>
      </w:r>
      <w:r w:rsidR="001D17B1">
        <w:t>00</w:t>
      </w:r>
      <w:r w:rsidR="00CF1669">
        <w:t>)</w:t>
      </w:r>
      <w:r w:rsidR="00E94836">
        <w:t>,</w:t>
      </w:r>
      <w:r w:rsidR="000C6388">
        <w:t xml:space="preserve"> </w:t>
      </w:r>
      <w:r w:rsidR="0057400C">
        <w:t xml:space="preserve">whose accommodation share </w:t>
      </w:r>
      <w:r w:rsidR="00981F86">
        <w:t xml:space="preserve">of expenditure </w:t>
      </w:r>
      <w:r w:rsidR="0057400C">
        <w:t>was high</w:t>
      </w:r>
      <w:r w:rsidR="00E37F68">
        <w:t xml:space="preserve"> at</w:t>
      </w:r>
      <w:r w:rsidR="00621482">
        <w:t xml:space="preserve"> an average </w:t>
      </w:r>
      <w:r w:rsidR="006B5EB9">
        <w:t xml:space="preserve">35.2% and 36.1% </w:t>
      </w:r>
      <w:r w:rsidR="00BE772C">
        <w:t xml:space="preserve">share of </w:t>
      </w:r>
      <w:r w:rsidR="00981F86">
        <w:t xml:space="preserve">their </w:t>
      </w:r>
      <w:r w:rsidR="00BE772C">
        <w:t>total expenditure.</w:t>
      </w:r>
      <w:r w:rsidR="00D06112">
        <w:t xml:space="preserve"> </w:t>
      </w:r>
      <w:r w:rsidR="00AF21B2">
        <w:t xml:space="preserve">WHMs from Germany </w:t>
      </w:r>
      <w:r w:rsidR="002F6C5A">
        <w:t>($6,400)</w:t>
      </w:r>
      <w:r w:rsidR="00AF21B2">
        <w:t xml:space="preserve"> and </w:t>
      </w:r>
      <w:r w:rsidR="0008269C">
        <w:t xml:space="preserve">Taiwan </w:t>
      </w:r>
      <w:r w:rsidR="006075F5">
        <w:t>($6,6</w:t>
      </w:r>
      <w:r w:rsidR="001D17B1">
        <w:t>00</w:t>
      </w:r>
      <w:r w:rsidR="006075F5">
        <w:t>)</w:t>
      </w:r>
      <w:r w:rsidR="0008269C">
        <w:t xml:space="preserve"> spent</w:t>
      </w:r>
      <w:r w:rsidR="002F6C5A">
        <w:t xml:space="preserve"> </w:t>
      </w:r>
      <w:r w:rsidR="006075F5">
        <w:t>the</w:t>
      </w:r>
      <w:r w:rsidR="002F6C5A">
        <w:t xml:space="preserve"> </w:t>
      </w:r>
      <w:r w:rsidR="000A7CF5">
        <w:t>least</w:t>
      </w:r>
      <w:r w:rsidR="002F6C5A">
        <w:t xml:space="preserve"> accommodation dollars</w:t>
      </w:r>
      <w:r w:rsidR="00A11A53">
        <w:t xml:space="preserve">, with </w:t>
      </w:r>
      <w:r w:rsidR="00684E87">
        <w:t>this making up</w:t>
      </w:r>
      <w:r w:rsidR="00A11A53">
        <w:t xml:space="preserve"> </w:t>
      </w:r>
      <w:r w:rsidR="00E94836">
        <w:t xml:space="preserve">a </w:t>
      </w:r>
      <w:r w:rsidR="00241441">
        <w:t>relatively low share</w:t>
      </w:r>
      <w:r w:rsidR="00684E87">
        <w:t xml:space="preserve"> of their total expenditure</w:t>
      </w:r>
      <w:r w:rsidR="00252955">
        <w:t xml:space="preserve"> (29.9% and </w:t>
      </w:r>
      <w:r w:rsidR="00D06112">
        <w:t>26.8%, respectively)</w:t>
      </w:r>
      <w:r w:rsidR="00C93C2D">
        <w:t xml:space="preserve"> – noting </w:t>
      </w:r>
      <w:r w:rsidR="000A7CF5">
        <w:t>that</w:t>
      </w:r>
      <w:r w:rsidR="00C93C2D">
        <w:t xml:space="preserve"> Germany had the highest non-allocated (or other) spend</w:t>
      </w:r>
      <w:r w:rsidR="006E3B02">
        <w:t>.</w:t>
      </w:r>
    </w:p>
    <w:p w14:paraId="775BFB4C" w14:textId="6059AF87" w:rsidR="00ED4FEF" w:rsidRDefault="006F28E2" w:rsidP="00E37F68">
      <w:r>
        <w:t>Average e</w:t>
      </w:r>
      <w:r w:rsidR="00ED4FEF">
        <w:t xml:space="preserve">xpenditure on food and drink </w:t>
      </w:r>
      <w:r>
        <w:t xml:space="preserve">for the </w:t>
      </w:r>
      <w:r w:rsidR="00B46853">
        <w:t>T</w:t>
      </w:r>
      <w:r w:rsidDel="0005092D">
        <w:t xml:space="preserve">op </w:t>
      </w:r>
      <w:r w:rsidR="0005092D">
        <w:t>10</w:t>
      </w:r>
      <w:r>
        <w:t xml:space="preserve"> countries</w:t>
      </w:r>
      <w:r w:rsidR="00ED4FEF">
        <w:t xml:space="preserve"> </w:t>
      </w:r>
      <w:r w:rsidR="005863F0">
        <w:t xml:space="preserve">ranged from a low of </w:t>
      </w:r>
      <w:r w:rsidR="00056C26">
        <w:t>$3,</w:t>
      </w:r>
      <w:r w:rsidR="00DF64B5">
        <w:t>60</w:t>
      </w:r>
      <w:r w:rsidR="00056C26">
        <w:t>0 (</w:t>
      </w:r>
      <w:r w:rsidR="00F05894">
        <w:t>16.8</w:t>
      </w:r>
      <w:r w:rsidR="00056C26">
        <w:t>%</w:t>
      </w:r>
      <w:r w:rsidR="00F05894">
        <w:t xml:space="preserve"> share of expenditure</w:t>
      </w:r>
      <w:r w:rsidR="00056C26">
        <w:t xml:space="preserve">) </w:t>
      </w:r>
      <w:r>
        <w:t>for German WHMs</w:t>
      </w:r>
      <w:r w:rsidR="00056C26">
        <w:t xml:space="preserve"> to </w:t>
      </w:r>
      <w:r>
        <w:t>a high</w:t>
      </w:r>
      <w:r w:rsidR="00056C26">
        <w:t xml:space="preserve"> </w:t>
      </w:r>
      <w:r w:rsidR="00FC27B3">
        <w:t>of $6,00</w:t>
      </w:r>
      <w:r w:rsidR="00DF64B5">
        <w:t>0</w:t>
      </w:r>
      <w:r w:rsidR="00FC27B3">
        <w:t xml:space="preserve"> </w:t>
      </w:r>
      <w:r w:rsidR="00D36DB2">
        <w:t>(</w:t>
      </w:r>
      <w:r w:rsidR="00B453D9">
        <w:t>19.0</w:t>
      </w:r>
      <w:r w:rsidR="00D36DB2">
        <w:t>%</w:t>
      </w:r>
      <w:r w:rsidR="00B453D9">
        <w:t xml:space="preserve"> share</w:t>
      </w:r>
      <w:r w:rsidR="00D36DB2">
        <w:t xml:space="preserve">) </w:t>
      </w:r>
      <w:r w:rsidR="00FC27B3">
        <w:t>f</w:t>
      </w:r>
      <w:r w:rsidR="00044959">
        <w:t>o</w:t>
      </w:r>
      <w:r w:rsidR="00FC27B3">
        <w:t xml:space="preserve">r </w:t>
      </w:r>
      <w:r w:rsidR="00044959">
        <w:t>South Korean</w:t>
      </w:r>
      <w:r w:rsidR="000C4910">
        <w:t xml:space="preserve"> WHMs</w:t>
      </w:r>
      <w:r w:rsidR="00E923C0">
        <w:t>.</w:t>
      </w:r>
      <w:r w:rsidR="00834C12">
        <w:t xml:space="preserve"> </w:t>
      </w:r>
      <w:r w:rsidR="00465738">
        <w:t xml:space="preserve">WHMs from the United Kingdom reported </w:t>
      </w:r>
      <w:r w:rsidR="00023D5D">
        <w:t xml:space="preserve">they spent 16.1% </w:t>
      </w:r>
      <w:r w:rsidR="00236B0C">
        <w:t>($4,9</w:t>
      </w:r>
      <w:r w:rsidR="00DF64B5">
        <w:t>00</w:t>
      </w:r>
      <w:r w:rsidR="008D44A8">
        <w:t>)</w:t>
      </w:r>
      <w:r w:rsidR="00023D5D">
        <w:t xml:space="preserve"> of their total expenditure on food and drink.</w:t>
      </w:r>
      <w:r w:rsidR="00405DBF">
        <w:t xml:space="preserve"> </w:t>
      </w:r>
      <w:r w:rsidR="00053133">
        <w:t>Japanese WHMs spent</w:t>
      </w:r>
      <w:r w:rsidR="00A85940">
        <w:t xml:space="preserve"> a 9.5% share of their total </w:t>
      </w:r>
      <w:r w:rsidR="00E317AF">
        <w:t>expenditure on entertainment</w:t>
      </w:r>
      <w:r w:rsidR="0002304F">
        <w:t>, compared with a high of 13.6% for those from the United Kingdo</w:t>
      </w:r>
      <w:r w:rsidR="000F365D">
        <w:t>m.</w:t>
      </w:r>
    </w:p>
    <w:p w14:paraId="4E9495B6" w14:textId="4E6E868C" w:rsidR="006745C1" w:rsidRDefault="006745C1" w:rsidP="006745C1">
      <w:pPr>
        <w:pStyle w:val="Caption"/>
      </w:pPr>
      <w:bookmarkStart w:id="138" w:name="_Ref68597951"/>
      <w:bookmarkStart w:id="139" w:name="_Toc7587854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25</w:t>
      </w:r>
      <w:r w:rsidR="008949B3">
        <w:rPr>
          <w:noProof/>
        </w:rPr>
        <w:fldChar w:fldCharType="end"/>
      </w:r>
      <w:bookmarkEnd w:id="138"/>
      <w:r>
        <w:t>:</w:t>
      </w:r>
      <w:r w:rsidR="0041053F">
        <w:t xml:space="preserve"> </w:t>
      </w:r>
      <w:r>
        <w:t xml:space="preserve">Expenditure </w:t>
      </w:r>
      <w:r w:rsidR="00596027">
        <w:t>category,</w:t>
      </w:r>
      <w:r>
        <w:t xml:space="preserve"> by </w:t>
      </w:r>
      <w:r w:rsidR="00452BAE" w:rsidDel="0005092D">
        <w:t xml:space="preserve">Top </w:t>
      </w:r>
      <w:r w:rsidR="0005092D">
        <w:t>10</w:t>
      </w:r>
      <w:r w:rsidR="00452BAE">
        <w:t xml:space="preserve"> countries</w:t>
      </w:r>
      <w:bookmarkEnd w:id="139"/>
    </w:p>
    <w:p w14:paraId="00C5F205" w14:textId="7D950F23" w:rsidR="00596027" w:rsidRPr="00596027" w:rsidRDefault="00C42ED6" w:rsidP="00596027">
      <w:r>
        <w:rPr>
          <w:noProof/>
          <w:lang w:eastAsia="en-AU"/>
        </w:rPr>
        <w:drawing>
          <wp:inline distT="0" distB="0" distL="0" distR="0" wp14:anchorId="7AAE4FE6" wp14:editId="07694A5E">
            <wp:extent cx="5731510" cy="3223895"/>
            <wp:effectExtent l="0" t="0" r="2540" b="14605"/>
            <wp:docPr id="85" name="Chart 85" descr="Figure 5-25 Chart showing expenditure category, by top 10 countries.">
              <a:extLst xmlns:a="http://schemas.openxmlformats.org/drawingml/2006/main">
                <a:ext uri="{FF2B5EF4-FFF2-40B4-BE49-F238E27FC236}">
                  <a16:creationId xmlns:a16="http://schemas.microsoft.com/office/drawing/2014/main" id="{300F67FB-793F-4D0F-B889-65EDEB7C8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949DA3" w14:textId="77777777" w:rsidR="00452BAE" w:rsidRDefault="00452BAE" w:rsidP="00452BAE">
      <w:pPr>
        <w:pStyle w:val="Tablenote"/>
      </w:pPr>
      <w:r>
        <w:t xml:space="preserve">Note, for this purpose Top 10 countries are those with the most WHMs reporting valid expenditure. ‘Other’ aggregates the responses of WHMs from all other countries. </w:t>
      </w:r>
    </w:p>
    <w:p w14:paraId="6E0DC138" w14:textId="7FA9D8B5" w:rsidR="006745C1" w:rsidRPr="00A6650B" w:rsidRDefault="006745C1" w:rsidP="00A6650B">
      <w:pPr>
        <w:pStyle w:val="Tablenote"/>
        <w:rPr>
          <w:rFonts w:ascii="Calibri" w:eastAsia="Times New Roman" w:hAnsi="Calibri" w:cs="Calibri"/>
          <w:b/>
          <w:color w:val="FFFFFF"/>
          <w:sz w:val="20"/>
          <w:szCs w:val="20"/>
          <w:lang w:eastAsia="en-AU"/>
        </w:rPr>
      </w:pPr>
      <w:r w:rsidRPr="009D07D8">
        <w:t xml:space="preserve">Source: </w:t>
      </w:r>
      <w:r w:rsidR="00533FC6">
        <w:t>WHM</w:t>
      </w:r>
      <w:r w:rsidRPr="009D07D8">
        <w:t xml:space="preserve"> Survey, 2020.</w:t>
      </w:r>
    </w:p>
    <w:p w14:paraId="07FED33C" w14:textId="65FA8F86" w:rsidR="00466CEC" w:rsidRPr="002F6B2D" w:rsidRDefault="00466CEC" w:rsidP="00466CEC">
      <w:pPr>
        <w:pStyle w:val="Heading3"/>
        <w:spacing w:before="120"/>
      </w:pPr>
      <w:bookmarkStart w:id="140" w:name="_Toc75878465"/>
      <w:r w:rsidRPr="002F6B2D">
        <w:t>Total expenditure</w:t>
      </w:r>
      <w:bookmarkEnd w:id="140"/>
    </w:p>
    <w:p w14:paraId="55FA5DD1" w14:textId="7EB26D4B" w:rsidR="00466CEC" w:rsidRDefault="00466CEC" w:rsidP="00466CEC">
      <w:pPr>
        <w:spacing w:before="80"/>
      </w:pPr>
      <w:r>
        <w:t>The average weekly expenditure</w:t>
      </w:r>
      <w:r w:rsidR="00335426">
        <w:rPr>
          <w:rStyle w:val="FootnoteReference"/>
        </w:rPr>
        <w:footnoteReference w:id="22"/>
      </w:r>
      <w:r>
        <w:t xml:space="preserve"> of a WHM was estimated to be $658</w:t>
      </w:r>
      <w:r w:rsidR="00390F96">
        <w:t xml:space="preserve"> (see </w:t>
      </w:r>
      <w:r w:rsidR="00390F96">
        <w:fldChar w:fldCharType="begin"/>
      </w:r>
      <w:r w:rsidR="00390F96">
        <w:instrText xml:space="preserve"> REF _Ref69119668 \h </w:instrText>
      </w:r>
      <w:r w:rsidR="00390F96">
        <w:fldChar w:fldCharType="separate"/>
      </w:r>
      <w:r w:rsidR="00F22012">
        <w:t xml:space="preserve">Table </w:t>
      </w:r>
      <w:r w:rsidR="00F22012">
        <w:rPr>
          <w:noProof/>
        </w:rPr>
        <w:t>5</w:t>
      </w:r>
      <w:r w:rsidR="00F22012">
        <w:noBreakHyphen/>
      </w:r>
      <w:r w:rsidR="00F22012">
        <w:rPr>
          <w:noProof/>
        </w:rPr>
        <w:t>9</w:t>
      </w:r>
      <w:r w:rsidR="00390F96">
        <w:fldChar w:fldCharType="end"/>
      </w:r>
      <w:r w:rsidR="00390F96">
        <w:t>).</w:t>
      </w:r>
      <w:r>
        <w:t xml:space="preserve"> Given an average duration of 9.4 months, the average total expenditure of a WHM (aggregated over the duration of their stay) was estimated at $26,</w:t>
      </w:r>
      <w:r w:rsidR="005E4FD6">
        <w:t>800</w:t>
      </w:r>
      <w:r>
        <w:t>. Significant differences in total expenditure were apparent across sex, age, and country of citizenship. Consistent with their higher earning profile, men spent more than women - $28,</w:t>
      </w:r>
      <w:r w:rsidR="005E4FD6">
        <w:t>300</w:t>
      </w:r>
      <w:r>
        <w:t xml:space="preserve"> compared to $25,900 for women. As men stayed for a shorter duration than women, their average weekly expenditure ($698) was also higher than women ($627). </w:t>
      </w:r>
    </w:p>
    <w:p w14:paraId="00EDFD89" w14:textId="46534099" w:rsidR="00466CEC" w:rsidRDefault="00466CEC" w:rsidP="00466CEC">
      <w:pPr>
        <w:spacing w:before="80"/>
      </w:pPr>
      <w:r>
        <w:t>Typical expenditure patterns are observed across age groups with younger WHMs spending less during their stay. Those aged 18 to 19 years spent an average of $17,</w:t>
      </w:r>
      <w:r w:rsidR="002977AE">
        <w:t>900</w:t>
      </w:r>
      <w:r>
        <w:t xml:space="preserve"> during their time in Australia, compared to $25,3</w:t>
      </w:r>
      <w:r w:rsidR="002977AE">
        <w:t>00</w:t>
      </w:r>
      <w:r>
        <w:t xml:space="preserve"> for the 20 to 24 year cohort, $28,3</w:t>
      </w:r>
      <w:r w:rsidR="002977AE">
        <w:t>00</w:t>
      </w:r>
      <w:r w:rsidR="00284AF5">
        <w:t xml:space="preserve"> </w:t>
      </w:r>
      <w:r>
        <w:t>of the 25 to 30 year cohort, and $30,600 for those aged over 30 years. South Korean WHMs had the highest expenditure of Top 10 countries ($31,</w:t>
      </w:r>
      <w:r w:rsidR="002977AE">
        <w:t>700</w:t>
      </w:r>
      <w:r>
        <w:t>), followed by those from the United Kingdom ($30,7</w:t>
      </w:r>
      <w:r w:rsidR="002977AE">
        <w:t>00</w:t>
      </w:r>
      <w:r>
        <w:t>). At the other end of the spectrum those from the Netherlands ($20,</w:t>
      </w:r>
      <w:r w:rsidR="002977AE">
        <w:t>900</w:t>
      </w:r>
      <w:r>
        <w:t>) and Germany ($21,</w:t>
      </w:r>
      <w:r w:rsidR="002977AE">
        <w:t>400</w:t>
      </w:r>
      <w:r>
        <w:t xml:space="preserve">) spent the least. </w:t>
      </w:r>
    </w:p>
    <w:p w14:paraId="452425BE" w14:textId="0FC28866" w:rsidR="00466CEC" w:rsidRDefault="00466CEC" w:rsidP="00466CEC">
      <w:pPr>
        <w:pStyle w:val="Caption"/>
      </w:pPr>
      <w:bookmarkStart w:id="141" w:name="_Ref69119668"/>
      <w:bookmarkStart w:id="142" w:name="_Toc75878603"/>
      <w:r>
        <w:t xml:space="preserve">Table </w:t>
      </w:r>
      <w:r>
        <w:fldChar w:fldCharType="begin"/>
      </w:r>
      <w:r>
        <w:instrText>STYLEREF 1 \s</w:instrText>
      </w:r>
      <w:r>
        <w:fldChar w:fldCharType="separate"/>
      </w:r>
      <w:r w:rsidR="00F22012">
        <w:rPr>
          <w:noProof/>
        </w:rPr>
        <w:t>5</w:t>
      </w:r>
      <w:r>
        <w:fldChar w:fldCharType="end"/>
      </w:r>
      <w:r>
        <w:noBreakHyphen/>
      </w:r>
      <w:r>
        <w:fldChar w:fldCharType="begin"/>
      </w:r>
      <w:r>
        <w:instrText>SEQ Table \* ARABIC \s 1</w:instrText>
      </w:r>
      <w:r>
        <w:fldChar w:fldCharType="separate"/>
      </w:r>
      <w:r w:rsidR="00F22012">
        <w:rPr>
          <w:noProof/>
        </w:rPr>
        <w:t>9</w:t>
      </w:r>
      <w:r>
        <w:fldChar w:fldCharType="end"/>
      </w:r>
      <w:bookmarkEnd w:id="141"/>
      <w:r>
        <w:t>: Total expenditure by sex, age group, and Top 10 countries.</w:t>
      </w:r>
      <w:bookmarkEnd w:id="142"/>
      <w:r>
        <w:t xml:space="preserve"> </w:t>
      </w:r>
    </w:p>
    <w:tbl>
      <w:tblPr>
        <w:tblStyle w:val="ListTable3-Accent1"/>
        <w:tblW w:w="5000" w:type="pct"/>
        <w:tblLook w:val="0460" w:firstRow="1" w:lastRow="1" w:firstColumn="0" w:lastColumn="0" w:noHBand="0" w:noVBand="1"/>
      </w:tblPr>
      <w:tblGrid>
        <w:gridCol w:w="2615"/>
        <w:gridCol w:w="2133"/>
        <w:gridCol w:w="2133"/>
        <w:gridCol w:w="2135"/>
      </w:tblGrid>
      <w:tr w:rsidR="00466CEC" w:rsidRPr="00D80BB8" w14:paraId="2CDAF07C" w14:textId="77777777" w:rsidTr="000B451C">
        <w:trPr>
          <w:cnfStyle w:val="100000000000" w:firstRow="1" w:lastRow="0" w:firstColumn="0" w:lastColumn="0" w:oddVBand="0" w:evenVBand="0" w:oddHBand="0" w:evenHBand="0" w:firstRowFirstColumn="0" w:firstRowLastColumn="0" w:lastRowFirstColumn="0" w:lastRowLastColumn="0"/>
          <w:trHeight w:val="227"/>
        </w:trPr>
        <w:tc>
          <w:tcPr>
            <w:tcW w:w="1450" w:type="pct"/>
            <w:noWrap/>
            <w:vAlign w:val="center"/>
            <w:hideMark/>
          </w:tcPr>
          <w:p w14:paraId="16C8D3FA" w14:textId="77777777" w:rsidR="00466CEC" w:rsidRPr="00E1318B" w:rsidRDefault="00466CEC" w:rsidP="001E142E">
            <w:pPr>
              <w:keepNext/>
              <w:keepLines/>
              <w:spacing w:before="0"/>
              <w:rPr>
                <w:rFonts w:ascii="Calibri" w:eastAsia="Times New Roman" w:hAnsi="Calibri" w:cs="Calibri"/>
                <w:sz w:val="18"/>
                <w:szCs w:val="18"/>
                <w:lang w:eastAsia="en-AU"/>
              </w:rPr>
            </w:pPr>
          </w:p>
        </w:tc>
        <w:tc>
          <w:tcPr>
            <w:tcW w:w="1183" w:type="pct"/>
            <w:noWrap/>
            <w:vAlign w:val="center"/>
            <w:hideMark/>
          </w:tcPr>
          <w:p w14:paraId="3178D69E"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Pr>
                <w:rFonts w:ascii="Calibri" w:hAnsi="Calibri" w:cs="Calibri"/>
                <w:sz w:val="18"/>
                <w:szCs w:val="18"/>
              </w:rPr>
              <w:t>Average</w:t>
            </w:r>
            <w:r w:rsidRPr="00E1318B">
              <w:rPr>
                <w:rFonts w:ascii="Calibri" w:hAnsi="Calibri" w:cs="Calibri"/>
                <w:sz w:val="18"/>
                <w:szCs w:val="18"/>
              </w:rPr>
              <w:t xml:space="preserve"> ($)</w:t>
            </w:r>
          </w:p>
        </w:tc>
        <w:tc>
          <w:tcPr>
            <w:tcW w:w="1183" w:type="pct"/>
            <w:vAlign w:val="center"/>
          </w:tcPr>
          <w:p w14:paraId="03CE391A"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Average Week</w:t>
            </w:r>
          </w:p>
        </w:tc>
        <w:tc>
          <w:tcPr>
            <w:tcW w:w="1184" w:type="pct"/>
            <w:noWrap/>
            <w:vAlign w:val="center"/>
            <w:hideMark/>
          </w:tcPr>
          <w:p w14:paraId="19715BC9" w14:textId="4BD71A66"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 xml:space="preserve">No. </w:t>
            </w:r>
            <w:r w:rsidR="00946467">
              <w:rPr>
                <w:rFonts w:ascii="Calibri" w:hAnsi="Calibri" w:cs="Calibri"/>
                <w:sz w:val="18"/>
                <w:szCs w:val="18"/>
              </w:rPr>
              <w:t xml:space="preserve">of </w:t>
            </w:r>
            <w:r w:rsidRPr="00E1318B">
              <w:rPr>
                <w:rFonts w:ascii="Calibri" w:hAnsi="Calibri" w:cs="Calibri"/>
                <w:sz w:val="18"/>
                <w:szCs w:val="18"/>
              </w:rPr>
              <w:t>Responses</w:t>
            </w:r>
          </w:p>
        </w:tc>
      </w:tr>
      <w:tr w:rsidR="000B451C" w:rsidRPr="00D80BB8" w14:paraId="54C8C22E"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5000" w:type="pct"/>
            <w:gridSpan w:val="4"/>
            <w:shd w:val="clear" w:color="auto" w:fill="C6DEF5" w:themeFill="accent1" w:themeFillTint="33"/>
            <w:noWrap/>
            <w:vAlign w:val="center"/>
            <w:hideMark/>
          </w:tcPr>
          <w:p w14:paraId="19EA83A3" w14:textId="3FD3F806" w:rsidR="000B451C" w:rsidRPr="00E1318B" w:rsidRDefault="000B451C" w:rsidP="001E142E">
            <w:pPr>
              <w:keepNext/>
              <w:keepLines/>
              <w:spacing w:before="0"/>
              <w:rPr>
                <w:rFonts w:ascii="Calibri" w:eastAsia="Times New Roman" w:hAnsi="Calibri" w:cs="Calibri"/>
                <w:i/>
                <w:color w:val="000000"/>
                <w:sz w:val="18"/>
                <w:szCs w:val="18"/>
                <w:lang w:eastAsia="en-AU"/>
              </w:rPr>
            </w:pPr>
            <w:r w:rsidRPr="00E1318B">
              <w:rPr>
                <w:rFonts w:ascii="Calibri" w:hAnsi="Calibri" w:cs="Calibri"/>
                <w:sz w:val="18"/>
                <w:szCs w:val="18"/>
              </w:rPr>
              <w:t>(a) by sex</w:t>
            </w:r>
          </w:p>
        </w:tc>
      </w:tr>
      <w:tr w:rsidR="00466CEC" w:rsidRPr="00D80BB8" w14:paraId="254E96C6" w14:textId="77777777" w:rsidTr="000B451C">
        <w:trPr>
          <w:trHeight w:val="227"/>
        </w:trPr>
        <w:tc>
          <w:tcPr>
            <w:tcW w:w="1450" w:type="pct"/>
            <w:noWrap/>
            <w:vAlign w:val="center"/>
            <w:hideMark/>
          </w:tcPr>
          <w:p w14:paraId="34CE40DE"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Female</w:t>
            </w:r>
          </w:p>
        </w:tc>
        <w:tc>
          <w:tcPr>
            <w:tcW w:w="1183" w:type="pct"/>
            <w:noWrap/>
            <w:vAlign w:val="center"/>
            <w:hideMark/>
          </w:tcPr>
          <w:p w14:paraId="679B5C8A"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$25,900</w:t>
            </w:r>
          </w:p>
        </w:tc>
        <w:tc>
          <w:tcPr>
            <w:tcW w:w="1183" w:type="pct"/>
            <w:vAlign w:val="center"/>
          </w:tcPr>
          <w:p w14:paraId="4E39F672"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$627</w:t>
            </w:r>
          </w:p>
        </w:tc>
        <w:tc>
          <w:tcPr>
            <w:tcW w:w="1184" w:type="pct"/>
            <w:noWrap/>
            <w:vAlign w:val="center"/>
            <w:hideMark/>
          </w:tcPr>
          <w:p w14:paraId="20B044DD"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5,078</w:t>
            </w:r>
          </w:p>
        </w:tc>
      </w:tr>
      <w:tr w:rsidR="00466CEC" w:rsidRPr="00D80BB8" w14:paraId="3183322A"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52FADE27"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Male</w:t>
            </w:r>
          </w:p>
        </w:tc>
        <w:tc>
          <w:tcPr>
            <w:tcW w:w="1183" w:type="pct"/>
            <w:noWrap/>
            <w:vAlign w:val="center"/>
            <w:hideMark/>
          </w:tcPr>
          <w:p w14:paraId="7D296F28"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$28,262</w:t>
            </w:r>
          </w:p>
        </w:tc>
        <w:tc>
          <w:tcPr>
            <w:tcW w:w="1183" w:type="pct"/>
            <w:vAlign w:val="center"/>
          </w:tcPr>
          <w:p w14:paraId="399A4E70"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$698</w:t>
            </w:r>
          </w:p>
        </w:tc>
        <w:tc>
          <w:tcPr>
            <w:tcW w:w="1184" w:type="pct"/>
            <w:noWrap/>
            <w:vAlign w:val="center"/>
            <w:hideMark/>
          </w:tcPr>
          <w:p w14:paraId="6FBFF0B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2,902</w:t>
            </w:r>
          </w:p>
        </w:tc>
      </w:tr>
      <w:tr w:rsidR="00D41B5A" w:rsidRPr="00D80BB8" w14:paraId="1C67A020" w14:textId="77777777" w:rsidTr="00D41B5A">
        <w:trPr>
          <w:trHeight w:val="227"/>
        </w:trPr>
        <w:tc>
          <w:tcPr>
            <w:tcW w:w="5000" w:type="pct"/>
            <w:gridSpan w:val="4"/>
            <w:shd w:val="clear" w:color="auto" w:fill="C6DEF5" w:themeFill="accent1" w:themeFillTint="33"/>
            <w:noWrap/>
            <w:vAlign w:val="center"/>
            <w:hideMark/>
          </w:tcPr>
          <w:p w14:paraId="40A1DB52" w14:textId="204C8158" w:rsidR="00D41B5A" w:rsidRPr="00E1318B" w:rsidRDefault="00D41B5A" w:rsidP="001E142E">
            <w:pPr>
              <w:keepNext/>
              <w:keepLines/>
              <w:spacing w:before="0"/>
              <w:rPr>
                <w:rFonts w:ascii="Calibri" w:eastAsia="Times New Roman" w:hAnsi="Calibri" w:cs="Calibri"/>
                <w:i/>
                <w:color w:val="000000"/>
                <w:sz w:val="18"/>
                <w:szCs w:val="18"/>
                <w:lang w:eastAsia="en-AU"/>
              </w:rPr>
            </w:pPr>
            <w:r w:rsidRPr="00E1318B">
              <w:rPr>
                <w:rFonts w:ascii="Calibri" w:hAnsi="Calibri" w:cs="Calibri"/>
                <w:sz w:val="18"/>
                <w:szCs w:val="18"/>
              </w:rPr>
              <w:t>(b) by age group</w:t>
            </w:r>
          </w:p>
        </w:tc>
      </w:tr>
      <w:tr w:rsidR="00466CEC" w:rsidRPr="00D80BB8" w14:paraId="404E022A"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4E769C1A"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18-19 years</w:t>
            </w:r>
          </w:p>
        </w:tc>
        <w:tc>
          <w:tcPr>
            <w:tcW w:w="1183" w:type="pct"/>
            <w:noWrap/>
            <w:vAlign w:val="center"/>
            <w:hideMark/>
          </w:tcPr>
          <w:p w14:paraId="374F7F4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$17,869</w:t>
            </w:r>
          </w:p>
        </w:tc>
        <w:tc>
          <w:tcPr>
            <w:tcW w:w="1183" w:type="pct"/>
            <w:vAlign w:val="center"/>
          </w:tcPr>
          <w:p w14:paraId="7FD31EA8"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$538</w:t>
            </w:r>
          </w:p>
        </w:tc>
        <w:tc>
          <w:tcPr>
            <w:tcW w:w="1184" w:type="pct"/>
            <w:noWrap/>
            <w:vAlign w:val="center"/>
            <w:hideMark/>
          </w:tcPr>
          <w:p w14:paraId="614C1EFF"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652</w:t>
            </w:r>
          </w:p>
        </w:tc>
      </w:tr>
      <w:tr w:rsidR="00466CEC" w:rsidRPr="00D80BB8" w14:paraId="45C7815B" w14:textId="77777777" w:rsidTr="000B451C">
        <w:trPr>
          <w:trHeight w:val="227"/>
        </w:trPr>
        <w:tc>
          <w:tcPr>
            <w:tcW w:w="1450" w:type="pct"/>
            <w:noWrap/>
            <w:vAlign w:val="center"/>
            <w:hideMark/>
          </w:tcPr>
          <w:p w14:paraId="0BB5E3D2"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20-24 years</w:t>
            </w:r>
          </w:p>
        </w:tc>
        <w:tc>
          <w:tcPr>
            <w:tcW w:w="1183" w:type="pct"/>
            <w:noWrap/>
            <w:vAlign w:val="center"/>
            <w:hideMark/>
          </w:tcPr>
          <w:p w14:paraId="5BF1AB9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$25,336</w:t>
            </w:r>
          </w:p>
        </w:tc>
        <w:tc>
          <w:tcPr>
            <w:tcW w:w="1183" w:type="pct"/>
            <w:vAlign w:val="center"/>
          </w:tcPr>
          <w:p w14:paraId="61513B9D"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$650</w:t>
            </w:r>
          </w:p>
        </w:tc>
        <w:tc>
          <w:tcPr>
            <w:tcW w:w="1184" w:type="pct"/>
            <w:noWrap/>
            <w:vAlign w:val="center"/>
            <w:hideMark/>
          </w:tcPr>
          <w:p w14:paraId="0468DBDE"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2,744</w:t>
            </w:r>
          </w:p>
        </w:tc>
      </w:tr>
      <w:tr w:rsidR="00466CEC" w:rsidRPr="00D80BB8" w14:paraId="2F4D6DFC"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11BA5242"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25-30 years</w:t>
            </w:r>
          </w:p>
        </w:tc>
        <w:tc>
          <w:tcPr>
            <w:tcW w:w="1183" w:type="pct"/>
            <w:noWrap/>
            <w:vAlign w:val="center"/>
            <w:hideMark/>
          </w:tcPr>
          <w:p w14:paraId="33F26B6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$28,331</w:t>
            </w:r>
          </w:p>
        </w:tc>
        <w:tc>
          <w:tcPr>
            <w:tcW w:w="1183" w:type="pct"/>
            <w:vAlign w:val="center"/>
          </w:tcPr>
          <w:p w14:paraId="760FBF9C"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$662</w:t>
            </w:r>
          </w:p>
        </w:tc>
        <w:tc>
          <w:tcPr>
            <w:tcW w:w="1184" w:type="pct"/>
            <w:noWrap/>
            <w:vAlign w:val="center"/>
            <w:hideMark/>
          </w:tcPr>
          <w:p w14:paraId="5536B869"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3,868</w:t>
            </w:r>
          </w:p>
        </w:tc>
      </w:tr>
      <w:tr w:rsidR="00466CEC" w:rsidRPr="00D80BB8" w14:paraId="4217D74D" w14:textId="77777777" w:rsidTr="000B451C">
        <w:trPr>
          <w:trHeight w:val="227"/>
        </w:trPr>
        <w:tc>
          <w:tcPr>
            <w:tcW w:w="1450" w:type="pct"/>
            <w:noWrap/>
            <w:vAlign w:val="center"/>
            <w:hideMark/>
          </w:tcPr>
          <w:p w14:paraId="48812E38"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31+ years</w:t>
            </w:r>
          </w:p>
        </w:tc>
        <w:tc>
          <w:tcPr>
            <w:tcW w:w="1183" w:type="pct"/>
            <w:noWrap/>
            <w:vAlign w:val="center"/>
            <w:hideMark/>
          </w:tcPr>
          <w:p w14:paraId="1ED6F3BC"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$30,600</w:t>
            </w:r>
          </w:p>
        </w:tc>
        <w:tc>
          <w:tcPr>
            <w:tcW w:w="1183" w:type="pct"/>
            <w:vAlign w:val="center"/>
          </w:tcPr>
          <w:p w14:paraId="37514186"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$700</w:t>
            </w:r>
          </w:p>
        </w:tc>
        <w:tc>
          <w:tcPr>
            <w:tcW w:w="1184" w:type="pct"/>
            <w:noWrap/>
            <w:vAlign w:val="center"/>
            <w:hideMark/>
          </w:tcPr>
          <w:p w14:paraId="434B7D6F"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630</w:t>
            </w:r>
          </w:p>
        </w:tc>
      </w:tr>
      <w:tr w:rsidR="00D41B5A" w:rsidRPr="00D80BB8" w14:paraId="130EA8CD" w14:textId="77777777" w:rsidTr="00D41B5A">
        <w:trPr>
          <w:cnfStyle w:val="000000100000" w:firstRow="0" w:lastRow="0" w:firstColumn="0" w:lastColumn="0" w:oddVBand="0" w:evenVBand="0" w:oddHBand="1" w:evenHBand="0" w:firstRowFirstColumn="0" w:firstRowLastColumn="0" w:lastRowFirstColumn="0" w:lastRowLastColumn="0"/>
          <w:trHeight w:val="227"/>
        </w:trPr>
        <w:tc>
          <w:tcPr>
            <w:tcW w:w="5000" w:type="pct"/>
            <w:gridSpan w:val="4"/>
            <w:shd w:val="clear" w:color="auto" w:fill="C6DEF5" w:themeFill="accent1" w:themeFillTint="33"/>
            <w:noWrap/>
            <w:vAlign w:val="center"/>
            <w:hideMark/>
          </w:tcPr>
          <w:p w14:paraId="43258FE9" w14:textId="105CE942" w:rsidR="00D41B5A" w:rsidRPr="00E1318B" w:rsidRDefault="00D41B5A" w:rsidP="001E142E">
            <w:pPr>
              <w:keepNext/>
              <w:keepLines/>
              <w:spacing w:before="0"/>
              <w:rPr>
                <w:rFonts w:ascii="Calibri" w:eastAsia="Times New Roman" w:hAnsi="Calibri" w:cs="Calibri"/>
                <w:i/>
                <w:color w:val="000000"/>
                <w:sz w:val="18"/>
                <w:szCs w:val="18"/>
                <w:lang w:eastAsia="en-AU"/>
              </w:rPr>
            </w:pPr>
            <w:r w:rsidRPr="00E1318B">
              <w:rPr>
                <w:rFonts w:ascii="Calibri" w:hAnsi="Calibri" w:cs="Calibri"/>
                <w:sz w:val="18"/>
                <w:szCs w:val="18"/>
              </w:rPr>
              <w:t>(c) by country</w:t>
            </w:r>
          </w:p>
        </w:tc>
      </w:tr>
      <w:tr w:rsidR="00466CEC" w:rsidRPr="00D80BB8" w14:paraId="14B7A924" w14:textId="77777777" w:rsidTr="000B451C">
        <w:trPr>
          <w:trHeight w:val="227"/>
        </w:trPr>
        <w:tc>
          <w:tcPr>
            <w:tcW w:w="1450" w:type="pct"/>
            <w:noWrap/>
            <w:vAlign w:val="center"/>
            <w:hideMark/>
          </w:tcPr>
          <w:p w14:paraId="346E7B11"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Germany</w:t>
            </w:r>
          </w:p>
        </w:tc>
        <w:tc>
          <w:tcPr>
            <w:tcW w:w="1183" w:type="pct"/>
            <w:noWrap/>
            <w:vAlign w:val="center"/>
            <w:hideMark/>
          </w:tcPr>
          <w:p w14:paraId="0D7416A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$21,384</w:t>
            </w:r>
          </w:p>
        </w:tc>
        <w:tc>
          <w:tcPr>
            <w:tcW w:w="1183" w:type="pct"/>
            <w:vAlign w:val="center"/>
          </w:tcPr>
          <w:p w14:paraId="39964948"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$594</w:t>
            </w:r>
          </w:p>
        </w:tc>
        <w:tc>
          <w:tcPr>
            <w:tcW w:w="1184" w:type="pct"/>
            <w:noWrap/>
            <w:vAlign w:val="center"/>
            <w:hideMark/>
          </w:tcPr>
          <w:p w14:paraId="55861A9C"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1,134</w:t>
            </w:r>
          </w:p>
        </w:tc>
      </w:tr>
      <w:tr w:rsidR="00466CEC" w:rsidRPr="00D80BB8" w14:paraId="38271BA5"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64E09514"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UK</w:t>
            </w:r>
          </w:p>
        </w:tc>
        <w:tc>
          <w:tcPr>
            <w:tcW w:w="1183" w:type="pct"/>
            <w:noWrap/>
            <w:vAlign w:val="center"/>
            <w:hideMark/>
          </w:tcPr>
          <w:p w14:paraId="16C419A7"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$30,747</w:t>
            </w:r>
          </w:p>
        </w:tc>
        <w:tc>
          <w:tcPr>
            <w:tcW w:w="1183" w:type="pct"/>
            <w:vAlign w:val="center"/>
          </w:tcPr>
          <w:p w14:paraId="7C18D908"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$733</w:t>
            </w:r>
          </w:p>
        </w:tc>
        <w:tc>
          <w:tcPr>
            <w:tcW w:w="1184" w:type="pct"/>
            <w:noWrap/>
            <w:vAlign w:val="center"/>
            <w:hideMark/>
          </w:tcPr>
          <w:p w14:paraId="604AFF0A"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1,287</w:t>
            </w:r>
          </w:p>
        </w:tc>
      </w:tr>
      <w:tr w:rsidR="00466CEC" w:rsidRPr="00D80BB8" w14:paraId="7447461A" w14:textId="77777777" w:rsidTr="000B451C">
        <w:trPr>
          <w:trHeight w:val="227"/>
        </w:trPr>
        <w:tc>
          <w:tcPr>
            <w:tcW w:w="1450" w:type="pct"/>
            <w:noWrap/>
            <w:vAlign w:val="center"/>
            <w:hideMark/>
          </w:tcPr>
          <w:p w14:paraId="4F5C49D4"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France</w:t>
            </w:r>
          </w:p>
        </w:tc>
        <w:tc>
          <w:tcPr>
            <w:tcW w:w="1183" w:type="pct"/>
            <w:noWrap/>
            <w:vAlign w:val="center"/>
            <w:hideMark/>
          </w:tcPr>
          <w:p w14:paraId="22892F65"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$25,683</w:t>
            </w:r>
          </w:p>
        </w:tc>
        <w:tc>
          <w:tcPr>
            <w:tcW w:w="1183" w:type="pct"/>
            <w:vAlign w:val="center"/>
          </w:tcPr>
          <w:p w14:paraId="03EC0651"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$665</w:t>
            </w:r>
          </w:p>
        </w:tc>
        <w:tc>
          <w:tcPr>
            <w:tcW w:w="1184" w:type="pct"/>
            <w:noWrap/>
            <w:vAlign w:val="center"/>
            <w:hideMark/>
          </w:tcPr>
          <w:p w14:paraId="10BB15FD"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950</w:t>
            </w:r>
          </w:p>
        </w:tc>
      </w:tr>
      <w:tr w:rsidR="00466CEC" w:rsidRPr="00D80BB8" w14:paraId="7223101C"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6D594050"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Taiwan</w:t>
            </w:r>
          </w:p>
        </w:tc>
        <w:tc>
          <w:tcPr>
            <w:tcW w:w="1183" w:type="pct"/>
            <w:noWrap/>
            <w:vAlign w:val="center"/>
            <w:hideMark/>
          </w:tcPr>
          <w:p w14:paraId="14053A6C"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$24,665</w:t>
            </w:r>
          </w:p>
        </w:tc>
        <w:tc>
          <w:tcPr>
            <w:tcW w:w="1183" w:type="pct"/>
            <w:vAlign w:val="center"/>
          </w:tcPr>
          <w:p w14:paraId="279EF05E"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$543</w:t>
            </w:r>
          </w:p>
        </w:tc>
        <w:tc>
          <w:tcPr>
            <w:tcW w:w="1184" w:type="pct"/>
            <w:noWrap/>
            <w:vAlign w:val="center"/>
            <w:hideMark/>
          </w:tcPr>
          <w:p w14:paraId="1778034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770</w:t>
            </w:r>
          </w:p>
        </w:tc>
      </w:tr>
      <w:tr w:rsidR="00466CEC" w:rsidRPr="00D80BB8" w14:paraId="2D8F9CF2" w14:textId="77777777" w:rsidTr="000B451C">
        <w:trPr>
          <w:trHeight w:val="227"/>
        </w:trPr>
        <w:tc>
          <w:tcPr>
            <w:tcW w:w="1450" w:type="pct"/>
            <w:noWrap/>
            <w:vAlign w:val="center"/>
            <w:hideMark/>
          </w:tcPr>
          <w:p w14:paraId="462E0765"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Italy</w:t>
            </w:r>
          </w:p>
        </w:tc>
        <w:tc>
          <w:tcPr>
            <w:tcW w:w="1183" w:type="pct"/>
            <w:noWrap/>
            <w:vAlign w:val="center"/>
            <w:hideMark/>
          </w:tcPr>
          <w:p w14:paraId="6EDE8608"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$26,083</w:t>
            </w:r>
          </w:p>
        </w:tc>
        <w:tc>
          <w:tcPr>
            <w:tcW w:w="1183" w:type="pct"/>
            <w:vAlign w:val="center"/>
          </w:tcPr>
          <w:p w14:paraId="69C8C0AA"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$629</w:t>
            </w:r>
          </w:p>
        </w:tc>
        <w:tc>
          <w:tcPr>
            <w:tcW w:w="1184" w:type="pct"/>
            <w:noWrap/>
            <w:vAlign w:val="center"/>
            <w:hideMark/>
          </w:tcPr>
          <w:p w14:paraId="559418FE"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649</w:t>
            </w:r>
          </w:p>
        </w:tc>
      </w:tr>
      <w:tr w:rsidR="00466CEC" w:rsidRPr="00D80BB8" w14:paraId="0F8B2D2F"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7984AD21"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Canada</w:t>
            </w:r>
          </w:p>
        </w:tc>
        <w:tc>
          <w:tcPr>
            <w:tcW w:w="1183" w:type="pct"/>
            <w:noWrap/>
            <w:vAlign w:val="center"/>
            <w:hideMark/>
          </w:tcPr>
          <w:p w14:paraId="71F2B42F"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$26,333</w:t>
            </w:r>
          </w:p>
        </w:tc>
        <w:tc>
          <w:tcPr>
            <w:tcW w:w="1183" w:type="pct"/>
            <w:vAlign w:val="center"/>
          </w:tcPr>
          <w:p w14:paraId="06F7702E"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$671</w:t>
            </w:r>
          </w:p>
        </w:tc>
        <w:tc>
          <w:tcPr>
            <w:tcW w:w="1184" w:type="pct"/>
            <w:noWrap/>
            <w:vAlign w:val="center"/>
            <w:hideMark/>
          </w:tcPr>
          <w:p w14:paraId="5D9746FD"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462</w:t>
            </w:r>
          </w:p>
        </w:tc>
      </w:tr>
      <w:tr w:rsidR="00466CEC" w:rsidRPr="00D80BB8" w14:paraId="49E41276" w14:textId="77777777" w:rsidTr="000B451C">
        <w:trPr>
          <w:trHeight w:val="227"/>
        </w:trPr>
        <w:tc>
          <w:tcPr>
            <w:tcW w:w="1450" w:type="pct"/>
            <w:noWrap/>
            <w:vAlign w:val="center"/>
            <w:hideMark/>
          </w:tcPr>
          <w:p w14:paraId="69510C4F"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USA</w:t>
            </w:r>
          </w:p>
        </w:tc>
        <w:tc>
          <w:tcPr>
            <w:tcW w:w="1183" w:type="pct"/>
            <w:noWrap/>
            <w:vAlign w:val="center"/>
            <w:hideMark/>
          </w:tcPr>
          <w:p w14:paraId="6552214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$25,053</w:t>
            </w:r>
          </w:p>
        </w:tc>
        <w:tc>
          <w:tcPr>
            <w:tcW w:w="1183" w:type="pct"/>
            <w:vAlign w:val="center"/>
          </w:tcPr>
          <w:p w14:paraId="1AD417FC"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$651</w:t>
            </w:r>
          </w:p>
        </w:tc>
        <w:tc>
          <w:tcPr>
            <w:tcW w:w="1184" w:type="pct"/>
            <w:noWrap/>
            <w:vAlign w:val="center"/>
            <w:hideMark/>
          </w:tcPr>
          <w:p w14:paraId="55A8DAF0"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460</w:t>
            </w:r>
          </w:p>
        </w:tc>
      </w:tr>
      <w:tr w:rsidR="00466CEC" w:rsidRPr="00D80BB8" w14:paraId="4FB7BD36"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4DA51A93"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South Korea</w:t>
            </w:r>
          </w:p>
        </w:tc>
        <w:tc>
          <w:tcPr>
            <w:tcW w:w="1183" w:type="pct"/>
            <w:noWrap/>
            <w:vAlign w:val="center"/>
            <w:hideMark/>
          </w:tcPr>
          <w:p w14:paraId="51F94DD9"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$31,663</w:t>
            </w:r>
          </w:p>
        </w:tc>
        <w:tc>
          <w:tcPr>
            <w:tcW w:w="1183" w:type="pct"/>
            <w:vAlign w:val="center"/>
          </w:tcPr>
          <w:p w14:paraId="642C4C81"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$709</w:t>
            </w:r>
          </w:p>
        </w:tc>
        <w:tc>
          <w:tcPr>
            <w:tcW w:w="1184" w:type="pct"/>
            <w:noWrap/>
            <w:vAlign w:val="center"/>
            <w:hideMark/>
          </w:tcPr>
          <w:p w14:paraId="127FE66E"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348</w:t>
            </w:r>
          </w:p>
        </w:tc>
      </w:tr>
      <w:tr w:rsidR="00466CEC" w:rsidRPr="00D80BB8" w14:paraId="7281CCF8" w14:textId="77777777" w:rsidTr="000B451C">
        <w:trPr>
          <w:trHeight w:val="227"/>
        </w:trPr>
        <w:tc>
          <w:tcPr>
            <w:tcW w:w="1450" w:type="pct"/>
            <w:noWrap/>
            <w:vAlign w:val="center"/>
            <w:hideMark/>
          </w:tcPr>
          <w:p w14:paraId="56E2A3BF"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Netherlands</w:t>
            </w:r>
          </w:p>
        </w:tc>
        <w:tc>
          <w:tcPr>
            <w:tcW w:w="1183" w:type="pct"/>
            <w:noWrap/>
            <w:vAlign w:val="center"/>
            <w:hideMark/>
          </w:tcPr>
          <w:p w14:paraId="4FB0BC24"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$20,861</w:t>
            </w:r>
          </w:p>
        </w:tc>
        <w:tc>
          <w:tcPr>
            <w:tcW w:w="1183" w:type="pct"/>
            <w:vAlign w:val="center"/>
          </w:tcPr>
          <w:p w14:paraId="4A2E7E2E"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$582</w:t>
            </w:r>
          </w:p>
        </w:tc>
        <w:tc>
          <w:tcPr>
            <w:tcW w:w="1184" w:type="pct"/>
            <w:noWrap/>
            <w:vAlign w:val="center"/>
            <w:hideMark/>
          </w:tcPr>
          <w:p w14:paraId="74AB8107"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269</w:t>
            </w:r>
          </w:p>
        </w:tc>
      </w:tr>
      <w:tr w:rsidR="00466CEC" w:rsidRPr="00D80BB8" w14:paraId="04EAD439" w14:textId="77777777" w:rsidTr="000B451C">
        <w:trPr>
          <w:cnfStyle w:val="000000100000" w:firstRow="0" w:lastRow="0" w:firstColumn="0" w:lastColumn="0" w:oddVBand="0" w:evenVBand="0" w:oddHBand="1" w:evenHBand="0" w:firstRowFirstColumn="0" w:firstRowLastColumn="0" w:lastRowFirstColumn="0" w:lastRowLastColumn="0"/>
          <w:trHeight w:val="227"/>
        </w:trPr>
        <w:tc>
          <w:tcPr>
            <w:tcW w:w="1450" w:type="pct"/>
            <w:noWrap/>
            <w:vAlign w:val="center"/>
            <w:hideMark/>
          </w:tcPr>
          <w:p w14:paraId="78A147CB"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Japan</w:t>
            </w:r>
          </w:p>
        </w:tc>
        <w:tc>
          <w:tcPr>
            <w:tcW w:w="1183" w:type="pct"/>
            <w:noWrap/>
            <w:vAlign w:val="center"/>
            <w:hideMark/>
          </w:tcPr>
          <w:p w14:paraId="5E4C20C5"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$24,507</w:t>
            </w:r>
          </w:p>
        </w:tc>
        <w:tc>
          <w:tcPr>
            <w:tcW w:w="1183" w:type="pct"/>
            <w:vAlign w:val="center"/>
          </w:tcPr>
          <w:p w14:paraId="2992004E"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$560</w:t>
            </w:r>
          </w:p>
        </w:tc>
        <w:tc>
          <w:tcPr>
            <w:tcW w:w="1184" w:type="pct"/>
            <w:noWrap/>
            <w:vAlign w:val="center"/>
            <w:hideMark/>
          </w:tcPr>
          <w:p w14:paraId="612288E6"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350</w:t>
            </w:r>
          </w:p>
        </w:tc>
      </w:tr>
      <w:tr w:rsidR="00466CEC" w:rsidRPr="00D80BB8" w14:paraId="317D13D5" w14:textId="77777777" w:rsidTr="000B451C">
        <w:trPr>
          <w:trHeight w:val="227"/>
        </w:trPr>
        <w:tc>
          <w:tcPr>
            <w:tcW w:w="1450" w:type="pct"/>
            <w:noWrap/>
            <w:vAlign w:val="center"/>
            <w:hideMark/>
          </w:tcPr>
          <w:p w14:paraId="3FDC3B11"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Other</w:t>
            </w:r>
          </w:p>
        </w:tc>
        <w:tc>
          <w:tcPr>
            <w:tcW w:w="1183" w:type="pct"/>
            <w:noWrap/>
            <w:vAlign w:val="center"/>
            <w:hideMark/>
          </w:tcPr>
          <w:p w14:paraId="7ED2C307"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$30,506</w:t>
            </w:r>
          </w:p>
        </w:tc>
        <w:tc>
          <w:tcPr>
            <w:tcW w:w="1183" w:type="pct"/>
            <w:vAlign w:val="center"/>
          </w:tcPr>
          <w:p w14:paraId="7690EB29" w14:textId="77777777" w:rsidR="00466CEC" w:rsidRPr="00E1318B" w:rsidRDefault="00466CEC" w:rsidP="001E142E">
            <w:pPr>
              <w:keepNext/>
              <w:keepLines/>
              <w:spacing w:before="0"/>
              <w:rPr>
                <w:rFonts w:ascii="Calibri" w:hAnsi="Calibri" w:cs="Calibri"/>
                <w:sz w:val="18"/>
                <w:szCs w:val="18"/>
              </w:rPr>
            </w:pPr>
            <w:r>
              <w:rPr>
                <w:rFonts w:ascii="Calibri" w:hAnsi="Calibri" w:cs="Calibri"/>
                <w:sz w:val="18"/>
                <w:szCs w:val="18"/>
              </w:rPr>
              <w:t>$708</w:t>
            </w:r>
          </w:p>
        </w:tc>
        <w:tc>
          <w:tcPr>
            <w:tcW w:w="1184" w:type="pct"/>
            <w:noWrap/>
            <w:vAlign w:val="center"/>
            <w:hideMark/>
          </w:tcPr>
          <w:p w14:paraId="309A7B68" w14:textId="77777777" w:rsidR="00466CEC" w:rsidRPr="00E1318B" w:rsidRDefault="00466CEC" w:rsidP="001E142E">
            <w:pPr>
              <w:keepNext/>
              <w:keepLines/>
              <w:spacing w:before="0"/>
              <w:rPr>
                <w:rFonts w:ascii="Calibri" w:eastAsia="Times New Roman" w:hAnsi="Calibri" w:cs="Calibri"/>
                <w:color w:val="000000"/>
                <w:sz w:val="18"/>
                <w:szCs w:val="18"/>
                <w:lang w:eastAsia="en-AU"/>
              </w:rPr>
            </w:pPr>
            <w:r w:rsidRPr="00E1318B">
              <w:rPr>
                <w:rFonts w:ascii="Calibri" w:hAnsi="Calibri" w:cs="Calibri"/>
                <w:sz w:val="18"/>
                <w:szCs w:val="18"/>
              </w:rPr>
              <w:t>1,301</w:t>
            </w:r>
          </w:p>
        </w:tc>
      </w:tr>
      <w:tr w:rsidR="00466CEC" w:rsidRPr="00D80BB8" w14:paraId="063A6FAE" w14:textId="77777777" w:rsidTr="000B451C">
        <w:trPr>
          <w:cnfStyle w:val="010000000000" w:firstRow="0" w:lastRow="1" w:firstColumn="0" w:lastColumn="0" w:oddVBand="0" w:evenVBand="0" w:oddHBand="0" w:evenHBand="0" w:firstRowFirstColumn="0" w:firstRowLastColumn="0" w:lastRowFirstColumn="0" w:lastRowLastColumn="0"/>
          <w:trHeight w:val="227"/>
        </w:trPr>
        <w:tc>
          <w:tcPr>
            <w:tcW w:w="1450" w:type="pct"/>
            <w:noWrap/>
            <w:vAlign w:val="center"/>
            <w:hideMark/>
          </w:tcPr>
          <w:p w14:paraId="266E9E0F" w14:textId="77777777" w:rsidR="00466CEC" w:rsidRPr="00E1318B" w:rsidRDefault="00466CEC" w:rsidP="001E142E">
            <w:pPr>
              <w:keepNext/>
              <w:keepLines/>
              <w:spacing w:before="0"/>
              <w:rPr>
                <w:rFonts w:ascii="Calibri" w:eastAsia="Times New Roman" w:hAnsi="Calibri" w:cs="Calibri"/>
                <w:b w:val="0"/>
                <w:color w:val="000000"/>
                <w:sz w:val="18"/>
                <w:szCs w:val="18"/>
                <w:lang w:eastAsia="en-AU"/>
              </w:rPr>
            </w:pPr>
            <w:r w:rsidRPr="00E1318B">
              <w:rPr>
                <w:rFonts w:ascii="Calibri" w:hAnsi="Calibri" w:cs="Calibri"/>
                <w:b w:val="0"/>
                <w:sz w:val="18"/>
                <w:szCs w:val="18"/>
              </w:rPr>
              <w:t>Total</w:t>
            </w:r>
          </w:p>
        </w:tc>
        <w:tc>
          <w:tcPr>
            <w:tcW w:w="1183" w:type="pct"/>
            <w:noWrap/>
            <w:vAlign w:val="center"/>
            <w:hideMark/>
          </w:tcPr>
          <w:p w14:paraId="7CB26A74" w14:textId="77777777" w:rsidR="00466CEC" w:rsidRPr="00E1318B" w:rsidRDefault="00466CEC" w:rsidP="001E142E">
            <w:pPr>
              <w:keepNext/>
              <w:keepLines/>
              <w:spacing w:before="0"/>
              <w:rPr>
                <w:rFonts w:ascii="Calibri" w:eastAsia="Times New Roman" w:hAnsi="Calibri" w:cs="Calibri"/>
                <w:b w:val="0"/>
                <w:color w:val="000000"/>
                <w:sz w:val="18"/>
                <w:szCs w:val="18"/>
                <w:lang w:eastAsia="en-AU"/>
              </w:rPr>
            </w:pPr>
            <w:r w:rsidRPr="00E1318B">
              <w:rPr>
                <w:rFonts w:ascii="Calibri" w:hAnsi="Calibri" w:cs="Calibri"/>
                <w:b w:val="0"/>
                <w:sz w:val="18"/>
                <w:szCs w:val="18"/>
              </w:rPr>
              <w:t>$26,787</w:t>
            </w:r>
          </w:p>
        </w:tc>
        <w:tc>
          <w:tcPr>
            <w:tcW w:w="1183" w:type="pct"/>
            <w:vAlign w:val="center"/>
          </w:tcPr>
          <w:p w14:paraId="63AAEF81" w14:textId="77777777" w:rsidR="00466CEC" w:rsidRPr="00E1318B" w:rsidRDefault="00466CEC" w:rsidP="001E142E">
            <w:pPr>
              <w:keepNext/>
              <w:keepLines/>
              <w:spacing w:before="0"/>
              <w:rPr>
                <w:rFonts w:ascii="Calibri" w:hAnsi="Calibri" w:cs="Calibri"/>
                <w:b w:val="0"/>
                <w:sz w:val="18"/>
                <w:szCs w:val="18"/>
              </w:rPr>
            </w:pPr>
            <w:r>
              <w:rPr>
                <w:rFonts w:ascii="Calibri" w:hAnsi="Calibri" w:cs="Calibri"/>
                <w:b w:val="0"/>
                <w:sz w:val="18"/>
                <w:szCs w:val="18"/>
              </w:rPr>
              <w:t>$658</w:t>
            </w:r>
          </w:p>
        </w:tc>
        <w:tc>
          <w:tcPr>
            <w:tcW w:w="1184" w:type="pct"/>
            <w:noWrap/>
            <w:vAlign w:val="center"/>
            <w:hideMark/>
          </w:tcPr>
          <w:p w14:paraId="2FB3225F" w14:textId="77777777" w:rsidR="00466CEC" w:rsidRPr="00E1318B" w:rsidRDefault="00466CEC" w:rsidP="001E142E">
            <w:pPr>
              <w:keepNext/>
              <w:keepLines/>
              <w:spacing w:before="0"/>
              <w:rPr>
                <w:rFonts w:ascii="Calibri" w:eastAsia="Times New Roman" w:hAnsi="Calibri" w:cs="Calibri"/>
                <w:b w:val="0"/>
                <w:color w:val="000000"/>
                <w:sz w:val="18"/>
                <w:szCs w:val="18"/>
                <w:lang w:eastAsia="en-AU"/>
              </w:rPr>
            </w:pPr>
            <w:r w:rsidRPr="00E1318B">
              <w:rPr>
                <w:rFonts w:ascii="Calibri" w:hAnsi="Calibri" w:cs="Calibri"/>
                <w:b w:val="0"/>
                <w:sz w:val="18"/>
                <w:szCs w:val="18"/>
              </w:rPr>
              <w:t>7,980</w:t>
            </w:r>
          </w:p>
        </w:tc>
      </w:tr>
    </w:tbl>
    <w:p w14:paraId="0ADB1F89" w14:textId="77777777" w:rsidR="00466CEC" w:rsidRDefault="00466CEC" w:rsidP="00466CEC">
      <w:pPr>
        <w:pStyle w:val="Tablenote"/>
        <w:keepNext/>
        <w:keepLines/>
      </w:pPr>
      <w:r>
        <w:t xml:space="preserve">Note, average weekly expenditure is calculated based on the average number of weeks spent in Australia. For this purpose Top 10 countries are those with the most WHMs reporting valid expenditure. ‘Other’ aggregates the responses of WHMs from all other countries. </w:t>
      </w:r>
    </w:p>
    <w:p w14:paraId="13557C86" w14:textId="77777777" w:rsidR="00466CEC" w:rsidRPr="00356B43" w:rsidRDefault="00466CEC" w:rsidP="00466CEC">
      <w:pPr>
        <w:pStyle w:val="Tablenote"/>
        <w:rPr>
          <w:rFonts w:ascii="Calibri" w:eastAsia="Times New Roman" w:hAnsi="Calibri" w:cs="Calibri"/>
          <w:b/>
          <w:bCs/>
          <w:noProof w:val="0"/>
          <w:color w:val="FFFFFF"/>
          <w:sz w:val="20"/>
          <w:szCs w:val="20"/>
          <w:lang w:eastAsia="en-AU"/>
        </w:rPr>
      </w:pPr>
      <w:r w:rsidRPr="009D07D8">
        <w:t xml:space="preserve">Source: </w:t>
      </w:r>
      <w:r>
        <w:t>WHM</w:t>
      </w:r>
      <w:r w:rsidRPr="009D07D8">
        <w:t xml:space="preserve"> Survey, 2020.</w:t>
      </w:r>
    </w:p>
    <w:p w14:paraId="40A4C80F" w14:textId="7A6C94F0" w:rsidR="00346CEC" w:rsidRPr="00105282" w:rsidRDefault="00346CEC" w:rsidP="00346CEC">
      <w:pPr>
        <w:pStyle w:val="Heading3"/>
      </w:pPr>
      <w:bookmarkStart w:id="143" w:name="_Toc75878466"/>
      <w:r w:rsidRPr="00105282">
        <w:t xml:space="preserve">Expenditure </w:t>
      </w:r>
      <w:r w:rsidR="00105282" w:rsidRPr="00105282">
        <w:t>and employment</w:t>
      </w:r>
      <w:bookmarkEnd w:id="143"/>
    </w:p>
    <w:p w14:paraId="71B563DF" w14:textId="3203E873" w:rsidR="00105282" w:rsidRDefault="00105282" w:rsidP="00105282">
      <w:r w:rsidRPr="002B48B4">
        <w:t>Across the industr</w:t>
      </w:r>
      <w:r w:rsidR="00A56BB0">
        <w:t>ies</w:t>
      </w:r>
      <w:r w:rsidRPr="002B48B4">
        <w:t xml:space="preserve"> in which WHMs worked while in Australia, there </w:t>
      </w:r>
      <w:r w:rsidR="004E5BA6" w:rsidRPr="002B48B4">
        <w:t>are noticeable differences in both total expenditure and the structure of expenditure</w:t>
      </w:r>
      <w:r w:rsidR="00C62486" w:rsidRPr="002B48B4">
        <w:t xml:space="preserve"> (</w:t>
      </w:r>
      <w:r w:rsidR="00EF3A5C">
        <w:t>s</w:t>
      </w:r>
      <w:r w:rsidR="00C62486" w:rsidRPr="002B48B4">
        <w:t xml:space="preserve">ee </w:t>
      </w:r>
      <w:r w:rsidR="00EE2356">
        <w:fldChar w:fldCharType="begin"/>
      </w:r>
      <w:r w:rsidR="00EE2356">
        <w:instrText xml:space="preserve"> REF _Ref68597974 \h </w:instrText>
      </w:r>
      <w:r w:rsidR="00EE2356">
        <w:fldChar w:fldCharType="separate"/>
      </w:r>
      <w:r w:rsidR="00F22012">
        <w:t xml:space="preserve">Figure </w:t>
      </w:r>
      <w:r w:rsidR="00F22012">
        <w:rPr>
          <w:noProof/>
        </w:rPr>
        <w:t>5</w:t>
      </w:r>
      <w:r w:rsidR="00F22012">
        <w:noBreakHyphen/>
      </w:r>
      <w:r w:rsidR="00F22012">
        <w:rPr>
          <w:noProof/>
        </w:rPr>
        <w:t>26</w:t>
      </w:r>
      <w:r w:rsidR="00EE2356">
        <w:fldChar w:fldCharType="end"/>
      </w:r>
      <w:r w:rsidR="00C62486" w:rsidRPr="002B48B4">
        <w:t>)</w:t>
      </w:r>
      <w:r w:rsidR="004E5BA6" w:rsidRPr="002B48B4">
        <w:t xml:space="preserve">. </w:t>
      </w:r>
      <w:r w:rsidR="004F2F40" w:rsidRPr="002B48B4">
        <w:t xml:space="preserve">Those who worked in the construction and mining </w:t>
      </w:r>
      <w:r w:rsidR="00B06FE6" w:rsidRPr="002B48B4">
        <w:t xml:space="preserve">industry reported spending the most, with an average of </w:t>
      </w:r>
      <w:r w:rsidR="00393DCB" w:rsidRPr="002B48B4">
        <w:t>$31,7</w:t>
      </w:r>
      <w:r w:rsidR="001C1424">
        <w:t>00</w:t>
      </w:r>
      <w:r w:rsidR="00457542" w:rsidRPr="002B48B4">
        <w:t xml:space="preserve">, and those who worked in </w:t>
      </w:r>
      <w:r w:rsidR="000945E6">
        <w:t>e</w:t>
      </w:r>
      <w:r w:rsidR="00457542" w:rsidRPr="002B48B4">
        <w:t>ducation reported spending the least</w:t>
      </w:r>
      <w:r w:rsidR="003E3D4C">
        <w:t>,</w:t>
      </w:r>
      <w:r w:rsidR="00DE1631">
        <w:t xml:space="preserve"> </w:t>
      </w:r>
      <w:r w:rsidR="003E3D4C">
        <w:t>which</w:t>
      </w:r>
      <w:r w:rsidR="00DE1631">
        <w:t xml:space="preserve"> at</w:t>
      </w:r>
      <w:r w:rsidR="0010441A">
        <w:t xml:space="preserve"> </w:t>
      </w:r>
      <w:r w:rsidR="003E3D4C">
        <w:t xml:space="preserve">an average of </w:t>
      </w:r>
      <w:r w:rsidR="0010441A">
        <w:t>$21,</w:t>
      </w:r>
      <w:r w:rsidR="001C1424">
        <w:t>600</w:t>
      </w:r>
      <w:r w:rsidR="00DE1631">
        <w:t xml:space="preserve"> </w:t>
      </w:r>
      <w:r w:rsidR="003E3D4C">
        <w:t xml:space="preserve">was </w:t>
      </w:r>
      <w:r w:rsidR="00DE1631">
        <w:t>a third lower than</w:t>
      </w:r>
      <w:r w:rsidR="00AC3B42">
        <w:t xml:space="preserve"> those in construction and mining</w:t>
      </w:r>
      <w:r w:rsidR="00457542" w:rsidRPr="002B48B4">
        <w:t>.</w:t>
      </w:r>
      <w:r w:rsidR="009173B6">
        <w:t xml:space="preserve"> WHMs who reported education as their industry were most likely to be au pairs, explaining the low expenditure. </w:t>
      </w:r>
      <w:r w:rsidR="00457542" w:rsidRPr="002B48B4">
        <w:t xml:space="preserve"> </w:t>
      </w:r>
      <w:r w:rsidR="008E33AF">
        <w:t xml:space="preserve">WHMs employed in the </w:t>
      </w:r>
      <w:r w:rsidR="00944351">
        <w:t>e</w:t>
      </w:r>
      <w:r w:rsidR="008E33AF">
        <w:t xml:space="preserve">ducation sector also spent a significantly higher proportion </w:t>
      </w:r>
      <w:r w:rsidR="002372B2">
        <w:t>of thei</w:t>
      </w:r>
      <w:r w:rsidR="000A0B04">
        <w:t xml:space="preserve">r expenditure </w:t>
      </w:r>
      <w:r w:rsidR="008E33AF">
        <w:t xml:space="preserve">on accommodation (41.8% of total expenditure) and a lower proportion on food and drink (13.6%). </w:t>
      </w:r>
      <w:r w:rsidR="00DB2A0E">
        <w:t>There is also a trend towards lower proportions of expenditure on accommodation in industries</w:t>
      </w:r>
      <w:r w:rsidR="00221779">
        <w:t xml:space="preserve"> such as agriculture and transport (28.5%) and construction and mining (26.7</w:t>
      </w:r>
      <w:r w:rsidR="00D979D3">
        <w:t>%) which</w:t>
      </w:r>
      <w:r w:rsidR="00DB2A0E">
        <w:t xml:space="preserve"> are typically located in regional and remote areas of</w:t>
      </w:r>
      <w:r w:rsidR="00D577E1">
        <w:t xml:space="preserve"> </w:t>
      </w:r>
      <w:r w:rsidR="007E6677">
        <w:t>Australia</w:t>
      </w:r>
      <w:r w:rsidR="00D83E95">
        <w:t xml:space="preserve"> where accommodation prices</w:t>
      </w:r>
      <w:r w:rsidR="00DA42F6">
        <w:t xml:space="preserve"> are typically lower</w:t>
      </w:r>
      <w:r w:rsidR="00221779">
        <w:t>.</w:t>
      </w:r>
    </w:p>
    <w:p w14:paraId="3A3DC214" w14:textId="1CC9D109" w:rsidR="007739C6" w:rsidRPr="002A00B3" w:rsidRDefault="002D1E0D" w:rsidP="00105282">
      <w:r w:rsidRPr="002A00B3">
        <w:t xml:space="preserve">Due to </w:t>
      </w:r>
      <w:r w:rsidR="009867A0" w:rsidRPr="002A00B3">
        <w:t xml:space="preserve">an incongruity between survey participants who responded to </w:t>
      </w:r>
      <w:r w:rsidR="00C60C49" w:rsidRPr="002A00B3">
        <w:t xml:space="preserve">questions about how much they were paid and participants who responded to questions about how much they spent, it is difficult to compare </w:t>
      </w:r>
      <w:r w:rsidR="001E1DCE" w:rsidRPr="002A00B3">
        <w:t xml:space="preserve">expenditure with incomes, as </w:t>
      </w:r>
      <w:r w:rsidR="00996447" w:rsidRPr="002A00B3">
        <w:t xml:space="preserve">each group is independent. </w:t>
      </w:r>
      <w:r w:rsidR="00C52131" w:rsidRPr="002A00B3">
        <w:t xml:space="preserve">Only 5,300 WHM responded to both types of questions. </w:t>
      </w:r>
      <w:r w:rsidR="00935410" w:rsidRPr="002A00B3">
        <w:t xml:space="preserve">Of these responses, </w:t>
      </w:r>
      <w:r w:rsidR="00951B2C" w:rsidRPr="002A00B3">
        <w:t xml:space="preserve">WHM from all </w:t>
      </w:r>
      <w:r w:rsidR="00C72101" w:rsidRPr="002A00B3">
        <w:t xml:space="preserve">but three </w:t>
      </w:r>
      <w:r w:rsidR="00951B2C" w:rsidRPr="002A00B3">
        <w:t>countries</w:t>
      </w:r>
      <w:r w:rsidR="007169FB" w:rsidRPr="002A00B3">
        <w:rPr>
          <w:rStyle w:val="FootnoteReference"/>
        </w:rPr>
        <w:footnoteReference w:id="23"/>
      </w:r>
      <w:r w:rsidR="00951B2C" w:rsidRPr="002A00B3">
        <w:t xml:space="preserve"> </w:t>
      </w:r>
      <w:r w:rsidR="002A00B3" w:rsidRPr="002A00B3">
        <w:t>spent more than they received in income.</w:t>
      </w:r>
    </w:p>
    <w:p w14:paraId="6EBBAED8" w14:textId="0369337D" w:rsidR="007824A6" w:rsidRDefault="007824A6" w:rsidP="007824A6">
      <w:pPr>
        <w:pStyle w:val="Caption"/>
      </w:pPr>
      <w:bookmarkStart w:id="144" w:name="_Ref68597974"/>
      <w:bookmarkStart w:id="145" w:name="_Toc7587854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5</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26</w:t>
      </w:r>
      <w:r w:rsidR="008949B3">
        <w:rPr>
          <w:noProof/>
        </w:rPr>
        <w:fldChar w:fldCharType="end"/>
      </w:r>
      <w:bookmarkEnd w:id="144"/>
      <w:r>
        <w:t>: Expenditure by category by industry</w:t>
      </w:r>
      <w:r w:rsidR="00FB17EB">
        <w:t xml:space="preserve"> group</w:t>
      </w:r>
      <w:bookmarkEnd w:id="145"/>
    </w:p>
    <w:p w14:paraId="76D421C2" w14:textId="02396A44" w:rsidR="00B42105" w:rsidRPr="00B42105" w:rsidRDefault="00B42105" w:rsidP="00B42105">
      <w:r>
        <w:rPr>
          <w:noProof/>
          <w:lang w:eastAsia="en-AU"/>
        </w:rPr>
        <w:drawing>
          <wp:inline distT="0" distB="0" distL="0" distR="0" wp14:anchorId="6FAE6953" wp14:editId="694F05DF">
            <wp:extent cx="5731510" cy="3114675"/>
            <wp:effectExtent l="0" t="0" r="2540" b="9525"/>
            <wp:docPr id="32" name="Chart 32" descr="Figure 5-26 Chart showing expenditure by category by industry group.">
              <a:extLst xmlns:a="http://schemas.openxmlformats.org/drawingml/2006/main">
                <a:ext uri="{FF2B5EF4-FFF2-40B4-BE49-F238E27FC236}">
                  <a16:creationId xmlns:a16="http://schemas.microsoft.com/office/drawing/2014/main" id="{6C191ECE-AA0A-471C-AA91-956FC2084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FFBEDF" w14:textId="5BA2987E" w:rsidR="002A65C2" w:rsidRPr="00740867" w:rsidRDefault="002A65C2" w:rsidP="002A65C2">
      <w:pPr>
        <w:pStyle w:val="Tablenote"/>
      </w:pPr>
      <w:r>
        <w:t>Note, a</w:t>
      </w:r>
      <w:r w:rsidRPr="00740867">
        <w:t>verage total expenditure is calculated as the total expenditure of people who work in an industry</w:t>
      </w:r>
      <w:r>
        <w:t xml:space="preserve"> group</w:t>
      </w:r>
      <w:r w:rsidRPr="00740867">
        <w:t xml:space="preserve">, divided by the total number of workers in that </w:t>
      </w:r>
      <w:r>
        <w:t>group</w:t>
      </w:r>
      <w:r w:rsidRPr="00740867">
        <w:t xml:space="preserve">. </w:t>
      </w:r>
    </w:p>
    <w:p w14:paraId="0E3B6C91" w14:textId="25EBE419" w:rsidR="00E16B19" w:rsidRDefault="00356B43" w:rsidP="00944DF6">
      <w:pPr>
        <w:pStyle w:val="Tablenote"/>
      </w:pPr>
      <w:r w:rsidRPr="009D07D8">
        <w:t xml:space="preserve">Source: </w:t>
      </w:r>
      <w:r w:rsidR="00533FC6">
        <w:t>WHM</w:t>
      </w:r>
      <w:r w:rsidRPr="009D07D8">
        <w:t xml:space="preserve"> Survey, 2020</w:t>
      </w:r>
    </w:p>
    <w:p w14:paraId="0920EC78" w14:textId="77777777" w:rsidR="00463470" w:rsidRPr="00463470" w:rsidRDefault="00463470" w:rsidP="00463470"/>
    <w:p w14:paraId="0B420879" w14:textId="2F1C4E2B" w:rsidR="00E16B19" w:rsidRPr="007F3CF5" w:rsidRDefault="00070FF4" w:rsidP="00E16B19">
      <w:pPr>
        <w:pStyle w:val="Heading1"/>
      </w:pPr>
      <w:bookmarkStart w:id="146" w:name="_Toc75878467"/>
      <w:r>
        <w:t xml:space="preserve">WHM: </w:t>
      </w:r>
      <w:r w:rsidR="00FA399A">
        <w:t>Domestic travel</w:t>
      </w:r>
      <w:bookmarkEnd w:id="146"/>
    </w:p>
    <w:p w14:paraId="2A10B7C7" w14:textId="7C57CC0E" w:rsidR="00820810" w:rsidRDefault="00820810" w:rsidP="002E77A1">
      <w:pPr>
        <w:pStyle w:val="Heading2"/>
      </w:pPr>
      <w:bookmarkStart w:id="147" w:name="_Toc75878468"/>
      <w:r>
        <w:t>Mobility between states and territories</w:t>
      </w:r>
      <w:bookmarkEnd w:id="147"/>
    </w:p>
    <w:p w14:paraId="144B6463" w14:textId="067BF808" w:rsidR="00997130" w:rsidRPr="007F3CF5" w:rsidRDefault="009864DD" w:rsidP="000B68B8">
      <w:r>
        <w:t xml:space="preserve">Seven </w:t>
      </w:r>
      <w:r w:rsidR="0038325E">
        <w:t xml:space="preserve">in ten </w:t>
      </w:r>
      <w:r>
        <w:t xml:space="preserve">(69.8%) WHMs visited New South Wales with Queensland (64.2%) and Victoria (60.7%) also visited by a significant number of WHMs (see </w:t>
      </w:r>
      <w:r w:rsidR="000856F5">
        <w:fldChar w:fldCharType="begin"/>
      </w:r>
      <w:r w:rsidR="000856F5">
        <w:instrText xml:space="preserve"> REF _Ref65833172 \h </w:instrText>
      </w:r>
      <w:r w:rsidR="000856F5">
        <w:fldChar w:fldCharType="separate"/>
      </w:r>
      <w:r w:rsidR="00F22012">
        <w:t xml:space="preserve">Figure </w:t>
      </w:r>
      <w:r w:rsidR="00F22012">
        <w:rPr>
          <w:noProof/>
        </w:rPr>
        <w:t>6</w:t>
      </w:r>
      <w:r w:rsidR="00F22012">
        <w:noBreakHyphen/>
      </w:r>
      <w:r w:rsidR="00F22012">
        <w:rPr>
          <w:noProof/>
        </w:rPr>
        <w:t>1</w:t>
      </w:r>
      <w:r w:rsidR="000856F5">
        <w:fldChar w:fldCharType="end"/>
      </w:r>
      <w:r>
        <w:t>).</w:t>
      </w:r>
      <w:r w:rsidR="0064652E">
        <w:t xml:space="preserve"> Approximately one quarter of WHMs visited Western Australia (27.6%) and South Australia (24.2%). </w:t>
      </w:r>
      <w:r w:rsidR="005D435B">
        <w:t>F</w:t>
      </w:r>
      <w:r w:rsidR="0064652E">
        <w:t>ewer than one in</w:t>
      </w:r>
      <w:r w:rsidR="00623D5C">
        <w:t xml:space="preserve"> in five WHMs visited </w:t>
      </w:r>
      <w:r w:rsidR="005D435B">
        <w:t xml:space="preserve">the </w:t>
      </w:r>
      <w:r w:rsidR="00623D5C">
        <w:t>Northern Territory (19.3%), Tasmania (17.2%) or</w:t>
      </w:r>
      <w:r w:rsidR="005D435B">
        <w:t xml:space="preserve"> the</w:t>
      </w:r>
      <w:r w:rsidR="00623D5C">
        <w:t xml:space="preserve"> Australian Capital Territory (16.0%).</w:t>
      </w:r>
      <w:r w:rsidR="00997130">
        <w:t xml:space="preserve"> </w:t>
      </w:r>
      <w:r w:rsidR="00997130" w:rsidDel="005706E1">
        <w:t xml:space="preserve">More than </w:t>
      </w:r>
      <w:r w:rsidR="00BD02C8">
        <w:t>half</w:t>
      </w:r>
      <w:r w:rsidR="00544E1E">
        <w:t xml:space="preserve"> </w:t>
      </w:r>
      <w:r w:rsidR="00BD02C8">
        <w:t>(</w:t>
      </w:r>
      <w:r w:rsidR="00544E1E">
        <w:t>55.7%</w:t>
      </w:r>
      <w:r w:rsidR="00BD02C8">
        <w:t>)</w:t>
      </w:r>
      <w:r w:rsidR="00544E1E">
        <w:t xml:space="preserve"> of WHMs visited both New South Wales and Queensland. However, only 14.9% visited both New South Wales and Tasmania. The likelihood of visiting Tasmania was highest for those who also visited Victoria</w:t>
      </w:r>
      <w:r w:rsidR="00112B48">
        <w:t xml:space="preserve"> (</w:t>
      </w:r>
      <w:r w:rsidR="00544E1E">
        <w:t xml:space="preserve">although at 15.3% a visit to Victoria was not a huge boost to </w:t>
      </w:r>
      <w:r w:rsidR="00F26497">
        <w:t xml:space="preserve">Tasmanian </w:t>
      </w:r>
      <w:r w:rsidR="00544E1E">
        <w:t>visitation</w:t>
      </w:r>
      <w:r w:rsidR="00112B48">
        <w:t>)</w:t>
      </w:r>
      <w:r w:rsidR="00544E1E">
        <w:t>. A visit to Western Australia occurred for one in five WHMs who visited New South Wales (20.9%), Victoria (20.0%) and Queensland (19.1%).</w:t>
      </w:r>
      <w:r w:rsidR="009F7488">
        <w:t xml:space="preserve"> WHM visits to South Australia followed a similar </w:t>
      </w:r>
      <w:r w:rsidR="00A8570A">
        <w:t>proportion</w:t>
      </w:r>
      <w:r w:rsidR="009F7488">
        <w:t xml:space="preserve"> </w:t>
      </w:r>
      <w:r w:rsidR="008C0312">
        <w:t>also staying in</w:t>
      </w:r>
      <w:r w:rsidR="009F7488">
        <w:t xml:space="preserve"> </w:t>
      </w:r>
      <w:r w:rsidR="00DC3DE6">
        <w:t>New South Wales</w:t>
      </w:r>
      <w:r w:rsidR="00A8570A">
        <w:t xml:space="preserve"> (21</w:t>
      </w:r>
      <w:r w:rsidR="009F7488">
        <w:t>.2</w:t>
      </w:r>
      <w:r w:rsidR="00A8570A">
        <w:t>%)</w:t>
      </w:r>
      <w:r w:rsidR="00DC3DE6">
        <w:t>, Victoria</w:t>
      </w:r>
      <w:r w:rsidR="00A8570A">
        <w:t xml:space="preserve"> (</w:t>
      </w:r>
      <w:r w:rsidR="009F7488">
        <w:t>21.6</w:t>
      </w:r>
      <w:r w:rsidR="00A8570A">
        <w:t>%)</w:t>
      </w:r>
      <w:r w:rsidR="009F7488">
        <w:t xml:space="preserve"> and </w:t>
      </w:r>
      <w:r w:rsidR="00DC3DE6">
        <w:t>Queensland</w:t>
      </w:r>
      <w:r w:rsidR="00A8570A">
        <w:t xml:space="preserve"> (</w:t>
      </w:r>
      <w:r w:rsidR="009F7488">
        <w:t>19.2</w:t>
      </w:r>
      <w:r w:rsidR="00A8570A">
        <w:t>%)</w:t>
      </w:r>
      <w:r w:rsidR="00110381">
        <w:t>.</w:t>
      </w:r>
    </w:p>
    <w:p w14:paraId="0D60033C" w14:textId="6328B7F1" w:rsidR="00D90F80" w:rsidRDefault="00D90F80" w:rsidP="00D90F80">
      <w:pPr>
        <w:pStyle w:val="Caption"/>
      </w:pPr>
      <w:bookmarkStart w:id="148" w:name="_Ref65833172"/>
      <w:bookmarkStart w:id="149" w:name="_Toc7587854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148"/>
      <w:r>
        <w:t>: Proportion of WHM visiting states and territories</w:t>
      </w:r>
      <w:bookmarkEnd w:id="149"/>
    </w:p>
    <w:p w14:paraId="6CF9FD58" w14:textId="05D6A961" w:rsidR="00742DAD" w:rsidRPr="007C78AE" w:rsidRDefault="00445704" w:rsidP="007C78AE">
      <w:r>
        <w:rPr>
          <w:noProof/>
          <w:lang w:eastAsia="en-AU"/>
        </w:rPr>
        <mc:AlternateContent>
          <mc:Choice Requires="cx1">
            <w:drawing>
              <wp:inline distT="0" distB="0" distL="0" distR="0" wp14:anchorId="172C9A26" wp14:editId="28B77777">
                <wp:extent cx="6115050" cy="4953000"/>
                <wp:effectExtent l="0" t="0" r="0" b="0"/>
                <wp:docPr id="64" name="Chart 64" descr="A tree graph showing mobility between Australian states and territories.">
                  <a:extLst xmlns:a="http://schemas.openxmlformats.org/drawingml/2006/main">
                    <a:ext uri="{FF2B5EF4-FFF2-40B4-BE49-F238E27FC236}">
                      <a16:creationId xmlns:a16="http://schemas.microsoft.com/office/drawing/2014/main" id="{1E928C55-FAC0-4DD1-95FE-4C6A4547491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xmlns:w16sdtdh="http://schemas.microsoft.com/office/word/2020/wordml/sdtdatahash">
            <w:drawing>
              <wp:inline distT="0" distB="0" distL="0" distR="0" wp14:anchorId="172C9A26" wp14:editId="28B77777">
                <wp:extent cx="6115050" cy="4953000"/>
                <wp:effectExtent l="0" t="0" r="0" b="0"/>
                <wp:docPr id="64" name="Chart 64" descr="A tree graph showing mobility between Australian states and territori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928C55-FAC0-4DD1-95FE-4C6A4547491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4" name="Chart 64" descr="A tree graph showing mobility between Australian states and territorie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928C55-FAC0-4DD1-95FE-4C6A4547491B}"/>
                            </a:ext>
                          </a:extLst>
                        </pic:cNvPr>
                        <pic:cNvPicPr>
                          <a:picLocks noGrp="1" noRot="1" noChangeAspect="1" noMove="1" noResize="1" noEditPoints="1" noAdjustHandles="1" noChangeArrowheads="1" noChangeShapeType="1"/>
                        </pic:cNvPicPr>
                      </pic:nvPicPr>
                      <pic:blipFill>
                        <a:blip r:embed="rId64"/>
                        <a:stretch>
                          <a:fillRect/>
                        </a:stretch>
                      </pic:blipFill>
                      <pic:spPr>
                        <a:xfrm>
                          <a:off x="0" y="0"/>
                          <a:ext cx="6115050" cy="4953000"/>
                        </a:xfrm>
                        <a:prstGeom prst="rect">
                          <a:avLst/>
                        </a:prstGeom>
                      </pic:spPr>
                    </pic:pic>
                  </a:graphicData>
                </a:graphic>
              </wp:inline>
            </w:drawing>
          </mc:Fallback>
        </mc:AlternateContent>
      </w:r>
    </w:p>
    <w:p w14:paraId="560A5D94" w14:textId="3140FCC9" w:rsidR="00C738E4" w:rsidRDefault="00C738E4" w:rsidP="006D6014">
      <w:pPr>
        <w:pStyle w:val="Tablenote"/>
      </w:pPr>
      <w:r>
        <w:t>Note</w:t>
      </w:r>
      <w:r w:rsidR="0024081F">
        <w:t>,</w:t>
      </w:r>
      <w:r>
        <w:t xml:space="preserve"> Percentages in the table were calculated by using the No. of respondents visiting designated states/t</w:t>
      </w:r>
      <w:r w:rsidR="006429C3">
        <w:t>e</w:t>
      </w:r>
      <w:r>
        <w:t>rritories divided by the total number (21,315) of WHM</w:t>
      </w:r>
      <w:r w:rsidR="00FE37A7">
        <w:t>s</w:t>
      </w:r>
      <w:r>
        <w:t xml:space="preserve"> surveyed. </w:t>
      </w:r>
      <w:r w:rsidR="005706E1">
        <w:t>Because multiple responses were allowed, these figures sum to more than 100%</w:t>
      </w:r>
      <w:r>
        <w:t>.</w:t>
      </w:r>
    </w:p>
    <w:p w14:paraId="75CDBC4B" w14:textId="3437DA6C" w:rsidR="009238D8" w:rsidRDefault="00C738E4" w:rsidP="00163863">
      <w:pPr>
        <w:pStyle w:val="Tablenote"/>
      </w:pPr>
      <w:r>
        <w:t xml:space="preserve">Source: </w:t>
      </w:r>
      <w:r w:rsidR="00533FC6">
        <w:t>WHM</w:t>
      </w:r>
      <w:r>
        <w:t xml:space="preserve"> Survey, </w:t>
      </w:r>
      <w:r w:rsidR="006C34A9" w:rsidRPr="009D07D8">
        <w:t>2020.</w:t>
      </w:r>
    </w:p>
    <w:p w14:paraId="30C2DF91" w14:textId="3C1A3553" w:rsidR="00784D5F" w:rsidRPr="00784D5F" w:rsidRDefault="004C18FE" w:rsidP="00784D5F">
      <w:r>
        <w:t xml:space="preserve">WHMs </w:t>
      </w:r>
      <w:r w:rsidR="001F4B2D">
        <w:t xml:space="preserve">were asked to </w:t>
      </w:r>
      <w:r w:rsidR="00032678">
        <w:t>indicate up to three locations</w:t>
      </w:r>
      <w:r w:rsidR="00FE3E32">
        <w:t xml:space="preserve"> they spent </w:t>
      </w:r>
      <w:r w:rsidR="00BA0CFC">
        <w:t>the most</w:t>
      </w:r>
      <w:r w:rsidR="00FE3E32">
        <w:t xml:space="preserve"> time in for each state and territory</w:t>
      </w:r>
      <w:r w:rsidR="00BA0CFC">
        <w:t xml:space="preserve">. They </w:t>
      </w:r>
      <w:r>
        <w:t>reported</w:t>
      </w:r>
      <w:r w:rsidR="007354CF" w:rsidRPr="007354CF">
        <w:t xml:space="preserve"> visit</w:t>
      </w:r>
      <w:r>
        <w:t>ing</w:t>
      </w:r>
      <w:r w:rsidR="007354CF" w:rsidRPr="007354CF">
        <w:t xml:space="preserve"> </w:t>
      </w:r>
      <w:r w:rsidR="003962A3">
        <w:t>1,949</w:t>
      </w:r>
      <w:r w:rsidR="00F87208" w:rsidRPr="007354CF">
        <w:t xml:space="preserve"> </w:t>
      </w:r>
      <w:r w:rsidR="00C62D68">
        <w:t xml:space="preserve">of </w:t>
      </w:r>
      <w:r w:rsidR="00741963">
        <w:t xml:space="preserve">the total </w:t>
      </w:r>
      <w:r w:rsidR="007F33FE">
        <w:t>2,310 (84.4%)</w:t>
      </w:r>
      <w:r>
        <w:t xml:space="preserve"> SA2</w:t>
      </w:r>
      <w:r w:rsidR="004D4036">
        <w:rPr>
          <w:rStyle w:val="FootnoteReference"/>
        </w:rPr>
        <w:footnoteReference w:id="24"/>
      </w:r>
      <w:r w:rsidR="007354CF" w:rsidRPr="007354CF">
        <w:t xml:space="preserve"> locations in Australia</w:t>
      </w:r>
      <w:r w:rsidR="00441678">
        <w:t>;</w:t>
      </w:r>
      <w:r w:rsidR="00025A3F">
        <w:t xml:space="preserve"> this included most</w:t>
      </w:r>
      <w:r w:rsidR="00614AD5">
        <w:t xml:space="preserve"> rural and remote SA2</w:t>
      </w:r>
      <w:r w:rsidR="00525537">
        <w:t>s</w:t>
      </w:r>
      <w:r w:rsidR="00614AD5">
        <w:t>.</w:t>
      </w:r>
      <w:r w:rsidR="005C77AE">
        <w:t xml:space="preserve"> </w:t>
      </w:r>
      <w:r w:rsidR="00804FF9">
        <w:t xml:space="preserve">WHMs identified </w:t>
      </w:r>
      <w:r w:rsidR="00053E5F">
        <w:t>a total of</w:t>
      </w:r>
      <w:r w:rsidR="00804FF9">
        <w:t xml:space="preserve"> </w:t>
      </w:r>
      <w:r w:rsidR="003E32DF">
        <w:t>60,865 location visits</w:t>
      </w:r>
      <w:r w:rsidR="00D117A4">
        <w:t xml:space="preserve">, an average of </w:t>
      </w:r>
      <w:r w:rsidR="00AC1132">
        <w:t xml:space="preserve">2.9 </w:t>
      </w:r>
      <w:r w:rsidR="00571570">
        <w:t>(</w:t>
      </w:r>
      <w:r w:rsidR="00063A5B">
        <w:t>SA2</w:t>
      </w:r>
      <w:r w:rsidR="00571570">
        <w:t>)</w:t>
      </w:r>
      <w:r w:rsidR="00063A5B">
        <w:t xml:space="preserve"> </w:t>
      </w:r>
      <w:r w:rsidR="00D819D8">
        <w:t>locations per person</w:t>
      </w:r>
      <w:r w:rsidR="00571570">
        <w:t>.</w:t>
      </w:r>
    </w:p>
    <w:p w14:paraId="218DCD35" w14:textId="182ECAE5" w:rsidR="00227D62" w:rsidRDefault="00FC2C37" w:rsidP="00E16B19">
      <w:r>
        <w:t xml:space="preserve">Areas </w:t>
      </w:r>
      <w:r w:rsidR="00DF5CB8">
        <w:t>(SA3)</w:t>
      </w:r>
      <w:r>
        <w:t xml:space="preserve"> with more than 50 WHM visits are presented in </w:t>
      </w:r>
      <w:r w:rsidR="00B65FE0">
        <w:fldChar w:fldCharType="begin"/>
      </w:r>
      <w:r w:rsidR="00B65FE0">
        <w:instrText xml:space="preserve"> REF _Ref68613876 \h </w:instrText>
      </w:r>
      <w:r w:rsidR="00B65FE0">
        <w:fldChar w:fldCharType="separate"/>
      </w:r>
      <w:r w:rsidR="00F22012" w:rsidRPr="007354CF">
        <w:t xml:space="preserve">Figure </w:t>
      </w:r>
      <w:r w:rsidR="00F22012">
        <w:rPr>
          <w:noProof/>
        </w:rPr>
        <w:t>6</w:t>
      </w:r>
      <w:r w:rsidR="00F22012">
        <w:noBreakHyphen/>
      </w:r>
      <w:r w:rsidR="00F22012">
        <w:rPr>
          <w:noProof/>
        </w:rPr>
        <w:t>2</w:t>
      </w:r>
      <w:r w:rsidR="00B65FE0">
        <w:fldChar w:fldCharType="end"/>
      </w:r>
      <w:r>
        <w:t xml:space="preserve">. </w:t>
      </w:r>
      <w:r w:rsidR="00B74FAF">
        <w:t>Most frequently</w:t>
      </w:r>
      <w:r w:rsidR="00F732D3">
        <w:t>,</w:t>
      </w:r>
      <w:r w:rsidR="00B74FAF">
        <w:t xml:space="preserve"> WHMs identified SA2s within </w:t>
      </w:r>
      <w:r w:rsidR="00E41998">
        <w:t xml:space="preserve">greater </w:t>
      </w:r>
      <w:r w:rsidR="00B74FAF">
        <w:t>c</w:t>
      </w:r>
      <w:r w:rsidR="00CF0477" w:rsidRPr="00CF0477">
        <w:t>apital cities</w:t>
      </w:r>
      <w:r w:rsidR="00166471">
        <w:t xml:space="preserve"> for a visit.</w:t>
      </w:r>
      <w:r w:rsidR="00C063C1">
        <w:t xml:space="preserve"> </w:t>
      </w:r>
      <w:r w:rsidR="004C18FE">
        <w:t>G</w:t>
      </w:r>
      <w:r w:rsidR="00201CD3">
        <w:t xml:space="preserve">reater Sydney area </w:t>
      </w:r>
      <w:r w:rsidR="00166471">
        <w:t xml:space="preserve">was </w:t>
      </w:r>
      <w:r w:rsidR="00201CD3">
        <w:t>visited 10,</w:t>
      </w:r>
      <w:r w:rsidR="00C063C1">
        <w:t>623</w:t>
      </w:r>
      <w:r w:rsidR="00201CD3">
        <w:t xml:space="preserve"> times</w:t>
      </w:r>
      <w:r w:rsidR="00166471">
        <w:t>,</w:t>
      </w:r>
      <w:r w:rsidR="00C063C1">
        <w:t xml:space="preserve"> </w:t>
      </w:r>
      <w:r w:rsidR="00201CD3">
        <w:t xml:space="preserve">Greater Melbourne </w:t>
      </w:r>
      <w:r w:rsidR="00C063C1">
        <w:t xml:space="preserve">was the second most popular </w:t>
      </w:r>
      <w:r w:rsidR="00FA6AB9">
        <w:t>area</w:t>
      </w:r>
      <w:r w:rsidR="00C063C1">
        <w:t xml:space="preserve"> with 8,968</w:t>
      </w:r>
      <w:r w:rsidR="00201CD3">
        <w:t xml:space="preserve"> visits</w:t>
      </w:r>
      <w:r w:rsidR="00C063C1">
        <w:t xml:space="preserve">, followed by </w:t>
      </w:r>
      <w:r w:rsidR="004C18FE">
        <w:t>G</w:t>
      </w:r>
      <w:r w:rsidR="00C063C1">
        <w:t>reater Brisbane (5,699</w:t>
      </w:r>
      <w:r w:rsidR="00166471">
        <w:t xml:space="preserve"> visits</w:t>
      </w:r>
      <w:r w:rsidR="00C063C1">
        <w:t>)</w:t>
      </w:r>
      <w:r w:rsidR="00201CD3">
        <w:t>.</w:t>
      </w:r>
      <w:r>
        <w:t xml:space="preserve"> </w:t>
      </w:r>
      <w:r w:rsidR="00201CD3">
        <w:t xml:space="preserve">The most frequently visited regional area was Cairns in </w:t>
      </w:r>
      <w:r w:rsidR="004C18FE">
        <w:t>F</w:t>
      </w:r>
      <w:r w:rsidR="00201CD3">
        <w:t xml:space="preserve">ar </w:t>
      </w:r>
      <w:r w:rsidR="004C18FE">
        <w:t>N</w:t>
      </w:r>
      <w:r w:rsidR="00201CD3">
        <w:t>orth Queensland</w:t>
      </w:r>
      <w:r w:rsidR="00F732D3">
        <w:t>,</w:t>
      </w:r>
      <w:r w:rsidR="00201CD3">
        <w:t xml:space="preserve"> </w:t>
      </w:r>
      <w:r w:rsidR="005B23EE">
        <w:t>with</w:t>
      </w:r>
      <w:r w:rsidR="00201CD3">
        <w:t xml:space="preserve"> 2,0</w:t>
      </w:r>
      <w:r w:rsidR="00C063C1">
        <w:t>95</w:t>
      </w:r>
      <w:r w:rsidR="00201CD3">
        <w:t xml:space="preserve"> </w:t>
      </w:r>
      <w:r w:rsidR="004C18FE">
        <w:t>WHMs</w:t>
      </w:r>
      <w:r w:rsidR="00201CD3">
        <w:t xml:space="preserve"> </w:t>
      </w:r>
      <w:r w:rsidR="00D53321">
        <w:t>reported</w:t>
      </w:r>
      <w:r w:rsidR="003B4389">
        <w:t>ly</w:t>
      </w:r>
      <w:r w:rsidR="00D53321">
        <w:t xml:space="preserve"> </w:t>
      </w:r>
      <w:r w:rsidR="00201CD3">
        <w:t>travell</w:t>
      </w:r>
      <w:r w:rsidR="00D53321">
        <w:t>ing</w:t>
      </w:r>
      <w:r w:rsidR="00201CD3">
        <w:t xml:space="preserve"> to this town. Also popular with </w:t>
      </w:r>
      <w:r w:rsidR="00D53321">
        <w:t>WHMs</w:t>
      </w:r>
      <w:r w:rsidR="00201CD3">
        <w:t xml:space="preserve"> was </w:t>
      </w:r>
      <w:r w:rsidR="00C063C1">
        <w:t xml:space="preserve">Byron Bay </w:t>
      </w:r>
      <w:r w:rsidR="004C18FE">
        <w:t>on the</w:t>
      </w:r>
      <w:r w:rsidR="00201CD3">
        <w:t xml:space="preserve"> New South Wales </w:t>
      </w:r>
      <w:r w:rsidR="004C18FE">
        <w:t xml:space="preserve">coast </w:t>
      </w:r>
      <w:r w:rsidR="00C063C1">
        <w:t>(</w:t>
      </w:r>
      <w:r w:rsidR="00201CD3">
        <w:t>1,</w:t>
      </w:r>
      <w:r w:rsidR="00C063C1">
        <w:t>089</w:t>
      </w:r>
      <w:r w:rsidR="00201CD3">
        <w:t xml:space="preserve"> visits), </w:t>
      </w:r>
      <w:r w:rsidR="00D53321">
        <w:t>and</w:t>
      </w:r>
      <w:r w:rsidR="004C18FE">
        <w:t xml:space="preserve"> </w:t>
      </w:r>
      <w:r w:rsidR="005702FF">
        <w:t xml:space="preserve">the Queensland areas of </w:t>
      </w:r>
      <w:r w:rsidR="00201CD3">
        <w:t>Surfers Paradise (1,0</w:t>
      </w:r>
      <w:r w:rsidR="00C063C1">
        <w:t>63</w:t>
      </w:r>
      <w:r w:rsidR="00201CD3">
        <w:t>) and the Whitsundays</w:t>
      </w:r>
      <w:r w:rsidR="00C063C1">
        <w:t xml:space="preserve"> </w:t>
      </w:r>
      <w:r w:rsidR="00201CD3">
        <w:t>(9</w:t>
      </w:r>
      <w:r w:rsidR="00C063C1">
        <w:t>79</w:t>
      </w:r>
      <w:r w:rsidR="00201CD3">
        <w:t>).</w:t>
      </w:r>
    </w:p>
    <w:p w14:paraId="3512FD64" w14:textId="1D91073B" w:rsidR="00533262" w:rsidRPr="00CF0477" w:rsidRDefault="00533262" w:rsidP="00E16B19">
      <w:r>
        <w:t xml:space="preserve">The trend amongst </w:t>
      </w:r>
      <w:r w:rsidR="00F24173">
        <w:t>WHMs</w:t>
      </w:r>
      <w:r>
        <w:t xml:space="preserve"> was to select urban areas, specifically capital cities, as their </w:t>
      </w:r>
      <w:r w:rsidR="00F24173">
        <w:t>main visitation</w:t>
      </w:r>
      <w:r>
        <w:t xml:space="preserve"> location</w:t>
      </w:r>
      <w:r w:rsidR="001D394C">
        <w:t xml:space="preserve"> in the state or territory</w:t>
      </w:r>
      <w:r>
        <w:t>. Greater Sydney, Melbourne, Brisbane and Perth top</w:t>
      </w:r>
      <w:r w:rsidR="00931951">
        <w:t>ped</w:t>
      </w:r>
      <w:r>
        <w:t xml:space="preserve"> the list of </w:t>
      </w:r>
      <w:r w:rsidR="00F24173">
        <w:t>primary locations</w:t>
      </w:r>
      <w:r>
        <w:t xml:space="preserve">. </w:t>
      </w:r>
      <w:r w:rsidR="001D394C">
        <w:t xml:space="preserve">Other long-stay locations included </w:t>
      </w:r>
      <w:r>
        <w:t xml:space="preserve">Cairns, followed by the other capital cities (Adelaide, Canberra, Darwin and Hobart). </w:t>
      </w:r>
      <w:r w:rsidR="001D394C">
        <w:t xml:space="preserve">Locations identified for the second and third longest stay in the state or territory </w:t>
      </w:r>
      <w:r>
        <w:t>follow</w:t>
      </w:r>
      <w:r w:rsidR="001D394C">
        <w:t>ed</w:t>
      </w:r>
      <w:r>
        <w:t xml:space="preserve"> a similar pattern with </w:t>
      </w:r>
      <w:r w:rsidR="00FC2C37">
        <w:t>G</w:t>
      </w:r>
      <w:r>
        <w:t>reater Sydney</w:t>
      </w:r>
      <w:r w:rsidR="001D394C">
        <w:t>,</w:t>
      </w:r>
      <w:r>
        <w:t xml:space="preserve"> Cairns, Brisbane, and Melbourne</w:t>
      </w:r>
      <w:r w:rsidR="001D394C">
        <w:t xml:space="preserve"> along with the</w:t>
      </w:r>
      <w:r>
        <w:t xml:space="preserve"> regional areas of Byron Bay, the Whitsundays and Surfers Paradise</w:t>
      </w:r>
      <w:r w:rsidR="00F732D3">
        <w:t>,</w:t>
      </w:r>
      <w:r>
        <w:t xml:space="preserve"> </w:t>
      </w:r>
      <w:r w:rsidR="001D394C">
        <w:t>also referenced for long stays by WHMs</w:t>
      </w:r>
      <w:r>
        <w:t xml:space="preserve">. </w:t>
      </w:r>
    </w:p>
    <w:p w14:paraId="4206EFBF" w14:textId="1A1F0C2F" w:rsidR="00E16B19" w:rsidRPr="007354CF" w:rsidRDefault="00E16B19" w:rsidP="00E16B19">
      <w:pPr>
        <w:pStyle w:val="Caption"/>
      </w:pPr>
      <w:bookmarkStart w:id="150" w:name="_Ref65831749"/>
      <w:bookmarkStart w:id="151" w:name="_Ref68613876"/>
      <w:bookmarkStart w:id="152" w:name="_Ref66361538"/>
      <w:bookmarkStart w:id="153" w:name="_Toc75878547"/>
      <w:r w:rsidRPr="007354CF">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150"/>
      <w:bookmarkEnd w:id="151"/>
      <w:r w:rsidRPr="007354CF">
        <w:t xml:space="preserve">: Major localities </w:t>
      </w:r>
      <w:r w:rsidR="00DF5CB8">
        <w:t>(SA3)</w:t>
      </w:r>
      <w:r w:rsidRPr="007354CF">
        <w:t xml:space="preserve"> </w:t>
      </w:r>
      <w:r w:rsidR="00B74FAF">
        <w:t>visited by</w:t>
      </w:r>
      <w:r w:rsidRPr="007354CF">
        <w:t xml:space="preserve"> WHMs</w:t>
      </w:r>
      <w:bookmarkEnd w:id="152"/>
      <w:bookmarkEnd w:id="153"/>
    </w:p>
    <w:p w14:paraId="4ACD32A4" w14:textId="3B1858C8" w:rsidR="00CF0477" w:rsidRPr="00CF0477" w:rsidRDefault="6DDDD738" w:rsidP="00CF0477">
      <w:r>
        <w:rPr>
          <w:noProof/>
          <w:lang w:eastAsia="en-AU"/>
        </w:rPr>
        <w:drawing>
          <wp:inline distT="0" distB="0" distL="0" distR="0" wp14:anchorId="4C47629B" wp14:editId="329EF9F0">
            <wp:extent cx="3600000" cy="3443903"/>
            <wp:effectExtent l="0" t="0" r="635" b="4445"/>
            <wp:docPr id="112" name="Picture 112" descr="A map of Australia of the number of WHM who visited areas in Australia. It shows how WHM visit all corners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65">
                      <a:extLst>
                        <a:ext uri="{28A0092B-C50C-407E-A947-70E740481C1C}">
                          <a14:useLocalDpi xmlns:a14="http://schemas.microsoft.com/office/drawing/2010/main" val="0"/>
                        </a:ext>
                      </a:extLst>
                    </a:blip>
                    <a:stretch>
                      <a:fillRect/>
                    </a:stretch>
                  </pic:blipFill>
                  <pic:spPr>
                    <a:xfrm>
                      <a:off x="0" y="0"/>
                      <a:ext cx="3600000" cy="3443903"/>
                    </a:xfrm>
                    <a:prstGeom prst="rect">
                      <a:avLst/>
                    </a:prstGeom>
                  </pic:spPr>
                </pic:pic>
              </a:graphicData>
            </a:graphic>
          </wp:inline>
        </w:drawing>
      </w:r>
    </w:p>
    <w:p w14:paraId="1F285B37" w14:textId="7152A3FD" w:rsidR="00E16B19" w:rsidRPr="006C05B4" w:rsidRDefault="00FC608F" w:rsidP="00AC3109">
      <w:pPr>
        <w:pStyle w:val="Tablenote"/>
      </w:pPr>
      <w:r w:rsidRPr="006C05B4">
        <w:t xml:space="preserve">Note, </w:t>
      </w:r>
      <w:r w:rsidR="00147546">
        <w:t xml:space="preserve">dots indicate </w:t>
      </w:r>
      <w:r w:rsidR="006C05B4" w:rsidRPr="006C05B4">
        <w:t>SA3 centroids</w:t>
      </w:r>
      <w:r w:rsidR="00B65ACF">
        <w:t xml:space="preserve"> in regional areas and greater capital cities</w:t>
      </w:r>
      <w:r w:rsidR="00AC3109">
        <w:t>.</w:t>
      </w:r>
    </w:p>
    <w:p w14:paraId="30D509B2" w14:textId="17515938" w:rsidR="0075620D" w:rsidRDefault="0075620D" w:rsidP="0075620D">
      <w:pPr>
        <w:pStyle w:val="Tablenote"/>
      </w:pPr>
      <w:r w:rsidRPr="009D07D8">
        <w:t xml:space="preserve">Source: </w:t>
      </w:r>
      <w:r w:rsidR="00533FC6">
        <w:t>WHM</w:t>
      </w:r>
      <w:r w:rsidRPr="009D07D8">
        <w:t xml:space="preserve"> Survey, 2020.</w:t>
      </w:r>
    </w:p>
    <w:p w14:paraId="679319A0" w14:textId="71663DCD" w:rsidR="005C0786" w:rsidRDefault="008E71B8" w:rsidP="002E77A1">
      <w:pPr>
        <w:pStyle w:val="Heading2"/>
      </w:pPr>
      <w:bookmarkStart w:id="154" w:name="_Ref68770601"/>
      <w:bookmarkStart w:id="155" w:name="_Toc75878469"/>
      <w:r>
        <w:t>Reasons for visiting destination</w:t>
      </w:r>
      <w:r w:rsidR="00132C79">
        <w:t>s</w:t>
      </w:r>
      <w:bookmarkEnd w:id="154"/>
      <w:bookmarkEnd w:id="155"/>
    </w:p>
    <w:p w14:paraId="311A2B1A" w14:textId="38502A52" w:rsidR="00020E49" w:rsidRDefault="00020E49" w:rsidP="00C74B2F">
      <w:r>
        <w:t>WHMs were asked to</w:t>
      </w:r>
      <w:r w:rsidRPr="00EF444B">
        <w:t xml:space="preserve"> specify their reason</w:t>
      </w:r>
      <w:r w:rsidR="005F4E48">
        <w:t>s</w:t>
      </w:r>
      <w:r w:rsidRPr="00EF444B">
        <w:t xml:space="preserve"> for visiting </w:t>
      </w:r>
      <w:r>
        <w:t xml:space="preserve">each </w:t>
      </w:r>
      <w:r w:rsidRPr="00EF444B">
        <w:t xml:space="preserve">location. </w:t>
      </w:r>
      <w:r>
        <w:t xml:space="preserve">Options included for work, tourism, study, to visit family and friends, and other reasons. </w:t>
      </w:r>
      <w:r w:rsidR="00D6355E">
        <w:fldChar w:fldCharType="begin"/>
      </w:r>
      <w:r w:rsidR="00D6355E">
        <w:instrText xml:space="preserve"> REF _Ref66804650 \h </w:instrText>
      </w:r>
      <w:r w:rsidR="00D6355E">
        <w:fldChar w:fldCharType="separate"/>
      </w:r>
      <w:r w:rsidR="00F22012">
        <w:t xml:space="preserve">Figure </w:t>
      </w:r>
      <w:r w:rsidR="00F22012">
        <w:rPr>
          <w:noProof/>
        </w:rPr>
        <w:t>6</w:t>
      </w:r>
      <w:r w:rsidR="00F22012">
        <w:noBreakHyphen/>
      </w:r>
      <w:r w:rsidR="00F22012">
        <w:rPr>
          <w:noProof/>
        </w:rPr>
        <w:t>3</w:t>
      </w:r>
      <w:r w:rsidR="00D6355E">
        <w:fldChar w:fldCharType="end"/>
      </w:r>
      <w:r w:rsidR="00D6355E">
        <w:t xml:space="preserve"> presents this data by the predominant reason for </w:t>
      </w:r>
      <w:r w:rsidR="005F4E48">
        <w:t xml:space="preserve">the </w:t>
      </w:r>
      <w:r w:rsidR="00D6355E">
        <w:t>visit</w:t>
      </w:r>
      <w:r w:rsidR="009C62AD">
        <w:t>.</w:t>
      </w:r>
      <w:r w:rsidR="0000285D">
        <w:rPr>
          <w:rStyle w:val="FootnoteReference"/>
        </w:rPr>
        <w:footnoteReference w:id="25"/>
      </w:r>
      <w:r w:rsidR="0025205F">
        <w:t xml:space="preserve"> </w:t>
      </w:r>
      <w:r>
        <w:t xml:space="preserve">Areas were classified and mapped according to the </w:t>
      </w:r>
      <w:r w:rsidRPr="00FA6AB9">
        <w:rPr>
          <w:i/>
          <w:iCs/>
        </w:rPr>
        <w:t>main</w:t>
      </w:r>
      <w:r>
        <w:t xml:space="preserve"> reason these areas were visited. </w:t>
      </w:r>
    </w:p>
    <w:p w14:paraId="1B5A800B" w14:textId="5611584B" w:rsidR="00BD3A5C" w:rsidRPr="00050AD3" w:rsidRDefault="00BD3A5C" w:rsidP="00BD3A5C">
      <w:r w:rsidRPr="00050AD3">
        <w:t xml:space="preserve">‘Work’ was the most common reason </w:t>
      </w:r>
      <w:r w:rsidR="00333F17">
        <w:t>WHMs</w:t>
      </w:r>
      <w:r w:rsidRPr="00050AD3">
        <w:t xml:space="preserve"> visited 587 SA2</w:t>
      </w:r>
      <w:r w:rsidR="00FC3B95">
        <w:t>s</w:t>
      </w:r>
      <w:r>
        <w:t xml:space="preserve"> across Australia, and it was the </w:t>
      </w:r>
      <w:r w:rsidRPr="00050AD3">
        <w:rPr>
          <w:i/>
          <w:iCs/>
        </w:rPr>
        <w:t>only</w:t>
      </w:r>
      <w:r>
        <w:t xml:space="preserve"> reason 198 SA2s were visited. Those travelling for ‘tourism’-related purposes accounted for visits to 190 SA2s, 84 of which were visited </w:t>
      </w:r>
      <w:r w:rsidR="00604EDB">
        <w:t>entirely</w:t>
      </w:r>
      <w:r>
        <w:t xml:space="preserve"> for tourism activities. </w:t>
      </w:r>
    </w:p>
    <w:p w14:paraId="2BC8D42C" w14:textId="75EC0349" w:rsidR="005C0786" w:rsidRPr="000C6824" w:rsidRDefault="005C0786" w:rsidP="00F05638">
      <w:pPr>
        <w:pStyle w:val="Caption"/>
      </w:pPr>
      <w:bookmarkStart w:id="156" w:name="_Ref66804650"/>
      <w:bookmarkStart w:id="157" w:name="_Ref66360872"/>
      <w:bookmarkStart w:id="158" w:name="_Toc75878548"/>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156"/>
      <w:r>
        <w:t xml:space="preserve">: Main reason </w:t>
      </w:r>
      <w:r w:rsidRPr="000C6824">
        <w:t>for visit to location</w:t>
      </w:r>
      <w:bookmarkEnd w:id="157"/>
      <w:r w:rsidR="00647EA5">
        <w:t xml:space="preserve"> (SA2)</w:t>
      </w:r>
      <w:bookmarkEnd w:id="158"/>
    </w:p>
    <w:p w14:paraId="05F6C93F" w14:textId="011512A0" w:rsidR="005C0786" w:rsidRDefault="1E4BBA7F" w:rsidP="00D6355E">
      <w:pPr>
        <w:keepNext/>
        <w:keepLines/>
      </w:pPr>
      <w:r>
        <w:rPr>
          <w:noProof/>
          <w:lang w:eastAsia="en-AU"/>
        </w:rPr>
        <w:drawing>
          <wp:inline distT="0" distB="0" distL="0" distR="0" wp14:anchorId="074CD323" wp14:editId="15FE802B">
            <wp:extent cx="2844000" cy="4227568"/>
            <wp:effectExtent l="0" t="0" r="0" b="1905"/>
            <wp:docPr id="126" name="Picture 126" descr="A map of Australia of why WHM visited different areas in Australia, and zoomed in maps of each capital city area. It shows that the main reason for visiting most areas was for work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6">
                      <a:extLst>
                        <a:ext uri="{28A0092B-C50C-407E-A947-70E740481C1C}">
                          <a14:useLocalDpi xmlns:a14="http://schemas.microsoft.com/office/drawing/2010/main" val="0"/>
                        </a:ext>
                      </a:extLst>
                    </a:blip>
                    <a:stretch>
                      <a:fillRect/>
                    </a:stretch>
                  </pic:blipFill>
                  <pic:spPr>
                    <a:xfrm>
                      <a:off x="0" y="0"/>
                      <a:ext cx="2844000" cy="4227568"/>
                    </a:xfrm>
                    <a:prstGeom prst="rect">
                      <a:avLst/>
                    </a:prstGeom>
                  </pic:spPr>
                </pic:pic>
              </a:graphicData>
            </a:graphic>
          </wp:inline>
        </w:drawing>
      </w:r>
      <w:r w:rsidR="6169235C">
        <w:rPr>
          <w:noProof/>
          <w:lang w:eastAsia="en-AU"/>
        </w:rPr>
        <w:drawing>
          <wp:inline distT="0" distB="0" distL="0" distR="0" wp14:anchorId="4B726A19" wp14:editId="3D0DB363">
            <wp:extent cx="2844000" cy="4208352"/>
            <wp:effectExtent l="0" t="0" r="0" b="1905"/>
            <wp:docPr id="1089" name="Picture 1089" descr="A map of capital city areas of why WHM visited. It shows that the main reason for visiting most areas was for work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1089" descr="A map of capital city areas of why WHM visited. It shows that the main reason for visiting most areas was for work and tourism."/>
                    <pic:cNvPicPr/>
                  </pic:nvPicPr>
                  <pic:blipFill>
                    <a:blip r:embed="rId67">
                      <a:extLst>
                        <a:ext uri="{28A0092B-C50C-407E-A947-70E740481C1C}">
                          <a14:useLocalDpi xmlns:a14="http://schemas.microsoft.com/office/drawing/2010/main" val="0"/>
                        </a:ext>
                      </a:extLst>
                    </a:blip>
                    <a:stretch>
                      <a:fillRect/>
                    </a:stretch>
                  </pic:blipFill>
                  <pic:spPr>
                    <a:xfrm>
                      <a:off x="0" y="0"/>
                      <a:ext cx="2844000" cy="4208352"/>
                    </a:xfrm>
                    <a:prstGeom prst="rect">
                      <a:avLst/>
                    </a:prstGeom>
                  </pic:spPr>
                </pic:pic>
              </a:graphicData>
            </a:graphic>
          </wp:inline>
        </w:drawing>
      </w:r>
    </w:p>
    <w:p w14:paraId="3F182F4C" w14:textId="07CBDF02" w:rsidR="00910782" w:rsidRDefault="008D6639" w:rsidP="0075620D">
      <w:pPr>
        <w:pStyle w:val="Tablenote"/>
      </w:pPr>
      <w:r>
        <w:t>Note,</w:t>
      </w:r>
      <w:r w:rsidR="009671FD">
        <w:t xml:space="preserve"> </w:t>
      </w:r>
      <w:r w:rsidR="00DB1C4E">
        <w:t>‘</w:t>
      </w:r>
      <w:r w:rsidR="009671FD">
        <w:t>Other</w:t>
      </w:r>
      <w:r w:rsidR="00DB1C4E">
        <w:t>’</w:t>
      </w:r>
      <w:r w:rsidR="009671FD">
        <w:t xml:space="preserve"> represents visits for study, to see family and friends, and other reasons.</w:t>
      </w:r>
      <w:r w:rsidR="00364147">
        <w:t xml:space="preserve"> </w:t>
      </w:r>
      <w:r w:rsidR="005414EF">
        <w:t>Areas in white show w</w:t>
      </w:r>
      <w:r w:rsidR="00364147">
        <w:t>here there was no predomina</w:t>
      </w:r>
      <w:r w:rsidR="005414EF">
        <w:t>nt</w:t>
      </w:r>
      <w:r w:rsidR="00364147">
        <w:t xml:space="preserve"> reason </w:t>
      </w:r>
      <w:r w:rsidR="003F7D25">
        <w:t>identified for</w:t>
      </w:r>
      <w:r w:rsidR="00364147">
        <w:t xml:space="preserve"> visit</w:t>
      </w:r>
      <w:r w:rsidR="003F7D25">
        <w:t>ing an area</w:t>
      </w:r>
      <w:r w:rsidR="00364147">
        <w:t xml:space="preserve">. </w:t>
      </w:r>
    </w:p>
    <w:p w14:paraId="5E9729AD" w14:textId="740354A7" w:rsidR="0075620D" w:rsidRDefault="0075620D" w:rsidP="0075620D">
      <w:pPr>
        <w:pStyle w:val="Tablenote"/>
      </w:pPr>
      <w:r w:rsidRPr="009D07D8">
        <w:t xml:space="preserve">Source: </w:t>
      </w:r>
      <w:r w:rsidR="00533FC6">
        <w:t>WHM</w:t>
      </w:r>
      <w:r w:rsidRPr="009D07D8">
        <w:t xml:space="preserve"> Survey, 2020.</w:t>
      </w:r>
    </w:p>
    <w:p w14:paraId="012BA325" w14:textId="6EF92104" w:rsidR="00910782" w:rsidRPr="00910782" w:rsidRDefault="008E064D" w:rsidP="00910782">
      <w:r>
        <w:t>Around one third of all visits to Greater Sydney (37.0%), Greater Melbourne (33.7%) and Greater Brisbane (32.7%) were for work reasons. Work was cited as the main reason for around one quarter of WHM visits to Greater Perth (28.9%) and Greater Darwin (22.8%), while less than one fifth of visits to Greater Adelaide (17.3%) and Greater Hobart (10.5%) were for work purposes.</w:t>
      </w:r>
      <w:r w:rsidR="004101CC">
        <w:t xml:space="preserve"> </w:t>
      </w:r>
      <w:r w:rsidR="00FE569E">
        <w:t xml:space="preserve">The most highly visited SA2s in Australia were </w:t>
      </w:r>
      <w:r w:rsidR="00FA4798">
        <w:t xml:space="preserve">Sydney-Haymarket-The Rocks and Melbourne </w:t>
      </w:r>
      <w:r w:rsidR="00FE569E">
        <w:t xml:space="preserve">with </w:t>
      </w:r>
      <w:r w:rsidR="004F6905">
        <w:t xml:space="preserve">these </w:t>
      </w:r>
      <w:r w:rsidR="004E6D75">
        <w:t>also</w:t>
      </w:r>
      <w:r w:rsidR="004F6905">
        <w:t xml:space="preserve"> the most</w:t>
      </w:r>
      <w:r w:rsidR="00241B2A">
        <w:t xml:space="preserve"> visited locations for work</w:t>
      </w:r>
      <w:r w:rsidR="00FE569E">
        <w:t xml:space="preserve"> </w:t>
      </w:r>
      <w:r w:rsidR="00710897">
        <w:t>(</w:t>
      </w:r>
      <w:r w:rsidR="002E7EBF">
        <w:t xml:space="preserve">both with approximately </w:t>
      </w:r>
      <w:r w:rsidR="00B75FE7">
        <w:t>20% of</w:t>
      </w:r>
      <w:r w:rsidR="006B3821">
        <w:t xml:space="preserve"> visits for this purpose</w:t>
      </w:r>
      <w:r w:rsidR="000D15AC">
        <w:t xml:space="preserve">, see </w:t>
      </w:r>
      <w:r w:rsidR="000D15AC">
        <w:fldChar w:fldCharType="begin"/>
      </w:r>
      <w:r w:rsidR="000D15AC">
        <w:instrText xml:space="preserve"> REF _Ref72745805 \h </w:instrText>
      </w:r>
      <w:r w:rsidR="000D15AC">
        <w:fldChar w:fldCharType="separate"/>
      </w:r>
      <w:r w:rsidR="00F22012" w:rsidRPr="000C6824">
        <w:t xml:space="preserve">Figure </w:t>
      </w:r>
      <w:r w:rsidR="00F22012">
        <w:rPr>
          <w:noProof/>
        </w:rPr>
        <w:t>6</w:t>
      </w:r>
      <w:r w:rsidR="00F22012">
        <w:noBreakHyphen/>
      </w:r>
      <w:r w:rsidR="00F22012">
        <w:rPr>
          <w:noProof/>
        </w:rPr>
        <w:t>4</w:t>
      </w:r>
      <w:r w:rsidR="000D15AC">
        <w:fldChar w:fldCharType="end"/>
      </w:r>
      <w:r w:rsidR="00710897">
        <w:t>)</w:t>
      </w:r>
      <w:r w:rsidR="000D3813">
        <w:t xml:space="preserve">. </w:t>
      </w:r>
      <w:r w:rsidR="0020556E">
        <w:t>This is in the context of very high visitation to these areas</w:t>
      </w:r>
      <w:r w:rsidR="00086539">
        <w:t xml:space="preserve"> noting</w:t>
      </w:r>
      <w:r w:rsidR="0019636B">
        <w:t xml:space="preserve"> </w:t>
      </w:r>
      <w:r w:rsidR="00AF16E9">
        <w:t>four in five</w:t>
      </w:r>
      <w:r w:rsidR="00B16161">
        <w:t xml:space="preserve"> </w:t>
      </w:r>
      <w:r w:rsidR="00A41FFA">
        <w:t>visits to these areas</w:t>
      </w:r>
      <w:r w:rsidR="00B43A67">
        <w:t xml:space="preserve"> </w:t>
      </w:r>
      <w:r w:rsidR="00506C91">
        <w:t xml:space="preserve">were </w:t>
      </w:r>
      <w:r w:rsidR="002D6EB5">
        <w:t>designated by</w:t>
      </w:r>
      <w:r w:rsidR="00506C91">
        <w:t xml:space="preserve"> </w:t>
      </w:r>
      <w:r w:rsidR="000902B3">
        <w:t>WHMs</w:t>
      </w:r>
      <w:r w:rsidR="00091A84">
        <w:t xml:space="preserve"> </w:t>
      </w:r>
      <w:r w:rsidR="000902B3">
        <w:t>for other purposes</w:t>
      </w:r>
      <w:r w:rsidR="00F65B34">
        <w:t xml:space="preserve"> (</w:t>
      </w:r>
      <w:r w:rsidR="0009631A">
        <w:t>most often</w:t>
      </w:r>
      <w:r w:rsidR="00F65B34">
        <w:t xml:space="preserve"> tourism)</w:t>
      </w:r>
      <w:r w:rsidR="000902B3">
        <w:t>.</w:t>
      </w:r>
      <w:r w:rsidR="00B37BFF">
        <w:t xml:space="preserve"> </w:t>
      </w:r>
      <w:r w:rsidR="00054752">
        <w:t>In contrast, a</w:t>
      </w:r>
      <w:r w:rsidR="00C37717">
        <w:t>lthough low in number, w</w:t>
      </w:r>
      <w:r w:rsidR="00B37BFF">
        <w:t xml:space="preserve">ork was designated as the </w:t>
      </w:r>
      <w:r w:rsidR="000F0142">
        <w:t>only</w:t>
      </w:r>
      <w:r w:rsidR="00BE01BD">
        <w:t xml:space="preserve"> reason for </w:t>
      </w:r>
      <w:r w:rsidR="004A5C90">
        <w:t xml:space="preserve">all </w:t>
      </w:r>
      <w:r w:rsidR="000919C3">
        <w:t xml:space="preserve">(100%) </w:t>
      </w:r>
      <w:r w:rsidR="004A5C90">
        <w:t>visits to</w:t>
      </w:r>
      <w:r w:rsidR="00850A3B">
        <w:t xml:space="preserve"> </w:t>
      </w:r>
      <w:r w:rsidR="00FA4798">
        <w:t>Barmera (SA) and Scone (NSW)</w:t>
      </w:r>
      <w:r w:rsidR="00237146">
        <w:t>.</w:t>
      </w:r>
      <w:r w:rsidR="00F93552">
        <w:t xml:space="preserve"> </w:t>
      </w:r>
      <w:r w:rsidR="00EC6396">
        <w:t xml:space="preserve">Although again </w:t>
      </w:r>
      <w:r w:rsidR="00226EC7">
        <w:t>in small numbers</w:t>
      </w:r>
      <w:r w:rsidR="004559B1">
        <w:t xml:space="preserve">, </w:t>
      </w:r>
      <w:r w:rsidR="005B7AD8">
        <w:t xml:space="preserve">work was the reason for </w:t>
      </w:r>
      <w:r w:rsidR="003C39F8">
        <w:t>over 90% of the visits to Moree-Narrabri and Inverell</w:t>
      </w:r>
      <w:r w:rsidR="00F771F1">
        <w:t>-</w:t>
      </w:r>
      <w:r w:rsidR="003C39F8">
        <w:t>Tenterfield</w:t>
      </w:r>
      <w:r w:rsidR="00526368">
        <w:t xml:space="preserve"> </w:t>
      </w:r>
      <w:r w:rsidR="00226EC7">
        <w:t>in New South Wales</w:t>
      </w:r>
      <w:r w:rsidR="005E2D13">
        <w:t xml:space="preserve"> as well as</w:t>
      </w:r>
      <w:r w:rsidR="009500DA">
        <w:t xml:space="preserve"> </w:t>
      </w:r>
      <w:r w:rsidR="002666F2">
        <w:t>visits</w:t>
      </w:r>
      <w:r w:rsidR="002B7446">
        <w:t xml:space="preserve"> </w:t>
      </w:r>
      <w:r w:rsidR="002666F2">
        <w:t xml:space="preserve">to Nhulunbuy in the </w:t>
      </w:r>
      <w:r w:rsidR="00F65FBA">
        <w:t>Northern</w:t>
      </w:r>
      <w:r w:rsidR="002666F2">
        <w:t xml:space="preserve"> Territory</w:t>
      </w:r>
      <w:r w:rsidR="00F65FBA">
        <w:t xml:space="preserve">, </w:t>
      </w:r>
      <w:r w:rsidR="00292CA7">
        <w:t xml:space="preserve">and </w:t>
      </w:r>
      <w:r w:rsidR="0026473B">
        <w:t xml:space="preserve">Boonah, Longreach and Torres Strait Islands </w:t>
      </w:r>
      <w:r w:rsidR="00292CA7">
        <w:t>in Queensland</w:t>
      </w:r>
      <w:r w:rsidR="000C4637">
        <w:t>.</w:t>
      </w:r>
    </w:p>
    <w:p w14:paraId="608E598C" w14:textId="62E97AAA" w:rsidR="0047025B" w:rsidRPr="00910782" w:rsidRDefault="006163AE" w:rsidP="00910782">
      <w:r>
        <w:t xml:space="preserve">The </w:t>
      </w:r>
      <w:r w:rsidR="00653FCD">
        <w:t>River Murray region</w:t>
      </w:r>
      <w:r>
        <w:t xml:space="preserve"> in South Australia was a popular place for WHMs to seek work, with over 80% of visits to Renmark, Loxton</w:t>
      </w:r>
      <w:r w:rsidR="00653FCD">
        <w:t>, Murray Bridge</w:t>
      </w:r>
      <w:r>
        <w:t xml:space="preserve"> and Waikerie</w:t>
      </w:r>
      <w:r w:rsidR="00653FCD">
        <w:t xml:space="preserve"> </w:t>
      </w:r>
      <w:r w:rsidR="002B465A">
        <w:t xml:space="preserve">designated </w:t>
      </w:r>
      <w:r w:rsidR="00653FCD">
        <w:t>for work purposes.</w:t>
      </w:r>
      <w:r w:rsidR="003034F8">
        <w:t xml:space="preserve"> </w:t>
      </w:r>
      <w:r w:rsidR="00CC272E">
        <w:t>Work was the focus for n</w:t>
      </w:r>
      <w:r w:rsidR="0038721D">
        <w:t xml:space="preserve">ine </w:t>
      </w:r>
      <w:r w:rsidR="003034F8">
        <w:t>in ten</w:t>
      </w:r>
      <w:r w:rsidR="0038721D">
        <w:t xml:space="preserve"> visit</w:t>
      </w:r>
      <w:r w:rsidR="0033704A">
        <w:t>s</w:t>
      </w:r>
      <w:r w:rsidR="0038721D">
        <w:t xml:space="preserve"> to Shepparton Region-East </w:t>
      </w:r>
      <w:r w:rsidR="00D01FA2">
        <w:t xml:space="preserve">in </w:t>
      </w:r>
      <w:r w:rsidR="0038721D">
        <w:t xml:space="preserve">Victoria </w:t>
      </w:r>
      <w:r w:rsidR="000C78C0">
        <w:t>and</w:t>
      </w:r>
      <w:r w:rsidR="00EB1564">
        <w:t xml:space="preserve"> </w:t>
      </w:r>
      <w:r w:rsidR="002E7EBF">
        <w:t xml:space="preserve">the small numbers visiting </w:t>
      </w:r>
      <w:r w:rsidR="00EB1564">
        <w:t xml:space="preserve">Meekatharra in </w:t>
      </w:r>
      <w:r w:rsidR="00E61A28">
        <w:t>Western Australia</w:t>
      </w:r>
      <w:r w:rsidR="00E67C1C">
        <w:t>.</w:t>
      </w:r>
      <w:r w:rsidR="00F7409C">
        <w:t xml:space="preserve"> </w:t>
      </w:r>
      <w:r w:rsidR="0047025B">
        <w:t xml:space="preserve">In Tasmania, </w:t>
      </w:r>
      <w:r w:rsidR="005F1AE5">
        <w:t xml:space="preserve">Smithton was the most </w:t>
      </w:r>
      <w:r w:rsidR="008F5E23">
        <w:t>visited place for work, with three quarters</w:t>
      </w:r>
      <w:r w:rsidR="005F1AE5">
        <w:t xml:space="preserve"> </w:t>
      </w:r>
      <w:r w:rsidR="009E748E">
        <w:t>of the WHMs who visited</w:t>
      </w:r>
      <w:r w:rsidR="008F5E23">
        <w:t xml:space="preserve"> doing so for w</w:t>
      </w:r>
      <w:r w:rsidR="009E748E">
        <w:t>ork</w:t>
      </w:r>
      <w:r w:rsidR="008F5E23">
        <w:t>-related purposes</w:t>
      </w:r>
      <w:r w:rsidR="009C05FF">
        <w:t>.</w:t>
      </w:r>
    </w:p>
    <w:p w14:paraId="53B82A6B" w14:textId="02A77A82" w:rsidR="0033213A" w:rsidRPr="000C6824" w:rsidRDefault="0033213A" w:rsidP="0033213A">
      <w:pPr>
        <w:pStyle w:val="Caption"/>
      </w:pPr>
      <w:bookmarkStart w:id="159" w:name="_Ref72745805"/>
      <w:bookmarkStart w:id="160" w:name="_Ref66360349"/>
      <w:bookmarkStart w:id="161" w:name="_Ref66360501"/>
      <w:bookmarkStart w:id="162" w:name="_Toc75878549"/>
      <w:r w:rsidRPr="000C6824">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159"/>
      <w:r w:rsidRPr="000C6824">
        <w:t xml:space="preserve">: Visited location </w:t>
      </w:r>
      <w:r w:rsidR="00BC3980">
        <w:t>(SA2)</w:t>
      </w:r>
      <w:r w:rsidRPr="000C6824">
        <w:t xml:space="preserve"> for work</w:t>
      </w:r>
      <w:bookmarkEnd w:id="160"/>
      <w:r w:rsidR="0093198D" w:rsidRPr="000C6824">
        <w:t xml:space="preserve"> reasons</w:t>
      </w:r>
      <w:bookmarkEnd w:id="161"/>
      <w:bookmarkEnd w:id="162"/>
    </w:p>
    <w:p w14:paraId="0CF0B14A" w14:textId="1248E9B6" w:rsidR="00E16B19" w:rsidRPr="000C6824" w:rsidRDefault="06795000" w:rsidP="00E16B19">
      <w:r>
        <w:rPr>
          <w:noProof/>
          <w:lang w:eastAsia="en-AU"/>
        </w:rPr>
        <w:drawing>
          <wp:inline distT="0" distB="0" distL="0" distR="0" wp14:anchorId="655FA218" wp14:editId="2A3BB843">
            <wp:extent cx="2844000" cy="4227570"/>
            <wp:effectExtent l="0" t="0" r="0" b="1905"/>
            <wp:docPr id="68" name="Picture 68" descr="A map of Australia and the greater capital city areas of the proportion of WHM who visited a SA2 location for work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68">
                      <a:extLst>
                        <a:ext uri="{28A0092B-C50C-407E-A947-70E740481C1C}">
                          <a14:useLocalDpi xmlns:a14="http://schemas.microsoft.com/office/drawing/2010/main" val="0"/>
                        </a:ext>
                      </a:extLst>
                    </a:blip>
                    <a:stretch>
                      <a:fillRect/>
                    </a:stretch>
                  </pic:blipFill>
                  <pic:spPr>
                    <a:xfrm>
                      <a:off x="0" y="0"/>
                      <a:ext cx="2844000" cy="4227570"/>
                    </a:xfrm>
                    <a:prstGeom prst="rect">
                      <a:avLst/>
                    </a:prstGeom>
                  </pic:spPr>
                </pic:pic>
              </a:graphicData>
            </a:graphic>
          </wp:inline>
        </w:drawing>
      </w:r>
      <w:r w:rsidR="74F64E98">
        <w:rPr>
          <w:noProof/>
          <w:lang w:eastAsia="en-AU"/>
        </w:rPr>
        <w:drawing>
          <wp:inline distT="0" distB="0" distL="0" distR="0" wp14:anchorId="123AA2B8" wp14:editId="43A06886">
            <wp:extent cx="2844000" cy="4208355"/>
            <wp:effectExtent l="0" t="0" r="0" b="1905"/>
            <wp:docPr id="69" name="Picture 69" descr="A map the greater capital city areas of the proportion of WHM who visited a SA2 location for work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the greater capital city areas of the proportion of WHM who visited a SA2 location for work purposes. "/>
                    <pic:cNvPicPr/>
                  </pic:nvPicPr>
                  <pic:blipFill>
                    <a:blip r:embed="rId69">
                      <a:extLst>
                        <a:ext uri="{28A0092B-C50C-407E-A947-70E740481C1C}">
                          <a14:useLocalDpi xmlns:a14="http://schemas.microsoft.com/office/drawing/2010/main" val="0"/>
                        </a:ext>
                      </a:extLst>
                    </a:blip>
                    <a:stretch>
                      <a:fillRect/>
                    </a:stretch>
                  </pic:blipFill>
                  <pic:spPr>
                    <a:xfrm>
                      <a:off x="0" y="0"/>
                      <a:ext cx="2844000" cy="4208355"/>
                    </a:xfrm>
                    <a:prstGeom prst="rect">
                      <a:avLst/>
                    </a:prstGeom>
                  </pic:spPr>
                </pic:pic>
              </a:graphicData>
            </a:graphic>
          </wp:inline>
        </w:drawing>
      </w:r>
    </w:p>
    <w:p w14:paraId="3BFFB019" w14:textId="53561DBC" w:rsidR="00B7064F" w:rsidRDefault="006A5A44" w:rsidP="006A5A44">
      <w:pPr>
        <w:pStyle w:val="Tablenote"/>
      </w:pPr>
      <w:r>
        <w:t>Note, only SA2s with a count of &gt;=10 visits are shown.</w:t>
      </w:r>
    </w:p>
    <w:p w14:paraId="71E4F419" w14:textId="4D0CE898" w:rsidR="00047CCD" w:rsidRDefault="00047CCD" w:rsidP="00047CCD">
      <w:pPr>
        <w:pStyle w:val="Tablenote"/>
      </w:pPr>
      <w:r w:rsidRPr="009D07D8">
        <w:t xml:space="preserve">Source: </w:t>
      </w:r>
      <w:r>
        <w:t>WHM</w:t>
      </w:r>
      <w:r w:rsidRPr="009D07D8">
        <w:t xml:space="preserve"> Survey, 2020.</w:t>
      </w:r>
    </w:p>
    <w:p w14:paraId="417A647A" w14:textId="60F598F6" w:rsidR="0034065C" w:rsidRPr="000C6824" w:rsidRDefault="0034065C" w:rsidP="0034065C">
      <w:r>
        <w:t xml:space="preserve">In total, almost three in five (57.2%) visits to capital cities were for tourism purposes. Greater Hobart was the most popular tourism capital city destination, with almost four fifths (78.1%) of WHM visits for this purpose. Around two thirds of WHM visits to Greater Darwin (65.5%) and Greater Adelaide (63.0%) were for tourism, while tourism was the reason for around half of Greater Perth (50.3%) and Greater Brisbane (51.9%) WHM visits. </w:t>
      </w:r>
    </w:p>
    <w:p w14:paraId="71A2E936" w14:textId="39D95CDF" w:rsidR="00273035" w:rsidRDefault="00262B21" w:rsidP="00E16B19">
      <w:r>
        <w:t>Tourism was the</w:t>
      </w:r>
      <w:r w:rsidR="00D71167">
        <w:t xml:space="preserve"> primary reason for visit</w:t>
      </w:r>
      <w:r w:rsidR="00B51E8D">
        <w:t xml:space="preserve">ing </w:t>
      </w:r>
      <w:r w:rsidR="00F228C6">
        <w:t xml:space="preserve">a high number of </w:t>
      </w:r>
      <w:r w:rsidR="009518A0">
        <w:t xml:space="preserve">SA2 </w:t>
      </w:r>
      <w:r w:rsidR="00344611">
        <w:t>destinations</w:t>
      </w:r>
      <w:r w:rsidR="007F7A29">
        <w:t xml:space="preserve"> peaking </w:t>
      </w:r>
      <w:r w:rsidR="00BC11B4">
        <w:t xml:space="preserve">at </w:t>
      </w:r>
      <w:r w:rsidR="00214969">
        <w:t>more than four in five</w:t>
      </w:r>
      <w:r w:rsidR="006948B8">
        <w:t xml:space="preserve"> visits</w:t>
      </w:r>
      <w:r w:rsidR="00A2744D">
        <w:t xml:space="preserve"> </w:t>
      </w:r>
      <w:r w:rsidR="006948B8">
        <w:t>to</w:t>
      </w:r>
      <w:r w:rsidR="00A2744D">
        <w:t xml:space="preserve"> </w:t>
      </w:r>
      <w:r w:rsidR="00CC4118">
        <w:t>Yuendumu</w:t>
      </w:r>
      <w:r w:rsidR="00022A9A">
        <w:t>-</w:t>
      </w:r>
      <w:proofErr w:type="spellStart"/>
      <w:r w:rsidR="00CC4118">
        <w:t>Anmatjere</w:t>
      </w:r>
      <w:proofErr w:type="spellEnd"/>
      <w:r w:rsidR="00A2744D">
        <w:t xml:space="preserve"> </w:t>
      </w:r>
      <w:r w:rsidR="009349E1">
        <w:t>(near Alice Springs</w:t>
      </w:r>
      <w:r w:rsidR="00861542">
        <w:t>) in the Northern Territory and</w:t>
      </w:r>
      <w:r w:rsidR="00A2744D">
        <w:t xml:space="preserve"> </w:t>
      </w:r>
      <w:r w:rsidR="00942A26">
        <w:t>four in five</w:t>
      </w:r>
      <w:r w:rsidR="0041506E">
        <w:t xml:space="preserve"> </w:t>
      </w:r>
      <w:r w:rsidR="00CC4118">
        <w:t>visits</w:t>
      </w:r>
      <w:r w:rsidR="0041506E">
        <w:t xml:space="preserve"> to </w:t>
      </w:r>
      <w:r w:rsidR="00CC4118">
        <w:t>Hobart</w:t>
      </w:r>
      <w:r w:rsidR="0041506E">
        <w:t>,</w:t>
      </w:r>
      <w:r w:rsidR="00861542">
        <w:t xml:space="preserve"> Tasmania</w:t>
      </w:r>
      <w:r w:rsidR="008E1A53">
        <w:t xml:space="preserve"> (see </w:t>
      </w:r>
      <w:r w:rsidR="00B31506">
        <w:fldChar w:fldCharType="begin"/>
      </w:r>
      <w:r w:rsidR="00B31506">
        <w:instrText xml:space="preserve"> REF _Ref68765950 \h </w:instrText>
      </w:r>
      <w:r w:rsidR="00B31506">
        <w:fldChar w:fldCharType="separate"/>
      </w:r>
      <w:r w:rsidR="00F22012" w:rsidRPr="000C6824">
        <w:t xml:space="preserve">Figure </w:t>
      </w:r>
      <w:r w:rsidR="00F22012">
        <w:rPr>
          <w:noProof/>
        </w:rPr>
        <w:t>6</w:t>
      </w:r>
      <w:r w:rsidR="00F22012">
        <w:noBreakHyphen/>
      </w:r>
      <w:r w:rsidR="00F22012">
        <w:rPr>
          <w:noProof/>
        </w:rPr>
        <w:t>5</w:t>
      </w:r>
      <w:r w:rsidR="00B31506">
        <w:fldChar w:fldCharType="end"/>
      </w:r>
      <w:r w:rsidR="008E1A53">
        <w:t>)</w:t>
      </w:r>
      <w:r w:rsidR="00861542">
        <w:t>.</w:t>
      </w:r>
      <w:r w:rsidR="008E1A53">
        <w:t xml:space="preserve"> </w:t>
      </w:r>
      <w:r w:rsidR="00D1645B">
        <w:t>In terms of number of visits</w:t>
      </w:r>
      <w:r w:rsidR="00247829">
        <w:t xml:space="preserve"> specified for </w:t>
      </w:r>
      <w:r w:rsidR="0014265F">
        <w:t>tourism purposes</w:t>
      </w:r>
      <w:r w:rsidR="00D1645B">
        <w:t xml:space="preserve">, </w:t>
      </w:r>
      <w:r w:rsidR="00061BC0">
        <w:t>Sydney-Haymarket-The Rocks</w:t>
      </w:r>
      <w:r w:rsidR="00436BD1">
        <w:t xml:space="preserve"> </w:t>
      </w:r>
      <w:r w:rsidR="00F21F9B">
        <w:t>had the highest number</w:t>
      </w:r>
      <w:r w:rsidR="003E4B79">
        <w:t xml:space="preserve">, </w:t>
      </w:r>
      <w:r w:rsidR="00B15BB2">
        <w:t>followed by</w:t>
      </w:r>
      <w:r w:rsidR="003E4B79">
        <w:t xml:space="preserve"> </w:t>
      </w:r>
      <w:r w:rsidR="00061BC0">
        <w:t>Melbourne</w:t>
      </w:r>
      <w:r w:rsidR="00F029F5">
        <w:t xml:space="preserve"> </w:t>
      </w:r>
      <w:r w:rsidR="003E4B79">
        <w:t>and Brisbane City</w:t>
      </w:r>
      <w:r w:rsidR="00C17B32">
        <w:t>, with these</w:t>
      </w:r>
      <w:r w:rsidR="00443334">
        <w:t xml:space="preserve"> representing </w:t>
      </w:r>
      <w:r w:rsidR="001B6BA0">
        <w:t>around two thirds of all visits to these areas.</w:t>
      </w:r>
    </w:p>
    <w:p w14:paraId="47FB73A7" w14:textId="7DEB907D" w:rsidR="0093198D" w:rsidRPr="000C6824" w:rsidRDefault="0093198D" w:rsidP="0093198D">
      <w:pPr>
        <w:pStyle w:val="Caption"/>
      </w:pPr>
      <w:bookmarkStart w:id="163" w:name="_Ref68765950"/>
      <w:bookmarkStart w:id="164" w:name="_Ref66360539"/>
      <w:bookmarkStart w:id="165" w:name="_Toc75878550"/>
      <w:r w:rsidRPr="000C6824">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163"/>
      <w:r w:rsidRPr="000C6824">
        <w:t xml:space="preserve">: Visited location </w:t>
      </w:r>
      <w:r w:rsidR="00BC3980">
        <w:t>(SA2)</w:t>
      </w:r>
      <w:r w:rsidRPr="000C6824">
        <w:t xml:space="preserve"> for tourism reasons</w:t>
      </w:r>
      <w:bookmarkEnd w:id="164"/>
      <w:bookmarkEnd w:id="165"/>
    </w:p>
    <w:p w14:paraId="277D46E0" w14:textId="5ADE6CE3" w:rsidR="0093198D" w:rsidRPr="000C6824" w:rsidRDefault="0888A83B" w:rsidP="00E16B19">
      <w:r>
        <w:rPr>
          <w:noProof/>
          <w:lang w:eastAsia="en-AU"/>
        </w:rPr>
        <w:drawing>
          <wp:inline distT="0" distB="0" distL="0" distR="0" wp14:anchorId="6DC565CA" wp14:editId="1063D04E">
            <wp:extent cx="2844000" cy="4227568"/>
            <wp:effectExtent l="0" t="0" r="0" b="1905"/>
            <wp:docPr id="116" name="Picture 116" descr="A map of Australia and the greater capital city areas of the proportion of WHM who visited a SA2 location for tourism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70">
                      <a:extLst>
                        <a:ext uri="{28A0092B-C50C-407E-A947-70E740481C1C}">
                          <a14:useLocalDpi xmlns:a14="http://schemas.microsoft.com/office/drawing/2010/main" val="0"/>
                        </a:ext>
                      </a:extLst>
                    </a:blip>
                    <a:stretch>
                      <a:fillRect/>
                    </a:stretch>
                  </pic:blipFill>
                  <pic:spPr>
                    <a:xfrm>
                      <a:off x="0" y="0"/>
                      <a:ext cx="2844000" cy="4227568"/>
                    </a:xfrm>
                    <a:prstGeom prst="rect">
                      <a:avLst/>
                    </a:prstGeom>
                  </pic:spPr>
                </pic:pic>
              </a:graphicData>
            </a:graphic>
          </wp:inline>
        </w:drawing>
      </w:r>
      <w:r w:rsidR="048BAE83">
        <w:rPr>
          <w:noProof/>
          <w:lang w:eastAsia="en-AU"/>
        </w:rPr>
        <w:drawing>
          <wp:inline distT="0" distB="0" distL="0" distR="0" wp14:anchorId="220414FC" wp14:editId="79B68736">
            <wp:extent cx="2844000" cy="4208355"/>
            <wp:effectExtent l="0" t="0" r="0" b="1905"/>
            <wp:docPr id="119" name="Picture 119" descr="A map of the greater capital city areas of the proportion of WHM who visited a SA2 location for tourism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map of the greater capital city areas of the proportion of WHM who visited a SA2 location for tourism purposes. "/>
                    <pic:cNvPicPr/>
                  </pic:nvPicPr>
                  <pic:blipFill>
                    <a:blip r:embed="rId71">
                      <a:extLst>
                        <a:ext uri="{28A0092B-C50C-407E-A947-70E740481C1C}">
                          <a14:useLocalDpi xmlns:a14="http://schemas.microsoft.com/office/drawing/2010/main" val="0"/>
                        </a:ext>
                      </a:extLst>
                    </a:blip>
                    <a:stretch>
                      <a:fillRect/>
                    </a:stretch>
                  </pic:blipFill>
                  <pic:spPr>
                    <a:xfrm>
                      <a:off x="0" y="0"/>
                      <a:ext cx="2844000" cy="4208355"/>
                    </a:xfrm>
                    <a:prstGeom prst="rect">
                      <a:avLst/>
                    </a:prstGeom>
                  </pic:spPr>
                </pic:pic>
              </a:graphicData>
            </a:graphic>
          </wp:inline>
        </w:drawing>
      </w:r>
    </w:p>
    <w:p w14:paraId="1DDAA7CF" w14:textId="77777777" w:rsidR="0075620D" w:rsidRDefault="0075620D" w:rsidP="0075620D">
      <w:pPr>
        <w:pStyle w:val="Tablenote"/>
      </w:pPr>
      <w:r>
        <w:t>Note, only SA2s with a count of &gt;=10 visits are shown.</w:t>
      </w:r>
    </w:p>
    <w:p w14:paraId="5BF64F80" w14:textId="15174693" w:rsidR="00047CCD" w:rsidRDefault="00047CCD" w:rsidP="00047CCD">
      <w:pPr>
        <w:pStyle w:val="Tablenote"/>
      </w:pPr>
      <w:r w:rsidRPr="009D07D8">
        <w:t xml:space="preserve">Source: </w:t>
      </w:r>
      <w:r>
        <w:t>WHM</w:t>
      </w:r>
      <w:r w:rsidRPr="009D07D8">
        <w:t xml:space="preserve"> Survey, 2020.</w:t>
      </w:r>
    </w:p>
    <w:p w14:paraId="40123F50" w14:textId="4E316D6A" w:rsidR="000629C5" w:rsidRPr="000C6824" w:rsidRDefault="000629C5" w:rsidP="000629C5">
      <w:r>
        <w:t xml:space="preserve">There were few areas designated by WHMs that were visited mainly for study purposes. The locations with the largest number of visits for this reason included Sydney-Haymarket-The Rocks (representing 2.8% of all visits to this area) and Brisbane City (3.5%) (see </w:t>
      </w:r>
      <w:r>
        <w:fldChar w:fldCharType="begin"/>
      </w:r>
      <w:r>
        <w:instrText xml:space="preserve"> REF _Ref68769901 \h </w:instrText>
      </w:r>
      <w:r>
        <w:fldChar w:fldCharType="separate"/>
      </w:r>
      <w:r w:rsidR="00F22012" w:rsidRPr="000C6824">
        <w:t xml:space="preserve">Figure </w:t>
      </w:r>
      <w:r w:rsidR="00F22012">
        <w:rPr>
          <w:noProof/>
        </w:rPr>
        <w:t>6</w:t>
      </w:r>
      <w:r w:rsidR="00F22012">
        <w:noBreakHyphen/>
      </w:r>
      <w:r w:rsidR="00F22012">
        <w:rPr>
          <w:noProof/>
        </w:rPr>
        <w:t>6</w:t>
      </w:r>
      <w:r>
        <w:fldChar w:fldCharType="end"/>
      </w:r>
      <w:r>
        <w:t xml:space="preserve">). The area with the highest proportion (20.0%) of visits specifically for study was Epping-North Epping in Greater Sydney - although this accounted for a total of </w:t>
      </w:r>
      <w:r w:rsidR="00C36AE7">
        <w:t>only a handful of</w:t>
      </w:r>
      <w:r>
        <w:t xml:space="preserve"> visits to this area.</w:t>
      </w:r>
      <w:r w:rsidRPr="00A41B40">
        <w:t xml:space="preserve"> </w:t>
      </w:r>
      <w:r>
        <w:t xml:space="preserve">Although WHMs identified greater capital cities as primary study sites fewer than 3% of visits to these areas were focused on study – with tourism and work the leading reasons for visits. Of the capital cities, Greater Perth (2.6%) and Greater Brisbane (2.5%) </w:t>
      </w:r>
      <w:r w:rsidR="005354D6">
        <w:t>recorded</w:t>
      </w:r>
      <w:r>
        <w:t xml:space="preserve"> the highest proportion of study-related visits.</w:t>
      </w:r>
    </w:p>
    <w:p w14:paraId="1B894D2A" w14:textId="17E67BC8" w:rsidR="00C93CF6" w:rsidRDefault="00C93CF6" w:rsidP="00E16B19">
      <w:r>
        <w:t xml:space="preserve">Visits to family and friends accounted for less than one sixth of all visits to the greater capital cities, Greater Melbourne had the highest proportion of visits for this purpose (13.6%), followed by Greater Adelaide (13.5%), Greater Perth (13.5%), and Greater Sydney (12.1%). Less than 10% of WHM visits to Greater Brisbane, Hobart and Darwin were to see family and friends. </w:t>
      </w:r>
      <w:r w:rsidR="006E4640">
        <w:t>The highest number of v</w:t>
      </w:r>
      <w:r w:rsidR="006F417C">
        <w:t xml:space="preserve">isits to </w:t>
      </w:r>
      <w:r w:rsidR="002A732A">
        <w:t xml:space="preserve">see family and friends </w:t>
      </w:r>
      <w:r w:rsidR="006E4640">
        <w:t>were</w:t>
      </w:r>
      <w:r w:rsidR="00190038">
        <w:t xml:space="preserve"> for</w:t>
      </w:r>
      <w:r>
        <w:t xml:space="preserve"> Sydney-Haymarket-The Rocks and Melbourne, accounting for 11.8% and 12.9% respectively of all visits to these areas (see </w:t>
      </w:r>
      <w:r>
        <w:fldChar w:fldCharType="begin"/>
      </w:r>
      <w:r>
        <w:instrText xml:space="preserve"> REF _Ref68771471 \h </w:instrText>
      </w:r>
      <w:r>
        <w:fldChar w:fldCharType="separate"/>
      </w:r>
      <w:r w:rsidR="00F22012">
        <w:t xml:space="preserve">Figure </w:t>
      </w:r>
      <w:r w:rsidR="00F22012">
        <w:rPr>
          <w:noProof/>
        </w:rPr>
        <w:t>6</w:t>
      </w:r>
      <w:r w:rsidR="00F22012">
        <w:noBreakHyphen/>
      </w:r>
      <w:r w:rsidR="00F22012">
        <w:rPr>
          <w:noProof/>
        </w:rPr>
        <w:t>7</w:t>
      </w:r>
      <w:r>
        <w:fldChar w:fldCharType="end"/>
      </w:r>
      <w:r>
        <w:t>). Areas with a high proportion of visits specifically to see family and friends included Ringwood (Victoria, 36.4%), and Western Australia’s Mandurah (32.3%) and Claremont (35.7%).</w:t>
      </w:r>
    </w:p>
    <w:p w14:paraId="59D6D13D" w14:textId="16A38DF2" w:rsidR="00C93CF6" w:rsidRDefault="00C93CF6" w:rsidP="00E16B19">
      <w:pPr>
        <w:sectPr w:rsidR="00C93CF6" w:rsidSect="00E60C75">
          <w:footerReference w:type="default" r:id="rId72"/>
          <w:type w:val="continuous"/>
          <w:pgSz w:w="11906" w:h="16838" w:code="9"/>
          <w:pgMar w:top="1440" w:right="1440" w:bottom="1440" w:left="1440" w:header="709" w:footer="709" w:gutter="0"/>
          <w:pgNumType w:start="1"/>
          <w:cols w:space="708"/>
          <w:docGrid w:linePitch="360"/>
        </w:sectPr>
      </w:pPr>
    </w:p>
    <w:p w14:paraId="73FD47BA" w14:textId="436BEEB3" w:rsidR="0093198D" w:rsidRPr="000C6824" w:rsidRDefault="0093198D" w:rsidP="0093198D">
      <w:pPr>
        <w:pStyle w:val="Caption"/>
      </w:pPr>
      <w:bookmarkStart w:id="166" w:name="_Ref68769901"/>
      <w:bookmarkStart w:id="167" w:name="_Toc75878551"/>
      <w:r w:rsidRPr="000C6824">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6</w:t>
      </w:r>
      <w:r w:rsidR="008949B3">
        <w:rPr>
          <w:noProof/>
        </w:rPr>
        <w:fldChar w:fldCharType="end"/>
      </w:r>
      <w:bookmarkEnd w:id="166"/>
      <w:r w:rsidRPr="000C6824">
        <w:t xml:space="preserve">: Visited location </w:t>
      </w:r>
      <w:r w:rsidR="00BC3980">
        <w:t xml:space="preserve">(SA2) </w:t>
      </w:r>
      <w:r w:rsidRPr="000C6824">
        <w:t>for study reasons</w:t>
      </w:r>
      <w:bookmarkEnd w:id="167"/>
    </w:p>
    <w:p w14:paraId="413A0E0B" w14:textId="6CC2A973" w:rsidR="0093198D" w:rsidRPr="000C6824" w:rsidRDefault="0888A83B" w:rsidP="00E16B19">
      <w:r>
        <w:rPr>
          <w:noProof/>
          <w:lang w:eastAsia="en-AU"/>
        </w:rPr>
        <w:drawing>
          <wp:inline distT="0" distB="0" distL="0" distR="0" wp14:anchorId="5DB9C77D" wp14:editId="694DC973">
            <wp:extent cx="2844000" cy="4227568"/>
            <wp:effectExtent l="0" t="0" r="0" b="1905"/>
            <wp:docPr id="124" name="Picture 124" descr="A map of Australia and cities of the proportion of WHM who visited a SA2 location for study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map of Australia and cities of the proportion of WHM who visited a SA2 location for study purposes."/>
                    <pic:cNvPicPr/>
                  </pic:nvPicPr>
                  <pic:blipFill>
                    <a:blip r:embed="rId73">
                      <a:extLst>
                        <a:ext uri="{28A0092B-C50C-407E-A947-70E740481C1C}">
                          <a14:useLocalDpi xmlns:a14="http://schemas.microsoft.com/office/drawing/2010/main" val="0"/>
                        </a:ext>
                      </a:extLst>
                    </a:blip>
                    <a:stretch>
                      <a:fillRect/>
                    </a:stretch>
                  </pic:blipFill>
                  <pic:spPr>
                    <a:xfrm>
                      <a:off x="0" y="0"/>
                      <a:ext cx="2844000" cy="4227568"/>
                    </a:xfrm>
                    <a:prstGeom prst="rect">
                      <a:avLst/>
                    </a:prstGeom>
                  </pic:spPr>
                </pic:pic>
              </a:graphicData>
            </a:graphic>
          </wp:inline>
        </w:drawing>
      </w:r>
    </w:p>
    <w:p w14:paraId="4DA2A624" w14:textId="77777777" w:rsidR="0075620D" w:rsidRDefault="0075620D" w:rsidP="0075620D">
      <w:pPr>
        <w:pStyle w:val="Tablenote"/>
      </w:pPr>
      <w:r>
        <w:t>Note, only SA2s with a count of &gt;=10 visits are shown.</w:t>
      </w:r>
    </w:p>
    <w:p w14:paraId="23F19B8D" w14:textId="5F7DF69D" w:rsidR="00270522" w:rsidRPr="00270522" w:rsidRDefault="0075620D" w:rsidP="00C81D8F">
      <w:pPr>
        <w:pStyle w:val="Tablenote"/>
      </w:pPr>
      <w:r w:rsidRPr="009D07D8">
        <w:t xml:space="preserve">Source: </w:t>
      </w:r>
      <w:r w:rsidR="00047CCD">
        <w:t>WHM</w:t>
      </w:r>
      <w:r w:rsidRPr="009D07D8">
        <w:t xml:space="preserve"> Survey, 2020.</w:t>
      </w:r>
    </w:p>
    <w:p w14:paraId="634263FA" w14:textId="2EDA4F88" w:rsidR="00F606C7" w:rsidRDefault="00F606C7" w:rsidP="00DE7E2A">
      <w:pPr>
        <w:pStyle w:val="Caption"/>
        <w:spacing w:before="360"/>
      </w:pPr>
      <w:bookmarkStart w:id="168" w:name="_Ref68771471"/>
      <w:bookmarkStart w:id="169" w:name="_Toc75878552"/>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7</w:t>
      </w:r>
      <w:r w:rsidR="008949B3">
        <w:rPr>
          <w:noProof/>
        </w:rPr>
        <w:fldChar w:fldCharType="end"/>
      </w:r>
      <w:bookmarkEnd w:id="168"/>
      <w:r>
        <w:t xml:space="preserve">: </w:t>
      </w:r>
      <w:r w:rsidRPr="000C6824">
        <w:t xml:space="preserve">Visited location </w:t>
      </w:r>
      <w:r w:rsidR="00E26E53">
        <w:t>(SA2)</w:t>
      </w:r>
      <w:r w:rsidRPr="000C6824">
        <w:t xml:space="preserve"> </w:t>
      </w:r>
      <w:r w:rsidR="00FC4A48">
        <w:t xml:space="preserve">to see </w:t>
      </w:r>
      <w:r w:rsidR="00410ED5">
        <w:t>family and friends</w:t>
      </w:r>
      <w:bookmarkEnd w:id="169"/>
    </w:p>
    <w:p w14:paraId="7C2C6744" w14:textId="4E199534" w:rsidR="00F606C7" w:rsidRPr="00F606C7" w:rsidRDefault="427A8A3F" w:rsidP="000E2B19">
      <w:r>
        <w:rPr>
          <w:noProof/>
          <w:lang w:eastAsia="en-AU"/>
        </w:rPr>
        <w:drawing>
          <wp:inline distT="0" distB="0" distL="0" distR="0" wp14:anchorId="0475BB84" wp14:editId="06722C14">
            <wp:extent cx="2844000" cy="4229855"/>
            <wp:effectExtent l="0" t="0" r="0" b="0"/>
            <wp:docPr id="94" name="Picture 94" descr="A map of Australia and capital cities of the proportion of WHM who visited a SA2 location to see family and fri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map of Australia and capital cities of the proportion of WHM who visited a SA2 location to see family and friends.  "/>
                    <pic:cNvPicPr/>
                  </pic:nvPicPr>
                  <pic:blipFill>
                    <a:blip r:embed="rId74">
                      <a:extLst>
                        <a:ext uri="{28A0092B-C50C-407E-A947-70E740481C1C}">
                          <a14:useLocalDpi xmlns:a14="http://schemas.microsoft.com/office/drawing/2010/main" val="0"/>
                        </a:ext>
                      </a:extLst>
                    </a:blip>
                    <a:stretch>
                      <a:fillRect/>
                    </a:stretch>
                  </pic:blipFill>
                  <pic:spPr>
                    <a:xfrm>
                      <a:off x="0" y="0"/>
                      <a:ext cx="2844000" cy="4229855"/>
                    </a:xfrm>
                    <a:prstGeom prst="rect">
                      <a:avLst/>
                    </a:prstGeom>
                  </pic:spPr>
                </pic:pic>
              </a:graphicData>
            </a:graphic>
          </wp:inline>
        </w:drawing>
      </w:r>
    </w:p>
    <w:p w14:paraId="6F87DA1F" w14:textId="77777777" w:rsidR="0075620D" w:rsidRDefault="0075620D" w:rsidP="0075620D">
      <w:pPr>
        <w:pStyle w:val="Tablenote"/>
      </w:pPr>
      <w:r>
        <w:t>Note, only SA2s with a count of &gt;=10 visits are shown.</w:t>
      </w:r>
    </w:p>
    <w:p w14:paraId="598E153A" w14:textId="77777777" w:rsidR="008B2AA4" w:rsidRDefault="0075620D" w:rsidP="004D35E4">
      <w:pPr>
        <w:pStyle w:val="Tablenote"/>
      </w:pPr>
      <w:r w:rsidRPr="009D07D8">
        <w:t xml:space="preserve">Source: </w:t>
      </w:r>
      <w:r w:rsidR="00533FC6">
        <w:t>WHM</w:t>
      </w:r>
      <w:r w:rsidRPr="009D07D8">
        <w:t xml:space="preserve"> Survey, 2020.</w:t>
      </w:r>
      <w:r w:rsidR="00047CCD">
        <w:t xml:space="preserve"> </w:t>
      </w:r>
    </w:p>
    <w:p w14:paraId="48503E2E" w14:textId="6C24C45D" w:rsidR="008B2AA4" w:rsidRDefault="008B2AA4" w:rsidP="00047CCD">
      <w:pPr>
        <w:sectPr w:rsidR="008B2AA4" w:rsidSect="00F5604B">
          <w:type w:val="continuous"/>
          <w:pgSz w:w="11906" w:h="16838" w:code="9"/>
          <w:pgMar w:top="1440" w:right="1440" w:bottom="1440" w:left="1440" w:header="709" w:footer="709" w:gutter="0"/>
          <w:cols w:num="2" w:space="708"/>
          <w:docGrid w:linePitch="360"/>
        </w:sectPr>
      </w:pPr>
    </w:p>
    <w:p w14:paraId="15712C78" w14:textId="6A50A5D9" w:rsidR="00E16B19" w:rsidRPr="00517386" w:rsidRDefault="00E16B19" w:rsidP="002E77A1">
      <w:pPr>
        <w:pStyle w:val="Heading2"/>
      </w:pPr>
      <w:bookmarkStart w:id="170" w:name="_Toc75878470"/>
      <w:r w:rsidRPr="00517386">
        <w:t>Accommodation types in various locations</w:t>
      </w:r>
      <w:bookmarkEnd w:id="170"/>
    </w:p>
    <w:p w14:paraId="3BF87B84" w14:textId="6238D380" w:rsidR="00DA5C0D" w:rsidRPr="00517386" w:rsidRDefault="009F0FE6" w:rsidP="00DA5C0D">
      <w:r w:rsidRPr="00517386">
        <w:t>Overall, 61,10</w:t>
      </w:r>
      <w:r w:rsidR="00D07A49">
        <w:t>6</w:t>
      </w:r>
      <w:r w:rsidRPr="00517386">
        <w:t xml:space="preserve"> accommodation stays were reported by WHMs</w:t>
      </w:r>
      <w:r w:rsidR="00116DD9">
        <w:rPr>
          <w:rStyle w:val="FootnoteReference"/>
        </w:rPr>
        <w:footnoteReference w:id="26"/>
      </w:r>
      <w:r w:rsidR="00306C21">
        <w:t xml:space="preserve"> who </w:t>
      </w:r>
      <w:r w:rsidR="006B16D2">
        <w:t>provided information about</w:t>
      </w:r>
      <w:r w:rsidR="00306C21">
        <w:t xml:space="preserve"> an</w:t>
      </w:r>
      <w:r w:rsidR="00FC1E66">
        <w:t xml:space="preserve"> average of</w:t>
      </w:r>
      <w:r w:rsidR="007B3A96">
        <w:t xml:space="preserve"> 4.6</w:t>
      </w:r>
      <w:r w:rsidR="00D82448">
        <w:t xml:space="preserve"> </w:t>
      </w:r>
      <w:r w:rsidR="007B3A96">
        <w:t>stays</w:t>
      </w:r>
      <w:r w:rsidR="00217790">
        <w:t xml:space="preserve"> during their time in Australia</w:t>
      </w:r>
      <w:r w:rsidR="004D7F3D">
        <w:t>.</w:t>
      </w:r>
      <w:r w:rsidR="000379E1">
        <w:t xml:space="preserve"> </w:t>
      </w:r>
      <w:r w:rsidR="00DA5C0D" w:rsidRPr="00517386">
        <w:t xml:space="preserve">The most common type of accommodation for WHMs were </w:t>
      </w:r>
      <w:r w:rsidR="004F5528" w:rsidRPr="00517386">
        <w:t>backpackers</w:t>
      </w:r>
      <w:r w:rsidR="004C315C" w:rsidRPr="00517386">
        <w:t>/hostels</w:t>
      </w:r>
      <w:r w:rsidR="00114CEC" w:rsidRPr="00517386">
        <w:t xml:space="preserve"> (</w:t>
      </w:r>
      <w:r w:rsidR="000D761B">
        <w:t>2</w:t>
      </w:r>
      <w:r w:rsidR="007733A8">
        <w:t>8.1</w:t>
      </w:r>
      <w:r w:rsidR="004C13FD">
        <w:t>%</w:t>
      </w:r>
      <w:r w:rsidR="00114CEC" w:rsidRPr="00517386">
        <w:t>)</w:t>
      </w:r>
      <w:r w:rsidR="004C315C" w:rsidRPr="00517386">
        <w:t xml:space="preserve"> and rental properties</w:t>
      </w:r>
      <w:r w:rsidR="00114CEC" w:rsidRPr="00517386">
        <w:t xml:space="preserve"> (</w:t>
      </w:r>
      <w:r w:rsidR="009527A1">
        <w:t>20.</w:t>
      </w:r>
      <w:r w:rsidR="0053380A">
        <w:t>1</w:t>
      </w:r>
      <w:r w:rsidR="009527A1">
        <w:t>%</w:t>
      </w:r>
      <w:r w:rsidR="00567D14">
        <w:t xml:space="preserve">; see </w:t>
      </w:r>
      <w:r w:rsidR="00567D14">
        <w:fldChar w:fldCharType="begin"/>
      </w:r>
      <w:r w:rsidR="00567D14">
        <w:instrText xml:space="preserve"> REF _Ref68878631 \h </w:instrText>
      </w:r>
      <w:r w:rsidR="00567D14">
        <w:fldChar w:fldCharType="separate"/>
      </w:r>
      <w:r w:rsidR="00F22012">
        <w:t xml:space="preserve">Figure </w:t>
      </w:r>
      <w:r w:rsidR="00F22012">
        <w:rPr>
          <w:noProof/>
        </w:rPr>
        <w:t>6</w:t>
      </w:r>
      <w:r w:rsidR="00F22012">
        <w:noBreakHyphen/>
      </w:r>
      <w:r w:rsidR="00F22012">
        <w:rPr>
          <w:noProof/>
        </w:rPr>
        <w:t>8</w:t>
      </w:r>
      <w:r w:rsidR="00567D14">
        <w:fldChar w:fldCharType="end"/>
      </w:r>
      <w:r w:rsidR="00114CEC" w:rsidRPr="00517386">
        <w:t>)</w:t>
      </w:r>
      <w:r w:rsidR="004C315C" w:rsidRPr="00517386">
        <w:t>.</w:t>
      </w:r>
      <w:r w:rsidR="00114CEC" w:rsidRPr="00517386">
        <w:t xml:space="preserve"> </w:t>
      </w:r>
      <w:r w:rsidR="004C315C" w:rsidRPr="00517386">
        <w:t xml:space="preserve"> </w:t>
      </w:r>
      <w:r w:rsidR="00F21A59" w:rsidRPr="00517386">
        <w:t>Excluding those who did not know their accommodation type</w:t>
      </w:r>
      <w:r w:rsidR="00031C36">
        <w:t xml:space="preserve"> (</w:t>
      </w:r>
      <w:r w:rsidR="009710C0" w:rsidRPr="00517386">
        <w:t xml:space="preserve">and </w:t>
      </w:r>
      <w:r w:rsidR="007144AF">
        <w:t>‘</w:t>
      </w:r>
      <w:r w:rsidR="009710C0" w:rsidRPr="00517386">
        <w:t>other</w:t>
      </w:r>
      <w:r w:rsidR="007144AF">
        <w:t>’</w:t>
      </w:r>
      <w:r w:rsidR="00031C36">
        <w:t>)</w:t>
      </w:r>
      <w:r w:rsidR="009710C0" w:rsidRPr="00517386">
        <w:t xml:space="preserve">, the least common accommodation type was </w:t>
      </w:r>
      <w:r w:rsidR="00300DA4">
        <w:t>h</w:t>
      </w:r>
      <w:r w:rsidR="009710C0" w:rsidRPr="00517386">
        <w:t>otel or motel (</w:t>
      </w:r>
      <w:r w:rsidR="004C13FD">
        <w:t>5.0%</w:t>
      </w:r>
      <w:r w:rsidR="009710C0" w:rsidRPr="00517386">
        <w:t xml:space="preserve">) and </w:t>
      </w:r>
      <w:r w:rsidR="00E550D4">
        <w:t>e</w:t>
      </w:r>
      <w:r w:rsidR="00BD084E" w:rsidRPr="00517386">
        <w:t>mployer’s house or property (</w:t>
      </w:r>
      <w:r w:rsidR="006111BE">
        <w:t>9.</w:t>
      </w:r>
      <w:r w:rsidR="0053380A">
        <w:t>3</w:t>
      </w:r>
      <w:r w:rsidR="006111BE">
        <w:t>%</w:t>
      </w:r>
      <w:r w:rsidR="00BD084E" w:rsidRPr="00517386">
        <w:t>)</w:t>
      </w:r>
      <w:r w:rsidR="001B5CF7" w:rsidRPr="00517386">
        <w:t xml:space="preserve">. </w:t>
      </w:r>
      <w:r w:rsidR="00576B93" w:rsidRPr="00517386">
        <w:t xml:space="preserve">Compared </w:t>
      </w:r>
      <w:r w:rsidR="009C2F02">
        <w:t>with</w:t>
      </w:r>
      <w:r w:rsidR="00A54CCC">
        <w:t xml:space="preserve"> the evaluation undertaken by</w:t>
      </w:r>
      <w:r w:rsidR="00576B93" w:rsidRPr="00517386">
        <w:t xml:space="preserve"> </w:t>
      </w:r>
      <w:r w:rsidR="00A54CCC">
        <w:t>Tan et al.</w:t>
      </w:r>
      <w:r w:rsidR="009C2F02" w:rsidRPr="00517386">
        <w:t xml:space="preserve"> </w:t>
      </w:r>
      <w:r w:rsidR="0052466B">
        <w:fldChar w:fldCharType="begin"/>
      </w:r>
      <w:r w:rsidR="00A54CCC">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rsidR="0052466B">
        <w:fldChar w:fldCharType="separate"/>
      </w:r>
      <w:r w:rsidR="00A54CCC">
        <w:rPr>
          <w:noProof/>
        </w:rPr>
        <w:t>(2009)</w:t>
      </w:r>
      <w:r w:rsidR="0052466B">
        <w:fldChar w:fldCharType="end"/>
      </w:r>
      <w:r w:rsidR="00576B93" w:rsidRPr="00517386">
        <w:t xml:space="preserve">, the proportion of WHMs staying in hostels has decreased by about </w:t>
      </w:r>
      <w:r w:rsidR="00BA2F70">
        <w:t>ten</w:t>
      </w:r>
      <w:r w:rsidR="00BA2F70" w:rsidRPr="00517386">
        <w:t xml:space="preserve"> </w:t>
      </w:r>
      <w:r w:rsidR="00576B93" w:rsidRPr="00517386">
        <w:t xml:space="preserve">percentage points. This </w:t>
      </w:r>
      <w:r w:rsidR="008C1775">
        <w:t>is likely to</w:t>
      </w:r>
      <w:r w:rsidR="00A67DD1" w:rsidRPr="00517386">
        <w:t xml:space="preserve"> be due to the </w:t>
      </w:r>
      <w:r w:rsidR="004D45E3" w:rsidRPr="00517386">
        <w:t xml:space="preserve">increased prevalence of </w:t>
      </w:r>
      <w:r w:rsidR="0029432C" w:rsidRPr="00517386">
        <w:t>short-term</w:t>
      </w:r>
      <w:r w:rsidR="004D45E3" w:rsidRPr="00517386">
        <w:t xml:space="preserve"> </w:t>
      </w:r>
      <w:r w:rsidR="00FE2B78">
        <w:t>‘</w:t>
      </w:r>
      <w:r w:rsidR="00BA2F70">
        <w:t>A</w:t>
      </w:r>
      <w:r w:rsidR="00BA2F70" w:rsidRPr="00517386">
        <w:t>irbnb</w:t>
      </w:r>
      <w:r w:rsidR="00BA2F70">
        <w:t>’</w:t>
      </w:r>
      <w:r w:rsidR="00BA2F70" w:rsidRPr="00517386">
        <w:t xml:space="preserve"> </w:t>
      </w:r>
      <w:r w:rsidR="004D45E3" w:rsidRPr="00517386">
        <w:t xml:space="preserve">style accommodation options </w:t>
      </w:r>
      <w:r w:rsidR="005A1AFC">
        <w:t xml:space="preserve">as reported </w:t>
      </w:r>
      <w:r w:rsidR="007A52D1">
        <w:t>in</w:t>
      </w:r>
      <w:r w:rsidR="004B3102" w:rsidRPr="00517386">
        <w:t xml:space="preserve"> </w:t>
      </w:r>
      <w:r w:rsidR="00861817">
        <w:t>9.</w:t>
      </w:r>
      <w:r w:rsidR="0053380A">
        <w:t>6</w:t>
      </w:r>
      <w:r w:rsidR="004B3102" w:rsidRPr="00517386">
        <w:t>%</w:t>
      </w:r>
      <w:r w:rsidR="001E3E5E" w:rsidRPr="00517386">
        <w:t xml:space="preserve"> </w:t>
      </w:r>
      <w:r w:rsidR="004B3102" w:rsidRPr="00517386">
        <w:t xml:space="preserve">of </w:t>
      </w:r>
      <w:r w:rsidR="007A52D1">
        <w:t>stays</w:t>
      </w:r>
      <w:r w:rsidR="001E3E5E" w:rsidRPr="00517386">
        <w:t xml:space="preserve">. </w:t>
      </w:r>
      <w:r w:rsidR="00F16A7A" w:rsidRPr="00517386">
        <w:t xml:space="preserve">Across </w:t>
      </w:r>
      <w:r w:rsidR="00D335BC">
        <w:t>s</w:t>
      </w:r>
      <w:r w:rsidR="00765B0F" w:rsidRPr="00517386">
        <w:t>tates</w:t>
      </w:r>
      <w:r w:rsidR="00D335BC">
        <w:t xml:space="preserve"> and territories</w:t>
      </w:r>
      <w:r w:rsidR="00D2315E" w:rsidRPr="00517386">
        <w:t xml:space="preserve">, </w:t>
      </w:r>
      <w:r w:rsidR="004E2B1F" w:rsidRPr="00517386">
        <w:t>stays in backpackers or hostels were most common in Queensland (33.</w:t>
      </w:r>
      <w:r w:rsidR="0053380A">
        <w:t>4</w:t>
      </w:r>
      <w:r w:rsidR="004E2B1F" w:rsidRPr="00517386">
        <w:t xml:space="preserve">% of Queensland stays) </w:t>
      </w:r>
      <w:r w:rsidR="00F45D70" w:rsidRPr="00517386">
        <w:t>and</w:t>
      </w:r>
      <w:r w:rsidR="004E2B1F" w:rsidRPr="00517386">
        <w:t xml:space="preserve"> least common in </w:t>
      </w:r>
      <w:r w:rsidR="009A6792">
        <w:t>Victoria</w:t>
      </w:r>
      <w:r w:rsidR="004E2B1F" w:rsidRPr="00517386">
        <w:t xml:space="preserve"> (2</w:t>
      </w:r>
      <w:r w:rsidR="00CA1A93">
        <w:t>4</w:t>
      </w:r>
      <w:r w:rsidR="004E2B1F" w:rsidRPr="00517386">
        <w:t>.</w:t>
      </w:r>
      <w:r w:rsidR="009A6792">
        <w:t>0</w:t>
      </w:r>
      <w:r w:rsidR="004E2B1F" w:rsidRPr="00517386">
        <w:t xml:space="preserve">% of </w:t>
      </w:r>
      <w:r w:rsidR="009A6792">
        <w:t>Victorian</w:t>
      </w:r>
      <w:r w:rsidR="004E2B1F" w:rsidRPr="00517386">
        <w:t xml:space="preserve"> stays). </w:t>
      </w:r>
      <w:r w:rsidR="007C61AD">
        <w:t xml:space="preserve">More than one quarter </w:t>
      </w:r>
      <w:r w:rsidR="00CB59BF">
        <w:t>(2</w:t>
      </w:r>
      <w:r w:rsidR="004756DC">
        <w:t>6.3</w:t>
      </w:r>
      <w:r w:rsidR="00CB59BF">
        <w:t xml:space="preserve">%) </w:t>
      </w:r>
      <w:r w:rsidR="007C61AD">
        <w:t xml:space="preserve">of stays in the Northern Territory </w:t>
      </w:r>
      <w:r w:rsidR="00B46A79">
        <w:t>were in a caravan park or camping ground</w:t>
      </w:r>
      <w:r w:rsidR="0008157A">
        <w:t xml:space="preserve">, making this </w:t>
      </w:r>
      <w:r w:rsidR="00874A91">
        <w:t xml:space="preserve">a very </w:t>
      </w:r>
      <w:r w:rsidR="005C5D12">
        <w:t>popular</w:t>
      </w:r>
      <w:r w:rsidR="0008157A">
        <w:t xml:space="preserve"> accommodation </w:t>
      </w:r>
      <w:r w:rsidR="005C5D12">
        <w:t>choice</w:t>
      </w:r>
      <w:r w:rsidR="0008157A">
        <w:t xml:space="preserve"> in th</w:t>
      </w:r>
      <w:r w:rsidR="005C5D12">
        <w:t>e</w:t>
      </w:r>
      <w:r w:rsidR="0008157A">
        <w:t xml:space="preserve"> territory</w:t>
      </w:r>
      <w:r w:rsidR="005C5D12">
        <w:t>.</w:t>
      </w:r>
    </w:p>
    <w:p w14:paraId="50DCDE30" w14:textId="6CC81C14" w:rsidR="009607FF" w:rsidRDefault="009607FF" w:rsidP="009607FF">
      <w:pPr>
        <w:pStyle w:val="Caption"/>
      </w:pPr>
      <w:bookmarkStart w:id="171" w:name="_Ref68878631"/>
      <w:bookmarkStart w:id="172" w:name="_Toc7587855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8</w:t>
      </w:r>
      <w:r w:rsidR="008949B3">
        <w:rPr>
          <w:noProof/>
        </w:rPr>
        <w:fldChar w:fldCharType="end"/>
      </w:r>
      <w:bookmarkEnd w:id="171"/>
      <w:r>
        <w:t>: Accommodation type</w:t>
      </w:r>
      <w:r w:rsidR="00CE1C2F">
        <w:t>,</w:t>
      </w:r>
      <w:r>
        <w:t xml:space="preserve"> by </w:t>
      </w:r>
      <w:r w:rsidR="00CE1C2F">
        <w:t>s</w:t>
      </w:r>
      <w:r>
        <w:t>tate</w:t>
      </w:r>
      <w:r w:rsidR="008E786A">
        <w:t xml:space="preserve"> and </w:t>
      </w:r>
      <w:r w:rsidR="00CE1C2F">
        <w:t>territory</w:t>
      </w:r>
      <w:bookmarkEnd w:id="172"/>
    </w:p>
    <w:p w14:paraId="5597FA6C" w14:textId="020C574B" w:rsidR="00A43130" w:rsidRDefault="000E62DA" w:rsidP="00A43130">
      <w:pPr>
        <w:keepNext/>
      </w:pPr>
      <w:r>
        <w:rPr>
          <w:noProof/>
          <w:lang w:eastAsia="en-AU"/>
        </w:rPr>
        <w:drawing>
          <wp:inline distT="0" distB="0" distL="0" distR="0" wp14:anchorId="3EBAB49F" wp14:editId="608DA084">
            <wp:extent cx="5731510" cy="3629465"/>
            <wp:effectExtent l="0" t="0" r="2540" b="9525"/>
            <wp:docPr id="58" name="Chart 58" descr="Figure 6-8 Chart showing accommodation type, by state and territory.">
              <a:extLst xmlns:a="http://schemas.openxmlformats.org/drawingml/2006/main">
                <a:ext uri="{FF2B5EF4-FFF2-40B4-BE49-F238E27FC236}">
                  <a16:creationId xmlns:a16="http://schemas.microsoft.com/office/drawing/2014/main" id="{D59F072C-1EDD-45CC-84DC-E15C1A370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222C7F0" w14:textId="59779544" w:rsidR="0085574C" w:rsidRPr="0085574C" w:rsidRDefault="0085574C" w:rsidP="0085574C">
      <w:pPr>
        <w:pStyle w:val="Tablenote"/>
      </w:pPr>
      <w:r w:rsidRPr="0085574C">
        <w:t xml:space="preserve">Note that percentages in the above figure are calculated by dividing the number of stays in a specific type of accommodation in a state or territory by the total number of stays recorded in that State. </w:t>
      </w:r>
      <w:r w:rsidR="00A36F47">
        <w:t>Labels are not shown when less than 5%.</w:t>
      </w:r>
    </w:p>
    <w:p w14:paraId="7A6BB360" w14:textId="2576C672" w:rsidR="0075620D" w:rsidRDefault="0075620D" w:rsidP="00D75380">
      <w:pPr>
        <w:pStyle w:val="Tablenote"/>
      </w:pPr>
      <w:r w:rsidRPr="009D07D8">
        <w:t xml:space="preserve">Source: </w:t>
      </w:r>
      <w:r w:rsidR="00047CCD">
        <w:t>WHM</w:t>
      </w:r>
      <w:r w:rsidRPr="009D07D8">
        <w:t xml:space="preserve"> Survey, 2020.</w:t>
      </w:r>
    </w:p>
    <w:p w14:paraId="6A0E86A3" w14:textId="54ED7125" w:rsidR="00EF6ED6" w:rsidRDefault="00E71F4A" w:rsidP="00DA5C0D">
      <w:r w:rsidRPr="002C2C49">
        <w:t xml:space="preserve">There were significant differences between </w:t>
      </w:r>
      <w:r w:rsidR="005C45F2">
        <w:t xml:space="preserve">WHM </w:t>
      </w:r>
      <w:r w:rsidRPr="002C2C49">
        <w:t xml:space="preserve">accommodation stays based on the remoteness classification of the area in which </w:t>
      </w:r>
      <w:r w:rsidR="006E1D94">
        <w:t>they</w:t>
      </w:r>
      <w:r w:rsidRPr="002C2C49">
        <w:t xml:space="preserve"> stayed.</w:t>
      </w:r>
      <w:r w:rsidR="00556355" w:rsidRPr="002C2C49">
        <w:t xml:space="preserve"> In major Australian cities, rental properties were the most common</w:t>
      </w:r>
      <w:r w:rsidR="006E1D94">
        <w:t>ly</w:t>
      </w:r>
      <w:r w:rsidR="00556355" w:rsidRPr="002C2C49">
        <w:t xml:space="preserve"> </w:t>
      </w:r>
      <w:r w:rsidR="006E1D94">
        <w:t>reported</w:t>
      </w:r>
      <w:r w:rsidR="00556355" w:rsidRPr="002C2C49">
        <w:t xml:space="preserve"> accommodation type, </w:t>
      </w:r>
      <w:r w:rsidR="00FC2838" w:rsidRPr="002C2C49">
        <w:t>representing</w:t>
      </w:r>
      <w:r w:rsidR="003F0423" w:rsidRPr="002C2C49">
        <w:t xml:space="preserve"> 32</w:t>
      </w:r>
      <w:r w:rsidR="004C16C9">
        <w:t>.</w:t>
      </w:r>
      <w:r w:rsidR="00747AD8">
        <w:t>5</w:t>
      </w:r>
      <w:r w:rsidR="003F0423" w:rsidRPr="002C2C49">
        <w:t xml:space="preserve">% of all </w:t>
      </w:r>
      <w:r w:rsidR="00614E8F" w:rsidRPr="002C2C49">
        <w:t>city stays</w:t>
      </w:r>
      <w:r w:rsidR="00DD025B">
        <w:t xml:space="preserve"> (see </w:t>
      </w:r>
      <w:r w:rsidR="008E786A">
        <w:fldChar w:fldCharType="begin"/>
      </w:r>
      <w:r w:rsidR="008E786A">
        <w:instrText xml:space="preserve"> REF _Ref68878541 \h </w:instrText>
      </w:r>
      <w:r w:rsidR="008E786A">
        <w:fldChar w:fldCharType="separate"/>
      </w:r>
      <w:r w:rsidR="00F22012">
        <w:t xml:space="preserve">Figure </w:t>
      </w:r>
      <w:r w:rsidR="00F22012">
        <w:rPr>
          <w:noProof/>
        </w:rPr>
        <w:t>6</w:t>
      </w:r>
      <w:r w:rsidR="00F22012">
        <w:noBreakHyphen/>
      </w:r>
      <w:r w:rsidR="00F22012">
        <w:rPr>
          <w:noProof/>
        </w:rPr>
        <w:t>9</w:t>
      </w:r>
      <w:r w:rsidR="008E786A">
        <w:fldChar w:fldCharType="end"/>
      </w:r>
      <w:r w:rsidR="00DD025B">
        <w:t>)</w:t>
      </w:r>
      <w:r w:rsidR="003F0423" w:rsidRPr="002C2C49">
        <w:t xml:space="preserve">. </w:t>
      </w:r>
      <w:r w:rsidR="00271589" w:rsidRPr="002C2C49">
        <w:t xml:space="preserve">Airbnb and holiday rental stays were also common in the </w:t>
      </w:r>
      <w:r w:rsidR="00614E8F" w:rsidRPr="002C2C49">
        <w:t xml:space="preserve">major cities representing </w:t>
      </w:r>
      <w:r w:rsidR="00747AD8">
        <w:t>about 10</w:t>
      </w:r>
      <w:r w:rsidR="00614E8F" w:rsidRPr="002C2C49">
        <w:t xml:space="preserve">% of all city stays. </w:t>
      </w:r>
      <w:r w:rsidR="009F503E" w:rsidRPr="002C2C49">
        <w:t xml:space="preserve">In </w:t>
      </w:r>
      <w:r w:rsidR="00F514CD">
        <w:t>outer regional and remote</w:t>
      </w:r>
      <w:r w:rsidR="00D8654A">
        <w:t xml:space="preserve"> </w:t>
      </w:r>
      <w:r w:rsidR="00DB0B1A">
        <w:t xml:space="preserve">areas </w:t>
      </w:r>
      <w:r w:rsidR="00E00ACF">
        <w:t xml:space="preserve">more than one quarter of </w:t>
      </w:r>
      <w:r w:rsidR="004A4403">
        <w:t>WHM stays were at</w:t>
      </w:r>
      <w:r w:rsidR="00C6772E">
        <w:t xml:space="preserve"> </w:t>
      </w:r>
      <w:r w:rsidR="009F503E" w:rsidRPr="002C2C49">
        <w:t>backpacker</w:t>
      </w:r>
      <w:r w:rsidR="00C6772E">
        <w:t>s</w:t>
      </w:r>
      <w:r w:rsidR="009F503E" w:rsidRPr="002C2C49">
        <w:t xml:space="preserve"> and hostel</w:t>
      </w:r>
      <w:r w:rsidR="006A503A">
        <w:t>s</w:t>
      </w:r>
      <w:r w:rsidR="007E3B10">
        <w:t>, w</w:t>
      </w:r>
      <w:r w:rsidR="00A000E3">
        <w:t>hile</w:t>
      </w:r>
      <w:r w:rsidR="00F33CE8">
        <w:t xml:space="preserve"> 2</w:t>
      </w:r>
      <w:r w:rsidR="008110A1">
        <w:t>6.1</w:t>
      </w:r>
      <w:r w:rsidR="00F33CE8">
        <w:t xml:space="preserve">% of stays in </w:t>
      </w:r>
      <w:r w:rsidR="004D4A37">
        <w:t>very remote Australia were</w:t>
      </w:r>
      <w:r w:rsidR="002A5020">
        <w:t xml:space="preserve"> in caravan</w:t>
      </w:r>
      <w:r w:rsidR="00F65356">
        <w:t xml:space="preserve"> parks or camping groun</w:t>
      </w:r>
      <w:r w:rsidR="0021568C">
        <w:t>ds</w:t>
      </w:r>
      <w:r w:rsidR="00AC7CD5">
        <w:t xml:space="preserve">, </w:t>
      </w:r>
      <w:r w:rsidR="00486778">
        <w:t xml:space="preserve">closely </w:t>
      </w:r>
      <w:r w:rsidR="00AC7CD5">
        <w:t xml:space="preserve">followed by </w:t>
      </w:r>
      <w:r w:rsidR="00486778">
        <w:t xml:space="preserve">backpacker </w:t>
      </w:r>
      <w:r w:rsidR="005E4BD6">
        <w:t>and hostel</w:t>
      </w:r>
      <w:r w:rsidR="00AC7CD5">
        <w:t xml:space="preserve"> </w:t>
      </w:r>
      <w:r w:rsidR="00E96198">
        <w:t xml:space="preserve">stays </w:t>
      </w:r>
      <w:r w:rsidR="005E4BD6">
        <w:t>(24.</w:t>
      </w:r>
      <w:r w:rsidR="008110A1">
        <w:t>4</w:t>
      </w:r>
      <w:r w:rsidR="005E4BD6">
        <w:t>%).</w:t>
      </w:r>
      <w:r w:rsidR="00A376BD" w:rsidRPr="002C2C49">
        <w:t xml:space="preserve"> </w:t>
      </w:r>
      <w:r w:rsidR="00146233">
        <w:t>L</w:t>
      </w:r>
      <w:r w:rsidR="00146233" w:rsidRPr="002C2C49">
        <w:t>ikely due to the nature of work in these regions, and the limited availability of other accommodation types</w:t>
      </w:r>
      <w:r w:rsidR="00146233">
        <w:t>, e</w:t>
      </w:r>
      <w:r w:rsidR="005F4000" w:rsidRPr="002C2C49">
        <w:t>mployer</w:t>
      </w:r>
      <w:r w:rsidR="00EF6ED6">
        <w:t xml:space="preserve">s provided housing for </w:t>
      </w:r>
      <w:r w:rsidR="006B2936">
        <w:t>1</w:t>
      </w:r>
      <w:r w:rsidR="0007776B">
        <w:t>6</w:t>
      </w:r>
      <w:r w:rsidR="001673F1">
        <w:t>-18% o</w:t>
      </w:r>
      <w:r w:rsidR="00A801EA">
        <w:t xml:space="preserve">f stays in </w:t>
      </w:r>
      <w:r w:rsidR="00E016A6">
        <w:t>all regional areas</w:t>
      </w:r>
      <w:r w:rsidR="00854983">
        <w:t xml:space="preserve">, compared with only </w:t>
      </w:r>
      <w:r w:rsidR="0063181C">
        <w:t>7.</w:t>
      </w:r>
      <w:r w:rsidR="00FD2A17">
        <w:t>7</w:t>
      </w:r>
      <w:r w:rsidR="0063181C">
        <w:t xml:space="preserve">% of </w:t>
      </w:r>
      <w:r w:rsidR="004E2EBB">
        <w:t>those staying in major cities</w:t>
      </w:r>
      <w:r w:rsidR="00146233">
        <w:t>.</w:t>
      </w:r>
    </w:p>
    <w:p w14:paraId="1596EAC9" w14:textId="738479EE" w:rsidR="00A9782D" w:rsidRDefault="00A9782D" w:rsidP="00A9782D">
      <w:pPr>
        <w:pStyle w:val="Caption"/>
      </w:pPr>
      <w:bookmarkStart w:id="173" w:name="_Ref68878541"/>
      <w:bookmarkStart w:id="174" w:name="_Toc7587855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9</w:t>
      </w:r>
      <w:r w:rsidR="008949B3">
        <w:rPr>
          <w:noProof/>
        </w:rPr>
        <w:fldChar w:fldCharType="end"/>
      </w:r>
      <w:bookmarkEnd w:id="173"/>
      <w:r>
        <w:t xml:space="preserve">: </w:t>
      </w:r>
      <w:r w:rsidR="003A1EBD">
        <w:t>Accommodation</w:t>
      </w:r>
      <w:r>
        <w:t xml:space="preserve"> type </w:t>
      </w:r>
      <w:r w:rsidR="008E786A">
        <w:t>used by</w:t>
      </w:r>
      <w:r>
        <w:t xml:space="preserve"> WHMs</w:t>
      </w:r>
      <w:r w:rsidR="008E786A">
        <w:t>,</w:t>
      </w:r>
      <w:r>
        <w:t xml:space="preserve"> by region</w:t>
      </w:r>
      <w:bookmarkEnd w:id="174"/>
    </w:p>
    <w:p w14:paraId="1A79A3F1" w14:textId="618D7B7A" w:rsidR="00556355" w:rsidRDefault="004B366A" w:rsidP="00273D3C">
      <w:r>
        <w:rPr>
          <w:noProof/>
          <w:lang w:eastAsia="en-AU"/>
        </w:rPr>
        <w:drawing>
          <wp:inline distT="0" distB="0" distL="0" distR="0" wp14:anchorId="374052F5" wp14:editId="6240BFDA">
            <wp:extent cx="5731510" cy="2268747"/>
            <wp:effectExtent l="0" t="0" r="2540" b="17780"/>
            <wp:docPr id="28" name="Chart 28" descr="Figure 6-9 Chart showing accommodation type used by WHMs, by region.">
              <a:extLst xmlns:a="http://schemas.openxmlformats.org/drawingml/2006/main">
                <a:ext uri="{FF2B5EF4-FFF2-40B4-BE49-F238E27FC236}">
                  <a16:creationId xmlns:a16="http://schemas.microsoft.com/office/drawing/2014/main" id="{4DA43863-F45D-454A-AE85-698113E15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160E396" w14:textId="4FAEC401" w:rsidR="00A36F47" w:rsidRDefault="00A36F47" w:rsidP="00A36F47">
      <w:pPr>
        <w:pStyle w:val="Tablenote"/>
      </w:pPr>
      <w:r>
        <w:t>Note, labels are not shown when less than 5%.</w:t>
      </w:r>
    </w:p>
    <w:p w14:paraId="1037C357" w14:textId="66A72B06" w:rsidR="001068C7" w:rsidRDefault="007B6D3B" w:rsidP="008429BE">
      <w:pPr>
        <w:pStyle w:val="Tablenote"/>
      </w:pPr>
      <w:r w:rsidRPr="009D07D8">
        <w:t xml:space="preserve">Source: </w:t>
      </w:r>
      <w:r w:rsidR="00047CCD">
        <w:t>WHM</w:t>
      </w:r>
      <w:r w:rsidRPr="009D07D8">
        <w:t xml:space="preserve"> Survey, 2020.</w:t>
      </w:r>
    </w:p>
    <w:p w14:paraId="67C620A2" w14:textId="64CB4BAB" w:rsidR="0047252D" w:rsidRPr="002C2C49" w:rsidRDefault="0047252D" w:rsidP="0047252D">
      <w:r w:rsidRPr="002C2C49">
        <w:t xml:space="preserve">Short term </w:t>
      </w:r>
      <w:r w:rsidR="004A2C7F" w:rsidRPr="002C2C49">
        <w:t>stays were relatively common amongst WHMs</w:t>
      </w:r>
      <w:r w:rsidR="00823771" w:rsidRPr="002C2C49">
        <w:t xml:space="preserve"> (</w:t>
      </w:r>
      <w:r w:rsidR="001151DC">
        <w:t>s</w:t>
      </w:r>
      <w:r w:rsidR="00823771" w:rsidRPr="002C2C49">
        <w:t>ee</w:t>
      </w:r>
      <w:r w:rsidR="00641ADC" w:rsidRPr="002C2C49">
        <w:t xml:space="preserve"> </w:t>
      </w:r>
      <w:r w:rsidR="00641ADC" w:rsidRPr="002C2C49">
        <w:fldChar w:fldCharType="begin"/>
      </w:r>
      <w:r w:rsidR="00641ADC" w:rsidRPr="002C2C49">
        <w:instrText xml:space="preserve"> REF _Ref68088536 \h </w:instrText>
      </w:r>
      <w:r w:rsidR="002C2C49">
        <w:instrText xml:space="preserve"> \* MERGEFORMAT </w:instrText>
      </w:r>
      <w:r w:rsidR="00641ADC" w:rsidRPr="002C2C49">
        <w:fldChar w:fldCharType="separate"/>
      </w:r>
      <w:r w:rsidR="00F22012">
        <w:t xml:space="preserve">Table </w:t>
      </w:r>
      <w:r w:rsidR="00F22012">
        <w:rPr>
          <w:noProof/>
        </w:rPr>
        <w:t>6</w:t>
      </w:r>
      <w:r w:rsidR="00F22012">
        <w:rPr>
          <w:noProof/>
        </w:rPr>
        <w:noBreakHyphen/>
        <w:t>1</w:t>
      </w:r>
      <w:r w:rsidR="00641ADC" w:rsidRPr="002C2C49">
        <w:fldChar w:fldCharType="end"/>
      </w:r>
      <w:r w:rsidR="007D49F4" w:rsidRPr="002C2C49">
        <w:t>)</w:t>
      </w:r>
      <w:r w:rsidR="004A2C7F" w:rsidRPr="002C2C49">
        <w:t xml:space="preserve">. </w:t>
      </w:r>
      <w:r w:rsidR="00A63D31" w:rsidRPr="002C2C49">
        <w:t xml:space="preserve">Excluding responses indicating </w:t>
      </w:r>
      <w:r w:rsidR="00527B05" w:rsidRPr="002C2C49">
        <w:t xml:space="preserve">no time spent at a location, </w:t>
      </w:r>
      <w:r w:rsidR="00D80955" w:rsidRPr="002C2C49">
        <w:t xml:space="preserve">the most common duration of stay was shorter than </w:t>
      </w:r>
      <w:r w:rsidR="00407031">
        <w:t>one</w:t>
      </w:r>
      <w:r w:rsidR="00D80955" w:rsidRPr="002C2C49">
        <w:t xml:space="preserve"> week</w:t>
      </w:r>
      <w:r w:rsidR="0051341C" w:rsidRPr="002C2C49">
        <w:t xml:space="preserve">, </w:t>
      </w:r>
      <w:r w:rsidR="00F22F10">
        <w:t>a finding</w:t>
      </w:r>
      <w:r w:rsidR="0051341C" w:rsidRPr="002C2C49">
        <w:t xml:space="preserve"> consistent across all </w:t>
      </w:r>
      <w:r w:rsidR="00F22F10">
        <w:t>s</w:t>
      </w:r>
      <w:r w:rsidR="0051341C" w:rsidRPr="002C2C49">
        <w:t>tates</w:t>
      </w:r>
      <w:r w:rsidR="00F22F10">
        <w:t xml:space="preserve"> and territories</w:t>
      </w:r>
      <w:r w:rsidR="0051341C" w:rsidRPr="002C2C49">
        <w:t xml:space="preserve">. </w:t>
      </w:r>
      <w:r w:rsidR="008B6D8A" w:rsidRPr="002C2C49">
        <w:t xml:space="preserve">In </w:t>
      </w:r>
      <w:r w:rsidR="00D34483" w:rsidRPr="002C2C49">
        <w:t xml:space="preserve">the </w:t>
      </w:r>
      <w:r w:rsidR="003E4BD2">
        <w:t>Australian Capital Territory</w:t>
      </w:r>
      <w:r w:rsidR="00D34483" w:rsidRPr="002C2C49">
        <w:t xml:space="preserve">, Tasmania, and the Northern Territory, stays of less than </w:t>
      </w:r>
      <w:r w:rsidR="009B6B55">
        <w:t>one</w:t>
      </w:r>
      <w:r w:rsidR="00D34483" w:rsidRPr="002C2C49">
        <w:t xml:space="preserve"> week were considerably more common than in the other </w:t>
      </w:r>
      <w:r w:rsidR="00A035BE">
        <w:t>s</w:t>
      </w:r>
      <w:r w:rsidR="00D34483" w:rsidRPr="002C2C49">
        <w:t xml:space="preserve">tates. </w:t>
      </w:r>
      <w:r w:rsidR="00DE65C7" w:rsidRPr="002C2C49">
        <w:t xml:space="preserve">In </w:t>
      </w:r>
      <w:r w:rsidR="003E4BD2">
        <w:t>New South Wales</w:t>
      </w:r>
      <w:r w:rsidR="00DE65C7" w:rsidRPr="002C2C49">
        <w:t xml:space="preserve">, Victoria, Queensland, and </w:t>
      </w:r>
      <w:r w:rsidR="003E4BD2">
        <w:t>Western Australia</w:t>
      </w:r>
      <w:r w:rsidR="00DE65C7" w:rsidRPr="002C2C49">
        <w:t xml:space="preserve">, </w:t>
      </w:r>
      <w:r w:rsidR="008444CE" w:rsidRPr="002C2C49">
        <w:t xml:space="preserve">the second most common stay duration was 4 to 12 weeks, and </w:t>
      </w:r>
      <w:r w:rsidR="00275AB4" w:rsidRPr="002C2C49">
        <w:t xml:space="preserve">the third most common stay </w:t>
      </w:r>
      <w:r w:rsidR="00A43130" w:rsidRPr="002C2C49">
        <w:t xml:space="preserve">duration was 12 to 26 weeks. </w:t>
      </w:r>
      <w:r w:rsidR="00C14831" w:rsidRPr="0058060D">
        <w:t>The median duration of accommodation stay was consistent across Australia, standing at 4 weeks for stays in New South Wales, Victoria, Queensland and Western Australia, 2 weeks for stays in South Australia, and 1 week for stays in Tasmania, Northern Territory, and the ACT.</w:t>
      </w:r>
    </w:p>
    <w:p w14:paraId="0D5ADF9A" w14:textId="694F52F4" w:rsidR="00E836DE" w:rsidRDefault="00E836DE" w:rsidP="00E836DE">
      <w:pPr>
        <w:pStyle w:val="Caption"/>
      </w:pPr>
      <w:bookmarkStart w:id="175" w:name="_Ref68088536"/>
      <w:bookmarkStart w:id="176" w:name="_Toc75878604"/>
      <w:r>
        <w:t xml:space="preserve">Table </w:t>
      </w:r>
      <w:r>
        <w:fldChar w:fldCharType="begin"/>
      </w:r>
      <w:r>
        <w:instrText>STYLEREF 1 \s</w:instrText>
      </w:r>
      <w:r>
        <w:fldChar w:fldCharType="separate"/>
      </w:r>
      <w:r w:rsidR="00F22012">
        <w:rPr>
          <w:noProof/>
        </w:rPr>
        <w:t>6</w:t>
      </w:r>
      <w:r>
        <w:fldChar w:fldCharType="end"/>
      </w:r>
      <w:r w:rsidR="00E71DF1">
        <w:noBreakHyphen/>
      </w:r>
      <w:r>
        <w:fldChar w:fldCharType="begin"/>
      </w:r>
      <w:r>
        <w:instrText>SEQ Table \* ARABIC \s 1</w:instrText>
      </w:r>
      <w:r>
        <w:fldChar w:fldCharType="separate"/>
      </w:r>
      <w:r w:rsidR="00F22012">
        <w:rPr>
          <w:noProof/>
        </w:rPr>
        <w:t>1</w:t>
      </w:r>
      <w:r>
        <w:fldChar w:fldCharType="end"/>
      </w:r>
      <w:bookmarkEnd w:id="175"/>
      <w:r w:rsidR="00641ADC">
        <w:t xml:space="preserve">: Duration of </w:t>
      </w:r>
      <w:r w:rsidR="00C14FCE">
        <w:t xml:space="preserve">accommodation </w:t>
      </w:r>
      <w:r w:rsidR="00641ADC">
        <w:t>stay</w:t>
      </w:r>
      <w:r w:rsidR="00A5174B">
        <w:t>,</w:t>
      </w:r>
      <w:r w:rsidR="00641ADC">
        <w:t xml:space="preserve"> </w:t>
      </w:r>
      <w:r w:rsidR="00A5174B">
        <w:t xml:space="preserve">by </w:t>
      </w:r>
      <w:r w:rsidR="00C14FCE">
        <w:t>s</w:t>
      </w:r>
      <w:r w:rsidR="004F1557">
        <w:t>tate</w:t>
      </w:r>
      <w:r w:rsidR="00C14FCE">
        <w:t xml:space="preserve"> or territory</w:t>
      </w:r>
      <w:bookmarkEnd w:id="176"/>
    </w:p>
    <w:tbl>
      <w:tblPr>
        <w:tblStyle w:val="ListTable3-Accent1"/>
        <w:tblW w:w="5000" w:type="pct"/>
        <w:tblLook w:val="0460" w:firstRow="1" w:lastRow="1" w:firstColumn="0" w:lastColumn="0" w:noHBand="0" w:noVBand="1"/>
      </w:tblPr>
      <w:tblGrid>
        <w:gridCol w:w="2506"/>
        <w:gridCol w:w="830"/>
        <w:gridCol w:w="830"/>
        <w:gridCol w:w="829"/>
        <w:gridCol w:w="829"/>
        <w:gridCol w:w="829"/>
        <w:gridCol w:w="829"/>
        <w:gridCol w:w="829"/>
        <w:gridCol w:w="705"/>
      </w:tblGrid>
      <w:tr w:rsidR="00E836DE" w:rsidRPr="003F5538" w14:paraId="782F6C5A" w14:textId="77777777" w:rsidTr="005E4508">
        <w:trPr>
          <w:cnfStyle w:val="100000000000" w:firstRow="1" w:lastRow="0" w:firstColumn="0" w:lastColumn="0" w:oddVBand="0" w:evenVBand="0" w:oddHBand="0" w:evenHBand="0" w:firstRowFirstColumn="0" w:firstRowLastColumn="0" w:lastRowFirstColumn="0" w:lastRowLastColumn="0"/>
          <w:trHeight w:val="227"/>
        </w:trPr>
        <w:tc>
          <w:tcPr>
            <w:tcW w:w="1389" w:type="pct"/>
            <w:noWrap/>
            <w:hideMark/>
          </w:tcPr>
          <w:p w14:paraId="6B6F4CF8" w14:textId="77777777" w:rsidR="00E836DE" w:rsidRPr="0003124B" w:rsidRDefault="00E836DE" w:rsidP="00E836DE">
            <w:pPr>
              <w:spacing w:before="0"/>
              <w:rPr>
                <w:rFonts w:ascii="Calibri" w:eastAsia="Times New Roman" w:hAnsi="Calibri" w:cs="Calibri"/>
                <w:sz w:val="18"/>
                <w:szCs w:val="18"/>
                <w:lang w:eastAsia="en-AU"/>
              </w:rPr>
            </w:pPr>
          </w:p>
        </w:tc>
        <w:tc>
          <w:tcPr>
            <w:tcW w:w="460" w:type="pct"/>
            <w:noWrap/>
            <w:hideMark/>
          </w:tcPr>
          <w:p w14:paraId="27E8C21A"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NSW</w:t>
            </w:r>
          </w:p>
        </w:tc>
        <w:tc>
          <w:tcPr>
            <w:tcW w:w="460" w:type="pct"/>
            <w:noWrap/>
            <w:hideMark/>
          </w:tcPr>
          <w:p w14:paraId="276B2A9A"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VIC</w:t>
            </w:r>
          </w:p>
        </w:tc>
        <w:tc>
          <w:tcPr>
            <w:tcW w:w="460" w:type="pct"/>
            <w:noWrap/>
            <w:hideMark/>
          </w:tcPr>
          <w:p w14:paraId="554E108A"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QLD</w:t>
            </w:r>
          </w:p>
        </w:tc>
        <w:tc>
          <w:tcPr>
            <w:tcW w:w="460" w:type="pct"/>
            <w:noWrap/>
            <w:hideMark/>
          </w:tcPr>
          <w:p w14:paraId="2EDD599F"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SA</w:t>
            </w:r>
          </w:p>
        </w:tc>
        <w:tc>
          <w:tcPr>
            <w:tcW w:w="460" w:type="pct"/>
            <w:noWrap/>
            <w:hideMark/>
          </w:tcPr>
          <w:p w14:paraId="7CC3FA48"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WA</w:t>
            </w:r>
          </w:p>
        </w:tc>
        <w:tc>
          <w:tcPr>
            <w:tcW w:w="460" w:type="pct"/>
            <w:noWrap/>
            <w:hideMark/>
          </w:tcPr>
          <w:p w14:paraId="05658DFA"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TAS</w:t>
            </w:r>
          </w:p>
        </w:tc>
        <w:tc>
          <w:tcPr>
            <w:tcW w:w="460" w:type="pct"/>
            <w:noWrap/>
            <w:hideMark/>
          </w:tcPr>
          <w:p w14:paraId="24046000"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NT</w:t>
            </w:r>
          </w:p>
        </w:tc>
        <w:tc>
          <w:tcPr>
            <w:tcW w:w="392" w:type="pct"/>
            <w:noWrap/>
            <w:hideMark/>
          </w:tcPr>
          <w:p w14:paraId="56E3B1F8" w14:textId="77777777" w:rsidR="00E836DE" w:rsidRPr="00213882" w:rsidRDefault="00E836DE" w:rsidP="00E836DE">
            <w:pPr>
              <w:spacing w:before="0"/>
              <w:rPr>
                <w:rFonts w:ascii="Calibri" w:eastAsia="Times New Roman" w:hAnsi="Calibri" w:cs="Calibri"/>
                <w:sz w:val="18"/>
                <w:szCs w:val="18"/>
                <w:lang w:eastAsia="en-AU"/>
              </w:rPr>
            </w:pPr>
            <w:r w:rsidRPr="00213882">
              <w:rPr>
                <w:rFonts w:ascii="Calibri" w:eastAsia="Times New Roman" w:hAnsi="Calibri" w:cs="Calibri"/>
                <w:sz w:val="18"/>
                <w:szCs w:val="18"/>
                <w:lang w:eastAsia="en-AU"/>
              </w:rPr>
              <w:t>ACT</w:t>
            </w:r>
          </w:p>
        </w:tc>
      </w:tr>
      <w:tr w:rsidR="00E836DE" w:rsidRPr="003F5538" w14:paraId="1A82E8B4" w14:textId="77777777" w:rsidTr="005E4508">
        <w:trPr>
          <w:cnfStyle w:val="000000100000" w:firstRow="0" w:lastRow="0" w:firstColumn="0" w:lastColumn="0" w:oddVBand="0" w:evenVBand="0" w:oddHBand="1" w:evenHBand="0" w:firstRowFirstColumn="0" w:firstRowLastColumn="0" w:lastRowFirstColumn="0" w:lastRowLastColumn="0"/>
          <w:trHeight w:val="227"/>
        </w:trPr>
        <w:tc>
          <w:tcPr>
            <w:tcW w:w="1389" w:type="pct"/>
            <w:noWrap/>
            <w:hideMark/>
          </w:tcPr>
          <w:p w14:paraId="31381504"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Less than 1 week</w:t>
            </w:r>
          </w:p>
        </w:tc>
        <w:tc>
          <w:tcPr>
            <w:tcW w:w="460" w:type="pct"/>
            <w:noWrap/>
            <w:hideMark/>
          </w:tcPr>
          <w:p w14:paraId="4F8B030F" w14:textId="0BCDFD25"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31.1%</w:t>
            </w:r>
          </w:p>
        </w:tc>
        <w:tc>
          <w:tcPr>
            <w:tcW w:w="460" w:type="pct"/>
            <w:noWrap/>
            <w:hideMark/>
          </w:tcPr>
          <w:p w14:paraId="230130AA" w14:textId="3F67239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30.0%</w:t>
            </w:r>
          </w:p>
        </w:tc>
        <w:tc>
          <w:tcPr>
            <w:tcW w:w="460" w:type="pct"/>
            <w:noWrap/>
            <w:hideMark/>
          </w:tcPr>
          <w:p w14:paraId="7FB4B7E8" w14:textId="605E0FC7"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31.6%</w:t>
            </w:r>
          </w:p>
        </w:tc>
        <w:tc>
          <w:tcPr>
            <w:tcW w:w="460" w:type="pct"/>
            <w:noWrap/>
            <w:hideMark/>
          </w:tcPr>
          <w:p w14:paraId="53002A6E" w14:textId="201A729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46.6%</w:t>
            </w:r>
          </w:p>
        </w:tc>
        <w:tc>
          <w:tcPr>
            <w:tcW w:w="460" w:type="pct"/>
            <w:noWrap/>
            <w:hideMark/>
          </w:tcPr>
          <w:p w14:paraId="48688E35" w14:textId="641402EA"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28.7%</w:t>
            </w:r>
          </w:p>
        </w:tc>
        <w:tc>
          <w:tcPr>
            <w:tcW w:w="460" w:type="pct"/>
            <w:noWrap/>
            <w:hideMark/>
          </w:tcPr>
          <w:p w14:paraId="6E2475B2" w14:textId="704FE131"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49.0%</w:t>
            </w:r>
          </w:p>
        </w:tc>
        <w:tc>
          <w:tcPr>
            <w:tcW w:w="460" w:type="pct"/>
            <w:noWrap/>
            <w:hideMark/>
          </w:tcPr>
          <w:p w14:paraId="07C423D4" w14:textId="79114A40"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50.8%</w:t>
            </w:r>
          </w:p>
        </w:tc>
        <w:tc>
          <w:tcPr>
            <w:tcW w:w="392" w:type="pct"/>
            <w:noWrap/>
            <w:hideMark/>
          </w:tcPr>
          <w:p w14:paraId="0A9F40BA" w14:textId="54E3C99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65.7%</w:t>
            </w:r>
          </w:p>
        </w:tc>
      </w:tr>
      <w:tr w:rsidR="00E836DE" w:rsidRPr="003F5538" w14:paraId="09CC79B1" w14:textId="77777777" w:rsidTr="005E4508">
        <w:trPr>
          <w:trHeight w:val="227"/>
        </w:trPr>
        <w:tc>
          <w:tcPr>
            <w:tcW w:w="1389" w:type="pct"/>
            <w:noWrap/>
            <w:hideMark/>
          </w:tcPr>
          <w:p w14:paraId="2B25FFA8"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1 to 2 weeks</w:t>
            </w:r>
          </w:p>
        </w:tc>
        <w:tc>
          <w:tcPr>
            <w:tcW w:w="460" w:type="pct"/>
            <w:noWrap/>
            <w:hideMark/>
          </w:tcPr>
          <w:p w14:paraId="6BCDA7B2" w14:textId="207F7DA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11.7%</w:t>
            </w:r>
          </w:p>
        </w:tc>
        <w:tc>
          <w:tcPr>
            <w:tcW w:w="460" w:type="pct"/>
            <w:noWrap/>
            <w:hideMark/>
          </w:tcPr>
          <w:p w14:paraId="4BA7456F" w14:textId="6169F599"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11.8%</w:t>
            </w:r>
          </w:p>
        </w:tc>
        <w:tc>
          <w:tcPr>
            <w:tcW w:w="460" w:type="pct"/>
            <w:noWrap/>
            <w:hideMark/>
          </w:tcPr>
          <w:p w14:paraId="6B1F9135" w14:textId="4CB20F9D"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12.2%</w:t>
            </w:r>
          </w:p>
        </w:tc>
        <w:tc>
          <w:tcPr>
            <w:tcW w:w="460" w:type="pct"/>
            <w:noWrap/>
            <w:hideMark/>
          </w:tcPr>
          <w:p w14:paraId="35128EF2" w14:textId="3DD34F89"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11.5%</w:t>
            </w:r>
          </w:p>
        </w:tc>
        <w:tc>
          <w:tcPr>
            <w:tcW w:w="460" w:type="pct"/>
            <w:noWrap/>
            <w:hideMark/>
          </w:tcPr>
          <w:p w14:paraId="2402BAF3" w14:textId="67B5988A"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12.6%</w:t>
            </w:r>
          </w:p>
        </w:tc>
        <w:tc>
          <w:tcPr>
            <w:tcW w:w="460" w:type="pct"/>
            <w:noWrap/>
            <w:hideMark/>
          </w:tcPr>
          <w:p w14:paraId="17CAB85F" w14:textId="5BE80F1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12.3%</w:t>
            </w:r>
          </w:p>
        </w:tc>
        <w:tc>
          <w:tcPr>
            <w:tcW w:w="460" w:type="pct"/>
            <w:noWrap/>
            <w:hideMark/>
          </w:tcPr>
          <w:p w14:paraId="570FE1E9" w14:textId="6C4E7838"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11.6%</w:t>
            </w:r>
          </w:p>
        </w:tc>
        <w:tc>
          <w:tcPr>
            <w:tcW w:w="392" w:type="pct"/>
            <w:noWrap/>
            <w:hideMark/>
          </w:tcPr>
          <w:p w14:paraId="175A99D7" w14:textId="1ABA893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6.7%</w:t>
            </w:r>
          </w:p>
        </w:tc>
      </w:tr>
      <w:tr w:rsidR="00E836DE" w:rsidRPr="003F5538" w14:paraId="44985A41" w14:textId="77777777" w:rsidTr="005E4508">
        <w:trPr>
          <w:cnfStyle w:val="000000100000" w:firstRow="0" w:lastRow="0" w:firstColumn="0" w:lastColumn="0" w:oddVBand="0" w:evenVBand="0" w:oddHBand="1" w:evenHBand="0" w:firstRowFirstColumn="0" w:firstRowLastColumn="0" w:lastRowFirstColumn="0" w:lastRowLastColumn="0"/>
          <w:trHeight w:val="227"/>
        </w:trPr>
        <w:tc>
          <w:tcPr>
            <w:tcW w:w="1389" w:type="pct"/>
            <w:noWrap/>
            <w:hideMark/>
          </w:tcPr>
          <w:p w14:paraId="046531B4"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2 to 4 weeks</w:t>
            </w:r>
          </w:p>
        </w:tc>
        <w:tc>
          <w:tcPr>
            <w:tcW w:w="460" w:type="pct"/>
            <w:noWrap/>
            <w:hideMark/>
          </w:tcPr>
          <w:p w14:paraId="393074EC" w14:textId="181227FD"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10.8%</w:t>
            </w:r>
          </w:p>
        </w:tc>
        <w:tc>
          <w:tcPr>
            <w:tcW w:w="460" w:type="pct"/>
            <w:noWrap/>
            <w:hideMark/>
          </w:tcPr>
          <w:p w14:paraId="130253DC" w14:textId="66C130A9"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10.8%</w:t>
            </w:r>
          </w:p>
        </w:tc>
        <w:tc>
          <w:tcPr>
            <w:tcW w:w="460" w:type="pct"/>
            <w:noWrap/>
            <w:hideMark/>
          </w:tcPr>
          <w:p w14:paraId="5B57D565" w14:textId="44995C2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11.6%</w:t>
            </w:r>
          </w:p>
        </w:tc>
        <w:tc>
          <w:tcPr>
            <w:tcW w:w="460" w:type="pct"/>
            <w:noWrap/>
            <w:hideMark/>
          </w:tcPr>
          <w:p w14:paraId="53A25F8D" w14:textId="5A354646"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9.5%</w:t>
            </w:r>
          </w:p>
        </w:tc>
        <w:tc>
          <w:tcPr>
            <w:tcW w:w="460" w:type="pct"/>
            <w:noWrap/>
            <w:hideMark/>
          </w:tcPr>
          <w:p w14:paraId="17389897" w14:textId="4D11AD5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12.3%</w:t>
            </w:r>
          </w:p>
        </w:tc>
        <w:tc>
          <w:tcPr>
            <w:tcW w:w="460" w:type="pct"/>
            <w:noWrap/>
            <w:hideMark/>
          </w:tcPr>
          <w:p w14:paraId="71428FB3" w14:textId="54F5116A"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10.1%</w:t>
            </w:r>
          </w:p>
        </w:tc>
        <w:tc>
          <w:tcPr>
            <w:tcW w:w="460" w:type="pct"/>
            <w:noWrap/>
            <w:hideMark/>
          </w:tcPr>
          <w:p w14:paraId="218FC4BC" w14:textId="086158E8"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10.0%</w:t>
            </w:r>
          </w:p>
        </w:tc>
        <w:tc>
          <w:tcPr>
            <w:tcW w:w="392" w:type="pct"/>
            <w:noWrap/>
            <w:hideMark/>
          </w:tcPr>
          <w:p w14:paraId="237B19C5" w14:textId="20BA7FB0"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5.4%</w:t>
            </w:r>
          </w:p>
        </w:tc>
      </w:tr>
      <w:tr w:rsidR="00E836DE" w:rsidRPr="003F5538" w14:paraId="410A41DE" w14:textId="77777777" w:rsidTr="005E4508">
        <w:trPr>
          <w:trHeight w:val="227"/>
        </w:trPr>
        <w:tc>
          <w:tcPr>
            <w:tcW w:w="1389" w:type="pct"/>
            <w:noWrap/>
            <w:hideMark/>
          </w:tcPr>
          <w:p w14:paraId="23CB5897"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4 to 12 weeks</w:t>
            </w:r>
          </w:p>
        </w:tc>
        <w:tc>
          <w:tcPr>
            <w:tcW w:w="460" w:type="pct"/>
            <w:noWrap/>
            <w:hideMark/>
          </w:tcPr>
          <w:p w14:paraId="4B125EB0" w14:textId="68C44D01"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17.7%</w:t>
            </w:r>
          </w:p>
        </w:tc>
        <w:tc>
          <w:tcPr>
            <w:tcW w:w="460" w:type="pct"/>
            <w:noWrap/>
            <w:hideMark/>
          </w:tcPr>
          <w:p w14:paraId="1AC76ADE" w14:textId="02C0A3C9"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18.7%</w:t>
            </w:r>
          </w:p>
        </w:tc>
        <w:tc>
          <w:tcPr>
            <w:tcW w:w="460" w:type="pct"/>
            <w:noWrap/>
            <w:hideMark/>
          </w:tcPr>
          <w:p w14:paraId="6F5B93D2" w14:textId="5337A166"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17.8%</w:t>
            </w:r>
          </w:p>
        </w:tc>
        <w:tc>
          <w:tcPr>
            <w:tcW w:w="460" w:type="pct"/>
            <w:noWrap/>
            <w:hideMark/>
          </w:tcPr>
          <w:p w14:paraId="2742E2F1" w14:textId="2779D75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14.5%</w:t>
            </w:r>
          </w:p>
        </w:tc>
        <w:tc>
          <w:tcPr>
            <w:tcW w:w="460" w:type="pct"/>
            <w:noWrap/>
            <w:hideMark/>
          </w:tcPr>
          <w:p w14:paraId="4C08F092" w14:textId="0CAEF7B4"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20.1%</w:t>
            </w:r>
          </w:p>
        </w:tc>
        <w:tc>
          <w:tcPr>
            <w:tcW w:w="460" w:type="pct"/>
            <w:noWrap/>
            <w:hideMark/>
          </w:tcPr>
          <w:p w14:paraId="0E01F3A6" w14:textId="46FFDFA4"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15.5%</w:t>
            </w:r>
          </w:p>
        </w:tc>
        <w:tc>
          <w:tcPr>
            <w:tcW w:w="460" w:type="pct"/>
            <w:noWrap/>
            <w:hideMark/>
          </w:tcPr>
          <w:p w14:paraId="7BECDC47" w14:textId="0B13C59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12.5%</w:t>
            </w:r>
          </w:p>
        </w:tc>
        <w:tc>
          <w:tcPr>
            <w:tcW w:w="392" w:type="pct"/>
            <w:noWrap/>
            <w:hideMark/>
          </w:tcPr>
          <w:p w14:paraId="48CB79BE" w14:textId="66E58B4F"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7.6%</w:t>
            </w:r>
          </w:p>
        </w:tc>
      </w:tr>
      <w:tr w:rsidR="00E836DE" w:rsidRPr="003F5538" w14:paraId="42CBB9EF" w14:textId="77777777" w:rsidTr="005E4508">
        <w:trPr>
          <w:cnfStyle w:val="000000100000" w:firstRow="0" w:lastRow="0" w:firstColumn="0" w:lastColumn="0" w:oddVBand="0" w:evenVBand="0" w:oddHBand="1" w:evenHBand="0" w:firstRowFirstColumn="0" w:firstRowLastColumn="0" w:lastRowFirstColumn="0" w:lastRowLastColumn="0"/>
          <w:trHeight w:val="227"/>
        </w:trPr>
        <w:tc>
          <w:tcPr>
            <w:tcW w:w="1389" w:type="pct"/>
            <w:noWrap/>
            <w:hideMark/>
          </w:tcPr>
          <w:p w14:paraId="418DC54E"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12 to 26 weeks</w:t>
            </w:r>
          </w:p>
        </w:tc>
        <w:tc>
          <w:tcPr>
            <w:tcW w:w="460" w:type="pct"/>
            <w:noWrap/>
            <w:hideMark/>
          </w:tcPr>
          <w:p w14:paraId="76D70B23" w14:textId="18C6FC9F"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16.1%</w:t>
            </w:r>
          </w:p>
        </w:tc>
        <w:tc>
          <w:tcPr>
            <w:tcW w:w="460" w:type="pct"/>
            <w:noWrap/>
            <w:hideMark/>
          </w:tcPr>
          <w:p w14:paraId="32D33AB2" w14:textId="438D3E41"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16.3%</w:t>
            </w:r>
          </w:p>
        </w:tc>
        <w:tc>
          <w:tcPr>
            <w:tcW w:w="460" w:type="pct"/>
            <w:noWrap/>
            <w:hideMark/>
          </w:tcPr>
          <w:p w14:paraId="6C7F979A" w14:textId="6062D18F"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18.0%</w:t>
            </w:r>
          </w:p>
        </w:tc>
        <w:tc>
          <w:tcPr>
            <w:tcW w:w="460" w:type="pct"/>
            <w:noWrap/>
            <w:hideMark/>
          </w:tcPr>
          <w:p w14:paraId="75E7E016" w14:textId="21BDB08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10.9%</w:t>
            </w:r>
          </w:p>
        </w:tc>
        <w:tc>
          <w:tcPr>
            <w:tcW w:w="460" w:type="pct"/>
            <w:noWrap/>
            <w:hideMark/>
          </w:tcPr>
          <w:p w14:paraId="5B8C909F" w14:textId="1943264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15.9%</w:t>
            </w:r>
          </w:p>
        </w:tc>
        <w:tc>
          <w:tcPr>
            <w:tcW w:w="460" w:type="pct"/>
            <w:noWrap/>
            <w:hideMark/>
          </w:tcPr>
          <w:p w14:paraId="3A94FB81" w14:textId="11FF283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9.0%</w:t>
            </w:r>
          </w:p>
        </w:tc>
        <w:tc>
          <w:tcPr>
            <w:tcW w:w="460" w:type="pct"/>
            <w:noWrap/>
            <w:hideMark/>
          </w:tcPr>
          <w:p w14:paraId="0081523E" w14:textId="058A13AE"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9.3%</w:t>
            </w:r>
          </w:p>
        </w:tc>
        <w:tc>
          <w:tcPr>
            <w:tcW w:w="392" w:type="pct"/>
            <w:noWrap/>
            <w:hideMark/>
          </w:tcPr>
          <w:p w14:paraId="7C3CC7D9" w14:textId="320DD3B8"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8.0%</w:t>
            </w:r>
          </w:p>
        </w:tc>
      </w:tr>
      <w:tr w:rsidR="00E836DE" w:rsidRPr="003F5538" w14:paraId="131999EF" w14:textId="77777777" w:rsidTr="005E4508">
        <w:trPr>
          <w:trHeight w:val="227"/>
        </w:trPr>
        <w:tc>
          <w:tcPr>
            <w:tcW w:w="1389" w:type="pct"/>
            <w:noWrap/>
            <w:hideMark/>
          </w:tcPr>
          <w:p w14:paraId="1CA8CCA2" w14:textId="77777777"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26 to 52 weeks</w:t>
            </w:r>
          </w:p>
        </w:tc>
        <w:tc>
          <w:tcPr>
            <w:tcW w:w="460" w:type="pct"/>
            <w:noWrap/>
            <w:hideMark/>
          </w:tcPr>
          <w:p w14:paraId="12BF2F48" w14:textId="675A93ED"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10.2%</w:t>
            </w:r>
          </w:p>
        </w:tc>
        <w:tc>
          <w:tcPr>
            <w:tcW w:w="460" w:type="pct"/>
            <w:noWrap/>
            <w:hideMark/>
          </w:tcPr>
          <w:p w14:paraId="4B859B1F" w14:textId="5D6B4361"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10.2%</w:t>
            </w:r>
          </w:p>
        </w:tc>
        <w:tc>
          <w:tcPr>
            <w:tcW w:w="460" w:type="pct"/>
            <w:noWrap/>
            <w:hideMark/>
          </w:tcPr>
          <w:p w14:paraId="5F9CD66B" w14:textId="10234C3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6.6%</w:t>
            </w:r>
          </w:p>
        </w:tc>
        <w:tc>
          <w:tcPr>
            <w:tcW w:w="460" w:type="pct"/>
            <w:noWrap/>
            <w:hideMark/>
          </w:tcPr>
          <w:p w14:paraId="1EDA9EC4" w14:textId="1C3BE3A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5.3%</w:t>
            </w:r>
          </w:p>
        </w:tc>
        <w:tc>
          <w:tcPr>
            <w:tcW w:w="460" w:type="pct"/>
            <w:noWrap/>
            <w:hideMark/>
          </w:tcPr>
          <w:p w14:paraId="44097B27" w14:textId="373FC726"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8.5%</w:t>
            </w:r>
          </w:p>
        </w:tc>
        <w:tc>
          <w:tcPr>
            <w:tcW w:w="460" w:type="pct"/>
            <w:noWrap/>
            <w:hideMark/>
          </w:tcPr>
          <w:p w14:paraId="3AC6589E" w14:textId="200C9A6E"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2.9%</w:t>
            </w:r>
          </w:p>
        </w:tc>
        <w:tc>
          <w:tcPr>
            <w:tcW w:w="460" w:type="pct"/>
            <w:noWrap/>
            <w:hideMark/>
          </w:tcPr>
          <w:p w14:paraId="664269E2" w14:textId="27039A77"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4.3%</w:t>
            </w:r>
          </w:p>
        </w:tc>
        <w:tc>
          <w:tcPr>
            <w:tcW w:w="392" w:type="pct"/>
            <w:noWrap/>
            <w:hideMark/>
          </w:tcPr>
          <w:p w14:paraId="1CE4DDB1" w14:textId="3136DDEC"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5.8%</w:t>
            </w:r>
          </w:p>
        </w:tc>
      </w:tr>
      <w:tr w:rsidR="00E836DE" w:rsidRPr="003F5538" w14:paraId="215F426F" w14:textId="77777777" w:rsidTr="005E4508">
        <w:trPr>
          <w:cnfStyle w:val="000000100000" w:firstRow="0" w:lastRow="0" w:firstColumn="0" w:lastColumn="0" w:oddVBand="0" w:evenVBand="0" w:oddHBand="1" w:evenHBand="0" w:firstRowFirstColumn="0" w:firstRowLastColumn="0" w:lastRowFirstColumn="0" w:lastRowLastColumn="0"/>
          <w:trHeight w:val="227"/>
        </w:trPr>
        <w:tc>
          <w:tcPr>
            <w:tcW w:w="1389" w:type="pct"/>
            <w:noWrap/>
            <w:hideMark/>
          </w:tcPr>
          <w:p w14:paraId="58331601" w14:textId="53F7BE55" w:rsidR="00E836DE" w:rsidRPr="0003124B" w:rsidRDefault="00E836DE" w:rsidP="00E836DE">
            <w:pPr>
              <w:spacing w:before="0"/>
              <w:rPr>
                <w:rFonts w:ascii="Calibri" w:eastAsia="Times New Roman" w:hAnsi="Calibri" w:cs="Calibri"/>
                <w:color w:val="000000"/>
                <w:sz w:val="18"/>
                <w:szCs w:val="18"/>
                <w:lang w:eastAsia="en-AU"/>
              </w:rPr>
            </w:pPr>
            <w:r w:rsidRPr="0003124B">
              <w:rPr>
                <w:rFonts w:ascii="Calibri" w:eastAsia="Times New Roman" w:hAnsi="Calibri" w:cs="Calibri"/>
                <w:color w:val="000000"/>
                <w:sz w:val="18"/>
                <w:szCs w:val="18"/>
                <w:lang w:eastAsia="en-AU"/>
              </w:rPr>
              <w:t>More than 52 weeks</w:t>
            </w:r>
          </w:p>
        </w:tc>
        <w:tc>
          <w:tcPr>
            <w:tcW w:w="460" w:type="pct"/>
            <w:noWrap/>
            <w:hideMark/>
          </w:tcPr>
          <w:p w14:paraId="3ADFF656" w14:textId="2B1BE3F0"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2.4%</w:t>
            </w:r>
          </w:p>
        </w:tc>
        <w:tc>
          <w:tcPr>
            <w:tcW w:w="460" w:type="pct"/>
            <w:noWrap/>
            <w:hideMark/>
          </w:tcPr>
          <w:p w14:paraId="3CFA1024" w14:textId="075D4571"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2.3%</w:t>
            </w:r>
          </w:p>
        </w:tc>
        <w:tc>
          <w:tcPr>
            <w:tcW w:w="460" w:type="pct"/>
            <w:noWrap/>
            <w:hideMark/>
          </w:tcPr>
          <w:p w14:paraId="604A192E" w14:textId="7C16FCF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2.1%</w:t>
            </w:r>
          </w:p>
        </w:tc>
        <w:tc>
          <w:tcPr>
            <w:tcW w:w="460" w:type="pct"/>
            <w:noWrap/>
            <w:hideMark/>
          </w:tcPr>
          <w:p w14:paraId="15B4ED54" w14:textId="3C5F5900"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1.6%</w:t>
            </w:r>
          </w:p>
        </w:tc>
        <w:tc>
          <w:tcPr>
            <w:tcW w:w="460" w:type="pct"/>
            <w:noWrap/>
            <w:hideMark/>
          </w:tcPr>
          <w:p w14:paraId="59016D68" w14:textId="07A8B66A"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1.9%</w:t>
            </w:r>
          </w:p>
        </w:tc>
        <w:tc>
          <w:tcPr>
            <w:tcW w:w="460" w:type="pct"/>
            <w:noWrap/>
            <w:hideMark/>
          </w:tcPr>
          <w:p w14:paraId="26CF09F9" w14:textId="0D4E4A52"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1.0%</w:t>
            </w:r>
          </w:p>
        </w:tc>
        <w:tc>
          <w:tcPr>
            <w:tcW w:w="460" w:type="pct"/>
            <w:noWrap/>
            <w:hideMark/>
          </w:tcPr>
          <w:p w14:paraId="6FBE4B1A" w14:textId="1C18594B"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1.6%</w:t>
            </w:r>
          </w:p>
        </w:tc>
        <w:tc>
          <w:tcPr>
            <w:tcW w:w="392" w:type="pct"/>
            <w:noWrap/>
            <w:hideMark/>
          </w:tcPr>
          <w:p w14:paraId="725426BE" w14:textId="735B78B3" w:rsidR="00E836DE" w:rsidRPr="0003124B" w:rsidRDefault="00987BAF" w:rsidP="00E836DE">
            <w:pPr>
              <w:spacing w:before="0"/>
              <w:jc w:val="right"/>
              <w:rPr>
                <w:rFonts w:ascii="Calibri" w:eastAsia="Times New Roman" w:hAnsi="Calibri" w:cs="Calibri"/>
                <w:color w:val="000000"/>
                <w:sz w:val="18"/>
                <w:szCs w:val="18"/>
                <w:lang w:eastAsia="en-AU"/>
              </w:rPr>
            </w:pPr>
            <w:r w:rsidRPr="003F5538">
              <w:rPr>
                <w:rFonts w:ascii="Calibri" w:hAnsi="Calibri" w:cs="Calibri"/>
                <w:sz w:val="18"/>
                <w:szCs w:val="18"/>
              </w:rPr>
              <w:t>0.</w:t>
            </w:r>
            <w:r w:rsidR="00E836DE" w:rsidRPr="003F5538">
              <w:rPr>
                <w:rFonts w:ascii="Calibri" w:hAnsi="Calibri" w:cs="Calibri"/>
                <w:sz w:val="18"/>
                <w:szCs w:val="18"/>
              </w:rPr>
              <w:t>8</w:t>
            </w:r>
            <w:r w:rsidRPr="003F5538">
              <w:rPr>
                <w:rFonts w:ascii="Calibri" w:hAnsi="Calibri" w:cs="Calibri"/>
                <w:sz w:val="18"/>
                <w:szCs w:val="18"/>
              </w:rPr>
              <w:t>%</w:t>
            </w:r>
          </w:p>
        </w:tc>
      </w:tr>
      <w:tr w:rsidR="00474117" w:rsidRPr="003F5538" w14:paraId="40E21CE0" w14:textId="77777777" w:rsidTr="00474117">
        <w:trPr>
          <w:cnfStyle w:val="010000000000" w:firstRow="0" w:lastRow="1" w:firstColumn="0" w:lastColumn="0" w:oddVBand="0" w:evenVBand="0" w:oddHBand="0" w:evenHBand="0" w:firstRowFirstColumn="0" w:firstRowLastColumn="0" w:lastRowFirstColumn="0" w:lastRowLastColumn="0"/>
          <w:trHeight w:val="227"/>
        </w:trPr>
        <w:tc>
          <w:tcPr>
            <w:tcW w:w="1389" w:type="pct"/>
            <w:tcBorders>
              <w:top w:val="none" w:sz="0" w:space="0" w:color="auto"/>
            </w:tcBorders>
            <w:noWrap/>
          </w:tcPr>
          <w:p w14:paraId="4E803E03" w14:textId="0B66B1F8" w:rsidR="003D29CB" w:rsidRPr="00474117" w:rsidRDefault="003D29CB" w:rsidP="00E836DE">
            <w:pPr>
              <w:spacing w:before="0"/>
              <w:rPr>
                <w:rFonts w:ascii="Calibri" w:eastAsia="Times New Roman" w:hAnsi="Calibri" w:cs="Calibri"/>
                <w:b w:val="0"/>
                <w:bCs w:val="0"/>
                <w:color w:val="000000"/>
                <w:sz w:val="18"/>
                <w:szCs w:val="18"/>
                <w:lang w:eastAsia="en-AU"/>
              </w:rPr>
            </w:pPr>
            <w:r w:rsidRPr="00474117">
              <w:rPr>
                <w:rFonts w:ascii="Calibri" w:eastAsia="Times New Roman" w:hAnsi="Calibri" w:cs="Calibri"/>
                <w:b w:val="0"/>
                <w:bCs w:val="0"/>
                <w:color w:val="000000"/>
                <w:sz w:val="18"/>
                <w:szCs w:val="18"/>
                <w:lang w:eastAsia="en-AU"/>
              </w:rPr>
              <w:t>Median</w:t>
            </w:r>
            <w:r w:rsidR="00E35BD0" w:rsidRPr="00474117">
              <w:rPr>
                <w:rFonts w:ascii="Calibri" w:eastAsia="Times New Roman" w:hAnsi="Calibri" w:cs="Calibri"/>
                <w:b w:val="0"/>
                <w:bCs w:val="0"/>
                <w:color w:val="000000"/>
                <w:sz w:val="18"/>
                <w:szCs w:val="18"/>
                <w:lang w:eastAsia="en-AU"/>
              </w:rPr>
              <w:t xml:space="preserve"> (weeks)</w:t>
            </w:r>
          </w:p>
        </w:tc>
        <w:tc>
          <w:tcPr>
            <w:tcW w:w="460" w:type="pct"/>
            <w:tcBorders>
              <w:top w:val="none" w:sz="0" w:space="0" w:color="auto"/>
            </w:tcBorders>
            <w:noWrap/>
          </w:tcPr>
          <w:p w14:paraId="28D7E583" w14:textId="11AA38B1" w:rsidR="003D29CB" w:rsidRPr="00474117" w:rsidRDefault="00E35BD0"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4</w:t>
            </w:r>
          </w:p>
        </w:tc>
        <w:tc>
          <w:tcPr>
            <w:tcW w:w="460" w:type="pct"/>
            <w:tcBorders>
              <w:top w:val="none" w:sz="0" w:space="0" w:color="auto"/>
            </w:tcBorders>
            <w:noWrap/>
          </w:tcPr>
          <w:p w14:paraId="7D8CA60E" w14:textId="63FA410A" w:rsidR="003D29CB" w:rsidRPr="00474117" w:rsidRDefault="001C5A8F"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4</w:t>
            </w:r>
          </w:p>
        </w:tc>
        <w:tc>
          <w:tcPr>
            <w:tcW w:w="460" w:type="pct"/>
            <w:tcBorders>
              <w:top w:val="none" w:sz="0" w:space="0" w:color="auto"/>
            </w:tcBorders>
            <w:noWrap/>
          </w:tcPr>
          <w:p w14:paraId="17CB74A1" w14:textId="129E1BCA" w:rsidR="003D29CB" w:rsidRPr="00474117" w:rsidRDefault="001C5A8F"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4</w:t>
            </w:r>
          </w:p>
        </w:tc>
        <w:tc>
          <w:tcPr>
            <w:tcW w:w="460" w:type="pct"/>
            <w:tcBorders>
              <w:top w:val="none" w:sz="0" w:space="0" w:color="auto"/>
            </w:tcBorders>
            <w:noWrap/>
          </w:tcPr>
          <w:p w14:paraId="7345FC9B" w14:textId="1EFBA28F" w:rsidR="003D29CB" w:rsidRPr="00474117" w:rsidRDefault="00011260"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2</w:t>
            </w:r>
          </w:p>
        </w:tc>
        <w:tc>
          <w:tcPr>
            <w:tcW w:w="460" w:type="pct"/>
            <w:tcBorders>
              <w:top w:val="none" w:sz="0" w:space="0" w:color="auto"/>
            </w:tcBorders>
            <w:noWrap/>
          </w:tcPr>
          <w:p w14:paraId="5EF8C862" w14:textId="36CE2F5C" w:rsidR="003D29CB" w:rsidRPr="00474117" w:rsidRDefault="00011260"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4</w:t>
            </w:r>
          </w:p>
        </w:tc>
        <w:tc>
          <w:tcPr>
            <w:tcW w:w="460" w:type="pct"/>
            <w:tcBorders>
              <w:top w:val="none" w:sz="0" w:space="0" w:color="auto"/>
            </w:tcBorders>
            <w:noWrap/>
          </w:tcPr>
          <w:p w14:paraId="092C3E08" w14:textId="4AA49F96" w:rsidR="003D29CB" w:rsidRPr="00474117" w:rsidRDefault="002F30E4"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1</w:t>
            </w:r>
          </w:p>
        </w:tc>
        <w:tc>
          <w:tcPr>
            <w:tcW w:w="460" w:type="pct"/>
            <w:tcBorders>
              <w:top w:val="none" w:sz="0" w:space="0" w:color="auto"/>
            </w:tcBorders>
            <w:noWrap/>
          </w:tcPr>
          <w:p w14:paraId="01547800" w14:textId="288B1F33" w:rsidR="003D29CB" w:rsidRPr="00474117" w:rsidRDefault="002F30E4"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1</w:t>
            </w:r>
          </w:p>
        </w:tc>
        <w:tc>
          <w:tcPr>
            <w:tcW w:w="392" w:type="pct"/>
            <w:tcBorders>
              <w:top w:val="none" w:sz="0" w:space="0" w:color="auto"/>
            </w:tcBorders>
            <w:noWrap/>
          </w:tcPr>
          <w:p w14:paraId="208C493B" w14:textId="7C38BBF8" w:rsidR="003D29CB" w:rsidRPr="00474117" w:rsidRDefault="002F30E4" w:rsidP="00474117">
            <w:pPr>
              <w:spacing w:before="0"/>
              <w:jc w:val="center"/>
              <w:rPr>
                <w:rFonts w:ascii="Calibri" w:hAnsi="Calibri" w:cs="Calibri"/>
                <w:b w:val="0"/>
                <w:bCs w:val="0"/>
                <w:sz w:val="18"/>
                <w:szCs w:val="18"/>
              </w:rPr>
            </w:pPr>
            <w:r w:rsidRPr="00474117">
              <w:rPr>
                <w:rFonts w:ascii="Calibri" w:hAnsi="Calibri" w:cs="Calibri"/>
                <w:b w:val="0"/>
                <w:bCs w:val="0"/>
                <w:sz w:val="18"/>
                <w:szCs w:val="18"/>
              </w:rPr>
              <w:t>1</w:t>
            </w:r>
          </w:p>
        </w:tc>
      </w:tr>
    </w:tbl>
    <w:p w14:paraId="5FDBC453" w14:textId="252E77E6" w:rsidR="00E836DE" w:rsidRPr="00483C01" w:rsidRDefault="00546E2F" w:rsidP="00DA4A18">
      <w:pPr>
        <w:pStyle w:val="Tablenote"/>
      </w:pPr>
      <w:r w:rsidRPr="00483C01">
        <w:t>Note</w:t>
      </w:r>
      <w:r w:rsidR="0024081F">
        <w:t>,</w:t>
      </w:r>
      <w:r w:rsidRPr="00483C01">
        <w:t xml:space="preserve"> Based on </w:t>
      </w:r>
      <w:r w:rsidR="00802F61">
        <w:t>53,498</w:t>
      </w:r>
      <w:r w:rsidRPr="00483C01">
        <w:t xml:space="preserve"> </w:t>
      </w:r>
      <w:r w:rsidR="00BC08AE" w:rsidRPr="00483C01">
        <w:t>recorded stays</w:t>
      </w:r>
      <w:r w:rsidR="00E16368">
        <w:t>. Excludes</w:t>
      </w:r>
      <w:r w:rsidR="00AC4EF2">
        <w:t xml:space="preserve"> stays</w:t>
      </w:r>
      <w:r w:rsidR="00BF3A78">
        <w:t xml:space="preserve"> of </w:t>
      </w:r>
      <w:r w:rsidR="0001224E" w:rsidRPr="00483C01">
        <w:t>0 weeks</w:t>
      </w:r>
      <w:r w:rsidR="00AC4EF2">
        <w:t xml:space="preserve"> a</w:t>
      </w:r>
      <w:r w:rsidR="00B222FD">
        <w:t>n</w:t>
      </w:r>
      <w:r w:rsidR="00AC4EF2">
        <w:t>d missing data</w:t>
      </w:r>
      <w:r w:rsidR="007C1CED" w:rsidRPr="00483C01">
        <w:t xml:space="preserve">. </w:t>
      </w:r>
    </w:p>
    <w:p w14:paraId="45189127" w14:textId="03F32AF7" w:rsidR="007B6D3B" w:rsidRDefault="007B6D3B" w:rsidP="007B6D3B">
      <w:pPr>
        <w:pStyle w:val="Tablenote"/>
      </w:pPr>
      <w:r w:rsidRPr="009D07D8">
        <w:t xml:space="preserve">Source: </w:t>
      </w:r>
      <w:r w:rsidR="00047CCD">
        <w:t>WHM</w:t>
      </w:r>
      <w:r w:rsidRPr="009D07D8">
        <w:t xml:space="preserve"> Survey, 2020.</w:t>
      </w:r>
    </w:p>
    <w:p w14:paraId="1F1F5A9A" w14:textId="1290A501" w:rsidR="0047252D" w:rsidRPr="00483C01" w:rsidRDefault="005C2C00" w:rsidP="0047252D">
      <w:r w:rsidRPr="00483C01">
        <w:t>Across industr</w:t>
      </w:r>
      <w:r w:rsidR="007D50F8">
        <w:t xml:space="preserve">y </w:t>
      </w:r>
      <w:r w:rsidR="004C1B69">
        <w:t>groups</w:t>
      </w:r>
      <w:r w:rsidRPr="00483C01">
        <w:t xml:space="preserve">, </w:t>
      </w:r>
      <w:r w:rsidR="005C6A9D" w:rsidRPr="00483C01">
        <w:t xml:space="preserve">there </w:t>
      </w:r>
      <w:r w:rsidR="00407031">
        <w:t>we</w:t>
      </w:r>
      <w:r w:rsidR="005C6A9D" w:rsidRPr="00483C01">
        <w:t>re also significant differences in WHM</w:t>
      </w:r>
      <w:r w:rsidR="00AD45DD">
        <w:t>s’</w:t>
      </w:r>
      <w:r w:rsidR="005C6A9D" w:rsidRPr="00483C01">
        <w:t xml:space="preserve"> accommodation type</w:t>
      </w:r>
      <w:r w:rsidR="00AD45DD">
        <w:t>s</w:t>
      </w:r>
      <w:r w:rsidR="005C6A9D" w:rsidRPr="00483C01">
        <w:t xml:space="preserve"> (see </w:t>
      </w:r>
      <w:r w:rsidR="005C6A9D" w:rsidRPr="00483C01">
        <w:fldChar w:fldCharType="begin"/>
      </w:r>
      <w:r w:rsidR="005C6A9D" w:rsidRPr="00483C01">
        <w:instrText xml:space="preserve"> REF _Ref68164243 \h </w:instrText>
      </w:r>
      <w:r w:rsidR="00483C01">
        <w:instrText xml:space="preserve"> \* MERGEFORMAT </w:instrText>
      </w:r>
      <w:r w:rsidR="005C6A9D" w:rsidRPr="00483C01">
        <w:fldChar w:fldCharType="separate"/>
      </w:r>
      <w:r w:rsidR="00F22012">
        <w:t xml:space="preserve">Figure </w:t>
      </w:r>
      <w:r w:rsidR="00F22012">
        <w:rPr>
          <w:noProof/>
        </w:rPr>
        <w:t>6</w:t>
      </w:r>
      <w:r w:rsidR="00F22012">
        <w:rPr>
          <w:noProof/>
        </w:rPr>
        <w:noBreakHyphen/>
        <w:t>10</w:t>
      </w:r>
      <w:r w:rsidR="005C6A9D" w:rsidRPr="00483C01">
        <w:fldChar w:fldCharType="end"/>
      </w:r>
      <w:r w:rsidR="00404F08" w:rsidRPr="00483C01">
        <w:t>)</w:t>
      </w:r>
      <w:r w:rsidR="00572781" w:rsidRPr="00483C01">
        <w:t xml:space="preserve">. The overwhelming proportion </w:t>
      </w:r>
      <w:r w:rsidR="00F0567D" w:rsidRPr="00483C01">
        <w:t>(62.</w:t>
      </w:r>
      <w:r w:rsidR="00A97230">
        <w:t>4</w:t>
      </w:r>
      <w:r w:rsidR="00F0567D" w:rsidRPr="00483C01">
        <w:t>%</w:t>
      </w:r>
      <w:r w:rsidR="00F0567D">
        <w:t>)</w:t>
      </w:r>
      <w:r w:rsidR="00572781" w:rsidRPr="00483C01">
        <w:t xml:space="preserve"> of stays for </w:t>
      </w:r>
      <w:r w:rsidR="00665259" w:rsidRPr="00483C01">
        <w:t xml:space="preserve">those employed in </w:t>
      </w:r>
      <w:r w:rsidR="00F0567D">
        <w:t>e</w:t>
      </w:r>
      <w:r w:rsidR="00665259" w:rsidRPr="00483C01">
        <w:t>ducation were in employer’s house or property</w:t>
      </w:r>
      <w:r w:rsidR="001B3835" w:rsidRPr="00483C01">
        <w:t xml:space="preserve">. This is </w:t>
      </w:r>
      <w:r w:rsidR="00697FF3" w:rsidRPr="00483C01">
        <w:t xml:space="preserve">due to the high proportion of individuals in </w:t>
      </w:r>
      <w:r w:rsidR="00061CCF">
        <w:t>this sector</w:t>
      </w:r>
      <w:r w:rsidR="00697FF3" w:rsidRPr="00483C01">
        <w:t xml:space="preserve"> working as nann</w:t>
      </w:r>
      <w:r w:rsidR="00944DF2">
        <w:t>ie</w:t>
      </w:r>
      <w:r w:rsidR="00697FF3" w:rsidRPr="00483C01">
        <w:t xml:space="preserve">s and au pairs. </w:t>
      </w:r>
      <w:r w:rsidR="003A336A">
        <w:t>Most (59.</w:t>
      </w:r>
      <w:r w:rsidR="00A97230">
        <w:t>8</w:t>
      </w:r>
      <w:r w:rsidR="003A336A">
        <w:t>%) of those working in office</w:t>
      </w:r>
      <w:r w:rsidR="00DB4921">
        <w:t>, administration and IT reported stays in rental properties</w:t>
      </w:r>
      <w:r w:rsidR="00DE02DD">
        <w:t>, with more than half (53.</w:t>
      </w:r>
      <w:r w:rsidR="00022E80">
        <w:t>1</w:t>
      </w:r>
      <w:r w:rsidR="00DE02DD">
        <w:t xml:space="preserve">%) of those working in health and aged care also reporting </w:t>
      </w:r>
      <w:r w:rsidR="006F533F">
        <w:t xml:space="preserve">stays in </w:t>
      </w:r>
      <w:r w:rsidR="00DE02DD">
        <w:t>rental accommodation</w:t>
      </w:r>
      <w:r w:rsidR="006F533F">
        <w:t>.</w:t>
      </w:r>
      <w:r w:rsidR="00A0667A">
        <w:t xml:space="preserve"> </w:t>
      </w:r>
      <w:r w:rsidR="001D2744">
        <w:t xml:space="preserve">Around one quarter </w:t>
      </w:r>
      <w:r w:rsidR="000A6E5E">
        <w:t>(27.</w:t>
      </w:r>
      <w:r w:rsidR="00795681">
        <w:t>2</w:t>
      </w:r>
      <w:r w:rsidR="000A6E5E">
        <w:t xml:space="preserve">%) </w:t>
      </w:r>
      <w:r w:rsidR="001D2744">
        <w:t>of WHMs in agriculture and transport reported</w:t>
      </w:r>
      <w:r w:rsidR="008D1A63">
        <w:t xml:space="preserve"> stays in rental properties, another quarter</w:t>
      </w:r>
      <w:r w:rsidR="003C6DE9">
        <w:t xml:space="preserve"> (26.</w:t>
      </w:r>
      <w:r w:rsidR="00795681">
        <w:t>5</w:t>
      </w:r>
      <w:r w:rsidR="003C6DE9">
        <w:t>%)</w:t>
      </w:r>
      <w:r w:rsidR="008D1A63">
        <w:t xml:space="preserve"> in their employer’s house or property and just under a quarter</w:t>
      </w:r>
      <w:r w:rsidR="000A6E5E">
        <w:t xml:space="preserve"> (22.</w:t>
      </w:r>
      <w:r w:rsidR="00795681">
        <w:t>1</w:t>
      </w:r>
      <w:r w:rsidR="000A6E5E">
        <w:t>%)</w:t>
      </w:r>
      <w:r w:rsidR="008D1A63">
        <w:t xml:space="preserve"> in </w:t>
      </w:r>
      <w:r w:rsidR="000A6E5E">
        <w:t>backpackers or hostels.</w:t>
      </w:r>
      <w:r w:rsidR="001D2744">
        <w:t xml:space="preserve"> </w:t>
      </w:r>
    </w:p>
    <w:p w14:paraId="4EE7287A" w14:textId="2F424959" w:rsidR="005C6A9D" w:rsidRDefault="005C6A9D" w:rsidP="005C6A9D">
      <w:pPr>
        <w:pStyle w:val="Caption"/>
      </w:pPr>
      <w:bookmarkStart w:id="177" w:name="_Ref68164243"/>
      <w:bookmarkStart w:id="178" w:name="_Toc7587855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10</w:t>
      </w:r>
      <w:r w:rsidR="008949B3">
        <w:rPr>
          <w:noProof/>
        </w:rPr>
        <w:fldChar w:fldCharType="end"/>
      </w:r>
      <w:bookmarkEnd w:id="177"/>
      <w:r>
        <w:t xml:space="preserve">: Accommodation type by </w:t>
      </w:r>
      <w:r w:rsidR="004C1B69">
        <w:t>industry group</w:t>
      </w:r>
      <w:bookmarkEnd w:id="178"/>
    </w:p>
    <w:p w14:paraId="15373E9E" w14:textId="45E45465" w:rsidR="00A56EB6" w:rsidRDefault="00C338C0" w:rsidP="00E16B19">
      <w:pPr>
        <w:pStyle w:val="Caption"/>
        <w:rPr>
          <w:highlight w:val="yellow"/>
        </w:rPr>
      </w:pPr>
      <w:r>
        <w:rPr>
          <w:noProof/>
          <w:lang w:eastAsia="en-AU"/>
        </w:rPr>
        <w:drawing>
          <wp:inline distT="0" distB="0" distL="0" distR="0" wp14:anchorId="1077FC4F" wp14:editId="679A3DAC">
            <wp:extent cx="5731510" cy="3486150"/>
            <wp:effectExtent l="0" t="0" r="2540" b="0"/>
            <wp:docPr id="81" name="Chart 81" descr="Figure 6-10 Chart showing accommodation type by industry group.">
              <a:extLst xmlns:a="http://schemas.openxmlformats.org/drawingml/2006/main">
                <a:ext uri="{FF2B5EF4-FFF2-40B4-BE49-F238E27FC236}">
                  <a16:creationId xmlns:a16="http://schemas.microsoft.com/office/drawing/2014/main" id="{F881053B-BD4F-42AF-96C3-299B12022E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BEBD4CC" w14:textId="00CC5B36" w:rsidR="00E16B19" w:rsidRPr="009238D8" w:rsidRDefault="000B0B07" w:rsidP="009238D8">
      <w:pPr>
        <w:pStyle w:val="Tablenote"/>
      </w:pPr>
      <w:r w:rsidRPr="00483C01">
        <w:t>Note, propor</w:t>
      </w:r>
      <w:r w:rsidR="009D4B01">
        <w:t>ti</w:t>
      </w:r>
      <w:r w:rsidRPr="00483C01">
        <w:t xml:space="preserve">ons are calculated </w:t>
      </w:r>
      <w:r w:rsidR="00A823E6" w:rsidRPr="00483C01">
        <w:t>by dividing the number of stays in</w:t>
      </w:r>
      <w:r w:rsidR="00576D7F" w:rsidRPr="00483C01">
        <w:t xml:space="preserve"> an accommodation type in an industry </w:t>
      </w:r>
      <w:r w:rsidR="00354017">
        <w:t xml:space="preserve">group </w:t>
      </w:r>
      <w:r w:rsidR="00576D7F" w:rsidRPr="00483C01">
        <w:t>by the total number of stays reported for that industry.</w:t>
      </w:r>
      <w:r w:rsidR="00A36F47">
        <w:t xml:space="preserve"> Labels are not shown when less than 5%.</w:t>
      </w:r>
    </w:p>
    <w:p w14:paraId="44B22C4C" w14:textId="025A2C44" w:rsidR="00047CCD" w:rsidRDefault="00047CCD" w:rsidP="00047CCD">
      <w:pPr>
        <w:pStyle w:val="Tablenote"/>
      </w:pPr>
      <w:r w:rsidRPr="009D07D8">
        <w:t xml:space="preserve">Source: </w:t>
      </w:r>
      <w:r>
        <w:t>WHM</w:t>
      </w:r>
      <w:r w:rsidRPr="009D07D8">
        <w:t xml:space="preserve"> Survey, 2020.</w:t>
      </w:r>
    </w:p>
    <w:p w14:paraId="25F36AA8" w14:textId="4F6F2FA1" w:rsidR="00DD2853" w:rsidRDefault="00B6607B" w:rsidP="00844CC0">
      <w:r>
        <w:t xml:space="preserve">Information about </w:t>
      </w:r>
      <w:r w:rsidR="00767876">
        <w:t xml:space="preserve">whether </w:t>
      </w:r>
      <w:r w:rsidR="008E2A61">
        <w:t>employers arrang</w:t>
      </w:r>
      <w:r w:rsidR="00767876">
        <w:t>e</w:t>
      </w:r>
      <w:r w:rsidR="00C61115">
        <w:t>d</w:t>
      </w:r>
      <w:r w:rsidR="008E2A61">
        <w:t xml:space="preserve"> </w:t>
      </w:r>
      <w:r w:rsidR="0078082D">
        <w:t>accommodation</w:t>
      </w:r>
      <w:r w:rsidR="00C61115">
        <w:t xml:space="preserve"> for WHMs</w:t>
      </w:r>
      <w:r w:rsidR="0078082D">
        <w:t xml:space="preserve"> was provided </w:t>
      </w:r>
      <w:r w:rsidR="008F576D">
        <w:t xml:space="preserve">by 12,404 </w:t>
      </w:r>
      <w:r w:rsidR="001418F7">
        <w:t xml:space="preserve">WHMs </w:t>
      </w:r>
      <w:r w:rsidR="0078082D">
        <w:t xml:space="preserve">for </w:t>
      </w:r>
      <w:r w:rsidR="002F331F">
        <w:t>54,498 stays</w:t>
      </w:r>
      <w:r w:rsidR="009C62AD">
        <w:t>.</w:t>
      </w:r>
      <w:r w:rsidR="00E06250">
        <w:rPr>
          <w:rStyle w:val="FootnoteReference"/>
        </w:rPr>
        <w:footnoteReference w:id="27"/>
      </w:r>
      <w:r w:rsidR="00A23338">
        <w:t xml:space="preserve"> </w:t>
      </w:r>
      <w:r w:rsidR="004A5493">
        <w:t xml:space="preserve">Of these accommodation stays, </w:t>
      </w:r>
      <w:r w:rsidR="007246A3">
        <w:t xml:space="preserve">8,557 (15.7%) were arranged by </w:t>
      </w:r>
      <w:r w:rsidR="00EB3616">
        <w:t xml:space="preserve">the </w:t>
      </w:r>
      <w:r w:rsidR="00BD6EB0">
        <w:t>employer</w:t>
      </w:r>
      <w:r w:rsidR="00D85423">
        <w:t xml:space="preserve">. </w:t>
      </w:r>
      <w:r w:rsidR="007C08EF">
        <w:t xml:space="preserve">Employers were significantly more likely to arrange </w:t>
      </w:r>
      <w:r w:rsidR="002C4DA9">
        <w:t>accommodation for a WHM</w:t>
      </w:r>
      <w:r w:rsidR="00CE7D43">
        <w:t xml:space="preserve"> at the</w:t>
      </w:r>
      <w:r w:rsidR="003E5A8A">
        <w:t xml:space="preserve"> employer’s</w:t>
      </w:r>
      <w:r w:rsidR="00CE7D43">
        <w:t xml:space="preserve"> </w:t>
      </w:r>
      <w:r w:rsidR="005440DB">
        <w:t>own</w:t>
      </w:r>
      <w:r w:rsidR="00CE7D43">
        <w:t xml:space="preserve"> house or property</w:t>
      </w:r>
      <w:r w:rsidR="000F0932">
        <w:t xml:space="preserve">, with more than half of all </w:t>
      </w:r>
      <w:r w:rsidR="00D95244">
        <w:t>employer</w:t>
      </w:r>
      <w:r w:rsidR="00AA51C0">
        <w:t>-</w:t>
      </w:r>
      <w:r w:rsidR="00D95244">
        <w:t xml:space="preserve">arranged accommodation </w:t>
      </w:r>
      <w:r w:rsidR="00DB598C">
        <w:t xml:space="preserve">(56.7%) </w:t>
      </w:r>
      <w:r w:rsidR="00807CC5">
        <w:t xml:space="preserve">being of this type </w:t>
      </w:r>
      <w:r w:rsidR="00CE7D43">
        <w:t xml:space="preserve">(see </w:t>
      </w:r>
      <w:r w:rsidR="00DD2853">
        <w:fldChar w:fldCharType="begin"/>
      </w:r>
      <w:r w:rsidR="00DD2853">
        <w:instrText xml:space="preserve"> REF _Ref69380057 \h </w:instrText>
      </w:r>
      <w:r w:rsidR="00DD2853">
        <w:fldChar w:fldCharType="separate"/>
      </w:r>
      <w:r w:rsidR="00F22012">
        <w:t xml:space="preserve">Figure </w:t>
      </w:r>
      <w:r w:rsidR="00F22012">
        <w:rPr>
          <w:noProof/>
        </w:rPr>
        <w:t>6</w:t>
      </w:r>
      <w:r w:rsidR="00F22012">
        <w:noBreakHyphen/>
      </w:r>
      <w:r w:rsidR="00F22012">
        <w:rPr>
          <w:noProof/>
        </w:rPr>
        <w:t>11</w:t>
      </w:r>
      <w:r w:rsidR="00DD2853">
        <w:fldChar w:fldCharType="end"/>
      </w:r>
      <w:r w:rsidR="00DD2853">
        <w:t>)</w:t>
      </w:r>
      <w:r w:rsidR="00807CC5">
        <w:t xml:space="preserve">. Other </w:t>
      </w:r>
      <w:r w:rsidR="00EE3FDC">
        <w:t xml:space="preserve">significant </w:t>
      </w:r>
      <w:r w:rsidR="009963D4">
        <w:t xml:space="preserve">accommodation types organised by employers were backpackers and hostels (13.5%) and rental properties (10.4%). </w:t>
      </w:r>
      <w:r w:rsidR="004E54C7">
        <w:t>Overall, m</w:t>
      </w:r>
      <w:r w:rsidR="005235FC">
        <w:t xml:space="preserve">ore than </w:t>
      </w:r>
      <w:r w:rsidR="004E54C7">
        <w:t>nine</w:t>
      </w:r>
      <w:r w:rsidR="005235FC">
        <w:t xml:space="preserve"> in </w:t>
      </w:r>
      <w:r w:rsidR="004E54C7">
        <w:t>ten</w:t>
      </w:r>
      <w:r w:rsidR="00214F66">
        <w:t xml:space="preserve"> (95.9%)</w:t>
      </w:r>
      <w:r w:rsidR="005235FC">
        <w:t xml:space="preserve"> accommodation stays in an employer’s house or property were arranged by the employer</w:t>
      </w:r>
      <w:r w:rsidR="009C62AD">
        <w:t>.</w:t>
      </w:r>
      <w:r w:rsidR="00140CFC">
        <w:rPr>
          <w:rStyle w:val="FootnoteReference"/>
        </w:rPr>
        <w:footnoteReference w:id="28"/>
      </w:r>
      <w:r w:rsidR="005235FC">
        <w:t xml:space="preserve"> </w:t>
      </w:r>
      <w:r w:rsidR="00CE2314">
        <w:t>Employers also arranged almost one in five</w:t>
      </w:r>
      <w:r w:rsidR="00E5512D">
        <w:t xml:space="preserve"> (17.1%)</w:t>
      </w:r>
      <w:r w:rsidR="00CE2314">
        <w:t xml:space="preserve"> </w:t>
      </w:r>
      <w:r w:rsidR="00FD7848">
        <w:t>hotel or motel</w:t>
      </w:r>
      <w:r w:rsidR="00E5512D">
        <w:t xml:space="preserve"> stays</w:t>
      </w:r>
      <w:r w:rsidR="00AB0203">
        <w:t xml:space="preserve">. </w:t>
      </w:r>
    </w:p>
    <w:p w14:paraId="064F7E16" w14:textId="467A6EDC" w:rsidR="00DD2853" w:rsidRDefault="00DD2853" w:rsidP="00DD2853">
      <w:pPr>
        <w:pStyle w:val="Caption"/>
      </w:pPr>
      <w:bookmarkStart w:id="179" w:name="_Ref69380057"/>
      <w:bookmarkStart w:id="180" w:name="_Toc7587855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6</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11</w:t>
      </w:r>
      <w:r w:rsidR="008949B3">
        <w:rPr>
          <w:noProof/>
        </w:rPr>
        <w:fldChar w:fldCharType="end"/>
      </w:r>
      <w:bookmarkEnd w:id="179"/>
      <w:r>
        <w:t>: Accommodation arranged by employer by accommodation type</w:t>
      </w:r>
      <w:bookmarkEnd w:id="180"/>
    </w:p>
    <w:p w14:paraId="76F8FFE6" w14:textId="1EF5631C" w:rsidR="00844CC0" w:rsidRDefault="001E6144" w:rsidP="00252DA1">
      <w:r>
        <w:rPr>
          <w:noProof/>
          <w:lang w:eastAsia="en-AU"/>
        </w:rPr>
        <w:drawing>
          <wp:inline distT="0" distB="0" distL="0" distR="0" wp14:anchorId="12910C6A" wp14:editId="74C64C28">
            <wp:extent cx="5653088" cy="3519489"/>
            <wp:effectExtent l="0" t="0" r="5080" b="5080"/>
            <wp:docPr id="29" name="Chart 29" descr="Figure 6-11 Chart showing accommodation arranged by employer by accommodation type.">
              <a:extLst xmlns:a="http://schemas.openxmlformats.org/drawingml/2006/main">
                <a:ext uri="{FF2B5EF4-FFF2-40B4-BE49-F238E27FC236}">
                  <a16:creationId xmlns:a16="http://schemas.microsoft.com/office/drawing/2014/main" id="{F4B1C267-77A4-436A-B1EF-BC34B9996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B2EF28F" w14:textId="1D583B6E" w:rsidR="00CA567F" w:rsidRDefault="00326AE1" w:rsidP="007778BC">
      <w:pPr>
        <w:pStyle w:val="Tablenote"/>
        <w:keepNext/>
        <w:keepLines/>
      </w:pPr>
      <w:r>
        <w:t xml:space="preserve">Note, </w:t>
      </w:r>
      <w:r w:rsidR="007C6369">
        <w:t>8,</w:t>
      </w:r>
      <w:r w:rsidR="004A7B83">
        <w:t>23</w:t>
      </w:r>
      <w:r w:rsidR="0045400B">
        <w:t>8</w:t>
      </w:r>
      <w:r w:rsidR="00D72201">
        <w:t xml:space="preserve"> types of stay were arranged by </w:t>
      </w:r>
      <w:r w:rsidR="004A7B83">
        <w:t>employers</w:t>
      </w:r>
      <w:r w:rsidR="0045400B">
        <w:t xml:space="preserve"> and presented here. </w:t>
      </w:r>
      <w:r w:rsidR="00114242">
        <w:t>Other</w:t>
      </w:r>
      <w:r w:rsidR="0045400B">
        <w:t xml:space="preserve"> and unknown responses not included.</w:t>
      </w:r>
    </w:p>
    <w:p w14:paraId="7DD8E1EF" w14:textId="77777777" w:rsidR="00047CCD" w:rsidRDefault="00047CCD" w:rsidP="00047CCD">
      <w:pPr>
        <w:pStyle w:val="Tablenote"/>
      </w:pPr>
      <w:r w:rsidRPr="009D07D8">
        <w:t xml:space="preserve">Source: </w:t>
      </w:r>
      <w:r>
        <w:t>WHM</w:t>
      </w:r>
      <w:r w:rsidRPr="009D07D8">
        <w:t xml:space="preserve"> Survey, 2020.</w:t>
      </w:r>
    </w:p>
    <w:p w14:paraId="590F3B60" w14:textId="01B06F64" w:rsidR="00C11E60" w:rsidRDefault="00C11E60" w:rsidP="00C11E60">
      <w:pPr>
        <w:pStyle w:val="Heading1"/>
      </w:pPr>
      <w:bookmarkStart w:id="181" w:name="_Toc75878471"/>
      <w:r>
        <w:t xml:space="preserve">WHM: Training and </w:t>
      </w:r>
      <w:r w:rsidR="00B33CF4">
        <w:t>education</w:t>
      </w:r>
      <w:bookmarkEnd w:id="181"/>
    </w:p>
    <w:p w14:paraId="44AE1A28" w14:textId="79B6134C" w:rsidR="00EA58E4" w:rsidRPr="00191246" w:rsidRDefault="00EA58E4" w:rsidP="00EA58E4">
      <w:pPr>
        <w:pStyle w:val="Heading2"/>
      </w:pPr>
      <w:bookmarkStart w:id="182" w:name="_Toc75878472"/>
      <w:r w:rsidRPr="00191246">
        <w:t>On-the-job training</w:t>
      </w:r>
      <w:bookmarkEnd w:id="182"/>
    </w:p>
    <w:p w14:paraId="662E5396" w14:textId="6824BC2E" w:rsidR="00EA58E4" w:rsidRDefault="00EA58E4" w:rsidP="00EA58E4">
      <w:r>
        <w:t>About two in five (n=9,182)</w:t>
      </w:r>
      <w:r w:rsidRPr="00191246">
        <w:t xml:space="preserve"> </w:t>
      </w:r>
      <w:r>
        <w:t xml:space="preserve">surveyed </w:t>
      </w:r>
      <w:r w:rsidRPr="00191246">
        <w:t>WHMs reported receiving at least one type of on</w:t>
      </w:r>
      <w:r>
        <w:t>-</w:t>
      </w:r>
      <w:r w:rsidRPr="00191246">
        <w:t>the</w:t>
      </w:r>
      <w:r>
        <w:t>-</w:t>
      </w:r>
      <w:r w:rsidRPr="00191246">
        <w:t xml:space="preserve">job training in their main reported job in each </w:t>
      </w:r>
      <w:r>
        <w:t>state or territory</w:t>
      </w:r>
      <w:r w:rsidRPr="00191246">
        <w:t xml:space="preserve"> worked</w:t>
      </w:r>
      <w:r w:rsidR="009C62AD">
        <w:t>.</w:t>
      </w:r>
      <w:r>
        <w:rPr>
          <w:rStyle w:val="FootnoteReference"/>
        </w:rPr>
        <w:footnoteReference w:id="29"/>
      </w:r>
      <w:r w:rsidRPr="00191246">
        <w:t xml:space="preserve"> </w:t>
      </w:r>
      <w:r>
        <w:t xml:space="preserve">Multiple training responses were allowed for an individual job and data was provided for 12,987 jobs, covering 32,920 incidences of training. </w:t>
      </w:r>
      <w:r w:rsidRPr="00191246">
        <w:t xml:space="preserve">Of those who </w:t>
      </w:r>
      <w:r>
        <w:t>reported</w:t>
      </w:r>
      <w:r w:rsidRPr="00191246">
        <w:t xml:space="preserve"> </w:t>
      </w:r>
      <w:r>
        <w:t xml:space="preserve">that they received </w:t>
      </w:r>
      <w:r w:rsidRPr="00191246">
        <w:t xml:space="preserve">training, the average number of skills </w:t>
      </w:r>
      <w:r>
        <w:t>courses/training undertaken</w:t>
      </w:r>
      <w:r w:rsidRPr="00191246">
        <w:t xml:space="preserve"> was 3.</w:t>
      </w:r>
      <w:r>
        <w:t>6</w:t>
      </w:r>
      <w:r w:rsidRPr="00191246">
        <w:t xml:space="preserve">. </w:t>
      </w:r>
      <w:r>
        <w:t>WHMs were most likely to receive n</w:t>
      </w:r>
      <w:r w:rsidRPr="00191246">
        <w:t xml:space="preserve">on-specific skills </w:t>
      </w:r>
      <w:r>
        <w:t>training</w:t>
      </w:r>
      <w:r w:rsidRPr="00191246">
        <w:t xml:space="preserve">, with </w:t>
      </w:r>
      <w:r>
        <w:t>job</w:t>
      </w:r>
      <w:r w:rsidRPr="00191246">
        <w:t xml:space="preserve"> induction, and work health and safety the two most </w:t>
      </w:r>
      <w:r>
        <w:t>common types of training received.</w:t>
      </w:r>
      <w:r w:rsidRPr="00191246">
        <w:t xml:space="preserve"> </w:t>
      </w:r>
      <w:r>
        <w:t xml:space="preserve">Assuming induction and work health and safety training occurs once per job, WHMs reported inductions for approximately two in three jobs (66.5%), and work health and safety training in more than half (52.6%). </w:t>
      </w:r>
    </w:p>
    <w:p w14:paraId="1A498047" w14:textId="6CD8EBFB" w:rsidR="00EA58E4" w:rsidRPr="00191246" w:rsidRDefault="00EA58E4" w:rsidP="00EA58E4">
      <w:r w:rsidRPr="00191246">
        <w:t xml:space="preserve">The most common on-the-job training specific to a job </w:t>
      </w:r>
      <w:r>
        <w:t xml:space="preserve">(see </w:t>
      </w:r>
      <w:r>
        <w:fldChar w:fldCharType="begin"/>
      </w:r>
      <w:r>
        <w:instrText xml:space="preserve"> REF _Ref69736548 \h </w:instrText>
      </w:r>
      <w:r>
        <w:fldChar w:fldCharType="separate"/>
      </w:r>
      <w:r w:rsidR="00F22012">
        <w:t xml:space="preserve">Figure </w:t>
      </w:r>
      <w:r w:rsidR="00F22012">
        <w:rPr>
          <w:noProof/>
        </w:rPr>
        <w:t>7</w:t>
      </w:r>
      <w:r w:rsidR="00F22012">
        <w:noBreakHyphen/>
      </w:r>
      <w:r w:rsidR="00F22012">
        <w:rPr>
          <w:noProof/>
        </w:rPr>
        <w:t>1</w:t>
      </w:r>
      <w:r>
        <w:fldChar w:fldCharType="end"/>
      </w:r>
      <w:r>
        <w:t xml:space="preserve">) </w:t>
      </w:r>
      <w:r w:rsidRPr="00191246">
        <w:t xml:space="preserve">was fruit, vegetable or nut picking, </w:t>
      </w:r>
      <w:r>
        <w:t>representing 16.1% of on-the-job training specific to a job</w:t>
      </w:r>
      <w:r w:rsidRPr="00191246">
        <w:t xml:space="preserve">, followed by hospitality </w:t>
      </w:r>
      <w:r>
        <w:t xml:space="preserve">training </w:t>
      </w:r>
      <w:r w:rsidRPr="00191246">
        <w:t>(</w:t>
      </w:r>
      <w:r>
        <w:t>13.2%</w:t>
      </w:r>
      <w:r w:rsidRPr="00191246">
        <w:t xml:space="preserve">) and cleaning </w:t>
      </w:r>
      <w:r>
        <w:t xml:space="preserve">training </w:t>
      </w:r>
      <w:r w:rsidRPr="00191246">
        <w:t>(</w:t>
      </w:r>
      <w:r>
        <w:t>13.2%</w:t>
      </w:r>
      <w:r w:rsidRPr="00191246">
        <w:t>)</w:t>
      </w:r>
      <w:r>
        <w:t>. The least offered</w:t>
      </w:r>
      <w:r w:rsidDel="00D716F4">
        <w:t xml:space="preserve"> </w:t>
      </w:r>
      <w:r>
        <w:t>on-the-job training specific to a job was for responsible conduct of gambling (1.5%) and first aid (2.2%).</w:t>
      </w:r>
    </w:p>
    <w:p w14:paraId="10CAF505" w14:textId="09560C0D" w:rsidR="00EA58E4" w:rsidRDefault="00EA58E4" w:rsidP="00EA58E4">
      <w:pPr>
        <w:pStyle w:val="Caption"/>
      </w:pPr>
      <w:bookmarkStart w:id="183" w:name="_Ref69736548"/>
      <w:bookmarkStart w:id="184" w:name="_Toc7587855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7</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183"/>
      <w:r>
        <w:t>: Types of on-the-job training undertaken specific to job</w:t>
      </w:r>
      <w:bookmarkEnd w:id="184"/>
    </w:p>
    <w:p w14:paraId="55267065" w14:textId="77777777" w:rsidR="00EA58E4" w:rsidRPr="00B350BA" w:rsidRDefault="00EA58E4" w:rsidP="00EA58E4">
      <w:r>
        <w:rPr>
          <w:noProof/>
          <w:lang w:eastAsia="en-AU"/>
        </w:rPr>
        <w:drawing>
          <wp:inline distT="0" distB="0" distL="0" distR="0" wp14:anchorId="13919C1C" wp14:editId="28DE6CA8">
            <wp:extent cx="5731510" cy="3089910"/>
            <wp:effectExtent l="0" t="0" r="2540" b="15240"/>
            <wp:docPr id="51" name="Chart 51" descr="Figure 7-1 Chart showing types of on-the-job training undertaken specific to job.">
              <a:extLst xmlns:a="http://schemas.openxmlformats.org/drawingml/2006/main">
                <a:ext uri="{FF2B5EF4-FFF2-40B4-BE49-F238E27FC236}">
                  <a16:creationId xmlns:a16="http://schemas.microsoft.com/office/drawing/2014/main" id="{D62F4918-26BA-44BB-8282-156AAD00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EB2B9A5" w14:textId="77777777" w:rsidR="00EA58E4" w:rsidRDefault="00EA58E4" w:rsidP="00EA58E4">
      <w:pPr>
        <w:pStyle w:val="Tablenote"/>
      </w:pPr>
      <w:r>
        <w:t>Note, 17,455 incidences of training specific to job were reported. Multiple training responses were allowed.</w:t>
      </w:r>
    </w:p>
    <w:p w14:paraId="6988B872" w14:textId="77777777" w:rsidR="00EA58E4" w:rsidRDefault="00EA58E4" w:rsidP="00EA58E4">
      <w:pPr>
        <w:pStyle w:val="Tablenote"/>
      </w:pPr>
      <w:r w:rsidRPr="009D07D8">
        <w:t xml:space="preserve">Source: </w:t>
      </w:r>
      <w:r>
        <w:t>WHM</w:t>
      </w:r>
      <w:r w:rsidRPr="009D07D8">
        <w:t xml:space="preserve"> Survey, 2020.</w:t>
      </w:r>
    </w:p>
    <w:p w14:paraId="3D18CE86" w14:textId="77777777" w:rsidR="00EA58E4" w:rsidRDefault="00EA58E4" w:rsidP="00EA58E4">
      <w:r>
        <w:t>Most</w:t>
      </w:r>
      <w:r w:rsidDel="001D795A">
        <w:t xml:space="preserve"> </w:t>
      </w:r>
      <w:r>
        <w:t>on-</w:t>
      </w:r>
      <w:r w:rsidDel="001D795A">
        <w:t>the</w:t>
      </w:r>
      <w:r>
        <w:t xml:space="preserve">-job training was reported in two industry groups – hospitality, tourism and sport (34.0%) and agriculture and transport (28.8%). Inductions and work health and safety training made up 66.2% of all training undertaken in construction and mining and 69.1% of those in office, administration and IT industries, but only half of those in agriculture and transport (52.5%) and just over one third (36.1%) of training opportunities in hospitality, tourism and sport. Relative to the proportion of WHMs working in each industry, there is a considerably lower amount of training offered in education which accounts for 6.5% of all employment but only 4.8% of all trainings. Hospitality and health and aged care provided the most training relative to employment. </w:t>
      </w:r>
    </w:p>
    <w:p w14:paraId="50911B4D" w14:textId="5CC5627A" w:rsidR="00EA58E4" w:rsidRDefault="00EA58E4" w:rsidP="00EA58E4">
      <w:r>
        <w:t>Almost half of those in hospitality, tourism and sport who reported training specific to their jobs reported either training in Responsible Service of Alcohol (RSA) or in hospitality. Training in agriculture and transport was focused on either fruit, vegetable or nut picking (44.4%) or machine operations (20.4%). In construction and mining, job specific training was focused on machine operations (30.4%), whereas IT was the focus for half (48.6%) of training in office, administration, and IT.</w:t>
      </w:r>
      <w:r w:rsidR="00615CC1">
        <w:t xml:space="preserve"> </w:t>
      </w:r>
      <w:r>
        <w:t xml:space="preserve">There are significant differences between industry groups when it comes to being offered on-the-job training. </w:t>
      </w:r>
      <w:r>
        <w:fldChar w:fldCharType="begin"/>
      </w:r>
      <w:r>
        <w:instrText xml:space="preserve"> REF _Ref72845320 \h </w:instrText>
      </w:r>
      <w:r>
        <w:fldChar w:fldCharType="separate"/>
      </w:r>
      <w:r w:rsidR="00F22012">
        <w:t xml:space="preserve">Table </w:t>
      </w:r>
      <w:r w:rsidR="00F22012">
        <w:rPr>
          <w:noProof/>
        </w:rPr>
        <w:t>7</w:t>
      </w:r>
      <w:r w:rsidR="00F22012">
        <w:noBreakHyphen/>
      </w:r>
      <w:r w:rsidR="00F22012">
        <w:rPr>
          <w:noProof/>
        </w:rPr>
        <w:t>1</w:t>
      </w:r>
      <w:r>
        <w:fldChar w:fldCharType="end"/>
      </w:r>
      <w:r>
        <w:t xml:space="preserve"> shows the proportion of WHM</w:t>
      </w:r>
      <w:r w:rsidR="0C0BD6E8">
        <w:t>s</w:t>
      </w:r>
      <w:r>
        <w:t xml:space="preserve"> who reported that they received no training while employed. </w:t>
      </w:r>
    </w:p>
    <w:p w14:paraId="69D14BB0" w14:textId="644417DC" w:rsidR="00EA58E4" w:rsidRDefault="00EA58E4" w:rsidP="00EA58E4">
      <w:pPr>
        <w:pStyle w:val="Caption"/>
      </w:pPr>
      <w:bookmarkStart w:id="185" w:name="_Ref72845320"/>
      <w:bookmarkStart w:id="186" w:name="_Toc75878605"/>
      <w:r>
        <w:t xml:space="preserve">Table </w:t>
      </w:r>
      <w:r w:rsidR="00FE7EF1">
        <w:rPr>
          <w:noProof/>
        </w:rPr>
        <w:fldChar w:fldCharType="begin"/>
      </w:r>
      <w:r w:rsidR="00FE7EF1">
        <w:rPr>
          <w:noProof/>
        </w:rPr>
        <w:instrText xml:space="preserve"> STYLEREF 1 \s </w:instrText>
      </w:r>
      <w:r w:rsidR="00FE7EF1">
        <w:rPr>
          <w:noProof/>
        </w:rPr>
        <w:fldChar w:fldCharType="separate"/>
      </w:r>
      <w:r w:rsidR="00F22012">
        <w:rPr>
          <w:noProof/>
        </w:rPr>
        <w:t>7</w:t>
      </w:r>
      <w:r w:rsidR="00FE7EF1">
        <w:rPr>
          <w:noProof/>
        </w:rPr>
        <w:fldChar w:fldCharType="end"/>
      </w:r>
      <w:r>
        <w:noBreakHyphen/>
      </w:r>
      <w:r w:rsidR="00FE7EF1">
        <w:rPr>
          <w:noProof/>
        </w:rPr>
        <w:fldChar w:fldCharType="begin"/>
      </w:r>
      <w:r w:rsidR="00FE7EF1">
        <w:rPr>
          <w:noProof/>
        </w:rPr>
        <w:instrText xml:space="preserve"> SEQ Table \* ARABIC \s 1 </w:instrText>
      </w:r>
      <w:r w:rsidR="00FE7EF1">
        <w:rPr>
          <w:noProof/>
        </w:rPr>
        <w:fldChar w:fldCharType="separate"/>
      </w:r>
      <w:r w:rsidR="00F22012">
        <w:rPr>
          <w:noProof/>
        </w:rPr>
        <w:t>1</w:t>
      </w:r>
      <w:r w:rsidR="00FE7EF1">
        <w:rPr>
          <w:noProof/>
        </w:rPr>
        <w:fldChar w:fldCharType="end"/>
      </w:r>
      <w:bookmarkEnd w:id="185"/>
      <w:r>
        <w:t>: On-the-job training by industry group</w:t>
      </w:r>
      <w:bookmarkEnd w:id="186"/>
    </w:p>
    <w:tbl>
      <w:tblPr>
        <w:tblStyle w:val="ListTable3-Accent1"/>
        <w:tblW w:w="0" w:type="auto"/>
        <w:tblLook w:val="0420" w:firstRow="1" w:lastRow="0" w:firstColumn="0" w:lastColumn="0" w:noHBand="0" w:noVBand="1"/>
      </w:tblPr>
      <w:tblGrid>
        <w:gridCol w:w="4508"/>
        <w:gridCol w:w="4508"/>
      </w:tblGrid>
      <w:tr w:rsidR="00EA58E4" w14:paraId="3F5DBCFB" w14:textId="77777777" w:rsidTr="001428FF">
        <w:trPr>
          <w:cnfStyle w:val="100000000000" w:firstRow="1" w:lastRow="0" w:firstColumn="0" w:lastColumn="0" w:oddVBand="0" w:evenVBand="0" w:oddHBand="0" w:evenHBand="0" w:firstRowFirstColumn="0" w:firstRowLastColumn="0" w:lastRowFirstColumn="0" w:lastRowLastColumn="0"/>
          <w:trHeight w:val="57"/>
        </w:trPr>
        <w:tc>
          <w:tcPr>
            <w:tcW w:w="4508" w:type="dxa"/>
            <w:vAlign w:val="center"/>
          </w:tcPr>
          <w:p w14:paraId="1D517C4D"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sz w:val="18"/>
                <w:szCs w:val="18"/>
              </w:rPr>
              <w:t>Industry</w:t>
            </w:r>
          </w:p>
        </w:tc>
        <w:tc>
          <w:tcPr>
            <w:tcW w:w="4508" w:type="dxa"/>
            <w:vAlign w:val="center"/>
          </w:tcPr>
          <w:p w14:paraId="5A1A55E3"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sz w:val="18"/>
                <w:szCs w:val="18"/>
              </w:rPr>
              <w:t>Proportion receiving no training</w:t>
            </w:r>
          </w:p>
        </w:tc>
      </w:tr>
      <w:tr w:rsidR="00EA58E4" w14:paraId="3F8331D7" w14:textId="77777777" w:rsidTr="001428FF">
        <w:trPr>
          <w:cnfStyle w:val="000000100000" w:firstRow="0" w:lastRow="0" w:firstColumn="0" w:lastColumn="0" w:oddVBand="0" w:evenVBand="0" w:oddHBand="1" w:evenHBand="0" w:firstRowFirstColumn="0" w:firstRowLastColumn="0" w:lastRowFirstColumn="0" w:lastRowLastColumn="0"/>
          <w:trHeight w:val="20"/>
        </w:trPr>
        <w:tc>
          <w:tcPr>
            <w:tcW w:w="4508" w:type="dxa"/>
            <w:vAlign w:val="center"/>
          </w:tcPr>
          <w:p w14:paraId="0A27C905"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Education</w:t>
            </w:r>
          </w:p>
        </w:tc>
        <w:tc>
          <w:tcPr>
            <w:tcW w:w="4508" w:type="dxa"/>
            <w:vAlign w:val="center"/>
          </w:tcPr>
          <w:p w14:paraId="33578482"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35.0%</w:t>
            </w:r>
          </w:p>
        </w:tc>
      </w:tr>
      <w:tr w:rsidR="00EA58E4" w14:paraId="2B6CD214" w14:textId="77777777" w:rsidTr="001428FF">
        <w:trPr>
          <w:trHeight w:val="57"/>
        </w:trPr>
        <w:tc>
          <w:tcPr>
            <w:tcW w:w="4508" w:type="dxa"/>
            <w:vAlign w:val="center"/>
          </w:tcPr>
          <w:p w14:paraId="271BCAF1"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Cleaning and gardening</w:t>
            </w:r>
          </w:p>
        </w:tc>
        <w:tc>
          <w:tcPr>
            <w:tcW w:w="4508" w:type="dxa"/>
            <w:vAlign w:val="center"/>
          </w:tcPr>
          <w:p w14:paraId="70453E1D"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14.4%</w:t>
            </w:r>
          </w:p>
        </w:tc>
      </w:tr>
      <w:tr w:rsidR="00EA58E4" w14:paraId="5E441ECE" w14:textId="77777777" w:rsidTr="001428FF">
        <w:trPr>
          <w:cnfStyle w:val="000000100000" w:firstRow="0" w:lastRow="0" w:firstColumn="0" w:lastColumn="0" w:oddVBand="0" w:evenVBand="0" w:oddHBand="1" w:evenHBand="0" w:firstRowFirstColumn="0" w:firstRowLastColumn="0" w:lastRowFirstColumn="0" w:lastRowLastColumn="0"/>
          <w:trHeight w:val="57"/>
        </w:trPr>
        <w:tc>
          <w:tcPr>
            <w:tcW w:w="4508" w:type="dxa"/>
            <w:vAlign w:val="center"/>
          </w:tcPr>
          <w:p w14:paraId="08C40057"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Office, admin &amp; IT</w:t>
            </w:r>
          </w:p>
        </w:tc>
        <w:tc>
          <w:tcPr>
            <w:tcW w:w="4508" w:type="dxa"/>
            <w:vAlign w:val="center"/>
          </w:tcPr>
          <w:p w14:paraId="624DD07C"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12.9%</w:t>
            </w:r>
          </w:p>
        </w:tc>
      </w:tr>
      <w:tr w:rsidR="00EA58E4" w14:paraId="02B9047E" w14:textId="77777777" w:rsidTr="001428FF">
        <w:trPr>
          <w:trHeight w:val="57"/>
        </w:trPr>
        <w:tc>
          <w:tcPr>
            <w:tcW w:w="4508" w:type="dxa"/>
            <w:vAlign w:val="center"/>
          </w:tcPr>
          <w:p w14:paraId="765EA50A"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Agriculture &amp; transport</w:t>
            </w:r>
          </w:p>
        </w:tc>
        <w:tc>
          <w:tcPr>
            <w:tcW w:w="4508" w:type="dxa"/>
            <w:vAlign w:val="center"/>
          </w:tcPr>
          <w:p w14:paraId="27EE7987"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11.8%</w:t>
            </w:r>
          </w:p>
        </w:tc>
      </w:tr>
      <w:tr w:rsidR="00EA58E4" w14:paraId="4352856B" w14:textId="77777777" w:rsidTr="001428FF">
        <w:trPr>
          <w:cnfStyle w:val="000000100000" w:firstRow="0" w:lastRow="0" w:firstColumn="0" w:lastColumn="0" w:oddVBand="0" w:evenVBand="0" w:oddHBand="1" w:evenHBand="0" w:firstRowFirstColumn="0" w:firstRowLastColumn="0" w:lastRowFirstColumn="0" w:lastRowLastColumn="0"/>
          <w:trHeight w:val="57"/>
        </w:trPr>
        <w:tc>
          <w:tcPr>
            <w:tcW w:w="4508" w:type="dxa"/>
            <w:vAlign w:val="center"/>
          </w:tcPr>
          <w:p w14:paraId="0EEDFE17"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Sales and marketing</w:t>
            </w:r>
          </w:p>
        </w:tc>
        <w:tc>
          <w:tcPr>
            <w:tcW w:w="4508" w:type="dxa"/>
            <w:vAlign w:val="center"/>
          </w:tcPr>
          <w:p w14:paraId="5B396131"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11.8%</w:t>
            </w:r>
          </w:p>
        </w:tc>
      </w:tr>
      <w:tr w:rsidR="00EA58E4" w14:paraId="5904C271" w14:textId="77777777" w:rsidTr="001428FF">
        <w:trPr>
          <w:trHeight w:val="57"/>
        </w:trPr>
        <w:tc>
          <w:tcPr>
            <w:tcW w:w="4508" w:type="dxa"/>
            <w:vAlign w:val="center"/>
          </w:tcPr>
          <w:p w14:paraId="4FD533EF"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Hospitality, tourism &amp; sport</w:t>
            </w:r>
          </w:p>
        </w:tc>
        <w:tc>
          <w:tcPr>
            <w:tcW w:w="4508" w:type="dxa"/>
            <w:vAlign w:val="center"/>
          </w:tcPr>
          <w:p w14:paraId="41363E67"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9.7%</w:t>
            </w:r>
          </w:p>
        </w:tc>
      </w:tr>
      <w:tr w:rsidR="00EA58E4" w14:paraId="0C9D4538" w14:textId="77777777" w:rsidTr="001428FF">
        <w:trPr>
          <w:cnfStyle w:val="000000100000" w:firstRow="0" w:lastRow="0" w:firstColumn="0" w:lastColumn="0" w:oddVBand="0" w:evenVBand="0" w:oddHBand="1" w:evenHBand="0" w:firstRowFirstColumn="0" w:firstRowLastColumn="0" w:lastRowFirstColumn="0" w:lastRowLastColumn="0"/>
          <w:trHeight w:val="57"/>
        </w:trPr>
        <w:tc>
          <w:tcPr>
            <w:tcW w:w="4508" w:type="dxa"/>
            <w:vAlign w:val="center"/>
          </w:tcPr>
          <w:p w14:paraId="26A45EC4" w14:textId="77777777" w:rsidR="00EA58E4" w:rsidRPr="002C7D99" w:rsidRDefault="00EA58E4" w:rsidP="001428FF">
            <w:pPr>
              <w:keepNext/>
              <w:keepLines/>
              <w:spacing w:before="0"/>
              <w:contextualSpacing/>
              <w:rPr>
                <w:rFonts w:ascii="Calibri" w:hAnsi="Calibri" w:cs="Calibri"/>
                <w:sz w:val="18"/>
                <w:szCs w:val="18"/>
              </w:rPr>
            </w:pPr>
            <w:r w:rsidRPr="002C7D99">
              <w:rPr>
                <w:rFonts w:ascii="Calibri" w:hAnsi="Calibri" w:cs="Calibri"/>
                <w:color w:val="000000"/>
                <w:sz w:val="18"/>
                <w:szCs w:val="18"/>
              </w:rPr>
              <w:t>Construction and mining</w:t>
            </w:r>
          </w:p>
        </w:tc>
        <w:tc>
          <w:tcPr>
            <w:tcW w:w="4508" w:type="dxa"/>
            <w:vAlign w:val="center"/>
          </w:tcPr>
          <w:p w14:paraId="0AD44665" w14:textId="77777777" w:rsidR="00EA58E4" w:rsidRPr="002C7D99" w:rsidRDefault="00EA58E4" w:rsidP="001428FF">
            <w:pPr>
              <w:keepNext/>
              <w:keepLines/>
              <w:spacing w:before="0"/>
              <w:ind w:left="1" w:hanging="1"/>
              <w:contextualSpacing/>
              <w:rPr>
                <w:rFonts w:ascii="Calibri" w:hAnsi="Calibri" w:cs="Calibri"/>
                <w:sz w:val="18"/>
                <w:szCs w:val="18"/>
              </w:rPr>
            </w:pPr>
            <w:r w:rsidRPr="002C7D99">
              <w:rPr>
                <w:rFonts w:ascii="Calibri" w:hAnsi="Calibri" w:cs="Calibri"/>
                <w:color w:val="000000"/>
                <w:sz w:val="18"/>
                <w:szCs w:val="18"/>
              </w:rPr>
              <w:t>8.1%</w:t>
            </w:r>
          </w:p>
        </w:tc>
      </w:tr>
    </w:tbl>
    <w:p w14:paraId="0875357C" w14:textId="77777777" w:rsidR="00EA58E4" w:rsidRPr="00B818CC" w:rsidRDefault="00EA58E4" w:rsidP="00EA58E4">
      <w:pPr>
        <w:pStyle w:val="Tablenote"/>
      </w:pPr>
      <w:r w:rsidRPr="009D07D8">
        <w:t xml:space="preserve">Source: </w:t>
      </w:r>
      <w:r>
        <w:t>WHM</w:t>
      </w:r>
      <w:r w:rsidRPr="009D07D8">
        <w:t xml:space="preserve"> Survey, 2020.</w:t>
      </w:r>
    </w:p>
    <w:p w14:paraId="02D2ABF8" w14:textId="77777777" w:rsidR="00EA58E4" w:rsidRPr="006A15C8" w:rsidRDefault="00EA58E4" w:rsidP="00EA58E4">
      <w:pPr>
        <w:pStyle w:val="Heading2"/>
      </w:pPr>
      <w:bookmarkStart w:id="187" w:name="_Toc75878473"/>
      <w:r w:rsidRPr="006A15C8">
        <w:t>Formal study</w:t>
      </w:r>
      <w:bookmarkEnd w:id="187"/>
    </w:p>
    <w:p w14:paraId="671BECC2" w14:textId="2694D7B4" w:rsidR="00EA58E4" w:rsidRPr="006A15C8" w:rsidRDefault="00EA58E4" w:rsidP="00EA58E4">
      <w:r>
        <w:t>One</w:t>
      </w:r>
      <w:r w:rsidRPr="006A15C8">
        <w:t xml:space="preserve"> in </w:t>
      </w:r>
      <w:r>
        <w:t>twenty</w:t>
      </w:r>
      <w:r w:rsidRPr="006A15C8">
        <w:t xml:space="preserve"> WHMs (5</w:t>
      </w:r>
      <w:r>
        <w:t>.0</w:t>
      </w:r>
      <w:r w:rsidRPr="006A15C8">
        <w:t xml:space="preserve">%) </w:t>
      </w:r>
      <w:r>
        <w:t xml:space="preserve">provided information about formal </w:t>
      </w:r>
      <w:r w:rsidRPr="006A15C8">
        <w:t>courses</w:t>
      </w:r>
      <w:r>
        <w:t xml:space="preserve"> of study they were undertaking</w:t>
      </w:r>
      <w:r w:rsidRPr="006A15C8">
        <w:t xml:space="preserve"> during their working holiday in Australia</w:t>
      </w:r>
      <w:r>
        <w:t xml:space="preserve">. Aligning closely with the proportion of women (61.5%) responding to the survey, </w:t>
      </w:r>
      <w:r w:rsidRPr="006A15C8">
        <w:t>61.6% of WHMs undertaking formal study were women (</w:t>
      </w:r>
      <w:r>
        <w:t xml:space="preserve">see </w:t>
      </w:r>
      <w:r>
        <w:fldChar w:fldCharType="begin"/>
      </w:r>
      <w:r>
        <w:instrText xml:space="preserve"> REF _Ref68703554 \h </w:instrText>
      </w:r>
      <w:r>
        <w:fldChar w:fldCharType="separate"/>
      </w:r>
      <w:r w:rsidR="00F22012">
        <w:t xml:space="preserve">Table </w:t>
      </w:r>
      <w:r w:rsidR="00F22012">
        <w:rPr>
          <w:noProof/>
        </w:rPr>
        <w:t>7</w:t>
      </w:r>
      <w:r w:rsidR="00F22012">
        <w:noBreakHyphen/>
      </w:r>
      <w:r w:rsidR="00F22012">
        <w:rPr>
          <w:noProof/>
        </w:rPr>
        <w:t>2</w:t>
      </w:r>
      <w:r>
        <w:fldChar w:fldCharType="end"/>
      </w:r>
      <w:r w:rsidRPr="006A15C8">
        <w:t>).</w:t>
      </w:r>
      <w:r w:rsidRPr="001F3C5E">
        <w:t xml:space="preserve"> </w:t>
      </w:r>
      <w:r>
        <w:t xml:space="preserve">Most of the courses reported by WHMs were undertaken in New South Wales (33.8%) and Queensland (32.7%). Very few courses were reported in the Australian Capital Territory, Tasmania, and the Northern Territory, combining for 2.3% of the total number of courses, commensurate with the lower numbers of visitors to these states and territories. </w:t>
      </w:r>
    </w:p>
    <w:p w14:paraId="3556BA01" w14:textId="55524EF1" w:rsidR="00EA58E4" w:rsidRDefault="00EA58E4" w:rsidP="00EA58E4">
      <w:pPr>
        <w:pStyle w:val="Caption"/>
      </w:pPr>
      <w:bookmarkStart w:id="188" w:name="_Ref68703554"/>
      <w:bookmarkStart w:id="189" w:name="_Toc75878606"/>
      <w:r>
        <w:t xml:space="preserve">Table </w:t>
      </w:r>
      <w:r w:rsidR="00FE7EF1">
        <w:rPr>
          <w:noProof/>
        </w:rPr>
        <w:fldChar w:fldCharType="begin"/>
      </w:r>
      <w:r w:rsidR="00FE7EF1">
        <w:rPr>
          <w:noProof/>
        </w:rPr>
        <w:instrText xml:space="preserve"> STYLEREF 1 \s </w:instrText>
      </w:r>
      <w:r w:rsidR="00FE7EF1">
        <w:rPr>
          <w:noProof/>
        </w:rPr>
        <w:fldChar w:fldCharType="separate"/>
      </w:r>
      <w:r w:rsidR="00F22012">
        <w:rPr>
          <w:noProof/>
        </w:rPr>
        <w:t>7</w:t>
      </w:r>
      <w:r w:rsidR="00FE7EF1">
        <w:rPr>
          <w:noProof/>
        </w:rPr>
        <w:fldChar w:fldCharType="end"/>
      </w:r>
      <w:r>
        <w:noBreakHyphen/>
      </w:r>
      <w:r w:rsidR="00FE7EF1">
        <w:rPr>
          <w:noProof/>
        </w:rPr>
        <w:fldChar w:fldCharType="begin"/>
      </w:r>
      <w:r w:rsidR="00FE7EF1">
        <w:rPr>
          <w:noProof/>
        </w:rPr>
        <w:instrText xml:space="preserve"> SEQ Table \* ARABIC \s 1 </w:instrText>
      </w:r>
      <w:r w:rsidR="00FE7EF1">
        <w:rPr>
          <w:noProof/>
        </w:rPr>
        <w:fldChar w:fldCharType="separate"/>
      </w:r>
      <w:r w:rsidR="00F22012">
        <w:rPr>
          <w:noProof/>
        </w:rPr>
        <w:t>2</w:t>
      </w:r>
      <w:r w:rsidR="00FE7EF1">
        <w:rPr>
          <w:noProof/>
        </w:rPr>
        <w:fldChar w:fldCharType="end"/>
      </w:r>
      <w:bookmarkEnd w:id="188"/>
      <w:r>
        <w:t>: Courses WHMs enrolled, by state/territory and sex</w:t>
      </w:r>
      <w:bookmarkEnd w:id="189"/>
    </w:p>
    <w:tbl>
      <w:tblPr>
        <w:tblStyle w:val="ListTable3-Accent1"/>
        <w:tblW w:w="5000" w:type="pct"/>
        <w:tblLook w:val="0460" w:firstRow="1" w:lastRow="1" w:firstColumn="0" w:lastColumn="0" w:noHBand="0" w:noVBand="1"/>
      </w:tblPr>
      <w:tblGrid>
        <w:gridCol w:w="1806"/>
        <w:gridCol w:w="1803"/>
        <w:gridCol w:w="1803"/>
        <w:gridCol w:w="1803"/>
        <w:gridCol w:w="1801"/>
      </w:tblGrid>
      <w:tr w:rsidR="00EA58E4" w:rsidRPr="009D4B01" w14:paraId="11E3A8E3" w14:textId="77777777" w:rsidTr="001428FF">
        <w:trPr>
          <w:cnfStyle w:val="100000000000" w:firstRow="1" w:lastRow="0" w:firstColumn="0" w:lastColumn="0" w:oddVBand="0" w:evenVBand="0" w:oddHBand="0" w:evenHBand="0" w:firstRowFirstColumn="0" w:firstRowLastColumn="0" w:lastRowFirstColumn="0" w:lastRowLastColumn="0"/>
          <w:trHeight w:val="227"/>
        </w:trPr>
        <w:tc>
          <w:tcPr>
            <w:tcW w:w="1001" w:type="pct"/>
            <w:noWrap/>
            <w:vAlign w:val="center"/>
            <w:hideMark/>
          </w:tcPr>
          <w:p w14:paraId="5B2A7594" w14:textId="77777777" w:rsidR="00EA58E4" w:rsidRPr="007263B4" w:rsidRDefault="00EA58E4" w:rsidP="001428FF">
            <w:pPr>
              <w:keepNext/>
              <w:keepLines/>
              <w:spacing w:before="0"/>
              <w:rPr>
                <w:rFonts w:ascii="Calibri" w:eastAsia="Times New Roman" w:hAnsi="Calibri" w:cs="Calibri"/>
                <w:sz w:val="18"/>
                <w:szCs w:val="18"/>
                <w:lang w:eastAsia="en-AU"/>
              </w:rPr>
            </w:pPr>
          </w:p>
        </w:tc>
        <w:tc>
          <w:tcPr>
            <w:tcW w:w="1000" w:type="pct"/>
            <w:noWrap/>
            <w:vAlign w:val="center"/>
            <w:hideMark/>
          </w:tcPr>
          <w:p w14:paraId="06ED97F8" w14:textId="77777777" w:rsidR="00EA58E4" w:rsidRPr="00414621" w:rsidRDefault="00EA58E4" w:rsidP="001428FF">
            <w:pPr>
              <w:keepNext/>
              <w:keepLines/>
              <w:spacing w:before="0"/>
              <w:rPr>
                <w:rFonts w:ascii="Calibri" w:eastAsia="Times New Roman" w:hAnsi="Calibri" w:cs="Calibri"/>
                <w:sz w:val="18"/>
                <w:szCs w:val="18"/>
                <w:lang w:eastAsia="en-AU"/>
              </w:rPr>
            </w:pPr>
            <w:r w:rsidRPr="00414621">
              <w:rPr>
                <w:rFonts w:ascii="Calibri" w:eastAsia="Times New Roman" w:hAnsi="Calibri" w:cs="Calibri"/>
                <w:sz w:val="18"/>
                <w:szCs w:val="18"/>
                <w:lang w:eastAsia="en-AU"/>
              </w:rPr>
              <w:t>Male (%)</w:t>
            </w:r>
          </w:p>
        </w:tc>
        <w:tc>
          <w:tcPr>
            <w:tcW w:w="1000" w:type="pct"/>
            <w:noWrap/>
            <w:vAlign w:val="center"/>
            <w:hideMark/>
          </w:tcPr>
          <w:p w14:paraId="63EBB977" w14:textId="77777777" w:rsidR="00EA58E4" w:rsidRPr="00414621" w:rsidRDefault="00EA58E4" w:rsidP="001428FF">
            <w:pPr>
              <w:keepNext/>
              <w:keepLines/>
              <w:spacing w:before="0"/>
              <w:rPr>
                <w:rFonts w:ascii="Calibri" w:eastAsia="Times New Roman" w:hAnsi="Calibri" w:cs="Calibri"/>
                <w:sz w:val="18"/>
                <w:szCs w:val="18"/>
                <w:lang w:eastAsia="en-AU"/>
              </w:rPr>
            </w:pPr>
            <w:r w:rsidRPr="00414621">
              <w:rPr>
                <w:rFonts w:ascii="Calibri" w:eastAsia="Times New Roman" w:hAnsi="Calibri" w:cs="Calibri"/>
                <w:sz w:val="18"/>
                <w:szCs w:val="18"/>
                <w:lang w:eastAsia="en-AU"/>
              </w:rPr>
              <w:t>Female (%)</w:t>
            </w:r>
          </w:p>
        </w:tc>
        <w:tc>
          <w:tcPr>
            <w:tcW w:w="1000" w:type="pct"/>
            <w:noWrap/>
            <w:vAlign w:val="center"/>
            <w:hideMark/>
          </w:tcPr>
          <w:p w14:paraId="65370928" w14:textId="77777777" w:rsidR="00EA58E4" w:rsidRPr="00414621" w:rsidRDefault="00EA58E4" w:rsidP="001428FF">
            <w:pPr>
              <w:keepNext/>
              <w:keepLines/>
              <w:spacing w:before="0"/>
              <w:rPr>
                <w:rFonts w:ascii="Calibri" w:eastAsia="Times New Roman" w:hAnsi="Calibri" w:cs="Calibri"/>
                <w:sz w:val="18"/>
                <w:szCs w:val="18"/>
                <w:lang w:eastAsia="en-AU"/>
              </w:rPr>
            </w:pPr>
            <w:r w:rsidRPr="00414621">
              <w:rPr>
                <w:rFonts w:ascii="Calibri" w:eastAsia="Times New Roman" w:hAnsi="Calibri" w:cs="Calibri"/>
                <w:sz w:val="18"/>
                <w:szCs w:val="18"/>
                <w:lang w:eastAsia="en-AU"/>
              </w:rPr>
              <w:t>Total (%)</w:t>
            </w:r>
          </w:p>
        </w:tc>
        <w:tc>
          <w:tcPr>
            <w:tcW w:w="999" w:type="pct"/>
            <w:noWrap/>
            <w:vAlign w:val="center"/>
            <w:hideMark/>
          </w:tcPr>
          <w:p w14:paraId="0B673833" w14:textId="77777777" w:rsidR="00EA58E4" w:rsidRPr="00414621" w:rsidRDefault="00EA58E4" w:rsidP="001428FF">
            <w:pPr>
              <w:keepNext/>
              <w:keepLines/>
              <w:spacing w:before="0"/>
              <w:rPr>
                <w:rFonts w:ascii="Calibri" w:eastAsia="Times New Roman" w:hAnsi="Calibri" w:cs="Calibri"/>
                <w:sz w:val="18"/>
                <w:szCs w:val="18"/>
                <w:lang w:eastAsia="en-AU"/>
              </w:rPr>
            </w:pPr>
            <w:r w:rsidRPr="00414621">
              <w:rPr>
                <w:rFonts w:ascii="Calibri" w:eastAsia="Times New Roman" w:hAnsi="Calibri" w:cs="Calibri"/>
                <w:sz w:val="18"/>
                <w:szCs w:val="18"/>
                <w:lang w:eastAsia="en-AU"/>
              </w:rPr>
              <w:t>Total Courses</w:t>
            </w:r>
          </w:p>
        </w:tc>
      </w:tr>
      <w:tr w:rsidR="00EA58E4" w:rsidRPr="009D4B01" w14:paraId="79E1B9BE" w14:textId="77777777" w:rsidTr="001428FF">
        <w:trPr>
          <w:cnfStyle w:val="000000100000" w:firstRow="0" w:lastRow="0" w:firstColumn="0" w:lastColumn="0" w:oddVBand="0" w:evenVBand="0" w:oddHBand="1" w:evenHBand="0" w:firstRowFirstColumn="0" w:firstRowLastColumn="0" w:lastRowFirstColumn="0" w:lastRowLastColumn="0"/>
          <w:trHeight w:val="227"/>
        </w:trPr>
        <w:tc>
          <w:tcPr>
            <w:tcW w:w="1001" w:type="pct"/>
            <w:noWrap/>
            <w:vAlign w:val="center"/>
            <w:hideMark/>
          </w:tcPr>
          <w:p w14:paraId="65D2D452"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NSW</w:t>
            </w:r>
          </w:p>
        </w:tc>
        <w:tc>
          <w:tcPr>
            <w:tcW w:w="1000" w:type="pct"/>
            <w:noWrap/>
            <w:vAlign w:val="center"/>
            <w:hideMark/>
          </w:tcPr>
          <w:p w14:paraId="64282F0B"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11.7%</w:t>
            </w:r>
          </w:p>
        </w:tc>
        <w:tc>
          <w:tcPr>
            <w:tcW w:w="1000" w:type="pct"/>
            <w:noWrap/>
            <w:vAlign w:val="center"/>
            <w:hideMark/>
          </w:tcPr>
          <w:p w14:paraId="74A1B05B"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22.2%</w:t>
            </w:r>
          </w:p>
        </w:tc>
        <w:tc>
          <w:tcPr>
            <w:tcW w:w="1000" w:type="pct"/>
            <w:noWrap/>
            <w:vAlign w:val="center"/>
            <w:hideMark/>
          </w:tcPr>
          <w:p w14:paraId="79F77A75"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33.8%</w:t>
            </w:r>
          </w:p>
        </w:tc>
        <w:tc>
          <w:tcPr>
            <w:tcW w:w="999" w:type="pct"/>
            <w:noWrap/>
            <w:vAlign w:val="center"/>
            <w:hideMark/>
          </w:tcPr>
          <w:p w14:paraId="2621CDD2"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365</w:t>
            </w:r>
          </w:p>
        </w:tc>
      </w:tr>
      <w:tr w:rsidR="00EA58E4" w:rsidRPr="009D4B01" w14:paraId="3B100D27" w14:textId="77777777" w:rsidTr="001428FF">
        <w:trPr>
          <w:trHeight w:val="227"/>
        </w:trPr>
        <w:tc>
          <w:tcPr>
            <w:tcW w:w="1001" w:type="pct"/>
            <w:noWrap/>
            <w:vAlign w:val="center"/>
            <w:hideMark/>
          </w:tcPr>
          <w:p w14:paraId="639FA0A9"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Vic</w:t>
            </w:r>
          </w:p>
        </w:tc>
        <w:tc>
          <w:tcPr>
            <w:tcW w:w="1000" w:type="pct"/>
            <w:noWrap/>
            <w:vAlign w:val="center"/>
            <w:hideMark/>
          </w:tcPr>
          <w:p w14:paraId="7DE3704C"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7.7%</w:t>
            </w:r>
          </w:p>
        </w:tc>
        <w:tc>
          <w:tcPr>
            <w:tcW w:w="1000" w:type="pct"/>
            <w:noWrap/>
            <w:vAlign w:val="center"/>
            <w:hideMark/>
          </w:tcPr>
          <w:p w14:paraId="19580BF2"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10.4%</w:t>
            </w:r>
          </w:p>
        </w:tc>
        <w:tc>
          <w:tcPr>
            <w:tcW w:w="1000" w:type="pct"/>
            <w:noWrap/>
            <w:vAlign w:val="center"/>
            <w:hideMark/>
          </w:tcPr>
          <w:p w14:paraId="61CF11F6"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18.1%</w:t>
            </w:r>
          </w:p>
        </w:tc>
        <w:tc>
          <w:tcPr>
            <w:tcW w:w="999" w:type="pct"/>
            <w:noWrap/>
            <w:vAlign w:val="center"/>
            <w:hideMark/>
          </w:tcPr>
          <w:p w14:paraId="5FF0FC68"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195</w:t>
            </w:r>
          </w:p>
        </w:tc>
      </w:tr>
      <w:tr w:rsidR="00EA58E4" w:rsidRPr="009D4B01" w14:paraId="5EB2BF1E" w14:textId="77777777" w:rsidTr="001428FF">
        <w:trPr>
          <w:cnfStyle w:val="000000100000" w:firstRow="0" w:lastRow="0" w:firstColumn="0" w:lastColumn="0" w:oddVBand="0" w:evenVBand="0" w:oddHBand="1" w:evenHBand="0" w:firstRowFirstColumn="0" w:firstRowLastColumn="0" w:lastRowFirstColumn="0" w:lastRowLastColumn="0"/>
          <w:trHeight w:val="227"/>
        </w:trPr>
        <w:tc>
          <w:tcPr>
            <w:tcW w:w="1001" w:type="pct"/>
            <w:noWrap/>
            <w:vAlign w:val="center"/>
            <w:hideMark/>
          </w:tcPr>
          <w:p w14:paraId="71D5762B"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Qld</w:t>
            </w:r>
          </w:p>
        </w:tc>
        <w:tc>
          <w:tcPr>
            <w:tcW w:w="1000" w:type="pct"/>
            <w:noWrap/>
            <w:vAlign w:val="center"/>
            <w:hideMark/>
          </w:tcPr>
          <w:p w14:paraId="25234A21" w14:textId="77777777" w:rsidR="00EA58E4" w:rsidRPr="007263B4" w:rsidRDefault="00EA58E4" w:rsidP="00BC1178">
            <w:pPr>
              <w:keepNext/>
              <w:keepLines/>
              <w:spacing w:before="0"/>
              <w:ind w:left="1" w:hanging="1"/>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12.4%</w:t>
            </w:r>
          </w:p>
        </w:tc>
        <w:tc>
          <w:tcPr>
            <w:tcW w:w="1000" w:type="pct"/>
            <w:noWrap/>
            <w:vAlign w:val="center"/>
            <w:hideMark/>
          </w:tcPr>
          <w:p w14:paraId="55DFAD3A"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20.2%</w:t>
            </w:r>
          </w:p>
        </w:tc>
        <w:tc>
          <w:tcPr>
            <w:tcW w:w="1000" w:type="pct"/>
            <w:noWrap/>
            <w:vAlign w:val="center"/>
            <w:hideMark/>
          </w:tcPr>
          <w:p w14:paraId="010570BA"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32.7%</w:t>
            </w:r>
          </w:p>
        </w:tc>
        <w:tc>
          <w:tcPr>
            <w:tcW w:w="999" w:type="pct"/>
            <w:noWrap/>
            <w:vAlign w:val="center"/>
            <w:hideMark/>
          </w:tcPr>
          <w:p w14:paraId="48C23D34"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353</w:t>
            </w:r>
          </w:p>
        </w:tc>
      </w:tr>
      <w:tr w:rsidR="00EA58E4" w:rsidRPr="009D4B01" w14:paraId="1CE7AE13" w14:textId="77777777" w:rsidTr="001428FF">
        <w:trPr>
          <w:trHeight w:val="227"/>
        </w:trPr>
        <w:tc>
          <w:tcPr>
            <w:tcW w:w="1001" w:type="pct"/>
            <w:noWrap/>
            <w:vAlign w:val="center"/>
            <w:hideMark/>
          </w:tcPr>
          <w:p w14:paraId="0A5AD54B"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SA</w:t>
            </w:r>
          </w:p>
        </w:tc>
        <w:tc>
          <w:tcPr>
            <w:tcW w:w="1000" w:type="pct"/>
            <w:noWrap/>
            <w:vAlign w:val="center"/>
            <w:hideMark/>
          </w:tcPr>
          <w:p w14:paraId="59B5473B"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1.7%</w:t>
            </w:r>
          </w:p>
        </w:tc>
        <w:tc>
          <w:tcPr>
            <w:tcW w:w="1000" w:type="pct"/>
            <w:noWrap/>
            <w:vAlign w:val="center"/>
            <w:hideMark/>
          </w:tcPr>
          <w:p w14:paraId="1A7A89FD"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2.2%</w:t>
            </w:r>
          </w:p>
        </w:tc>
        <w:tc>
          <w:tcPr>
            <w:tcW w:w="1000" w:type="pct"/>
            <w:noWrap/>
            <w:vAlign w:val="center"/>
            <w:hideMark/>
          </w:tcPr>
          <w:p w14:paraId="6A0C636F"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3.9%</w:t>
            </w:r>
          </w:p>
        </w:tc>
        <w:tc>
          <w:tcPr>
            <w:tcW w:w="999" w:type="pct"/>
            <w:noWrap/>
            <w:vAlign w:val="center"/>
            <w:hideMark/>
          </w:tcPr>
          <w:p w14:paraId="784F7FD3"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42</w:t>
            </w:r>
          </w:p>
        </w:tc>
      </w:tr>
      <w:tr w:rsidR="00EA58E4" w:rsidRPr="009D4B01" w14:paraId="6856A12A" w14:textId="77777777" w:rsidTr="001428FF">
        <w:trPr>
          <w:cnfStyle w:val="000000100000" w:firstRow="0" w:lastRow="0" w:firstColumn="0" w:lastColumn="0" w:oddVBand="0" w:evenVBand="0" w:oddHBand="1" w:evenHBand="0" w:firstRowFirstColumn="0" w:firstRowLastColumn="0" w:lastRowFirstColumn="0" w:lastRowLastColumn="0"/>
          <w:trHeight w:val="227"/>
        </w:trPr>
        <w:tc>
          <w:tcPr>
            <w:tcW w:w="1001" w:type="pct"/>
            <w:noWrap/>
            <w:vAlign w:val="center"/>
            <w:hideMark/>
          </w:tcPr>
          <w:p w14:paraId="7F0DE272"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WA</w:t>
            </w:r>
          </w:p>
        </w:tc>
        <w:tc>
          <w:tcPr>
            <w:tcW w:w="1000" w:type="pct"/>
            <w:noWrap/>
            <w:vAlign w:val="center"/>
            <w:hideMark/>
          </w:tcPr>
          <w:p w14:paraId="52B51D8F"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4.2%</w:t>
            </w:r>
          </w:p>
        </w:tc>
        <w:tc>
          <w:tcPr>
            <w:tcW w:w="1000" w:type="pct"/>
            <w:noWrap/>
            <w:vAlign w:val="center"/>
            <w:hideMark/>
          </w:tcPr>
          <w:p w14:paraId="093BD164"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5.3%</w:t>
            </w:r>
          </w:p>
        </w:tc>
        <w:tc>
          <w:tcPr>
            <w:tcW w:w="1000" w:type="pct"/>
            <w:noWrap/>
            <w:vAlign w:val="center"/>
            <w:hideMark/>
          </w:tcPr>
          <w:p w14:paraId="56DCA605"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9.4%</w:t>
            </w:r>
          </w:p>
        </w:tc>
        <w:tc>
          <w:tcPr>
            <w:tcW w:w="999" w:type="pct"/>
            <w:noWrap/>
            <w:vAlign w:val="center"/>
            <w:hideMark/>
          </w:tcPr>
          <w:p w14:paraId="69D9EC99"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102</w:t>
            </w:r>
          </w:p>
        </w:tc>
      </w:tr>
      <w:tr w:rsidR="00EA58E4" w:rsidRPr="009D4B01" w14:paraId="5D579B1C" w14:textId="77777777" w:rsidTr="001428FF">
        <w:trPr>
          <w:trHeight w:val="227"/>
        </w:trPr>
        <w:tc>
          <w:tcPr>
            <w:tcW w:w="1001" w:type="pct"/>
            <w:noWrap/>
            <w:vAlign w:val="center"/>
            <w:hideMark/>
          </w:tcPr>
          <w:p w14:paraId="5E71C490"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Tas</w:t>
            </w:r>
          </w:p>
        </w:tc>
        <w:tc>
          <w:tcPr>
            <w:tcW w:w="1000" w:type="pct"/>
            <w:noWrap/>
            <w:vAlign w:val="center"/>
            <w:hideMark/>
          </w:tcPr>
          <w:p w14:paraId="4D8EAF43"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0.7%</w:t>
            </w:r>
          </w:p>
        </w:tc>
        <w:tc>
          <w:tcPr>
            <w:tcW w:w="1000" w:type="pct"/>
            <w:noWrap/>
            <w:vAlign w:val="center"/>
            <w:hideMark/>
          </w:tcPr>
          <w:p w14:paraId="75E68D34"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0.4%</w:t>
            </w:r>
          </w:p>
        </w:tc>
        <w:tc>
          <w:tcPr>
            <w:tcW w:w="1000" w:type="pct"/>
            <w:noWrap/>
            <w:vAlign w:val="center"/>
            <w:hideMark/>
          </w:tcPr>
          <w:p w14:paraId="28C40B5D"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1.1%</w:t>
            </w:r>
          </w:p>
        </w:tc>
        <w:tc>
          <w:tcPr>
            <w:tcW w:w="999" w:type="pct"/>
            <w:noWrap/>
            <w:vAlign w:val="center"/>
            <w:hideMark/>
          </w:tcPr>
          <w:p w14:paraId="03F4B1DA"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12</w:t>
            </w:r>
          </w:p>
        </w:tc>
      </w:tr>
      <w:tr w:rsidR="00EA58E4" w:rsidRPr="009D4B01" w14:paraId="0450A9E9" w14:textId="77777777" w:rsidTr="001428FF">
        <w:trPr>
          <w:cnfStyle w:val="000000100000" w:firstRow="0" w:lastRow="0" w:firstColumn="0" w:lastColumn="0" w:oddVBand="0" w:evenVBand="0" w:oddHBand="1" w:evenHBand="0" w:firstRowFirstColumn="0" w:firstRowLastColumn="0" w:lastRowFirstColumn="0" w:lastRowLastColumn="0"/>
          <w:trHeight w:val="227"/>
        </w:trPr>
        <w:tc>
          <w:tcPr>
            <w:tcW w:w="1001" w:type="pct"/>
            <w:noWrap/>
            <w:vAlign w:val="center"/>
            <w:hideMark/>
          </w:tcPr>
          <w:p w14:paraId="04E673BE"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NT</w:t>
            </w:r>
          </w:p>
        </w:tc>
        <w:tc>
          <w:tcPr>
            <w:tcW w:w="1000" w:type="pct"/>
            <w:noWrap/>
            <w:vAlign w:val="center"/>
            <w:hideMark/>
          </w:tcPr>
          <w:p w14:paraId="17F2E916"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0.2%</w:t>
            </w:r>
          </w:p>
        </w:tc>
        <w:tc>
          <w:tcPr>
            <w:tcW w:w="1000" w:type="pct"/>
            <w:noWrap/>
            <w:vAlign w:val="center"/>
            <w:hideMark/>
          </w:tcPr>
          <w:p w14:paraId="5CE4B926"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0.8%</w:t>
            </w:r>
          </w:p>
        </w:tc>
        <w:tc>
          <w:tcPr>
            <w:tcW w:w="1000" w:type="pct"/>
            <w:noWrap/>
            <w:vAlign w:val="center"/>
            <w:hideMark/>
          </w:tcPr>
          <w:p w14:paraId="4D9FBD92"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1.0%</w:t>
            </w:r>
          </w:p>
        </w:tc>
        <w:tc>
          <w:tcPr>
            <w:tcW w:w="999" w:type="pct"/>
            <w:noWrap/>
            <w:vAlign w:val="center"/>
            <w:hideMark/>
          </w:tcPr>
          <w:p w14:paraId="043870EB"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11</w:t>
            </w:r>
          </w:p>
        </w:tc>
      </w:tr>
      <w:tr w:rsidR="00EA58E4" w:rsidRPr="009D4B01" w14:paraId="178A567C" w14:textId="77777777" w:rsidTr="001428FF">
        <w:trPr>
          <w:trHeight w:val="227"/>
        </w:trPr>
        <w:tc>
          <w:tcPr>
            <w:tcW w:w="1001" w:type="pct"/>
            <w:noWrap/>
            <w:vAlign w:val="center"/>
            <w:hideMark/>
          </w:tcPr>
          <w:p w14:paraId="25930E83"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ACT</w:t>
            </w:r>
          </w:p>
        </w:tc>
        <w:tc>
          <w:tcPr>
            <w:tcW w:w="1000" w:type="pct"/>
            <w:noWrap/>
            <w:vAlign w:val="center"/>
            <w:hideMark/>
          </w:tcPr>
          <w:p w14:paraId="15A07A47"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0.1%</w:t>
            </w:r>
          </w:p>
        </w:tc>
        <w:tc>
          <w:tcPr>
            <w:tcW w:w="1000" w:type="pct"/>
            <w:noWrap/>
            <w:vAlign w:val="center"/>
            <w:hideMark/>
          </w:tcPr>
          <w:p w14:paraId="487FC298"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0.1%</w:t>
            </w:r>
          </w:p>
        </w:tc>
        <w:tc>
          <w:tcPr>
            <w:tcW w:w="1000" w:type="pct"/>
            <w:noWrap/>
            <w:vAlign w:val="center"/>
            <w:hideMark/>
          </w:tcPr>
          <w:p w14:paraId="68592206"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0.2%</w:t>
            </w:r>
          </w:p>
        </w:tc>
        <w:tc>
          <w:tcPr>
            <w:tcW w:w="999" w:type="pct"/>
            <w:noWrap/>
            <w:vAlign w:val="center"/>
            <w:hideMark/>
          </w:tcPr>
          <w:p w14:paraId="3E7B3418"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2</w:t>
            </w:r>
          </w:p>
        </w:tc>
      </w:tr>
      <w:tr w:rsidR="00EA58E4" w:rsidRPr="009D4B01" w14:paraId="4FDFEC21" w14:textId="77777777" w:rsidTr="001428FF">
        <w:trPr>
          <w:cnfStyle w:val="010000000000" w:firstRow="0" w:lastRow="1" w:firstColumn="0" w:lastColumn="0" w:oddVBand="0" w:evenVBand="0" w:oddHBand="0" w:evenHBand="0" w:firstRowFirstColumn="0" w:firstRowLastColumn="0" w:lastRowFirstColumn="0" w:lastRowLastColumn="0"/>
          <w:trHeight w:val="227"/>
        </w:trPr>
        <w:tc>
          <w:tcPr>
            <w:tcW w:w="1001" w:type="pct"/>
            <w:noWrap/>
            <w:vAlign w:val="center"/>
            <w:hideMark/>
          </w:tcPr>
          <w:p w14:paraId="31249DC0" w14:textId="77777777" w:rsidR="00EA58E4" w:rsidRPr="007263B4" w:rsidRDefault="00EA58E4" w:rsidP="001428FF">
            <w:pPr>
              <w:keepNext/>
              <w:keepLines/>
              <w:spacing w:before="0"/>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TOTAL</w:t>
            </w:r>
          </w:p>
        </w:tc>
        <w:tc>
          <w:tcPr>
            <w:tcW w:w="1000" w:type="pct"/>
            <w:noWrap/>
            <w:vAlign w:val="center"/>
            <w:hideMark/>
          </w:tcPr>
          <w:p w14:paraId="64C4AC42"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38.6%</w:t>
            </w:r>
          </w:p>
        </w:tc>
        <w:tc>
          <w:tcPr>
            <w:tcW w:w="1000" w:type="pct"/>
            <w:noWrap/>
            <w:vAlign w:val="center"/>
            <w:hideMark/>
          </w:tcPr>
          <w:p w14:paraId="68115430"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61.6%</w:t>
            </w:r>
          </w:p>
        </w:tc>
        <w:tc>
          <w:tcPr>
            <w:tcW w:w="1000" w:type="pct"/>
            <w:noWrap/>
            <w:vAlign w:val="center"/>
            <w:hideMark/>
          </w:tcPr>
          <w:p w14:paraId="7BD7AB12" w14:textId="77777777"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100.0%</w:t>
            </w:r>
          </w:p>
        </w:tc>
        <w:tc>
          <w:tcPr>
            <w:tcW w:w="999" w:type="pct"/>
            <w:noWrap/>
            <w:vAlign w:val="center"/>
            <w:hideMark/>
          </w:tcPr>
          <w:p w14:paraId="1BCAD87D" w14:textId="4CC87E3C" w:rsidR="00EA58E4" w:rsidRPr="007263B4" w:rsidRDefault="00EA58E4" w:rsidP="00BC1178">
            <w:pPr>
              <w:keepNext/>
              <w:keepLines/>
              <w:spacing w:before="0"/>
              <w:jc w:val="center"/>
              <w:rPr>
                <w:rFonts w:ascii="Calibri" w:eastAsia="Times New Roman" w:hAnsi="Calibri" w:cs="Calibri"/>
                <w:color w:val="000000"/>
                <w:sz w:val="18"/>
                <w:szCs w:val="18"/>
                <w:lang w:eastAsia="en-AU"/>
              </w:rPr>
            </w:pPr>
            <w:r w:rsidRPr="007263B4">
              <w:rPr>
                <w:rFonts w:ascii="Calibri" w:eastAsia="Times New Roman" w:hAnsi="Calibri" w:cs="Calibri"/>
                <w:color w:val="000000"/>
                <w:sz w:val="18"/>
                <w:szCs w:val="18"/>
                <w:lang w:eastAsia="en-AU"/>
              </w:rPr>
              <w:t>1</w:t>
            </w:r>
            <w:r w:rsidR="00F23216">
              <w:rPr>
                <w:rFonts w:ascii="Calibri" w:eastAsia="Times New Roman" w:hAnsi="Calibri" w:cs="Calibri"/>
                <w:color w:val="000000"/>
                <w:sz w:val="18"/>
                <w:szCs w:val="18"/>
                <w:lang w:eastAsia="en-AU"/>
              </w:rPr>
              <w:t>,</w:t>
            </w:r>
            <w:r w:rsidRPr="007263B4">
              <w:rPr>
                <w:rFonts w:ascii="Calibri" w:eastAsia="Times New Roman" w:hAnsi="Calibri" w:cs="Calibri"/>
                <w:color w:val="000000"/>
                <w:sz w:val="18"/>
                <w:szCs w:val="18"/>
                <w:lang w:eastAsia="en-AU"/>
              </w:rPr>
              <w:t>082</w:t>
            </w:r>
          </w:p>
        </w:tc>
      </w:tr>
    </w:tbl>
    <w:p w14:paraId="5C729B15" w14:textId="77777777" w:rsidR="00EA58E4" w:rsidRDefault="00EA58E4" w:rsidP="00EA58E4">
      <w:pPr>
        <w:pStyle w:val="Tablenote"/>
      </w:pPr>
      <w:r w:rsidRPr="009D07D8">
        <w:t xml:space="preserve">Source: </w:t>
      </w:r>
      <w:r>
        <w:t>WHM</w:t>
      </w:r>
      <w:r w:rsidRPr="009D07D8">
        <w:t xml:space="preserve"> Survey, 2020.</w:t>
      </w:r>
    </w:p>
    <w:p w14:paraId="33B46074" w14:textId="751643E8" w:rsidR="00EA58E4" w:rsidRPr="006A15C8" w:rsidRDefault="00EA58E4" w:rsidP="00EA58E4">
      <w:r>
        <w:t xml:space="preserve">More than half (54.1%) of all reported courses were for English language (see </w:t>
      </w:r>
      <w:r>
        <w:fldChar w:fldCharType="begin"/>
      </w:r>
      <w:r>
        <w:instrText xml:space="preserve"> REF _Ref68703940 \h </w:instrText>
      </w:r>
      <w:r>
        <w:fldChar w:fldCharType="separate"/>
      </w:r>
      <w:r w:rsidR="00F22012">
        <w:t xml:space="preserve">Figure </w:t>
      </w:r>
      <w:r w:rsidR="00F22012">
        <w:rPr>
          <w:noProof/>
        </w:rPr>
        <w:t>7</w:t>
      </w:r>
      <w:r w:rsidR="00F22012">
        <w:noBreakHyphen/>
      </w:r>
      <w:r w:rsidR="00F22012">
        <w:rPr>
          <w:noProof/>
        </w:rPr>
        <w:t>2</w:t>
      </w:r>
      <w:r>
        <w:fldChar w:fldCharType="end"/>
      </w:r>
      <w:r>
        <w:t xml:space="preserve">). Business or management courses accounted for 8.0%, with 7.5% of courses being for food and hospitality. Almost one in twenty courses undertaken were designated ‘other’ courses which included university courses and degrees (e.g. engineering, nursing, medicine, marine biology), short courses and internships along with vocational training (e.g. white cards, barista training, high risk work licence, forklift licence). </w:t>
      </w:r>
      <w:r w:rsidRPr="00901C3B">
        <w:t xml:space="preserve">The low number of responses for this question, as well as the preponderance of English courses indicate that formal study options </w:t>
      </w:r>
      <w:r w:rsidR="00B33D8B">
        <w:t xml:space="preserve">do </w:t>
      </w:r>
      <w:r w:rsidRPr="00901C3B">
        <w:t>not</w:t>
      </w:r>
      <w:r w:rsidR="00B33D8B">
        <w:t xml:space="preserve"> appear to be</w:t>
      </w:r>
      <w:r w:rsidRPr="00901C3B">
        <w:t xml:space="preserve"> a significant pull factor for WHMs coming to Australia.</w:t>
      </w:r>
      <w:r>
        <w:t xml:space="preserve"> </w:t>
      </w:r>
    </w:p>
    <w:p w14:paraId="29E5043B" w14:textId="3A5A8405" w:rsidR="00EA58E4" w:rsidRDefault="00EA58E4" w:rsidP="00EA58E4">
      <w:pPr>
        <w:pStyle w:val="Caption"/>
      </w:pPr>
      <w:bookmarkStart w:id="190" w:name="_Ref68703940"/>
      <w:bookmarkStart w:id="191" w:name="_Toc75878558"/>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7</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190"/>
      <w:r>
        <w:t>: Fields of study of Australian WHMs</w:t>
      </w:r>
      <w:bookmarkEnd w:id="191"/>
    </w:p>
    <w:p w14:paraId="51E006DA" w14:textId="77777777" w:rsidR="00EA58E4" w:rsidRPr="00521457" w:rsidRDefault="00EA58E4" w:rsidP="00EA58E4">
      <w:pPr>
        <w:rPr>
          <w:highlight w:val="yellow"/>
        </w:rPr>
      </w:pPr>
      <w:r>
        <w:rPr>
          <w:noProof/>
          <w:lang w:eastAsia="en-AU"/>
        </w:rPr>
        <w:drawing>
          <wp:inline distT="0" distB="0" distL="0" distR="0" wp14:anchorId="46FF393A" wp14:editId="0D16DCC3">
            <wp:extent cx="5743575" cy="2009775"/>
            <wp:effectExtent l="0" t="0" r="9525" b="9525"/>
            <wp:docPr id="74" name="Chart 74" descr="Figure 7-2 Chart showing fields of study of Australian WHMs.">
              <a:extLst xmlns:a="http://schemas.openxmlformats.org/drawingml/2006/main">
                <a:ext uri="{FF2B5EF4-FFF2-40B4-BE49-F238E27FC236}">
                  <a16:creationId xmlns:a16="http://schemas.microsoft.com/office/drawing/2014/main" id="{742DE32B-9598-40B1-8A3C-471CE08A2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A73B49C" w14:textId="02BA73F9" w:rsidR="00EA58E4" w:rsidRDefault="00EA58E4" w:rsidP="00EA58E4">
      <w:pPr>
        <w:pStyle w:val="Tablenote"/>
      </w:pPr>
      <w:r w:rsidRPr="00483C01">
        <w:t>Note</w:t>
      </w:r>
      <w:r w:rsidR="0024081F">
        <w:t>,</w:t>
      </w:r>
      <w:r w:rsidRPr="00483C01">
        <w:t xml:space="preserve"> Based on </w:t>
      </w:r>
      <w:r>
        <w:t>reports of study involving 1,082 courses.</w:t>
      </w:r>
      <w:r w:rsidRPr="00483C01">
        <w:t xml:space="preserve"> </w:t>
      </w:r>
    </w:p>
    <w:p w14:paraId="63E48F39" w14:textId="77777777" w:rsidR="00EA58E4" w:rsidRDefault="00EA58E4" w:rsidP="00EA58E4">
      <w:pPr>
        <w:pStyle w:val="Tablenote"/>
      </w:pPr>
      <w:r w:rsidRPr="009D07D8">
        <w:t xml:space="preserve">Source: </w:t>
      </w:r>
      <w:r>
        <w:t>WHM</w:t>
      </w:r>
      <w:r w:rsidRPr="009D07D8">
        <w:t xml:space="preserve"> Survey, 2020.</w:t>
      </w:r>
    </w:p>
    <w:p w14:paraId="525773A5" w14:textId="7637236F" w:rsidR="00EA58E4" w:rsidRPr="0017082E" w:rsidRDefault="00EA58E4" w:rsidP="00EA58E4">
      <w:r>
        <w:t xml:space="preserve">The average course duration for WHMs in Australia was 14.7 weeks, with men (15.1 weeks) spending about half a week longer studying than women (14.5 weeks). Time studying increased with age, with </w:t>
      </w:r>
      <w:r w:rsidR="00972D3C">
        <w:t xml:space="preserve">WHMs aged </w:t>
      </w:r>
      <w:r>
        <w:t>18 to 19</w:t>
      </w:r>
      <w:r w:rsidR="00972D3C">
        <w:t xml:space="preserve"> </w:t>
      </w:r>
      <w:r>
        <w:t>years studying for 12 weeks on average, followed by 13.6 weeks for those aged 20</w:t>
      </w:r>
      <w:r w:rsidR="007B5E42">
        <w:t xml:space="preserve"> to </w:t>
      </w:r>
      <w:r>
        <w:t>24 years, 14.2 weeks for those aged 25</w:t>
      </w:r>
      <w:r w:rsidR="00F855DA">
        <w:t xml:space="preserve"> to </w:t>
      </w:r>
      <w:r>
        <w:t>30</w:t>
      </w:r>
      <w:r w:rsidR="00F855DA">
        <w:t xml:space="preserve"> years</w:t>
      </w:r>
      <w:r>
        <w:t>, and 18.8 weeks for those aged 31</w:t>
      </w:r>
      <w:r w:rsidR="00F855DA">
        <w:t xml:space="preserve"> years</w:t>
      </w:r>
      <w:r>
        <w:t xml:space="preserve"> and older. This is congruent with older WHM</w:t>
      </w:r>
      <w:r w:rsidR="058B21F4">
        <w:t>s</w:t>
      </w:r>
      <w:r>
        <w:t xml:space="preserve"> </w:t>
      </w:r>
      <w:r w:rsidR="59ECABC6">
        <w:t>taking</w:t>
      </w:r>
      <w:r>
        <w:t xml:space="preserve"> on average more courses than younger WHM</w:t>
      </w:r>
      <w:r w:rsidR="00522855">
        <w:t>s</w:t>
      </w:r>
      <w:r>
        <w:t xml:space="preserve">. For example, </w:t>
      </w:r>
      <w:r w:rsidR="00883CE4">
        <w:t>WHMs</w:t>
      </w:r>
      <w:r>
        <w:t xml:space="preserve"> aged 31</w:t>
      </w:r>
      <w:r w:rsidR="003C66D3">
        <w:t xml:space="preserve"> years</w:t>
      </w:r>
      <w:r>
        <w:t xml:space="preserve"> and older reported studying an average of 1.2 courses per person. </w:t>
      </w:r>
      <w:r w:rsidR="00CB388E">
        <w:t>Whereas</w:t>
      </w:r>
      <w:r>
        <w:t xml:space="preserve"> </w:t>
      </w:r>
      <w:r w:rsidR="00CB388E">
        <w:t>WHMs</w:t>
      </w:r>
      <w:r>
        <w:t xml:space="preserve"> aged 18</w:t>
      </w:r>
      <w:r w:rsidR="00B776FD">
        <w:t xml:space="preserve"> to </w:t>
      </w:r>
      <w:r>
        <w:t>19</w:t>
      </w:r>
      <w:r w:rsidR="00B776FD">
        <w:t xml:space="preserve"> years</w:t>
      </w:r>
      <w:r w:rsidR="00CB388E">
        <w:t xml:space="preserve"> averaged</w:t>
      </w:r>
      <w:r>
        <w:t xml:space="preserve"> 1.1</w:t>
      </w:r>
      <w:r w:rsidR="00CB388E">
        <w:t xml:space="preserve"> courses per person</w:t>
      </w:r>
      <w:r>
        <w:t xml:space="preserve">. Response rates are low by citizenship, and averages for the United Kingdom, Canada, the Netherlands and the United States - which are lower than other countries - should be interpreted with caution. A summary is presented in </w:t>
      </w:r>
      <w:r>
        <w:fldChar w:fldCharType="begin"/>
      </w:r>
      <w:r>
        <w:instrText xml:space="preserve"> REF _Ref68769422 \h  \* MERGEFORMAT </w:instrText>
      </w:r>
      <w:r>
        <w:fldChar w:fldCharType="separate"/>
      </w:r>
      <w:r w:rsidR="00F22012" w:rsidRPr="0017082E">
        <w:t xml:space="preserve">Table </w:t>
      </w:r>
      <w:r w:rsidR="00F22012">
        <w:rPr>
          <w:noProof/>
        </w:rPr>
        <w:t>7</w:t>
      </w:r>
      <w:r w:rsidR="00F22012">
        <w:rPr>
          <w:noProof/>
        </w:rPr>
        <w:noBreakHyphen/>
        <w:t>3</w:t>
      </w:r>
      <w:r>
        <w:fldChar w:fldCharType="end"/>
      </w:r>
      <w:r>
        <w:t>.</w:t>
      </w:r>
    </w:p>
    <w:p w14:paraId="7FFC5708" w14:textId="056A3F70" w:rsidR="00EA58E4" w:rsidRPr="0017082E" w:rsidRDefault="00EA58E4" w:rsidP="00EA58E4">
      <w:pPr>
        <w:pStyle w:val="Caption"/>
      </w:pPr>
      <w:bookmarkStart w:id="192" w:name="_Ref68769422"/>
      <w:bookmarkStart w:id="193" w:name="_Toc75878607"/>
      <w:r w:rsidRPr="0017082E">
        <w:t xml:space="preserve">Table </w:t>
      </w:r>
      <w:r w:rsidR="00FE7EF1">
        <w:rPr>
          <w:noProof/>
        </w:rPr>
        <w:fldChar w:fldCharType="begin"/>
      </w:r>
      <w:r w:rsidR="00FE7EF1">
        <w:rPr>
          <w:noProof/>
        </w:rPr>
        <w:instrText xml:space="preserve"> STYLEREF 1 \s </w:instrText>
      </w:r>
      <w:r w:rsidR="00FE7EF1">
        <w:rPr>
          <w:noProof/>
        </w:rPr>
        <w:fldChar w:fldCharType="separate"/>
      </w:r>
      <w:r w:rsidR="00F22012">
        <w:rPr>
          <w:noProof/>
        </w:rPr>
        <w:t>7</w:t>
      </w:r>
      <w:r w:rsidR="00FE7EF1">
        <w:rPr>
          <w:noProof/>
        </w:rPr>
        <w:fldChar w:fldCharType="end"/>
      </w:r>
      <w:r>
        <w:noBreakHyphen/>
      </w:r>
      <w:r w:rsidR="00FE7EF1">
        <w:rPr>
          <w:noProof/>
        </w:rPr>
        <w:fldChar w:fldCharType="begin"/>
      </w:r>
      <w:r w:rsidR="00FE7EF1">
        <w:rPr>
          <w:noProof/>
        </w:rPr>
        <w:instrText xml:space="preserve"> SEQ Table \* ARABIC \s 1 </w:instrText>
      </w:r>
      <w:r w:rsidR="00FE7EF1">
        <w:rPr>
          <w:noProof/>
        </w:rPr>
        <w:fldChar w:fldCharType="separate"/>
      </w:r>
      <w:r w:rsidR="00F22012">
        <w:rPr>
          <w:noProof/>
        </w:rPr>
        <w:t>3</w:t>
      </w:r>
      <w:r w:rsidR="00FE7EF1">
        <w:rPr>
          <w:noProof/>
        </w:rPr>
        <w:fldChar w:fldCharType="end"/>
      </w:r>
      <w:bookmarkEnd w:id="192"/>
      <w:r w:rsidRPr="0017082E">
        <w:t>: Average weeks of courses, by sex, age group, and country</w:t>
      </w:r>
      <w:bookmarkEnd w:id="193"/>
    </w:p>
    <w:tbl>
      <w:tblPr>
        <w:tblStyle w:val="ListTable3-Accent1"/>
        <w:tblW w:w="2204" w:type="pct"/>
        <w:tblBorders>
          <w:insideH w:val="single" w:sz="4" w:space="0" w:color="1A5D9B" w:themeColor="accent1"/>
          <w:insideV w:val="single" w:sz="4" w:space="0" w:color="1A5D9B" w:themeColor="accent1"/>
        </w:tblBorders>
        <w:tblLook w:val="0460" w:firstRow="1" w:lastRow="1" w:firstColumn="0" w:lastColumn="0" w:noHBand="0" w:noVBand="1"/>
      </w:tblPr>
      <w:tblGrid>
        <w:gridCol w:w="1345"/>
        <w:gridCol w:w="424"/>
        <w:gridCol w:w="218"/>
        <w:gridCol w:w="705"/>
        <w:gridCol w:w="1282"/>
      </w:tblGrid>
      <w:tr w:rsidR="00D41B5A" w:rsidRPr="00077450" w14:paraId="0AF7975F" w14:textId="77777777" w:rsidTr="001C12BC">
        <w:trPr>
          <w:cnfStyle w:val="100000000000" w:firstRow="1" w:lastRow="0" w:firstColumn="0" w:lastColumn="0" w:oddVBand="0" w:evenVBand="0" w:oddHBand="0" w:evenHBand="0" w:firstRowFirstColumn="0" w:firstRowLastColumn="0" w:lastRowFirstColumn="0" w:lastRowLastColumn="0"/>
          <w:trHeight w:val="227"/>
        </w:trPr>
        <w:tc>
          <w:tcPr>
            <w:tcW w:w="1692" w:type="pct"/>
            <w:noWrap/>
          </w:tcPr>
          <w:p w14:paraId="3D32FEA0" w14:textId="37289EAE" w:rsidR="00D41B5A" w:rsidRPr="00077450" w:rsidRDefault="00D41B5A" w:rsidP="001428FF">
            <w:pPr>
              <w:keepNext/>
              <w:keepLines/>
              <w:spacing w:before="0"/>
              <w:jc w:val="right"/>
              <w:rPr>
                <w:rFonts w:ascii="Calibri" w:eastAsia="Times New Roman" w:hAnsi="Calibri" w:cs="Calibri"/>
                <w:b w:val="0"/>
                <w:bCs w:val="0"/>
                <w:sz w:val="18"/>
                <w:szCs w:val="18"/>
                <w:lang w:eastAsia="en-AU"/>
              </w:rPr>
            </w:pPr>
          </w:p>
        </w:tc>
        <w:tc>
          <w:tcPr>
            <w:tcW w:w="1695" w:type="pct"/>
            <w:gridSpan w:val="3"/>
          </w:tcPr>
          <w:p w14:paraId="0EA3C2CC" w14:textId="2C5C3AC6" w:rsidR="00D41B5A" w:rsidRPr="00077450" w:rsidRDefault="001C12BC" w:rsidP="001428FF">
            <w:pPr>
              <w:keepNext/>
              <w:keepLines/>
              <w:spacing w:before="0"/>
              <w:jc w:val="right"/>
              <w:rPr>
                <w:rFonts w:ascii="Calibri" w:eastAsia="Times New Roman" w:hAnsi="Calibri" w:cs="Calibri"/>
                <w:sz w:val="18"/>
                <w:szCs w:val="18"/>
                <w:lang w:eastAsia="en-AU"/>
              </w:rPr>
            </w:pPr>
            <w:r w:rsidRPr="00077450">
              <w:rPr>
                <w:rFonts w:ascii="Calibri" w:eastAsia="Times New Roman" w:hAnsi="Calibri" w:cs="Calibri"/>
                <w:sz w:val="18"/>
                <w:szCs w:val="18"/>
                <w:lang w:eastAsia="en-AU"/>
              </w:rPr>
              <w:t>Average weeks</w:t>
            </w:r>
          </w:p>
        </w:tc>
        <w:tc>
          <w:tcPr>
            <w:tcW w:w="1613" w:type="pct"/>
            <w:noWrap/>
          </w:tcPr>
          <w:p w14:paraId="3B74CD5F" w14:textId="77777777" w:rsidR="00D41B5A" w:rsidRPr="00077450" w:rsidRDefault="00D41B5A" w:rsidP="001428FF">
            <w:pPr>
              <w:keepNext/>
              <w:keepLines/>
              <w:spacing w:before="0"/>
              <w:jc w:val="center"/>
              <w:rPr>
                <w:rFonts w:ascii="Calibri" w:eastAsia="Times New Roman" w:hAnsi="Calibri" w:cs="Calibri"/>
                <w:sz w:val="18"/>
                <w:szCs w:val="18"/>
                <w:lang w:eastAsia="en-AU"/>
              </w:rPr>
            </w:pPr>
            <w:r w:rsidRPr="00077450">
              <w:rPr>
                <w:rFonts w:ascii="Calibri" w:eastAsia="Times New Roman" w:hAnsi="Calibri" w:cs="Calibri"/>
                <w:sz w:val="18"/>
                <w:szCs w:val="18"/>
                <w:lang w:eastAsia="en-AU"/>
              </w:rPr>
              <w:t>No. of courses</w:t>
            </w:r>
          </w:p>
        </w:tc>
      </w:tr>
      <w:tr w:rsidR="00EA58E4" w:rsidRPr="00ED5612" w14:paraId="7C9791A7"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shd w:val="clear" w:color="auto" w:fill="C6DEF5" w:themeFill="accent1" w:themeFillTint="33"/>
            <w:noWrap/>
            <w:hideMark/>
          </w:tcPr>
          <w:p w14:paraId="5776D387"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(a) by sex</w:t>
            </w:r>
          </w:p>
        </w:tc>
        <w:tc>
          <w:tcPr>
            <w:tcW w:w="1161" w:type="pct"/>
            <w:gridSpan w:val="2"/>
            <w:tcBorders>
              <w:top w:val="none" w:sz="0" w:space="0" w:color="auto"/>
              <w:bottom w:val="none" w:sz="0" w:space="0" w:color="auto"/>
            </w:tcBorders>
            <w:shd w:val="clear" w:color="auto" w:fill="C6DEF5" w:themeFill="accent1" w:themeFillTint="33"/>
            <w:noWrap/>
          </w:tcPr>
          <w:p w14:paraId="049DCED8"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p>
        </w:tc>
        <w:tc>
          <w:tcPr>
            <w:tcW w:w="1613" w:type="pct"/>
            <w:tcBorders>
              <w:top w:val="none" w:sz="0" w:space="0" w:color="auto"/>
              <w:bottom w:val="none" w:sz="0" w:space="0" w:color="auto"/>
            </w:tcBorders>
            <w:shd w:val="clear" w:color="auto" w:fill="C6DEF5" w:themeFill="accent1" w:themeFillTint="33"/>
            <w:noWrap/>
          </w:tcPr>
          <w:p w14:paraId="3514DE0E"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p>
        </w:tc>
      </w:tr>
      <w:tr w:rsidR="00EA58E4" w:rsidRPr="00ED5612" w14:paraId="0E14524A" w14:textId="77777777" w:rsidTr="001C12BC">
        <w:trPr>
          <w:trHeight w:val="227"/>
        </w:trPr>
        <w:tc>
          <w:tcPr>
            <w:tcW w:w="2226" w:type="pct"/>
            <w:gridSpan w:val="2"/>
            <w:noWrap/>
            <w:hideMark/>
          </w:tcPr>
          <w:p w14:paraId="5DBBBA50"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Male</w:t>
            </w:r>
          </w:p>
        </w:tc>
        <w:tc>
          <w:tcPr>
            <w:tcW w:w="1161" w:type="pct"/>
            <w:gridSpan w:val="2"/>
            <w:noWrap/>
            <w:hideMark/>
          </w:tcPr>
          <w:p w14:paraId="05E778A4"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15.1</w:t>
            </w:r>
          </w:p>
        </w:tc>
        <w:tc>
          <w:tcPr>
            <w:tcW w:w="1613" w:type="pct"/>
            <w:noWrap/>
            <w:hideMark/>
          </w:tcPr>
          <w:p w14:paraId="1C0BDC6F"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352</w:t>
            </w:r>
          </w:p>
        </w:tc>
      </w:tr>
      <w:tr w:rsidR="00EA58E4" w:rsidRPr="00ED5612" w14:paraId="4FB0973D"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3CA58AB1"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Female</w:t>
            </w:r>
          </w:p>
        </w:tc>
        <w:tc>
          <w:tcPr>
            <w:tcW w:w="1161" w:type="pct"/>
            <w:gridSpan w:val="2"/>
            <w:tcBorders>
              <w:top w:val="none" w:sz="0" w:space="0" w:color="auto"/>
              <w:bottom w:val="none" w:sz="0" w:space="0" w:color="auto"/>
            </w:tcBorders>
            <w:noWrap/>
            <w:hideMark/>
          </w:tcPr>
          <w:p w14:paraId="35C68FC7"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14.5</w:t>
            </w:r>
          </w:p>
        </w:tc>
        <w:tc>
          <w:tcPr>
            <w:tcW w:w="1613" w:type="pct"/>
            <w:tcBorders>
              <w:top w:val="none" w:sz="0" w:space="0" w:color="auto"/>
              <w:bottom w:val="none" w:sz="0" w:space="0" w:color="auto"/>
            </w:tcBorders>
            <w:noWrap/>
            <w:hideMark/>
          </w:tcPr>
          <w:p w14:paraId="1D869937"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575</w:t>
            </w:r>
          </w:p>
        </w:tc>
      </w:tr>
      <w:tr w:rsidR="001C12BC" w:rsidRPr="00ED5612" w14:paraId="529A273F" w14:textId="77777777" w:rsidTr="001C12BC">
        <w:trPr>
          <w:trHeight w:val="227"/>
        </w:trPr>
        <w:tc>
          <w:tcPr>
            <w:tcW w:w="2500" w:type="pct"/>
            <w:gridSpan w:val="3"/>
            <w:shd w:val="clear" w:color="auto" w:fill="C6DEF5" w:themeFill="accent1" w:themeFillTint="33"/>
            <w:noWrap/>
            <w:hideMark/>
          </w:tcPr>
          <w:p w14:paraId="2243E514" w14:textId="77777777" w:rsidR="001C12BC" w:rsidRPr="00077450" w:rsidRDefault="001C12BC" w:rsidP="001428FF">
            <w:pPr>
              <w:keepNext/>
              <w:keepLines/>
              <w:spacing w:before="0"/>
              <w:rPr>
                <w:rFonts w:ascii="Calibri" w:eastAsia="Times New Roman" w:hAnsi="Calibri" w:cs="Calibri"/>
                <w:sz w:val="18"/>
                <w:szCs w:val="18"/>
                <w:lang w:eastAsia="en-AU"/>
              </w:rPr>
            </w:pPr>
            <w:r w:rsidRPr="00077450">
              <w:rPr>
                <w:rFonts w:ascii="Calibri" w:eastAsia="Times New Roman" w:hAnsi="Calibri" w:cs="Calibri"/>
                <w:color w:val="000000"/>
                <w:sz w:val="18"/>
                <w:szCs w:val="18"/>
                <w:lang w:eastAsia="en-AU"/>
              </w:rPr>
              <w:t>(b) by age group</w:t>
            </w:r>
          </w:p>
        </w:tc>
        <w:tc>
          <w:tcPr>
            <w:tcW w:w="2500" w:type="pct"/>
            <w:gridSpan w:val="2"/>
            <w:shd w:val="clear" w:color="auto" w:fill="C6DEF5" w:themeFill="accent1" w:themeFillTint="33"/>
          </w:tcPr>
          <w:p w14:paraId="44A6EB35" w14:textId="576D96ED" w:rsidR="001C12BC" w:rsidRPr="00077450" w:rsidRDefault="001C12BC" w:rsidP="001428FF">
            <w:pPr>
              <w:keepNext/>
              <w:keepLines/>
              <w:spacing w:before="0"/>
              <w:rPr>
                <w:rFonts w:ascii="Calibri" w:eastAsia="Times New Roman" w:hAnsi="Calibri" w:cs="Calibri"/>
                <w:sz w:val="18"/>
                <w:szCs w:val="18"/>
                <w:lang w:eastAsia="en-AU"/>
              </w:rPr>
            </w:pPr>
          </w:p>
        </w:tc>
      </w:tr>
      <w:tr w:rsidR="00EA58E4" w:rsidRPr="00ED5612" w14:paraId="2A433C24"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vAlign w:val="bottom"/>
            <w:hideMark/>
          </w:tcPr>
          <w:p w14:paraId="7EE0714D"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18-19 years</w:t>
            </w:r>
          </w:p>
        </w:tc>
        <w:tc>
          <w:tcPr>
            <w:tcW w:w="1161" w:type="pct"/>
            <w:gridSpan w:val="2"/>
            <w:tcBorders>
              <w:top w:val="none" w:sz="0" w:space="0" w:color="auto"/>
              <w:bottom w:val="none" w:sz="0" w:space="0" w:color="auto"/>
            </w:tcBorders>
            <w:noWrap/>
            <w:hideMark/>
          </w:tcPr>
          <w:p w14:paraId="036799E0"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12.0</w:t>
            </w:r>
          </w:p>
        </w:tc>
        <w:tc>
          <w:tcPr>
            <w:tcW w:w="1613" w:type="pct"/>
            <w:tcBorders>
              <w:top w:val="none" w:sz="0" w:space="0" w:color="auto"/>
              <w:bottom w:val="none" w:sz="0" w:space="0" w:color="auto"/>
            </w:tcBorders>
            <w:noWrap/>
            <w:hideMark/>
          </w:tcPr>
          <w:p w14:paraId="3886E671"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51</w:t>
            </w:r>
          </w:p>
        </w:tc>
      </w:tr>
      <w:tr w:rsidR="00EA58E4" w:rsidRPr="00ED5612" w14:paraId="2977A41C" w14:textId="77777777" w:rsidTr="001C12BC">
        <w:trPr>
          <w:trHeight w:val="227"/>
        </w:trPr>
        <w:tc>
          <w:tcPr>
            <w:tcW w:w="2226" w:type="pct"/>
            <w:gridSpan w:val="2"/>
            <w:noWrap/>
            <w:vAlign w:val="bottom"/>
            <w:hideMark/>
          </w:tcPr>
          <w:p w14:paraId="706708AB"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20-24 years</w:t>
            </w:r>
          </w:p>
        </w:tc>
        <w:tc>
          <w:tcPr>
            <w:tcW w:w="1161" w:type="pct"/>
            <w:gridSpan w:val="2"/>
            <w:noWrap/>
            <w:hideMark/>
          </w:tcPr>
          <w:p w14:paraId="3BC46EEC"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13.6</w:t>
            </w:r>
          </w:p>
        </w:tc>
        <w:tc>
          <w:tcPr>
            <w:tcW w:w="1613" w:type="pct"/>
            <w:noWrap/>
            <w:hideMark/>
          </w:tcPr>
          <w:p w14:paraId="79E035AA"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314</w:t>
            </w:r>
          </w:p>
        </w:tc>
      </w:tr>
      <w:tr w:rsidR="00EA58E4" w:rsidRPr="00ED5612" w14:paraId="320AB423"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vAlign w:val="bottom"/>
            <w:hideMark/>
          </w:tcPr>
          <w:p w14:paraId="6DDF88A1"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25-30 years</w:t>
            </w:r>
          </w:p>
        </w:tc>
        <w:tc>
          <w:tcPr>
            <w:tcW w:w="1161" w:type="pct"/>
            <w:gridSpan w:val="2"/>
            <w:tcBorders>
              <w:top w:val="none" w:sz="0" w:space="0" w:color="auto"/>
              <w:bottom w:val="none" w:sz="0" w:space="0" w:color="auto"/>
            </w:tcBorders>
            <w:noWrap/>
            <w:hideMark/>
          </w:tcPr>
          <w:p w14:paraId="33898D1D"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14.2</w:t>
            </w:r>
          </w:p>
        </w:tc>
        <w:tc>
          <w:tcPr>
            <w:tcW w:w="1613" w:type="pct"/>
            <w:tcBorders>
              <w:top w:val="none" w:sz="0" w:space="0" w:color="auto"/>
              <w:bottom w:val="none" w:sz="0" w:space="0" w:color="auto"/>
            </w:tcBorders>
            <w:noWrap/>
            <w:hideMark/>
          </w:tcPr>
          <w:p w14:paraId="3EF7587E"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447</w:t>
            </w:r>
          </w:p>
        </w:tc>
      </w:tr>
      <w:tr w:rsidR="00EA58E4" w:rsidRPr="00ED5612" w14:paraId="71DB0074" w14:textId="77777777" w:rsidTr="001C12BC">
        <w:trPr>
          <w:trHeight w:val="227"/>
        </w:trPr>
        <w:tc>
          <w:tcPr>
            <w:tcW w:w="2226" w:type="pct"/>
            <w:gridSpan w:val="2"/>
            <w:noWrap/>
            <w:vAlign w:val="bottom"/>
            <w:hideMark/>
          </w:tcPr>
          <w:p w14:paraId="5FAD7ECD"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E1318B">
              <w:rPr>
                <w:rFonts w:ascii="Calibri" w:eastAsia="Times New Roman" w:hAnsi="Calibri" w:cs="Calibri"/>
                <w:color w:val="000000"/>
                <w:sz w:val="18"/>
                <w:szCs w:val="18"/>
                <w:lang w:eastAsia="en-AU"/>
              </w:rPr>
              <w:t>31+ years</w:t>
            </w:r>
          </w:p>
        </w:tc>
        <w:tc>
          <w:tcPr>
            <w:tcW w:w="1161" w:type="pct"/>
            <w:gridSpan w:val="2"/>
            <w:noWrap/>
            <w:hideMark/>
          </w:tcPr>
          <w:p w14:paraId="1DE66161"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18.8</w:t>
            </w:r>
          </w:p>
        </w:tc>
        <w:tc>
          <w:tcPr>
            <w:tcW w:w="1613" w:type="pct"/>
            <w:noWrap/>
            <w:hideMark/>
          </w:tcPr>
          <w:p w14:paraId="2A329716"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87</w:t>
            </w:r>
          </w:p>
        </w:tc>
      </w:tr>
      <w:tr w:rsidR="00EE78C9" w:rsidRPr="00ED5612" w14:paraId="0AF063BD" w14:textId="77777777" w:rsidTr="00EE78C9">
        <w:trPr>
          <w:cnfStyle w:val="000000100000" w:firstRow="0" w:lastRow="0" w:firstColumn="0" w:lastColumn="0" w:oddVBand="0" w:evenVBand="0" w:oddHBand="1" w:evenHBand="0" w:firstRowFirstColumn="0" w:firstRowLastColumn="0" w:lastRowFirstColumn="0" w:lastRowLastColumn="0"/>
          <w:trHeight w:val="227"/>
        </w:trPr>
        <w:tc>
          <w:tcPr>
            <w:tcW w:w="2500" w:type="pct"/>
            <w:gridSpan w:val="3"/>
            <w:shd w:val="clear" w:color="auto" w:fill="C6DEF5" w:themeFill="accent1" w:themeFillTint="33"/>
            <w:noWrap/>
            <w:hideMark/>
          </w:tcPr>
          <w:p w14:paraId="1BE00602" w14:textId="77777777" w:rsidR="00EE78C9" w:rsidRPr="00077450" w:rsidRDefault="00EE78C9" w:rsidP="001428FF">
            <w:pPr>
              <w:keepNext/>
              <w:keepLines/>
              <w:spacing w:before="0"/>
              <w:rPr>
                <w:rFonts w:ascii="Calibri" w:eastAsia="Times New Roman" w:hAnsi="Calibri" w:cs="Calibri"/>
                <w:sz w:val="18"/>
                <w:szCs w:val="18"/>
                <w:lang w:eastAsia="en-AU"/>
              </w:rPr>
            </w:pPr>
            <w:r w:rsidRPr="00077450">
              <w:rPr>
                <w:rFonts w:ascii="Calibri" w:eastAsia="Times New Roman" w:hAnsi="Calibri" w:cs="Calibri"/>
                <w:color w:val="000000"/>
                <w:sz w:val="18"/>
                <w:szCs w:val="18"/>
                <w:lang w:eastAsia="en-AU"/>
              </w:rPr>
              <w:t>(c) by country</w:t>
            </w:r>
          </w:p>
        </w:tc>
        <w:tc>
          <w:tcPr>
            <w:tcW w:w="2500" w:type="pct"/>
            <w:gridSpan w:val="2"/>
            <w:shd w:val="clear" w:color="auto" w:fill="C6DEF5" w:themeFill="accent1" w:themeFillTint="33"/>
          </w:tcPr>
          <w:p w14:paraId="79AD5DB2" w14:textId="7228A21C" w:rsidR="00EE78C9" w:rsidRPr="00077450" w:rsidRDefault="00EE78C9" w:rsidP="001428FF">
            <w:pPr>
              <w:keepNext/>
              <w:keepLines/>
              <w:spacing w:before="0"/>
              <w:rPr>
                <w:rFonts w:ascii="Calibri" w:eastAsia="Times New Roman" w:hAnsi="Calibri" w:cs="Calibri"/>
                <w:sz w:val="18"/>
                <w:szCs w:val="18"/>
                <w:lang w:eastAsia="en-AU"/>
              </w:rPr>
            </w:pPr>
          </w:p>
        </w:tc>
      </w:tr>
      <w:tr w:rsidR="00EA58E4" w:rsidRPr="00ED5612" w14:paraId="081193ED" w14:textId="77777777" w:rsidTr="001C12BC">
        <w:trPr>
          <w:trHeight w:val="227"/>
        </w:trPr>
        <w:tc>
          <w:tcPr>
            <w:tcW w:w="2226" w:type="pct"/>
            <w:gridSpan w:val="2"/>
            <w:noWrap/>
            <w:hideMark/>
          </w:tcPr>
          <w:p w14:paraId="432EF6B1"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Germany</w:t>
            </w:r>
          </w:p>
        </w:tc>
        <w:tc>
          <w:tcPr>
            <w:tcW w:w="1161" w:type="pct"/>
            <w:gridSpan w:val="2"/>
            <w:noWrap/>
            <w:hideMark/>
          </w:tcPr>
          <w:p w14:paraId="7BBAC481"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10.6</w:t>
            </w:r>
          </w:p>
        </w:tc>
        <w:tc>
          <w:tcPr>
            <w:tcW w:w="1613" w:type="pct"/>
            <w:noWrap/>
            <w:hideMark/>
          </w:tcPr>
          <w:p w14:paraId="471191C2"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67</w:t>
            </w:r>
          </w:p>
        </w:tc>
      </w:tr>
      <w:tr w:rsidR="00EA58E4" w:rsidRPr="00ED5612" w14:paraId="58C57E42"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25649369"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UK</w:t>
            </w:r>
          </w:p>
        </w:tc>
        <w:tc>
          <w:tcPr>
            <w:tcW w:w="1161" w:type="pct"/>
            <w:gridSpan w:val="2"/>
            <w:tcBorders>
              <w:top w:val="none" w:sz="0" w:space="0" w:color="auto"/>
              <w:bottom w:val="none" w:sz="0" w:space="0" w:color="auto"/>
            </w:tcBorders>
            <w:noWrap/>
            <w:hideMark/>
          </w:tcPr>
          <w:p w14:paraId="1E77F259"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19.4</w:t>
            </w:r>
          </w:p>
        </w:tc>
        <w:tc>
          <w:tcPr>
            <w:tcW w:w="1613" w:type="pct"/>
            <w:tcBorders>
              <w:top w:val="none" w:sz="0" w:space="0" w:color="auto"/>
              <w:bottom w:val="none" w:sz="0" w:space="0" w:color="auto"/>
            </w:tcBorders>
            <w:noWrap/>
            <w:hideMark/>
          </w:tcPr>
          <w:p w14:paraId="7A98F394"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12</w:t>
            </w:r>
          </w:p>
        </w:tc>
      </w:tr>
      <w:tr w:rsidR="00EA58E4" w:rsidRPr="00ED5612" w14:paraId="1FCD3721" w14:textId="77777777" w:rsidTr="001C12BC">
        <w:trPr>
          <w:trHeight w:val="227"/>
        </w:trPr>
        <w:tc>
          <w:tcPr>
            <w:tcW w:w="2226" w:type="pct"/>
            <w:gridSpan w:val="2"/>
            <w:noWrap/>
            <w:hideMark/>
          </w:tcPr>
          <w:p w14:paraId="2B898FCE"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France</w:t>
            </w:r>
          </w:p>
        </w:tc>
        <w:tc>
          <w:tcPr>
            <w:tcW w:w="1161" w:type="pct"/>
            <w:gridSpan w:val="2"/>
            <w:noWrap/>
            <w:hideMark/>
          </w:tcPr>
          <w:p w14:paraId="575EA5E8"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10.6</w:t>
            </w:r>
          </w:p>
        </w:tc>
        <w:tc>
          <w:tcPr>
            <w:tcW w:w="1613" w:type="pct"/>
            <w:noWrap/>
            <w:hideMark/>
          </w:tcPr>
          <w:p w14:paraId="650F877A"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114</w:t>
            </w:r>
          </w:p>
        </w:tc>
      </w:tr>
      <w:tr w:rsidR="00EA58E4" w:rsidRPr="00ED5612" w14:paraId="27319040"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1EC89E5E"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Taiwan</w:t>
            </w:r>
          </w:p>
        </w:tc>
        <w:tc>
          <w:tcPr>
            <w:tcW w:w="1161" w:type="pct"/>
            <w:gridSpan w:val="2"/>
            <w:tcBorders>
              <w:top w:val="none" w:sz="0" w:space="0" w:color="auto"/>
              <w:bottom w:val="none" w:sz="0" w:space="0" w:color="auto"/>
            </w:tcBorders>
            <w:noWrap/>
            <w:hideMark/>
          </w:tcPr>
          <w:p w14:paraId="11704A87"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17.3</w:t>
            </w:r>
          </w:p>
        </w:tc>
        <w:tc>
          <w:tcPr>
            <w:tcW w:w="1613" w:type="pct"/>
            <w:tcBorders>
              <w:top w:val="none" w:sz="0" w:space="0" w:color="auto"/>
              <w:bottom w:val="none" w:sz="0" w:space="0" w:color="auto"/>
            </w:tcBorders>
            <w:noWrap/>
            <w:hideMark/>
          </w:tcPr>
          <w:p w14:paraId="1BE7D05F"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118</w:t>
            </w:r>
          </w:p>
        </w:tc>
      </w:tr>
      <w:tr w:rsidR="00EA58E4" w:rsidRPr="00ED5612" w14:paraId="5EB32652" w14:textId="77777777" w:rsidTr="001C12BC">
        <w:trPr>
          <w:trHeight w:val="227"/>
        </w:trPr>
        <w:tc>
          <w:tcPr>
            <w:tcW w:w="2226" w:type="pct"/>
            <w:gridSpan w:val="2"/>
            <w:noWrap/>
            <w:hideMark/>
          </w:tcPr>
          <w:p w14:paraId="3377A285"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Italy</w:t>
            </w:r>
          </w:p>
        </w:tc>
        <w:tc>
          <w:tcPr>
            <w:tcW w:w="1161" w:type="pct"/>
            <w:gridSpan w:val="2"/>
            <w:noWrap/>
            <w:hideMark/>
          </w:tcPr>
          <w:p w14:paraId="0FA295CC"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16.9</w:t>
            </w:r>
          </w:p>
        </w:tc>
        <w:tc>
          <w:tcPr>
            <w:tcW w:w="1613" w:type="pct"/>
            <w:noWrap/>
            <w:hideMark/>
          </w:tcPr>
          <w:p w14:paraId="6B595F8A"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109</w:t>
            </w:r>
          </w:p>
        </w:tc>
      </w:tr>
      <w:tr w:rsidR="00EA58E4" w:rsidRPr="00ED5612" w14:paraId="20DD84AB"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19D1F4ED"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Canada</w:t>
            </w:r>
          </w:p>
        </w:tc>
        <w:tc>
          <w:tcPr>
            <w:tcW w:w="1161" w:type="pct"/>
            <w:gridSpan w:val="2"/>
            <w:tcBorders>
              <w:top w:val="none" w:sz="0" w:space="0" w:color="auto"/>
              <w:bottom w:val="none" w:sz="0" w:space="0" w:color="auto"/>
            </w:tcBorders>
            <w:noWrap/>
            <w:hideMark/>
          </w:tcPr>
          <w:p w14:paraId="26ADF979"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25.0</w:t>
            </w:r>
          </w:p>
        </w:tc>
        <w:tc>
          <w:tcPr>
            <w:tcW w:w="1613" w:type="pct"/>
            <w:tcBorders>
              <w:top w:val="none" w:sz="0" w:space="0" w:color="auto"/>
              <w:bottom w:val="none" w:sz="0" w:space="0" w:color="auto"/>
            </w:tcBorders>
            <w:noWrap/>
            <w:hideMark/>
          </w:tcPr>
          <w:p w14:paraId="7B485478"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12</w:t>
            </w:r>
          </w:p>
        </w:tc>
      </w:tr>
      <w:tr w:rsidR="00EA58E4" w:rsidRPr="00ED5612" w14:paraId="41F126F9" w14:textId="77777777" w:rsidTr="001C12BC">
        <w:trPr>
          <w:trHeight w:val="227"/>
        </w:trPr>
        <w:tc>
          <w:tcPr>
            <w:tcW w:w="2226" w:type="pct"/>
            <w:gridSpan w:val="2"/>
            <w:noWrap/>
            <w:hideMark/>
          </w:tcPr>
          <w:p w14:paraId="6D375E5F"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USA</w:t>
            </w:r>
          </w:p>
        </w:tc>
        <w:tc>
          <w:tcPr>
            <w:tcW w:w="1161" w:type="pct"/>
            <w:gridSpan w:val="2"/>
            <w:noWrap/>
            <w:hideMark/>
          </w:tcPr>
          <w:p w14:paraId="002C62F1"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20.4</w:t>
            </w:r>
          </w:p>
        </w:tc>
        <w:tc>
          <w:tcPr>
            <w:tcW w:w="1613" w:type="pct"/>
            <w:noWrap/>
            <w:hideMark/>
          </w:tcPr>
          <w:p w14:paraId="41DC77EA"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37</w:t>
            </w:r>
          </w:p>
        </w:tc>
      </w:tr>
      <w:tr w:rsidR="00EA58E4" w:rsidRPr="00ED5612" w14:paraId="58B74953"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5B70F3F3"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xml:space="preserve">South </w:t>
            </w:r>
            <w:r w:rsidRPr="00077450">
              <w:rPr>
                <w:rFonts w:ascii="Calibri" w:eastAsia="Times New Roman" w:hAnsi="Calibri" w:cs="Calibri"/>
                <w:color w:val="000000"/>
                <w:sz w:val="18"/>
                <w:szCs w:val="18"/>
                <w:lang w:eastAsia="en-AU"/>
              </w:rPr>
              <w:t>Korea</w:t>
            </w:r>
          </w:p>
        </w:tc>
        <w:tc>
          <w:tcPr>
            <w:tcW w:w="1161" w:type="pct"/>
            <w:gridSpan w:val="2"/>
            <w:tcBorders>
              <w:top w:val="none" w:sz="0" w:space="0" w:color="auto"/>
              <w:bottom w:val="none" w:sz="0" w:space="0" w:color="auto"/>
            </w:tcBorders>
            <w:noWrap/>
            <w:hideMark/>
          </w:tcPr>
          <w:p w14:paraId="174B94C9"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12.2</w:t>
            </w:r>
          </w:p>
        </w:tc>
        <w:tc>
          <w:tcPr>
            <w:tcW w:w="1613" w:type="pct"/>
            <w:tcBorders>
              <w:top w:val="none" w:sz="0" w:space="0" w:color="auto"/>
              <w:bottom w:val="none" w:sz="0" w:space="0" w:color="auto"/>
            </w:tcBorders>
            <w:noWrap/>
            <w:hideMark/>
          </w:tcPr>
          <w:p w14:paraId="49979EE3"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112</w:t>
            </w:r>
          </w:p>
        </w:tc>
      </w:tr>
      <w:tr w:rsidR="00EA58E4" w:rsidRPr="00ED5612" w14:paraId="0746D21B" w14:textId="77777777" w:rsidTr="001C12BC">
        <w:trPr>
          <w:trHeight w:val="227"/>
        </w:trPr>
        <w:tc>
          <w:tcPr>
            <w:tcW w:w="2226" w:type="pct"/>
            <w:gridSpan w:val="2"/>
            <w:noWrap/>
            <w:hideMark/>
          </w:tcPr>
          <w:p w14:paraId="0A84CD59"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Netherlands</w:t>
            </w:r>
          </w:p>
        </w:tc>
        <w:tc>
          <w:tcPr>
            <w:tcW w:w="1161" w:type="pct"/>
            <w:gridSpan w:val="2"/>
            <w:noWrap/>
            <w:hideMark/>
          </w:tcPr>
          <w:p w14:paraId="23C67ACB"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19.6</w:t>
            </w:r>
          </w:p>
        </w:tc>
        <w:tc>
          <w:tcPr>
            <w:tcW w:w="1613" w:type="pct"/>
            <w:noWrap/>
            <w:hideMark/>
          </w:tcPr>
          <w:p w14:paraId="10617EB6"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20</w:t>
            </w:r>
          </w:p>
        </w:tc>
      </w:tr>
      <w:tr w:rsidR="00EA58E4" w:rsidRPr="00ED5612" w14:paraId="6C5CADEE" w14:textId="77777777" w:rsidTr="001C12BC">
        <w:trPr>
          <w:cnfStyle w:val="000000100000" w:firstRow="0" w:lastRow="0" w:firstColumn="0" w:lastColumn="0" w:oddVBand="0" w:evenVBand="0" w:oddHBand="1" w:evenHBand="0" w:firstRowFirstColumn="0" w:firstRowLastColumn="0" w:lastRowFirstColumn="0" w:lastRowLastColumn="0"/>
          <w:trHeight w:val="227"/>
        </w:trPr>
        <w:tc>
          <w:tcPr>
            <w:tcW w:w="2226" w:type="pct"/>
            <w:gridSpan w:val="2"/>
            <w:tcBorders>
              <w:top w:val="none" w:sz="0" w:space="0" w:color="auto"/>
              <w:bottom w:val="none" w:sz="0" w:space="0" w:color="auto"/>
            </w:tcBorders>
            <w:noWrap/>
            <w:hideMark/>
          </w:tcPr>
          <w:p w14:paraId="42F6FBF2"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Japan</w:t>
            </w:r>
          </w:p>
        </w:tc>
        <w:tc>
          <w:tcPr>
            <w:tcW w:w="1161" w:type="pct"/>
            <w:gridSpan w:val="2"/>
            <w:tcBorders>
              <w:top w:val="none" w:sz="0" w:space="0" w:color="auto"/>
              <w:bottom w:val="none" w:sz="0" w:space="0" w:color="auto"/>
            </w:tcBorders>
            <w:noWrap/>
            <w:hideMark/>
          </w:tcPr>
          <w:p w14:paraId="182C5E37"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13.1</w:t>
            </w:r>
          </w:p>
        </w:tc>
        <w:tc>
          <w:tcPr>
            <w:tcW w:w="1613" w:type="pct"/>
            <w:tcBorders>
              <w:top w:val="none" w:sz="0" w:space="0" w:color="auto"/>
              <w:bottom w:val="none" w:sz="0" w:space="0" w:color="auto"/>
            </w:tcBorders>
            <w:noWrap/>
            <w:hideMark/>
          </w:tcPr>
          <w:p w14:paraId="79271BA6"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202</w:t>
            </w:r>
          </w:p>
        </w:tc>
      </w:tr>
      <w:tr w:rsidR="00EA58E4" w:rsidRPr="00ED5612" w14:paraId="2D8A4561" w14:textId="77777777" w:rsidTr="001C12BC">
        <w:trPr>
          <w:trHeight w:val="227"/>
        </w:trPr>
        <w:tc>
          <w:tcPr>
            <w:tcW w:w="2226" w:type="pct"/>
            <w:gridSpan w:val="2"/>
            <w:tcBorders>
              <w:bottom w:val="double" w:sz="4" w:space="0" w:color="1A5D9B" w:themeColor="accent1"/>
            </w:tcBorders>
            <w:noWrap/>
            <w:hideMark/>
          </w:tcPr>
          <w:p w14:paraId="3A8982C4" w14:textId="77777777" w:rsidR="00EA58E4" w:rsidRPr="00077450" w:rsidRDefault="00EA58E4" w:rsidP="001428FF">
            <w:pPr>
              <w:keepNext/>
              <w:keepLines/>
              <w:spacing w:before="0"/>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Other</w:t>
            </w:r>
          </w:p>
        </w:tc>
        <w:tc>
          <w:tcPr>
            <w:tcW w:w="1161" w:type="pct"/>
            <w:gridSpan w:val="2"/>
            <w:tcBorders>
              <w:bottom w:val="double" w:sz="4" w:space="0" w:color="1A5D9B" w:themeColor="accent1"/>
            </w:tcBorders>
            <w:noWrap/>
            <w:hideMark/>
          </w:tcPr>
          <w:p w14:paraId="486A640E"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19.8</w:t>
            </w:r>
          </w:p>
        </w:tc>
        <w:tc>
          <w:tcPr>
            <w:tcW w:w="1613" w:type="pct"/>
            <w:tcBorders>
              <w:bottom w:val="double" w:sz="4" w:space="0" w:color="1A5D9B" w:themeColor="accent1"/>
            </w:tcBorders>
            <w:noWrap/>
            <w:hideMark/>
          </w:tcPr>
          <w:p w14:paraId="348D5889" w14:textId="77777777" w:rsidR="00EA58E4" w:rsidRPr="00077450" w:rsidRDefault="00EA58E4" w:rsidP="001428FF">
            <w:pPr>
              <w:keepNext/>
              <w:keepLines/>
              <w:spacing w:before="0"/>
              <w:jc w:val="center"/>
              <w:rPr>
                <w:rFonts w:ascii="Calibri" w:eastAsia="Times New Roman" w:hAnsi="Calibri" w:cs="Calibri"/>
                <w:color w:val="000000"/>
                <w:sz w:val="18"/>
                <w:szCs w:val="18"/>
                <w:lang w:eastAsia="en-AU"/>
              </w:rPr>
            </w:pPr>
            <w:r w:rsidRPr="00077450">
              <w:rPr>
                <w:rFonts w:ascii="Calibri" w:eastAsia="Times New Roman" w:hAnsi="Calibri" w:cs="Calibri"/>
                <w:color w:val="000000"/>
                <w:sz w:val="18"/>
                <w:szCs w:val="18"/>
                <w:lang w:eastAsia="en-AU"/>
              </w:rPr>
              <w:t>122</w:t>
            </w:r>
          </w:p>
        </w:tc>
      </w:tr>
      <w:tr w:rsidR="00EA58E4" w:rsidRPr="00ED5612" w14:paraId="1C32156E" w14:textId="77777777" w:rsidTr="001C12BC">
        <w:trPr>
          <w:cnfStyle w:val="010000000000" w:firstRow="0" w:lastRow="1" w:firstColumn="0" w:lastColumn="0" w:oddVBand="0" w:evenVBand="0" w:oddHBand="0" w:evenHBand="0" w:firstRowFirstColumn="0" w:firstRowLastColumn="0" w:lastRowFirstColumn="0" w:lastRowLastColumn="0"/>
          <w:trHeight w:val="227"/>
        </w:trPr>
        <w:tc>
          <w:tcPr>
            <w:tcW w:w="2226" w:type="pct"/>
            <w:gridSpan w:val="2"/>
            <w:noWrap/>
            <w:hideMark/>
          </w:tcPr>
          <w:p w14:paraId="2C946A43" w14:textId="77777777" w:rsidR="00EA58E4" w:rsidRPr="00077450" w:rsidRDefault="00EA58E4" w:rsidP="001428FF">
            <w:pPr>
              <w:keepNext/>
              <w:keepLines/>
              <w:spacing w:before="0"/>
              <w:rPr>
                <w:rFonts w:ascii="Calibri" w:eastAsia="Times New Roman" w:hAnsi="Calibri" w:cs="Calibri"/>
                <w:b w:val="0"/>
                <w:color w:val="000000"/>
                <w:sz w:val="18"/>
                <w:szCs w:val="18"/>
                <w:lang w:eastAsia="en-AU"/>
              </w:rPr>
            </w:pPr>
            <w:r w:rsidRPr="00077450">
              <w:rPr>
                <w:rFonts w:ascii="Calibri" w:eastAsia="Times New Roman" w:hAnsi="Calibri" w:cs="Calibri"/>
                <w:color w:val="000000"/>
                <w:sz w:val="18"/>
                <w:szCs w:val="18"/>
                <w:lang w:eastAsia="en-AU"/>
              </w:rPr>
              <w:t>TOTAL</w:t>
            </w:r>
          </w:p>
        </w:tc>
        <w:tc>
          <w:tcPr>
            <w:tcW w:w="1161" w:type="pct"/>
            <w:gridSpan w:val="2"/>
            <w:noWrap/>
            <w:hideMark/>
          </w:tcPr>
          <w:p w14:paraId="54BD65E1" w14:textId="77777777" w:rsidR="00EA58E4" w:rsidRPr="00077450" w:rsidRDefault="00EA58E4" w:rsidP="001428FF">
            <w:pPr>
              <w:keepNext/>
              <w:keepLines/>
              <w:spacing w:before="0"/>
              <w:jc w:val="center"/>
              <w:rPr>
                <w:rFonts w:ascii="Calibri" w:eastAsia="Times New Roman" w:hAnsi="Calibri" w:cs="Calibri"/>
                <w:b w:val="0"/>
                <w:color w:val="000000"/>
                <w:sz w:val="18"/>
                <w:szCs w:val="18"/>
                <w:lang w:eastAsia="en-AU"/>
              </w:rPr>
            </w:pPr>
            <w:r w:rsidRPr="00077450">
              <w:rPr>
                <w:rFonts w:ascii="Calibri" w:eastAsia="Times New Roman" w:hAnsi="Calibri" w:cs="Calibri"/>
                <w:color w:val="000000"/>
                <w:sz w:val="18"/>
                <w:szCs w:val="18"/>
                <w:lang w:eastAsia="en-AU"/>
              </w:rPr>
              <w:t>14.7</w:t>
            </w:r>
          </w:p>
        </w:tc>
        <w:tc>
          <w:tcPr>
            <w:tcW w:w="1613" w:type="pct"/>
            <w:noWrap/>
            <w:hideMark/>
          </w:tcPr>
          <w:p w14:paraId="00FA44E7" w14:textId="77777777" w:rsidR="00EA58E4" w:rsidRPr="00077450" w:rsidRDefault="00EA58E4" w:rsidP="001428FF">
            <w:pPr>
              <w:keepNext/>
              <w:keepLines/>
              <w:spacing w:before="0"/>
              <w:jc w:val="center"/>
              <w:rPr>
                <w:rFonts w:ascii="Calibri" w:eastAsia="Times New Roman" w:hAnsi="Calibri" w:cs="Calibri"/>
                <w:b w:val="0"/>
                <w:color w:val="000000"/>
                <w:sz w:val="18"/>
                <w:szCs w:val="18"/>
                <w:lang w:eastAsia="en-AU"/>
              </w:rPr>
            </w:pPr>
            <w:r w:rsidRPr="00077450">
              <w:rPr>
                <w:rFonts w:ascii="Calibri" w:eastAsia="Times New Roman" w:hAnsi="Calibri" w:cs="Calibri"/>
                <w:color w:val="000000"/>
                <w:sz w:val="18"/>
                <w:szCs w:val="18"/>
                <w:lang w:eastAsia="en-AU"/>
              </w:rPr>
              <w:t>925</w:t>
            </w:r>
          </w:p>
        </w:tc>
      </w:tr>
    </w:tbl>
    <w:p w14:paraId="486CE9B0" w14:textId="7EA380D1" w:rsidR="00EA58E4" w:rsidRPr="0017082E" w:rsidRDefault="00EA58E4" w:rsidP="00EA58E4">
      <w:pPr>
        <w:pStyle w:val="Tablenote"/>
        <w:keepNext/>
        <w:keepLines/>
      </w:pPr>
      <w:r w:rsidRPr="0017082E">
        <w:t>Note</w:t>
      </w:r>
      <w:r w:rsidR="0024081F">
        <w:t>,</w:t>
      </w:r>
      <w:r w:rsidRPr="0017082E">
        <w:t xml:space="preserve"> the countries presented here are based on the ten most commonly reported citizenship of WHM</w:t>
      </w:r>
      <w:r w:rsidR="00522855">
        <w:t>s</w:t>
      </w:r>
      <w:r w:rsidRPr="0017082E">
        <w:t>, not the countries with the highest response rates to this question.</w:t>
      </w:r>
      <w:r>
        <w:t xml:space="preserve"> Total excludes responses who did not specify their sex, age, or country of citizenship. </w:t>
      </w:r>
      <w:r w:rsidRPr="0017082E">
        <w:t xml:space="preserve"> </w:t>
      </w:r>
    </w:p>
    <w:p w14:paraId="154DEA48" w14:textId="77777777" w:rsidR="00EA58E4" w:rsidRDefault="00EA58E4" w:rsidP="00EA58E4">
      <w:pPr>
        <w:pStyle w:val="Tablenote"/>
      </w:pPr>
      <w:r w:rsidRPr="009D07D8">
        <w:t xml:space="preserve">Source: </w:t>
      </w:r>
      <w:r>
        <w:t>WHM</w:t>
      </w:r>
      <w:r w:rsidRPr="009D07D8">
        <w:t xml:space="preserve"> Survey, 2020.</w:t>
      </w:r>
    </w:p>
    <w:p w14:paraId="69218626" w14:textId="77777777" w:rsidR="00EA58E4" w:rsidRPr="009E4278" w:rsidRDefault="00EA58E4" w:rsidP="00EA58E4">
      <w:pPr>
        <w:pStyle w:val="Heading3"/>
      </w:pPr>
      <w:bookmarkStart w:id="194" w:name="_Toc75878474"/>
      <w:r w:rsidRPr="009E4278">
        <w:t>Study expenditure</w:t>
      </w:r>
      <w:bookmarkEnd w:id="194"/>
    </w:p>
    <w:p w14:paraId="46245046" w14:textId="5270A482" w:rsidR="00EA58E4" w:rsidRPr="009E4278" w:rsidRDefault="00EA58E4" w:rsidP="00EA58E4">
      <w:r w:rsidRPr="009E4278">
        <w:t>From the 677 WHMs who provided an estimate of spending on courses while in Australia, the average</w:t>
      </w:r>
      <w:r>
        <w:t xml:space="preserve"> total</w:t>
      </w:r>
      <w:r w:rsidRPr="009E4278">
        <w:t xml:space="preserve"> expenditure was $5,4</w:t>
      </w:r>
      <w:r w:rsidR="00EC6973">
        <w:t>00</w:t>
      </w:r>
      <w:r w:rsidR="009C62AD">
        <w:t>,</w:t>
      </w:r>
      <w:r w:rsidR="00EC6973">
        <w:rPr>
          <w:rStyle w:val="FootnoteReference"/>
        </w:rPr>
        <w:footnoteReference w:id="30"/>
      </w:r>
      <w:r>
        <w:t xml:space="preserve"> and the average number of courses studied was 1.2. </w:t>
      </w:r>
      <w:r w:rsidRPr="009E4278">
        <w:t>Business and management courses were the most expensive of the specified course types, averaging $9,</w:t>
      </w:r>
      <w:r w:rsidR="00EC6973">
        <w:t>800</w:t>
      </w:r>
      <w:r>
        <w:t xml:space="preserve"> </w:t>
      </w:r>
      <w:r w:rsidRPr="009E4278">
        <w:t>(</w:t>
      </w:r>
      <w:r>
        <w:t>s</w:t>
      </w:r>
      <w:r w:rsidRPr="009E4278">
        <w:t xml:space="preserve">ee </w:t>
      </w:r>
      <w:r w:rsidRPr="009E4278">
        <w:fldChar w:fldCharType="begin"/>
      </w:r>
      <w:r w:rsidRPr="009E4278">
        <w:instrText xml:space="preserve"> REF _Ref68771472 \h </w:instrText>
      </w:r>
      <w:r>
        <w:instrText xml:space="preserve"> \* MERGEFORMAT </w:instrText>
      </w:r>
      <w:r w:rsidRPr="009E4278">
        <w:fldChar w:fldCharType="separate"/>
      </w:r>
      <w:r w:rsidR="00F22012">
        <w:t xml:space="preserve">Figure </w:t>
      </w:r>
      <w:r w:rsidR="00F22012">
        <w:rPr>
          <w:noProof/>
        </w:rPr>
        <w:t>7</w:t>
      </w:r>
      <w:r w:rsidR="00F22012">
        <w:rPr>
          <w:noProof/>
        </w:rPr>
        <w:noBreakHyphen/>
        <w:t>3</w:t>
      </w:r>
      <w:r w:rsidRPr="009E4278">
        <w:fldChar w:fldCharType="end"/>
      </w:r>
      <w:r w:rsidRPr="009E4278">
        <w:t xml:space="preserve">). However, the cost of </w:t>
      </w:r>
      <w:r>
        <w:t>‘</w:t>
      </w:r>
      <w:r w:rsidRPr="009E4278">
        <w:t>other</w:t>
      </w:r>
      <w:r>
        <w:t>’</w:t>
      </w:r>
      <w:r w:rsidRPr="009E4278">
        <w:t xml:space="preserve"> courses</w:t>
      </w:r>
      <w:r w:rsidR="00092624">
        <w:rPr>
          <w:rStyle w:val="FootnoteReference"/>
        </w:rPr>
        <w:footnoteReference w:id="31"/>
      </w:r>
      <w:r w:rsidRPr="009E4278">
        <w:t xml:space="preserve"> </w:t>
      </w:r>
      <w:r>
        <w:t>was</w:t>
      </w:r>
      <w:r w:rsidRPr="009E4278">
        <w:t xml:space="preserve"> slightly higher on average (this may relate to the number of full fee</w:t>
      </w:r>
      <w:r>
        <w:t>-</w:t>
      </w:r>
      <w:r w:rsidRPr="009E4278">
        <w:t>paying university courses included)</w:t>
      </w:r>
      <w:r>
        <w:t>.  F</w:t>
      </w:r>
      <w:r w:rsidRPr="009E4278">
        <w:t>irst aid courses</w:t>
      </w:r>
      <w:r>
        <w:t>, tending to be of the shortest duration,</w:t>
      </w:r>
      <w:r w:rsidRPr="009E4278">
        <w:t xml:space="preserve"> were the least expensive with an average cost of $532. </w:t>
      </w:r>
    </w:p>
    <w:p w14:paraId="7A28598E" w14:textId="33D0158E" w:rsidR="00EA58E4" w:rsidRDefault="00EA58E4" w:rsidP="00EA58E4">
      <w:pPr>
        <w:pStyle w:val="Caption"/>
      </w:pPr>
      <w:bookmarkStart w:id="195" w:name="_Ref68771472"/>
      <w:bookmarkStart w:id="196" w:name="_Toc75878559"/>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7</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195"/>
      <w:r>
        <w:t>: Average WHM expenditure on study while in Australia</w:t>
      </w:r>
      <w:bookmarkEnd w:id="196"/>
    </w:p>
    <w:p w14:paraId="79008B67" w14:textId="77777777" w:rsidR="00EA58E4" w:rsidRPr="00016B79" w:rsidRDefault="00EA58E4" w:rsidP="00EA58E4">
      <w:pPr>
        <w:rPr>
          <w:highlight w:val="yellow"/>
        </w:rPr>
      </w:pPr>
      <w:r>
        <w:rPr>
          <w:noProof/>
          <w:lang w:eastAsia="en-AU"/>
        </w:rPr>
        <w:drawing>
          <wp:inline distT="0" distB="0" distL="0" distR="0" wp14:anchorId="56E0A05A" wp14:editId="43FCFF13">
            <wp:extent cx="5731510" cy="2019300"/>
            <wp:effectExtent l="0" t="0" r="2540" b="0"/>
            <wp:docPr id="77" name="Chart 77" descr="Figure 7-3 Chart showing average WHM expenditure on study while in Australia.">
              <a:extLst xmlns:a="http://schemas.openxmlformats.org/drawingml/2006/main">
                <a:ext uri="{FF2B5EF4-FFF2-40B4-BE49-F238E27FC236}">
                  <a16:creationId xmlns:a16="http://schemas.microsoft.com/office/drawing/2014/main" id="{A4ED5A73-B94B-4337-A0E9-FEC3B1934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highlight w:val="yellow"/>
        </w:rPr>
        <w:t xml:space="preserve"> </w:t>
      </w:r>
    </w:p>
    <w:p w14:paraId="24F0E123" w14:textId="6191D679" w:rsidR="00EA58E4" w:rsidRDefault="00EA58E4" w:rsidP="00EA58E4">
      <w:pPr>
        <w:pStyle w:val="Tablenote"/>
      </w:pPr>
      <w:r>
        <w:t>Note</w:t>
      </w:r>
      <w:r w:rsidR="0024081F">
        <w:t>,</w:t>
      </w:r>
      <w:r>
        <w:t xml:space="preserve"> Based on a total of 773 courses studied.</w:t>
      </w:r>
      <w:r w:rsidR="00106701">
        <w:t xml:space="preserve"> ‘Other’ was a response option in the survey.</w:t>
      </w:r>
    </w:p>
    <w:p w14:paraId="514CB644" w14:textId="32DDC63C" w:rsidR="00EA58E4" w:rsidRPr="00803135" w:rsidRDefault="00EA58E4" w:rsidP="00466C5F">
      <w:pPr>
        <w:pStyle w:val="Tablenote"/>
      </w:pPr>
      <w:r w:rsidRPr="009D07D8">
        <w:t xml:space="preserve">Source: </w:t>
      </w:r>
      <w:r>
        <w:t>WHM</w:t>
      </w:r>
      <w:r w:rsidRPr="009D07D8">
        <w:t xml:space="preserve"> Survey, 2020.</w:t>
      </w:r>
    </w:p>
    <w:p w14:paraId="06F9221A" w14:textId="6645075E" w:rsidR="00EA58E4" w:rsidRPr="00803135" w:rsidRDefault="00EA58E4" w:rsidP="00EA58E4">
      <w:r w:rsidRPr="00803135">
        <w:t>Due to the low number of responses, interpretation of study expenditure by country of citizenship must be done with caution. WHM</w:t>
      </w:r>
      <w:r>
        <w:t>s</w:t>
      </w:r>
      <w:r w:rsidRPr="00803135">
        <w:t xml:space="preserve"> from Germany and France spent the least on study, with average study expenditure of $3,</w:t>
      </w:r>
      <w:r w:rsidR="00AB4BF7">
        <w:t>800</w:t>
      </w:r>
      <w:r w:rsidRPr="00803135">
        <w:t xml:space="preserve"> and $3,9</w:t>
      </w:r>
      <w:r w:rsidR="00AB4BF7">
        <w:t>00</w:t>
      </w:r>
      <w:r w:rsidRPr="00803135">
        <w:t xml:space="preserve"> respectively. Those from the United States reported spending the most on study with average expenditure of $1</w:t>
      </w:r>
      <w:r w:rsidR="00AB4BF7">
        <w:t>5</w:t>
      </w:r>
      <w:r w:rsidRPr="00803135">
        <w:t>,</w:t>
      </w:r>
      <w:r w:rsidR="00AB4BF7">
        <w:t>000</w:t>
      </w:r>
      <w:r w:rsidRPr="00803135">
        <w:t xml:space="preserve">, followed by WHMs from China who spent </w:t>
      </w:r>
      <w:r>
        <w:t>an</w:t>
      </w:r>
      <w:r w:rsidRPr="00803135">
        <w:t xml:space="preserve"> average </w:t>
      </w:r>
      <w:r>
        <w:t>of</w:t>
      </w:r>
      <w:r w:rsidRPr="00803135">
        <w:t xml:space="preserve"> $12,9</w:t>
      </w:r>
      <w:r w:rsidR="00AB4BF7">
        <w:t>00</w:t>
      </w:r>
      <w:r w:rsidRPr="00803135">
        <w:t xml:space="preserve"> on study. </w:t>
      </w:r>
    </w:p>
    <w:p w14:paraId="1E9DF94B" w14:textId="72C8727F" w:rsidR="00EA58E4" w:rsidRPr="00803135" w:rsidRDefault="00EA58E4" w:rsidP="00EA58E4">
      <w:r>
        <w:t xml:space="preserve">Qualifications </w:t>
      </w:r>
      <w:r w:rsidRPr="00803135">
        <w:t xml:space="preserve">received from studying in Australia </w:t>
      </w:r>
      <w:r>
        <w:t xml:space="preserve">were reported by </w:t>
      </w:r>
      <w:r w:rsidRPr="00803135">
        <w:t>808 WHMs across a total of 946 courses (</w:t>
      </w:r>
      <w:r>
        <w:t>s</w:t>
      </w:r>
      <w:r w:rsidRPr="00803135">
        <w:t xml:space="preserve">ee </w:t>
      </w:r>
      <w:r w:rsidRPr="00803135">
        <w:fldChar w:fldCharType="begin"/>
      </w:r>
      <w:r w:rsidRPr="00803135">
        <w:instrText xml:space="preserve"> REF _Ref68774884 \h </w:instrText>
      </w:r>
      <w:r>
        <w:instrText xml:space="preserve"> \* MERGEFORMAT </w:instrText>
      </w:r>
      <w:r w:rsidRPr="00803135">
        <w:fldChar w:fldCharType="separate"/>
      </w:r>
      <w:r w:rsidR="00F22012">
        <w:t xml:space="preserve">Figure </w:t>
      </w:r>
      <w:r w:rsidR="00F22012">
        <w:rPr>
          <w:noProof/>
        </w:rPr>
        <w:t>7</w:t>
      </w:r>
      <w:r w:rsidR="00F22012">
        <w:rPr>
          <w:noProof/>
        </w:rPr>
        <w:noBreakHyphen/>
        <w:t>4</w:t>
      </w:r>
      <w:r w:rsidRPr="00803135">
        <w:fldChar w:fldCharType="end"/>
      </w:r>
      <w:r w:rsidRPr="00803135">
        <w:t xml:space="preserve">). Almost half (42.6%) of all qualifications received by WHMs were non-award courses, and almost one quarter (22.5%) were trade or vocational qualifications. Only </w:t>
      </w:r>
      <w:r>
        <w:t>one</w:t>
      </w:r>
      <w:r w:rsidRPr="00803135">
        <w:t xml:space="preserve"> in </w:t>
      </w:r>
      <w:r>
        <w:t>eight</w:t>
      </w:r>
      <w:r w:rsidRPr="00803135">
        <w:t xml:space="preserve"> (12.2%) qualifications received by WHMs in Australia were at university level or higher. </w:t>
      </w:r>
    </w:p>
    <w:p w14:paraId="2D716E6A" w14:textId="1B8D4AFF" w:rsidR="00EA58E4" w:rsidRDefault="00EA58E4" w:rsidP="00EA58E4">
      <w:pPr>
        <w:pStyle w:val="Caption"/>
      </w:pPr>
      <w:bookmarkStart w:id="197" w:name="_Ref68774884"/>
      <w:bookmarkStart w:id="198" w:name="_Toc75878560"/>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7</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197"/>
      <w:r>
        <w:t>: Qualifications received from courses in Australia</w:t>
      </w:r>
      <w:bookmarkEnd w:id="198"/>
    </w:p>
    <w:p w14:paraId="73A5ACE0" w14:textId="77777777" w:rsidR="00EA58E4" w:rsidRDefault="00EA58E4" w:rsidP="00EA58E4">
      <w:pPr>
        <w:rPr>
          <w:highlight w:val="yellow"/>
        </w:rPr>
      </w:pPr>
      <w:r>
        <w:rPr>
          <w:noProof/>
          <w:lang w:eastAsia="en-AU"/>
        </w:rPr>
        <w:drawing>
          <wp:inline distT="0" distB="0" distL="0" distR="0" wp14:anchorId="48140187" wp14:editId="3BDF2654">
            <wp:extent cx="5857875" cy="1800000"/>
            <wp:effectExtent l="0" t="0" r="9525" b="10160"/>
            <wp:docPr id="95" name="Chart 95" descr="Figure 7-4 Chart showing qualifications received from courses in Australia.">
              <a:extLst xmlns:a="http://schemas.openxmlformats.org/drawingml/2006/main">
                <a:ext uri="{FF2B5EF4-FFF2-40B4-BE49-F238E27FC236}">
                  <a16:creationId xmlns:a16="http://schemas.microsoft.com/office/drawing/2014/main" id="{67238101-970C-45B3-9E62-52A5A589D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5E5FB72" w14:textId="77777777" w:rsidR="00EA58E4" w:rsidRDefault="00EA58E4" w:rsidP="00EA58E4">
      <w:pPr>
        <w:pStyle w:val="Tablenote"/>
      </w:pPr>
      <w:r w:rsidRPr="009D07D8">
        <w:t xml:space="preserve">Source: </w:t>
      </w:r>
      <w:r>
        <w:t>WHM</w:t>
      </w:r>
      <w:r w:rsidRPr="009D07D8">
        <w:t xml:space="preserve"> Survey, 2020.</w:t>
      </w:r>
    </w:p>
    <w:p w14:paraId="52EC17CF" w14:textId="5B7BD415" w:rsidR="00EA58E4" w:rsidRPr="00803135" w:rsidRDefault="00EA58E4" w:rsidP="00EA58E4">
      <w:r>
        <w:t xml:space="preserve">WHMs were evenly split in their expectations that their qualification received in Australia would be recognised in their home country. Slightly more than one in three (36.4%) expected their qualification would be recognised, compared to those WHMs who expected their qualification would not be recognised (27.5%). The remainder (36.1%) were unsure. WHMs from </w:t>
      </w:r>
      <w:r w:rsidR="00106701">
        <w:t>English-speaking or European countries tended to be</w:t>
      </w:r>
      <w:r>
        <w:t xml:space="preserve"> mo</w:t>
      </w:r>
      <w:r w:rsidR="00106701">
        <w:t>re</w:t>
      </w:r>
      <w:r>
        <w:t xml:space="preserve"> certain that their qualifications would be recognised in their home country, whereas those from </w:t>
      </w:r>
      <w:r w:rsidR="00106701">
        <w:t>Asian countries</w:t>
      </w:r>
      <w:r>
        <w:t xml:space="preserve"> were the least certain. Given the low numbers in some countries, results should be viewed as indicative.</w:t>
      </w:r>
    </w:p>
    <w:p w14:paraId="465A4068" w14:textId="120CC9E0" w:rsidR="00EA58E4" w:rsidRDefault="00EA58E4" w:rsidP="00EA58E4">
      <w:pPr>
        <w:pStyle w:val="Caption"/>
      </w:pPr>
      <w:bookmarkStart w:id="199" w:name="_Ref69372108"/>
      <w:bookmarkStart w:id="200" w:name="_Toc75878561"/>
      <w:r w:rsidRPr="00803135">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7</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199"/>
      <w:r w:rsidRPr="00803135">
        <w:t>: Expectations that qualifications received in Australia would be recognised</w:t>
      </w:r>
      <w:r>
        <w:t xml:space="preserve"> at home</w:t>
      </w:r>
      <w:bookmarkEnd w:id="200"/>
    </w:p>
    <w:p w14:paraId="0F65B851" w14:textId="60D25F1B" w:rsidR="00EA58E4" w:rsidRPr="00BB42EF" w:rsidRDefault="008C2BE9" w:rsidP="00EA58E4">
      <w:r>
        <w:rPr>
          <w:noProof/>
          <w:lang w:eastAsia="en-AU"/>
        </w:rPr>
        <w:drawing>
          <wp:inline distT="0" distB="0" distL="0" distR="0" wp14:anchorId="264E784A" wp14:editId="6D29174B">
            <wp:extent cx="4572000" cy="3133725"/>
            <wp:effectExtent l="0" t="0" r="0" b="9525"/>
            <wp:docPr id="16" name="Chart 16" descr="Figure 7-5 Chart showing expectations that qualifications received in Australia would be recognised at home.">
              <a:extLst xmlns:a="http://schemas.openxmlformats.org/drawingml/2006/main">
                <a:ext uri="{FF2B5EF4-FFF2-40B4-BE49-F238E27FC236}">
                  <a16:creationId xmlns:a16="http://schemas.microsoft.com/office/drawing/2014/main" id="{F4D655C8-ED0C-44F8-B36A-95AEEAE93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C5CA96E" w14:textId="010AC351" w:rsidR="00EA58E4" w:rsidRPr="00803135" w:rsidRDefault="00EA58E4" w:rsidP="00EA58E4">
      <w:pPr>
        <w:pStyle w:val="Tablenote"/>
      </w:pPr>
      <w:r w:rsidRPr="00803135">
        <w:t>Note</w:t>
      </w:r>
      <w:r w:rsidR="0024081F">
        <w:t>,</w:t>
      </w:r>
      <w:r w:rsidRPr="00803135">
        <w:t xml:space="preserve"> Countries shown are those with the highest number of WHMs in </w:t>
      </w:r>
      <w:r>
        <w:t>the survey.</w:t>
      </w:r>
    </w:p>
    <w:p w14:paraId="19DCCF09" w14:textId="77777777" w:rsidR="00EA58E4" w:rsidRDefault="00EA58E4" w:rsidP="00EA58E4">
      <w:pPr>
        <w:pStyle w:val="Tablenote"/>
      </w:pPr>
      <w:r w:rsidRPr="009D07D8">
        <w:t xml:space="preserve">Source: </w:t>
      </w:r>
      <w:r>
        <w:t>WHM</w:t>
      </w:r>
      <w:r w:rsidRPr="009D07D8">
        <w:t xml:space="preserve"> Survey, 2020.</w:t>
      </w:r>
    </w:p>
    <w:p w14:paraId="3BA19A28" w14:textId="1C1C66C7" w:rsidR="00E16B19" w:rsidRPr="00191246" w:rsidRDefault="008E44FE" w:rsidP="00E16B19">
      <w:pPr>
        <w:pStyle w:val="Heading1"/>
      </w:pPr>
      <w:bookmarkStart w:id="201" w:name="_Toc75878475"/>
      <w:r>
        <w:t>WHM</w:t>
      </w:r>
      <w:r w:rsidR="00501AA5">
        <w:t>: Motivations and e</w:t>
      </w:r>
      <w:r w:rsidR="00501AA5" w:rsidRPr="00191246">
        <w:t>xperiences</w:t>
      </w:r>
      <w:bookmarkEnd w:id="201"/>
    </w:p>
    <w:p w14:paraId="48A2A221" w14:textId="77777777" w:rsidR="00A663BA" w:rsidRPr="003E5E90" w:rsidRDefault="00A663BA" w:rsidP="00A663BA">
      <w:pPr>
        <w:pStyle w:val="Heading2"/>
      </w:pPr>
      <w:bookmarkStart w:id="202" w:name="_Toc75878476"/>
      <w:r w:rsidRPr="003E5E90">
        <w:t>Job satisfaction</w:t>
      </w:r>
      <w:bookmarkEnd w:id="202"/>
    </w:p>
    <w:p w14:paraId="2232986B" w14:textId="24D76A63" w:rsidR="00A663BA" w:rsidRPr="003E5E90" w:rsidRDefault="00A663BA" w:rsidP="00A663BA">
      <w:r w:rsidRPr="003E5E90">
        <w:t>About half (52</w:t>
      </w:r>
      <w:r>
        <w:t>.0</w:t>
      </w:r>
      <w:r w:rsidRPr="003E5E90">
        <w:t xml:space="preserve">%) of WHMs </w:t>
      </w:r>
      <w:r>
        <w:t>provided information about</w:t>
      </w:r>
      <w:r w:rsidRPr="003E5E90">
        <w:t xml:space="preserve"> </w:t>
      </w:r>
      <w:r>
        <w:t>satisfaction with</w:t>
      </w:r>
      <w:r w:rsidRPr="003E5E90">
        <w:t xml:space="preserve"> their main paid job</w:t>
      </w:r>
      <w:r>
        <w:t xml:space="preserve"> in</w:t>
      </w:r>
      <w:r w:rsidRPr="003E5E90">
        <w:t xml:space="preserve"> each state in which they worked. These responses cover 16,335 jobs. WHMs </w:t>
      </w:r>
      <w:r>
        <w:t xml:space="preserve">tended to be </w:t>
      </w:r>
      <w:r w:rsidRPr="003E5E90">
        <w:t>satisfied in their jobs</w:t>
      </w:r>
      <w:r>
        <w:t>. M</w:t>
      </w:r>
      <w:r w:rsidRPr="003E5E90">
        <w:t xml:space="preserve">ore than </w:t>
      </w:r>
      <w:r>
        <w:t>seven</w:t>
      </w:r>
      <w:r w:rsidRPr="003E5E90">
        <w:t xml:space="preserve"> in </w:t>
      </w:r>
      <w:r>
        <w:t>ten</w:t>
      </w:r>
      <w:r w:rsidRPr="003E5E90">
        <w:t xml:space="preserve"> jobs</w:t>
      </w:r>
      <w:r>
        <w:t xml:space="preserve"> were</w:t>
      </w:r>
      <w:r w:rsidRPr="003E5E90">
        <w:t xml:space="preserve"> reported as satisfying</w:t>
      </w:r>
      <w:r>
        <w:t xml:space="preserve"> to some extent (</w:t>
      </w:r>
      <w:r w:rsidRPr="003E5E90">
        <w:t>31.8% very satisfied</w:t>
      </w:r>
      <w:r>
        <w:t>;</w:t>
      </w:r>
      <w:r w:rsidRPr="003E5E90">
        <w:t xml:space="preserve"> and 40% satisfied</w:t>
      </w:r>
      <w:r>
        <w:t>)</w:t>
      </w:r>
      <w:r w:rsidRPr="003E5E90">
        <w:t xml:space="preserve">. </w:t>
      </w:r>
      <w:r>
        <w:t>Very high job satisfaction was reported in more than one third of main jobs in</w:t>
      </w:r>
      <w:r w:rsidRPr="003E5E90">
        <w:t xml:space="preserve"> the </w:t>
      </w:r>
      <w:r>
        <w:t>Australian Capital Territory</w:t>
      </w:r>
      <w:r w:rsidRPr="003E5E90">
        <w:t xml:space="preserve"> (36.7%), followed by </w:t>
      </w:r>
      <w:r>
        <w:t>New South Wales</w:t>
      </w:r>
      <w:r w:rsidRPr="003E5E90">
        <w:t xml:space="preserve"> (35.0</w:t>
      </w:r>
      <w:r>
        <w:t>%</w:t>
      </w:r>
      <w:r w:rsidRPr="003E5E90">
        <w:t>) and Victoria (34.2%</w:t>
      </w:r>
      <w:r>
        <w:t xml:space="preserve">; </w:t>
      </w:r>
      <w:r w:rsidRPr="003E5E90">
        <w:t xml:space="preserve">see </w:t>
      </w:r>
      <w:r w:rsidRPr="003E5E90">
        <w:fldChar w:fldCharType="begin"/>
      </w:r>
      <w:r w:rsidRPr="003E5E90">
        <w:instrText xml:space="preserve"> REF _Ref69461810 \h </w:instrText>
      </w:r>
      <w:r>
        <w:instrText xml:space="preserve"> \* MERGEFORMAT </w:instrText>
      </w:r>
      <w:r w:rsidRPr="003E5E90">
        <w:fldChar w:fldCharType="separate"/>
      </w:r>
      <w:r w:rsidR="00F22012" w:rsidRPr="003E5E90">
        <w:t xml:space="preserve">Figure </w:t>
      </w:r>
      <w:r w:rsidR="00F22012">
        <w:rPr>
          <w:noProof/>
        </w:rPr>
        <w:t>8</w:t>
      </w:r>
      <w:r w:rsidR="00F22012">
        <w:rPr>
          <w:noProof/>
        </w:rPr>
        <w:noBreakHyphen/>
        <w:t>1</w:t>
      </w:r>
      <w:r w:rsidRPr="003E5E90">
        <w:fldChar w:fldCharType="end"/>
      </w:r>
      <w:r w:rsidRPr="003E5E90">
        <w:t>).</w:t>
      </w:r>
      <w:r>
        <w:t xml:space="preserve"> Dissatisfaction was comparatively low although it peaked at almost one in five (19.5%) main jobs in Queensland and 18.9% in South Australia - of which 8.7% and 7.2% respectively were rated as very dissatisfactory</w:t>
      </w:r>
      <w:r w:rsidRPr="003E5E90">
        <w:t xml:space="preserve">. </w:t>
      </w:r>
    </w:p>
    <w:p w14:paraId="0A0DFED7" w14:textId="7A8A90BC" w:rsidR="00A663BA" w:rsidRPr="003E5E90" w:rsidRDefault="00A663BA" w:rsidP="00A663BA">
      <w:pPr>
        <w:pStyle w:val="Caption"/>
      </w:pPr>
      <w:bookmarkStart w:id="203" w:name="_Ref69461810"/>
      <w:bookmarkStart w:id="204" w:name="_Toc75878562"/>
      <w:r w:rsidRPr="003E5E90">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203"/>
      <w:r w:rsidRPr="003E5E90">
        <w:t>: Job satisfaction by state</w:t>
      </w:r>
      <w:bookmarkEnd w:id="204"/>
    </w:p>
    <w:p w14:paraId="55F639E6" w14:textId="77777777" w:rsidR="00A663BA" w:rsidRPr="003E5E90" w:rsidRDefault="00A663BA" w:rsidP="00A663BA">
      <w:r w:rsidRPr="003E5E90">
        <w:rPr>
          <w:noProof/>
          <w:lang w:eastAsia="en-AU"/>
        </w:rPr>
        <w:drawing>
          <wp:inline distT="0" distB="0" distL="0" distR="0" wp14:anchorId="30B01186" wp14:editId="016255DE">
            <wp:extent cx="5731510" cy="3195955"/>
            <wp:effectExtent l="0" t="0" r="2540" b="4445"/>
            <wp:docPr id="48" name="Chart 48" descr="Figure 8-1 Chart showing job satisfaction by state.">
              <a:extLst xmlns:a="http://schemas.openxmlformats.org/drawingml/2006/main">
                <a:ext uri="{FF2B5EF4-FFF2-40B4-BE49-F238E27FC236}">
                  <a16:creationId xmlns:a16="http://schemas.microsoft.com/office/drawing/2014/main" id="{DD0E5D08-9B5C-490A-8C61-7C8198E8E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2180472" w14:textId="77777777" w:rsidR="00A663BA" w:rsidRDefault="00A663BA" w:rsidP="00A663BA">
      <w:pPr>
        <w:pStyle w:val="Tablenote"/>
      </w:pPr>
      <w:r w:rsidRPr="003E5E90">
        <w:t xml:space="preserve">Note, percentages are calculated using the number of </w:t>
      </w:r>
      <w:r>
        <w:t xml:space="preserve">main </w:t>
      </w:r>
      <w:r w:rsidRPr="003E5E90">
        <w:t xml:space="preserve">jobs as the denominator, n = 16,335. </w:t>
      </w:r>
    </w:p>
    <w:p w14:paraId="5FAFA486" w14:textId="77777777" w:rsidR="00047CCD" w:rsidRDefault="00047CCD" w:rsidP="00047CCD">
      <w:pPr>
        <w:pStyle w:val="Tablenote"/>
      </w:pPr>
      <w:r w:rsidRPr="009D07D8">
        <w:t xml:space="preserve">Source: </w:t>
      </w:r>
      <w:r>
        <w:t>WHM</w:t>
      </w:r>
      <w:r w:rsidRPr="009D07D8">
        <w:t xml:space="preserve"> Survey, 2020.</w:t>
      </w:r>
    </w:p>
    <w:p w14:paraId="229E6205" w14:textId="50D3B47B" w:rsidR="00A663BA" w:rsidRDefault="00A663BA" w:rsidP="00A663BA">
      <w:r>
        <w:t xml:space="preserve">WHMs engaged in health and aged care were most satisfied, reporting </w:t>
      </w:r>
      <w:r w:rsidR="003F6086">
        <w:t>satisfaction with</w:t>
      </w:r>
      <w:r>
        <w:t xml:space="preserve"> 85.4% of jobs in this industry </w:t>
      </w:r>
      <w:r w:rsidR="001B4038">
        <w:t>group</w:t>
      </w:r>
      <w:r>
        <w:t xml:space="preserve"> (</w:t>
      </w:r>
      <w:r w:rsidR="00BD5718">
        <w:t xml:space="preserve">42.9% </w:t>
      </w:r>
      <w:r w:rsidR="000764E7">
        <w:t xml:space="preserve">satisfied, </w:t>
      </w:r>
      <w:r>
        <w:t xml:space="preserve">42.5% very </w:t>
      </w:r>
      <w:r w:rsidR="00BD5718">
        <w:t>satisfied</w:t>
      </w:r>
      <w:r w:rsidR="00663293">
        <w:t xml:space="preserve">, see </w:t>
      </w:r>
      <w:r w:rsidR="00663293">
        <w:fldChar w:fldCharType="begin"/>
      </w:r>
      <w:r w:rsidR="00663293">
        <w:instrText xml:space="preserve"> REF _Ref72756880 \h </w:instrText>
      </w:r>
      <w:r w:rsidR="00663293">
        <w:fldChar w:fldCharType="separate"/>
      </w:r>
      <w:r w:rsidR="00F22012">
        <w:t xml:space="preserve">Figure </w:t>
      </w:r>
      <w:r w:rsidR="00F22012">
        <w:rPr>
          <w:noProof/>
        </w:rPr>
        <w:t>8</w:t>
      </w:r>
      <w:r w:rsidR="00F22012">
        <w:noBreakHyphen/>
      </w:r>
      <w:r w:rsidR="00F22012">
        <w:rPr>
          <w:noProof/>
        </w:rPr>
        <w:t>2</w:t>
      </w:r>
      <w:r w:rsidR="00663293">
        <w:fldChar w:fldCharType="end"/>
      </w:r>
      <w:r>
        <w:t xml:space="preserve">). WHMs working in the office, administration and IT industry were also well satisfied - more than half (52.7%) of these jobs were very satisfying with a further 30.7% satisfied, a total of 83.4% satisfaction. Although job satisfaction for three quarters (75.1%) of sales and marketing jobs was good, WHMs in 15.1% of these jobs reported </w:t>
      </w:r>
      <w:r w:rsidR="00753753">
        <w:t xml:space="preserve">a level of </w:t>
      </w:r>
      <w:r>
        <w:t>dissatisfaction. Satisfaction for cleaning and gardening jobs was second lowest (69.1%), accompanied by the highest proportion (16.8%) of WHMs reporting neither satisfaction nor dissatisfaction with the job.</w:t>
      </w:r>
    </w:p>
    <w:p w14:paraId="31231E4D" w14:textId="78B69125" w:rsidR="00A663BA" w:rsidRDefault="009C3A25" w:rsidP="00A663BA">
      <w:r>
        <w:t>Satisfaction was lowest for</w:t>
      </w:r>
      <w:r w:rsidR="00A663BA">
        <w:t xml:space="preserve"> jobs </w:t>
      </w:r>
      <w:r>
        <w:t>in</w:t>
      </w:r>
      <w:r w:rsidR="00A663BA">
        <w:t xml:space="preserve"> agriculture and transport, where one in five jobs </w:t>
      </w:r>
      <w:r w:rsidR="00550B38">
        <w:t xml:space="preserve">(20.3%) </w:t>
      </w:r>
      <w:r w:rsidR="00A663BA">
        <w:t>were reported as dissatisfying - 8.7% of main jobs in this industry were reported as very dissatisfying, and 11.6% dissatisfying. It is noteworthy that within this industry</w:t>
      </w:r>
      <w:r w:rsidR="00E3010A">
        <w:t xml:space="preserve"> group</w:t>
      </w:r>
      <w:r w:rsidR="00A663BA">
        <w:t xml:space="preserve">, one quarter (25.1%) of crop farming jobs were considered dissatisfying (to some extent). </w:t>
      </w:r>
    </w:p>
    <w:p w14:paraId="2B4E4A90" w14:textId="13B38DA3" w:rsidR="00A663BA" w:rsidRDefault="00A663BA" w:rsidP="00A663BA">
      <w:pPr>
        <w:pStyle w:val="Caption"/>
      </w:pPr>
      <w:bookmarkStart w:id="205" w:name="_Ref72756880"/>
      <w:bookmarkStart w:id="206" w:name="_Toc7587856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205"/>
      <w:r>
        <w:t>: Job satisfaction by industry</w:t>
      </w:r>
      <w:bookmarkEnd w:id="206"/>
    </w:p>
    <w:p w14:paraId="758F40F0" w14:textId="345F58A4" w:rsidR="00A663BA" w:rsidRDefault="006E44A8" w:rsidP="00A663BA">
      <w:r>
        <w:rPr>
          <w:noProof/>
          <w:lang w:eastAsia="en-AU"/>
        </w:rPr>
        <w:drawing>
          <wp:inline distT="0" distB="0" distL="0" distR="0" wp14:anchorId="4C36994B" wp14:editId="224D943F">
            <wp:extent cx="5731510" cy="3307715"/>
            <wp:effectExtent l="0" t="0" r="2540" b="6985"/>
            <wp:docPr id="31" name="Chart 31" descr="Figure 8-2 Chart showing job satisfaction by industry.">
              <a:extLst xmlns:a="http://schemas.openxmlformats.org/drawingml/2006/main">
                <a:ext uri="{FF2B5EF4-FFF2-40B4-BE49-F238E27FC236}">
                  <a16:creationId xmlns:a16="http://schemas.microsoft.com/office/drawing/2014/main" id="{210CA992-FB70-4CCB-8E33-80A5B7355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3BB3419" w14:textId="076A42D3" w:rsidR="00A663BA" w:rsidRDefault="00A663BA" w:rsidP="00A663BA">
      <w:pPr>
        <w:pStyle w:val="Tablenote"/>
      </w:pPr>
      <w:r>
        <w:t xml:space="preserve">Note, percentages calculated based on n = 14,491 main jobs with WHM reported satisfaction and industry </w:t>
      </w:r>
      <w:r w:rsidR="00E058EA">
        <w:t>group</w:t>
      </w:r>
      <w:r>
        <w:t xml:space="preserve">. </w:t>
      </w:r>
    </w:p>
    <w:p w14:paraId="4CB93AB3" w14:textId="2DA126B6" w:rsidR="00FA76D4" w:rsidRDefault="00A663BA" w:rsidP="00FA76D4">
      <w:pPr>
        <w:pStyle w:val="Tablenote"/>
      </w:pPr>
      <w:r w:rsidRPr="009D07D8">
        <w:t xml:space="preserve">Source: </w:t>
      </w:r>
      <w:r>
        <w:t>WHM</w:t>
      </w:r>
      <w:r w:rsidRPr="009D07D8">
        <w:t xml:space="preserve"> Survey, 2020.</w:t>
      </w:r>
    </w:p>
    <w:p w14:paraId="539AAC70" w14:textId="68FED32E" w:rsidR="00574D49" w:rsidRPr="00574D49" w:rsidRDefault="00BE6182" w:rsidP="00574D49">
      <w:r>
        <w:fldChar w:fldCharType="begin"/>
      </w:r>
      <w:r>
        <w:instrText xml:space="preserve"> REF _Ref72842729 \h </w:instrText>
      </w:r>
      <w:r>
        <w:fldChar w:fldCharType="separate"/>
      </w:r>
      <w:r w:rsidR="00F22012">
        <w:t xml:space="preserve">Figure </w:t>
      </w:r>
      <w:r w:rsidR="00F22012">
        <w:rPr>
          <w:noProof/>
        </w:rPr>
        <w:t>8</w:t>
      </w:r>
      <w:r w:rsidR="00F22012">
        <w:noBreakHyphen/>
      </w:r>
      <w:r w:rsidR="00F22012">
        <w:rPr>
          <w:noProof/>
        </w:rPr>
        <w:t>3</w:t>
      </w:r>
      <w:r>
        <w:fldChar w:fldCharType="end"/>
      </w:r>
      <w:r w:rsidR="0D87D7DE">
        <w:t xml:space="preserve"> shows job satisfaction by country of citizenship. </w:t>
      </w:r>
      <w:r w:rsidR="290732BB">
        <w:t>Overall, WHM</w:t>
      </w:r>
      <w:r w:rsidR="7293AF3A">
        <w:t>s</w:t>
      </w:r>
      <w:r w:rsidR="290732BB">
        <w:t xml:space="preserve"> from Canada were the most dissatisfied with nearly 1 in 5 </w:t>
      </w:r>
      <w:r w:rsidR="03041359">
        <w:t xml:space="preserve">(18.6%) reporting they were either very dissatisfied or dissatisfied in their job, followed closely by those from the UK who reported 17.7% dissatisfaction. </w:t>
      </w:r>
      <w:r w:rsidR="7EBB21B9">
        <w:t xml:space="preserve">Citizens from the Netherlands were the most satisfied in their jobs, with </w:t>
      </w:r>
      <w:r w:rsidR="421DDF8C">
        <w:t xml:space="preserve">more than 3 in 4 (76.4%) reporting they were either </w:t>
      </w:r>
      <w:r w:rsidR="7EBB21B9">
        <w:t>satisfied or very satisfied</w:t>
      </w:r>
      <w:r w:rsidR="421DDF8C">
        <w:t xml:space="preserve"> in their job, followed by those from the USA (74.4%), and </w:t>
      </w:r>
      <w:r w:rsidR="4760E841">
        <w:t>France (73.7%)</w:t>
      </w:r>
      <w:r w:rsidR="7EBB21B9">
        <w:t>.</w:t>
      </w:r>
      <w:r w:rsidR="68C5C65F">
        <w:t xml:space="preserve"> The highest level </w:t>
      </w:r>
      <w:r w:rsidR="1EE373DD">
        <w:t>of very</w:t>
      </w:r>
      <w:r w:rsidR="52C2439E">
        <w:t xml:space="preserve"> dissatisfied responses </w:t>
      </w:r>
      <w:r w:rsidR="1ED662D9">
        <w:t>was</w:t>
      </w:r>
      <w:r w:rsidR="52C2439E">
        <w:t xml:space="preserve"> from citizens of South Korea</w:t>
      </w:r>
      <w:r w:rsidR="26A193F2">
        <w:t>, at about 1 in 10 (8.7%), followed by Canad</w:t>
      </w:r>
      <w:r w:rsidR="33DEB695">
        <w:t>a</w:t>
      </w:r>
      <w:r w:rsidR="26A193F2">
        <w:t xml:space="preserve"> (7.9%). The highest level of </w:t>
      </w:r>
      <w:r w:rsidR="192555D3">
        <w:t xml:space="preserve">very satisfied responses </w:t>
      </w:r>
      <w:r w:rsidR="1ED662D9">
        <w:t>was</w:t>
      </w:r>
      <w:r w:rsidR="192555D3">
        <w:t xml:space="preserve"> from citizens of the USA, with more than 2 in 5</w:t>
      </w:r>
      <w:r w:rsidR="1EE373DD">
        <w:t xml:space="preserve">. </w:t>
      </w:r>
    </w:p>
    <w:p w14:paraId="3989EC1B" w14:textId="66C2E5BF" w:rsidR="00574D49" w:rsidRDefault="00574D49" w:rsidP="00574D49">
      <w:pPr>
        <w:pStyle w:val="Caption"/>
      </w:pPr>
      <w:bookmarkStart w:id="207" w:name="_Ref72842729"/>
      <w:bookmarkStart w:id="208" w:name="_Toc7587856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207"/>
      <w:r>
        <w:t>: Job satisfaction by country of citizenship</w:t>
      </w:r>
      <w:r w:rsidR="0060012C">
        <w:t xml:space="preserve">, </w:t>
      </w:r>
      <w:r w:rsidR="00B7372E">
        <w:t>by T</w:t>
      </w:r>
      <w:r w:rsidR="0060012C">
        <w:t>op 10 countries</w:t>
      </w:r>
      <w:bookmarkEnd w:id="208"/>
    </w:p>
    <w:p w14:paraId="26A5A585" w14:textId="32F28D46" w:rsidR="00AA33EA" w:rsidRDefault="00574D49" w:rsidP="00AA33EA">
      <w:r>
        <w:rPr>
          <w:noProof/>
          <w:lang w:eastAsia="en-AU"/>
        </w:rPr>
        <w:drawing>
          <wp:inline distT="0" distB="0" distL="0" distR="0" wp14:anchorId="1E22778C" wp14:editId="2BF3A3B1">
            <wp:extent cx="5731510" cy="3524250"/>
            <wp:effectExtent l="0" t="0" r="2540" b="0"/>
            <wp:docPr id="73" name="Chart 73" descr="Figure 8-3 Chart showing job satisfaction by country of citizenship, by top 10 countries.">
              <a:extLst xmlns:a="http://schemas.openxmlformats.org/drawingml/2006/main">
                <a:ext uri="{FF2B5EF4-FFF2-40B4-BE49-F238E27FC236}">
                  <a16:creationId xmlns:a16="http://schemas.microsoft.com/office/drawing/2014/main" id="{F1BDF311-4053-4495-B5B3-F523ECD00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A4AC1D0" w14:textId="56A72F91" w:rsidR="00D47A20" w:rsidRPr="00D47A20" w:rsidRDefault="00574D49" w:rsidP="00D47A20">
      <w:pPr>
        <w:pStyle w:val="Tablenote"/>
      </w:pPr>
      <w:r>
        <w:t xml:space="preserve">Note, percentages calculated based on n = </w:t>
      </w:r>
      <w:r w:rsidR="00D47A20">
        <w:t xml:space="preserve">13,291 main jobs with WHM reported satisfaction and country of citiszenship. </w:t>
      </w:r>
      <w:r w:rsidR="00D47A20">
        <w:br/>
        <w:t>Source: WHM Survey, 2020</w:t>
      </w:r>
    </w:p>
    <w:p w14:paraId="7F7FFB6E" w14:textId="7C64493E" w:rsidR="00E16B19" w:rsidRDefault="00E16B19" w:rsidP="002E77A1">
      <w:pPr>
        <w:pStyle w:val="Heading2"/>
      </w:pPr>
      <w:bookmarkStart w:id="209" w:name="_Toc75878477"/>
      <w:r w:rsidRPr="008A72B0">
        <w:t xml:space="preserve">WHM </w:t>
      </w:r>
      <w:r w:rsidRPr="00CA7486">
        <w:t>perspective</w:t>
      </w:r>
      <w:bookmarkEnd w:id="209"/>
    </w:p>
    <w:p w14:paraId="6BDDAC23" w14:textId="6603DA8A" w:rsidR="00E16B19" w:rsidRPr="00CA7486" w:rsidRDefault="00EE556B" w:rsidP="008A55F1">
      <w:pPr>
        <w:pStyle w:val="Heading3"/>
      </w:pPr>
      <w:bookmarkStart w:id="210" w:name="_Toc75878478"/>
      <w:r>
        <w:t>Finding out about</w:t>
      </w:r>
      <w:r w:rsidR="00E16B19" w:rsidRPr="00CA7486">
        <w:t xml:space="preserve"> the WHM </w:t>
      </w:r>
      <w:r w:rsidR="002344C4">
        <w:t>program</w:t>
      </w:r>
      <w:bookmarkEnd w:id="210"/>
    </w:p>
    <w:p w14:paraId="32219A40" w14:textId="33D572CB" w:rsidR="00E16B19" w:rsidRPr="00CA7486" w:rsidRDefault="00CA7486" w:rsidP="00E16B19">
      <w:r>
        <w:t>Three in five</w:t>
      </w:r>
      <w:r w:rsidRPr="00CA7486">
        <w:t xml:space="preserve"> </w:t>
      </w:r>
      <w:r>
        <w:t xml:space="preserve">(59.1%) WHMs reported </w:t>
      </w:r>
      <w:r w:rsidR="00CD2E01">
        <w:t xml:space="preserve">the main means by which </w:t>
      </w:r>
      <w:r>
        <w:t xml:space="preserve">they learnt about the </w:t>
      </w:r>
      <w:r w:rsidR="00CD2E01">
        <w:t xml:space="preserve">WHM </w:t>
      </w:r>
      <w:r w:rsidR="0037631C">
        <w:t xml:space="preserve">  </w:t>
      </w:r>
      <w:r w:rsidR="002344C4">
        <w:t>program</w:t>
      </w:r>
      <w:r w:rsidR="00CD2E01">
        <w:t xml:space="preserve"> was</w:t>
      </w:r>
      <w:r>
        <w:t xml:space="preserve"> through friends and famil</w:t>
      </w:r>
      <w:r w:rsidR="00C10292">
        <w:t>y</w:t>
      </w:r>
      <w:r w:rsidR="00A7429C">
        <w:t xml:space="preserve"> (see</w:t>
      </w:r>
      <w:r w:rsidR="00D4713C">
        <w:t xml:space="preserve"> </w:t>
      </w:r>
      <w:r w:rsidR="00D4713C">
        <w:fldChar w:fldCharType="begin"/>
      </w:r>
      <w:r w:rsidR="00D4713C">
        <w:instrText xml:space="preserve"> REF _Ref69734788 \h </w:instrText>
      </w:r>
      <w:r w:rsidR="00D4713C">
        <w:fldChar w:fldCharType="separate"/>
      </w:r>
      <w:r w:rsidR="00F22012" w:rsidRPr="00CA7486">
        <w:t xml:space="preserve">Figure </w:t>
      </w:r>
      <w:r w:rsidR="00F22012">
        <w:rPr>
          <w:noProof/>
        </w:rPr>
        <w:t>8</w:t>
      </w:r>
      <w:r w:rsidR="00F22012">
        <w:noBreakHyphen/>
      </w:r>
      <w:r w:rsidR="00F22012">
        <w:rPr>
          <w:noProof/>
        </w:rPr>
        <w:t>4</w:t>
      </w:r>
      <w:r w:rsidR="00D4713C">
        <w:fldChar w:fldCharType="end"/>
      </w:r>
      <w:r w:rsidR="00A7429C">
        <w:t>)</w:t>
      </w:r>
      <w:r w:rsidR="00C10292">
        <w:t>.</w:t>
      </w:r>
      <w:r w:rsidR="00CD2E01">
        <w:t xml:space="preserve"> </w:t>
      </w:r>
      <w:r w:rsidR="00F827D1">
        <w:t>A further o</w:t>
      </w:r>
      <w:r w:rsidR="00CD2E01">
        <w:t xml:space="preserve">ne in </w:t>
      </w:r>
      <w:r w:rsidR="00603545">
        <w:t>five</w:t>
      </w:r>
      <w:r w:rsidR="00CD2E01">
        <w:t xml:space="preserve"> learnt about it either through social media (11.8%) or through the</w:t>
      </w:r>
      <w:r w:rsidR="00DA79E4">
        <w:t xml:space="preserve"> Department of</w:t>
      </w:r>
      <w:r w:rsidR="00CD2E01">
        <w:t xml:space="preserve"> Home Affair</w:t>
      </w:r>
      <w:r w:rsidR="00DA79E4">
        <w:t>s</w:t>
      </w:r>
      <w:r w:rsidR="00CD2E01">
        <w:t xml:space="preserve"> website (10.1%). Fewer than one in twenty reported learning about the </w:t>
      </w:r>
      <w:r w:rsidR="002344C4">
        <w:t>program</w:t>
      </w:r>
      <w:r w:rsidR="00CD2E01">
        <w:t xml:space="preserve"> via the Tourism Australia website (4.8%), media (including television, radio or advertising; 4.0%) or travel guides (3.9%). The </w:t>
      </w:r>
      <w:r w:rsidR="00FD0DE9">
        <w:t>‘</w:t>
      </w:r>
      <w:r w:rsidR="00CD2E01">
        <w:t>other</w:t>
      </w:r>
      <w:r w:rsidR="00FD0DE9">
        <w:t>’</w:t>
      </w:r>
      <w:r w:rsidR="00CD2E01">
        <w:t xml:space="preserve"> </w:t>
      </w:r>
      <w:r w:rsidR="00565F97">
        <w:t>means</w:t>
      </w:r>
      <w:r w:rsidR="00CD2E01">
        <w:t xml:space="preserve"> (6.2%) listed by WHMs could be classified as through an existing job or internship or via a potential employer in Australia</w:t>
      </w:r>
      <w:r w:rsidR="00FD0DE9">
        <w:t>,</w:t>
      </w:r>
      <w:r w:rsidR="00CD2E01">
        <w:t xml:space="preserve"> through an educational facility</w:t>
      </w:r>
      <w:r w:rsidR="00FD0DE9">
        <w:t xml:space="preserve"> or a study abroad agency. Some</w:t>
      </w:r>
      <w:r w:rsidR="00CD2E01">
        <w:t xml:space="preserve"> reported doing their own research about working holidays </w:t>
      </w:r>
      <w:r w:rsidR="00C33345">
        <w:t>usually with the aid of the internet</w:t>
      </w:r>
      <w:r w:rsidR="00FD0DE9">
        <w:t xml:space="preserve"> or hearing about the </w:t>
      </w:r>
      <w:r w:rsidR="002344C4">
        <w:t>program</w:t>
      </w:r>
      <w:r w:rsidR="00FD0DE9">
        <w:t xml:space="preserve"> via a travel agent, or simply because they were well travelled</w:t>
      </w:r>
      <w:r w:rsidR="00CD2E01">
        <w:t>.</w:t>
      </w:r>
      <w:r w:rsidR="00FD0DE9">
        <w:t xml:space="preserve"> A small proportion </w:t>
      </w:r>
      <w:r w:rsidR="00FA7B80">
        <w:t>(0.5%)</w:t>
      </w:r>
      <w:r w:rsidR="00FD0DE9">
        <w:t xml:space="preserve"> indicated they learnt about the Australian WHM </w:t>
      </w:r>
      <w:r w:rsidR="002344C4">
        <w:t>program</w:t>
      </w:r>
      <w:r w:rsidR="00FD0DE9">
        <w:t xml:space="preserve"> from Australian Government emails.</w:t>
      </w:r>
    </w:p>
    <w:p w14:paraId="27995167" w14:textId="51EB19B6" w:rsidR="008A72B0" w:rsidRDefault="008A72B0" w:rsidP="008A72B0">
      <w:pPr>
        <w:pStyle w:val="Caption"/>
      </w:pPr>
      <w:bookmarkStart w:id="211" w:name="_Ref69734788"/>
      <w:bookmarkStart w:id="212" w:name="_Toc75878565"/>
      <w:r w:rsidRPr="00CA7486">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211"/>
      <w:r w:rsidRPr="00CA7486">
        <w:t xml:space="preserve">: Methods used for finding out about the WHM </w:t>
      </w:r>
      <w:r w:rsidR="002344C4">
        <w:t>program</w:t>
      </w:r>
      <w:bookmarkEnd w:id="212"/>
    </w:p>
    <w:p w14:paraId="6B64BE43" w14:textId="7DFB4A84" w:rsidR="008A72B0" w:rsidRDefault="008A72B0" w:rsidP="00E16B19">
      <w:pPr>
        <w:rPr>
          <w:highlight w:val="yellow"/>
        </w:rPr>
      </w:pPr>
      <w:r>
        <w:rPr>
          <w:noProof/>
          <w:lang w:eastAsia="en-AU"/>
        </w:rPr>
        <w:drawing>
          <wp:inline distT="0" distB="0" distL="0" distR="0" wp14:anchorId="2C669A7F" wp14:editId="3C2C2A60">
            <wp:extent cx="5731510" cy="3822700"/>
            <wp:effectExtent l="0" t="0" r="2540" b="6350"/>
            <wp:docPr id="1092" name="Chart 1092" descr="Figure 8-4 Chart showing methods used for finding out about the WHM program.">
              <a:extLst xmlns:a="http://schemas.openxmlformats.org/drawingml/2006/main">
                <a:ext uri="{FF2B5EF4-FFF2-40B4-BE49-F238E27FC236}">
                  <a16:creationId xmlns:a16="http://schemas.microsoft.com/office/drawing/2014/main" id="{67BCD279-038C-4D44-A00A-3A64A54DD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C2F0EE" w14:textId="0CD2EF89" w:rsidR="008A72B0" w:rsidRDefault="008A72B0" w:rsidP="008A72B0">
      <w:pPr>
        <w:pStyle w:val="Tablenote"/>
      </w:pPr>
      <w:r w:rsidRPr="00582224">
        <w:t>Note</w:t>
      </w:r>
      <w:r>
        <w:t>, d</w:t>
      </w:r>
      <w:r w:rsidRPr="00582224">
        <w:t xml:space="preserve">ata was provided </w:t>
      </w:r>
      <w:r>
        <w:t>for a total of 9,738 WHMs</w:t>
      </w:r>
      <w:r w:rsidRPr="00582224">
        <w:t xml:space="preserve">. </w:t>
      </w:r>
    </w:p>
    <w:p w14:paraId="2AF4F379" w14:textId="77777777" w:rsidR="0057430B" w:rsidRDefault="0057430B" w:rsidP="0057430B">
      <w:pPr>
        <w:pStyle w:val="Tablenote"/>
      </w:pPr>
      <w:r w:rsidRPr="009D07D8">
        <w:t xml:space="preserve">Source: </w:t>
      </w:r>
      <w:r>
        <w:t>WHM</w:t>
      </w:r>
      <w:r w:rsidRPr="009D07D8">
        <w:t xml:space="preserve"> Survey, 2020.</w:t>
      </w:r>
    </w:p>
    <w:p w14:paraId="629E0CBE" w14:textId="387E122F" w:rsidR="00E16B19" w:rsidRDefault="00C33A5C" w:rsidP="008A55F1">
      <w:pPr>
        <w:pStyle w:val="Heading3"/>
      </w:pPr>
      <w:bookmarkStart w:id="213" w:name="_Toc75878479"/>
      <w:r>
        <w:t>Decisions about applying for subsequent</w:t>
      </w:r>
      <w:r w:rsidR="00E16B19" w:rsidRPr="00C33A5C">
        <w:t xml:space="preserve"> WHM visa</w:t>
      </w:r>
      <w:bookmarkEnd w:id="213"/>
    </w:p>
    <w:p w14:paraId="74F7C588" w14:textId="366F4531" w:rsidR="00943AD0" w:rsidRDefault="0134E1D2" w:rsidP="00943AD0">
      <w:r>
        <w:t>Males (36.6%) were more likely than females (32.5</w:t>
      </w:r>
      <w:r w:rsidR="2F017A5E">
        <w:t>%</w:t>
      </w:r>
      <w:r>
        <w:t>) to want a subsequent WHM visa</w:t>
      </w:r>
      <w:r w:rsidR="2892AE3B">
        <w:t>,</w:t>
      </w:r>
      <w:r>
        <w:t xml:space="preserve"> with more males having been granted, having applied for and planning to apply for a subsequent WHM visa (see </w:t>
      </w:r>
      <w:r w:rsidR="00E24B88">
        <w:fldChar w:fldCharType="begin"/>
      </w:r>
      <w:r w:rsidR="00E24B88">
        <w:instrText xml:space="preserve"> REF _Ref66700944 \h </w:instrText>
      </w:r>
      <w:r w:rsidR="00E24B88">
        <w:fldChar w:fldCharType="separate"/>
      </w:r>
      <w:r w:rsidR="00F22012">
        <w:t xml:space="preserve">Figure </w:t>
      </w:r>
      <w:r w:rsidR="00F22012">
        <w:rPr>
          <w:noProof/>
        </w:rPr>
        <w:t>8</w:t>
      </w:r>
      <w:r w:rsidR="00F22012">
        <w:noBreakHyphen/>
      </w:r>
      <w:r w:rsidR="00F22012">
        <w:rPr>
          <w:noProof/>
        </w:rPr>
        <w:t>5</w:t>
      </w:r>
      <w:r w:rsidR="00E24B88">
        <w:fldChar w:fldCharType="end"/>
      </w:r>
      <w:r>
        <w:t>). Males were marginally more inclined</w:t>
      </w:r>
      <w:r w:rsidR="2F017A5E">
        <w:t xml:space="preserve"> than females</w:t>
      </w:r>
      <w:r>
        <w:t xml:space="preserve"> to report they </w:t>
      </w:r>
      <w:r w:rsidR="2F017A5E">
        <w:t xml:space="preserve">would like to apply but don’t meet requirements (20.4% </w:t>
      </w:r>
      <w:r w:rsidR="1192C203">
        <w:t>and</w:t>
      </w:r>
      <w:r w:rsidR="2F017A5E">
        <w:t xml:space="preserve"> 20.0%, respectively) and that </w:t>
      </w:r>
      <w:r w:rsidR="34CE5721">
        <w:t xml:space="preserve">they were not permitted to </w:t>
      </w:r>
      <w:r w:rsidR="4738ED9B">
        <w:t>apply</w:t>
      </w:r>
      <w:r w:rsidR="34CE5721">
        <w:t xml:space="preserve"> (14.2%</w:t>
      </w:r>
      <w:r w:rsidR="59A46123">
        <w:t>,</w:t>
      </w:r>
      <w:r w:rsidR="34CE5721">
        <w:t xml:space="preserve"> 13.7%).</w:t>
      </w:r>
      <w:r w:rsidR="59A46123">
        <w:t xml:space="preserve"> In contrast, compared with males, females were more likely to indicate</w:t>
      </w:r>
      <w:r w:rsidR="2F017A5E">
        <w:t xml:space="preserve"> </w:t>
      </w:r>
      <w:r w:rsidR="59A46123">
        <w:t>they didn’t want to (10.8%, 12.6%), didn’t know they could (7.4%, 9.3%) or hadn’t made up their minds (10.7%, 11.8%)</w:t>
      </w:r>
      <w:r w:rsidR="46237254">
        <w:t xml:space="preserve"> about applying</w:t>
      </w:r>
      <w:r w:rsidR="77FC021A">
        <w:t xml:space="preserve"> for another </w:t>
      </w:r>
      <w:r w:rsidR="02B232F2">
        <w:t xml:space="preserve">WHM </w:t>
      </w:r>
      <w:r w:rsidR="77FC021A">
        <w:t>visa</w:t>
      </w:r>
      <w:r w:rsidR="59A46123">
        <w:t>.</w:t>
      </w:r>
    </w:p>
    <w:p w14:paraId="6A0B0138" w14:textId="7F5E9DA7" w:rsidR="00943AD0" w:rsidRDefault="00943AD0" w:rsidP="00943AD0">
      <w:pPr>
        <w:pStyle w:val="Caption"/>
      </w:pPr>
      <w:bookmarkStart w:id="214" w:name="_Ref66700944"/>
      <w:bookmarkStart w:id="215" w:name="_Toc7587856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214"/>
      <w:r>
        <w:t xml:space="preserve">: Intention to apply for a subsequent </w:t>
      </w:r>
      <w:r w:rsidR="00A02878">
        <w:t xml:space="preserve">WHM </w:t>
      </w:r>
      <w:r>
        <w:t xml:space="preserve">visa by </w:t>
      </w:r>
      <w:r w:rsidR="006B64F0">
        <w:t>sex</w:t>
      </w:r>
      <w:bookmarkEnd w:id="215"/>
    </w:p>
    <w:p w14:paraId="26D65151" w14:textId="27309DE7" w:rsidR="00943AD0" w:rsidRPr="00943AD0" w:rsidRDefault="00943AD0" w:rsidP="00943AD0">
      <w:r>
        <w:rPr>
          <w:noProof/>
          <w:lang w:eastAsia="en-AU"/>
        </w:rPr>
        <w:drawing>
          <wp:inline distT="0" distB="0" distL="0" distR="0" wp14:anchorId="0F267FC9" wp14:editId="73142353">
            <wp:extent cx="5731510" cy="2971800"/>
            <wp:effectExtent l="0" t="0" r="2540" b="0"/>
            <wp:docPr id="1095" name="Chart 1095" descr="Figure 8-5 Chart showing intention to apply for a subsequent WHM visa by sex.">
              <a:extLst xmlns:a="http://schemas.openxmlformats.org/drawingml/2006/main">
                <a:ext uri="{FF2B5EF4-FFF2-40B4-BE49-F238E27FC236}">
                  <a16:creationId xmlns:a16="http://schemas.microsoft.com/office/drawing/2014/main" id="{41520832-6895-4BD0-9CCC-527870E7A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CBD2AD9" w14:textId="275CD3A8" w:rsidR="009D026D" w:rsidRDefault="009D026D" w:rsidP="009D026D">
      <w:pPr>
        <w:pStyle w:val="Tablenote"/>
      </w:pPr>
      <w:r w:rsidRPr="00582224">
        <w:t>Note</w:t>
      </w:r>
      <w:r>
        <w:t>, d</w:t>
      </w:r>
      <w:r w:rsidRPr="00582224">
        <w:t xml:space="preserve">ata was provided </w:t>
      </w:r>
      <w:r>
        <w:t>for 3,666 male and 6,066 female WHMs</w:t>
      </w:r>
      <w:r w:rsidRPr="00582224">
        <w:t xml:space="preserve">. </w:t>
      </w:r>
    </w:p>
    <w:p w14:paraId="130243C8" w14:textId="77777777" w:rsidR="0057430B" w:rsidRDefault="0057430B" w:rsidP="0057430B">
      <w:pPr>
        <w:pStyle w:val="Tablenote"/>
      </w:pPr>
      <w:r w:rsidRPr="009D07D8">
        <w:t xml:space="preserve">Source: </w:t>
      </w:r>
      <w:r>
        <w:t>WHM</w:t>
      </w:r>
      <w:r w:rsidRPr="009D07D8">
        <w:t xml:space="preserve"> Survey, 2020.</w:t>
      </w:r>
    </w:p>
    <w:p w14:paraId="7A745630" w14:textId="020CA6E8" w:rsidR="009964EC" w:rsidRDefault="00A02878" w:rsidP="009964EC">
      <w:r>
        <w:t>Intention to apply for another Australian WHM visa varied by age cohort</w:t>
      </w:r>
      <w:r w:rsidR="00C133AD">
        <w:t xml:space="preserve"> (see </w:t>
      </w:r>
      <w:r w:rsidR="00C133AD">
        <w:fldChar w:fldCharType="begin"/>
      </w:r>
      <w:r w:rsidR="00C133AD">
        <w:instrText xml:space="preserve"> REF _Ref66709642 \h </w:instrText>
      </w:r>
      <w:r w:rsidR="00C133AD">
        <w:fldChar w:fldCharType="separate"/>
      </w:r>
      <w:r w:rsidR="00F22012">
        <w:t xml:space="preserve">Figure </w:t>
      </w:r>
      <w:r w:rsidR="00F22012">
        <w:rPr>
          <w:noProof/>
        </w:rPr>
        <w:t>8</w:t>
      </w:r>
      <w:r w:rsidR="00F22012">
        <w:noBreakHyphen/>
      </w:r>
      <w:r w:rsidR="00F22012">
        <w:rPr>
          <w:noProof/>
        </w:rPr>
        <w:t>6</w:t>
      </w:r>
      <w:r w:rsidR="00C133AD">
        <w:fldChar w:fldCharType="end"/>
      </w:r>
      <w:r w:rsidR="00C133AD">
        <w:t>)</w:t>
      </w:r>
      <w:r w:rsidR="00723BE3">
        <w:t>. The oldest age cohort (31 years and over) were least likely to indicate they had or intended to apply for another visa</w:t>
      </w:r>
      <w:r w:rsidR="000004D5">
        <w:t xml:space="preserve"> (17.7%), a quarter of this group (24.4%) said they would like to but don’t meet requirements, while more than a third (34.9%) indicated they did not meet requirements. One in five (21.8%) WHMs aged 18-19 years were interested in another </w:t>
      </w:r>
      <w:r w:rsidR="00202BC7">
        <w:t xml:space="preserve">WHM </w:t>
      </w:r>
      <w:r w:rsidR="000004D5">
        <w:t>visa with a similar proportion (20.4%) unsure and yet to make up their mind.</w:t>
      </w:r>
      <w:r w:rsidR="00C133AD">
        <w:t xml:space="preserve"> Just under one in ten (8.6%) of all WHMs were unaware that they were able to apply for a subsequent visa</w:t>
      </w:r>
      <w:r w:rsidR="009964EC">
        <w:t>.</w:t>
      </w:r>
      <w:r w:rsidR="009964EC" w:rsidRPr="009964EC">
        <w:t xml:space="preserve"> </w:t>
      </w:r>
    </w:p>
    <w:p w14:paraId="45486D61" w14:textId="48A6E61E" w:rsidR="000004D5" w:rsidRDefault="009964EC" w:rsidP="00C33A5C">
      <w:r>
        <w:t>More than two in five Japanese (42.3%) and Taiwanese (41.3%) WHMs were applying for a subsequent visa (see</w:t>
      </w:r>
      <w:r w:rsidR="00454DA8">
        <w:t xml:space="preserve"> </w:t>
      </w:r>
      <w:r w:rsidR="00454DA8">
        <w:fldChar w:fldCharType="begin"/>
      </w:r>
      <w:r w:rsidR="00454DA8">
        <w:instrText xml:space="preserve"> REF _Ref73100772 \h </w:instrText>
      </w:r>
      <w:r w:rsidR="00454DA8">
        <w:fldChar w:fldCharType="separate"/>
      </w:r>
      <w:r w:rsidR="00F22012">
        <w:t xml:space="preserve">Figure </w:t>
      </w:r>
      <w:r w:rsidR="00F22012">
        <w:rPr>
          <w:noProof/>
        </w:rPr>
        <w:t>8</w:t>
      </w:r>
      <w:r w:rsidR="00F22012">
        <w:noBreakHyphen/>
      </w:r>
      <w:r w:rsidR="00F22012">
        <w:rPr>
          <w:noProof/>
        </w:rPr>
        <w:t>7</w:t>
      </w:r>
      <w:r w:rsidR="00454DA8">
        <w:fldChar w:fldCharType="end"/>
      </w:r>
      <w:r>
        <w:t xml:space="preserve">). One in five WHMs from the </w:t>
      </w:r>
      <w:r w:rsidR="002862E8">
        <w:t>United States of America</w:t>
      </w:r>
      <w:r>
        <w:t xml:space="preserve"> reported they did not want to apply for another visa, which was reflected in the low proportion (22.7%) who said they were applying. Italians (18.7%) and WHMs from the </w:t>
      </w:r>
      <w:r w:rsidR="002862E8">
        <w:t>United Kingdom</w:t>
      </w:r>
      <w:r>
        <w:t xml:space="preserve"> (18.6%) were most likely to say they were not permitted to apply for another visa. There was a relatively low rate (24.7%) of German WHMs applying for subsequent visas, with many of this youthful cohort not having made up their minds.</w:t>
      </w:r>
    </w:p>
    <w:p w14:paraId="1FA3E53E" w14:textId="2389AC3A" w:rsidR="00D97C7A" w:rsidRDefault="00D97C7A" w:rsidP="00C133AD">
      <w:pPr>
        <w:pStyle w:val="Caption"/>
      </w:pPr>
      <w:bookmarkStart w:id="216" w:name="_Ref66709642"/>
      <w:bookmarkStart w:id="217" w:name="_Toc7587856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6</w:t>
      </w:r>
      <w:r w:rsidR="008949B3">
        <w:rPr>
          <w:noProof/>
        </w:rPr>
        <w:fldChar w:fldCharType="end"/>
      </w:r>
      <w:bookmarkEnd w:id="216"/>
      <w:r>
        <w:t xml:space="preserve">: Intention to apply for a subsequent </w:t>
      </w:r>
      <w:r w:rsidR="00A02878">
        <w:t xml:space="preserve">WHM </w:t>
      </w:r>
      <w:r>
        <w:t>visa by age group</w:t>
      </w:r>
      <w:bookmarkEnd w:id="217"/>
    </w:p>
    <w:p w14:paraId="3279154E" w14:textId="42486BD5" w:rsidR="00D97C7A" w:rsidRDefault="00A02878" w:rsidP="00C133AD">
      <w:pPr>
        <w:keepNext/>
        <w:keepLines/>
      </w:pPr>
      <w:r>
        <w:rPr>
          <w:noProof/>
          <w:lang w:eastAsia="en-AU"/>
        </w:rPr>
        <w:drawing>
          <wp:inline distT="0" distB="0" distL="0" distR="0" wp14:anchorId="6F5D95FB" wp14:editId="7C0F1036">
            <wp:extent cx="5731510" cy="2419350"/>
            <wp:effectExtent l="0" t="0" r="2540" b="0"/>
            <wp:docPr id="71" name="Chart 71" descr="Figure 8-6 Chart showing intention to apply for a subsequent WHM visa by age group.">
              <a:extLst xmlns:a="http://schemas.openxmlformats.org/drawingml/2006/main">
                <a:ext uri="{FF2B5EF4-FFF2-40B4-BE49-F238E27FC236}">
                  <a16:creationId xmlns:a16="http://schemas.microsoft.com/office/drawing/2014/main" id="{C46C1F78-6674-4BE3-AFF5-45F861B09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51021A1" w14:textId="15F2E377" w:rsidR="00CB6D02" w:rsidRDefault="00CB6D02" w:rsidP="00C133AD">
      <w:pPr>
        <w:pStyle w:val="Tablenote"/>
        <w:keepNext/>
        <w:keepLines/>
      </w:pPr>
      <w:r w:rsidRPr="00582224">
        <w:t>Note</w:t>
      </w:r>
      <w:r>
        <w:t>, d</w:t>
      </w:r>
      <w:r w:rsidRPr="00582224">
        <w:t xml:space="preserve">ata was provided </w:t>
      </w:r>
      <w:r>
        <w:t>for 783 WHMs aged 18-19, 3,189 aged 20-24, 4,820 aged 25-30 and 806 aged 31 and over.</w:t>
      </w:r>
      <w:r w:rsidR="00A02878">
        <w:t xml:space="preserve"> Yes responses included those who had applied, had been granted or intended to apply.</w:t>
      </w:r>
    </w:p>
    <w:p w14:paraId="0EFC1335" w14:textId="77777777" w:rsidR="0057430B" w:rsidRDefault="0057430B" w:rsidP="0057430B">
      <w:pPr>
        <w:pStyle w:val="Tablenote"/>
      </w:pPr>
      <w:bookmarkStart w:id="218" w:name="_Ref66710615"/>
      <w:r w:rsidRPr="009D07D8">
        <w:t xml:space="preserve">Source: </w:t>
      </w:r>
      <w:r>
        <w:t>WHM</w:t>
      </w:r>
      <w:r w:rsidRPr="009D07D8">
        <w:t xml:space="preserve"> Survey, 2020.</w:t>
      </w:r>
    </w:p>
    <w:p w14:paraId="7FD28732" w14:textId="77DF7D1E" w:rsidR="001E35E1" w:rsidRDefault="001E35E1" w:rsidP="001E35E1">
      <w:pPr>
        <w:pStyle w:val="Caption"/>
      </w:pPr>
      <w:bookmarkStart w:id="219" w:name="_Ref73100772"/>
      <w:bookmarkStart w:id="220" w:name="_Toc75878568"/>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7</w:t>
      </w:r>
      <w:r w:rsidR="008949B3">
        <w:rPr>
          <w:noProof/>
        </w:rPr>
        <w:fldChar w:fldCharType="end"/>
      </w:r>
      <w:bookmarkEnd w:id="218"/>
      <w:bookmarkEnd w:id="219"/>
      <w:r>
        <w:t xml:space="preserve">: Intention to apply for a subsequent WHM visa by </w:t>
      </w:r>
      <w:r w:rsidR="00A14066">
        <w:t>Top 10 countries</w:t>
      </w:r>
      <w:bookmarkEnd w:id="220"/>
    </w:p>
    <w:p w14:paraId="7635FDD1" w14:textId="6D71EA5D" w:rsidR="0075031E" w:rsidRDefault="0075031E" w:rsidP="00C33A5C">
      <w:r>
        <w:rPr>
          <w:noProof/>
          <w:lang w:eastAsia="en-AU"/>
        </w:rPr>
        <w:drawing>
          <wp:inline distT="0" distB="0" distL="0" distR="0" wp14:anchorId="53C380EA" wp14:editId="4456CB6F">
            <wp:extent cx="5731510" cy="3960000"/>
            <wp:effectExtent l="0" t="0" r="2540" b="2540"/>
            <wp:docPr id="72" name="Chart 72" descr="Figure 8-7 Chart showing intention to apply for a subsequent WHM visa by top 10 countries.">
              <a:extLst xmlns:a="http://schemas.openxmlformats.org/drawingml/2006/main">
                <a:ext uri="{FF2B5EF4-FFF2-40B4-BE49-F238E27FC236}">
                  <a16:creationId xmlns:a16="http://schemas.microsoft.com/office/drawing/2014/main" id="{155DECA1-6C1C-46E8-9DA3-36024B6D1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2584567" w14:textId="0BA1A168" w:rsidR="00E7780F" w:rsidRDefault="003B2CD5" w:rsidP="003B2CD5">
      <w:pPr>
        <w:pStyle w:val="Tablenote"/>
        <w:keepNext/>
        <w:keepLines/>
      </w:pPr>
      <w:r>
        <w:t xml:space="preserve">Note, for this purpose Top 10 countries are those with the most responses to this question, and account for 8,175 WHMs. </w:t>
      </w:r>
      <w:r w:rsidR="00E7780F">
        <w:t>Yes responses included those who had applied, had been granted or intended to apply.</w:t>
      </w:r>
    </w:p>
    <w:p w14:paraId="18B775DA" w14:textId="77777777" w:rsidR="0057430B" w:rsidRDefault="0057430B" w:rsidP="0057430B">
      <w:pPr>
        <w:pStyle w:val="Tablenote"/>
      </w:pPr>
      <w:r w:rsidRPr="009D07D8">
        <w:t xml:space="preserve">Source: </w:t>
      </w:r>
      <w:r>
        <w:t>WHM</w:t>
      </w:r>
      <w:r w:rsidRPr="009D07D8">
        <w:t xml:space="preserve"> Survey, 2020.</w:t>
      </w:r>
    </w:p>
    <w:p w14:paraId="0340462E" w14:textId="2F67A236" w:rsidR="00694340" w:rsidRPr="00E56D32" w:rsidRDefault="003E1239" w:rsidP="003E1239">
      <w:pPr>
        <w:pStyle w:val="Heading3"/>
      </w:pPr>
      <w:bookmarkStart w:id="221" w:name="_Toc75878480"/>
      <w:r w:rsidRPr="00E56D32">
        <w:t xml:space="preserve">Recommending </w:t>
      </w:r>
      <w:r w:rsidR="003A1A29">
        <w:t xml:space="preserve">the </w:t>
      </w:r>
      <w:r w:rsidRPr="00E56D32">
        <w:t xml:space="preserve">WHM </w:t>
      </w:r>
      <w:r w:rsidR="002344C4">
        <w:t>program</w:t>
      </w:r>
      <w:bookmarkEnd w:id="221"/>
    </w:p>
    <w:p w14:paraId="422F47F5" w14:textId="4DD8A6BD" w:rsidR="00202AB3" w:rsidRDefault="3FE14D78" w:rsidP="00202AB3">
      <w:r>
        <w:t xml:space="preserve">Indicating strong endorsement of the WHM </w:t>
      </w:r>
      <w:r w:rsidR="5801EA51">
        <w:t>program</w:t>
      </w:r>
      <w:r>
        <w:t xml:space="preserve">, almost all (94.2%) WHMs reported they would recommend the </w:t>
      </w:r>
      <w:r w:rsidR="5801EA51">
        <w:t>program</w:t>
      </w:r>
      <w:r>
        <w:t xml:space="preserve"> to their friends. </w:t>
      </w:r>
      <w:r w:rsidR="04634839">
        <w:t>Females</w:t>
      </w:r>
      <w:r w:rsidR="69FB20F8">
        <w:t xml:space="preserve"> (94.6%)</w:t>
      </w:r>
      <w:r w:rsidR="04634839">
        <w:t xml:space="preserve"> were more like to endorse</w:t>
      </w:r>
      <w:r w:rsidR="69FB20F8">
        <w:t xml:space="preserve"> the program than males (93.5%)</w:t>
      </w:r>
      <w:r w:rsidR="0D98D0BD">
        <w:t>. A</w:t>
      </w:r>
      <w:r w:rsidR="49402B3B">
        <w:t xml:space="preserve"> positive recommendation </w:t>
      </w:r>
      <w:r w:rsidR="0D98D0BD">
        <w:t xml:space="preserve">was </w:t>
      </w:r>
      <w:r w:rsidR="49402B3B">
        <w:t>also related to age</w:t>
      </w:r>
      <w:r w:rsidR="0D98D0BD">
        <w:t xml:space="preserve">; </w:t>
      </w:r>
      <w:r w:rsidR="77357BDA">
        <w:t>9</w:t>
      </w:r>
      <w:r w:rsidR="67F4AACF">
        <w:t>9</w:t>
      </w:r>
      <w:r w:rsidR="77357BDA">
        <w:t>.</w:t>
      </w:r>
      <w:r w:rsidR="67F4AACF">
        <w:t>6</w:t>
      </w:r>
      <w:r w:rsidR="77357BDA">
        <w:t xml:space="preserve">% of </w:t>
      </w:r>
      <w:r w:rsidR="25ACEFB6">
        <w:t xml:space="preserve">those aged </w:t>
      </w:r>
      <w:r w:rsidR="77357BDA">
        <w:t>18</w:t>
      </w:r>
      <w:r w:rsidR="67F4AACF">
        <w:t xml:space="preserve"> </w:t>
      </w:r>
      <w:r w:rsidR="77357BDA">
        <w:t>years would recommend</w:t>
      </w:r>
      <w:r w:rsidR="127D31A2">
        <w:t xml:space="preserve"> the program</w:t>
      </w:r>
      <w:r w:rsidR="77357BDA">
        <w:t xml:space="preserve">, </w:t>
      </w:r>
      <w:r w:rsidR="08C6FE79">
        <w:t xml:space="preserve">reducing </w:t>
      </w:r>
      <w:r w:rsidR="768868C8">
        <w:t xml:space="preserve">fairly </w:t>
      </w:r>
      <w:r w:rsidR="08C6FE79">
        <w:t>steadily with age</w:t>
      </w:r>
      <w:r w:rsidR="25ACEFB6">
        <w:t xml:space="preserve"> to 92.0% of </w:t>
      </w:r>
      <w:r w:rsidR="4913EDFC">
        <w:t>32 year old WHMs</w:t>
      </w:r>
      <w:r w:rsidR="4B5A4235">
        <w:t xml:space="preserve"> (see </w:t>
      </w:r>
      <w:r w:rsidR="00C37917">
        <w:fldChar w:fldCharType="begin"/>
      </w:r>
      <w:r w:rsidR="00C37917">
        <w:instrText xml:space="preserve"> REF _Ref69222971 \h </w:instrText>
      </w:r>
      <w:r w:rsidR="00C37917">
        <w:fldChar w:fldCharType="separate"/>
      </w:r>
      <w:r w:rsidR="00F22012">
        <w:t xml:space="preserve">Figure </w:t>
      </w:r>
      <w:r w:rsidR="00F22012">
        <w:rPr>
          <w:noProof/>
        </w:rPr>
        <w:t>8</w:t>
      </w:r>
      <w:r w:rsidR="00F22012">
        <w:noBreakHyphen/>
      </w:r>
      <w:r w:rsidR="00F22012">
        <w:rPr>
          <w:noProof/>
        </w:rPr>
        <w:t>8</w:t>
      </w:r>
      <w:r w:rsidR="00C37917">
        <w:fldChar w:fldCharType="end"/>
      </w:r>
      <w:r w:rsidR="4B5A4235">
        <w:t>)</w:t>
      </w:r>
      <w:r w:rsidR="4913EDFC">
        <w:t>.</w:t>
      </w:r>
      <w:r w:rsidR="08C6FE79">
        <w:t xml:space="preserve"> </w:t>
      </w:r>
    </w:p>
    <w:p w14:paraId="5ED21B84" w14:textId="4A728E92" w:rsidR="00EB1226" w:rsidRDefault="00EB1226" w:rsidP="00EB1226">
      <w:pPr>
        <w:pStyle w:val="Caption"/>
      </w:pPr>
      <w:bookmarkStart w:id="222" w:name="_Ref69222971"/>
      <w:bookmarkStart w:id="223" w:name="_Toc75878569"/>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8</w:t>
      </w:r>
      <w:r w:rsidR="008949B3">
        <w:rPr>
          <w:noProof/>
        </w:rPr>
        <w:fldChar w:fldCharType="end"/>
      </w:r>
      <w:bookmarkEnd w:id="222"/>
      <w:r>
        <w:t xml:space="preserve">: Would recommend the WHM </w:t>
      </w:r>
      <w:r w:rsidR="002344C4">
        <w:t>program</w:t>
      </w:r>
      <w:r>
        <w:t>, by age</w:t>
      </w:r>
      <w:bookmarkEnd w:id="223"/>
    </w:p>
    <w:p w14:paraId="0C8EF71D" w14:textId="19082D44" w:rsidR="00716BEB" w:rsidRPr="00E56D32" w:rsidRDefault="00716BEB" w:rsidP="00202AB3">
      <w:r>
        <w:rPr>
          <w:noProof/>
          <w:lang w:eastAsia="en-AU"/>
        </w:rPr>
        <w:drawing>
          <wp:inline distT="0" distB="0" distL="0" distR="0" wp14:anchorId="69BD4738" wp14:editId="0A9F08E9">
            <wp:extent cx="5759450" cy="1704975"/>
            <wp:effectExtent l="0" t="0" r="12700" b="9525"/>
            <wp:docPr id="41" name="Chart 41" descr="Figure 8-8 Chart showing percentage of respondents who would recommend the WHM program, by age.">
              <a:extLst xmlns:a="http://schemas.openxmlformats.org/drawingml/2006/main">
                <a:ext uri="{FF2B5EF4-FFF2-40B4-BE49-F238E27FC236}">
                  <a16:creationId xmlns:a16="http://schemas.microsoft.com/office/drawing/2014/main" id="{9E775E9E-6600-43E8-8851-468DEBBB8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5C4226C" w14:textId="6BCE9B5A" w:rsidR="00556BA4" w:rsidRDefault="00556BA4" w:rsidP="00556BA4">
      <w:pPr>
        <w:pStyle w:val="Tablenote"/>
      </w:pPr>
      <w:r>
        <w:t xml:space="preserve">Note, Responses </w:t>
      </w:r>
      <w:r w:rsidR="0010644C">
        <w:t>are shown for</w:t>
      </w:r>
      <w:r>
        <w:t xml:space="preserve"> 9,</w:t>
      </w:r>
      <w:r w:rsidR="0010644C">
        <w:t>692</w:t>
      </w:r>
      <w:r>
        <w:t xml:space="preserve"> WHMs</w:t>
      </w:r>
      <w:r w:rsidR="00E82F5A">
        <w:t xml:space="preserve"> based on age at arrival</w:t>
      </w:r>
      <w:r>
        <w:t>.</w:t>
      </w:r>
      <w:r w:rsidR="00836C80">
        <w:t xml:space="preserve"> The small number aged over 32 years on arrival</w:t>
      </w:r>
      <w:r w:rsidR="00E82F5A">
        <w:t xml:space="preserve"> are not presented.</w:t>
      </w:r>
    </w:p>
    <w:p w14:paraId="534EFE1B" w14:textId="77777777" w:rsidR="0057430B" w:rsidRDefault="0057430B" w:rsidP="0057430B">
      <w:pPr>
        <w:pStyle w:val="Tablenote"/>
      </w:pPr>
      <w:r w:rsidRPr="009D07D8">
        <w:t xml:space="preserve">Source: </w:t>
      </w:r>
      <w:r>
        <w:t>WHM</w:t>
      </w:r>
      <w:r w:rsidRPr="009D07D8">
        <w:t xml:space="preserve"> Survey, 2020.</w:t>
      </w:r>
    </w:p>
    <w:p w14:paraId="6FA056F9" w14:textId="12860BE4" w:rsidR="00737AF4" w:rsidRDefault="1AD8FB2B" w:rsidP="00CB0874">
      <w:r>
        <w:t>W</w:t>
      </w:r>
      <w:r w:rsidR="5E54BB75">
        <w:t>hile</w:t>
      </w:r>
      <w:r w:rsidR="4FE165F2">
        <w:t xml:space="preserve"> still</w:t>
      </w:r>
      <w:r w:rsidR="5E54BB75">
        <w:t xml:space="preserve"> accounting for nine in ten </w:t>
      </w:r>
      <w:r w:rsidR="2012B311">
        <w:t xml:space="preserve">affirmative </w:t>
      </w:r>
      <w:r w:rsidR="5E54BB75">
        <w:t xml:space="preserve">responses, </w:t>
      </w:r>
      <w:r w:rsidR="0BB491AB">
        <w:t>Ir</w:t>
      </w:r>
      <w:r w:rsidR="642D0533">
        <w:t>ish</w:t>
      </w:r>
      <w:r w:rsidR="0BB491AB">
        <w:t xml:space="preserve"> (88.9%) and South Korea</w:t>
      </w:r>
      <w:r w:rsidR="22541DF4">
        <w:t>ns</w:t>
      </w:r>
      <w:r w:rsidR="0BB491AB">
        <w:t xml:space="preserve"> (89.3%) </w:t>
      </w:r>
      <w:r w:rsidR="0F538147">
        <w:t>were</w:t>
      </w:r>
      <w:r w:rsidR="043B60CF">
        <w:t xml:space="preserve"> the</w:t>
      </w:r>
      <w:r w:rsidR="0F538147">
        <w:t xml:space="preserve"> least likely to </w:t>
      </w:r>
      <w:r w:rsidR="23C523D1">
        <w:t xml:space="preserve">recommend the WHM </w:t>
      </w:r>
      <w:r w:rsidR="5801EA51">
        <w:t>program</w:t>
      </w:r>
      <w:r w:rsidR="23C523D1">
        <w:t xml:space="preserve"> to their friends</w:t>
      </w:r>
      <w:r w:rsidR="568B349C" w:rsidRPr="00746AA7">
        <w:t xml:space="preserve"> </w:t>
      </w:r>
      <w:r w:rsidR="568B349C">
        <w:t xml:space="preserve">(see </w:t>
      </w:r>
      <w:r w:rsidR="009D03FE">
        <w:fldChar w:fldCharType="begin"/>
      </w:r>
      <w:r w:rsidR="009D03FE">
        <w:instrText xml:space="preserve"> REF _Ref69223284 \h </w:instrText>
      </w:r>
      <w:r w:rsidR="009D03FE">
        <w:fldChar w:fldCharType="separate"/>
      </w:r>
      <w:r w:rsidR="00F22012">
        <w:t xml:space="preserve">Figure </w:t>
      </w:r>
      <w:r w:rsidR="00F22012">
        <w:rPr>
          <w:noProof/>
        </w:rPr>
        <w:t>8</w:t>
      </w:r>
      <w:r w:rsidR="00F22012">
        <w:noBreakHyphen/>
      </w:r>
      <w:r w:rsidR="00F22012">
        <w:rPr>
          <w:noProof/>
        </w:rPr>
        <w:t>9</w:t>
      </w:r>
      <w:r w:rsidR="009D03FE">
        <w:fldChar w:fldCharType="end"/>
      </w:r>
      <w:r w:rsidR="568B349C">
        <w:t>)</w:t>
      </w:r>
      <w:r w:rsidR="5C1CEF1D">
        <w:t>.</w:t>
      </w:r>
      <w:r w:rsidR="37A78BC6">
        <w:t xml:space="preserve"> </w:t>
      </w:r>
      <w:r w:rsidR="77A80AAE">
        <w:t>A</w:t>
      </w:r>
      <w:r w:rsidR="568B349C">
        <w:t>lmost all</w:t>
      </w:r>
      <w:r w:rsidR="0BB491AB">
        <w:t xml:space="preserve"> Argentinians </w:t>
      </w:r>
      <w:r w:rsidR="3D327024">
        <w:t>(97.6%)</w:t>
      </w:r>
      <w:r w:rsidR="0BB491AB">
        <w:t xml:space="preserve"> and Dutch </w:t>
      </w:r>
      <w:r w:rsidR="3D327024">
        <w:t>(97.2%)</w:t>
      </w:r>
      <w:r w:rsidR="0BB491AB">
        <w:t xml:space="preserve"> WHMs would endorse the program to their friends</w:t>
      </w:r>
      <w:r w:rsidR="47EFCD38">
        <w:t>.</w:t>
      </w:r>
      <w:r w:rsidR="043B60CF">
        <w:t xml:space="preserve"> Only those countries with more than 100 responses were included </w:t>
      </w:r>
      <w:r w:rsidR="4DDB52EC">
        <w:t>to</w:t>
      </w:r>
      <w:r w:rsidR="043B60CF">
        <w:t xml:space="preserve"> ensure </w:t>
      </w:r>
      <w:r w:rsidR="69CD8B98">
        <w:t xml:space="preserve">the responses were representative. </w:t>
      </w:r>
    </w:p>
    <w:p w14:paraId="62617151" w14:textId="15560005" w:rsidR="00E56D32" w:rsidRDefault="00E56D32" w:rsidP="00E56D32">
      <w:pPr>
        <w:pStyle w:val="Caption"/>
      </w:pPr>
      <w:bookmarkStart w:id="224" w:name="_Ref69223284"/>
      <w:bookmarkStart w:id="225" w:name="_Toc75878570"/>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9</w:t>
      </w:r>
      <w:r w:rsidR="008949B3">
        <w:rPr>
          <w:noProof/>
        </w:rPr>
        <w:fldChar w:fldCharType="end"/>
      </w:r>
      <w:bookmarkEnd w:id="224"/>
      <w:r>
        <w:t xml:space="preserve">: Would recommend the WHM </w:t>
      </w:r>
      <w:r w:rsidR="002344C4">
        <w:t>program</w:t>
      </w:r>
      <w:r w:rsidR="00F153A7">
        <w:t>, by citizenship</w:t>
      </w:r>
      <w:bookmarkEnd w:id="225"/>
    </w:p>
    <w:p w14:paraId="1E95F83E" w14:textId="57A9DFEB" w:rsidR="00202AB3" w:rsidRDefault="00202AB3" w:rsidP="00C3339D">
      <w:pPr>
        <w:keepNext/>
        <w:keepLines/>
        <w:rPr>
          <w:highlight w:val="yellow"/>
        </w:rPr>
      </w:pPr>
      <w:r>
        <w:rPr>
          <w:noProof/>
          <w:lang w:eastAsia="en-AU"/>
        </w:rPr>
        <w:drawing>
          <wp:inline distT="0" distB="0" distL="0" distR="0" wp14:anchorId="70F8BE90" wp14:editId="60B5F9AD">
            <wp:extent cx="4572000" cy="3848100"/>
            <wp:effectExtent l="0" t="0" r="0" b="0"/>
            <wp:docPr id="40" name="Chart 40" descr="Figure 8-9 Chart showing percentage of respondents who would recommend the WHM program, by citizenship.">
              <a:extLst xmlns:a="http://schemas.openxmlformats.org/drawingml/2006/main">
                <a:ext uri="{FF2B5EF4-FFF2-40B4-BE49-F238E27FC236}">
                  <a16:creationId xmlns:a16="http://schemas.microsoft.com/office/drawing/2014/main" id="{B91D66C5-3C81-4E39-BB02-05ECCF1C6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C72D9E7" w14:textId="61F7272A" w:rsidR="00C90193" w:rsidRDefault="00C90193" w:rsidP="00C3339D">
      <w:pPr>
        <w:pStyle w:val="Tablenote"/>
        <w:keepNext/>
        <w:keepLines/>
      </w:pPr>
      <w:r>
        <w:t xml:space="preserve">Note, for this purpose </w:t>
      </w:r>
      <w:r w:rsidR="00956F2E">
        <w:t>countries of citizenship with more than 100 response are presented</w:t>
      </w:r>
      <w:r w:rsidR="00942703">
        <w:t>. ‘Other’ includes aggregated responses from all other countries</w:t>
      </w:r>
      <w:r w:rsidR="007404CC">
        <w:t>. Responses were provided by 9,856</w:t>
      </w:r>
      <w:r>
        <w:t xml:space="preserve"> WHMs.</w:t>
      </w:r>
    </w:p>
    <w:p w14:paraId="04941F08" w14:textId="77777777" w:rsidR="0057430B" w:rsidRDefault="0057430B" w:rsidP="0057430B">
      <w:pPr>
        <w:pStyle w:val="Tablenote"/>
      </w:pPr>
      <w:r w:rsidRPr="009D07D8">
        <w:t xml:space="preserve">Source: </w:t>
      </w:r>
      <w:r>
        <w:t>WHM</w:t>
      </w:r>
      <w:r w:rsidRPr="009D07D8">
        <w:t xml:space="preserve"> Survey, 2020.</w:t>
      </w:r>
    </w:p>
    <w:p w14:paraId="288B763B" w14:textId="60D2A23F" w:rsidR="003E36A5" w:rsidRDefault="007542DB" w:rsidP="002E77A1">
      <w:pPr>
        <w:pStyle w:val="Heading2"/>
      </w:pPr>
      <w:bookmarkStart w:id="226" w:name="_Toc75878481"/>
      <w:r>
        <w:t>T</w:t>
      </w:r>
      <w:r w:rsidR="00970A66" w:rsidRPr="00970A66">
        <w:t>ravel</w:t>
      </w:r>
      <w:r>
        <w:t xml:space="preserve"> to and in Australia</w:t>
      </w:r>
      <w:bookmarkEnd w:id="226"/>
    </w:p>
    <w:p w14:paraId="39C34264" w14:textId="49501193" w:rsidR="00840AA3" w:rsidRDefault="002A1ACA" w:rsidP="003B2CD5">
      <w:r>
        <w:t xml:space="preserve">Three quarters (74.4%) of WHMs said it was either easy or very easy to obtain information about coming to Australia (see </w:t>
      </w:r>
      <w:r>
        <w:fldChar w:fldCharType="begin"/>
      </w:r>
      <w:r>
        <w:instrText xml:space="preserve"> REF _Ref66712697 \h </w:instrText>
      </w:r>
      <w:r>
        <w:fldChar w:fldCharType="separate"/>
      </w:r>
      <w:r w:rsidR="00F22012">
        <w:t xml:space="preserve">Figure </w:t>
      </w:r>
      <w:r w:rsidR="00F22012">
        <w:rPr>
          <w:noProof/>
        </w:rPr>
        <w:t>8</w:t>
      </w:r>
      <w:r w:rsidR="00F22012">
        <w:noBreakHyphen/>
      </w:r>
      <w:r w:rsidR="00F22012">
        <w:rPr>
          <w:noProof/>
        </w:rPr>
        <w:t>10</w:t>
      </w:r>
      <w:r>
        <w:fldChar w:fldCharType="end"/>
      </w:r>
      <w:r>
        <w:t xml:space="preserve">). </w:t>
      </w:r>
      <w:r w:rsidR="001979B0">
        <w:t>S</w:t>
      </w:r>
      <w:r>
        <w:t xml:space="preserve">even in ten (70.9%) </w:t>
      </w:r>
      <w:r w:rsidR="00271EC9">
        <w:t xml:space="preserve">also </w:t>
      </w:r>
      <w:r w:rsidR="001979B0">
        <w:t xml:space="preserve">reported </w:t>
      </w:r>
      <w:r>
        <w:t>it was easy to obtain a visa. One quarter to one</w:t>
      </w:r>
      <w:r w:rsidR="00AB5874">
        <w:t>-</w:t>
      </w:r>
      <w:r>
        <w:t>fifth of WHMs reported some difficulty in paying for travel to Australia</w:t>
      </w:r>
      <w:r w:rsidR="009E28A4">
        <w:t xml:space="preserve"> -</w:t>
      </w:r>
      <w:r>
        <w:t xml:space="preserve"> </w:t>
      </w:r>
      <w:r w:rsidR="005F00F0">
        <w:t xml:space="preserve">and </w:t>
      </w:r>
      <w:r>
        <w:t>bringing and/or making enough money to support themselves in Australia.</w:t>
      </w:r>
      <w:r w:rsidR="000D1717">
        <w:rPr>
          <w:rStyle w:val="FootnoteReference"/>
        </w:rPr>
        <w:footnoteReference w:id="32"/>
      </w:r>
      <w:r w:rsidR="000D1717">
        <w:t xml:space="preserve"> </w:t>
      </w:r>
    </w:p>
    <w:p w14:paraId="459EBCFB" w14:textId="40DA23D5" w:rsidR="003E36A5" w:rsidRDefault="003E36A5" w:rsidP="003E36A5">
      <w:pPr>
        <w:pStyle w:val="Caption"/>
      </w:pPr>
      <w:bookmarkStart w:id="227" w:name="_Ref66712697"/>
      <w:bookmarkStart w:id="228" w:name="_Toc75878571"/>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10</w:t>
      </w:r>
      <w:r w:rsidR="008949B3">
        <w:rPr>
          <w:noProof/>
        </w:rPr>
        <w:fldChar w:fldCharType="end"/>
      </w:r>
      <w:bookmarkEnd w:id="227"/>
      <w:r>
        <w:t>: Factors making</w:t>
      </w:r>
      <w:r w:rsidR="00970A66">
        <w:t xml:space="preserve"> WHM</w:t>
      </w:r>
      <w:r>
        <w:t xml:space="preserve"> travel to and within Australia easy</w:t>
      </w:r>
      <w:bookmarkEnd w:id="228"/>
    </w:p>
    <w:p w14:paraId="472004D3" w14:textId="6D03327E" w:rsidR="003E36A5" w:rsidRDefault="003E36A5" w:rsidP="003E36A5">
      <w:pPr>
        <w:rPr>
          <w:highlight w:val="yellow"/>
        </w:rPr>
      </w:pPr>
      <w:r>
        <w:rPr>
          <w:noProof/>
          <w:lang w:eastAsia="en-AU"/>
        </w:rPr>
        <w:drawing>
          <wp:inline distT="0" distB="0" distL="0" distR="0" wp14:anchorId="2EB4FDBE" wp14:editId="093B2064">
            <wp:extent cx="5831840" cy="2160000"/>
            <wp:effectExtent l="0" t="0" r="16510" b="12065"/>
            <wp:docPr id="1096" name="Chart 1096" descr="Figure 8-10 Chart showing factors making WHM travel to and within Australia easy.">
              <a:extLst xmlns:a="http://schemas.openxmlformats.org/drawingml/2006/main">
                <a:ext uri="{FF2B5EF4-FFF2-40B4-BE49-F238E27FC236}">
                  <a16:creationId xmlns:a16="http://schemas.microsoft.com/office/drawing/2014/main" id="{FB091D16-C407-42C2-B6B9-38419616F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22F1AB5" w14:textId="3AC1FBE7" w:rsidR="00C00554" w:rsidRDefault="00C00554" w:rsidP="00C4451F">
      <w:pPr>
        <w:pStyle w:val="Tablenote"/>
      </w:pPr>
      <w:r w:rsidRPr="00582224">
        <w:t>Note</w:t>
      </w:r>
      <w:r>
        <w:t>, d</w:t>
      </w:r>
      <w:r w:rsidRPr="00582224">
        <w:t xml:space="preserve">ata was provided </w:t>
      </w:r>
      <w:r>
        <w:t>by 9,782 WHMs.</w:t>
      </w:r>
      <w:r w:rsidR="007458E5" w:rsidRPr="007458E5">
        <w:t xml:space="preserve"> </w:t>
      </w:r>
      <w:r w:rsidR="007458E5">
        <w:t>Labels are not shown when less than 5%.</w:t>
      </w:r>
    </w:p>
    <w:p w14:paraId="1A1F39D4" w14:textId="77777777" w:rsidR="0057430B" w:rsidRDefault="0057430B" w:rsidP="0057430B">
      <w:pPr>
        <w:pStyle w:val="Tablenote"/>
      </w:pPr>
      <w:r w:rsidRPr="009D07D8">
        <w:t xml:space="preserve">Source: </w:t>
      </w:r>
      <w:r>
        <w:t>WHM</w:t>
      </w:r>
      <w:r w:rsidRPr="009D07D8">
        <w:t xml:space="preserve"> Survey, 2020.</w:t>
      </w:r>
    </w:p>
    <w:p w14:paraId="5BAF4587" w14:textId="6935F040" w:rsidR="0045100D" w:rsidRDefault="3C0ABAB4" w:rsidP="0045100D">
      <w:r>
        <w:t xml:space="preserve">While there was a level of conformity, WHMs from some countries reported less ease in the pragmatics of travelling to Australia. </w:t>
      </w:r>
      <w:r w:rsidR="1C33FCBA">
        <w:t xml:space="preserve">Of </w:t>
      </w:r>
      <w:r w:rsidR="727B3451">
        <w:t xml:space="preserve">the </w:t>
      </w:r>
      <w:r w:rsidR="1C33FCBA">
        <w:t xml:space="preserve">Top </w:t>
      </w:r>
      <w:r w:rsidR="1E479663">
        <w:t>10</w:t>
      </w:r>
      <w:r w:rsidR="1C33FCBA">
        <w:t xml:space="preserve"> countr</w:t>
      </w:r>
      <w:r w:rsidR="1E479663">
        <w:t>ies</w:t>
      </w:r>
      <w:r w:rsidR="795D1820">
        <w:t xml:space="preserve">, those with </w:t>
      </w:r>
      <w:r w:rsidR="69569B18">
        <w:t>citizenship</w:t>
      </w:r>
      <w:r w:rsidR="04E35203">
        <w:t xml:space="preserve"> from a partner country in Asia</w:t>
      </w:r>
      <w:r w:rsidR="69569B18">
        <w:t xml:space="preserve"> </w:t>
      </w:r>
      <w:r w:rsidR="61A01A2D">
        <w:t>had more difficulty getting information about WHM</w:t>
      </w:r>
      <w:r w:rsidR="1E479663">
        <w:t xml:space="preserve"> </w:t>
      </w:r>
      <w:r w:rsidR="77565737">
        <w:t xml:space="preserve">visas to Australia, compared with </w:t>
      </w:r>
      <w:r w:rsidR="6B8A3F56">
        <w:t>citizens from</w:t>
      </w:r>
      <w:r w:rsidR="77565737">
        <w:t xml:space="preserve"> </w:t>
      </w:r>
      <w:r w:rsidR="560C510C">
        <w:t>European or North America</w:t>
      </w:r>
      <w:r w:rsidR="345C1950">
        <w:t xml:space="preserve">n </w:t>
      </w:r>
      <w:r w:rsidR="6B8A3F56">
        <w:t>countries.</w:t>
      </w:r>
      <w:r w:rsidR="1E479663">
        <w:t xml:space="preserve"> </w:t>
      </w:r>
      <w:r w:rsidR="13C0CDCA">
        <w:t>Only three of five WHMs from South Korea (60.8%) and Japan (60.2%) reported it was easy to obtain information about coming to Australia compared with 81.4% of German and 83.2% of French WHMs</w:t>
      </w:r>
      <w:r w:rsidR="1B08AA90">
        <w:t xml:space="preserve"> (see </w:t>
      </w:r>
      <w:r w:rsidR="003A26E7">
        <w:fldChar w:fldCharType="begin"/>
      </w:r>
      <w:r w:rsidR="003A26E7">
        <w:instrText xml:space="preserve"> REF _Ref69374748 \h </w:instrText>
      </w:r>
      <w:r w:rsidR="003A26E7">
        <w:fldChar w:fldCharType="separate"/>
      </w:r>
      <w:r w:rsidR="00F22012">
        <w:t xml:space="preserve">Figure </w:t>
      </w:r>
      <w:r w:rsidR="00F22012">
        <w:rPr>
          <w:noProof/>
        </w:rPr>
        <w:t>8</w:t>
      </w:r>
      <w:r w:rsidR="00F22012">
        <w:noBreakHyphen/>
      </w:r>
      <w:r w:rsidR="00F22012">
        <w:rPr>
          <w:noProof/>
        </w:rPr>
        <w:t>11</w:t>
      </w:r>
      <w:r w:rsidR="003A26E7">
        <w:fldChar w:fldCharType="end"/>
      </w:r>
      <w:r w:rsidR="1B08AA90">
        <w:t>)</w:t>
      </w:r>
      <w:r w:rsidR="13C0CDCA">
        <w:t>.</w:t>
      </w:r>
      <w:r w:rsidR="2DDC5135" w:rsidRPr="0070789F">
        <w:t xml:space="preserve"> </w:t>
      </w:r>
      <w:r w:rsidR="3CD11141">
        <w:t>The process for obtaining a visa was</w:t>
      </w:r>
      <w:r w:rsidR="2DDC5135">
        <w:t xml:space="preserve"> easiest for French (with 83.1% reporting it was easy or very easy) and Canadian (86.6%) WHMs, compared with those from Taiwan (57.7%), South Korea (60.4%) and Japan (63.7%; see </w:t>
      </w:r>
      <w:r w:rsidR="00346D0D">
        <w:fldChar w:fldCharType="begin"/>
      </w:r>
      <w:r w:rsidR="00346D0D">
        <w:instrText xml:space="preserve"> REF _Ref73013489 \h </w:instrText>
      </w:r>
      <w:r w:rsidR="00346D0D">
        <w:fldChar w:fldCharType="separate"/>
      </w:r>
      <w:r w:rsidR="00F22012">
        <w:t xml:space="preserve">Figure </w:t>
      </w:r>
      <w:r w:rsidR="00F22012">
        <w:rPr>
          <w:noProof/>
        </w:rPr>
        <w:t>8</w:t>
      </w:r>
      <w:r w:rsidR="00F22012">
        <w:noBreakHyphen/>
      </w:r>
      <w:r w:rsidR="00F22012">
        <w:rPr>
          <w:noProof/>
        </w:rPr>
        <w:t>12</w:t>
      </w:r>
      <w:r w:rsidR="00346D0D">
        <w:fldChar w:fldCharType="end"/>
      </w:r>
      <w:r w:rsidR="2DDC5135">
        <w:t xml:space="preserve">). </w:t>
      </w:r>
    </w:p>
    <w:p w14:paraId="6E0B383D" w14:textId="2C22DD65" w:rsidR="0045100D" w:rsidRDefault="0045100D" w:rsidP="0045100D">
      <w:pPr>
        <w:pStyle w:val="Caption"/>
      </w:pPr>
      <w:bookmarkStart w:id="229" w:name="_Ref69374748"/>
      <w:bookmarkStart w:id="230" w:name="_Toc75878572"/>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11</w:t>
      </w:r>
      <w:r w:rsidR="008949B3">
        <w:rPr>
          <w:noProof/>
        </w:rPr>
        <w:fldChar w:fldCharType="end"/>
      </w:r>
      <w:bookmarkEnd w:id="229"/>
      <w:r>
        <w:t xml:space="preserve">: </w:t>
      </w:r>
      <w:r w:rsidRPr="00FD743E">
        <w:t>Eas</w:t>
      </w:r>
      <w:r>
        <w:t>y t</w:t>
      </w:r>
      <w:r w:rsidRPr="00FD743E">
        <w:t>o obtain information about coming to Australia</w:t>
      </w:r>
      <w:r>
        <w:t xml:space="preserve">, by Top </w:t>
      </w:r>
      <w:r w:rsidR="008565D4">
        <w:t>10</w:t>
      </w:r>
      <w:r>
        <w:t xml:space="preserve"> countries</w:t>
      </w:r>
      <w:bookmarkEnd w:id="230"/>
    </w:p>
    <w:p w14:paraId="3F796117" w14:textId="77777777" w:rsidR="0045100D" w:rsidRDefault="0045100D" w:rsidP="009B6C94">
      <w:pPr>
        <w:keepNext/>
        <w:keepLines/>
      </w:pPr>
      <w:r>
        <w:rPr>
          <w:noProof/>
          <w:lang w:eastAsia="en-AU"/>
        </w:rPr>
        <w:drawing>
          <wp:inline distT="0" distB="0" distL="0" distR="0" wp14:anchorId="5C465783" wp14:editId="64CF807B">
            <wp:extent cx="5731510" cy="3600000"/>
            <wp:effectExtent l="0" t="0" r="2540" b="635"/>
            <wp:docPr id="45" name="Chart 45" descr="chart showing top ten countries response to ease of obtaining information about coming to Australia. Netherlands has highest score of 61.8% reporting that this is easy. The USA is reporting the highest score of 9.0% saying it is difficult.">
              <a:extLst xmlns:a="http://schemas.openxmlformats.org/drawingml/2006/main">
                <a:ext uri="{FF2B5EF4-FFF2-40B4-BE49-F238E27FC236}">
                  <a16:creationId xmlns:a16="http://schemas.microsoft.com/office/drawing/2014/main" id="{B20018B2-0D41-478B-871A-4A7AAEAFF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E8E7C9C" w14:textId="77777777" w:rsidR="0045100D" w:rsidRDefault="0045100D" w:rsidP="009B6C94">
      <w:pPr>
        <w:pStyle w:val="Tablenote"/>
        <w:keepNext/>
        <w:keepLines/>
      </w:pPr>
      <w:r>
        <w:t>Note, for this purpose Top 10 countries are those providing the most responses to this question, and account for 9,782 WHMs. Labels are not shown when less than 5%.</w:t>
      </w:r>
    </w:p>
    <w:p w14:paraId="755BF86F" w14:textId="77777777" w:rsidR="0057430B" w:rsidRDefault="0057430B" w:rsidP="0057430B">
      <w:pPr>
        <w:pStyle w:val="Tablenote"/>
      </w:pPr>
      <w:bookmarkStart w:id="231" w:name="_Ref69374413"/>
      <w:r w:rsidRPr="009D07D8">
        <w:t xml:space="preserve">Source: </w:t>
      </w:r>
      <w:r>
        <w:t>WHM</w:t>
      </w:r>
      <w:r w:rsidRPr="009D07D8">
        <w:t xml:space="preserve"> Survey, 2020.</w:t>
      </w:r>
    </w:p>
    <w:p w14:paraId="73BF1107" w14:textId="53138F2E" w:rsidR="008F46F1" w:rsidRDefault="008F46F1" w:rsidP="008F46F1">
      <w:pPr>
        <w:pStyle w:val="Caption"/>
      </w:pPr>
      <w:bookmarkStart w:id="232" w:name="_Ref73013489"/>
      <w:bookmarkStart w:id="233" w:name="_Toc75878573"/>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12</w:t>
      </w:r>
      <w:r w:rsidR="008949B3">
        <w:rPr>
          <w:noProof/>
        </w:rPr>
        <w:fldChar w:fldCharType="end"/>
      </w:r>
      <w:bookmarkEnd w:id="231"/>
      <w:bookmarkEnd w:id="232"/>
      <w:r>
        <w:t>:</w:t>
      </w:r>
      <w:r w:rsidR="00FD743E">
        <w:t xml:space="preserve"> Easy to obtain a WHM Visa, by Top </w:t>
      </w:r>
      <w:r w:rsidR="008565D4">
        <w:t>10</w:t>
      </w:r>
      <w:r w:rsidR="00FD743E">
        <w:t xml:space="preserve"> countries</w:t>
      </w:r>
      <w:bookmarkEnd w:id="233"/>
    </w:p>
    <w:p w14:paraId="6A298851" w14:textId="77777777" w:rsidR="008F46F1" w:rsidRDefault="00F23BBE" w:rsidP="006A024A">
      <w:r>
        <w:rPr>
          <w:noProof/>
          <w:lang w:eastAsia="en-AU"/>
        </w:rPr>
        <w:drawing>
          <wp:inline distT="0" distB="0" distL="0" distR="0" wp14:anchorId="23281051" wp14:editId="6885CEEA">
            <wp:extent cx="5731510" cy="3600000"/>
            <wp:effectExtent l="0" t="0" r="2540" b="635"/>
            <wp:docPr id="44" name="Chart 44" descr="Chart showing top ten countries how easy it is to obtain a working holiday makers visa. Netherlands has highest score of 55.4% saying it is easy. South Korea has the highest score of 9.3% saying it is difficult.">
              <a:extLst xmlns:a="http://schemas.openxmlformats.org/drawingml/2006/main">
                <a:ext uri="{FF2B5EF4-FFF2-40B4-BE49-F238E27FC236}">
                  <a16:creationId xmlns:a16="http://schemas.microsoft.com/office/drawing/2014/main" id="{C2037DC9-C96D-48D5-B3C6-DA6591464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C4A82FA" w14:textId="61A74161" w:rsidR="009F557F" w:rsidRDefault="00BA28CB" w:rsidP="009F557F">
      <w:pPr>
        <w:pStyle w:val="Tablenote"/>
      </w:pPr>
      <w:r>
        <w:t xml:space="preserve">Note, for this purpose Top 10 countries are those </w:t>
      </w:r>
      <w:r w:rsidR="00F447D1">
        <w:t>providing</w:t>
      </w:r>
      <w:r>
        <w:t xml:space="preserve"> the most </w:t>
      </w:r>
      <w:r w:rsidR="00F447D1">
        <w:t>responses to this question</w:t>
      </w:r>
      <w:r>
        <w:t xml:space="preserve">, and account for </w:t>
      </w:r>
      <w:r w:rsidR="009F557F">
        <w:t>9,782 WHMs.</w:t>
      </w:r>
      <w:r w:rsidR="009F557F" w:rsidRPr="007458E5">
        <w:t xml:space="preserve"> </w:t>
      </w:r>
      <w:r w:rsidR="009F557F">
        <w:t>Labels are not shown when less than 5%.</w:t>
      </w:r>
    </w:p>
    <w:p w14:paraId="20706984" w14:textId="77777777" w:rsidR="0057430B" w:rsidRDefault="0057430B" w:rsidP="0057430B">
      <w:pPr>
        <w:pStyle w:val="Tablenote"/>
      </w:pPr>
      <w:r w:rsidRPr="009D07D8">
        <w:t xml:space="preserve">Source: </w:t>
      </w:r>
      <w:r>
        <w:t>WHM</w:t>
      </w:r>
      <w:r w:rsidRPr="009D07D8">
        <w:t xml:space="preserve"> Survey, 2020.</w:t>
      </w:r>
    </w:p>
    <w:p w14:paraId="1E49A772" w14:textId="07A2ABA3" w:rsidR="009F557F" w:rsidRDefault="00422E16" w:rsidP="006A024A">
      <w:r>
        <w:t xml:space="preserve">WHMs from the Netherlands (53.2%) and </w:t>
      </w:r>
      <w:r w:rsidR="009125B3">
        <w:t>the United Kingdom</w:t>
      </w:r>
      <w:r>
        <w:t xml:space="preserve"> (53.1%) found it easiest to pay for travel to Australia </w:t>
      </w:r>
      <w:r w:rsidR="003B07A9">
        <w:t xml:space="preserve">(see </w:t>
      </w:r>
      <w:r w:rsidR="003B07A9">
        <w:fldChar w:fldCharType="begin"/>
      </w:r>
      <w:r w:rsidR="003B07A9">
        <w:instrText xml:space="preserve"> REF _Ref69374913 \h </w:instrText>
      </w:r>
      <w:r w:rsidR="003B07A9">
        <w:fldChar w:fldCharType="separate"/>
      </w:r>
      <w:r w:rsidR="00F22012">
        <w:t xml:space="preserve">Figure </w:t>
      </w:r>
      <w:r w:rsidR="00F22012">
        <w:rPr>
          <w:noProof/>
        </w:rPr>
        <w:t>8</w:t>
      </w:r>
      <w:r w:rsidR="00F22012">
        <w:noBreakHyphen/>
      </w:r>
      <w:r w:rsidR="00F22012">
        <w:rPr>
          <w:noProof/>
        </w:rPr>
        <w:t>13</w:t>
      </w:r>
      <w:r w:rsidR="003B07A9">
        <w:fldChar w:fldCharType="end"/>
      </w:r>
      <w:r w:rsidR="003B07A9">
        <w:t>)</w:t>
      </w:r>
      <w:r>
        <w:t xml:space="preserve"> and bring money to support themselves </w:t>
      </w:r>
      <w:r w:rsidR="003B07A9">
        <w:t xml:space="preserve">(see </w:t>
      </w:r>
      <w:r w:rsidR="004A7CD0">
        <w:fldChar w:fldCharType="begin"/>
      </w:r>
      <w:r w:rsidR="004A7CD0">
        <w:instrText xml:space="preserve"> REF _Ref73013531 \h </w:instrText>
      </w:r>
      <w:r w:rsidR="004A7CD0">
        <w:fldChar w:fldCharType="separate"/>
      </w:r>
      <w:r w:rsidR="00F22012">
        <w:t xml:space="preserve">Figure </w:t>
      </w:r>
      <w:r w:rsidR="00F22012">
        <w:rPr>
          <w:noProof/>
        </w:rPr>
        <w:t>8</w:t>
      </w:r>
      <w:r w:rsidR="00F22012">
        <w:noBreakHyphen/>
      </w:r>
      <w:r w:rsidR="00F22012">
        <w:rPr>
          <w:noProof/>
        </w:rPr>
        <w:t>14</w:t>
      </w:r>
      <w:r w:rsidR="004A7CD0">
        <w:fldChar w:fldCharType="end"/>
      </w:r>
      <w:r w:rsidR="003B07A9">
        <w:t>)</w:t>
      </w:r>
      <w:r>
        <w:t xml:space="preserve"> in Australia (53.5% </w:t>
      </w:r>
      <w:r w:rsidR="005C6F4A">
        <w:t xml:space="preserve">and </w:t>
      </w:r>
      <w:r>
        <w:t>48.1%, respectively). While Italian</w:t>
      </w:r>
      <w:r w:rsidR="002B1844">
        <w:t xml:space="preserve"> WHMs</w:t>
      </w:r>
      <w:r>
        <w:t xml:space="preserve"> reported less ease on both these counts (36.6% </w:t>
      </w:r>
      <w:r w:rsidR="005C6F4A">
        <w:t xml:space="preserve">and </w:t>
      </w:r>
      <w:r>
        <w:t>33.3%, respectively), they were most inclined to report ease in making enough money in Australia to support themselves (54.7%</w:t>
      </w:r>
      <w:r w:rsidR="0042690C">
        <w:t xml:space="preserve">) </w:t>
      </w:r>
      <w:r w:rsidR="009E2515">
        <w:t xml:space="preserve">- </w:t>
      </w:r>
      <w:r w:rsidR="0042690C">
        <w:t>with only 13.9% reporting any level of difficulty</w:t>
      </w:r>
      <w:r w:rsidR="003B4738">
        <w:t xml:space="preserve"> </w:t>
      </w:r>
      <w:r w:rsidR="00642B84">
        <w:t xml:space="preserve">with </w:t>
      </w:r>
      <w:r w:rsidR="009E2515">
        <w:t>this</w:t>
      </w:r>
      <w:r w:rsidR="00642B84">
        <w:t xml:space="preserve"> </w:t>
      </w:r>
      <w:r w:rsidR="003B4738">
        <w:t>(</w:t>
      </w:r>
      <w:r w:rsidR="008F3570">
        <w:t>see</w:t>
      </w:r>
      <w:r w:rsidR="00EA4632">
        <w:t xml:space="preserve"> </w:t>
      </w:r>
      <w:r w:rsidR="00940887">
        <w:fldChar w:fldCharType="begin"/>
      </w:r>
      <w:r w:rsidR="00940887">
        <w:instrText xml:space="preserve"> REF _Ref73101160 \h </w:instrText>
      </w:r>
      <w:r w:rsidR="00940887">
        <w:fldChar w:fldCharType="separate"/>
      </w:r>
      <w:r w:rsidR="00F22012">
        <w:t xml:space="preserve">Figure </w:t>
      </w:r>
      <w:r w:rsidR="00F22012">
        <w:rPr>
          <w:noProof/>
        </w:rPr>
        <w:t>8</w:t>
      </w:r>
      <w:r w:rsidR="00F22012">
        <w:noBreakHyphen/>
      </w:r>
      <w:r w:rsidR="00F22012">
        <w:rPr>
          <w:noProof/>
        </w:rPr>
        <w:t>15</w:t>
      </w:r>
      <w:r w:rsidR="00940887">
        <w:fldChar w:fldCharType="end"/>
      </w:r>
      <w:r>
        <w:t xml:space="preserve">). </w:t>
      </w:r>
      <w:r w:rsidR="00512EF5">
        <w:t>It is noteworthy that</w:t>
      </w:r>
      <w:r w:rsidR="0085642C">
        <w:t xml:space="preserve"> with </w:t>
      </w:r>
      <w:r w:rsidR="00765DA0">
        <w:t>more than one quarter</w:t>
      </w:r>
      <w:r w:rsidR="0085642C">
        <w:t xml:space="preserve"> of WHMs</w:t>
      </w:r>
      <w:r w:rsidR="003C0828">
        <w:t xml:space="preserve"> providing a</w:t>
      </w:r>
      <w:r w:rsidR="00086947">
        <w:t xml:space="preserve"> ‘neither</w:t>
      </w:r>
      <w:r w:rsidR="007F1F19">
        <w:t xml:space="preserve"> easy nor difficult</w:t>
      </w:r>
      <w:r w:rsidR="00086947">
        <w:t>’ response</w:t>
      </w:r>
      <w:r w:rsidR="001B7F2D">
        <w:t xml:space="preserve">, most difficulty </w:t>
      </w:r>
      <w:r w:rsidR="001A0E43">
        <w:t>in</w:t>
      </w:r>
      <w:r w:rsidR="001B7F2D">
        <w:t xml:space="preserve"> </w:t>
      </w:r>
      <w:r w:rsidR="001A0E43">
        <w:t xml:space="preserve">paying for travel to Australia was reported by </w:t>
      </w:r>
      <w:r w:rsidR="001665F0">
        <w:t>Americans</w:t>
      </w:r>
      <w:r w:rsidR="00F57668">
        <w:t xml:space="preserve"> (26.3%</w:t>
      </w:r>
      <w:r w:rsidR="007A7236">
        <w:t>), followed by Italians (24.3%)</w:t>
      </w:r>
      <w:r w:rsidR="00395AE0">
        <w:t>.</w:t>
      </w:r>
    </w:p>
    <w:p w14:paraId="60D3CA26" w14:textId="0EA1F248" w:rsidR="008F46F1" w:rsidRDefault="008F46F1" w:rsidP="008F46F1">
      <w:pPr>
        <w:pStyle w:val="Caption"/>
      </w:pPr>
      <w:bookmarkStart w:id="234" w:name="_Ref69374913"/>
      <w:bookmarkStart w:id="235" w:name="_Toc7587857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13</w:t>
      </w:r>
      <w:r w:rsidR="008949B3">
        <w:rPr>
          <w:noProof/>
        </w:rPr>
        <w:fldChar w:fldCharType="end"/>
      </w:r>
      <w:bookmarkEnd w:id="234"/>
      <w:r w:rsidR="00FD743E">
        <w:t xml:space="preserve">: </w:t>
      </w:r>
      <w:r w:rsidR="00FD743E" w:rsidRPr="00FD743E">
        <w:t>Eas</w:t>
      </w:r>
      <w:r w:rsidR="00FD743E">
        <w:t>y t</w:t>
      </w:r>
      <w:r w:rsidR="00FD743E" w:rsidRPr="00FD743E">
        <w:t>o pay for travel to Australia</w:t>
      </w:r>
      <w:r w:rsidR="00FD743E">
        <w:t xml:space="preserve">, by Top </w:t>
      </w:r>
      <w:r w:rsidR="008565D4">
        <w:t>10</w:t>
      </w:r>
      <w:r w:rsidR="00FD743E">
        <w:t xml:space="preserve"> countries</w:t>
      </w:r>
      <w:bookmarkEnd w:id="235"/>
    </w:p>
    <w:p w14:paraId="17A781CF" w14:textId="77777777" w:rsidR="008F46F1" w:rsidRDefault="00F23BBE" w:rsidP="006A024A">
      <w:r>
        <w:rPr>
          <w:noProof/>
          <w:lang w:eastAsia="en-AU"/>
        </w:rPr>
        <w:drawing>
          <wp:inline distT="0" distB="0" distL="0" distR="0" wp14:anchorId="3C2500AD" wp14:editId="2F34868D">
            <wp:extent cx="5731510" cy="3600000"/>
            <wp:effectExtent l="0" t="0" r="2540" b="635"/>
            <wp:docPr id="46" name="Chart 46" descr="Chart showing top ten countries response on how easy it is to pay for travel to Australia. Netherlands has highest score of 46.5% saying it is easy. USA has the highest difficulty score of 22.5% .">
              <a:extLst xmlns:a="http://schemas.openxmlformats.org/drawingml/2006/main">
                <a:ext uri="{FF2B5EF4-FFF2-40B4-BE49-F238E27FC236}">
                  <a16:creationId xmlns:a16="http://schemas.microsoft.com/office/drawing/2014/main" id="{E4310A8B-4AF2-487D-AE01-BD1609B84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7AF1E56" w14:textId="77777777" w:rsidR="00075126" w:rsidRDefault="00075126" w:rsidP="00075126">
      <w:pPr>
        <w:pStyle w:val="Tablenote"/>
      </w:pPr>
      <w:r>
        <w:t>Note, for this purpose Top 10 countries are those providing the most responses to this question, and account for 9,782 WHMs. Labels are not shown when less than 5%.</w:t>
      </w:r>
    </w:p>
    <w:p w14:paraId="53142432" w14:textId="77777777" w:rsidR="0057430B" w:rsidRDefault="0057430B" w:rsidP="0057430B">
      <w:pPr>
        <w:pStyle w:val="Tablenote"/>
      </w:pPr>
      <w:bookmarkStart w:id="236" w:name="_Ref69374932"/>
      <w:r w:rsidRPr="009D07D8">
        <w:t xml:space="preserve">Source: </w:t>
      </w:r>
      <w:r>
        <w:t>WHM</w:t>
      </w:r>
      <w:r w:rsidRPr="009D07D8">
        <w:t xml:space="preserve"> Survey, 2020.</w:t>
      </w:r>
    </w:p>
    <w:p w14:paraId="102BA2B7" w14:textId="4166AAC7" w:rsidR="008F46F1" w:rsidRDefault="008F46F1" w:rsidP="008F46F1">
      <w:pPr>
        <w:pStyle w:val="Caption"/>
      </w:pPr>
      <w:bookmarkStart w:id="237" w:name="_Ref73013531"/>
      <w:bookmarkStart w:id="238" w:name="_Toc7587857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14</w:t>
      </w:r>
      <w:r w:rsidR="008949B3">
        <w:rPr>
          <w:noProof/>
        </w:rPr>
        <w:fldChar w:fldCharType="end"/>
      </w:r>
      <w:bookmarkEnd w:id="236"/>
      <w:bookmarkEnd w:id="237"/>
      <w:r w:rsidR="00FD743E">
        <w:t xml:space="preserve">: </w:t>
      </w:r>
      <w:r w:rsidR="00FD743E" w:rsidRPr="009F557F">
        <w:t>Eas</w:t>
      </w:r>
      <w:r w:rsidR="00FD743E">
        <w:t>y t</w:t>
      </w:r>
      <w:r w:rsidR="00FD743E" w:rsidRPr="009F557F">
        <w:t xml:space="preserve">o </w:t>
      </w:r>
      <w:r w:rsidR="00FD743E" w:rsidRPr="00FD743E">
        <w:rPr>
          <w:i/>
          <w:iCs w:val="0"/>
        </w:rPr>
        <w:t>bring</w:t>
      </w:r>
      <w:r w:rsidR="00FD743E" w:rsidRPr="009F557F">
        <w:t xml:space="preserve"> enough money in Australia </w:t>
      </w:r>
      <w:r w:rsidR="00FD743E">
        <w:t xml:space="preserve">for support, by Top </w:t>
      </w:r>
      <w:r w:rsidR="008565D4">
        <w:t>10</w:t>
      </w:r>
      <w:r w:rsidR="00FD743E">
        <w:t xml:space="preserve"> countries</w:t>
      </w:r>
      <w:bookmarkEnd w:id="238"/>
    </w:p>
    <w:p w14:paraId="0FC03166" w14:textId="57775292" w:rsidR="00721D7E" w:rsidRDefault="00F23BBE" w:rsidP="006A024A">
      <w:r>
        <w:rPr>
          <w:noProof/>
          <w:lang w:eastAsia="en-AU"/>
        </w:rPr>
        <w:drawing>
          <wp:inline distT="0" distB="0" distL="0" distR="0" wp14:anchorId="416C599B" wp14:editId="5175EC43">
            <wp:extent cx="5731510" cy="3600000"/>
            <wp:effectExtent l="0" t="0" r="2540" b="635"/>
            <wp:docPr id="47" name="Chart 47" descr="Chart showing top ten countries how easy it is to obtain a working holiday makers visa. Netherlands has highest score of 55.4% saying it is easy. South Korea has the highest score of 9.3% saying it is difficult.">
              <a:extLst xmlns:a="http://schemas.openxmlformats.org/drawingml/2006/main">
                <a:ext uri="{FF2B5EF4-FFF2-40B4-BE49-F238E27FC236}">
                  <a16:creationId xmlns:a16="http://schemas.microsoft.com/office/drawing/2014/main" id="{F1070066-B7CB-41D5-B4D1-02DE25A40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FBC9612" w14:textId="77777777" w:rsidR="00075126" w:rsidRDefault="00075126" w:rsidP="00075126">
      <w:pPr>
        <w:pStyle w:val="Tablenote"/>
      </w:pPr>
      <w:r>
        <w:t>Note, for this purpose Top 10 countries are those providing the most responses to this question, and account for 9,782 WHMs. Labels are not shown when less than 5%.</w:t>
      </w:r>
    </w:p>
    <w:p w14:paraId="39B4F04B" w14:textId="77777777" w:rsidR="0057430B" w:rsidRDefault="0057430B" w:rsidP="0057430B">
      <w:pPr>
        <w:pStyle w:val="Tablenote"/>
      </w:pPr>
      <w:bookmarkStart w:id="239" w:name="_Ref69374952"/>
      <w:r w:rsidRPr="009D07D8">
        <w:t xml:space="preserve">Source: </w:t>
      </w:r>
      <w:r>
        <w:t>WHM</w:t>
      </w:r>
      <w:r w:rsidRPr="009D07D8">
        <w:t xml:space="preserve"> Survey, 2020.</w:t>
      </w:r>
    </w:p>
    <w:p w14:paraId="24B8E2CB" w14:textId="3DA4E4F4" w:rsidR="008F46F1" w:rsidRDefault="008F46F1" w:rsidP="008F46F1">
      <w:pPr>
        <w:pStyle w:val="Caption"/>
      </w:pPr>
      <w:bookmarkStart w:id="240" w:name="_Ref73101160"/>
      <w:bookmarkStart w:id="241" w:name="_Toc7587857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15</w:t>
      </w:r>
      <w:r w:rsidR="008949B3">
        <w:rPr>
          <w:noProof/>
        </w:rPr>
        <w:fldChar w:fldCharType="end"/>
      </w:r>
      <w:bookmarkEnd w:id="239"/>
      <w:bookmarkEnd w:id="240"/>
      <w:r w:rsidR="009F557F">
        <w:t xml:space="preserve">: </w:t>
      </w:r>
      <w:r w:rsidR="009F557F" w:rsidRPr="009F557F">
        <w:t>Eas</w:t>
      </w:r>
      <w:r w:rsidR="009F557F">
        <w:t>y t</w:t>
      </w:r>
      <w:r w:rsidR="009F557F" w:rsidRPr="009F557F">
        <w:t xml:space="preserve">o </w:t>
      </w:r>
      <w:r w:rsidR="009F557F" w:rsidRPr="00FD743E">
        <w:rPr>
          <w:i/>
        </w:rPr>
        <w:t>make</w:t>
      </w:r>
      <w:r w:rsidR="009F557F" w:rsidRPr="009F557F">
        <w:t xml:space="preserve"> enough money in Australia </w:t>
      </w:r>
      <w:r w:rsidR="00FD743E">
        <w:t>for</w:t>
      </w:r>
      <w:r w:rsidR="009F557F" w:rsidRPr="009F557F">
        <w:t xml:space="preserve"> support</w:t>
      </w:r>
      <w:r w:rsidR="00FD743E">
        <w:t xml:space="preserve">, by Top </w:t>
      </w:r>
      <w:r w:rsidR="008565D4">
        <w:t>10</w:t>
      </w:r>
      <w:r w:rsidR="00FD743E">
        <w:t xml:space="preserve"> countries</w:t>
      </w:r>
      <w:bookmarkEnd w:id="241"/>
    </w:p>
    <w:p w14:paraId="421E69F9" w14:textId="5A51A1C0" w:rsidR="001B0B7F" w:rsidRDefault="001B0B7F" w:rsidP="006A024A">
      <w:r>
        <w:rPr>
          <w:noProof/>
          <w:lang w:eastAsia="en-AU"/>
        </w:rPr>
        <w:drawing>
          <wp:inline distT="0" distB="0" distL="0" distR="0" wp14:anchorId="08B71D31" wp14:editId="7100CA97">
            <wp:extent cx="5731510" cy="3600000"/>
            <wp:effectExtent l="0" t="0" r="2540" b="635"/>
            <wp:docPr id="56" name="Chart 56" descr="Chart showing top ten countries response on how easy it is to make money in Australia for support.  Italy has highest score of 42.5% saying it is easy. Canada has the highest difficulty score of 23.4% .">
              <a:extLst xmlns:a="http://schemas.openxmlformats.org/drawingml/2006/main">
                <a:ext uri="{FF2B5EF4-FFF2-40B4-BE49-F238E27FC236}">
                  <a16:creationId xmlns:a16="http://schemas.microsoft.com/office/drawing/2014/main" id="{E2849E1E-9D9D-4D80-BA27-DCC614C0B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978D16A" w14:textId="77777777" w:rsidR="00075126" w:rsidRDefault="00075126" w:rsidP="00075126">
      <w:pPr>
        <w:pStyle w:val="Tablenote"/>
      </w:pPr>
      <w:r>
        <w:t>Note, for this purpose Top 10 countries are those providing the most responses to this question, and account for 9,782 WHMs. Labels are not shown when less than 5%.</w:t>
      </w:r>
    </w:p>
    <w:p w14:paraId="2E984E50" w14:textId="77777777" w:rsidR="0057430B" w:rsidRDefault="0057430B" w:rsidP="0057430B">
      <w:pPr>
        <w:pStyle w:val="Tablenote"/>
      </w:pPr>
      <w:r w:rsidRPr="009D07D8">
        <w:t xml:space="preserve">Source: </w:t>
      </w:r>
      <w:r>
        <w:t>WHM</w:t>
      </w:r>
      <w:r w:rsidRPr="009D07D8">
        <w:t xml:space="preserve"> Survey, 2020.</w:t>
      </w:r>
    </w:p>
    <w:p w14:paraId="444C1256" w14:textId="31A88E1A" w:rsidR="006A024A" w:rsidRDefault="006A024A" w:rsidP="002E77A1">
      <w:pPr>
        <w:pStyle w:val="Heading2"/>
      </w:pPr>
      <w:bookmarkStart w:id="242" w:name="_Toc75878482"/>
      <w:r>
        <w:t>Destination decisions</w:t>
      </w:r>
      <w:bookmarkEnd w:id="242"/>
    </w:p>
    <w:p w14:paraId="682D37B1" w14:textId="7E4DB42D" w:rsidR="002D1F21" w:rsidRDefault="002D1F21" w:rsidP="00E56F0A">
      <w:r>
        <w:t xml:space="preserve">Australia was the only destination considered </w:t>
      </w:r>
      <w:r w:rsidR="00F409EF">
        <w:t>by</w:t>
      </w:r>
      <w:r>
        <w:t xml:space="preserve"> more than one third (34.3%) of WHMs.</w:t>
      </w:r>
      <w:r w:rsidR="00354273">
        <w:t xml:space="preserve"> Destinations considered by other WHMs </w:t>
      </w:r>
      <w:r w:rsidR="00AE71D1">
        <w:t>are</w:t>
      </w:r>
      <w:r w:rsidR="00354273">
        <w:t xml:space="preserve"> presented in </w:t>
      </w:r>
      <w:r w:rsidR="00354273">
        <w:fldChar w:fldCharType="begin"/>
      </w:r>
      <w:r w:rsidR="00354273">
        <w:instrText xml:space="preserve"> REF _Ref66782090 \h </w:instrText>
      </w:r>
      <w:r w:rsidR="00354273">
        <w:fldChar w:fldCharType="separate"/>
      </w:r>
      <w:r w:rsidR="00F22012">
        <w:t xml:space="preserve">Figure </w:t>
      </w:r>
      <w:r w:rsidR="00F22012">
        <w:rPr>
          <w:noProof/>
        </w:rPr>
        <w:t>8</w:t>
      </w:r>
      <w:r w:rsidR="00F22012">
        <w:noBreakHyphen/>
      </w:r>
      <w:r w:rsidR="00F22012">
        <w:rPr>
          <w:noProof/>
        </w:rPr>
        <w:t>16</w:t>
      </w:r>
      <w:r w:rsidR="00354273">
        <w:fldChar w:fldCharType="end"/>
      </w:r>
      <w:r w:rsidR="00354273">
        <w:t>.</w:t>
      </w:r>
      <w:r w:rsidR="00460122">
        <w:t xml:space="preserve"> Only five countries were considered</w:t>
      </w:r>
      <w:r w:rsidR="00081834">
        <w:t xml:space="preserve"> by more than one in ten WHMs. New Zealand was</w:t>
      </w:r>
      <w:r w:rsidR="0017210B">
        <w:t xml:space="preserve"> most popular</w:t>
      </w:r>
      <w:r w:rsidR="00FE1B01">
        <w:t>,</w:t>
      </w:r>
      <w:r w:rsidR="00081834">
        <w:t xml:space="preserve"> considered by three quarters (76.4%) while fewer than half (43.3%) thought about Canada as a WHM destination</w:t>
      </w:r>
      <w:r w:rsidR="00FC4F56">
        <w:t>,</w:t>
      </w:r>
      <w:r w:rsidR="00AB2DA6">
        <w:t xml:space="preserve"> one in five </w:t>
      </w:r>
      <w:r w:rsidR="00FC4F56">
        <w:t xml:space="preserve">(19.9%) </w:t>
      </w:r>
      <w:r w:rsidR="00AB2DA6">
        <w:t xml:space="preserve">considered </w:t>
      </w:r>
      <w:r w:rsidR="00D673CA">
        <w:t xml:space="preserve">the </w:t>
      </w:r>
      <w:r w:rsidR="00875009">
        <w:t>United States</w:t>
      </w:r>
      <w:r w:rsidR="00676FC7">
        <w:t xml:space="preserve">, and fewer than one in eight </w:t>
      </w:r>
      <w:r w:rsidR="00915964">
        <w:t xml:space="preserve">considered the </w:t>
      </w:r>
      <w:r w:rsidR="00875009">
        <w:t xml:space="preserve">United Kingdom </w:t>
      </w:r>
      <w:r w:rsidR="00915964">
        <w:t>(13.5%) or Japan (13.3%).</w:t>
      </w:r>
      <w:r w:rsidR="008E44AC">
        <w:t xml:space="preserve"> Rounding out the </w:t>
      </w:r>
      <w:r w:rsidR="0005092D">
        <w:t>Top 10</w:t>
      </w:r>
      <w:r w:rsidR="008E44AC">
        <w:t xml:space="preserve"> alternate </w:t>
      </w:r>
      <w:r w:rsidR="00F07D78">
        <w:t>destinations</w:t>
      </w:r>
      <w:r w:rsidR="008E44AC">
        <w:t xml:space="preserve"> considered were </w:t>
      </w:r>
      <w:r w:rsidR="00BE1742">
        <w:t>Germany (6.5%), Ireland (</w:t>
      </w:r>
      <w:r w:rsidR="000E51DB">
        <w:t>6.1</w:t>
      </w:r>
      <w:r w:rsidR="00BE1742">
        <w:t>%)</w:t>
      </w:r>
      <w:r w:rsidR="000E51DB">
        <w:t>, Spain (</w:t>
      </w:r>
      <w:r w:rsidR="00D15044">
        <w:t>6.1</w:t>
      </w:r>
      <w:r w:rsidR="000E51DB">
        <w:t>%), France (</w:t>
      </w:r>
      <w:r w:rsidR="00AB18B5">
        <w:t>4.9</w:t>
      </w:r>
      <w:r w:rsidR="000E51DB">
        <w:t>%)</w:t>
      </w:r>
      <w:r w:rsidR="00AB18B5">
        <w:t xml:space="preserve"> and Argentina (4.7%)</w:t>
      </w:r>
      <w:r w:rsidR="00D15044">
        <w:t>.</w:t>
      </w:r>
    </w:p>
    <w:p w14:paraId="1917D879" w14:textId="112AE452" w:rsidR="00354273" w:rsidRDefault="00354273" w:rsidP="00354273">
      <w:pPr>
        <w:pStyle w:val="Caption"/>
      </w:pPr>
      <w:bookmarkStart w:id="243" w:name="_Ref66782090"/>
      <w:bookmarkStart w:id="244" w:name="_Toc7587857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16</w:t>
      </w:r>
      <w:r w:rsidR="008949B3">
        <w:rPr>
          <w:noProof/>
        </w:rPr>
        <w:fldChar w:fldCharType="end"/>
      </w:r>
      <w:bookmarkEnd w:id="243"/>
      <w:r>
        <w:t xml:space="preserve">: Proportion (%) considered </w:t>
      </w:r>
      <w:r w:rsidR="00000238">
        <w:t>for a working holiday</w:t>
      </w:r>
      <w:r>
        <w:t xml:space="preserve"> in alternate country</w:t>
      </w:r>
      <w:bookmarkEnd w:id="244"/>
    </w:p>
    <w:p w14:paraId="09BBB1E9" w14:textId="68242A6D" w:rsidR="002D1F21" w:rsidRDefault="3E9D9653" w:rsidP="00E56F0A">
      <w:r>
        <w:rPr>
          <w:noProof/>
          <w:lang w:eastAsia="en-AU"/>
        </w:rPr>
        <w:drawing>
          <wp:inline distT="0" distB="0" distL="0" distR="0" wp14:anchorId="6824308A" wp14:editId="02F7B1FB">
            <wp:extent cx="5731510" cy="3881755"/>
            <wp:effectExtent l="0" t="0" r="2540" b="4445"/>
            <wp:docPr id="34393992" name="Chart 91" descr="A shaded map of the world showing proportion in percentages, considered for a working holiday in an alternate country. New Zealand and Canada show the highest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3992" name="Chart 91" descr="A shaded map of the world showing proportion in percentages, considered for a working holiday in an alternate country. New Zealand and Canada show the highest proportion"/>
                    <pic:cNvPicPr/>
                  </pic:nvPicPr>
                  <pic:blipFill>
                    <a:blip r:embed="rId9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sdtdh="http://schemas.microsoft.com/office/word/2020/wordml/sdtdatahash" id="{D496D523-014A-4C27-A086-452B72DC4327}"/>
                        </a:ext>
                      </a:extLst>
                    </a:blip>
                    <a:stretch>
                      <a:fillRect/>
                    </a:stretch>
                  </pic:blipFill>
                  <pic:spPr>
                    <a:xfrm>
                      <a:off x="0" y="0"/>
                      <a:ext cx="5731510" cy="3881755"/>
                    </a:xfrm>
                    <a:prstGeom prst="rect">
                      <a:avLst/>
                    </a:prstGeom>
                  </pic:spPr>
                </pic:pic>
              </a:graphicData>
            </a:graphic>
          </wp:inline>
        </w:drawing>
      </w:r>
    </w:p>
    <w:p w14:paraId="423F2D16" w14:textId="5A578AC2" w:rsidR="00354273" w:rsidRDefault="00354273" w:rsidP="00354273">
      <w:pPr>
        <w:pStyle w:val="Tablenote"/>
      </w:pPr>
      <w:r w:rsidRPr="00582224">
        <w:t>Note</w:t>
      </w:r>
      <w:r>
        <w:t>, d</w:t>
      </w:r>
      <w:r w:rsidRPr="00582224">
        <w:t xml:space="preserve">ata was provided </w:t>
      </w:r>
      <w:r>
        <w:t>by 6,430 WHMs.</w:t>
      </w:r>
    </w:p>
    <w:p w14:paraId="52714C6C" w14:textId="77777777" w:rsidR="00B81979" w:rsidRDefault="00B81979" w:rsidP="00B81979">
      <w:pPr>
        <w:pStyle w:val="Tablenote"/>
      </w:pPr>
      <w:r w:rsidRPr="009D07D8">
        <w:t xml:space="preserve">Source: </w:t>
      </w:r>
      <w:r>
        <w:t>WHM</w:t>
      </w:r>
      <w:r w:rsidRPr="009D07D8">
        <w:t xml:space="preserve"> Survey, 2020.</w:t>
      </w:r>
    </w:p>
    <w:p w14:paraId="59FDF711" w14:textId="7FBD646A" w:rsidR="00344D3C" w:rsidRDefault="00211165" w:rsidP="00E56F0A">
      <w:r>
        <w:t>WHMs from</w:t>
      </w:r>
      <w:r w:rsidR="005C05C3">
        <w:t xml:space="preserve"> </w:t>
      </w:r>
      <w:r w:rsidR="00846B43">
        <w:t>nine of</w:t>
      </w:r>
      <w:r w:rsidR="005C05C3">
        <w:t xml:space="preserve"> the Top 10 countries</w:t>
      </w:r>
      <w:r>
        <w:t xml:space="preserve"> </w:t>
      </w:r>
      <w:r w:rsidR="00BE6299">
        <w:t xml:space="preserve">considered New Zealand </w:t>
      </w:r>
      <w:r w:rsidR="00A80917">
        <w:t xml:space="preserve">as </w:t>
      </w:r>
      <w:r w:rsidR="002A41D5">
        <w:t>their most likely</w:t>
      </w:r>
      <w:r w:rsidR="00A80917">
        <w:t xml:space="preserve"> alternate </w:t>
      </w:r>
      <w:r w:rsidR="002D65EA">
        <w:t>working holiday</w:t>
      </w:r>
      <w:r w:rsidR="00294C52">
        <w:t xml:space="preserve"> </w:t>
      </w:r>
      <w:r w:rsidR="007166DE">
        <w:t>destination</w:t>
      </w:r>
      <w:r w:rsidR="00A80917">
        <w:t xml:space="preserve"> country</w:t>
      </w:r>
      <w:r w:rsidR="00294C52">
        <w:t xml:space="preserve"> (see </w:t>
      </w:r>
      <w:r w:rsidR="00235FA3">
        <w:fldChar w:fldCharType="begin"/>
      </w:r>
      <w:r w:rsidR="00235FA3">
        <w:instrText xml:space="preserve"> REF _Ref66802365 \h </w:instrText>
      </w:r>
      <w:r w:rsidR="00235FA3">
        <w:fldChar w:fldCharType="separate"/>
      </w:r>
      <w:r w:rsidR="00F22012">
        <w:t xml:space="preserve">Figure </w:t>
      </w:r>
      <w:r w:rsidR="00F22012">
        <w:rPr>
          <w:noProof/>
        </w:rPr>
        <w:t>8</w:t>
      </w:r>
      <w:r w:rsidR="00F22012">
        <w:noBreakHyphen/>
      </w:r>
      <w:r w:rsidR="00F22012">
        <w:rPr>
          <w:noProof/>
        </w:rPr>
        <w:t>17</w:t>
      </w:r>
      <w:r w:rsidR="00235FA3">
        <w:fldChar w:fldCharType="end"/>
      </w:r>
      <w:r w:rsidR="00294C52">
        <w:t>)</w:t>
      </w:r>
      <w:r w:rsidR="00EB1366">
        <w:t xml:space="preserve">. </w:t>
      </w:r>
      <w:r w:rsidR="00862DC3">
        <w:t xml:space="preserve">However, </w:t>
      </w:r>
      <w:r w:rsidR="006D0663">
        <w:t xml:space="preserve">Canada was preferred by </w:t>
      </w:r>
      <w:r w:rsidR="003E411A">
        <w:t>three in five</w:t>
      </w:r>
      <w:r w:rsidR="006D0663">
        <w:t xml:space="preserve"> </w:t>
      </w:r>
      <w:r w:rsidR="003A3DCC">
        <w:t>South Korea</w:t>
      </w:r>
      <w:r w:rsidR="00F54131">
        <w:t>ns</w:t>
      </w:r>
      <w:r w:rsidR="00CF6A5E">
        <w:t xml:space="preserve"> (59.7%)</w:t>
      </w:r>
      <w:r w:rsidR="00B5284B">
        <w:t>,</w:t>
      </w:r>
      <w:r w:rsidR="00292175">
        <w:t xml:space="preserve"> exceeding th</w:t>
      </w:r>
      <w:r w:rsidR="0006433B">
        <w:t>is country’s</w:t>
      </w:r>
      <w:r w:rsidR="00292175">
        <w:t xml:space="preserve"> in</w:t>
      </w:r>
      <w:r w:rsidR="002C465F">
        <w:t>terest in New Zealand</w:t>
      </w:r>
      <w:r w:rsidR="00B941C8">
        <w:t>.</w:t>
      </w:r>
      <w:r w:rsidR="00FA4E99">
        <w:t xml:space="preserve"> WHMs from Japan</w:t>
      </w:r>
      <w:r w:rsidR="00CF6A5E">
        <w:t xml:space="preserve"> (</w:t>
      </w:r>
      <w:r w:rsidR="004A0354">
        <w:t>56.4%)</w:t>
      </w:r>
      <w:r w:rsidR="00FA4E99">
        <w:t xml:space="preserve"> and </w:t>
      </w:r>
      <w:r w:rsidR="00013049">
        <w:t>Ireland</w:t>
      </w:r>
      <w:r w:rsidR="004A0354">
        <w:t xml:space="preserve"> (</w:t>
      </w:r>
      <w:r w:rsidR="00241496">
        <w:t>57.5%</w:t>
      </w:r>
      <w:r w:rsidR="00013049">
        <w:t>)</w:t>
      </w:r>
      <w:r w:rsidR="00CF6A5E">
        <w:t xml:space="preserve"> also showed strong interest in Canada</w:t>
      </w:r>
      <w:r w:rsidR="00732C32">
        <w:t>.</w:t>
      </w:r>
      <w:r w:rsidR="003A3DCC">
        <w:t xml:space="preserve"> </w:t>
      </w:r>
      <w:r w:rsidR="006518B5">
        <w:t xml:space="preserve">Consideration of </w:t>
      </w:r>
      <w:r w:rsidR="00B941C8">
        <w:t xml:space="preserve">a working holiday in </w:t>
      </w:r>
      <w:r w:rsidR="006518B5">
        <w:t xml:space="preserve">the </w:t>
      </w:r>
      <w:r w:rsidR="00E61A28">
        <w:t>United States</w:t>
      </w:r>
      <w:r w:rsidR="00D97190">
        <w:t xml:space="preserve"> was moderate</w:t>
      </w:r>
      <w:r w:rsidR="00C46B9B">
        <w:t xml:space="preserve"> to low</w:t>
      </w:r>
      <w:r w:rsidR="006754D1">
        <w:t xml:space="preserve"> </w:t>
      </w:r>
      <w:r w:rsidR="006D692D">
        <w:t>– strongest interest was shown by Taiwanese (27.6%)</w:t>
      </w:r>
      <w:r w:rsidR="00677BF0">
        <w:t xml:space="preserve"> but</w:t>
      </w:r>
      <w:r w:rsidR="006754D1">
        <w:t xml:space="preserve"> </w:t>
      </w:r>
      <w:r w:rsidR="00B941C8">
        <w:t>only</w:t>
      </w:r>
      <w:r w:rsidR="006754D1">
        <w:t xml:space="preserve"> </w:t>
      </w:r>
      <w:r w:rsidR="00E1213D">
        <w:t xml:space="preserve">13.4% of Japanese, </w:t>
      </w:r>
      <w:r w:rsidR="00767B66">
        <w:t xml:space="preserve">14.7% of South Koreans and </w:t>
      </w:r>
      <w:r w:rsidR="00461B82">
        <w:t>17.3%</w:t>
      </w:r>
      <w:r w:rsidR="005B28B4">
        <w:t xml:space="preserve"> of WHMs from the United Kingdom consider</w:t>
      </w:r>
      <w:r w:rsidR="004C71DF">
        <w:t>ed</w:t>
      </w:r>
      <w:r w:rsidR="005B28B4">
        <w:t xml:space="preserve"> a </w:t>
      </w:r>
      <w:r w:rsidR="00C93828">
        <w:t>working holiday there.</w:t>
      </w:r>
      <w:r w:rsidR="00260317">
        <w:t xml:space="preserve"> Canadians </w:t>
      </w:r>
      <w:r w:rsidR="00AC3CCC">
        <w:t xml:space="preserve">(30.2%) </w:t>
      </w:r>
      <w:r w:rsidR="00260317">
        <w:t xml:space="preserve">were most interested in </w:t>
      </w:r>
      <w:r w:rsidR="00AC3CCC">
        <w:t>working in the United Kingdom</w:t>
      </w:r>
      <w:r w:rsidR="000A78D9">
        <w:t>; while Taiwanese</w:t>
      </w:r>
      <w:r w:rsidR="0098725B">
        <w:t xml:space="preserve"> (36.0%)</w:t>
      </w:r>
      <w:r w:rsidR="000A78D9">
        <w:t xml:space="preserve"> were most likely to consider Japan</w:t>
      </w:r>
      <w:r w:rsidR="00F86EF4">
        <w:t xml:space="preserve"> as an alternative to Australia.</w:t>
      </w:r>
    </w:p>
    <w:p w14:paraId="3FE6ADB5" w14:textId="3762B913" w:rsidR="003D199D" w:rsidRDefault="003D199D" w:rsidP="003D199D">
      <w:pPr>
        <w:pStyle w:val="Caption"/>
      </w:pPr>
      <w:bookmarkStart w:id="245" w:name="_Ref66802365"/>
      <w:bookmarkStart w:id="246" w:name="_Toc75878578"/>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8</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17</w:t>
      </w:r>
      <w:r w:rsidR="008949B3">
        <w:rPr>
          <w:noProof/>
        </w:rPr>
        <w:fldChar w:fldCharType="end"/>
      </w:r>
      <w:bookmarkEnd w:id="245"/>
      <w:r>
        <w:t xml:space="preserve">: </w:t>
      </w:r>
      <w:r w:rsidR="00EB1366">
        <w:t xml:space="preserve">Top 5 </w:t>
      </w:r>
      <w:r w:rsidR="00CB0705">
        <w:t>considered WH destinations for Top 10 countries</w:t>
      </w:r>
      <w:bookmarkEnd w:id="246"/>
    </w:p>
    <w:p w14:paraId="29C4E58A" w14:textId="0B785F59" w:rsidR="00344D3C" w:rsidRDefault="009414BF" w:rsidP="00E56F0A">
      <w:r>
        <w:rPr>
          <w:noProof/>
          <w:lang w:eastAsia="en-AU"/>
        </w:rPr>
        <w:drawing>
          <wp:inline distT="0" distB="0" distL="0" distR="0" wp14:anchorId="23EE9414" wp14:editId="6062C09E">
            <wp:extent cx="5760000" cy="2880000"/>
            <wp:effectExtent l="0" t="0" r="12700" b="15875"/>
            <wp:docPr id="93" name="Chart 93" descr="chart shows the top five considered working holiday destinations for the top ten countries. Most of the ten countries rate New Zealand as the main destination for working holiday destination.">
              <a:extLst xmlns:a="http://schemas.openxmlformats.org/drawingml/2006/main">
                <a:ext uri="{FF2B5EF4-FFF2-40B4-BE49-F238E27FC236}">
                  <a16:creationId xmlns:a16="http://schemas.microsoft.com/office/drawing/2014/main" id="{AA4D378B-1F8E-495D-A2FE-849104637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A77B386" w14:textId="00897AB6" w:rsidR="005C05C3" w:rsidRDefault="005C05C3" w:rsidP="005C05C3">
      <w:pPr>
        <w:pStyle w:val="Tablenote"/>
        <w:keepNext/>
        <w:keepLines/>
      </w:pPr>
      <w:r>
        <w:t xml:space="preserve">Note, for this purpose Top 10 countries are those with the most responses to this question, and account for </w:t>
      </w:r>
      <w:r w:rsidR="008923BB">
        <w:t>5,666</w:t>
      </w:r>
      <w:r>
        <w:t xml:space="preserve"> WHMs. </w:t>
      </w:r>
      <w:r w:rsidR="00DC228B">
        <w:t>Multiple responses are possible</w:t>
      </w:r>
    </w:p>
    <w:p w14:paraId="55C693C8" w14:textId="77777777" w:rsidR="00B81979" w:rsidRDefault="00B81979" w:rsidP="00B81979">
      <w:pPr>
        <w:pStyle w:val="Tablenote"/>
      </w:pPr>
      <w:r w:rsidRPr="009D07D8">
        <w:t xml:space="preserve">Source: </w:t>
      </w:r>
      <w:r>
        <w:t>WHM</w:t>
      </w:r>
      <w:r w:rsidRPr="009D07D8">
        <w:t xml:space="preserve"> Survey, 2020.</w:t>
      </w:r>
    </w:p>
    <w:p w14:paraId="02C283F2" w14:textId="45FD6D47" w:rsidR="00CF1E66" w:rsidRDefault="00CF1E66" w:rsidP="00CF1E66">
      <w:pPr>
        <w:pStyle w:val="Heading1"/>
      </w:pPr>
      <w:bookmarkStart w:id="247" w:name="_Toc75878483"/>
      <w:r>
        <w:t>Employers: Perspectives</w:t>
      </w:r>
      <w:r w:rsidR="006C39F6">
        <w:t xml:space="preserve"> on the WHM program</w:t>
      </w:r>
      <w:bookmarkEnd w:id="247"/>
    </w:p>
    <w:p w14:paraId="74F63068" w14:textId="61625E9A" w:rsidR="005E3CF4" w:rsidRDefault="560C70F3" w:rsidP="00CF1E66">
      <w:r>
        <w:t xml:space="preserve">The </w:t>
      </w:r>
      <w:r w:rsidR="017C29A6">
        <w:t>WHM</w:t>
      </w:r>
      <w:r>
        <w:t xml:space="preserve"> Employers Survey gathered information about employer experience</w:t>
      </w:r>
      <w:r w:rsidR="0E185E35">
        <w:t>s</w:t>
      </w:r>
      <w:r>
        <w:t xml:space="preserve"> of WHMs and the WHM program</w:t>
      </w:r>
      <w:r w:rsidR="00894527">
        <w:t xml:space="preserve"> (see Section </w:t>
      </w:r>
      <w:r w:rsidR="009B224B">
        <w:fldChar w:fldCharType="begin"/>
      </w:r>
      <w:r w:rsidR="009B224B">
        <w:instrText xml:space="preserve"> REF _Ref84504972 \r \h </w:instrText>
      </w:r>
      <w:r w:rsidR="009B224B">
        <w:fldChar w:fldCharType="separate"/>
      </w:r>
      <w:r w:rsidR="00F22012">
        <w:t>3</w:t>
      </w:r>
      <w:r w:rsidR="009B224B">
        <w:fldChar w:fldCharType="end"/>
      </w:r>
      <w:r w:rsidR="009B224B">
        <w:t xml:space="preserve"> </w:t>
      </w:r>
      <w:r w:rsidR="00894527">
        <w:t>for more details)</w:t>
      </w:r>
      <w:r>
        <w:t xml:space="preserve">. The survey was targeted to </w:t>
      </w:r>
      <w:r w:rsidR="232D0D9C">
        <w:t xml:space="preserve">both </w:t>
      </w:r>
      <w:r>
        <w:t xml:space="preserve">agriculture, forestry and fishing (‘agriculture’) </w:t>
      </w:r>
      <w:r w:rsidR="6BDA3C92">
        <w:t>businesses</w:t>
      </w:r>
      <w:r>
        <w:t xml:space="preserve"> and tourism and hospitality </w:t>
      </w:r>
      <w:r w:rsidR="6BDA3C92">
        <w:t>businesses</w:t>
      </w:r>
      <w:r w:rsidR="001042BB">
        <w:t xml:space="preserve"> with these industries providing the same number of responses (n=77). A</w:t>
      </w:r>
      <w:r>
        <w:t xml:space="preserve"> </w:t>
      </w:r>
      <w:r w:rsidR="001042BB">
        <w:t>small proportion</w:t>
      </w:r>
      <w:r w:rsidR="008B34CE">
        <w:t xml:space="preserve"> (7.2%)</w:t>
      </w:r>
      <w:r>
        <w:t xml:space="preserve"> of the 169 responses were received from </w:t>
      </w:r>
      <w:r w:rsidR="6A2B770B">
        <w:t>businesses</w:t>
      </w:r>
      <w:r w:rsidR="4A1C537A">
        <w:t xml:space="preserve"> </w:t>
      </w:r>
      <w:r w:rsidR="6A2B770B">
        <w:t xml:space="preserve">in </w:t>
      </w:r>
      <w:r>
        <w:t xml:space="preserve">other industries. </w:t>
      </w:r>
      <w:r w:rsidR="00B14978">
        <w:t>Four in five (81.9%) businesses were situated in non-metropolitan areas.</w:t>
      </w:r>
      <w:r w:rsidR="003D6A5D">
        <w:t xml:space="preserve"> </w:t>
      </w:r>
      <w:r w:rsidR="00914FC6">
        <w:t>In some analyses</w:t>
      </w:r>
      <w:r w:rsidR="00774909">
        <w:t xml:space="preserve"> </w:t>
      </w:r>
      <w:r w:rsidR="005E3CF4">
        <w:t xml:space="preserve">employers were classified by location into those with businesses in greater capital cities or in other locations in each state and territory (four indicated they had businesses in both locations and </w:t>
      </w:r>
      <w:r w:rsidR="00772D86">
        <w:t>were</w:t>
      </w:r>
      <w:r w:rsidR="005E3CF4">
        <w:t xml:space="preserve"> excluded for th</w:t>
      </w:r>
      <w:r w:rsidR="00772D86">
        <w:t>e</w:t>
      </w:r>
      <w:r w:rsidR="005E3CF4">
        <w:t>s</w:t>
      </w:r>
      <w:r w:rsidR="00772D86">
        <w:t>e</w:t>
      </w:r>
      <w:r w:rsidR="005E3CF4">
        <w:t xml:space="preserve"> analys</w:t>
      </w:r>
      <w:r w:rsidR="00772D86">
        <w:t>e</w:t>
      </w:r>
      <w:r w:rsidR="005E3CF4">
        <w:t xml:space="preserve">s). Only 16.5% of businesses were from the greater capital cities. </w:t>
      </w:r>
    </w:p>
    <w:p w14:paraId="6D554178" w14:textId="6C10A400" w:rsidR="0096421C" w:rsidRDefault="560C70F3" w:rsidP="00CF1E66">
      <w:r>
        <w:t xml:space="preserve">Twenty-one interviews of employers </w:t>
      </w:r>
      <w:r w:rsidR="00D276FA">
        <w:t xml:space="preserve">were </w:t>
      </w:r>
      <w:r w:rsidR="005C00F1">
        <w:t xml:space="preserve">subsequently </w:t>
      </w:r>
      <w:r w:rsidR="00D276FA">
        <w:t>conducted with</w:t>
      </w:r>
      <w:r>
        <w:t xml:space="preserve"> </w:t>
      </w:r>
      <w:r w:rsidR="008C076C">
        <w:t>a cross-section of</w:t>
      </w:r>
      <w:r>
        <w:t xml:space="preserve"> agriculture, tourism and hospitality </w:t>
      </w:r>
      <w:r w:rsidR="4A1C537A">
        <w:t>businesses</w:t>
      </w:r>
      <w:r>
        <w:t xml:space="preserve"> to gather contextual information. The employer survey and interviews were conducted</w:t>
      </w:r>
      <w:r w:rsidR="4CE92DEA">
        <w:t xml:space="preserve"> between late 2020 and early 2021</w:t>
      </w:r>
      <w:r w:rsidR="002541F6">
        <w:t xml:space="preserve"> and therefore reflect t</w:t>
      </w:r>
      <w:r w:rsidR="008916D4">
        <w:t>he impact of COVID-19</w:t>
      </w:r>
      <w:r w:rsidR="0010483C">
        <w:t>, which the earlier WHM surveys did not.</w:t>
      </w:r>
    </w:p>
    <w:p w14:paraId="1E764E04" w14:textId="48A769BA" w:rsidR="00D83634" w:rsidRDefault="00D83634" w:rsidP="00D83634">
      <w:pPr>
        <w:pStyle w:val="Caption"/>
      </w:pPr>
      <w:bookmarkStart w:id="248" w:name="_Toc75878579"/>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9</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r>
        <w:t xml:space="preserve">: </w:t>
      </w:r>
      <w:r w:rsidR="005D4563">
        <w:t>Employer respondents, by industry</w:t>
      </w:r>
      <w:bookmarkEnd w:id="248"/>
    </w:p>
    <w:p w14:paraId="54C2C12B" w14:textId="72AC596C" w:rsidR="0096421C" w:rsidRDefault="0096421C" w:rsidP="00CF1E66">
      <w:r>
        <w:rPr>
          <w:noProof/>
          <w:lang w:eastAsia="en-AU"/>
        </w:rPr>
        <w:drawing>
          <wp:inline distT="0" distB="0" distL="0" distR="0" wp14:anchorId="6A0D48B1" wp14:editId="354EBFAF">
            <wp:extent cx="4313208" cy="1690777"/>
            <wp:effectExtent l="0" t="0" r="11430" b="5080"/>
            <wp:docPr id="19" name="Chart 19" descr="Shows employer respondents for working holiday makes by industry. Tourism and hospitality and Agriculture and forestry have the highest percentages of employers from regional areas. ">
              <a:extLst xmlns:a="http://schemas.openxmlformats.org/drawingml/2006/main">
                <a:ext uri="{FF2B5EF4-FFF2-40B4-BE49-F238E27FC236}">
                  <a16:creationId xmlns:a16="http://schemas.microsoft.com/office/drawing/2014/main" id="{8D02B4A0-FD6F-469C-8670-57708A11B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7AD0EF3" w14:textId="43544F45" w:rsidR="004B7321" w:rsidRDefault="004B7321" w:rsidP="004B7321">
      <w:pPr>
        <w:pStyle w:val="Tablenote"/>
      </w:pPr>
      <w:r w:rsidRPr="00582224">
        <w:t>Note</w:t>
      </w:r>
      <w:r>
        <w:t xml:space="preserve">, </w:t>
      </w:r>
      <w:r w:rsidR="005F65F0">
        <w:t xml:space="preserve">region </w:t>
      </w:r>
      <w:r>
        <w:t>d</w:t>
      </w:r>
      <w:r w:rsidRPr="00582224">
        <w:t xml:space="preserve">ata was provided </w:t>
      </w:r>
      <w:r>
        <w:t>by 16</w:t>
      </w:r>
      <w:r w:rsidR="005F65F0">
        <w:t>6</w:t>
      </w:r>
      <w:r>
        <w:t xml:space="preserve"> employers.</w:t>
      </w:r>
    </w:p>
    <w:p w14:paraId="58EF8423" w14:textId="4E10705E" w:rsidR="004B7321" w:rsidRDefault="004B7321" w:rsidP="004B7321">
      <w:pPr>
        <w:pStyle w:val="Tablenote"/>
      </w:pPr>
      <w:r>
        <w:t>Source: WHM Employer Survey, 2021.</w:t>
      </w:r>
    </w:p>
    <w:p w14:paraId="403C43D1" w14:textId="77777777" w:rsidR="00CF1E66" w:rsidRPr="002A3CE3" w:rsidRDefault="00CF1E66" w:rsidP="00CF1E66">
      <w:pPr>
        <w:pStyle w:val="Heading2"/>
      </w:pPr>
      <w:bookmarkStart w:id="249" w:name="_Ref69890455"/>
      <w:bookmarkStart w:id="250" w:name="_Toc75878484"/>
      <w:r>
        <w:t>Importance of WHMs to Australian businesses</w:t>
      </w:r>
      <w:bookmarkEnd w:id="249"/>
      <w:bookmarkEnd w:id="250"/>
    </w:p>
    <w:p w14:paraId="6302835D" w14:textId="36C27C3D" w:rsidR="00CF1E66" w:rsidRDefault="00CF1E66" w:rsidP="00CF1E66">
      <w:r>
        <w:t>Four in five employers from agriculture</w:t>
      </w:r>
      <w:r w:rsidR="00D22CB8">
        <w:t xml:space="preserve"> </w:t>
      </w:r>
      <w:r>
        <w:t xml:space="preserve">(81.8%) and tourism and hospitality (77.6%) </w:t>
      </w:r>
      <w:r w:rsidR="008C4350">
        <w:t xml:space="preserve">businesses </w:t>
      </w:r>
      <w:r>
        <w:t xml:space="preserve">reported WHMs were very important to their business, with a further 14.3% and 9.2% respectively indicating they were important (see </w:t>
      </w:r>
      <w:r>
        <w:fldChar w:fldCharType="begin"/>
      </w:r>
      <w:r>
        <w:instrText xml:space="preserve"> REF _Ref67475143 \h </w:instrText>
      </w:r>
      <w:r>
        <w:fldChar w:fldCharType="separate"/>
      </w:r>
      <w:r w:rsidR="00F22012">
        <w:t xml:space="preserve">Figure </w:t>
      </w:r>
      <w:r w:rsidR="00F22012">
        <w:rPr>
          <w:noProof/>
        </w:rPr>
        <w:t>9</w:t>
      </w:r>
      <w:r w:rsidR="00F22012">
        <w:noBreakHyphen/>
      </w:r>
      <w:r w:rsidR="00F22012">
        <w:rPr>
          <w:noProof/>
        </w:rPr>
        <w:t>2</w:t>
      </w:r>
      <w:r>
        <w:fldChar w:fldCharType="end"/>
      </w:r>
      <w:r>
        <w:t>). Almost one in ten tourism and hospitality businesses (9.2%) reported WHMs were not important to their business. A small proportion (6.5%) of responses came from businesses in other industries, only half (54.5%) of whom indicated WHMs were very important to their business, with a further 18.2% indicating they were important to them.</w:t>
      </w:r>
    </w:p>
    <w:p w14:paraId="727669D6" w14:textId="1212CF23" w:rsidR="00CF1E66" w:rsidRDefault="00CF1E66" w:rsidP="00CF1E66">
      <w:pPr>
        <w:pStyle w:val="Caption"/>
      </w:pPr>
      <w:bookmarkStart w:id="251" w:name="_Ref67475143"/>
      <w:bookmarkStart w:id="252" w:name="_Toc75878580"/>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9</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251"/>
      <w:r>
        <w:t>: Importance of WHMs to employers</w:t>
      </w:r>
      <w:bookmarkEnd w:id="252"/>
    </w:p>
    <w:p w14:paraId="43C73BE4" w14:textId="77777777" w:rsidR="00CF1E66" w:rsidRPr="00F86331" w:rsidRDefault="00CF1E66" w:rsidP="00CF1E66">
      <w:r>
        <w:rPr>
          <w:noProof/>
          <w:lang w:eastAsia="en-AU"/>
        </w:rPr>
        <w:drawing>
          <wp:inline distT="0" distB="0" distL="0" distR="0" wp14:anchorId="7799FD73" wp14:editId="60BC5722">
            <wp:extent cx="5731510" cy="1800000"/>
            <wp:effectExtent l="0" t="0" r="2540" b="10160"/>
            <wp:docPr id="22" name="Chart 22" descr="Showing the importance of working holiday makers to employers with tourism and hospitality employers recording the highest importance at 77.6%">
              <a:extLst xmlns:a="http://schemas.openxmlformats.org/drawingml/2006/main">
                <a:ext uri="{FF2B5EF4-FFF2-40B4-BE49-F238E27FC236}">
                  <a16:creationId xmlns:a16="http://schemas.microsoft.com/office/drawing/2014/main" id="{5956CD51-A42F-4FC0-B5B3-4D4CD5305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D516B20" w14:textId="77777777" w:rsidR="00CF1E66" w:rsidRDefault="00CF1E66" w:rsidP="00CF1E66">
      <w:pPr>
        <w:pStyle w:val="Tablenote"/>
      </w:pPr>
      <w:r w:rsidRPr="00582224">
        <w:t>Note</w:t>
      </w:r>
      <w:r>
        <w:t>, d</w:t>
      </w:r>
      <w:r w:rsidRPr="00582224">
        <w:t xml:space="preserve">ata was provided </w:t>
      </w:r>
      <w:r>
        <w:t xml:space="preserve">by 169 employers. </w:t>
      </w:r>
      <w:r w:rsidRPr="00582224">
        <w:t>Labels are not shown when less than 5%.</w:t>
      </w:r>
    </w:p>
    <w:p w14:paraId="47878789" w14:textId="4657C784" w:rsidR="00CF1E66" w:rsidRDefault="00CF1E66" w:rsidP="00CF1E66">
      <w:pPr>
        <w:pStyle w:val="Tablenote"/>
      </w:pPr>
      <w:r>
        <w:t>Source: WHM Employer Survey, 2021.</w:t>
      </w:r>
    </w:p>
    <w:p w14:paraId="3567759A" w14:textId="5462111C" w:rsidR="00CF1E66" w:rsidRPr="00E445D9" w:rsidRDefault="3D1FB6F1" w:rsidP="00CF1E66">
      <w:r>
        <w:t xml:space="preserve">Employers </w:t>
      </w:r>
      <w:r w:rsidR="560C70F3">
        <w:t xml:space="preserve">considered </w:t>
      </w:r>
      <w:r w:rsidR="64782AB6">
        <w:t xml:space="preserve">WHMs </w:t>
      </w:r>
      <w:r w:rsidR="560C70F3">
        <w:t xml:space="preserve">to be important for a range of reasons. More than nine in ten employers in agriculture </w:t>
      </w:r>
      <w:r w:rsidR="60D8BEF6">
        <w:t>businesses</w:t>
      </w:r>
      <w:r w:rsidR="560C70F3">
        <w:t xml:space="preserve"> reported it was difficult to get local workers to do the jobs WHMs had been traditionally engaged in, and that WHMs were valued as they were willing to work in short-term and seasonal positions (see </w:t>
      </w:r>
      <w:r w:rsidR="00CF1E66">
        <w:fldChar w:fldCharType="begin"/>
      </w:r>
      <w:r w:rsidR="00CF1E66">
        <w:instrText xml:space="preserve"> REF _Ref67664970 \h </w:instrText>
      </w:r>
      <w:r w:rsidR="00CF1E66">
        <w:fldChar w:fldCharType="separate"/>
      </w:r>
      <w:r w:rsidR="00F22012">
        <w:t xml:space="preserve">Figure </w:t>
      </w:r>
      <w:r w:rsidR="00F22012">
        <w:rPr>
          <w:noProof/>
        </w:rPr>
        <w:t>9</w:t>
      </w:r>
      <w:r w:rsidR="00F22012">
        <w:noBreakHyphen/>
      </w:r>
      <w:r w:rsidR="00F22012">
        <w:rPr>
          <w:noProof/>
        </w:rPr>
        <w:t>3</w:t>
      </w:r>
      <w:r w:rsidR="00CF1E66">
        <w:fldChar w:fldCharType="end"/>
      </w:r>
      <w:r w:rsidR="560C70F3">
        <w:t>). A high number of employers from tourism and hospitality</w:t>
      </w:r>
      <w:r w:rsidR="5604AEEF">
        <w:t xml:space="preserve"> businesses</w:t>
      </w:r>
      <w:r w:rsidR="560C70F3">
        <w:t xml:space="preserve"> also agreed with these statements – although to a lesser extent. More than half of employers from both </w:t>
      </w:r>
      <w:r w:rsidR="5604AEEF">
        <w:t>business groups</w:t>
      </w:r>
      <w:r w:rsidR="560C70F3">
        <w:t xml:space="preserve"> reported WHMs were valued for their flexibility, that they would ‘have a go’ at any task </w:t>
      </w:r>
      <w:r w:rsidR="4DAC7631">
        <w:t xml:space="preserve">and </w:t>
      </w:r>
      <w:r w:rsidR="560C70F3">
        <w:t>were hardworking and reliable. Agriculture employers were less likely to indicate WHMs had the requisite skills or were well qualified for the job.</w:t>
      </w:r>
    </w:p>
    <w:p w14:paraId="5D175ED3" w14:textId="4512DA4E" w:rsidR="00CF1E66" w:rsidRDefault="00CF1E66" w:rsidP="00CF1E66">
      <w:pPr>
        <w:pStyle w:val="Caption"/>
      </w:pPr>
      <w:bookmarkStart w:id="253" w:name="_Ref67664970"/>
      <w:bookmarkStart w:id="254" w:name="_Toc75878581"/>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9</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253"/>
      <w:r>
        <w:t>: Reasons WHMs are important to employers</w:t>
      </w:r>
      <w:bookmarkEnd w:id="254"/>
    </w:p>
    <w:p w14:paraId="649DA23C" w14:textId="77777777" w:rsidR="00CF1E66" w:rsidRPr="00E445D9" w:rsidRDefault="00CF1E66" w:rsidP="00CF1E66">
      <w:r>
        <w:rPr>
          <w:noProof/>
          <w:lang w:eastAsia="en-AU"/>
        </w:rPr>
        <w:drawing>
          <wp:inline distT="0" distB="0" distL="0" distR="0" wp14:anchorId="4A813B73" wp14:editId="1BC0BCB2">
            <wp:extent cx="5762445" cy="4147820"/>
            <wp:effectExtent l="0" t="0" r="10160" b="5080"/>
            <wp:docPr id="8" name="Chart 8" descr="Chart shows a range of reasons why working holiday makers are important to employers.  The most significant reason is that working holiday makers are willing to work in short term or seasonal jobs. This was rated as 81.6% by tourism and hospitality employers and as 90.9% by agriculture, forestry and fishing employers.  ">
              <a:extLst xmlns:a="http://schemas.openxmlformats.org/drawingml/2006/main">
                <a:ext uri="{FF2B5EF4-FFF2-40B4-BE49-F238E27FC236}">
                  <a16:creationId xmlns:a16="http://schemas.microsoft.com/office/drawing/2014/main" id="{D6278507-61AA-4059-AD4A-A7E96C1ED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E65D2FB" w14:textId="77777777" w:rsidR="00CF1E66" w:rsidRDefault="00CF1E66" w:rsidP="00CF1E66">
      <w:pPr>
        <w:pStyle w:val="Tablenote"/>
      </w:pPr>
      <w:r w:rsidRPr="00582224">
        <w:t>Note</w:t>
      </w:r>
      <w:r>
        <w:t>, d</w:t>
      </w:r>
      <w:r w:rsidRPr="00582224">
        <w:t xml:space="preserve">ata was provided </w:t>
      </w:r>
      <w:r>
        <w:t>by 76 tourism and hospitality employers and 77 agriculture, forestry and fishing employers. Employers from other industries are not presented here. Multiple responses are possible.</w:t>
      </w:r>
    </w:p>
    <w:p w14:paraId="735BB255" w14:textId="5C1FA24B" w:rsidR="00CF1E66" w:rsidRDefault="00CF1E66" w:rsidP="00CF1E66">
      <w:pPr>
        <w:pStyle w:val="Tablenote"/>
      </w:pPr>
      <w:r>
        <w:t>Source: WHM Employer Survey, 2021.</w:t>
      </w:r>
    </w:p>
    <w:p w14:paraId="1FD56E34" w14:textId="17D06039" w:rsidR="00CF1E66" w:rsidRPr="00FF3D88" w:rsidRDefault="00CF1E66" w:rsidP="00CF1E66">
      <w:r>
        <w:t xml:space="preserve">Interview feedback from WHM employers strongly reinforced the message that WHMs fill a critical niche in the Australian job market, performing a range of jobs that otherwise would struggle to attract local labour. Agricultural businesses ranged from citrus farms to broad acre cropping, glasshouse production to livestock farming and cattle breeding operations. Businesses within tourism and hospitality included regional/remote resorts, caravan parks, hostels and other holiday accommodation services, various tour operators and adventure tourism, and restaurants and café operations located in diverse holiday destinations.  A consistent theme across </w:t>
      </w:r>
      <w:r w:rsidR="00A85B6A">
        <w:t xml:space="preserve">these </w:t>
      </w:r>
      <w:r>
        <w:t xml:space="preserve">businesses was that WHMs fill roles that would otherwise remain unfilled and without them business operations and viability would be compromised. </w:t>
      </w:r>
    </w:p>
    <w:p w14:paraId="353EF285" w14:textId="5F30D3B1" w:rsidR="00B5573F" w:rsidRDefault="00CB772A" w:rsidP="00B5573F">
      <w:pPr>
        <w:pStyle w:val="Heading3"/>
      </w:pPr>
      <w:bookmarkStart w:id="255" w:name="_Toc75878485"/>
      <w:r>
        <w:t>Critical support in p</w:t>
      </w:r>
      <w:r w:rsidR="00B5573F">
        <w:t>eak</w:t>
      </w:r>
      <w:r>
        <w:t xml:space="preserve"> season</w:t>
      </w:r>
      <w:bookmarkEnd w:id="255"/>
    </w:p>
    <w:p w14:paraId="59F1762A" w14:textId="5010F2C9" w:rsidR="00CF1E66" w:rsidRPr="00CD2DE7" w:rsidRDefault="560C70F3" w:rsidP="00CF1E66">
      <w:r w:rsidRPr="00CD2DE7">
        <w:t>Businesses that rely on WHMs are typically seasonal in nature. All have core staff who work year-round but rely on additional workers to manage the volume of demand generated in peak season</w:t>
      </w:r>
      <w:r w:rsidR="0CE95F8A">
        <w:t>,</w:t>
      </w:r>
      <w:r w:rsidR="00CF1E66">
        <w:rPr>
          <w:rStyle w:val="FootnoteReference"/>
        </w:rPr>
        <w:footnoteReference w:id="33"/>
      </w:r>
      <w:r w:rsidRPr="00CD2DE7">
        <w:t xml:space="preserve"> of which there can be multiple over the course of a year. In </w:t>
      </w:r>
      <w:r w:rsidR="05B4C71C" w:rsidRPr="00CD2DE7">
        <w:t xml:space="preserve">the </w:t>
      </w:r>
      <w:r w:rsidRPr="00CD2DE7">
        <w:t>agriculture</w:t>
      </w:r>
      <w:r w:rsidR="38A2D9A9" w:rsidRPr="00CD2DE7">
        <w:t xml:space="preserve"> industry</w:t>
      </w:r>
      <w:r>
        <w:t>,</w:t>
      </w:r>
      <w:r w:rsidRPr="00CD2DE7">
        <w:t xml:space="preserve"> examples include the fruit and vegetable picking, packing and pruning season, and managing the demands of lambing season in livestock farming. In these contexts, the ability to source extra workers</w:t>
      </w:r>
      <w:r>
        <w:t xml:space="preserve"> and particularly those with experience</w:t>
      </w:r>
      <w:r w:rsidRPr="00CD2DE7">
        <w:t xml:space="preserve"> can make the difference between fruit that is picked or left to rot on the trees</w:t>
      </w:r>
      <w:r w:rsidR="5CEE94E1" w:rsidRPr="00CD2DE7">
        <w:t>,</w:t>
      </w:r>
      <w:r w:rsidRPr="00CD2DE7">
        <w:t xml:space="preserve"> and lifting lambing survival rates: </w:t>
      </w:r>
    </w:p>
    <w:p w14:paraId="1F4F08B8" w14:textId="4FC5506C" w:rsidR="00CF1E66" w:rsidRPr="00D33293" w:rsidRDefault="00CF1E66" w:rsidP="00CF1E66">
      <w:pPr>
        <w:pStyle w:val="Quote"/>
      </w:pPr>
      <w:r w:rsidRPr="00105D37">
        <w:t xml:space="preserve">We had a 100% success rate with the lambing when [the WHM] came back the second time, so by her knowing things and us working together, we didn’t lose a lamb at all.  So we had all live lambs born – obviously us </w:t>
      </w:r>
      <w:r w:rsidRPr="00D33293">
        <w:t>assisting – and to date those 55 lambs that were born are all still alive. [7]</w:t>
      </w:r>
      <w:r w:rsidR="00F22B8F">
        <w:rPr>
          <w:rStyle w:val="FootnoteReference"/>
        </w:rPr>
        <w:footnoteReference w:id="34"/>
      </w:r>
    </w:p>
    <w:p w14:paraId="360E3E0E" w14:textId="767EBA31" w:rsidR="00CF1E66" w:rsidRPr="00D33293" w:rsidRDefault="00CF1E66" w:rsidP="00CF1E66">
      <w:r w:rsidRPr="00D33293">
        <w:t xml:space="preserve">In tourism and hospitality </w:t>
      </w:r>
      <w:r w:rsidR="00A14E56">
        <w:t>businesses</w:t>
      </w:r>
      <w:r w:rsidRPr="00D33293">
        <w:t xml:space="preserve">, seasonality applies to peak holiday periods when short-term demand for services outstrips the capacity of core staff to deliver. Accommodation services, restaurants and bars that operate at 30% capacity in off-season may lift to over 90% in peak seasons. The ability to source additional workers can affect whether businesses open or close room availability and limit or extend food and beverage service options and times, decisions </w:t>
      </w:r>
      <w:r>
        <w:t>that</w:t>
      </w:r>
      <w:r w:rsidRPr="00D33293">
        <w:t xml:space="preserve"> are critical to the business bottom line. As one Queensland-based resort and tour operator commented in relation to the post-COVID-19 reduction of available WHMs:</w:t>
      </w:r>
    </w:p>
    <w:p w14:paraId="5B6F764D" w14:textId="717C121F" w:rsidR="00CF1E66" w:rsidRPr="00D33293" w:rsidRDefault="560C70F3" w:rsidP="00CF1E66">
      <w:pPr>
        <w:pStyle w:val="Quote"/>
      </w:pPr>
      <w:r>
        <w:t xml:space="preserve">We simply have not been able to obtain enough staff. We’ve still got caps on occupancy rates in our business because we don’t have enough team members to open enough restaurants or enough people to clean the rooms if we’re at 100%. [5] </w:t>
      </w:r>
    </w:p>
    <w:p w14:paraId="547EB963" w14:textId="77777777" w:rsidR="00F17962" w:rsidRDefault="00F17962" w:rsidP="00F17962">
      <w:pPr>
        <w:pStyle w:val="Heading3"/>
      </w:pPr>
      <w:bookmarkStart w:id="256" w:name="_Toc75878486"/>
      <w:r>
        <w:t>Filling a local void in regions</w:t>
      </w:r>
      <w:bookmarkEnd w:id="256"/>
    </w:p>
    <w:p w14:paraId="5E1A524B" w14:textId="3C0D60D1" w:rsidR="00CF1E66" w:rsidRPr="005E7774" w:rsidRDefault="00CF1E66" w:rsidP="00CF1E66">
      <w:r w:rsidRPr="005E7774">
        <w:t xml:space="preserve">The seasonal nature of work in these settings is central to employers’ reliance on the WHM model. Employers consistently </w:t>
      </w:r>
      <w:r>
        <w:t>report</w:t>
      </w:r>
      <w:r w:rsidRPr="005E7774">
        <w:t xml:space="preserve"> that short-term work does not attract interest within the local labour market, </w:t>
      </w:r>
      <w:r>
        <w:t>with this cohort having a clear</w:t>
      </w:r>
      <w:r w:rsidRPr="005E7774">
        <w:t xml:space="preserve"> prefer</w:t>
      </w:r>
      <w:r>
        <w:t>ence for</w:t>
      </w:r>
      <w:r w:rsidRPr="005E7774">
        <w:t xml:space="preserve"> ongoing work. Young people and students present one possible source of short-term labour</w:t>
      </w:r>
      <w:r>
        <w:t>,</w:t>
      </w:r>
      <w:r w:rsidRPr="005E7774">
        <w:t xml:space="preserve"> however</w:t>
      </w:r>
      <w:r>
        <w:t xml:space="preserve"> they</w:t>
      </w:r>
      <w:r w:rsidRPr="005E7774">
        <w:t xml:space="preserve"> do not offer a consistent, reliable solution to cyclical workforce shortages:</w:t>
      </w:r>
    </w:p>
    <w:p w14:paraId="32D3FDC9" w14:textId="77777777" w:rsidR="00CF1E66" w:rsidRPr="005E7774" w:rsidRDefault="00CF1E66" w:rsidP="00CF1E66">
      <w:pPr>
        <w:pStyle w:val="Quote"/>
      </w:pPr>
      <w:r w:rsidRPr="005E7774">
        <w:t>But the locals are usually taken up with those 12-month jobs, they’re not particularly interested in just the 16-week jobs. So</w:t>
      </w:r>
      <w:r>
        <w:t>,</w:t>
      </w:r>
      <w:r w:rsidRPr="005E7774">
        <w:t xml:space="preserve"> we have to draw from outside of the local area to get the amount of people we need</w:t>
      </w:r>
      <w:r>
        <w:t xml:space="preserve"> -</w:t>
      </w:r>
      <w:r w:rsidRPr="005E7774">
        <w:t xml:space="preserve"> Australian and working holidays. [4]</w:t>
      </w:r>
    </w:p>
    <w:p w14:paraId="09BBC923" w14:textId="77777777" w:rsidR="00CF1E66" w:rsidRPr="005E7774" w:rsidRDefault="00CF1E66" w:rsidP="00CF1E66">
      <w:pPr>
        <w:pStyle w:val="Quote"/>
      </w:pPr>
      <w:r w:rsidRPr="005E7774">
        <w:t xml:space="preserve">We’ve had a few [young people], there were 16, 17-year-old kids and that worked really well but then they were lost to apprenticeships and school and </w:t>
      </w:r>
      <w:proofErr w:type="spellStart"/>
      <w:r w:rsidRPr="005E7774">
        <w:t>uni</w:t>
      </w:r>
      <w:proofErr w:type="spellEnd"/>
      <w:r w:rsidRPr="005E7774">
        <w:t xml:space="preserve"> et cetera. [3]</w:t>
      </w:r>
    </w:p>
    <w:p w14:paraId="041FF146" w14:textId="37465F11" w:rsidR="00CF1E66" w:rsidRPr="004B2E67" w:rsidRDefault="00CF1E66" w:rsidP="00CF1E66">
      <w:pPr>
        <w:rPr>
          <w:i/>
          <w:iCs/>
        </w:rPr>
      </w:pPr>
      <w:r w:rsidRPr="004B2E67">
        <w:t>Locational considerations also factored into the labour force challenges described by employers, who were typically from regional-rural-remote areas. In many cases, there are not enough local workers to fill the spike in peak season demand. For example, one</w:t>
      </w:r>
      <w:r w:rsidRPr="004B2E67" w:rsidDel="00743EA2">
        <w:t xml:space="preserve"> </w:t>
      </w:r>
      <w:r w:rsidRPr="004B2E67">
        <w:t>family</w:t>
      </w:r>
      <w:r>
        <w:t>-</w:t>
      </w:r>
      <w:r w:rsidRPr="004B2E67">
        <w:t>operated citrus farm in Northern Queensland is comprised of two permanent year-round positions supplemented by 20 to 30 additional workers during the peak picking, pruning and packing season</w:t>
      </w:r>
      <w:r>
        <w:t xml:space="preserve"> from</w:t>
      </w:r>
      <w:r w:rsidRPr="004B2E67">
        <w:t xml:space="preserve"> November to mid-April. Regarding local labour, the employer noted ‘</w:t>
      </w:r>
      <w:r w:rsidRPr="004B2E67">
        <w:rPr>
          <w:i/>
          <w:iCs/>
        </w:rPr>
        <w:t>there’s a few of the local Australians that do come in and work, but that’s very, very difficult and very, very rare</w:t>
      </w:r>
      <w:r w:rsidRPr="004B2E67">
        <w:t>’ [13].</w:t>
      </w:r>
    </w:p>
    <w:p w14:paraId="5877CEB0" w14:textId="77777777" w:rsidR="00CF1E66" w:rsidRPr="006B45B4" w:rsidRDefault="00CF1E66" w:rsidP="00CF1E66">
      <w:r w:rsidRPr="006B45B4">
        <w:t xml:space="preserve">Distance from townships </w:t>
      </w:r>
      <w:r>
        <w:t>is also</w:t>
      </w:r>
      <w:r w:rsidRPr="006B45B4">
        <w:t xml:space="preserve"> a barrier to employing locals. The experience described by one ski field resort operator was that ‘</w:t>
      </w:r>
      <w:r w:rsidRPr="006B45B4">
        <w:rPr>
          <w:i/>
          <w:iCs/>
        </w:rPr>
        <w:t xml:space="preserve">nobody lives here on the mountain really all year round except for the few that have 12-month year jobs, and there are not very many of those’ [4]. </w:t>
      </w:r>
      <w:r w:rsidRPr="006B45B4">
        <w:t xml:space="preserve"> Reluctance to commute daily means that ski resorts, as with other remotely located resorts, tend to employ workers on a live-in basis which is not </w:t>
      </w:r>
      <w:r>
        <w:t>generally</w:t>
      </w:r>
      <w:r w:rsidRPr="006B45B4">
        <w:t xml:space="preserve"> suited to people with families and established networks. Agricultural employers tell a similar story, with many of these jobs involving working in isolated conditions, tens or hundreds of kilometres from the closest town, with workers living on-site and sometimes having limited opportunities to travel </w:t>
      </w:r>
      <w:r>
        <w:t xml:space="preserve">and </w:t>
      </w:r>
      <w:r w:rsidRPr="006B45B4">
        <w:t>socialise during the week: ‘</w:t>
      </w:r>
      <w:r w:rsidRPr="006B45B4">
        <w:rPr>
          <w:i/>
          <w:iCs/>
        </w:rPr>
        <w:t>we’re an hour and a half from town by an open highway doing 130</w:t>
      </w:r>
      <w:r>
        <w:rPr>
          <w:i/>
          <w:iCs/>
        </w:rPr>
        <w:t xml:space="preserve"> </w:t>
      </w:r>
      <w:r w:rsidRPr="006B45B4">
        <w:rPr>
          <w:i/>
          <w:iCs/>
        </w:rPr>
        <w:t>k</w:t>
      </w:r>
      <w:r>
        <w:rPr>
          <w:i/>
          <w:iCs/>
        </w:rPr>
        <w:t>m</w:t>
      </w:r>
      <w:r w:rsidRPr="006B45B4">
        <w:rPr>
          <w:i/>
          <w:iCs/>
        </w:rPr>
        <w:t xml:space="preserve"> an hour</w:t>
      </w:r>
      <w:r>
        <w:rPr>
          <w:i/>
          <w:iCs/>
        </w:rPr>
        <w:t>’</w:t>
      </w:r>
      <w:r w:rsidRPr="006B45B4">
        <w:rPr>
          <w:i/>
          <w:iCs/>
        </w:rPr>
        <w:t xml:space="preserve"> </w:t>
      </w:r>
      <w:r w:rsidRPr="006B45B4">
        <w:t>[18].</w:t>
      </w:r>
    </w:p>
    <w:p w14:paraId="4BAC503D" w14:textId="7E5BBC6A" w:rsidR="00F806DC" w:rsidRDefault="00F806DC" w:rsidP="00F806DC">
      <w:pPr>
        <w:pStyle w:val="Heading3"/>
      </w:pPr>
      <w:bookmarkStart w:id="257" w:name="_Toc75878487"/>
      <w:r>
        <w:t>Nature of the work</w:t>
      </w:r>
      <w:bookmarkEnd w:id="257"/>
    </w:p>
    <w:p w14:paraId="074121FD" w14:textId="4DDDA914" w:rsidR="00CF1E66" w:rsidRPr="008E271C" w:rsidRDefault="00CF1E66" w:rsidP="00CF1E66">
      <w:r w:rsidRPr="008E271C">
        <w:t>A further perceived barrier to recruiting local labour is the nature of the work in WHM-employing businesses. Farm work, from fruit picking through to animal husbandry, is typically physically demanding, can be monotonous</w:t>
      </w:r>
      <w:r>
        <w:t xml:space="preserve"> and </w:t>
      </w:r>
      <w:r w:rsidRPr="008E271C">
        <w:t>repetitive</w:t>
      </w:r>
      <w:r>
        <w:t>,</w:t>
      </w:r>
      <w:r w:rsidRPr="008E271C">
        <w:t xml:space="preserve"> and frequently involves early starts and long days. Environmental conditions are challenging, including working outside in the elements, often through extremes of hot and cold. </w:t>
      </w:r>
    </w:p>
    <w:p w14:paraId="68C19789" w14:textId="77777777" w:rsidR="00CF1E66" w:rsidRPr="008E271C" w:rsidRDefault="00CF1E66" w:rsidP="00CF1E66">
      <w:pPr>
        <w:pStyle w:val="Quote"/>
      </w:pPr>
      <w:r w:rsidRPr="008E271C">
        <w:t>We’ve had a few</w:t>
      </w:r>
      <w:r>
        <w:t xml:space="preserve"> [local Australians]</w:t>
      </w:r>
      <w:r w:rsidRPr="008E271C">
        <w:t xml:space="preserve"> that we’ve tried through an employment agency but it just didn’t work, they weren’t committed, they weren’t used to doing physical work and just didn’t want to do it. It’s just, for these roles, it’s not a hard job but it’s a fast-paced environment, and it is a physically demanding job; we expect people to put in their two bobs’ worth and work… Some local people, they’re just not committed</w:t>
      </w:r>
      <w:r>
        <w:t>.</w:t>
      </w:r>
      <w:r w:rsidRPr="008E271C">
        <w:t xml:space="preserve"> [3]</w:t>
      </w:r>
    </w:p>
    <w:p w14:paraId="65DF5E8D" w14:textId="64493E3E" w:rsidR="00CF1E66" w:rsidRPr="00270241" w:rsidRDefault="00CF1E66" w:rsidP="00CF1E66">
      <w:r w:rsidRPr="001B5D85">
        <w:t>In tourism and hospitality, demand for labour centres on housekeepers and cleaning staff, chefs, cooks, kitchenhands, waiter</w:t>
      </w:r>
      <w:r>
        <w:t>s,</w:t>
      </w:r>
      <w:r w:rsidRPr="001B5D85">
        <w:t xml:space="preserve"> bar staff, baristas, reception staff and groundkeepers. Some of these jobs are hard to fill due to a basic skills shortage, for example chefs, cooks and high-quality baristas. Western Australian hospitality businesses have the compound disadvantage of the mining sector drawing skilled labour out of the regions, both local workers and </w:t>
      </w:r>
      <w:r>
        <w:t>WHMs</w:t>
      </w:r>
      <w:r w:rsidRPr="001B5D85">
        <w:t xml:space="preserve">. Employers note that some of the other jobs </w:t>
      </w:r>
      <w:r>
        <w:t xml:space="preserve">in tourism and hospitality </w:t>
      </w:r>
      <w:r w:rsidRPr="001B5D85">
        <w:t>are difficult to fill with local labour because</w:t>
      </w:r>
      <w:r w:rsidR="00955C2E">
        <w:t xml:space="preserve"> they</w:t>
      </w:r>
      <w:r w:rsidRPr="001B5D85">
        <w:t xml:space="preserve"> are not viewed as career opportunities, rather as stop-gap jobs for students or people in-between ‘real work’. </w:t>
      </w:r>
      <w:r>
        <w:t>R</w:t>
      </w:r>
      <w:r w:rsidRPr="001B5D85">
        <w:t>easons include some of the jobs not</w:t>
      </w:r>
      <w:r w:rsidRPr="001B5D85" w:rsidDel="001D12CA">
        <w:t xml:space="preserve"> </w:t>
      </w:r>
      <w:r w:rsidRPr="001B5D85">
        <w:t>adher</w:t>
      </w:r>
      <w:r>
        <w:t>ing</w:t>
      </w:r>
      <w:r w:rsidRPr="001B5D85">
        <w:t xml:space="preserve"> to typical 9 to 5 workday hours and </w:t>
      </w:r>
      <w:r>
        <w:t>being</w:t>
      </w:r>
      <w:r w:rsidRPr="001B5D85">
        <w:t xml:space="preserve"> seen as unsociable, some </w:t>
      </w:r>
      <w:r>
        <w:t>being</w:t>
      </w:r>
      <w:r w:rsidRPr="001B5D85">
        <w:t xml:space="preserve"> necessarily part-time when people are looking for full-time work, and some of the roles (principally housekeeping</w:t>
      </w:r>
      <w:r>
        <w:t xml:space="preserve"> and </w:t>
      </w:r>
      <w:r w:rsidRPr="001B5D85">
        <w:t xml:space="preserve">cleaning) </w:t>
      </w:r>
      <w:r>
        <w:t>being viewed as</w:t>
      </w:r>
      <w:r w:rsidRPr="001B5D85">
        <w:t xml:space="preserve"> </w:t>
      </w:r>
      <w:r>
        <w:t>simply not desirable:</w:t>
      </w:r>
    </w:p>
    <w:p w14:paraId="453B23C2" w14:textId="77777777" w:rsidR="00CF1E66" w:rsidRPr="00270241" w:rsidRDefault="00CF1E66" w:rsidP="00CF1E66">
      <w:pPr>
        <w:pStyle w:val="Quote"/>
      </w:pPr>
      <w:r w:rsidRPr="00270241">
        <w:t>I would say in the housekeeping and cleaning department, it would be entirely working holiday visa people.  Australians do not wish to do those types of jobs, a bit like fruit picking I’d say. So, we very rarely get Australians apply for those positions. But we always get a very good response from working holiday visa makers. [4]</w:t>
      </w:r>
    </w:p>
    <w:p w14:paraId="08D7AFD5" w14:textId="77777777" w:rsidR="00CF1E66" w:rsidRPr="00381E1C" w:rsidRDefault="00CF1E66" w:rsidP="00CF1E66">
      <w:pPr>
        <w:pStyle w:val="Quote"/>
      </w:pPr>
      <w:r w:rsidRPr="00270241">
        <w:t xml:space="preserve">In my </w:t>
      </w:r>
      <w:r w:rsidRPr="00E504C6">
        <w:t>experience, Australians generally don’t want to work in hospitality as a career… I think it’s an entrenched way of being. I don’t see that changing, I really don’t. I mean I’ve been doing this for 35 years</w:t>
      </w:r>
      <w:r>
        <w:t>…</w:t>
      </w:r>
      <w:r w:rsidRPr="00E504C6">
        <w:t xml:space="preserve"> I see a lot of Australian apprentices, young people come through but invariably they drift away and they drift away because of the unsociable hours. Notwithstanding what we like to think</w:t>
      </w:r>
      <w:r>
        <w:t>,</w:t>
      </w:r>
      <w:r w:rsidRPr="00E504C6">
        <w:t xml:space="preserve"> Australia – in my view anyway, very definitely a Monday to Friday, 9 to 5 workforce </w:t>
      </w:r>
      <w:r w:rsidRPr="00381E1C">
        <w:t>phenomenon. [1]</w:t>
      </w:r>
    </w:p>
    <w:p w14:paraId="55813680" w14:textId="77777777" w:rsidR="00CF1E66" w:rsidRPr="00FF3D88" w:rsidRDefault="00CF1E66" w:rsidP="00CF1E66">
      <w:pPr>
        <w:pStyle w:val="Quote"/>
      </w:pPr>
      <w:r w:rsidRPr="00381E1C">
        <w:t>Because of the limited hours. That’s the nature of the position, that all of our departures and cleans need to be done between 9 and 2 o’clock. And we’re not a big enough property, and we don’t do daily servicing, so we don’t have enough work to offer a full 38-hour week to people. So, although we might have three staff, there’s not 90 hours of housekeeping a week...  I mean, it’s every day, so it’s seven days a week, so you’ve got to have a roster so people can have days off. And you’ve usually</w:t>
      </w:r>
      <w:r>
        <w:t xml:space="preserve"> got</w:t>
      </w:r>
      <w:r w:rsidRPr="00381E1C">
        <w:t xml:space="preserve"> a four-hour window of getting all the work done. [15]</w:t>
      </w:r>
    </w:p>
    <w:p w14:paraId="218C31C1" w14:textId="585A389F" w:rsidR="0012717C" w:rsidRDefault="0012717C" w:rsidP="0012717C">
      <w:pPr>
        <w:pStyle w:val="Heading3"/>
      </w:pPr>
      <w:bookmarkStart w:id="258" w:name="_Toc75878488"/>
      <w:r>
        <w:t xml:space="preserve">A flexible </w:t>
      </w:r>
      <w:r w:rsidR="002462AC">
        <w:t xml:space="preserve">mobile </w:t>
      </w:r>
      <w:r>
        <w:t>workforce</w:t>
      </w:r>
      <w:bookmarkEnd w:id="258"/>
    </w:p>
    <w:p w14:paraId="5914A836" w14:textId="6FC2DC59" w:rsidR="00CF1E66" w:rsidRDefault="00CF1E66" w:rsidP="00CF1E66">
      <w:r>
        <w:t>Employers’ description of the role WHMs play in sustaining their business contrasts markedly with the challenges involved with sourcing local labour. Foremost among the reasons they value WHMs is their mobility and amenability to seasonal work:</w:t>
      </w:r>
    </w:p>
    <w:p w14:paraId="0886060C" w14:textId="77777777" w:rsidR="00CF1E66" w:rsidRDefault="00CF1E66" w:rsidP="00CF1E66">
      <w:pPr>
        <w:pStyle w:val="Quote"/>
      </w:pPr>
      <w:r w:rsidRPr="00FF3D88">
        <w:t>Because they’re mobile</w:t>
      </w:r>
      <w:r>
        <w:t>. I</w:t>
      </w:r>
      <w:r w:rsidRPr="00FF3D88">
        <w:t xml:space="preserve">f we’re not harvesting, they’d be harvesting in </w:t>
      </w:r>
      <w:r>
        <w:t>[nearby towns] ..</w:t>
      </w:r>
      <w:r w:rsidRPr="00FF3D88">
        <w:t xml:space="preserve">. They can move to the area. </w:t>
      </w:r>
      <w:r>
        <w:t>W</w:t>
      </w:r>
      <w:r w:rsidRPr="00FF3D88">
        <w:t>h</w:t>
      </w:r>
      <w:r>
        <w:t>ile</w:t>
      </w:r>
      <w:r w:rsidRPr="00FF3D88">
        <w:t xml:space="preserve"> we try to encourage Australians</w:t>
      </w:r>
      <w:r>
        <w:t xml:space="preserve"> -</w:t>
      </w:r>
      <w:r w:rsidRPr="00FF3D88">
        <w:t xml:space="preserve"> I don’t expect someone from Brisbane to come up here, leave their home </w:t>
      </w:r>
      <w:r>
        <w:t>when</w:t>
      </w:r>
      <w:r w:rsidRPr="00FF3D88">
        <w:t xml:space="preserve"> they are established in Brisbane. Whereas these people are on holiday, so that they can react to where the seasons are. They want to be mobile and move around, that’s part of the experience.  That to me is the most valuable aspect that </w:t>
      </w:r>
      <w:r w:rsidRPr="00BF6FF8">
        <w:t>they</w:t>
      </w:r>
      <w:r w:rsidRPr="00FF3D88">
        <w:t xml:space="preserve"> bring with them.  If we need a lot of them, traditionally we can get a lot of them. They’ll move where the work is. </w:t>
      </w:r>
      <w:r>
        <w:t>[2]</w:t>
      </w:r>
    </w:p>
    <w:p w14:paraId="18A2B974" w14:textId="47223698" w:rsidR="00CF1E66" w:rsidRDefault="00CF1E66" w:rsidP="00CF1E66">
      <w:r>
        <w:t xml:space="preserve">In the tourism and hospitality context, WHMs’ travel plans generally time in with seasonal peaks, so they are in the right place at the right time to fill seasonal job vacancies. </w:t>
      </w:r>
      <w:r w:rsidR="00970F61">
        <w:t>According to</w:t>
      </w:r>
      <w:r>
        <w:t xml:space="preserve"> one outdoor education business with national operations, WHMs can deploy around the country in ways that local people cannot or </w:t>
      </w:r>
      <w:r w:rsidR="000E4233">
        <w:t>prefer</w:t>
      </w:r>
      <w:r>
        <w:t xml:space="preserve"> not to do.</w:t>
      </w:r>
      <w:r w:rsidR="00635146">
        <w:t xml:space="preserve"> </w:t>
      </w:r>
      <w:r w:rsidR="002507B7">
        <w:t>Notably, w</w:t>
      </w:r>
      <w:r w:rsidR="00A319B3">
        <w:t xml:space="preserve">hile WHMs tend to </w:t>
      </w:r>
      <w:r w:rsidR="002507B7">
        <w:t>gravitate</w:t>
      </w:r>
      <w:r w:rsidR="00A319B3">
        <w:t xml:space="preserve"> to </w:t>
      </w:r>
      <w:r w:rsidR="002507B7">
        <w:t xml:space="preserve">where seasonal peaks </w:t>
      </w:r>
      <w:r w:rsidR="00F74848">
        <w:t xml:space="preserve">occur in tourism </w:t>
      </w:r>
      <w:r w:rsidR="00CB1B3B">
        <w:t>businesses</w:t>
      </w:r>
      <w:r w:rsidR="00F74848">
        <w:t xml:space="preserve">, </w:t>
      </w:r>
      <w:r w:rsidR="00203352">
        <w:t xml:space="preserve">the agriculture sector does not </w:t>
      </w:r>
      <w:r w:rsidR="00C65793">
        <w:t xml:space="preserve">always </w:t>
      </w:r>
      <w:r w:rsidR="00203352">
        <w:t xml:space="preserve">have </w:t>
      </w:r>
      <w:r w:rsidR="0094595F">
        <w:t xml:space="preserve">the same advantage. </w:t>
      </w:r>
      <w:r w:rsidR="0072545A">
        <w:t>An ongoing challenge is ensuring WHMs are in the right locations at the right time</w:t>
      </w:r>
      <w:r w:rsidR="00957E22">
        <w:t xml:space="preserve"> to address regional labour shortages. </w:t>
      </w:r>
      <w:r w:rsidR="00757650">
        <w:t xml:space="preserve">This requires a better understanding of where and when regional shortages </w:t>
      </w:r>
      <w:r w:rsidR="00664FF9">
        <w:t xml:space="preserve">occur, and </w:t>
      </w:r>
      <w:r w:rsidR="00085E7B">
        <w:t xml:space="preserve">what measures (e.g. incentives) </w:t>
      </w:r>
      <w:r w:rsidR="002A37F7">
        <w:t xml:space="preserve">are </w:t>
      </w:r>
      <w:r w:rsidR="006E3F5A">
        <w:t>effective in</w:t>
      </w:r>
      <w:r w:rsidR="002A37F7">
        <w:t xml:space="preserve"> </w:t>
      </w:r>
      <w:r w:rsidR="00B266AA">
        <w:t>channel</w:t>
      </w:r>
      <w:r w:rsidR="006E3F5A">
        <w:t>ling</w:t>
      </w:r>
      <w:r w:rsidR="00B266AA">
        <w:t xml:space="preserve"> WHMs </w:t>
      </w:r>
      <w:r w:rsidR="000739F6">
        <w:t>there.</w:t>
      </w:r>
    </w:p>
    <w:p w14:paraId="2E385541" w14:textId="770583F0" w:rsidR="002462AC" w:rsidRDefault="002462AC" w:rsidP="002462AC">
      <w:pPr>
        <w:pStyle w:val="Heading3"/>
      </w:pPr>
      <w:bookmarkStart w:id="259" w:name="_Toc75878489"/>
      <w:r>
        <w:t>A motivated workforce</w:t>
      </w:r>
      <w:bookmarkEnd w:id="259"/>
    </w:p>
    <w:p w14:paraId="35B1485F" w14:textId="183B18EF" w:rsidR="00CF1E66" w:rsidRDefault="00CF1E66" w:rsidP="00CF1E66">
      <w:r>
        <w:t>For employers a defining feature of WHMs is they are singularly motivated to work, to save a cache of money and to continue with their travels to maximise their working holiday experience. This explains why they will perform work roles that many locals tend to avoid:</w:t>
      </w:r>
    </w:p>
    <w:p w14:paraId="6D3224F3" w14:textId="77777777" w:rsidR="00CF1E66" w:rsidRDefault="00CF1E66" w:rsidP="00CF1E66">
      <w:pPr>
        <w:pStyle w:val="Quote"/>
      </w:pPr>
      <w:r>
        <w:t>T</w:t>
      </w:r>
      <w:r w:rsidRPr="00DD1C06">
        <w:t xml:space="preserve">he main reason that they’re a good workforce is – my personal philosophy is that you can work in most jobs for six months, regardless of whether you enjoy it or not. So, if your aim is to save up money so you can keep travelling, then three to </w:t>
      </w:r>
      <w:r w:rsidRPr="00451D63">
        <w:t>six</w:t>
      </w:r>
      <w:r w:rsidRPr="00DD1C06">
        <w:t xml:space="preserve"> months doing housekeeping is just something you can do. And if you’re staying in backpacking hostel and you can go out with your friends, or down the beach, it’s not that big an impact on your travelling lifestyle. But for a career choice</w:t>
      </w:r>
      <w:r>
        <w:t xml:space="preserve"> -</w:t>
      </w:r>
      <w:r w:rsidRPr="00DD1C06">
        <w:t>housekeeping is not really up there.</w:t>
      </w:r>
    </w:p>
    <w:p w14:paraId="37C06036" w14:textId="77777777" w:rsidR="00CF1E66" w:rsidRDefault="00CF1E66" w:rsidP="00CF1E66">
      <w:r>
        <w:t>WHMs are generally perceived to have a strong work ethic, the ability to be flexible, a preparedness to try new things and a willingness to learn and adapt. Employers value the positivity, enthusiasm and cultural diversity WHMs bring to the workplace. For instance, in the backpacker hostel setting they provide a valuable complement to Australian staff:</w:t>
      </w:r>
    </w:p>
    <w:p w14:paraId="6A37BAAD" w14:textId="18CDDBCB" w:rsidR="00CF1E66" w:rsidRPr="00FF3D88" w:rsidRDefault="00CF1E66" w:rsidP="00CF1E66">
      <w:pPr>
        <w:pStyle w:val="Quote"/>
      </w:pPr>
      <w:r w:rsidRPr="00FF3D88">
        <w:t xml:space="preserve">That’s a very healthy balance to run our properties. So you’ve got the long tenure employees that have all the knowledge, all the experience - tick all the boxes, and then we get a percent of the </w:t>
      </w:r>
      <w:r w:rsidR="00643229">
        <w:t>w</w:t>
      </w:r>
      <w:r w:rsidRPr="00FF3D88">
        <w:t xml:space="preserve">orking </w:t>
      </w:r>
      <w:r w:rsidR="00643229">
        <w:t>h</w:t>
      </w:r>
      <w:r w:rsidRPr="00FF3D88">
        <w:t xml:space="preserve">oliday </w:t>
      </w:r>
      <w:r w:rsidR="00643229">
        <w:t>m</w:t>
      </w:r>
      <w:r w:rsidRPr="00FF3D88">
        <w:t xml:space="preserve">akers that have the other attributes… the energy, the enthusiasm, the ability to relate to our guest base. </w:t>
      </w:r>
      <w:r>
        <w:t>B</w:t>
      </w:r>
      <w:r w:rsidRPr="00FF3D88">
        <w:t>oth the employee and the guest speaking their own language, sharing the experiences is invaluable from a social point of view.  It really helps, it lifts the atmosphere</w:t>
      </w:r>
      <w:r>
        <w:t xml:space="preserve"> a</w:t>
      </w:r>
      <w:r w:rsidRPr="00FF3D88">
        <w:t>nd it</w:t>
      </w:r>
      <w:r>
        <w:t>’</w:t>
      </w:r>
      <w:r w:rsidRPr="00FF3D88">
        <w:t>s part of that exchange that happens organically.</w:t>
      </w:r>
      <w:r>
        <w:t xml:space="preserve"> [6]</w:t>
      </w:r>
    </w:p>
    <w:p w14:paraId="77016E7D" w14:textId="77777777" w:rsidR="00CF1E66" w:rsidRDefault="00CF1E66" w:rsidP="00CF1E66">
      <w:r>
        <w:t>In the agricultural context,</w:t>
      </w:r>
      <w:r w:rsidRPr="009C3C65">
        <w:t xml:space="preserve"> </w:t>
      </w:r>
      <w:r>
        <w:t>on a remotely located cattle breeding farm, WHMs provide a positive energy that is crucial for effective teamwork:</w:t>
      </w:r>
    </w:p>
    <w:p w14:paraId="0CF8A3FB" w14:textId="77777777" w:rsidR="00CF1E66" w:rsidRPr="00451D63" w:rsidRDefault="00CF1E66" w:rsidP="00CF1E66">
      <w:pPr>
        <w:pStyle w:val="Quote"/>
      </w:pPr>
      <w:r w:rsidRPr="00451D63">
        <w:t>We need to make sure that everybody works well together as a positive, happy, upbeat team… That is where working holiday makers would kick goals and tick boxes for us, because they want to be there, they want to have the experience. They don’t see it as a career move. They’re not upset by the extent of days that we work or the conditions that sometimes we’re experiencing, such as extremely cold, extremely hot, extremely windy et cetera. Because they’re having the Australian experience. And in that case, because they want to be there, they’re enjoying it. And when they’re enjoying it they’re having fun and when they’re having fun, that really helps our morale. [18]</w:t>
      </w:r>
    </w:p>
    <w:p w14:paraId="39B77D52" w14:textId="7AA48CA0" w:rsidR="00CF1E66" w:rsidRDefault="00CF1E66" w:rsidP="00CF1E66">
      <w:r>
        <w:t>WHMs also bring strong skill</w:t>
      </w:r>
      <w:r w:rsidR="00A03FFC">
        <w:t xml:space="preserve"> </w:t>
      </w:r>
      <w:r>
        <w:t>sets required by businesses, particularly in the tourism and hospitality industry. Ski resort business operators value them because many have prior experience and skills in the snow and therefore require minimal training. Europeans and Americans are viewed as having excellent skillsets in food and customer service:</w:t>
      </w:r>
    </w:p>
    <w:p w14:paraId="4F4F81EA" w14:textId="77777777" w:rsidR="00CF1E66" w:rsidRDefault="00CF1E66" w:rsidP="00CF1E66">
      <w:pPr>
        <w:pStyle w:val="Quote"/>
      </w:pPr>
      <w:r>
        <w:t>I</w:t>
      </w:r>
      <w:r w:rsidRPr="00FF3D88">
        <w:t>f you’re talking about a food and beverage person,</w:t>
      </w:r>
      <w:r>
        <w:t xml:space="preserve"> if</w:t>
      </w:r>
      <w:r w:rsidRPr="00FF3D88">
        <w:t xml:space="preserve"> they’ve worked in Europe especially</w:t>
      </w:r>
      <w:r>
        <w:t xml:space="preserve"> -</w:t>
      </w:r>
      <w:r w:rsidRPr="00FF3D88">
        <w:t xml:space="preserve"> and in America</w:t>
      </w:r>
      <w:r>
        <w:t xml:space="preserve"> - t</w:t>
      </w:r>
      <w:r w:rsidRPr="00FF3D88">
        <w:t>hey’ve worked for tips, so their customer service skills are very good. They have to</w:t>
      </w:r>
      <w:r>
        <w:t>! B</w:t>
      </w:r>
      <w:r w:rsidRPr="00FF3D88">
        <w:t xml:space="preserve">ecause they don’t get tips if they don’t work well overseas.  And especially in Europe it’s treated more as a career, </w:t>
      </w:r>
      <w:r>
        <w:t xml:space="preserve">not </w:t>
      </w:r>
      <w:r w:rsidRPr="00FF3D88">
        <w:t>a thing to do between school and your real job</w:t>
      </w:r>
      <w:r>
        <w:t xml:space="preserve"> -</w:t>
      </w:r>
      <w:r w:rsidRPr="00FF3D88">
        <w:t xml:space="preserve"> so they have skills in waiting and bar service. They might not have Australian bar service, which is </w:t>
      </w:r>
      <w:r w:rsidRPr="00451D63">
        <w:t>slightly</w:t>
      </w:r>
      <w:r w:rsidRPr="00FF3D88">
        <w:t xml:space="preserve"> different, but they certainly have waiting skills that usually are very good</w:t>
      </w:r>
      <w:r>
        <w:t>.</w:t>
      </w:r>
      <w:r w:rsidRPr="00FF3D88">
        <w:t xml:space="preserve"> </w:t>
      </w:r>
      <w:r>
        <w:t>[4]</w:t>
      </w:r>
    </w:p>
    <w:p w14:paraId="3837C0A8" w14:textId="77777777" w:rsidR="00CF1E66" w:rsidRDefault="00CF1E66" w:rsidP="00CF1E66">
      <w:pPr>
        <w:pStyle w:val="Quote"/>
      </w:pPr>
      <w:r w:rsidRPr="00FF3D88">
        <w:t xml:space="preserve">The other thing that’s a big difference is we find, particularly with Italians, that hospitality is seen as a career choice there. </w:t>
      </w:r>
      <w:r>
        <w:t>I</w:t>
      </w:r>
      <w:r w:rsidRPr="00FF3D88">
        <w:t xml:space="preserve">f you get a career hospitality person, not somebody who’s just doing a fill-in job while they’re at </w:t>
      </w:r>
      <w:proofErr w:type="spellStart"/>
      <w:r w:rsidRPr="00FF3D88">
        <w:t>uni</w:t>
      </w:r>
      <w:proofErr w:type="spellEnd"/>
      <w:r w:rsidRPr="00FF3D88">
        <w:t>, they have a lot more experience and a lot more passion for the job</w:t>
      </w:r>
      <w:r>
        <w:t>. [19]</w:t>
      </w:r>
    </w:p>
    <w:p w14:paraId="73FE77AA" w14:textId="67C4523D" w:rsidR="00E86E44" w:rsidRDefault="00E24EFD" w:rsidP="00E24EFD">
      <w:pPr>
        <w:pStyle w:val="Heading3"/>
      </w:pPr>
      <w:bookmarkStart w:id="260" w:name="_Toc75878490"/>
      <w:r>
        <w:t>Managing transience</w:t>
      </w:r>
      <w:bookmarkEnd w:id="260"/>
    </w:p>
    <w:p w14:paraId="4DE6ADEB" w14:textId="7F22C578" w:rsidR="00CF1E66" w:rsidRDefault="00CF1E66" w:rsidP="00CF1E66">
      <w:r w:rsidRPr="00BE1E3C">
        <w:t>While employer endorsement of WHMs was extremely high, they also identified a range of challenges involved with their employment. The primary issue involved the transience of the WHM population – in one respect positive because WHM mobility is a bonus for seasonal</w:t>
      </w:r>
      <w:r>
        <w:t xml:space="preserve"> work, but in another respect a liability because WHMs were prone to pack up and leave a job early with minimal notice:</w:t>
      </w:r>
    </w:p>
    <w:p w14:paraId="25AAF5C0" w14:textId="77777777" w:rsidR="00CF1E66" w:rsidRDefault="00CF1E66" w:rsidP="00CF1E66">
      <w:pPr>
        <w:pStyle w:val="Quote"/>
      </w:pPr>
      <w:r w:rsidRPr="00FF3D88">
        <w:t>They’re not always as good as I hope them to be and they are transient, that’s the other thing.  Sometimes they’ll come and they’ll promise you the world</w:t>
      </w:r>
      <w:r>
        <w:t xml:space="preserve">… </w:t>
      </w:r>
      <w:r w:rsidRPr="00FF3D88">
        <w:t>because it takes you two or three weeks to get them trained up and show the</w:t>
      </w:r>
      <w:r>
        <w:t>m.</w:t>
      </w:r>
      <w:r w:rsidRPr="00FF3D88">
        <w:t xml:space="preserve"> </w:t>
      </w:r>
      <w:r>
        <w:t>A</w:t>
      </w:r>
      <w:r w:rsidRPr="00FF3D88">
        <w:t xml:space="preserve">nd oh yeah, they’ll stay forever or they’ll stay the whole </w:t>
      </w:r>
      <w:r w:rsidRPr="004924CB">
        <w:t>season</w:t>
      </w:r>
      <w:r w:rsidRPr="00FF3D88">
        <w:t>, but a lot of times then suddenly</w:t>
      </w:r>
      <w:r>
        <w:t xml:space="preserve"> -</w:t>
      </w:r>
      <w:r w:rsidRPr="00FF3D88">
        <w:t xml:space="preserve"> they’ve found a new girlfriend and the girlfriend wants to travel or they’ve just broken up with a girlfriend and they’ve had enough of the town and they’ll leave, so that</w:t>
      </w:r>
      <w:r>
        <w:t>’s</w:t>
      </w:r>
      <w:r w:rsidRPr="00FF3D88">
        <w:t xml:space="preserve"> a challenge.</w:t>
      </w:r>
      <w:r>
        <w:t xml:space="preserve"> S</w:t>
      </w:r>
      <w:r w:rsidRPr="00FF3D88">
        <w:t>ometimes, but not always,</w:t>
      </w:r>
      <w:r>
        <w:t xml:space="preserve"> they’re not</w:t>
      </w:r>
      <w:r w:rsidRPr="00FF3D88">
        <w:t xml:space="preserve"> that reliable.</w:t>
      </w:r>
      <w:r>
        <w:t xml:space="preserve"> [9]</w:t>
      </w:r>
    </w:p>
    <w:p w14:paraId="2AA29760" w14:textId="77777777" w:rsidR="00CF1E66" w:rsidRDefault="00CF1E66" w:rsidP="00CF1E66">
      <w:r>
        <w:t xml:space="preserve">One operator of a remote holiday lodge attempted to manage the risk of workforce unreliability by offering cash incentives and travel reimbursements for completion of the agreed season, as well as fixed term agreements – with varying success: </w:t>
      </w:r>
    </w:p>
    <w:p w14:paraId="3A96026F" w14:textId="77777777" w:rsidR="00CF1E66" w:rsidRDefault="00CF1E66" w:rsidP="00CF1E66">
      <w:pPr>
        <w:pStyle w:val="Quote"/>
      </w:pPr>
      <w:r>
        <w:t>T</w:t>
      </w:r>
      <w:r w:rsidRPr="00813762">
        <w:t xml:space="preserve">owards the end of the season, they’re starting to look at their next position. </w:t>
      </w:r>
      <w:r>
        <w:t>And t</w:t>
      </w:r>
      <w:r w:rsidRPr="00813762">
        <w:t>he next position might be putting some pressure on them to start early</w:t>
      </w:r>
      <w:r>
        <w:t xml:space="preserve">... </w:t>
      </w:r>
      <w:r w:rsidRPr="00A047E7">
        <w:t xml:space="preserve">We try and be pretty firm in an interview about our expectations of the timeframes and some people really honour that. But yeah, other people don’t. </w:t>
      </w:r>
      <w:r>
        <w:t>[21]</w:t>
      </w:r>
      <w:r w:rsidRPr="00A047E7">
        <w:t xml:space="preserve"> </w:t>
      </w:r>
    </w:p>
    <w:p w14:paraId="27E83DE2" w14:textId="0CAEC088" w:rsidR="00CF1E66" w:rsidRPr="00FF3D88" w:rsidRDefault="00CF1E66" w:rsidP="00CF1E66">
      <w:r>
        <w:t>Other challenges involved with employing WHMs include language issues, particularly pertinent to managing occupational health and safety, however these were generally reported to be relatively easy to overcome. There were occasional mismatches between work roles and WHM skills and aptitudes, but these were also viewed as relatively minor in the larger scheme. Only one employer indicated a generally negative experience with WHMs working in a remotely located tourism and hospitality business. This employer noted a distinct decline in WHM work ethic, life skills and resilience coinciding with the addition of new countries into the WHM program and a change in attendant levels of privilege, life experience and expectations of young people.</w:t>
      </w:r>
    </w:p>
    <w:p w14:paraId="139ACD9D" w14:textId="5BFE0D84" w:rsidR="00CF1E66" w:rsidRPr="00261AD5" w:rsidRDefault="00CF1E66" w:rsidP="00CF1E66">
      <w:pPr>
        <w:pStyle w:val="Heading2"/>
      </w:pPr>
      <w:bookmarkStart w:id="261" w:name="_Toc75878491"/>
      <w:r>
        <w:t>Employer perceptions of the WHM program</w:t>
      </w:r>
      <w:bookmarkEnd w:id="261"/>
    </w:p>
    <w:p w14:paraId="5AF5C368" w14:textId="5D8431C7" w:rsidR="00FF0DFF" w:rsidRDefault="00FF0DFF" w:rsidP="00FF0DFF">
      <w:pPr>
        <w:pStyle w:val="Heading3"/>
      </w:pPr>
      <w:bookmarkStart w:id="262" w:name="_Toc75878492"/>
      <w:r>
        <w:t>Benefits of the WHM program</w:t>
      </w:r>
      <w:bookmarkEnd w:id="262"/>
    </w:p>
    <w:p w14:paraId="34CEB097" w14:textId="73207910" w:rsidR="00CF1E66" w:rsidRDefault="00CF1E66" w:rsidP="00CF1E66">
      <w:r w:rsidRPr="00261AD5">
        <w:t xml:space="preserve">Many aspects of the WHM </w:t>
      </w:r>
      <w:r>
        <w:t>program</w:t>
      </w:r>
      <w:r w:rsidRPr="00261AD5">
        <w:t xml:space="preserve"> were viewed favourably by employers. Most notably nine in ten (90.7%) employers reported it provided an essential workforce (see </w:t>
      </w:r>
      <w:r w:rsidRPr="00261AD5">
        <w:fldChar w:fldCharType="begin"/>
      </w:r>
      <w:r w:rsidRPr="00261AD5">
        <w:instrText xml:space="preserve"> REF _Ref67993532 \h  \* MERGEFORMAT </w:instrText>
      </w:r>
      <w:r w:rsidRPr="00261AD5">
        <w:fldChar w:fldCharType="separate"/>
      </w:r>
      <w:r w:rsidR="00F22012" w:rsidRPr="00362F96">
        <w:t xml:space="preserve">Figure </w:t>
      </w:r>
      <w:r w:rsidR="00F22012">
        <w:rPr>
          <w:noProof/>
        </w:rPr>
        <w:t>9</w:t>
      </w:r>
      <w:r w:rsidR="00F22012">
        <w:rPr>
          <w:noProof/>
        </w:rPr>
        <w:noBreakHyphen/>
        <w:t>4</w:t>
      </w:r>
      <w:r w:rsidRPr="00261AD5">
        <w:fldChar w:fldCharType="end"/>
      </w:r>
      <w:r w:rsidRPr="00261AD5">
        <w:t>), with three quarters (74.8%) indicating it provided an economic boost to the local area. As noted in one agricultural employer interview:</w:t>
      </w:r>
    </w:p>
    <w:p w14:paraId="78595F4D" w14:textId="77777777" w:rsidR="00CF1E66" w:rsidRDefault="00CF1E66" w:rsidP="00CF1E66">
      <w:pPr>
        <w:pStyle w:val="Quote"/>
      </w:pPr>
      <w:r w:rsidRPr="00FF3D88">
        <w:t>Most shops will tell you; they only make money during the harvest season</w:t>
      </w:r>
      <w:r>
        <w:t xml:space="preserve"> - t</w:t>
      </w:r>
      <w:r w:rsidRPr="00FF3D88">
        <w:t>he rest of the year they just survive</w:t>
      </w:r>
      <w:r>
        <w:t xml:space="preserve">… </w:t>
      </w:r>
      <w:r w:rsidRPr="00FF3D88">
        <w:t>These backpackers are very important to our small town</w:t>
      </w:r>
      <w:r>
        <w:t xml:space="preserve"> - t</w:t>
      </w:r>
      <w:r w:rsidRPr="00FF3D88">
        <w:t>hey earn good money and they spend a fair portion of that here</w:t>
      </w:r>
      <w:r w:rsidRPr="006D0645">
        <w:t>.</w:t>
      </w:r>
      <w:r>
        <w:t xml:space="preserve"> [2]</w:t>
      </w:r>
    </w:p>
    <w:p w14:paraId="17AA13FF" w14:textId="77777777" w:rsidR="00CF1E66" w:rsidRDefault="00CF1E66" w:rsidP="00CF1E66">
      <w:r>
        <w:t>The second and third-year visa extension option was liked by two-thirds of businesses. Three in five reported that the program encouraged cultural exchange (63.6%), provided an easy process to employ WHMs (62.9%) and that it brought people to Australia. The interviews similarly highlighted the value of the cultural diversity contributed by WHMs at a business model level, organisational culture level, and at a broader societal level where cultural exchange is seen to enrich the people and communities that interact with WHMs:</w:t>
      </w:r>
    </w:p>
    <w:p w14:paraId="72CDDD66" w14:textId="77777777" w:rsidR="00CF1E66" w:rsidRDefault="00CF1E66" w:rsidP="00CF1E66">
      <w:pPr>
        <w:pStyle w:val="Quote"/>
      </w:pPr>
      <w:r w:rsidRPr="00FF3D88">
        <w:t>We’re a tourism destination, so the customers enjoy having an Italian waiter or an Argentinian waiter; a lot of the customers are well</w:t>
      </w:r>
      <w:r>
        <w:t xml:space="preserve"> </w:t>
      </w:r>
      <w:r w:rsidRPr="00FF3D88">
        <w:t>travelled and they quite enjoy the rapport with the staff</w:t>
      </w:r>
      <w:r>
        <w:t>. [19]</w:t>
      </w:r>
    </w:p>
    <w:p w14:paraId="5EB381FF" w14:textId="77777777" w:rsidR="00CF1E66" w:rsidRPr="00FF3D88" w:rsidRDefault="00CF1E66" w:rsidP="00CF1E66">
      <w:pPr>
        <w:pStyle w:val="Quote"/>
      </w:pPr>
      <w:r w:rsidRPr="00FF3D88">
        <w:t>They were critical and we enjoyed actually having a really diverse team. We used to have dinners.  Everyone brings something from their home country. Really it would boost morale</w:t>
      </w:r>
      <w:r>
        <w:t>. [21]</w:t>
      </w:r>
    </w:p>
    <w:p w14:paraId="278EFBDD" w14:textId="77777777" w:rsidR="00CF1E66" w:rsidRPr="00334E52" w:rsidRDefault="00CF1E66" w:rsidP="00CF1E66">
      <w:pPr>
        <w:pStyle w:val="Quote"/>
      </w:pPr>
      <w:r w:rsidRPr="00CD0696">
        <w:t>I mean I love backpackers</w:t>
      </w:r>
      <w:r>
        <w:t>…</w:t>
      </w:r>
      <w:r w:rsidRPr="00CD0696">
        <w:t xml:space="preserve"> I also love the cultural exchange that comes from backpackers. I love that we can give them an Australian experience. We’ve got great friends and there’s so many backpackers that I hold close to my heart, not for what they’ve brought to us, but also for the people that they are. It’s very important to us as an industry.</w:t>
      </w:r>
      <w:r>
        <w:t xml:space="preserve"> [18]</w:t>
      </w:r>
    </w:p>
    <w:p w14:paraId="33611A2A" w14:textId="78D2E281" w:rsidR="00CF1E66" w:rsidRDefault="00CF1E66" w:rsidP="00CF1E66">
      <w:pPr>
        <w:pStyle w:val="Caption"/>
      </w:pPr>
      <w:bookmarkStart w:id="263" w:name="_Ref67993532"/>
      <w:bookmarkStart w:id="264" w:name="_Toc75878582"/>
      <w:r w:rsidRPr="00362F96">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9</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263"/>
      <w:r w:rsidRPr="00362F96">
        <w:t>: Features of WHM program that businesses like</w:t>
      </w:r>
      <w:bookmarkEnd w:id="264"/>
    </w:p>
    <w:p w14:paraId="2F357EAC" w14:textId="77777777" w:rsidR="00CF1E66" w:rsidRDefault="00CF1E66" w:rsidP="00CF1E66">
      <w:pPr>
        <w:rPr>
          <w:highlight w:val="yellow"/>
        </w:rPr>
      </w:pPr>
      <w:r>
        <w:rPr>
          <w:noProof/>
          <w:lang w:eastAsia="en-AU"/>
        </w:rPr>
        <w:drawing>
          <wp:inline distT="0" distB="0" distL="0" distR="0" wp14:anchorId="5739A9F6" wp14:editId="521E7C55">
            <wp:extent cx="5805577" cy="3240000"/>
            <wp:effectExtent l="0" t="0" r="5080" b="17780"/>
            <wp:docPr id="39" name="Chart 39" descr="Chart shows a range of features that business like about the working holiday maker program. Most popular feature at 90.7%  is that the program provides an essential workforce.">
              <a:extLst xmlns:a="http://schemas.openxmlformats.org/drawingml/2006/main">
                <a:ext uri="{FF2B5EF4-FFF2-40B4-BE49-F238E27FC236}">
                  <a16:creationId xmlns:a16="http://schemas.microsoft.com/office/drawing/2014/main" id="{E6DFC4CD-5054-4B4E-86A4-3F541616E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24955EA" w14:textId="7FC83F51" w:rsidR="00CF1E66" w:rsidRDefault="00CF1E66" w:rsidP="00CF1E66">
      <w:pPr>
        <w:pStyle w:val="Tablenote"/>
      </w:pPr>
      <w:r w:rsidRPr="00582224">
        <w:t>Note</w:t>
      </w:r>
      <w:r>
        <w:t>, d</w:t>
      </w:r>
      <w:r w:rsidRPr="00582224">
        <w:t xml:space="preserve">ata was provided </w:t>
      </w:r>
      <w:r>
        <w:t xml:space="preserve">by 151 employers. </w:t>
      </w:r>
      <w:r w:rsidR="003B775B" w:rsidRPr="003B775B">
        <w:t>Because multiple responses were allowed, these figures sum to more than 100%.</w:t>
      </w:r>
    </w:p>
    <w:p w14:paraId="4271CC26" w14:textId="4E3BAA0B" w:rsidR="00CF1E66" w:rsidRDefault="00CF1E66" w:rsidP="00CF1E66">
      <w:pPr>
        <w:pStyle w:val="Tablenote"/>
      </w:pPr>
      <w:r>
        <w:t>Source: WHM Employer Survey, 2021.</w:t>
      </w:r>
    </w:p>
    <w:p w14:paraId="22B194FD" w14:textId="73D030E7" w:rsidR="00CF1E66" w:rsidRPr="00362F96" w:rsidRDefault="00CF1E66" w:rsidP="00CF1E66">
      <w:r>
        <w:t xml:space="preserve">One in ten (9.3%) employers surveyed provided additional comments about the program often mirroring the comments from employer interviews. These employers talked about the benefits of WHMs. They were viewed as a good workforce who were happy to work in jobs and places where the local population was too small or unwilling. For some businesses they were seen as the only option, moreover second and third </w:t>
      </w:r>
      <w:r w:rsidR="763567FD">
        <w:t xml:space="preserve">year WHM </w:t>
      </w:r>
      <w:r>
        <w:t>visa holders were viewed as farm-fit for the heat and manual tasks. Not only were WHMs willing to travel to remote areas</w:t>
      </w:r>
      <w:r w:rsidR="6C138F9C">
        <w:t>,</w:t>
      </w:r>
      <w:r>
        <w:t xml:space="preserve"> they were seen as contributing to the local economy by spending in the areas they worked.</w:t>
      </w:r>
    </w:p>
    <w:p w14:paraId="16EF7889" w14:textId="3F72D8A1" w:rsidR="006B2C23" w:rsidRDefault="006B2C23" w:rsidP="006B2C23">
      <w:pPr>
        <w:pStyle w:val="Heading3"/>
      </w:pPr>
      <w:bookmarkStart w:id="265" w:name="_Toc75878493"/>
      <w:r>
        <w:t>Program restrictions</w:t>
      </w:r>
      <w:bookmarkEnd w:id="265"/>
    </w:p>
    <w:p w14:paraId="46B3FFA6" w14:textId="5F21BF65" w:rsidR="00CF1E66" w:rsidRPr="000D31B6" w:rsidRDefault="2BD3E3EB" w:rsidP="00CF1E66">
      <w:r w:rsidRPr="000D31B6">
        <w:t xml:space="preserve">WHM </w:t>
      </w:r>
      <w:r w:rsidR="04FD8C20" w:rsidRPr="000D31B6">
        <w:t>p</w:t>
      </w:r>
      <w:r w:rsidR="00CF1E66" w:rsidRPr="000D31B6">
        <w:t>rogram dislikes</w:t>
      </w:r>
      <w:r w:rsidR="00CF1E66">
        <w:t xml:space="preserve"> were related to visa restrictions (64.2%) such as the </w:t>
      </w:r>
      <w:r w:rsidR="00CF1E66" w:rsidDel="002C2042">
        <w:t>six</w:t>
      </w:r>
      <w:r w:rsidR="00CF1E66">
        <w:t>-month limitation on work</w:t>
      </w:r>
      <w:r w:rsidR="001662F2">
        <w:t>ing for one employer</w:t>
      </w:r>
      <w:r w:rsidR="00CF1E66">
        <w:t xml:space="preserve">, designated industries and locations and the extension rules (see </w:t>
      </w:r>
      <w:r w:rsidR="00CF1E66">
        <w:fldChar w:fldCharType="begin"/>
      </w:r>
      <w:r w:rsidR="00CF1E66">
        <w:instrText xml:space="preserve"> REF _Ref68010068 \h </w:instrText>
      </w:r>
      <w:r w:rsidR="00CF1E66">
        <w:fldChar w:fldCharType="separate"/>
      </w:r>
      <w:r w:rsidR="00F22012" w:rsidRPr="00731056">
        <w:t xml:space="preserve">Figure </w:t>
      </w:r>
      <w:r w:rsidR="00F22012">
        <w:rPr>
          <w:noProof/>
        </w:rPr>
        <w:t>9</w:t>
      </w:r>
      <w:r w:rsidR="00F22012">
        <w:noBreakHyphen/>
      </w:r>
      <w:r w:rsidR="00F22012">
        <w:rPr>
          <w:noProof/>
        </w:rPr>
        <w:t>5</w:t>
      </w:r>
      <w:r w:rsidR="00CF1E66">
        <w:fldChar w:fldCharType="end"/>
      </w:r>
      <w:r w:rsidR="00CF1E66">
        <w:t>). Half the employers felt that the maximum stay was too short (52.3%), they did not like the tax and superannuation requirements (48.3%) and reported that WHMs were difficult to sponsor, or to get them to come back (45.0%). One third did not like the program’s age limitations (32.5%). Survey comments focused on the desire to retain a trained WHM worker for longer as the standard six-month limit was unsatisfactory for both worker and employer. There was also an expressed concern that there should be clear access for WHMs to information about workers’ rights, minimum wages, safety and conditions.</w:t>
      </w:r>
    </w:p>
    <w:p w14:paraId="02636757" w14:textId="0C5590D1" w:rsidR="00CF1E66" w:rsidRDefault="00CF1E66" w:rsidP="00CF1E66">
      <w:pPr>
        <w:pStyle w:val="Caption"/>
      </w:pPr>
      <w:bookmarkStart w:id="266" w:name="_Ref68010068"/>
      <w:bookmarkStart w:id="267" w:name="_Toc75878583"/>
      <w:r w:rsidRPr="00731056">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9</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266"/>
      <w:r w:rsidRPr="00731056">
        <w:t xml:space="preserve">: Features of WHM </w:t>
      </w:r>
      <w:r>
        <w:t>program</w:t>
      </w:r>
      <w:r w:rsidRPr="00731056">
        <w:t xml:space="preserve"> that businesses dislike</w:t>
      </w:r>
      <w:bookmarkEnd w:id="267"/>
    </w:p>
    <w:p w14:paraId="3A801487" w14:textId="77777777" w:rsidR="00CF1E66" w:rsidRDefault="00CF1E66" w:rsidP="00CF1E66">
      <w:pPr>
        <w:rPr>
          <w:highlight w:val="yellow"/>
        </w:rPr>
      </w:pPr>
      <w:r>
        <w:rPr>
          <w:noProof/>
          <w:lang w:eastAsia="en-AU"/>
        </w:rPr>
        <w:drawing>
          <wp:inline distT="0" distB="0" distL="0" distR="0" wp14:anchorId="025BCECD" wp14:editId="792DAA73">
            <wp:extent cx="5759450" cy="2520000"/>
            <wp:effectExtent l="0" t="0" r="12700" b="13970"/>
            <wp:docPr id="37" name="Chart 37" descr="Chart shows a range of features that business dislike about the working holiday maker program. Most disliked feature at 64.2%  is the visa restrictions.">
              <a:extLst xmlns:a="http://schemas.openxmlformats.org/drawingml/2006/main">
                <a:ext uri="{FF2B5EF4-FFF2-40B4-BE49-F238E27FC236}">
                  <a16:creationId xmlns:a16="http://schemas.microsoft.com/office/drawing/2014/main" id="{95540E3D-67BA-467E-8679-6AE878B69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EA0410E" w14:textId="77777777" w:rsidR="00CF1E66" w:rsidRDefault="00CF1E66" w:rsidP="00CF1E66">
      <w:pPr>
        <w:pStyle w:val="Tablenote"/>
      </w:pPr>
      <w:r w:rsidRPr="00582224">
        <w:t>Note</w:t>
      </w:r>
      <w:r>
        <w:t>, d</w:t>
      </w:r>
      <w:r w:rsidRPr="00582224">
        <w:t xml:space="preserve">ata was provided </w:t>
      </w:r>
      <w:r>
        <w:t>by 151 employers. Multiple responses are possible</w:t>
      </w:r>
    </w:p>
    <w:p w14:paraId="44ECA7E7" w14:textId="572D9EE6" w:rsidR="00CF1E66" w:rsidRPr="00940016" w:rsidRDefault="00CF1E66" w:rsidP="00CF1E66">
      <w:pPr>
        <w:pStyle w:val="Tablenote"/>
      </w:pPr>
      <w:r>
        <w:t>Source: WHM Employer Survey, 2021.</w:t>
      </w:r>
    </w:p>
    <w:p w14:paraId="45F21F63" w14:textId="1E98C008" w:rsidR="00CF1E66" w:rsidRDefault="00CF1E66" w:rsidP="00CF1E66">
      <w:r>
        <w:t>The employer interviews highlighted many of the same issues as the survey. The six-month limitation on work with a single employer was regularly raised by employers, particularly where work requirements or seasonal periods extend beyond six months.</w:t>
      </w:r>
      <w:r>
        <w:rPr>
          <w:rStyle w:val="FootnoteReference"/>
        </w:rPr>
        <w:footnoteReference w:id="35"/>
      </w:r>
      <w:r>
        <w:t xml:space="preserve"> For many in tourism and hospitality a key issue is realising return on the time and investment involved in training workers:</w:t>
      </w:r>
    </w:p>
    <w:p w14:paraId="74AAE3F7" w14:textId="77777777" w:rsidR="00CF1E66" w:rsidRDefault="00CF1E66" w:rsidP="00CF1E66">
      <w:pPr>
        <w:pStyle w:val="Quote"/>
      </w:pPr>
      <w:r w:rsidRPr="00FF3D88">
        <w:t xml:space="preserve">One of the big disadvantages – and we have many, many people on working holidays – one of the big disadvantages over the years for us is that they can’t extend. So they’re not eligible to do that second stint with us. Because 12 months is a very different proposition to stick to.  Usually they might take two </w:t>
      </w:r>
      <w:r>
        <w:t xml:space="preserve">[months] </w:t>
      </w:r>
      <w:r w:rsidRPr="00FF3D88">
        <w:t>to train, depending on what the role is and what their previous experience is</w:t>
      </w:r>
      <w:r w:rsidRPr="00793B4C">
        <w:t>.</w:t>
      </w:r>
      <w:r>
        <w:t xml:space="preserve"> [5]</w:t>
      </w:r>
    </w:p>
    <w:p w14:paraId="5AF8741D" w14:textId="77777777" w:rsidR="00CF1E66" w:rsidRDefault="00CF1E66" w:rsidP="00CF1E66">
      <w:pPr>
        <w:pStyle w:val="Quote"/>
      </w:pPr>
      <w:r>
        <w:t>A</w:t>
      </w:r>
      <w:r w:rsidRPr="00777D56">
        <w:t xml:space="preserve"> lot of other people I know in the </w:t>
      </w:r>
      <w:r>
        <w:t xml:space="preserve">[tourism and hospitality] </w:t>
      </w:r>
      <w:r w:rsidRPr="00777D56">
        <w:t xml:space="preserve">industry complain about that aspect. They spend all this time and effort training someone and then they’re going to leave. </w:t>
      </w:r>
      <w:r>
        <w:t>T</w:t>
      </w:r>
      <w:r w:rsidRPr="00777D56">
        <w:t>hat’s a structural issue from the government</w:t>
      </w:r>
      <w:r>
        <w:t>. [15]</w:t>
      </w:r>
    </w:p>
    <w:p w14:paraId="088B6045" w14:textId="00289818" w:rsidR="00CF1E66" w:rsidRDefault="00CF1E66" w:rsidP="00CF1E66">
      <w:r>
        <w:t xml:space="preserve">Employers across both </w:t>
      </w:r>
      <w:r w:rsidR="001A3D97">
        <w:t>bus</w:t>
      </w:r>
      <w:r w:rsidR="00BA5B28">
        <w:t>iness groups</w:t>
      </w:r>
      <w:r>
        <w:t xml:space="preserve"> called for the WHM program to extend the six-month limitation to twelve months</w:t>
      </w:r>
      <w:r w:rsidR="00E513E0" w:rsidRPr="00E513E0">
        <w:t xml:space="preserve"> </w:t>
      </w:r>
      <w:r>
        <w:t>with one employer:</w:t>
      </w:r>
    </w:p>
    <w:p w14:paraId="65F8E179" w14:textId="77777777" w:rsidR="00CF1E66" w:rsidRDefault="00CF1E66" w:rsidP="00CF1E66">
      <w:pPr>
        <w:pStyle w:val="Quote"/>
      </w:pPr>
      <w:r w:rsidRPr="00FF3D88">
        <w:t>I think that could make a huge difference and a lot of people up here who have great relationships with them, their workplaces. And not just us. On the farms and things. I just think it’s crazy to have that cap.</w:t>
      </w:r>
      <w:r>
        <w:t xml:space="preserve"> [21]</w:t>
      </w:r>
    </w:p>
    <w:p w14:paraId="17EED7D2" w14:textId="7E32ACA9" w:rsidR="00CF1E66" w:rsidRDefault="00CF1E66" w:rsidP="00CF1E66">
      <w:r>
        <w:t>The 88-day working in agriculture provision to qualify for a subsequent visa was raised by numerous employers. In the context of citrus farming, one employer noted that while the provision was useful in attracting more labour to the industry, there are WHMs in this group who are neither interested in nor well suited to farm work: ‘</w:t>
      </w:r>
      <w:r w:rsidRPr="00FF3D88">
        <w:rPr>
          <w:i/>
          <w:iCs/>
        </w:rPr>
        <w:t>they’re just here to get things ticked off’ [2].</w:t>
      </w:r>
      <w:r>
        <w:t xml:space="preserve"> From the perspective of tourism and hospitality operators, the 88-day provision </w:t>
      </w:r>
      <w:r w:rsidR="00310BE4">
        <w:t>for</w:t>
      </w:r>
      <w:r>
        <w:t xml:space="preserve"> agriculture work unduly incentivises WHMs to leave their jobs to seek agricultural work in order to obtain a visa extension:</w:t>
      </w:r>
    </w:p>
    <w:p w14:paraId="40DA463E" w14:textId="51C36585" w:rsidR="00CF1E66" w:rsidRPr="00FF3D88" w:rsidRDefault="00CF1E66" w:rsidP="00CF1E66">
      <w:pPr>
        <w:pStyle w:val="Quote"/>
      </w:pPr>
      <w:r w:rsidRPr="00FF3D88">
        <w:t xml:space="preserve">Yes.  I always pay well, and I think that’s why we get them, but sometimes it’s not only the pay that attracts them, </w:t>
      </w:r>
      <w:r w:rsidRPr="004924CB">
        <w:t>it’s</w:t>
      </w:r>
      <w:r w:rsidRPr="00FF3D88">
        <w:t xml:space="preserve"> the fact that they need to do a certain amount of hours to be able to get their next year’s visa. If you’re going to ask me what I don’t like about the system, I don’t like that it doesn’t encourage backpackers and overseas workers to stay working in hospitality.</w:t>
      </w:r>
      <w:r>
        <w:t>..</w:t>
      </w:r>
      <w:r w:rsidRPr="00FF3D88">
        <w:t xml:space="preserve"> I don’t know how many hours they’ve got to do or how many days they’ve got to do – but they do have to do a certain amount of days working on a farm</w:t>
      </w:r>
      <w:r>
        <w:t xml:space="preserve"> [to get a second or third visa]</w:t>
      </w:r>
      <w:r w:rsidRPr="00FF3D88">
        <w:t>. [9]</w:t>
      </w:r>
    </w:p>
    <w:p w14:paraId="10C57FC9" w14:textId="00F25DF3" w:rsidR="00CF1E66" w:rsidRDefault="00CF1E66" w:rsidP="00CF1E66">
      <w:r>
        <w:t>Employers advocated greater flexibility in general regarding length of WHM employment and allowing pathways to retain valuable and willing employees as a sponsoring employer. In greater recognition of acute local labour shortages, one ski resort operator argued to be able to sponsor overseas workers for housekeeping and chef or cook positions, which are under huge demand with advertised roles remaining unfilled for months. In outdoor education, which has distinctive skill requirements:</w:t>
      </w:r>
    </w:p>
    <w:p w14:paraId="03C3EB89" w14:textId="77777777" w:rsidR="00CF1E66" w:rsidRDefault="00CF1E66" w:rsidP="00CF1E66">
      <w:pPr>
        <w:pStyle w:val="Quote"/>
      </w:pPr>
      <w:r>
        <w:t xml:space="preserve"> </w:t>
      </w:r>
      <w:r w:rsidRPr="006B2BC6">
        <w:t>If we could get 12 months solid out of somebody in one state and in one place that would be better. And then the ability to identify talent from that program and put them onto different visa stream would be ideal</w:t>
      </w:r>
      <w:r>
        <w:t>. [14]</w:t>
      </w:r>
    </w:p>
    <w:p w14:paraId="2D436CF7" w14:textId="698D7270" w:rsidR="00AB3F67" w:rsidRDefault="00AB3F67" w:rsidP="00AB3F67">
      <w:pPr>
        <w:pStyle w:val="Heading3"/>
      </w:pPr>
      <w:bookmarkStart w:id="268" w:name="_Toc75878494"/>
      <w:r>
        <w:t>Complex arrang</w:t>
      </w:r>
      <w:r w:rsidR="00593EA9">
        <w:t>ements</w:t>
      </w:r>
      <w:bookmarkEnd w:id="268"/>
    </w:p>
    <w:p w14:paraId="1A691766" w14:textId="12A1EAA7" w:rsidR="00526B2D" w:rsidRDefault="004759FA" w:rsidP="00526B2D">
      <w:r>
        <w:t>S</w:t>
      </w:r>
      <w:r w:rsidR="00526B2D">
        <w:t>uperannuation arrangements figured in employers’ concerns about the WHM program</w:t>
      </w:r>
      <w:r>
        <w:t xml:space="preserve"> </w:t>
      </w:r>
      <w:r w:rsidR="00526B2D">
        <w:t>with some employers preferring to see the extra paid directly to WHMs to spend in their travels:</w:t>
      </w:r>
    </w:p>
    <w:p w14:paraId="4CB353A2" w14:textId="77777777" w:rsidR="00526B2D" w:rsidRDefault="00526B2D" w:rsidP="00526B2D">
      <w:pPr>
        <w:pStyle w:val="Quote"/>
      </w:pPr>
      <w:r w:rsidRPr="00FF3D88">
        <w:t>I have to pay them super, 9.5%, which is fine, I’m happy to do that, but I just think for them, they’re here to earn some money and they’re travelling</w:t>
      </w:r>
      <w:r>
        <w:t>…</w:t>
      </w:r>
      <w:r w:rsidRPr="00FF3D88">
        <w:t>I just think it’s such a shame. I just wish I could just give it to them other than paying super; just give them extra on the wages. Generally</w:t>
      </w:r>
      <w:r>
        <w:t>,</w:t>
      </w:r>
      <w:r w:rsidRPr="00FF3D88">
        <w:t xml:space="preserve"> they spend it anyway on the Victorian economy while they’re travelling, so that’s the one thing I wish that could be changed</w:t>
      </w:r>
      <w:r w:rsidRPr="001427D6">
        <w:t>.</w:t>
      </w:r>
      <w:r>
        <w:t xml:space="preserve"> [3]</w:t>
      </w:r>
    </w:p>
    <w:p w14:paraId="169C54CE" w14:textId="77777777" w:rsidR="00526B2D" w:rsidRDefault="00526B2D" w:rsidP="00526B2D">
      <w:pPr>
        <w:pStyle w:val="Quote"/>
      </w:pPr>
      <w:r>
        <w:t>You know these people are here for two years on average and they’re required to contribute ten percent into superannuation…whereas any salary that they earn in Australia, they spend in Australia.  Very few backpackers leave the country with money in the bank. [15]</w:t>
      </w:r>
    </w:p>
    <w:p w14:paraId="3AC7DE5F" w14:textId="77777777" w:rsidR="004A11A7" w:rsidRDefault="004A11A7" w:rsidP="004A11A7">
      <w:r>
        <w:t>One view expressed by a tour business employer was that more complex WHM visa regulations and tax and superannuation arrangements are placing Australia at a competitive disadvantage in attracting WHMs:</w:t>
      </w:r>
    </w:p>
    <w:p w14:paraId="39238AEC" w14:textId="77777777" w:rsidR="00CF1E66" w:rsidRDefault="00CF1E66" w:rsidP="00CF1E66">
      <w:pPr>
        <w:pStyle w:val="Quote"/>
      </w:pPr>
      <w:r>
        <w:t>I</w:t>
      </w:r>
      <w:r w:rsidRPr="00FF3D88">
        <w:t>n the past the appeal of Australia as a destination for working holiday</w:t>
      </w:r>
      <w:r>
        <w:t xml:space="preserve"> </w:t>
      </w:r>
      <w:r w:rsidRPr="00FF3D88">
        <w:t>makers has been the diversity, you can do so much when you come here. It was really easy for them come in</w:t>
      </w:r>
      <w:r>
        <w:t>…</w:t>
      </w:r>
      <w:r w:rsidRPr="00FF3D88">
        <w:t xml:space="preserve"> but now there’s countries in South America and other places that they’re like, “It’s just so easy. We just get in there” and they do work, they get to travel. </w:t>
      </w:r>
      <w:r>
        <w:t>T</w:t>
      </w:r>
      <w:r w:rsidRPr="00FF3D88">
        <w:t>here’s no feeling of any restrictions and they don’t really pay much tax after they leave, and they’ve got all this money to continue to travel</w:t>
      </w:r>
      <w:r>
        <w:t xml:space="preserve">… </w:t>
      </w:r>
      <w:r w:rsidRPr="00FF3D88">
        <w:t>wherever there’s paperwork and red tape, these people are often really young and so they don’t handle the paperwork as well – as well as what you and I would.</w:t>
      </w:r>
      <w:r>
        <w:t xml:space="preserve"> [11]</w:t>
      </w:r>
    </w:p>
    <w:p w14:paraId="3E250879" w14:textId="77777777" w:rsidR="00314337" w:rsidRDefault="00314337" w:rsidP="00314337">
      <w:r>
        <w:t xml:space="preserve">Agricultural employers raised the operation of the horticulture award and the potential of WHMs to contribute business operations. According to one citrus farmer, rainfall halts work mid-week, however, make-up work on the weekend is constrained by penalty rates; and regulated working hours are not an ideal fit for the nature of the work: </w:t>
      </w:r>
    </w:p>
    <w:p w14:paraId="3360B0A9" w14:textId="77777777" w:rsidR="00CF1E66" w:rsidRDefault="00CF1E66" w:rsidP="00CF1E66">
      <w:pPr>
        <w:pStyle w:val="Quote"/>
      </w:pPr>
      <w:r>
        <w:t>W</w:t>
      </w:r>
      <w:r w:rsidRPr="00FF3D88">
        <w:t>e can’t start too early because of our new awards whereas, particularly these Europeans, in summer they want to start the moment the sun is up and get to work and get out of the heat by lunchtime.</w:t>
      </w:r>
      <w:r>
        <w:t xml:space="preserve"> [2]</w:t>
      </w:r>
    </w:p>
    <w:p w14:paraId="1F66227B" w14:textId="095229EC" w:rsidR="00CF1E66" w:rsidRDefault="00CF1E66" w:rsidP="00CF1E66">
      <w:r>
        <w:t>In reflecting on the WHM program in general, employers identified potential forms of government assistance that would be useful in supporting the program. A consistent message was to open</w:t>
      </w:r>
      <w:r w:rsidR="70EC8B5A">
        <w:t xml:space="preserve"> Australia’s international </w:t>
      </w:r>
      <w:r>
        <w:t xml:space="preserve">borders as soon as feasibly and safely possible, and to fast track the entry of WHMs not just for agriculture but across all </w:t>
      </w:r>
      <w:r w:rsidR="008C10BA">
        <w:t>business sectors</w:t>
      </w:r>
      <w:r>
        <w:t xml:space="preserve"> experiencing acute workforce shortages. More generally, employers not already benefitting from this argued strongly to extend the six-month working with a single employer provision to twelve months, in recognition of the extensive training and investment in WHMs by employers. To build the pool of workers, employers suggested expanding the list of partner countries and increasing the age limit to 35 or 40 years. In one case, to address the problem of WHM transience, an employer suggested government assistance to incentivise WHMs to stay with employers for a fixed term:</w:t>
      </w:r>
    </w:p>
    <w:p w14:paraId="2C458F6B" w14:textId="77777777" w:rsidR="00CF1E66" w:rsidRDefault="00CF1E66" w:rsidP="00CF1E66">
      <w:pPr>
        <w:pStyle w:val="Quote"/>
      </w:pPr>
      <w:r w:rsidRPr="00FF3D88">
        <w:t>Should that be on the employer – should the employer have to pay that on top of award rates plus weekend penalties? Or can the Australian Government support businesses by offering an incentive to the employee if they stay with that employer for a set period of time? Whether that’s six months or whether that’s nine months. I’d be happy with six months and then if they want to stay on – happy days.</w:t>
      </w:r>
      <w:r>
        <w:t xml:space="preserve"> [21]</w:t>
      </w:r>
    </w:p>
    <w:p w14:paraId="039BC155" w14:textId="77777777" w:rsidR="00CF1E66" w:rsidRDefault="00CF1E66" w:rsidP="00CF1E66">
      <w:r>
        <w:t>Many employers highlighted what they perceived to be anomalies in their regional classifications, whereby they miss out on qualifying WHMs for visa extensions. This was particularly the case for ski field operators and offshore resorts, where access to labour is particularly problematic. There is a view that measures to encourage workers to mobilise in areas of need should specifically target acute workforce shortage conditions rather than be pinned to particular regions or industries.</w:t>
      </w:r>
    </w:p>
    <w:p w14:paraId="09549BF8" w14:textId="455E8C5D" w:rsidR="00CF1E66" w:rsidRDefault="00CF1E66" w:rsidP="00CF1E66">
      <w:r>
        <w:t>Several employers highlighted the need to incentivise more WHMs to come to Australia, principally by addressing tax and superannuation arrangements so that WHMs receive higher payments, which they expect will be reinvested into local economies:</w:t>
      </w:r>
    </w:p>
    <w:p w14:paraId="0DF03484" w14:textId="77777777" w:rsidR="00CF1E66" w:rsidRPr="00FF3D88" w:rsidRDefault="00CF1E66" w:rsidP="00CF1E66">
      <w:pPr>
        <w:pStyle w:val="Quote"/>
      </w:pPr>
      <w:r>
        <w:t>G</w:t>
      </w:r>
      <w:r w:rsidRPr="00FF3D88">
        <w:t>oing back to the old taxation scheme where once they left the country then they could claim a lot of the tax back. I think at the moment they’re paying a much higher tax rate as well than what residents do. It just limits their spending, and these people who</w:t>
      </w:r>
      <w:r>
        <w:t xml:space="preserve">… </w:t>
      </w:r>
      <w:r w:rsidRPr="00FF3D88">
        <w:t>have those experiences</w:t>
      </w:r>
      <w:r>
        <w:t>,</w:t>
      </w:r>
      <w:r w:rsidRPr="00FF3D88">
        <w:t xml:space="preserve"> they’re over here and that’s </w:t>
      </w:r>
      <w:r w:rsidRPr="00DA79DF">
        <w:t>where</w:t>
      </w:r>
      <w:r w:rsidRPr="00FF3D88">
        <w:t xml:space="preserve"> that extra money is going to go</w:t>
      </w:r>
      <w:r>
        <w:t xml:space="preserve">… </w:t>
      </w:r>
      <w:r w:rsidRPr="00FF3D88">
        <w:t>They’re going to want to experience everything they can and push that money back into the economy here and that will go through the tourism industry as a whole.</w:t>
      </w:r>
      <w:r>
        <w:t xml:space="preserve"> [11]</w:t>
      </w:r>
    </w:p>
    <w:p w14:paraId="5AE682AA" w14:textId="5367D520" w:rsidR="00036E53" w:rsidRDefault="00036E53" w:rsidP="00036E53">
      <w:pPr>
        <w:pStyle w:val="Heading3"/>
      </w:pPr>
      <w:bookmarkStart w:id="269" w:name="_Toc75878495"/>
      <w:r>
        <w:t>Increas</w:t>
      </w:r>
      <w:r w:rsidR="00EC34E0">
        <w:t>ed</w:t>
      </w:r>
      <w:r>
        <w:t xml:space="preserve"> support for employers</w:t>
      </w:r>
      <w:bookmarkEnd w:id="269"/>
    </w:p>
    <w:p w14:paraId="531B6100" w14:textId="3E87CDBF" w:rsidR="00CF1E66" w:rsidRDefault="00CF1E66" w:rsidP="00CF1E66">
      <w:r>
        <w:t xml:space="preserve">At a functional level, employers identified a centralised employment register or job board hosted on a government website to assist employers with limited social media skills, and clear information (including a single contact number) to assist new and existing employers to understand the complexities of the program. </w:t>
      </w:r>
    </w:p>
    <w:p w14:paraId="05191BCA" w14:textId="77777777" w:rsidR="00F011B7" w:rsidRDefault="00F011B7" w:rsidP="00F011B7">
      <w:r>
        <w:t>From within agriculture, several employers highlighted a need for the government to better communicate with growers about their workforce needs. One citrus farmer conveyed the perception that government does not fully understand degree of resistance to the jobs on offer within the local workforce:</w:t>
      </w:r>
    </w:p>
    <w:p w14:paraId="309F5FF2" w14:textId="77777777" w:rsidR="00CF1E66" w:rsidRDefault="00CF1E66" w:rsidP="00CF1E66">
      <w:pPr>
        <w:pStyle w:val="Quote"/>
      </w:pPr>
      <w:r w:rsidRPr="00FF3D88">
        <w:t>But I think a lot of them don’t believe that it’s that hard</w:t>
      </w:r>
      <w:r>
        <w:t xml:space="preserve"> - t</w:t>
      </w:r>
      <w:r w:rsidRPr="00FF3D88">
        <w:t>hat hard to get workers. They don’t believe that we should have to get working holiday makers in. Like, why can’t you just get locals</w:t>
      </w:r>
      <w:r w:rsidRPr="009130FA">
        <w:t>?</w:t>
      </w:r>
      <w:r>
        <w:t xml:space="preserve"> [17]</w:t>
      </w:r>
    </w:p>
    <w:p w14:paraId="6D309D01" w14:textId="7AECF7EB" w:rsidR="00CF1E66" w:rsidRDefault="00CF1E66" w:rsidP="00CF1E66">
      <w:r>
        <w:t>This was supported by a cattle breeder who called for better consultation with industry about designing a program to transition job seekers into industry workforce gaps.</w:t>
      </w:r>
    </w:p>
    <w:p w14:paraId="00223A01" w14:textId="2729F546" w:rsidR="00291004" w:rsidRDefault="00291004" w:rsidP="00291004">
      <w:r>
        <w:t>Greater government oversight over the workings of labour hire companies was raised by a few agricultural employers. It was observed that some labour hire companies were engaged in questionable practices. Improved regulation (rather than placing the onus on growers) and greater consistency in labour hire arrangements across the industry were advocated:</w:t>
      </w:r>
    </w:p>
    <w:p w14:paraId="22EF92E1" w14:textId="77777777" w:rsidR="00CF1E66" w:rsidRDefault="00CF1E66" w:rsidP="00CF1E66">
      <w:pPr>
        <w:pStyle w:val="Quote"/>
      </w:pPr>
      <w:r w:rsidRPr="00F4010A">
        <w:t>I feel every contractor should be doing the same thing for the worker. The workers o</w:t>
      </w:r>
      <w:r>
        <w:t>n</w:t>
      </w:r>
      <w:r w:rsidRPr="00F4010A">
        <w:t xml:space="preserve"> one farm really should be doing the same as the next farm.</w:t>
      </w:r>
      <w:r>
        <w:t xml:space="preserve"> [17]</w:t>
      </w:r>
    </w:p>
    <w:p w14:paraId="304D2A2B" w14:textId="77777777" w:rsidR="0098597A" w:rsidRDefault="0098597A" w:rsidP="0098597A">
      <w:r>
        <w:t>Finally, there was a call for government to take more initiative eliminating WHM exploitation by a minority of disreputable employers, to repair the image of Australian employers who are in the majority engaging WHMs in the true spirit of the program:</w:t>
      </w:r>
    </w:p>
    <w:p w14:paraId="1AEE02B0" w14:textId="77777777" w:rsidR="00CF1E66" w:rsidRPr="00C528B3" w:rsidRDefault="00CF1E66" w:rsidP="00CF1E66">
      <w:pPr>
        <w:pStyle w:val="Quote"/>
      </w:pPr>
      <w:r w:rsidRPr="00302BC4">
        <w:t>So there’s two things. Can we please start smashing down on the employers who are doing the wrong thing by working holiday</w:t>
      </w:r>
      <w:r>
        <w:t xml:space="preserve"> </w:t>
      </w:r>
      <w:r w:rsidRPr="00302BC4">
        <w:t>makers. They are ruining it for the rest of us. And the second thing is, can we please start getting some good news stories about these backpackers who have had a fantastic time. And can we please start focusing on that to support the industry. I feel like there’s no pushback. I wish the media of Australia would help us or National Farmers Federation or something. I feel like there’s so much focus on the negative people at the moment and there’s not enough focus on the rest of us who are doing the right thing and getting great relationships and kicking goals for the working holiday</w:t>
      </w:r>
      <w:r>
        <w:t xml:space="preserve"> </w:t>
      </w:r>
      <w:r w:rsidRPr="00302BC4">
        <w:t>makers</w:t>
      </w:r>
      <w:r>
        <w:t xml:space="preserve">… </w:t>
      </w:r>
      <w:r w:rsidRPr="008C54D2">
        <w:t>If people can’t treat backpackers decently and treasure them for what they bring to their business, then they should be not allowed to take on backpackers or whatever. It’s not okay that the rest of us have to suffer the bad image</w:t>
      </w:r>
      <w:r>
        <w:t>. [18]</w:t>
      </w:r>
    </w:p>
    <w:p w14:paraId="37E9DC40" w14:textId="77777777" w:rsidR="00CF1E66" w:rsidRPr="00873A45" w:rsidRDefault="00CF1E66" w:rsidP="00CF1E66"/>
    <w:p w14:paraId="21B35393" w14:textId="77777777" w:rsidR="00CF1E66" w:rsidRPr="00BA001B" w:rsidRDefault="00CF1E66" w:rsidP="00CF1E66"/>
    <w:p w14:paraId="735E6DD0" w14:textId="797B1DC2" w:rsidR="008947C1" w:rsidRDefault="003B0F05" w:rsidP="008947C1">
      <w:pPr>
        <w:pStyle w:val="Heading1"/>
      </w:pPr>
      <w:bookmarkStart w:id="270" w:name="_Ref75186467"/>
      <w:r>
        <w:t xml:space="preserve"> </w:t>
      </w:r>
      <w:bookmarkStart w:id="271" w:name="_Toc75878496"/>
      <w:r w:rsidR="00D66AAC">
        <w:t>Employers: Impact of COVID-19</w:t>
      </w:r>
      <w:bookmarkEnd w:id="270"/>
      <w:bookmarkEnd w:id="271"/>
    </w:p>
    <w:p w14:paraId="26600F22" w14:textId="51C123DC" w:rsidR="00C4263C" w:rsidRPr="00C4263C" w:rsidRDefault="005234BA" w:rsidP="00C4263C">
      <w:r>
        <w:t xml:space="preserve">To account for the unexpected impact of COVID-19 </w:t>
      </w:r>
      <w:r w:rsidR="00A54BBC">
        <w:t xml:space="preserve">on the WHM landscape </w:t>
      </w:r>
      <w:r>
        <w:t>during 2020 and 2021, e</w:t>
      </w:r>
      <w:r w:rsidR="00FE3B1E">
        <w:t xml:space="preserve">mployers of WHMs were </w:t>
      </w:r>
      <w:r w:rsidR="002E7F43">
        <w:t xml:space="preserve">asked to provide perspectives on </w:t>
      </w:r>
      <w:r w:rsidR="00A54BBC">
        <w:t>the program generally</w:t>
      </w:r>
      <w:r w:rsidR="007309C7">
        <w:t xml:space="preserve"> and then to pinpoint </w:t>
      </w:r>
      <w:r w:rsidR="000A07DA">
        <w:t xml:space="preserve">COVID-19 related issues and experiences. This section </w:t>
      </w:r>
      <w:r w:rsidR="000B0D7E">
        <w:t xml:space="preserve">outlines </w:t>
      </w:r>
      <w:r w:rsidR="00022AED">
        <w:t>the specific impact of COVID-19 on business operations</w:t>
      </w:r>
      <w:r w:rsidR="0004418C">
        <w:t xml:space="preserve"> and </w:t>
      </w:r>
      <w:r w:rsidR="00484ADF">
        <w:t xml:space="preserve">perceived </w:t>
      </w:r>
      <w:r w:rsidR="0004418C">
        <w:t>viability into the future</w:t>
      </w:r>
      <w:r w:rsidR="00484ADF">
        <w:t xml:space="preserve">, as well as responses and needs from an employer perspective. </w:t>
      </w:r>
    </w:p>
    <w:p w14:paraId="2E05EF0B" w14:textId="5A3253B8" w:rsidR="008947C1" w:rsidRDefault="003A673A" w:rsidP="00FE77D8">
      <w:pPr>
        <w:pStyle w:val="Heading2"/>
      </w:pPr>
      <w:bookmarkStart w:id="272" w:name="_Toc75878497"/>
      <w:r>
        <w:t>Change in b</w:t>
      </w:r>
      <w:r w:rsidR="00DF5BAA">
        <w:t>usiness size</w:t>
      </w:r>
      <w:r w:rsidR="006C3BAE">
        <w:t>, 2019-2020</w:t>
      </w:r>
      <w:bookmarkEnd w:id="272"/>
    </w:p>
    <w:p w14:paraId="2416C455" w14:textId="6C63CF05" w:rsidR="00F95966" w:rsidRPr="00BC393E" w:rsidRDefault="00A87562" w:rsidP="00F95966">
      <w:r w:rsidRPr="005547EF">
        <w:t xml:space="preserve">In 2019, </w:t>
      </w:r>
      <w:r w:rsidR="009B2AAB">
        <w:t>surveyed</w:t>
      </w:r>
      <w:r w:rsidRPr="005547EF">
        <w:t xml:space="preserve"> businesses employed a total of 3,202 core staff. This reduced by 11.0% to 2,850 in 2020.</w:t>
      </w:r>
      <w:r w:rsidR="00F95966" w:rsidRPr="00F95966">
        <w:t xml:space="preserve"> </w:t>
      </w:r>
      <w:r w:rsidR="00F95966" w:rsidRPr="005547EF">
        <w:t xml:space="preserve">Based on the core number of employees, </w:t>
      </w:r>
      <w:r w:rsidR="00F95966">
        <w:t xml:space="preserve">employer </w:t>
      </w:r>
      <w:r w:rsidR="00F95966" w:rsidRPr="005547EF">
        <w:t xml:space="preserve">businesses were categorised into </w:t>
      </w:r>
      <w:r w:rsidR="007F7212">
        <w:t xml:space="preserve">ABS classifications of </w:t>
      </w:r>
      <w:r w:rsidR="00F95966" w:rsidRPr="005547EF">
        <w:t>micro (0-4 employees), small (5-19 employees), medium (20-199 employees) and large (200+ employees) for 2019</w:t>
      </w:r>
      <w:r w:rsidR="00F95966">
        <w:t xml:space="preserve"> and 2020. From 2019 to 2020 there was a marginal increase in the number of micro businesses with a corresponding decrease in the number of medium businesses (see </w:t>
      </w:r>
      <w:r w:rsidR="00F95966">
        <w:fldChar w:fldCharType="begin"/>
      </w:r>
      <w:r w:rsidR="00F95966">
        <w:instrText xml:space="preserve"> REF _Ref75175886 \h </w:instrText>
      </w:r>
      <w:r w:rsidR="00F95966">
        <w:fldChar w:fldCharType="separate"/>
      </w:r>
      <w:r w:rsidR="00F22012">
        <w:t xml:space="preserve">Figure </w:t>
      </w:r>
      <w:r w:rsidR="00F22012">
        <w:rPr>
          <w:noProof/>
        </w:rPr>
        <w:t>10</w:t>
      </w:r>
      <w:r w:rsidR="00F22012">
        <w:noBreakHyphen/>
      </w:r>
      <w:r w:rsidR="00F22012">
        <w:rPr>
          <w:noProof/>
        </w:rPr>
        <w:t>1</w:t>
      </w:r>
      <w:r w:rsidR="00F95966">
        <w:fldChar w:fldCharType="end"/>
      </w:r>
      <w:r w:rsidR="00F95966">
        <w:t>)</w:t>
      </w:r>
      <w:r w:rsidR="00F95966" w:rsidRPr="005547EF">
        <w:t>.</w:t>
      </w:r>
      <w:r w:rsidR="00F95966">
        <w:t xml:space="preserve"> </w:t>
      </w:r>
    </w:p>
    <w:p w14:paraId="34DDF18F" w14:textId="78AE341E" w:rsidR="009B2AAB" w:rsidRDefault="009B2AAB" w:rsidP="009B2AAB">
      <w:pPr>
        <w:pStyle w:val="Caption"/>
      </w:pPr>
      <w:bookmarkStart w:id="273" w:name="_Ref75175886"/>
      <w:bookmarkStart w:id="274" w:name="_Toc75878584"/>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1</w:t>
      </w:r>
      <w:r w:rsidR="008949B3">
        <w:rPr>
          <w:noProof/>
        </w:rPr>
        <w:fldChar w:fldCharType="end"/>
      </w:r>
      <w:bookmarkEnd w:id="273"/>
      <w:r>
        <w:t>: Business size by year</w:t>
      </w:r>
      <w:bookmarkEnd w:id="274"/>
    </w:p>
    <w:p w14:paraId="4188D6D0" w14:textId="77777777" w:rsidR="009B2AAB" w:rsidRDefault="009B2AAB" w:rsidP="009B2AAB">
      <w:pPr>
        <w:keepNext/>
        <w:keepLines/>
      </w:pPr>
      <w:r>
        <w:rPr>
          <w:noProof/>
          <w:lang w:eastAsia="en-AU"/>
        </w:rPr>
        <w:drawing>
          <wp:inline distT="0" distB="0" distL="0" distR="0" wp14:anchorId="37A1A905" wp14:editId="44BB9866">
            <wp:extent cx="4457700" cy="1871932"/>
            <wp:effectExtent l="0" t="0" r="0" b="14605"/>
            <wp:docPr id="35" name="Chart 35" descr="Chart shows what size businesses employ working holiday makers and compares 2019 and 2020 data. The business are classified as micro, small, medium and large. In both years small business employed the largest number of working holiday makers">
              <a:extLst xmlns:a="http://schemas.openxmlformats.org/drawingml/2006/main">
                <a:ext uri="{FF2B5EF4-FFF2-40B4-BE49-F238E27FC236}">
                  <a16:creationId xmlns:a16="http://schemas.microsoft.com/office/drawing/2014/main" id="{AAD718C4-A1B7-494A-8779-E5CF36CBF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9A5B790" w14:textId="77777777" w:rsidR="009B2AAB" w:rsidRDefault="009B2AAB" w:rsidP="009B2AAB">
      <w:pPr>
        <w:pStyle w:val="Tablenote"/>
        <w:keepNext/>
        <w:keepLines/>
      </w:pPr>
      <w:r w:rsidRPr="00582224">
        <w:t>Note</w:t>
      </w:r>
      <w:r>
        <w:t>, d</w:t>
      </w:r>
      <w:r w:rsidRPr="00582224">
        <w:t xml:space="preserve">ata was provided </w:t>
      </w:r>
      <w:r>
        <w:t>for 160 employers for 2019 and 153 businesses for 2020</w:t>
      </w:r>
      <w:r w:rsidRPr="00582224">
        <w:t>.</w:t>
      </w:r>
      <w:r>
        <w:t xml:space="preserve"> Only three large businesses participated in the survey.</w:t>
      </w:r>
    </w:p>
    <w:p w14:paraId="6941130B" w14:textId="70482454" w:rsidR="00237915" w:rsidRDefault="009B2AAB" w:rsidP="0082664D">
      <w:pPr>
        <w:pStyle w:val="Tablenote"/>
      </w:pPr>
      <w:r>
        <w:t>Source: WHM Employer Survey, 2021.</w:t>
      </w:r>
    </w:p>
    <w:p w14:paraId="41E42003" w14:textId="2B54F9B9" w:rsidR="0062531C" w:rsidRDefault="00AF0A7F" w:rsidP="00FE77D8">
      <w:pPr>
        <w:pStyle w:val="Heading2"/>
      </w:pPr>
      <w:bookmarkStart w:id="275" w:name="_Toc75878498"/>
      <w:bookmarkStart w:id="276" w:name="_Ref75939618"/>
      <w:bookmarkStart w:id="277" w:name="_Ref75939636"/>
      <w:r>
        <w:t xml:space="preserve">Access to seasonal </w:t>
      </w:r>
      <w:r w:rsidR="004A6CC8">
        <w:t>workers</w:t>
      </w:r>
      <w:bookmarkEnd w:id="275"/>
      <w:bookmarkEnd w:id="276"/>
      <w:bookmarkEnd w:id="277"/>
    </w:p>
    <w:p w14:paraId="1EC6FC03" w14:textId="69AE91D7" w:rsidR="0092680D" w:rsidRDefault="0038319F" w:rsidP="0092680D">
      <w:r>
        <w:t>Agriculture, tourism and hospitality businesses</w:t>
      </w:r>
      <w:r w:rsidR="00C229F8">
        <w:t xml:space="preserve"> traditionally manage times of </w:t>
      </w:r>
      <w:r w:rsidR="00D85EA5">
        <w:t xml:space="preserve">both </w:t>
      </w:r>
      <w:r w:rsidR="00C229F8">
        <w:t>high (peak season)</w:t>
      </w:r>
      <w:r w:rsidR="00D85EA5">
        <w:t xml:space="preserve"> and low (off season)</w:t>
      </w:r>
      <w:r w:rsidR="00C229F8">
        <w:t xml:space="preserve"> demand</w:t>
      </w:r>
      <w:r w:rsidR="005969DC">
        <w:t>. This is particularly the case for businesses in tropical and/or regional areas</w:t>
      </w:r>
      <w:r w:rsidR="00CB25F0">
        <w:t>.</w:t>
      </w:r>
      <w:r w:rsidR="00C96199">
        <w:t xml:space="preserve"> </w:t>
      </w:r>
      <w:r w:rsidR="008643BF" w:rsidRPr="005547EF">
        <w:t>During periods of high demand employers hire additional workers to manage peak seasonal operations</w:t>
      </w:r>
      <w:r w:rsidR="000678EF">
        <w:t>.</w:t>
      </w:r>
      <w:r w:rsidR="004C52C1">
        <w:t xml:space="preserve"> </w:t>
      </w:r>
      <w:r w:rsidR="00B833AA">
        <w:t>With the</w:t>
      </w:r>
      <w:r w:rsidR="0092680D">
        <w:t xml:space="preserve"> limited availability of local labour reported for seasonal positions, WHMs have traditionally filled a key gap in performing these roles.</w:t>
      </w:r>
      <w:r w:rsidR="0092680D" w:rsidRPr="005547EF">
        <w:rPr>
          <w:rStyle w:val="FootnoteReference"/>
        </w:rPr>
        <w:footnoteReference w:id="36"/>
      </w:r>
      <w:r w:rsidR="0092680D">
        <w:t xml:space="preserve"> As discussed in Section </w:t>
      </w:r>
      <w:r w:rsidR="009A78E8">
        <w:fldChar w:fldCharType="begin"/>
      </w:r>
      <w:r w:rsidR="009A78E8">
        <w:instrText xml:space="preserve"> REF _Ref75788787 \r \h </w:instrText>
      </w:r>
      <w:r w:rsidR="009A78E8">
        <w:fldChar w:fldCharType="separate"/>
      </w:r>
      <w:r w:rsidR="00F22012">
        <w:t>2.5</w:t>
      </w:r>
      <w:r w:rsidR="009A78E8">
        <w:fldChar w:fldCharType="end"/>
      </w:r>
      <w:r w:rsidR="0092680D">
        <w:t xml:space="preserve">, </w:t>
      </w:r>
      <w:r w:rsidR="00D3711A">
        <w:t>corresponding with</w:t>
      </w:r>
      <w:r w:rsidR="0092680D">
        <w:t xml:space="preserve"> the </w:t>
      </w:r>
      <w:r w:rsidR="00D3711A">
        <w:t>onset</w:t>
      </w:r>
      <w:r w:rsidR="0092680D">
        <w:t xml:space="preserve"> of COVID-19 the </w:t>
      </w:r>
      <w:r w:rsidR="00BA7635">
        <w:t xml:space="preserve">total </w:t>
      </w:r>
      <w:r w:rsidR="0092680D">
        <w:t xml:space="preserve">number of WHM visas declined </w:t>
      </w:r>
      <w:r w:rsidR="00BA7635">
        <w:t>by</w:t>
      </w:r>
      <w:r w:rsidR="009A78E8">
        <w:t xml:space="preserve"> 78%</w:t>
      </w:r>
      <w:r w:rsidR="00BA7635">
        <w:t xml:space="preserve"> from</w:t>
      </w:r>
      <w:r w:rsidR="0092680D">
        <w:t xml:space="preserve"> 2019-20 to </w:t>
      </w:r>
      <w:r w:rsidR="00BA7635">
        <w:t>March 31, 2021</w:t>
      </w:r>
      <w:r w:rsidR="00D03C24">
        <w:t>.</w:t>
      </w:r>
      <w:r w:rsidR="0092680D">
        <w:t xml:space="preserve"> </w:t>
      </w:r>
      <w:r w:rsidR="00922DA1">
        <w:t xml:space="preserve">Survey results </w:t>
      </w:r>
      <w:r w:rsidR="00C9722C">
        <w:t>point to</w:t>
      </w:r>
      <w:r w:rsidR="0092680D">
        <w:t xml:space="preserve"> significant implications for access to WHMs at times of high workforce demand. </w:t>
      </w:r>
    </w:p>
    <w:p w14:paraId="70B529F5" w14:textId="2BB612A5" w:rsidR="00787A0B" w:rsidRDefault="004A4813" w:rsidP="00E566EB">
      <w:pPr>
        <w:pStyle w:val="Heading3"/>
      </w:pPr>
      <w:bookmarkStart w:id="278" w:name="_Toc75878499"/>
      <w:r>
        <w:t>S</w:t>
      </w:r>
      <w:r w:rsidR="004A6CC8">
        <w:t xml:space="preserve">easonal </w:t>
      </w:r>
      <w:r w:rsidR="00853BCE">
        <w:t>workers required</w:t>
      </w:r>
      <w:r w:rsidR="00A874F7">
        <w:t>, 2019-2020</w:t>
      </w:r>
      <w:bookmarkEnd w:id="278"/>
    </w:p>
    <w:p w14:paraId="4410FA36" w14:textId="77777777" w:rsidR="003B635C" w:rsidRDefault="00C724A3" w:rsidP="008947C1">
      <w:r w:rsidRPr="00C724A3">
        <w:t xml:space="preserve">In 2019 businesses reported requiring an additional 4,894 staff during periods of high demand. In 2020 the number decreased by 12.2%, down to 4,298 additional staff required. The ratio of additional staff to core staff remained constant across the two years at about 2.5 times.  </w:t>
      </w:r>
    </w:p>
    <w:p w14:paraId="6DFF1214" w14:textId="654B2578" w:rsidR="00001780" w:rsidRDefault="008947C1" w:rsidP="008947C1">
      <w:r>
        <w:t xml:space="preserve">The number of additional high demand </w:t>
      </w:r>
      <w:r w:rsidR="05251A72">
        <w:t xml:space="preserve">positions </w:t>
      </w:r>
      <w:r w:rsidR="05251A72" w:rsidRPr="000340C9">
        <w:t>required</w:t>
      </w:r>
      <w:r>
        <w:t xml:space="preserve"> in micro and medium-sized businesses reduced by 28.5% and 20.5% respectively</w:t>
      </w:r>
      <w:r w:rsidR="00D71860">
        <w:t xml:space="preserve"> from 2019 to 2020</w:t>
      </w:r>
      <w:r>
        <w:t xml:space="preserve"> (see </w:t>
      </w:r>
      <w:r w:rsidR="00592185">
        <w:fldChar w:fldCharType="begin"/>
      </w:r>
      <w:r w:rsidR="00592185">
        <w:instrText xml:space="preserve"> REF _Ref73017018 \h </w:instrText>
      </w:r>
      <w:r w:rsidR="00592185">
        <w:fldChar w:fldCharType="separate"/>
      </w:r>
      <w:r w:rsidR="00F22012">
        <w:t xml:space="preserve">Figure </w:t>
      </w:r>
      <w:r w:rsidR="00F22012">
        <w:rPr>
          <w:noProof/>
        </w:rPr>
        <w:t>10</w:t>
      </w:r>
      <w:r w:rsidR="00F22012">
        <w:noBreakHyphen/>
      </w:r>
      <w:r w:rsidR="00F22012">
        <w:rPr>
          <w:noProof/>
        </w:rPr>
        <w:t>2</w:t>
      </w:r>
      <w:r w:rsidR="00592185">
        <w:fldChar w:fldCharType="end"/>
      </w:r>
      <w:r>
        <w:t>), whereas the number remained static in small businesses.</w:t>
      </w:r>
    </w:p>
    <w:p w14:paraId="6B65F19E" w14:textId="1BD379C8" w:rsidR="00001780" w:rsidRDefault="00477514" w:rsidP="008947C1">
      <w:r w:rsidRPr="00477514">
        <w:t>The number of additional high demand positions required in micro and medium-sized businesses reduced by 28.5% and 20.5% respectively from 2019 to 2020 (see Figure 10 2), whereas the number remained static in small businesses. Reductions in positions required likely reflect decreased demand for seasonal services, hence reduced need for seasonal staff in businesses of this size.</w:t>
      </w:r>
    </w:p>
    <w:p w14:paraId="630A7B4D" w14:textId="335EF5C7" w:rsidR="008947C1" w:rsidRDefault="008947C1" w:rsidP="008947C1">
      <w:pPr>
        <w:pStyle w:val="Caption"/>
      </w:pPr>
      <w:bookmarkStart w:id="279" w:name="_Ref73017018"/>
      <w:bookmarkStart w:id="280" w:name="_Toc75878585"/>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2</w:t>
      </w:r>
      <w:r w:rsidR="008949B3">
        <w:rPr>
          <w:noProof/>
        </w:rPr>
        <w:fldChar w:fldCharType="end"/>
      </w:r>
      <w:bookmarkEnd w:id="279"/>
      <w:r>
        <w:t>: Number of additional high demand positions</w:t>
      </w:r>
      <w:r w:rsidR="00F80A46">
        <w:t xml:space="preserve"> required</w:t>
      </w:r>
      <w:r w:rsidR="001D1EFC">
        <w:t>,</w:t>
      </w:r>
      <w:r>
        <w:t xml:space="preserve"> by business size</w:t>
      </w:r>
      <w:bookmarkEnd w:id="280"/>
    </w:p>
    <w:p w14:paraId="24292565" w14:textId="77777777" w:rsidR="008947C1" w:rsidRDefault="008947C1" w:rsidP="008947C1">
      <w:r>
        <w:rPr>
          <w:noProof/>
          <w:lang w:eastAsia="en-AU"/>
        </w:rPr>
        <w:drawing>
          <wp:inline distT="0" distB="0" distL="0" distR="0" wp14:anchorId="2739842F" wp14:editId="6AF9731E">
            <wp:extent cx="4320000" cy="2160000"/>
            <wp:effectExtent l="0" t="0" r="4445" b="12065"/>
            <wp:docPr id="14" name="Chart 14" descr="Chart compares the number working holiday makers employed in 2019 and 2020 by micro, small, medium and large business. Medium companies employed the greatest amount with 2514 additional high demand positions required in 2019 and 1999 required in 2020.  ">
              <a:extLst xmlns:a="http://schemas.openxmlformats.org/drawingml/2006/main">
                <a:ext uri="{FF2B5EF4-FFF2-40B4-BE49-F238E27FC236}">
                  <a16:creationId xmlns:a16="http://schemas.microsoft.com/office/drawing/2014/main" id="{24DB68BA-178E-43A6-9851-352EB1E42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98C6729" w14:textId="61382CB7" w:rsidR="008947C1" w:rsidRDefault="008947C1" w:rsidP="008947C1">
      <w:pPr>
        <w:pStyle w:val="Tablenote"/>
      </w:pPr>
      <w:r w:rsidRPr="00582224">
        <w:t>Note</w:t>
      </w:r>
      <w:r>
        <w:t xml:space="preserve">, </w:t>
      </w:r>
      <w:r w:rsidR="00BB3E2C">
        <w:t>d</w:t>
      </w:r>
      <w:r w:rsidR="00BB3E2C" w:rsidRPr="00582224">
        <w:t xml:space="preserve">ata was provided </w:t>
      </w:r>
      <w:r w:rsidR="00BB3E2C">
        <w:t>for 160 employers for 2019 and 153 businesses for 2020</w:t>
      </w:r>
      <w:r w:rsidRPr="00582224">
        <w:t>.</w:t>
      </w:r>
      <w:r>
        <w:t xml:space="preserve"> Only </w:t>
      </w:r>
      <w:r w:rsidR="002F24E5">
        <w:t>three</w:t>
      </w:r>
      <w:r>
        <w:t xml:space="preserve"> large businesses participated in the survey.</w:t>
      </w:r>
    </w:p>
    <w:p w14:paraId="7A5E7711" w14:textId="32E7E853" w:rsidR="008947C1" w:rsidRDefault="008947C1" w:rsidP="008947C1">
      <w:pPr>
        <w:pStyle w:val="Tablenote"/>
      </w:pPr>
      <w:r>
        <w:t xml:space="preserve">Source: </w:t>
      </w:r>
      <w:r w:rsidR="00533FC6">
        <w:t>WHM</w:t>
      </w:r>
      <w:r>
        <w:t xml:space="preserve"> Employer Survey, 2021.</w:t>
      </w:r>
    </w:p>
    <w:p w14:paraId="5694EC39" w14:textId="24C5C578" w:rsidR="00890A3D" w:rsidRDefault="004A4813" w:rsidP="00890A3D">
      <w:pPr>
        <w:pStyle w:val="Heading3"/>
      </w:pPr>
      <w:bookmarkStart w:id="281" w:name="_Toc75878500"/>
      <w:r>
        <w:t>S</w:t>
      </w:r>
      <w:r w:rsidR="008B42EC">
        <w:t xml:space="preserve">easonal </w:t>
      </w:r>
      <w:r w:rsidR="00A874F7">
        <w:t>positions filled</w:t>
      </w:r>
      <w:r w:rsidR="00210864">
        <w:t>, 2019-2020</w:t>
      </w:r>
      <w:bookmarkEnd w:id="281"/>
    </w:p>
    <w:p w14:paraId="6C62494D" w14:textId="54ED0F78" w:rsidR="001E2EDF" w:rsidRDefault="001E2EDF" w:rsidP="001E2EDF">
      <w:r>
        <w:fldChar w:fldCharType="begin"/>
      </w:r>
      <w:r>
        <w:instrText xml:space="preserve"> REF _Ref73018269 \h </w:instrText>
      </w:r>
      <w:r>
        <w:fldChar w:fldCharType="separate"/>
      </w:r>
      <w:r w:rsidR="00F22012">
        <w:t xml:space="preserve">Figure </w:t>
      </w:r>
      <w:r w:rsidR="00F22012">
        <w:rPr>
          <w:noProof/>
        </w:rPr>
        <w:t>10</w:t>
      </w:r>
      <w:r w:rsidR="00F22012">
        <w:noBreakHyphen/>
      </w:r>
      <w:r w:rsidR="00F22012">
        <w:rPr>
          <w:noProof/>
        </w:rPr>
        <w:t>3</w:t>
      </w:r>
      <w:r>
        <w:fldChar w:fldCharType="end"/>
      </w:r>
      <w:r>
        <w:t xml:space="preserve"> presents the number of core and additional staff employed by industry. The tourism industry experienced a significant decline in overall staff numbers from 2019 to 2020, with 14.5% fewer core staff and 20.5% fewer high demand staff. In comparison, agriculture, forestry and fishing businesses reported a 7.4% decline in core staff, and a 12.9% decline in additional staff during high demand periods.</w:t>
      </w:r>
    </w:p>
    <w:p w14:paraId="517445E4" w14:textId="2A575D8E" w:rsidR="001E2EDF" w:rsidRDefault="001E2EDF" w:rsidP="001E2EDF">
      <w:pPr>
        <w:pStyle w:val="Caption"/>
      </w:pPr>
      <w:bookmarkStart w:id="282" w:name="_Ref73018269"/>
      <w:bookmarkStart w:id="283" w:name="_Toc75878586"/>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3</w:t>
      </w:r>
      <w:r w:rsidR="008949B3">
        <w:rPr>
          <w:noProof/>
        </w:rPr>
        <w:fldChar w:fldCharType="end"/>
      </w:r>
      <w:bookmarkEnd w:id="282"/>
      <w:r>
        <w:t>: Number of core and additional positions</w:t>
      </w:r>
      <w:r w:rsidR="00E8789B">
        <w:t xml:space="preserve"> filled,</w:t>
      </w:r>
      <w:r>
        <w:t xml:space="preserve"> by industry</w:t>
      </w:r>
      <w:bookmarkEnd w:id="283"/>
    </w:p>
    <w:p w14:paraId="74AA11EB" w14:textId="77777777" w:rsidR="001E2EDF" w:rsidRDefault="001E2EDF" w:rsidP="00E8789B">
      <w:pPr>
        <w:keepNext/>
      </w:pPr>
      <w:r>
        <w:rPr>
          <w:noProof/>
          <w:lang w:eastAsia="en-AU"/>
        </w:rPr>
        <w:drawing>
          <wp:inline distT="0" distB="0" distL="0" distR="0" wp14:anchorId="397695CD" wp14:editId="748B54C5">
            <wp:extent cx="4320000" cy="2520000"/>
            <wp:effectExtent l="0" t="0" r="4445" b="13970"/>
            <wp:docPr id="13" name="Chart 13" descr="Chart compares the number of core staff working in the hospitality and tourism sector and the agriculture, forestry and fishing sector in 2019 and 2020.  ">
              <a:extLst xmlns:a="http://schemas.openxmlformats.org/drawingml/2006/main">
                <a:ext uri="{FF2B5EF4-FFF2-40B4-BE49-F238E27FC236}">
                  <a16:creationId xmlns:a16="http://schemas.microsoft.com/office/drawing/2014/main" id="{3C9C9A85-1FDA-49E5-93CD-6868B8EFE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B7E5943" w14:textId="77777777" w:rsidR="001E2EDF" w:rsidRDefault="001E2EDF" w:rsidP="001E2EDF">
      <w:pPr>
        <w:pStyle w:val="Tablenote"/>
      </w:pPr>
      <w:r w:rsidRPr="00582224">
        <w:t>Note</w:t>
      </w:r>
      <w:r>
        <w:t>, d</w:t>
      </w:r>
      <w:r w:rsidRPr="00582224">
        <w:t xml:space="preserve">ata was provided </w:t>
      </w:r>
      <w:r>
        <w:t>for 147 employers from the tourism and hospitality and agriculture, forestry and fishing industries. Other industries not included.</w:t>
      </w:r>
    </w:p>
    <w:p w14:paraId="79332099" w14:textId="77777777" w:rsidR="001E2EDF" w:rsidRDefault="001E2EDF" w:rsidP="001E2EDF">
      <w:pPr>
        <w:pStyle w:val="Tablenote"/>
      </w:pPr>
      <w:r>
        <w:t>Source: WHM Employer Survey, 2021.</w:t>
      </w:r>
    </w:p>
    <w:p w14:paraId="1D4367B8" w14:textId="56EFF37A" w:rsidR="00E8789B" w:rsidRDefault="00E8789B" w:rsidP="00E8789B">
      <w:bookmarkStart w:id="284" w:name="_Ref73018308"/>
      <w:r>
        <w:t>There was a reported 20.9% decline in the number of WHMs employed during periods of high demand by surveyed businesses (see</w:t>
      </w:r>
      <w:r w:rsidR="009B224B">
        <w:t xml:space="preserve"> </w:t>
      </w:r>
      <w:r w:rsidR="009B224B">
        <w:fldChar w:fldCharType="begin"/>
      </w:r>
      <w:r w:rsidR="009B224B">
        <w:instrText xml:space="preserve"> REF _Ref84505058 \h </w:instrText>
      </w:r>
      <w:r w:rsidR="009B224B">
        <w:fldChar w:fldCharType="separate"/>
      </w:r>
      <w:r w:rsidR="00F22012">
        <w:t xml:space="preserve">Figure </w:t>
      </w:r>
      <w:r w:rsidR="00F22012">
        <w:rPr>
          <w:noProof/>
        </w:rPr>
        <w:t>10</w:t>
      </w:r>
      <w:r w:rsidR="00F22012">
        <w:noBreakHyphen/>
      </w:r>
      <w:r w:rsidR="00F22012">
        <w:rPr>
          <w:noProof/>
        </w:rPr>
        <w:t>4</w:t>
      </w:r>
      <w:r w:rsidR="009B224B">
        <w:fldChar w:fldCharType="end"/>
      </w:r>
      <w:r>
        <w:t>), likely due to the COVID-19 related withdrawal of WHMs from the labour market.  A small increase (4.4%) was reported in employment of local residents and other visa holders (2.0%) however, these cohorts did not contribute sufficient numbers to make up the evident shortfall of WHMs. Businesses were five and a half times more likely to be unable to fill required positions in 2020 compared with the previous year, likely due to the absence of WHMs.</w:t>
      </w:r>
    </w:p>
    <w:p w14:paraId="280DB71A" w14:textId="4320C27C" w:rsidR="008947C1" w:rsidRDefault="008947C1" w:rsidP="008947C1">
      <w:pPr>
        <w:pStyle w:val="Caption"/>
      </w:pPr>
      <w:bookmarkStart w:id="285" w:name="_Ref84505058"/>
      <w:bookmarkStart w:id="286" w:name="_Toc75878587"/>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4</w:t>
      </w:r>
      <w:r w:rsidR="008949B3">
        <w:rPr>
          <w:noProof/>
        </w:rPr>
        <w:fldChar w:fldCharType="end"/>
      </w:r>
      <w:bookmarkEnd w:id="284"/>
      <w:bookmarkEnd w:id="285"/>
      <w:r>
        <w:t>: Filling of additional positions</w:t>
      </w:r>
      <w:r w:rsidR="00F70C14">
        <w:t>, by seasonal worker type</w:t>
      </w:r>
      <w:bookmarkEnd w:id="286"/>
    </w:p>
    <w:p w14:paraId="31361A37" w14:textId="77777777" w:rsidR="008947C1" w:rsidRPr="005D7A66" w:rsidRDefault="008947C1" w:rsidP="008947C1">
      <w:r>
        <w:rPr>
          <w:noProof/>
          <w:lang w:eastAsia="en-AU"/>
        </w:rPr>
        <w:drawing>
          <wp:inline distT="0" distB="0" distL="0" distR="0" wp14:anchorId="502E9365" wp14:editId="378753B6">
            <wp:extent cx="4320000" cy="2520000"/>
            <wp:effectExtent l="0" t="0" r="4445" b="13970"/>
            <wp:docPr id="20" name="Chart 20">
              <a:extLst xmlns:a="http://schemas.openxmlformats.org/drawingml/2006/main">
                <a:ext uri="{FF2B5EF4-FFF2-40B4-BE49-F238E27FC236}">
                  <a16:creationId xmlns:a16="http://schemas.microsoft.com/office/drawing/2014/main" id="{25D1778C-1D81-4AE8-A312-843E44830E5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3988B8C" w14:textId="77777777" w:rsidR="008947C1" w:rsidRDefault="008947C1" w:rsidP="008947C1">
      <w:pPr>
        <w:pStyle w:val="Tablenote"/>
      </w:pPr>
      <w:r w:rsidRPr="00582224">
        <w:t>Note</w:t>
      </w:r>
      <w:r>
        <w:t>, d</w:t>
      </w:r>
      <w:r w:rsidRPr="00582224">
        <w:t xml:space="preserve">ata was provided </w:t>
      </w:r>
      <w:r>
        <w:t xml:space="preserve">for 160 employers. </w:t>
      </w:r>
    </w:p>
    <w:p w14:paraId="0E2E2BFD" w14:textId="0F004462" w:rsidR="008947C1" w:rsidRDefault="008947C1" w:rsidP="008947C1">
      <w:pPr>
        <w:pStyle w:val="Tablenote"/>
      </w:pPr>
      <w:r>
        <w:t xml:space="preserve">Source: </w:t>
      </w:r>
      <w:r w:rsidR="00533FC6">
        <w:t>WHM</w:t>
      </w:r>
      <w:r>
        <w:t xml:space="preserve"> Employer Survey, 2021.</w:t>
      </w:r>
    </w:p>
    <w:p w14:paraId="6106D350" w14:textId="1218704E" w:rsidR="005B627F" w:rsidRDefault="00EC425C" w:rsidP="00DE631B">
      <w:pPr>
        <w:pStyle w:val="Heading2"/>
      </w:pPr>
      <w:bookmarkStart w:id="287" w:name="_Toc75878501"/>
      <w:r>
        <w:t>Business</w:t>
      </w:r>
      <w:r w:rsidR="008B42EC">
        <w:t xml:space="preserve"> challenges</w:t>
      </w:r>
      <w:r w:rsidR="00055026">
        <w:t xml:space="preserve"> </w:t>
      </w:r>
      <w:r w:rsidR="00552E01">
        <w:t>in the wake of</w:t>
      </w:r>
      <w:r w:rsidR="00055026">
        <w:t xml:space="preserve"> COVID-19</w:t>
      </w:r>
      <w:bookmarkEnd w:id="287"/>
    </w:p>
    <w:p w14:paraId="648C75E0" w14:textId="4954D090" w:rsidR="00FE638C" w:rsidRPr="00FE638C" w:rsidRDefault="00FE638C" w:rsidP="00FE638C">
      <w:pPr>
        <w:pStyle w:val="Heading3"/>
      </w:pPr>
      <w:bookmarkStart w:id="288" w:name="_Toc75878502"/>
      <w:r>
        <w:t>Workforce recruitment</w:t>
      </w:r>
      <w:r w:rsidR="00BC3D27">
        <w:t xml:space="preserve">, by industry and </w:t>
      </w:r>
      <w:r w:rsidR="00750D8A">
        <w:t>location</w:t>
      </w:r>
      <w:bookmarkEnd w:id="288"/>
    </w:p>
    <w:p w14:paraId="0352B782" w14:textId="43A3DD7A" w:rsidR="00D527B0" w:rsidRDefault="008947C1" w:rsidP="008947C1">
      <w:r>
        <w:t>Employers reported on their success or otherwise of recruiting for required positions in 2020</w:t>
      </w:r>
      <w:r w:rsidR="00D04DF3">
        <w:t xml:space="preserve">, with this </w:t>
      </w:r>
      <w:r w:rsidR="000F5843">
        <w:t>aggregated by business</w:t>
      </w:r>
      <w:r w:rsidR="009F3810">
        <w:t xml:space="preserve"> sector in</w:t>
      </w:r>
      <w:r w:rsidR="00D04DF3">
        <w:t xml:space="preserve"> </w:t>
      </w:r>
      <w:r w:rsidR="00D04DF3">
        <w:fldChar w:fldCharType="begin"/>
      </w:r>
      <w:r w:rsidR="00D04DF3">
        <w:instrText xml:space="preserve"> REF _Ref73021635 \h </w:instrText>
      </w:r>
      <w:r w:rsidR="00D04DF3">
        <w:fldChar w:fldCharType="separate"/>
      </w:r>
      <w:r w:rsidR="00F22012">
        <w:t xml:space="preserve">Figure </w:t>
      </w:r>
      <w:r w:rsidR="00F22012">
        <w:rPr>
          <w:noProof/>
        </w:rPr>
        <w:t>10</w:t>
      </w:r>
      <w:r w:rsidR="00F22012">
        <w:noBreakHyphen/>
      </w:r>
      <w:r w:rsidR="00F22012">
        <w:rPr>
          <w:noProof/>
        </w:rPr>
        <w:t>5</w:t>
      </w:r>
      <w:r w:rsidR="00D04DF3">
        <w:fldChar w:fldCharType="end"/>
      </w:r>
      <w:r w:rsidR="00D527B0">
        <w:t>.</w:t>
      </w:r>
      <w:r>
        <w:t xml:space="preserve"> </w:t>
      </w:r>
      <w:r w:rsidR="00E74AF0">
        <w:t xml:space="preserve">Hospitality staff </w:t>
      </w:r>
      <w:r w:rsidR="00E967C5">
        <w:t>(</w:t>
      </w:r>
      <w:r w:rsidR="00930839">
        <w:t xml:space="preserve">e.g. for </w:t>
      </w:r>
      <w:r w:rsidR="00E967C5">
        <w:t>jobs including food and beverage staff, cooks and chefs, bar staff, and kitchen hands</w:t>
      </w:r>
      <w:r w:rsidR="00930839">
        <w:t>)</w:t>
      </w:r>
      <w:r w:rsidR="00E967C5">
        <w:t xml:space="preserve"> </w:t>
      </w:r>
      <w:r w:rsidR="00D13903">
        <w:t>proved</w:t>
      </w:r>
      <w:r w:rsidR="00E74AF0">
        <w:t xml:space="preserve"> most difficult to recruit, with only 9.4% of businesses successful </w:t>
      </w:r>
      <w:r w:rsidR="008431D3">
        <w:t xml:space="preserve">in recruiting workers for all positions. </w:t>
      </w:r>
      <w:r w:rsidR="00D527B0">
        <w:t>Recruitment of</w:t>
      </w:r>
      <w:r w:rsidR="00930839">
        <w:t xml:space="preserve"> a</w:t>
      </w:r>
      <w:r w:rsidR="004E253A">
        <w:t>gricultural jobs (e.g.</w:t>
      </w:r>
      <w:r w:rsidR="00F057A4">
        <w:t>,</w:t>
      </w:r>
      <w:r w:rsidR="00D527B0">
        <w:t xml:space="preserve"> farm hands and fruit or vegetable packers and graders</w:t>
      </w:r>
      <w:r w:rsidR="004E253A">
        <w:t>)</w:t>
      </w:r>
      <w:r w:rsidR="00D527B0">
        <w:t xml:space="preserve"> proved the most successful, with more than two in five businesses seeking these roles able to fill most positions, and some workers available for most other businesses. Limited responses were recorded for </w:t>
      </w:r>
      <w:r w:rsidR="007C7C08">
        <w:t xml:space="preserve">a range of </w:t>
      </w:r>
      <w:r w:rsidR="00D527B0">
        <w:t>‘other’ positions</w:t>
      </w:r>
      <w:r w:rsidR="00055E2C">
        <w:t xml:space="preserve"> (such as </w:t>
      </w:r>
      <w:r w:rsidR="001C75BA">
        <w:t>cleaners, housekeepers, receptionists</w:t>
      </w:r>
      <w:r w:rsidR="00FE7A9B">
        <w:t xml:space="preserve"> and</w:t>
      </w:r>
      <w:r w:rsidR="001C75BA">
        <w:t xml:space="preserve"> office workers</w:t>
      </w:r>
      <w:r w:rsidR="00055E2C">
        <w:t xml:space="preserve">) </w:t>
      </w:r>
      <w:r w:rsidR="00D05D3C">
        <w:t>wh</w:t>
      </w:r>
      <w:r w:rsidR="00470A40">
        <w:t>ich are not presented here.</w:t>
      </w:r>
    </w:p>
    <w:p w14:paraId="4BBFF4CA" w14:textId="3AB32AAA" w:rsidR="001C75BA" w:rsidRDefault="008947C1" w:rsidP="00470A40">
      <w:pPr>
        <w:pStyle w:val="Caption"/>
      </w:pPr>
      <w:bookmarkStart w:id="289" w:name="_Ref73021635"/>
      <w:bookmarkStart w:id="290" w:name="_Toc75878588"/>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5</w:t>
      </w:r>
      <w:r w:rsidR="008949B3">
        <w:rPr>
          <w:noProof/>
        </w:rPr>
        <w:fldChar w:fldCharType="end"/>
      </w:r>
      <w:bookmarkEnd w:id="289"/>
      <w:r>
        <w:t>: Ability to recruit workforce</w:t>
      </w:r>
      <w:r w:rsidR="00161BB8">
        <w:t xml:space="preserve"> in </w:t>
      </w:r>
      <w:r w:rsidR="002A4E7B">
        <w:t>2020</w:t>
      </w:r>
      <w:bookmarkEnd w:id="290"/>
    </w:p>
    <w:p w14:paraId="202B113D" w14:textId="696B5180" w:rsidR="001C75BA" w:rsidRPr="001C75BA" w:rsidRDefault="001C75BA" w:rsidP="001C75BA">
      <w:r>
        <w:rPr>
          <w:noProof/>
          <w:lang w:eastAsia="en-AU"/>
        </w:rPr>
        <w:drawing>
          <wp:inline distT="0" distB="0" distL="0" distR="0" wp14:anchorId="55228B97" wp14:editId="4B0E23B0">
            <wp:extent cx="5743575" cy="1532890"/>
            <wp:effectExtent l="0" t="0" r="9525" b="10160"/>
            <wp:docPr id="34" name="Chart 34" descr="Chart compares the ability to recruit workforce by agricultural employers and hospitality employers 2020.  ">
              <a:extLst xmlns:a="http://schemas.openxmlformats.org/drawingml/2006/main">
                <a:ext uri="{FF2B5EF4-FFF2-40B4-BE49-F238E27FC236}">
                  <a16:creationId xmlns:a16="http://schemas.microsoft.com/office/drawing/2014/main" id="{6BF929E8-0FF0-47DC-A965-CCAF83AE5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6AA614E" w14:textId="1419D641" w:rsidR="008947C1" w:rsidRDefault="008947C1" w:rsidP="008947C1">
      <w:pPr>
        <w:pStyle w:val="Tablenote"/>
      </w:pPr>
      <w:r>
        <w:t xml:space="preserve">Source: </w:t>
      </w:r>
      <w:r w:rsidR="00533FC6">
        <w:t>WHM</w:t>
      </w:r>
      <w:r>
        <w:t xml:space="preserve"> Employer Survey, 2021.</w:t>
      </w:r>
    </w:p>
    <w:p w14:paraId="0163D2DE" w14:textId="4386D13C" w:rsidR="008947C1" w:rsidRDefault="005F26C6" w:rsidP="008947C1">
      <w:r>
        <w:t xml:space="preserve">Comparing </w:t>
      </w:r>
      <w:r w:rsidR="008947C1">
        <w:t xml:space="preserve">businesses in greater capital cities </w:t>
      </w:r>
      <w:r>
        <w:t>with</w:t>
      </w:r>
      <w:r w:rsidR="008947C1">
        <w:t xml:space="preserve"> other locations in each state and territory</w:t>
      </w:r>
      <w:r>
        <w:t>, j</w:t>
      </w:r>
      <w:r w:rsidR="008947C1">
        <w:t>ust over one quarter (27.8%) of businesses</w:t>
      </w:r>
      <w:r w:rsidR="00221BF2">
        <w:t xml:space="preserve"> in greater capital cities</w:t>
      </w:r>
      <w:r w:rsidR="008947C1">
        <w:t xml:space="preserve"> reported they were successful recruiting all or most of the workers needed in 2020. Where they had difficulties, employers indicated a range of reasons (see</w:t>
      </w:r>
      <w:r w:rsidR="008947C1" w:rsidDel="006A0BE6">
        <w:t xml:space="preserve"> </w:t>
      </w:r>
      <w:r w:rsidR="006A0BE6">
        <w:fldChar w:fldCharType="begin"/>
      </w:r>
      <w:r w:rsidR="006A0BE6">
        <w:instrText xml:space="preserve"> REF _Ref71881924 \h </w:instrText>
      </w:r>
      <w:r w:rsidR="006A0BE6">
        <w:fldChar w:fldCharType="separate"/>
      </w:r>
      <w:r w:rsidR="00F22012">
        <w:t xml:space="preserve">Figure </w:t>
      </w:r>
      <w:r w:rsidR="00F22012">
        <w:rPr>
          <w:noProof/>
        </w:rPr>
        <w:t>10</w:t>
      </w:r>
      <w:r w:rsidR="00F22012">
        <w:noBreakHyphen/>
      </w:r>
      <w:r w:rsidR="00F22012">
        <w:rPr>
          <w:noProof/>
        </w:rPr>
        <w:t>6</w:t>
      </w:r>
      <w:r w:rsidR="006A0BE6">
        <w:fldChar w:fldCharType="end"/>
      </w:r>
      <w:r w:rsidR="008947C1">
        <w:t>). Businesses in locations outside the greater capital cities reported the greatest difficulties with workforce availability - they struggled with smaller numbers of WHMs (56.1%), limited local workers (52.3%) and movement restrictions due to COVID-19</w:t>
      </w:r>
      <w:r w:rsidR="0030750A">
        <w:t xml:space="preserve"> (43.2</w:t>
      </w:r>
      <w:r w:rsidR="00EA0184">
        <w:t>%)</w:t>
      </w:r>
      <w:r w:rsidR="008947C1">
        <w:t xml:space="preserve">. A third of these regionally based businesses also reported difficulties due to the isolated work location (33.3%), the physically demanding work conditions (32.6%) and the visa rules and regulations that limited WHMs to </w:t>
      </w:r>
      <w:r w:rsidR="008947C1" w:rsidDel="005E20F4">
        <w:t>six</w:t>
      </w:r>
      <w:r w:rsidR="005E20F4">
        <w:t>-</w:t>
      </w:r>
      <w:r w:rsidR="008947C1">
        <w:t>month work. The latter</w:t>
      </w:r>
      <w:r w:rsidR="008947C1" w:rsidDel="005E20F4">
        <w:t xml:space="preserve"> </w:t>
      </w:r>
      <w:r w:rsidR="005E20F4">
        <w:t>six-</w:t>
      </w:r>
      <w:r w:rsidR="008947C1">
        <w:t xml:space="preserve">month work limit also </w:t>
      </w:r>
      <w:proofErr w:type="spellStart"/>
      <w:r w:rsidR="008947C1">
        <w:t>posed</w:t>
      </w:r>
      <w:proofErr w:type="spellEnd"/>
      <w:r w:rsidR="008947C1">
        <w:t xml:space="preserve"> the biggest difficulty for businesses in greater capital cities with 42.3% reporting this as an issue impacting recruitment.</w:t>
      </w:r>
    </w:p>
    <w:p w14:paraId="6D9D46EB" w14:textId="41B355B4" w:rsidR="008947C1" w:rsidRDefault="008947C1" w:rsidP="008947C1">
      <w:pPr>
        <w:pStyle w:val="Caption"/>
      </w:pPr>
      <w:bookmarkStart w:id="291" w:name="_Ref71881924"/>
      <w:bookmarkStart w:id="292" w:name="_Toc75878589"/>
      <w:r>
        <w:t xml:space="preserve">Figure </w:t>
      </w:r>
      <w:r w:rsidR="008949B3">
        <w:rPr>
          <w:noProof/>
        </w:rPr>
        <w:fldChar w:fldCharType="begin"/>
      </w:r>
      <w:r w:rsidR="008949B3">
        <w:rPr>
          <w:noProof/>
        </w:rPr>
        <w:instrText xml:space="preserve"> STYLEREF 1 \s </w:instrText>
      </w:r>
      <w:r w:rsidR="008949B3">
        <w:rPr>
          <w:noProof/>
        </w:rPr>
        <w:fldChar w:fldCharType="separate"/>
      </w:r>
      <w:r w:rsidR="00F22012">
        <w:rPr>
          <w:noProof/>
        </w:rPr>
        <w:t>10</w:t>
      </w:r>
      <w:r w:rsidR="008949B3">
        <w:rPr>
          <w:noProof/>
        </w:rPr>
        <w:fldChar w:fldCharType="end"/>
      </w:r>
      <w:r w:rsidR="00087F4B">
        <w:noBreakHyphen/>
      </w:r>
      <w:r w:rsidR="008949B3">
        <w:rPr>
          <w:noProof/>
        </w:rPr>
        <w:fldChar w:fldCharType="begin"/>
      </w:r>
      <w:r w:rsidR="008949B3">
        <w:rPr>
          <w:noProof/>
        </w:rPr>
        <w:instrText xml:space="preserve"> SEQ Figure \* ARABIC \s 1 </w:instrText>
      </w:r>
      <w:r w:rsidR="008949B3">
        <w:rPr>
          <w:noProof/>
        </w:rPr>
        <w:fldChar w:fldCharType="separate"/>
      </w:r>
      <w:r w:rsidR="00F22012">
        <w:rPr>
          <w:noProof/>
        </w:rPr>
        <w:t>6</w:t>
      </w:r>
      <w:r w:rsidR="008949B3">
        <w:rPr>
          <w:noProof/>
        </w:rPr>
        <w:fldChar w:fldCharType="end"/>
      </w:r>
      <w:bookmarkEnd w:id="291"/>
      <w:r>
        <w:t xml:space="preserve">: Reasons for difficulties recruiting </w:t>
      </w:r>
      <w:r w:rsidR="005D16EB">
        <w:t>workers</w:t>
      </w:r>
      <w:r>
        <w:t xml:space="preserve"> in 2020, by location</w:t>
      </w:r>
      <w:bookmarkEnd w:id="292"/>
    </w:p>
    <w:p w14:paraId="45B68F05" w14:textId="77777777" w:rsidR="008947C1" w:rsidRDefault="008947C1" w:rsidP="008947C1">
      <w:pPr>
        <w:keepNext/>
        <w:keepLines/>
      </w:pPr>
      <w:r>
        <w:rPr>
          <w:noProof/>
          <w:lang w:eastAsia="en-AU"/>
        </w:rPr>
        <w:drawing>
          <wp:inline distT="0" distB="0" distL="0" distR="0" wp14:anchorId="025377D3" wp14:editId="3554366C">
            <wp:extent cx="5731510" cy="3223895"/>
            <wp:effectExtent l="0" t="0" r="2540" b="14605"/>
            <wp:docPr id="18" name="Chart 18" descr="Shows a range of reasons for the difficulties in recruiting workers in 2020. This is compared by location showing greater capital cities versus the rest of the state and territory. The most common reason for difficulty was the smaller number of working holiday makers available for work.  This was cited at 56.1% by regional state and territory employers.">
              <a:extLst xmlns:a="http://schemas.openxmlformats.org/drawingml/2006/main">
                <a:ext uri="{FF2B5EF4-FFF2-40B4-BE49-F238E27FC236}">
                  <a16:creationId xmlns:a16="http://schemas.microsoft.com/office/drawing/2014/main" id="{2AD6F671-84D7-4D6C-98A8-A67909D86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7999C8B" w14:textId="77777777" w:rsidR="008947C1" w:rsidRDefault="008947C1" w:rsidP="008947C1">
      <w:pPr>
        <w:pStyle w:val="Tablenote"/>
        <w:keepNext/>
        <w:keepLines/>
      </w:pPr>
      <w:r w:rsidRPr="00582224">
        <w:t>Note</w:t>
      </w:r>
      <w:r>
        <w:t>, d</w:t>
      </w:r>
      <w:r w:rsidRPr="00582224">
        <w:t xml:space="preserve">ata was provided </w:t>
      </w:r>
      <w:r>
        <w:t>by 153 employers (excludes employers with businesses in both capital cities and rural areas). Multiple responses are possible</w:t>
      </w:r>
    </w:p>
    <w:p w14:paraId="2B173F4A" w14:textId="53E78B0F" w:rsidR="008947C1" w:rsidRDefault="008947C1" w:rsidP="008947C1">
      <w:pPr>
        <w:pStyle w:val="Tablenote"/>
      </w:pPr>
      <w:r>
        <w:t xml:space="preserve">Source: </w:t>
      </w:r>
      <w:r w:rsidR="00533FC6">
        <w:t>WHM</w:t>
      </w:r>
      <w:r>
        <w:t xml:space="preserve"> Employer Survey, 2021.</w:t>
      </w:r>
    </w:p>
    <w:p w14:paraId="27A3FB22" w14:textId="5F37293C" w:rsidR="00095163" w:rsidRDefault="008947C1" w:rsidP="00967B04">
      <w:r>
        <w:t>One in ten businesses provided further comments on staff recruitment in 2020</w:t>
      </w:r>
      <w:r w:rsidR="00311EA5">
        <w:t xml:space="preserve">, many of which echoed earlier comments about </w:t>
      </w:r>
      <w:r w:rsidR="005965DC">
        <w:t>recruitment in general</w:t>
      </w:r>
      <w:r>
        <w:t xml:space="preserve">. Some of these reiterated concerns that tourism businesses and associated job roles </w:t>
      </w:r>
      <w:r w:rsidR="000D7855">
        <w:t>did not qualify</w:t>
      </w:r>
      <w:r w:rsidR="0032639F">
        <w:t xml:space="preserve"> </w:t>
      </w:r>
      <w:r w:rsidR="000D7855">
        <w:t>WHMs</w:t>
      </w:r>
      <w:r>
        <w:t xml:space="preserve"> for visa extensions. A couple expressed concern that local staff lacked the requisite skills, their supply was limited and they lacked interest in the available roles – for these businesses WHMs provided an important workforce. Another business indicated that WHMs had a poor work ethic and they preferred using the </w:t>
      </w:r>
      <w:r w:rsidR="00A14748">
        <w:t>Australian Government’s Seasonal</w:t>
      </w:r>
      <w:r w:rsidDel="00A14748">
        <w:t xml:space="preserve"> </w:t>
      </w:r>
      <w:r w:rsidR="00A14748">
        <w:t>Worker Program</w:t>
      </w:r>
      <w:r>
        <w:t xml:space="preserve">. In some ways the pendulum had shifted in 2020 as the low supply of WHMs meant some were making more demands of businesses. In the context that very few WHMs entered Australia in 2020 and many returned home, there was </w:t>
      </w:r>
      <w:r w:rsidR="00CE0D65">
        <w:t>considerable</w:t>
      </w:r>
      <w:r>
        <w:t xml:space="preserve"> concern about an ever-dwindling supply in 2021.</w:t>
      </w:r>
    </w:p>
    <w:p w14:paraId="24465601" w14:textId="77777777" w:rsidR="00967B04" w:rsidRDefault="008947C1" w:rsidP="008947C1">
      <w:r w:rsidRPr="00873A45">
        <w:t xml:space="preserve">Employer interviews </w:t>
      </w:r>
      <w:r>
        <w:t xml:space="preserve">offered a range of insights into the impact of COVID-19 on the recruitment of WHMs and flow-on effects for their businesses. Employers across both the agricultural and tourism and hospitality industries indicated that in ordinary times, WHM recruitment was generally successful in meeting workforce needs. This was reported to change radically following COVID-19 related border closures in March 2020. </w:t>
      </w:r>
    </w:p>
    <w:p w14:paraId="43BD7D70" w14:textId="1B5CC3D3" w:rsidR="00967B04" w:rsidRDefault="006D6635" w:rsidP="00967B04">
      <w:pPr>
        <w:pStyle w:val="Heading3"/>
      </w:pPr>
      <w:bookmarkStart w:id="293" w:name="_Toc75878503"/>
      <w:r>
        <w:t>T</w:t>
      </w:r>
      <w:r w:rsidR="00DF1F3A">
        <w:t>he a</w:t>
      </w:r>
      <w:r w:rsidR="00967B04">
        <w:t>gricultur</w:t>
      </w:r>
      <w:r w:rsidR="008E72E6">
        <w:t>e</w:t>
      </w:r>
      <w:r w:rsidR="00967B04">
        <w:t xml:space="preserve"> industry</w:t>
      </w:r>
      <w:r>
        <w:t xml:space="preserve"> experience</w:t>
      </w:r>
      <w:bookmarkEnd w:id="293"/>
    </w:p>
    <w:p w14:paraId="7BBAA5DD" w14:textId="6235C46D" w:rsidR="008947C1" w:rsidRDefault="008947C1" w:rsidP="008947C1">
      <w:r>
        <w:t>For many in the agriculture industry, the first six months were satisfactory because pools of WHMs were already in place for the harvesting season and</w:t>
      </w:r>
      <w:r w:rsidR="00750281">
        <w:t>,</w:t>
      </w:r>
      <w:r>
        <w:t xml:space="preserve"> if anything, COVID-19 increased the stability of the workforce:</w:t>
      </w:r>
    </w:p>
    <w:p w14:paraId="427A1615" w14:textId="30FA88D4" w:rsidR="008947C1" w:rsidRDefault="008947C1" w:rsidP="008947C1">
      <w:pPr>
        <w:pStyle w:val="Quote"/>
      </w:pPr>
      <w:r>
        <w:t>T</w:t>
      </w:r>
      <w:r w:rsidRPr="00FF3D88">
        <w:t xml:space="preserve">hat was the start of our harvest season last year and we employed 12, and I think, 10 of those were working holiday makers, and it really fell in our favour, I suppose, to some degree because when it occurred, when the pandemic hit and closed borders and all that started to happen, we had a pool of working holiday makers already here. </w:t>
      </w:r>
      <w:r w:rsidR="00703808">
        <w:t>W</w:t>
      </w:r>
      <w:r w:rsidRPr="00FF3D88">
        <w:t xml:space="preserve">e were able to employ them and they couldn’t go anywhere else at the time. So they tended to stick with us. </w:t>
      </w:r>
      <w:r w:rsidR="00737129">
        <w:t>I</w:t>
      </w:r>
      <w:r w:rsidRPr="00FF3D88">
        <w:t>t worked reasonably well at that time</w:t>
      </w:r>
      <w:r>
        <w:t>. [10]</w:t>
      </w:r>
    </w:p>
    <w:p w14:paraId="60ADF4C6" w14:textId="77777777" w:rsidR="008947C1" w:rsidRDefault="008947C1" w:rsidP="008947C1">
      <w:pPr>
        <w:pStyle w:val="Quote"/>
      </w:pPr>
      <w:r>
        <w:t>W</w:t>
      </w:r>
      <w:r w:rsidRPr="00FF3D88">
        <w:t xml:space="preserve">hat we found last year, the way it tied in with our season where we start in March, they were happy to be </w:t>
      </w:r>
      <w:r w:rsidRPr="000B7D89">
        <w:t>here</w:t>
      </w:r>
      <w:r w:rsidRPr="00FF3D88">
        <w:t>, because the cities were rampant with it</w:t>
      </w:r>
      <w:r>
        <w:t>…</w:t>
      </w:r>
      <w:r w:rsidRPr="00FF3D88">
        <w:t xml:space="preserve">  </w:t>
      </w:r>
      <w:r w:rsidRPr="00584ABB">
        <w:t xml:space="preserve">They were settled, and they were here, and they stayed here.  We did not have one backpacker leave us all season, not one. </w:t>
      </w:r>
      <w:r>
        <w:t>[2]</w:t>
      </w:r>
    </w:p>
    <w:p w14:paraId="0C944545" w14:textId="77777777" w:rsidR="008947C1" w:rsidRDefault="008947C1" w:rsidP="008947C1">
      <w:r>
        <w:t>Following the initial six-month period, agricultural employers reported increasing difficulty sourcing new WHMs and concerns about missing market windows and losing product. The problems for farmers were two-fold, namely an ever-diminishing number of WHMs in the country and regions, and spiralling demands from WHMs who were now in high demand as a labour source:</w:t>
      </w:r>
    </w:p>
    <w:p w14:paraId="2F322CC7" w14:textId="32CB0184" w:rsidR="008947C1" w:rsidRDefault="008947C1" w:rsidP="008947C1">
      <w:pPr>
        <w:pStyle w:val="Quote"/>
      </w:pPr>
      <w:r w:rsidRPr="00FF3D88">
        <w:t xml:space="preserve">They are asking for more money. </w:t>
      </w:r>
      <w:r w:rsidRPr="000B7D89">
        <w:t>They</w:t>
      </w:r>
      <w:r w:rsidRPr="00FF3D88">
        <w:t xml:space="preserve"> know that workers are just getting in short supply, and we are paying them more money. I don’t know how much further we can go.  But depending on the labour market, we just have to. I did mention that they wanted their own accommodation now</w:t>
      </w:r>
      <w:r>
        <w:t>. [2]</w:t>
      </w:r>
    </w:p>
    <w:p w14:paraId="32EC976D" w14:textId="77DAB54D" w:rsidR="008947C1" w:rsidRDefault="008947C1" w:rsidP="008947C1">
      <w:r>
        <w:t>As a consequence of COVID-19, some agricultural businesses are picking up workers wherever and however they can, whereas some employers have been developing new approaches to worker recruitment. One citrus farmer has entered into a cooperative arrangement with the local supply chain:</w:t>
      </w:r>
    </w:p>
    <w:p w14:paraId="3979EEDD" w14:textId="15FC2939" w:rsidR="008947C1" w:rsidRDefault="008947C1" w:rsidP="008947C1">
      <w:pPr>
        <w:pStyle w:val="Quote"/>
      </w:pPr>
      <w:r w:rsidRPr="00902CC8">
        <w:t xml:space="preserve">We’ve had a meeting with one of the packing sheds and they are looking at bringing in a heap of </w:t>
      </w:r>
      <w:r>
        <w:t>W</w:t>
      </w:r>
      <w:r w:rsidRPr="00902CC8">
        <w:t xml:space="preserve">orking </w:t>
      </w:r>
      <w:r>
        <w:t>H</w:t>
      </w:r>
      <w:r w:rsidRPr="00902CC8">
        <w:t>oliday Visas</w:t>
      </w:r>
      <w:r>
        <w:t xml:space="preserve"> a</w:t>
      </w:r>
      <w:r w:rsidRPr="00902CC8">
        <w:t>nd they will supply farms – they will probably act as a contractor for us.  They need the fruit to survive as well. We need the fruit picked. So it sort of goes in a circle</w:t>
      </w:r>
      <w:r>
        <w:t>. [17]</w:t>
      </w:r>
    </w:p>
    <w:p w14:paraId="15CD6BF4" w14:textId="77777777" w:rsidR="008947C1" w:rsidRDefault="008947C1" w:rsidP="008947C1">
      <w:r>
        <w:t>A remote cattle business has turned to grey nomads and travelling families to fill the gap left by WHMs. This has necessitated adjustments to the normal program, such as reducing the length of the workday and coming to terms with the more rigid scheduling of these cohorts:</w:t>
      </w:r>
    </w:p>
    <w:p w14:paraId="04B3370D" w14:textId="34B4D119" w:rsidR="008947C1" w:rsidRDefault="008947C1" w:rsidP="008947C1">
      <w:pPr>
        <w:pStyle w:val="Quote"/>
      </w:pPr>
      <w:r>
        <w:t>T</w:t>
      </w:r>
      <w:r w:rsidRPr="00FF3D88">
        <w:t>ravelling families will come to the Territory in April and they will leave in November on the dot or October on the dot… And they’ve got a plan on what they want to do while they’re up here and you can’t rely on them. They might come for three weeks or a month maybe, but they’ve got a schedule. So they’re not always fitting in to your program, whereas the backpacker will say, oh you have work? I get on a plane</w:t>
      </w:r>
      <w:r w:rsidR="00635F3F">
        <w:t>,</w:t>
      </w:r>
      <w:r w:rsidRPr="00FF3D88">
        <w:t xml:space="preserve"> I fly to Alice Springs tomorrow. And they will say, well I’ll stay for three months and you know you’ve got them for three months. You just recruit somebody else before they go. </w:t>
      </w:r>
      <w:r>
        <w:t>[18]</w:t>
      </w:r>
    </w:p>
    <w:p w14:paraId="7AD104F7" w14:textId="1403BAB6" w:rsidR="00721732" w:rsidRDefault="006D6635" w:rsidP="00721732">
      <w:pPr>
        <w:pStyle w:val="Heading3"/>
      </w:pPr>
      <w:bookmarkStart w:id="294" w:name="_Toc75878504"/>
      <w:r>
        <w:t>T</w:t>
      </w:r>
      <w:r w:rsidR="00721732">
        <w:t>he tourism and hospitality industry</w:t>
      </w:r>
      <w:r>
        <w:t xml:space="preserve"> experience</w:t>
      </w:r>
      <w:bookmarkEnd w:id="294"/>
    </w:p>
    <w:p w14:paraId="6A53A52B" w14:textId="162D94C5" w:rsidR="008947C1" w:rsidRDefault="008947C1" w:rsidP="008947C1">
      <w:r>
        <w:t>Businesses in the tourism and hospitality industry experienced similar challenges</w:t>
      </w:r>
      <w:r w:rsidR="005B5E1E">
        <w:t xml:space="preserve"> to the agricultural industry</w:t>
      </w:r>
      <w:r>
        <w:t xml:space="preserve">, with some key differences. With the advent of COVID-19-related lockdowns, demand for services collapsed. Some businesses retained their WHM staff or </w:t>
      </w:r>
      <w:r w:rsidR="0029713E">
        <w:t xml:space="preserve">paid </w:t>
      </w:r>
      <w:r>
        <w:t>for them to get home at considerable cost to the organisation, while others simply let their staff go and went into effective ‘hibernation’ for the lockdown period. While there has been little reprieve for businesses reliant on international travellers, subsequent domestic demand for tourism and hospitality services has placed many businesses under extreme pressure to source workers:</w:t>
      </w:r>
    </w:p>
    <w:p w14:paraId="25F44C59" w14:textId="1FC17EA5" w:rsidR="008947C1" w:rsidRDefault="008947C1" w:rsidP="008947C1">
      <w:pPr>
        <w:pStyle w:val="Quote"/>
      </w:pPr>
      <w:r w:rsidRPr="00FF3D88">
        <w:t>It’s a great problem to have, but every restauranteur that I’ve spoken to said, “Oh my God, this has been the worst season we’ve ever had for staff.” There’s more demands for your services, and less staff to fill that demand</w:t>
      </w:r>
      <w:r>
        <w:t>. [19]</w:t>
      </w:r>
    </w:p>
    <w:p w14:paraId="2821B120" w14:textId="2656A90D" w:rsidR="008947C1" w:rsidRDefault="008947C1" w:rsidP="008947C1">
      <w:r>
        <w:t>Small family-run businesses report individually picking up the overflow of work and being overwhelmed and exhausted in the process; in some larger organisations CEOs (e.g. in outdoor education) have returned to field work to maintain operations. While a last resort for many, an inevitable consequence has been the closure and/or cancellation of some services:</w:t>
      </w:r>
    </w:p>
    <w:p w14:paraId="2F94D458" w14:textId="63CA5F57" w:rsidR="008947C1" w:rsidRPr="00FF3D88" w:rsidRDefault="008947C1" w:rsidP="008947C1">
      <w:pPr>
        <w:pStyle w:val="Quote"/>
      </w:pPr>
      <w:r>
        <w:t>W</w:t>
      </w:r>
      <w:r w:rsidRPr="00FF3D88">
        <w:t xml:space="preserve">e’re very worried about this upcoming start of the season, to the extent that we have made sure that we are not booked to capacity. So, we have structured our bookings and blocked out rooms, when we know </w:t>
      </w:r>
      <w:r w:rsidRPr="00801F09">
        <w:t>we’re</w:t>
      </w:r>
      <w:r w:rsidRPr="00FF3D88">
        <w:t xml:space="preserve"> not going to be able to clean that with the two staff that we have. </w:t>
      </w:r>
      <w:r>
        <w:t>[15]</w:t>
      </w:r>
    </w:p>
    <w:p w14:paraId="114DD937" w14:textId="77777777" w:rsidR="004A7732" w:rsidRDefault="004A7732" w:rsidP="004A7732">
      <w:r>
        <w:t>In the midst of this COVID-19-induced workforce pressure, some employers, noting the initial outflux of WHMs and the restrictions on new ones coming into the country, suggested the government should have adjusted the visa rules to support access to workforce. For example, one business found a WHM to fill a housekeeping role but could only keep her for three months:</w:t>
      </w:r>
    </w:p>
    <w:p w14:paraId="37FF7F43" w14:textId="1FECB839" w:rsidR="008947C1" w:rsidRDefault="008947C1" w:rsidP="008947C1">
      <w:pPr>
        <w:pStyle w:val="Quote"/>
      </w:pPr>
      <w:r w:rsidRPr="00C44695">
        <w:t>We would have kept her on, but</w:t>
      </w:r>
      <w:r>
        <w:t xml:space="preserve">… </w:t>
      </w:r>
      <w:r w:rsidRPr="00C44695">
        <w:t>her visa was running out and the governmen</w:t>
      </w:r>
      <w:r w:rsidR="00AB4F8B">
        <w:t xml:space="preserve">t… </w:t>
      </w:r>
      <w:r w:rsidRPr="00C44695">
        <w:t>wouldn’t waive any of her visa requirements</w:t>
      </w:r>
      <w:r w:rsidR="00AF3150">
        <w:t>.</w:t>
      </w:r>
      <w:r>
        <w:t xml:space="preserve"> [15]</w:t>
      </w:r>
    </w:p>
    <w:p w14:paraId="5FC1FE7C" w14:textId="5EC0C2B7" w:rsidR="008947C1" w:rsidRPr="00FF3D88" w:rsidRDefault="000B4B39" w:rsidP="008947C1">
      <w:r>
        <w:t>O</w:t>
      </w:r>
      <w:r w:rsidR="008947C1">
        <w:t>ne of the post-COVID-19 issues experienced by tourism and hospitality businesses related to WHM bargaining power generated by their low-supply high-demand status. For one employer this equated to unrealistic WHM demands in return for their labour:</w:t>
      </w:r>
    </w:p>
    <w:p w14:paraId="304CD063" w14:textId="26AB9EB9" w:rsidR="008947C1" w:rsidRDefault="008947C1" w:rsidP="008947C1">
      <w:pPr>
        <w:pStyle w:val="Quote"/>
      </w:pPr>
      <w:r>
        <w:t>“</w:t>
      </w:r>
      <w:r w:rsidRPr="00FF3D88">
        <w:t xml:space="preserve">I want 60 hours, 20 of those will be at overtime and I’ll tell you the hours that I’ll work,” and it’s coming out of all their mouths. </w:t>
      </w:r>
      <w:r>
        <w:t>“</w:t>
      </w:r>
      <w:r w:rsidR="00AF2D1E">
        <w:t>N</w:t>
      </w:r>
      <w:r w:rsidRPr="00FF3D88">
        <w:t>o, I’m no interested in just full time. I want 60 hours and you will pay me time and a half and double time, as appropriate, for the 20 hours of tho</w:t>
      </w:r>
      <w:r>
        <w:t>se”</w:t>
      </w:r>
      <w:r w:rsidR="00AF2D1E">
        <w:t>,</w:t>
      </w:r>
      <w:r>
        <w:t xml:space="preserve"> </w:t>
      </w:r>
      <w:r w:rsidR="00AF2D1E">
        <w:t>a</w:t>
      </w:r>
      <w:r>
        <w:t>nd</w:t>
      </w:r>
      <w:r w:rsidRPr="000F479B">
        <w:t xml:space="preserve"> “</w:t>
      </w:r>
      <w:r w:rsidRPr="00FF3D88">
        <w:t>No, I’m not working night shift. No, I’m not working early mornings. No, I’m not doing housekeeping. I’ll tell you what I’m prepared to do and when I’m prepared to do it</w:t>
      </w:r>
      <w:r>
        <w:t>”. [20]</w:t>
      </w:r>
    </w:p>
    <w:p w14:paraId="1CBB4282" w14:textId="77777777" w:rsidR="005B5E1E" w:rsidRDefault="005B5E1E" w:rsidP="005B5E1E">
      <w:r>
        <w:t xml:space="preserve">For some employers, the challenges produced by COVID-19 related workforce pressures were leading them to the point of abandoning their businesses. One caravan park operator had invested in the business prior to COVID-19 and was prepared to continue investing provided sufficient workers could be sourced to fill necessary roles. In their absence, the plan was to sell the business after one more season of struggle. </w:t>
      </w:r>
    </w:p>
    <w:p w14:paraId="56F33883" w14:textId="77777777" w:rsidR="005B5E1E" w:rsidRDefault="005B5E1E" w:rsidP="005B5E1E">
      <w:r>
        <w:t>Other employers were looking towards more innovative approaches to manage COVID-19 related pressures. In response to the downturn of demand, one international travel-focused tour operator had diversified the business to provide a buffer until the market regained momentum. Tellingly, there were employers from both industries who identified a shift in thinking about their workforce recruitment models. One citrus farmer noted that COVID-19 had reinforced the importance of greater self-sufficiency:</w:t>
      </w:r>
    </w:p>
    <w:p w14:paraId="4BCBD7C6" w14:textId="77777777" w:rsidR="005B5E1E" w:rsidRPr="00FF3D88" w:rsidRDefault="005B5E1E" w:rsidP="005B5E1E">
      <w:pPr>
        <w:pStyle w:val="Quote"/>
      </w:pPr>
      <w:r w:rsidRPr="00FF3D88">
        <w:t>I think something that COVID has really shown us, in everything, is that we need to be more self-sufficient, and that is with our workforce as well, and if we’ve got a lot of younger people who are unemployed and yet we’ve got to bring a whole heap of people to this country to fill our employment gaps, we’ve got a problem somewhere</w:t>
      </w:r>
      <w:r>
        <w:t xml:space="preserve">… </w:t>
      </w:r>
      <w:r w:rsidRPr="00A01DFC">
        <w:t>that’s where we have to import our workers as well and I don’t think that’s a good long-term plan</w:t>
      </w:r>
      <w:r>
        <w:t>.  [10]</w:t>
      </w:r>
      <w:r w:rsidRPr="00A01DFC">
        <w:t>.</w:t>
      </w:r>
    </w:p>
    <w:p w14:paraId="6621AD21" w14:textId="77777777" w:rsidR="005B5E1E" w:rsidRDefault="005B5E1E" w:rsidP="005B5E1E">
      <w:r>
        <w:t>The narrative was slightly different from one employer within the tourism and hospitality industry. A provider of outdoor education experiences, the business had responded to the COVID-19 disruption by purposefully reducing its reliance on WHMs:</w:t>
      </w:r>
    </w:p>
    <w:p w14:paraId="34FBC1E7" w14:textId="77777777" w:rsidR="005B5E1E" w:rsidRPr="002E1F9E" w:rsidRDefault="005B5E1E" w:rsidP="005B5E1E">
      <w:pPr>
        <w:pStyle w:val="Quote"/>
      </w:pPr>
      <w:r w:rsidRPr="002E1F9E">
        <w:t>I think this has given us a different insight to say we probably need to work harder now to train and develop an Australian workforce. So we’ve taken on 22 traineeships this year. We haven’t done that before. We’ve also just taken on 15 people with no outdoor skills at all, not as trainees but as assistant leaders. And we know it’s going to take us six months really to get much value out of them. But they give us feet on the ground and provide some support. So our dream is to do more of that so that across three or four years we will end up with the people who are training now being at a higher level skillset. [14]</w:t>
      </w:r>
    </w:p>
    <w:p w14:paraId="394A7882" w14:textId="77777777" w:rsidR="005B5E1E" w:rsidRDefault="005B5E1E" w:rsidP="005B5E1E">
      <w:r>
        <w:t>The problem for maintaining this approach in the longer term (i.e., post-COVID) is that WHMs from the United Kingdom provide a ‘quick fix’ in this industry because they arrive highly trained in outdoor skills, whereas training in Australia is currently inadequate. A major investment is required to bring local workers up to standard and the concern is they will not remain in the industry long-term as the work is not amenable to family life and therefore likely to be a short-term prospect.</w:t>
      </w:r>
      <w:r w:rsidRPr="00523158">
        <w:t xml:space="preserve"> </w:t>
      </w:r>
      <w:r>
        <w:t>The dilemma reinforces the unique contribution WHMs make to particular industries in Australia:</w:t>
      </w:r>
    </w:p>
    <w:p w14:paraId="78FDF8E7" w14:textId="77777777" w:rsidR="005B5E1E" w:rsidRDefault="005B5E1E" w:rsidP="005B5E1E">
      <w:pPr>
        <w:pStyle w:val="Quote"/>
      </w:pPr>
      <w:r>
        <w:t>I</w:t>
      </w:r>
      <w:r w:rsidRPr="00E07E0D">
        <w:t>f you imagine you’re on a 20 day expedition with a group, so you work 20 days straight and you’d get the time off in lieu at the end of that. You’d get paid an overnight allowance and you’d get paid for the hours that you work</w:t>
      </w:r>
      <w:r>
        <w:t xml:space="preserve"> -</w:t>
      </w:r>
      <w:r w:rsidRPr="00E07E0D">
        <w:t xml:space="preserve"> you get paid pretty reasonably, but once you meet somebody you perhaps have kids, that becomes a very difficult way to spend your working life, so we do know that there’s a relatively short shelf life to our higher skilled people, and it takes three or four years to get them to that level</w:t>
      </w:r>
      <w:r w:rsidRPr="00B52B21">
        <w:t>.</w:t>
      </w:r>
      <w:r>
        <w:t xml:space="preserve"> [14]</w:t>
      </w:r>
    </w:p>
    <w:p w14:paraId="4242A26A" w14:textId="77777777" w:rsidR="005B5E1E" w:rsidRDefault="005B5E1E" w:rsidP="005B5E1E">
      <w:r>
        <w:t xml:space="preserve">Another employer identified a downward trend in the use of WHMs in exchange for seasonal workers. Workers under the Seasonal Worker Program were perceived as more reliable than WHMs (i.e. less transient) and as friendly people who are easy to manage and get along with. While seasonal workers are seen to have less confidence and independence and need more work direction than WHMs, their stability as a workforce more than makes up for this. </w:t>
      </w:r>
    </w:p>
    <w:p w14:paraId="6531B693" w14:textId="0DB2C08B" w:rsidR="00196D33" w:rsidRDefault="00F30A5B" w:rsidP="00F30A5B">
      <w:pPr>
        <w:pStyle w:val="Heading3"/>
      </w:pPr>
      <w:bookmarkStart w:id="295" w:name="_Toc75878505"/>
      <w:r>
        <w:t>Perceptions of future business prospects</w:t>
      </w:r>
      <w:bookmarkEnd w:id="295"/>
    </w:p>
    <w:p w14:paraId="0DE32AAD" w14:textId="77777777" w:rsidR="008947C1" w:rsidRDefault="008947C1" w:rsidP="008947C1">
      <w:r>
        <w:t>Interviewed employers were subsequently asked about where they saw their businesses going and the role of WHMs in this over the next few years. A couple of citrus farmers were on a definitive growth trajectory and identified a crucial role in this for WHMs. Several agricultural employers identified an intention to grow their businesses tempered by concerns about their ability to source an adequate workforce:</w:t>
      </w:r>
    </w:p>
    <w:p w14:paraId="5EE8F7FA" w14:textId="058A3CAA" w:rsidR="008947C1" w:rsidRDefault="008947C1" w:rsidP="008947C1">
      <w:pPr>
        <w:pStyle w:val="Quote"/>
      </w:pPr>
      <w:r>
        <w:t>O</w:t>
      </w:r>
      <w:r w:rsidRPr="00FF3D88">
        <w:t>ur plan is steadily needing more. That was what our plan is. But we’re actually considering now putting the brakes on some expansion and just seeing how long this plays out for. Because it’s no use growing a crop if you can’t pick it</w:t>
      </w:r>
      <w:r w:rsidR="008C38E6">
        <w:t>…</w:t>
      </w:r>
      <w:r w:rsidRPr="00FF3D88">
        <w:t xml:space="preserve">  We’d like to keep going, but we just can’t see a way forward in the next maybe two years. We’re just nervous that we spend all this money to grow a crop and not get it off.</w:t>
      </w:r>
      <w:r>
        <w:t xml:space="preserve"> [2]</w:t>
      </w:r>
    </w:p>
    <w:p w14:paraId="2A7E1673" w14:textId="38D0721F" w:rsidR="008947C1" w:rsidRDefault="008947C1" w:rsidP="008947C1">
      <w:pPr>
        <w:pStyle w:val="Quote"/>
      </w:pPr>
      <w:r w:rsidRPr="00FF3D88">
        <w:t>We’re wanting to expand our lambing from two to possibly three a year to grow our numbers and then have more sheep for meat</w:t>
      </w:r>
      <w:r w:rsidR="003656C8">
        <w:t>. W</w:t>
      </w:r>
      <w:r w:rsidRPr="00FF3D88">
        <w:t>e do want to expand, but then you’ve got to look at how you’re going to expand and find employees for the type of work long-term, that’s probably our biggest hole</w:t>
      </w:r>
      <w:r>
        <w:t>. [7]</w:t>
      </w:r>
    </w:p>
    <w:p w14:paraId="42301172" w14:textId="6C18771B" w:rsidR="008947C1" w:rsidRDefault="008947C1" w:rsidP="008947C1">
      <w:r>
        <w:t xml:space="preserve">When asked about future projections, tourism and hospitality employers were cautiously optimistic about growth potential and generally emphatic that </w:t>
      </w:r>
      <w:r w:rsidR="00533FC6">
        <w:t>WHM</w:t>
      </w:r>
      <w:r>
        <w:t>s would necessarily play a key role in future operations. Strong domestic demand was projected to continue until the opening of international borders and then to return to business as usual. The major problem was finding workers to support demand in the meanwhile. One employer harboured deep concerns about the next two to three years, with not enough WHMs left in the country and any in-bound workers likely to be targeted to agriculture. In the context of running ski field operations, while some roles may survive without WHMs, others would not:</w:t>
      </w:r>
    </w:p>
    <w:p w14:paraId="491A09D2" w14:textId="3EC666AB" w:rsidR="008947C1" w:rsidRDefault="008947C1" w:rsidP="008947C1">
      <w:pPr>
        <w:pStyle w:val="Quote"/>
      </w:pPr>
      <w:r w:rsidRPr="00FF3D88">
        <w:t xml:space="preserve">I think </w:t>
      </w:r>
      <w:proofErr w:type="spellStart"/>
      <w:r w:rsidRPr="00FF3D88">
        <w:t>cheffing</w:t>
      </w:r>
      <w:proofErr w:type="spellEnd"/>
      <w:r w:rsidRPr="00FF3D88">
        <w:t xml:space="preserve"> will be a problem because I normally have a couple from overseas </w:t>
      </w:r>
      <w:proofErr w:type="spellStart"/>
      <w:r w:rsidRPr="00FF3D88">
        <w:t>cheffing</w:t>
      </w:r>
      <w:proofErr w:type="spellEnd"/>
      <w:r w:rsidRPr="00FF3D88">
        <w:t xml:space="preserve">. I think, food and beverage will possibly be okay. I think there will be enough skiers and snowboarders </w:t>
      </w:r>
      <w:r w:rsidRPr="00C72607">
        <w:t>out</w:t>
      </w:r>
      <w:r w:rsidRPr="00FF3D88">
        <w:t xml:space="preserve"> there to want to come, but I don’t know whether they’ll have the skills, or the skills that we need</w:t>
      </w:r>
      <w:r>
        <w:t>.</w:t>
      </w:r>
      <w:r w:rsidRPr="00FF3D88">
        <w:t xml:space="preserve"> </w:t>
      </w:r>
      <w:r>
        <w:t>B</w:t>
      </w:r>
      <w:r w:rsidRPr="00FF3D88">
        <w:t xml:space="preserve">ut housekeeping and cleaning will be a disaster. </w:t>
      </w:r>
      <w:r>
        <w:t>[4]</w:t>
      </w:r>
    </w:p>
    <w:p w14:paraId="6ECA0BC4" w14:textId="566D0747" w:rsidR="00FC3F7E" w:rsidRPr="00FC3F7E" w:rsidRDefault="00FC3F7E" w:rsidP="00FC3F7E">
      <w:r>
        <w:t xml:space="preserve">There was a consistent message </w:t>
      </w:r>
      <w:r w:rsidR="00631A03">
        <w:t>from employers to fast-track the return of WHMs by every means possible, while maintaining</w:t>
      </w:r>
      <w:r w:rsidR="00ED7CDD">
        <w:t xml:space="preserve"> a focus on</w:t>
      </w:r>
      <w:r w:rsidR="00631A03">
        <w:t xml:space="preserve"> </w:t>
      </w:r>
      <w:r w:rsidR="006D3D14">
        <w:t>the health and safety of the Australian public.</w:t>
      </w:r>
      <w:r w:rsidR="00ED7CDD">
        <w:t xml:space="preserve"> They recognise it is a challenge but are </w:t>
      </w:r>
      <w:r w:rsidR="00A84704">
        <w:t xml:space="preserve">calling out for </w:t>
      </w:r>
      <w:r w:rsidR="00743652">
        <w:t xml:space="preserve">innovative, </w:t>
      </w:r>
      <w:r w:rsidR="00AA1792">
        <w:t xml:space="preserve">responsive </w:t>
      </w:r>
      <w:r w:rsidR="00113620">
        <w:t>and</w:t>
      </w:r>
      <w:r w:rsidR="00743652">
        <w:t xml:space="preserve"> collaborative</w:t>
      </w:r>
      <w:r w:rsidR="00113620">
        <w:t xml:space="preserve"> </w:t>
      </w:r>
      <w:r w:rsidR="00743652">
        <w:t>approaches</w:t>
      </w:r>
      <w:r w:rsidR="00AA1792">
        <w:t xml:space="preserve"> on the part of government and industry to rise to </w:t>
      </w:r>
      <w:r w:rsidR="00743652">
        <w:t>the challenge.</w:t>
      </w:r>
    </w:p>
    <w:p w14:paraId="6B5C4ED7" w14:textId="555958BF" w:rsidR="00D375FF" w:rsidRDefault="00D375FF" w:rsidP="004B483D">
      <w:pPr>
        <w:pStyle w:val="Heading1"/>
      </w:pPr>
      <w:bookmarkStart w:id="296" w:name="_Toc75878506"/>
      <w:r>
        <w:t>Conclusion</w:t>
      </w:r>
      <w:bookmarkEnd w:id="296"/>
    </w:p>
    <w:p w14:paraId="7DC3AB93" w14:textId="2DF7D403" w:rsidR="001E1C8C" w:rsidRDefault="001E1C8C" w:rsidP="001E1C8C">
      <w:r>
        <w:t>In 2019-20</w:t>
      </w:r>
      <w:r w:rsidR="00AA3C95">
        <w:t>,</w:t>
      </w:r>
      <w:r>
        <w:t xml:space="preserve"> the WHM program provided the opportunity for almost 190,000 visitors from 44 countries to work and travel in Australia and supported businesses to meet seasonal labour requirements in regional and remote Australia. This report highlights the strength of the WHM program in facilitating work and travel opportunities to encourage and support WHMs to explore the depth and breadth of the continent of Australia. </w:t>
      </w:r>
    </w:p>
    <w:p w14:paraId="569A3344" w14:textId="750B1EEF" w:rsidR="001E1C8C" w:rsidRDefault="001E1C8C" w:rsidP="001E1C8C">
      <w:r>
        <w:t>Primarily, WHMs used their time in Australia to travel, work, and experience Australian culture. They spen</w:t>
      </w:r>
      <w:r w:rsidR="0012404D">
        <w:t>t</w:t>
      </w:r>
      <w:r>
        <w:t xml:space="preserve"> on average 9.4 months in Australia and work</w:t>
      </w:r>
      <w:r w:rsidR="0012404D">
        <w:t>ed</w:t>
      </w:r>
      <w:r>
        <w:t xml:space="preserve"> on average for three months in each job they </w:t>
      </w:r>
      <w:r w:rsidR="0012404D">
        <w:t>we</w:t>
      </w:r>
      <w:r>
        <w:t>re employed, typically work</w:t>
      </w:r>
      <w:r w:rsidR="0012404D">
        <w:t>ed</w:t>
      </w:r>
      <w:r>
        <w:t xml:space="preserve"> two jobs and earn</w:t>
      </w:r>
      <w:r w:rsidR="0012404D">
        <w:t>ed</w:t>
      </w:r>
      <w:r>
        <w:t xml:space="preserve"> $13,000 for each job. Work often </w:t>
      </w:r>
      <w:r w:rsidR="0012404D">
        <w:t>took</w:t>
      </w:r>
      <w:r>
        <w:t xml:space="preserve"> place in regional and remote Australia, and remote areas </w:t>
      </w:r>
      <w:r w:rsidR="0012404D">
        <w:t>we</w:t>
      </w:r>
      <w:r>
        <w:t xml:space="preserve">re also visited for tourism purposes. Employment </w:t>
      </w:r>
      <w:r w:rsidR="0012404D">
        <w:t>wa</w:t>
      </w:r>
      <w:r>
        <w:t xml:space="preserve">s particularly prevalent amongst agricultural businesses, with seasonal, short term, but high intensity jobs aligning with the needs of many WHMs. More than 20% of all jobs reported in the 2020 survey were for crop farm workers. </w:t>
      </w:r>
    </w:p>
    <w:p w14:paraId="74ADA41F" w14:textId="17383EFB" w:rsidR="001E1C8C" w:rsidRDefault="001E1C8C" w:rsidP="001E1C8C">
      <w:r>
        <w:t xml:space="preserve">The mutually beneficial arrangement between WHMs and Australian employers was highly apparent. WHMs reported being satisfied or very satisfied in over 70% of the jobs in which they worked, and employers overwhelmingly considered that WHMs </w:t>
      </w:r>
      <w:r w:rsidR="00E327A9">
        <w:t>we</w:t>
      </w:r>
      <w:r>
        <w:t>re extremely important for their businesses. WHMs were viewed as providing essential labour</w:t>
      </w:r>
      <w:r w:rsidRPr="00D30821">
        <w:t xml:space="preserve"> </w:t>
      </w:r>
      <w:r>
        <w:t>and generating much needed economic growth in regional and remote areas. They were also valued for contributing on a social and cultural level to both the workplace and local communit</w:t>
      </w:r>
      <w:r w:rsidR="008B0CAC">
        <w:t>ies</w:t>
      </w:r>
      <w:r>
        <w:t>.</w:t>
      </w:r>
    </w:p>
    <w:p w14:paraId="447E3318" w14:textId="75D37579" w:rsidR="001E1C8C" w:rsidRDefault="001E1C8C" w:rsidP="001E1C8C">
      <w:r>
        <w:t xml:space="preserve">WHMs strongly endorsed the WHM program with almost 95% indicating they would recommend the program to others. However, it is important to continue efforts to ensure that an increased number of WHMs are satisfied with the jobs they undertake while in Australia. This is particularly relevant in agricultural jobs which are </w:t>
      </w:r>
      <w:r w:rsidR="00E327A9">
        <w:t>common</w:t>
      </w:r>
      <w:r>
        <w:t xml:space="preserve"> for WHMs but also record the lowest satisfaction ratings. Notably, the</w:t>
      </w:r>
      <w:r w:rsidR="00AA3C95">
        <w:t xml:space="preserve"> final report from the</w:t>
      </w:r>
      <w:r>
        <w:t xml:space="preserve"> Joint Standing Committee on Migration</w:t>
      </w:r>
      <w:r w:rsidR="00AA3C95">
        <w:t>’s</w:t>
      </w:r>
      <w:r>
        <w:t xml:space="preserve"> Inquiry into the WHM program has recommended the establishment of a single point of contact hotline for WHMs to source information and advice about </w:t>
      </w:r>
      <w:r w:rsidRPr="00C05EA9">
        <w:t>work rights</w:t>
      </w:r>
      <w:r>
        <w:t xml:space="preserve"> and</w:t>
      </w:r>
      <w:r w:rsidRPr="00C05EA9">
        <w:t xml:space="preserve"> workplace exploitation concerns, </w:t>
      </w:r>
      <w:r>
        <w:t xml:space="preserve">together with </w:t>
      </w:r>
      <w:r w:rsidRPr="00C05EA9">
        <w:t>accommodation and employment options</w:t>
      </w:r>
      <w:r>
        <w:t>. This aligns with employer feedback about strengthening perceptions of program safety and integrity to ensure that international WHMs continue to rate Australia as a preferred destination.</w:t>
      </w:r>
    </w:p>
    <w:p w14:paraId="387B070C" w14:textId="3B917D63" w:rsidR="001E1C8C" w:rsidRDefault="001E1C8C" w:rsidP="001E1C8C">
      <w:r>
        <w:t>The findings of this report point to the success of p</w:t>
      </w:r>
      <w:r w:rsidRPr="00F03B6F">
        <w:t xml:space="preserve">olicy-driven program changes </w:t>
      </w:r>
      <w:r>
        <w:t>geared to growing the program (increased partner countries and caps)</w:t>
      </w:r>
      <w:r w:rsidRPr="00F03B6F">
        <w:t xml:space="preserve"> and channel</w:t>
      </w:r>
      <w:r>
        <w:t xml:space="preserve">ling </w:t>
      </w:r>
      <w:r w:rsidRPr="00F03B6F">
        <w:t>WHMs into regional areas and industries with unmet labour demand</w:t>
      </w:r>
      <w:r>
        <w:t xml:space="preserve"> (via second and third visa qualification provisions). However, </w:t>
      </w:r>
      <w:r w:rsidR="00132A99">
        <w:t>some</w:t>
      </w:r>
      <w:r w:rsidR="00FB216D">
        <w:t xml:space="preserve"> </w:t>
      </w:r>
      <w:r>
        <w:t>unevenness in labour distribution</w:t>
      </w:r>
      <w:r w:rsidR="00FB216D">
        <w:t xml:space="preserve"> across industries</w:t>
      </w:r>
      <w:r>
        <w:t xml:space="preserve"> was identified by employers. While historically geared to supporting the agriculture sector, recent policy developments to extend program provisions and benefits to other industries that struggle to source labour in </w:t>
      </w:r>
      <w:r w:rsidRPr="00E7704D">
        <w:t>peri-urban, regional, rural and remote parts of Australia</w:t>
      </w:r>
      <w:r>
        <w:t xml:space="preserve"> are a timely response to concerns raised by tourism and hospitality employers in this report. Of particular note was the announcement in May 2021 - some months after data collection for the present report - of i</w:t>
      </w:r>
      <w:r w:rsidRPr="00510137">
        <w:t>ncreas</w:t>
      </w:r>
      <w:r>
        <w:t>ed government</w:t>
      </w:r>
      <w:r w:rsidRPr="00510137">
        <w:t xml:space="preserve"> support for Australia’s tourism and hospitality sector </w:t>
      </w:r>
      <w:r>
        <w:t xml:space="preserve">through greater </w:t>
      </w:r>
      <w:r w:rsidRPr="00510137">
        <w:t>visa flexibility during the COVID-19 pandemic period</w:t>
      </w:r>
      <w:r>
        <w:t xml:space="preserve">. </w:t>
      </w:r>
    </w:p>
    <w:p w14:paraId="62CA1D57" w14:textId="249FDB1B" w:rsidR="001E1C8C" w:rsidRDefault="001E1C8C" w:rsidP="001E1C8C">
      <w:r>
        <w:t>This report comes at a critical time as the nation recovers from the COVID-19 pandemic. With Australia’s international border closed, and expectations that it could remain closed until mid-2022, understanding how regional and remote businesses that rely heavily on WHMs interact with the local labour market is important for Australia’s sustained recovery</w:t>
      </w:r>
      <w:r w:rsidR="0076001F">
        <w:t>.</w:t>
      </w:r>
    </w:p>
    <w:p w14:paraId="1805D759" w14:textId="332329FB" w:rsidR="00F83C45" w:rsidRPr="00314768" w:rsidRDefault="00F83C45">
      <w:pPr>
        <w:pStyle w:val="Appendix"/>
        <w:numPr>
          <w:ilvl w:val="0"/>
          <w:numId w:val="0"/>
        </w:numPr>
        <w:ind w:left="431"/>
      </w:pPr>
      <w:bookmarkStart w:id="297" w:name="_Toc75878507"/>
      <w:r w:rsidRPr="00314768">
        <w:t>References</w:t>
      </w:r>
      <w:bookmarkEnd w:id="297"/>
    </w:p>
    <w:p w14:paraId="4C3736FC" w14:textId="77777777" w:rsidR="00E41A86" w:rsidRPr="00E41A86" w:rsidRDefault="00F83C45" w:rsidP="00E41A86">
      <w:pPr>
        <w:pStyle w:val="EndNoteBibliography"/>
        <w:ind w:left="720" w:hanging="720"/>
        <w:rPr>
          <w:noProof/>
        </w:rPr>
      </w:pPr>
      <w:r w:rsidRPr="00314768">
        <w:fldChar w:fldCharType="begin"/>
      </w:r>
      <w:r w:rsidRPr="00314768">
        <w:instrText xml:space="preserve"> ADDIN EN.REFLIST </w:instrText>
      </w:r>
      <w:r w:rsidRPr="00314768">
        <w:fldChar w:fldCharType="separate"/>
      </w:r>
      <w:r w:rsidR="00E41A86" w:rsidRPr="00E41A86">
        <w:rPr>
          <w:noProof/>
        </w:rPr>
        <w:t>AAP General News Wire. (2019). Working holdiay-makers head to the regions. Australia, Sydney: Australian Associated Press Pty Limited.</w:t>
      </w:r>
    </w:p>
    <w:p w14:paraId="3F0C05C3" w14:textId="55026C2D" w:rsidR="00E41A86" w:rsidRPr="00E41A86" w:rsidRDefault="00E41A86" w:rsidP="00E41A86">
      <w:pPr>
        <w:pStyle w:val="EndNoteBibliography"/>
        <w:ind w:left="720" w:hanging="720"/>
        <w:rPr>
          <w:noProof/>
        </w:rPr>
      </w:pPr>
      <w:r w:rsidRPr="00E41A86">
        <w:rPr>
          <w:noProof/>
        </w:rPr>
        <w:t xml:space="preserve">ABS. (2019). </w:t>
      </w:r>
      <w:r w:rsidRPr="00E41A86">
        <w:rPr>
          <w:i/>
          <w:noProof/>
        </w:rPr>
        <w:t>ABS 1220.0 - ANZSCO - Australian and New Zealand Standard Classification of Occupations, Version 1.3</w:t>
      </w:r>
      <w:r w:rsidRPr="00E41A86">
        <w:rPr>
          <w:noProof/>
        </w:rPr>
        <w:t xml:space="preserve">. Retrieved from: </w:t>
      </w:r>
      <w:hyperlink r:id="rId112" w:history="1">
        <w:r w:rsidRPr="00E41A86">
          <w:rPr>
            <w:rStyle w:val="Hyperlink"/>
            <w:noProof/>
          </w:rPr>
          <w:t>https://www.abs.gov.au/ANZSCO</w:t>
        </w:r>
      </w:hyperlink>
    </w:p>
    <w:p w14:paraId="52F47F1D" w14:textId="558A3C34" w:rsidR="00E41A86" w:rsidRPr="00E41A86" w:rsidRDefault="00E41A86" w:rsidP="00E41A86">
      <w:pPr>
        <w:pStyle w:val="EndNoteBibliography"/>
        <w:ind w:left="720" w:hanging="720"/>
        <w:rPr>
          <w:noProof/>
        </w:rPr>
      </w:pPr>
      <w:r w:rsidRPr="00E41A86">
        <w:rPr>
          <w:noProof/>
        </w:rPr>
        <w:t xml:space="preserve">Attorney General's Department (Clth). Migrant Workers' Taskforce.   Retrieved from </w:t>
      </w:r>
      <w:hyperlink r:id="rId113" w:history="1">
        <w:r w:rsidRPr="00E41A86">
          <w:rPr>
            <w:rStyle w:val="Hyperlink"/>
            <w:noProof/>
          </w:rPr>
          <w:t>https://www.ag.gov.au/industrial-relations/migrant-workers-taskforce</w:t>
        </w:r>
      </w:hyperlink>
    </w:p>
    <w:p w14:paraId="2A092987" w14:textId="6A9D7350" w:rsidR="00E41A86" w:rsidRPr="00E41A86" w:rsidRDefault="00E41A86" w:rsidP="00E41A86">
      <w:pPr>
        <w:pStyle w:val="EndNoteBibliography"/>
        <w:ind w:left="720" w:hanging="720"/>
        <w:rPr>
          <w:noProof/>
        </w:rPr>
      </w:pPr>
      <w:r w:rsidRPr="00E41A86">
        <w:rPr>
          <w:noProof/>
        </w:rPr>
        <w:t xml:space="preserve">Australian Bureau of Statistics. (2016). 1270.0.55.001 - Australian Statistical Geography Standard (ASGS): Volume 1 - Main Structure and Greater Capital City Statistical Areas, July 2016  Retrieved from </w:t>
      </w:r>
      <w:hyperlink r:id="rId114" w:history="1">
        <w:r w:rsidRPr="00E41A86">
          <w:rPr>
            <w:rStyle w:val="Hyperlink"/>
            <w:noProof/>
          </w:rPr>
          <w:t>https://www.abs.gov.au</w:t>
        </w:r>
      </w:hyperlink>
    </w:p>
    <w:p w14:paraId="7866A999" w14:textId="77777777" w:rsidR="00E41A86" w:rsidRPr="00E41A86" w:rsidRDefault="00E41A86" w:rsidP="00E41A86">
      <w:pPr>
        <w:pStyle w:val="EndNoteBibliography"/>
        <w:ind w:left="720" w:hanging="720"/>
        <w:rPr>
          <w:noProof/>
        </w:rPr>
      </w:pPr>
      <w:r w:rsidRPr="00E41A86">
        <w:rPr>
          <w:noProof/>
        </w:rPr>
        <w:t xml:space="preserve">Australian Government Austrade. (2020). </w:t>
      </w:r>
      <w:r w:rsidRPr="00E41A86">
        <w:rPr>
          <w:i/>
          <w:noProof/>
        </w:rPr>
        <w:t>Foreign Affairs and Trade Portfolio Submission to the Inquiry into the Working Holiday Maker Program by the Joint Standing Committee on Migration, Submission 69</w:t>
      </w:r>
      <w:r w:rsidRPr="00E41A86">
        <w:rPr>
          <w:noProof/>
        </w:rPr>
        <w:t>.</w:t>
      </w:r>
    </w:p>
    <w:p w14:paraId="50BDE5CA" w14:textId="3CF9FC74" w:rsidR="00E41A86" w:rsidRPr="00E41A86" w:rsidRDefault="00E41A86" w:rsidP="00E41A86">
      <w:pPr>
        <w:pStyle w:val="EndNoteBibliography"/>
        <w:ind w:left="720" w:hanging="720"/>
        <w:rPr>
          <w:noProof/>
        </w:rPr>
      </w:pPr>
      <w:r w:rsidRPr="00E41A86">
        <w:rPr>
          <w:noProof/>
        </w:rPr>
        <w:t xml:space="preserve">Australian Government Department of Home Affairs. (2020a, 22 April 2020). (Subclass 417) Working Holiday Visa.   Retrieved from </w:t>
      </w:r>
      <w:hyperlink r:id="rId115" w:history="1">
        <w:r w:rsidRPr="00E41A86">
          <w:rPr>
            <w:rStyle w:val="Hyperlink"/>
            <w:noProof/>
          </w:rPr>
          <w:t>https://immi.homeaffairs.gov.au/visas/getting-a-visa/visa-listing/work-holiday-417</w:t>
        </w:r>
      </w:hyperlink>
    </w:p>
    <w:p w14:paraId="4B72CF6C" w14:textId="11F8DA25" w:rsidR="00E41A86" w:rsidRPr="00E41A86" w:rsidRDefault="00E41A86" w:rsidP="00E41A86">
      <w:pPr>
        <w:pStyle w:val="EndNoteBibliography"/>
        <w:ind w:left="720" w:hanging="720"/>
        <w:rPr>
          <w:noProof/>
        </w:rPr>
      </w:pPr>
      <w:r w:rsidRPr="00E41A86">
        <w:rPr>
          <w:noProof/>
        </w:rPr>
        <w:t xml:space="preserve">Australian Government Department of Home Affairs. (2020b, 22 April 2020). Subclass 462 Work and Holiday.   Retrieved from </w:t>
      </w:r>
      <w:hyperlink r:id="rId116" w:history="1">
        <w:r w:rsidRPr="00E41A86">
          <w:rPr>
            <w:rStyle w:val="Hyperlink"/>
            <w:noProof/>
          </w:rPr>
          <w:t>https://immi.homeaffairs.gov.au/visas/getting-a-visa/visa-listing/work-holiday-462</w:t>
        </w:r>
      </w:hyperlink>
    </w:p>
    <w:p w14:paraId="3400A10D" w14:textId="283826BE" w:rsidR="00E41A86" w:rsidRPr="00E41A86" w:rsidRDefault="00E41A86" w:rsidP="00E41A86">
      <w:pPr>
        <w:pStyle w:val="EndNoteBibliography"/>
        <w:ind w:left="720" w:hanging="720"/>
        <w:rPr>
          <w:noProof/>
        </w:rPr>
      </w:pPr>
      <w:r w:rsidRPr="00E41A86">
        <w:rPr>
          <w:noProof/>
        </w:rPr>
        <w:t xml:space="preserve">Australian Government Department of Home Affairs. (2020c, 17 January 2020). Working Holiday Maker (WHM) program.   Retrieved from </w:t>
      </w:r>
      <w:hyperlink r:id="rId117" w:history="1">
        <w:r w:rsidRPr="00E41A86">
          <w:rPr>
            <w:rStyle w:val="Hyperlink"/>
            <w:noProof/>
          </w:rPr>
          <w:t>https://immi.homeaffairs.gov.au/what-we-do/whm-program</w:t>
        </w:r>
      </w:hyperlink>
    </w:p>
    <w:p w14:paraId="27F8DA53" w14:textId="1155AB56" w:rsidR="00E41A86" w:rsidRPr="00E41A86" w:rsidRDefault="00E41A86" w:rsidP="00E41A86">
      <w:pPr>
        <w:pStyle w:val="EndNoteBibliography"/>
        <w:ind w:left="720" w:hanging="720"/>
        <w:rPr>
          <w:noProof/>
        </w:rPr>
      </w:pPr>
      <w:r w:rsidRPr="00E41A86">
        <w:rPr>
          <w:noProof/>
        </w:rPr>
        <w:t xml:space="preserve">Australian Government Department of Home Affairs. (2020d). Working Holiday Maker (WHM) Program - Latest News.   Retrieved from </w:t>
      </w:r>
      <w:hyperlink r:id="rId118" w:history="1">
        <w:r w:rsidRPr="00E41A86">
          <w:rPr>
            <w:rStyle w:val="Hyperlink"/>
            <w:noProof/>
          </w:rPr>
          <w:t>https://immi.homeaffairs.gov.au/what-we-do/whm-program/latest-news</w:t>
        </w:r>
      </w:hyperlink>
    </w:p>
    <w:p w14:paraId="26854132" w14:textId="38807DBB" w:rsidR="00E41A86" w:rsidRPr="00E41A86" w:rsidRDefault="00E41A86" w:rsidP="00E41A86">
      <w:pPr>
        <w:pStyle w:val="EndNoteBibliography"/>
        <w:ind w:left="720" w:hanging="720"/>
        <w:rPr>
          <w:noProof/>
        </w:rPr>
      </w:pPr>
      <w:r w:rsidRPr="00E41A86">
        <w:rPr>
          <w:noProof/>
        </w:rPr>
        <w:t xml:space="preserve">Australian Government Department of Home Affairs. (2021). </w:t>
      </w:r>
      <w:r w:rsidRPr="00E41A86">
        <w:rPr>
          <w:i/>
          <w:noProof/>
        </w:rPr>
        <w:t>Working Holiday Maker visas granted pivot table, 2020-21 to 31 March 2021 - comparison with previous years</w:t>
      </w:r>
      <w:r w:rsidRPr="00E41A86">
        <w:rPr>
          <w:noProof/>
        </w:rPr>
        <w:t xml:space="preserve">.  Retrieved from </w:t>
      </w:r>
      <w:hyperlink r:id="rId119" w:history="1">
        <w:r w:rsidRPr="00E41A86">
          <w:rPr>
            <w:rStyle w:val="Hyperlink"/>
            <w:noProof/>
          </w:rPr>
          <w:t>https://data.gov.au/data/dataset/visa-working-holiday-maker</w:t>
        </w:r>
      </w:hyperlink>
      <w:r w:rsidRPr="00E41A86">
        <w:rPr>
          <w:noProof/>
        </w:rPr>
        <w:t>.</w:t>
      </w:r>
    </w:p>
    <w:p w14:paraId="387D3806" w14:textId="23F74A36" w:rsidR="00E41A86" w:rsidRPr="00E41A86" w:rsidRDefault="00E41A86" w:rsidP="00E41A86">
      <w:pPr>
        <w:pStyle w:val="EndNoteBibliography"/>
        <w:ind w:left="720" w:hanging="720"/>
        <w:rPr>
          <w:noProof/>
        </w:rPr>
      </w:pPr>
      <w:r w:rsidRPr="00E41A86">
        <w:rPr>
          <w:noProof/>
        </w:rPr>
        <w:t xml:space="preserve">Australian Government Department of Immigration and Border Protection. (2015). </w:t>
      </w:r>
      <w:r w:rsidRPr="00E41A86">
        <w:rPr>
          <w:i/>
          <w:noProof/>
        </w:rPr>
        <w:t>Working Holiday Maker visa programme report, 31 December 2015</w:t>
      </w:r>
      <w:r w:rsidRPr="00E41A86">
        <w:rPr>
          <w:noProof/>
        </w:rPr>
        <w:t xml:space="preserve">. Canberra, Australia. </w:t>
      </w:r>
      <w:hyperlink r:id="rId120" w:history="1">
        <w:r w:rsidRPr="00E41A86">
          <w:rPr>
            <w:rStyle w:val="Hyperlink"/>
            <w:noProof/>
          </w:rPr>
          <w:t>https://www.homeaffairs.gov.au/research-and-statistics/statistics/visa-statistics/visit</w:t>
        </w:r>
      </w:hyperlink>
    </w:p>
    <w:p w14:paraId="0D18B64C" w14:textId="77777777" w:rsidR="00E41A86" w:rsidRPr="00E41A86" w:rsidRDefault="00E41A86" w:rsidP="00E41A86">
      <w:pPr>
        <w:pStyle w:val="EndNoteBibliography"/>
        <w:ind w:left="720" w:hanging="720"/>
        <w:rPr>
          <w:noProof/>
        </w:rPr>
      </w:pPr>
      <w:r w:rsidRPr="00E41A86">
        <w:rPr>
          <w:noProof/>
        </w:rPr>
        <w:t xml:space="preserve">Committee for Economic Development of Australia. (2019). </w:t>
      </w:r>
      <w:r w:rsidRPr="00E41A86">
        <w:rPr>
          <w:i/>
          <w:noProof/>
        </w:rPr>
        <w:t>Effects of temporary migration</w:t>
      </w:r>
      <w:r w:rsidRPr="00E41A86">
        <w:rPr>
          <w:noProof/>
        </w:rPr>
        <w:t>. Melbourne</w:t>
      </w:r>
    </w:p>
    <w:p w14:paraId="7AC9A43F" w14:textId="77777777" w:rsidR="00E41A86" w:rsidRPr="00E41A86" w:rsidRDefault="00E41A86" w:rsidP="00E41A86">
      <w:pPr>
        <w:pStyle w:val="EndNoteBibliography"/>
        <w:ind w:left="720" w:hanging="720"/>
        <w:rPr>
          <w:noProof/>
        </w:rPr>
      </w:pPr>
      <w:r w:rsidRPr="00E41A86">
        <w:rPr>
          <w:noProof/>
        </w:rPr>
        <w:t xml:space="preserve">Department of Home Affairs. (2021). </w:t>
      </w:r>
      <w:r w:rsidRPr="00E41A86">
        <w:rPr>
          <w:i/>
          <w:noProof/>
        </w:rPr>
        <w:t>BP0017 Working Holiday Maker visas granted pivot table 2020-21 to 31 December 2020 - comparison with previous years</w:t>
      </w:r>
      <w:r w:rsidRPr="00E41A86">
        <w:rPr>
          <w:noProof/>
        </w:rPr>
        <w:t>. Canberra. data.gov.au</w:t>
      </w:r>
    </w:p>
    <w:p w14:paraId="3EC5B14D" w14:textId="77777777" w:rsidR="00E41A86" w:rsidRPr="00E41A86" w:rsidRDefault="00E41A86" w:rsidP="00E41A86">
      <w:pPr>
        <w:pStyle w:val="EndNoteBibliography"/>
        <w:ind w:left="720" w:hanging="720"/>
        <w:rPr>
          <w:noProof/>
        </w:rPr>
      </w:pPr>
      <w:r w:rsidRPr="00E41A86">
        <w:rPr>
          <w:noProof/>
        </w:rPr>
        <w:t>Education and Employment References Committee. (2016). A National Disgrace: The Exploitation of Temporary Work Visa Holders. Canberra.</w:t>
      </w:r>
    </w:p>
    <w:p w14:paraId="5B9F4441" w14:textId="77777777" w:rsidR="00E41A86" w:rsidRPr="00E41A86" w:rsidRDefault="00E41A86" w:rsidP="00E41A86">
      <w:pPr>
        <w:pStyle w:val="EndNoteBibliography"/>
        <w:ind w:left="720" w:hanging="720"/>
        <w:rPr>
          <w:noProof/>
        </w:rPr>
      </w:pPr>
      <w:r w:rsidRPr="00E41A86">
        <w:rPr>
          <w:noProof/>
        </w:rPr>
        <w:t xml:space="preserve">Fair Work Ombudsman. (2016). </w:t>
      </w:r>
      <w:r w:rsidRPr="00E41A86">
        <w:rPr>
          <w:i/>
          <w:noProof/>
        </w:rPr>
        <w:t xml:space="preserve">Inquiry into the wages and conditions of people working under the 417 Working Holiday Visa Program </w:t>
      </w:r>
      <w:r w:rsidRPr="00E41A86">
        <w:rPr>
          <w:noProof/>
        </w:rPr>
        <w:t>file:///C:/Users/more0020/AppData/Local/Temp/417-visa-inquiry-report-1.pdf</w:t>
      </w:r>
    </w:p>
    <w:p w14:paraId="6E9198D4" w14:textId="77777777" w:rsidR="00E41A86" w:rsidRPr="00E41A86" w:rsidRDefault="00E41A86" w:rsidP="00E41A86">
      <w:pPr>
        <w:pStyle w:val="EndNoteBibliography"/>
        <w:ind w:left="720" w:hanging="720"/>
        <w:rPr>
          <w:noProof/>
        </w:rPr>
      </w:pPr>
      <w:r w:rsidRPr="00E41A86">
        <w:rPr>
          <w:noProof/>
        </w:rPr>
        <w:t xml:space="preserve">Fair Work Ombudsman. (2018). </w:t>
      </w:r>
      <w:r w:rsidRPr="00E41A86">
        <w:rPr>
          <w:i/>
          <w:noProof/>
        </w:rPr>
        <w:t>Haverst Trail Inquiry Report: A report on workplace arrangements along the Harvest Trail</w:t>
      </w:r>
      <w:r w:rsidRPr="00E41A86">
        <w:rPr>
          <w:noProof/>
        </w:rPr>
        <w:t xml:space="preserve"> </w:t>
      </w:r>
    </w:p>
    <w:p w14:paraId="7183A227" w14:textId="77777777" w:rsidR="00E41A86" w:rsidRPr="00E41A86" w:rsidRDefault="00E41A86" w:rsidP="00E41A86">
      <w:pPr>
        <w:pStyle w:val="EndNoteBibliography"/>
        <w:ind w:left="720" w:hanging="720"/>
        <w:rPr>
          <w:noProof/>
        </w:rPr>
      </w:pPr>
      <w:r w:rsidRPr="00E41A86">
        <w:rPr>
          <w:noProof/>
        </w:rPr>
        <w:t xml:space="preserve">Fels, A., &amp; Cousins, D. (2019). The Migrant Workers’  Taskforce and the Australian Government’s Response to Migrant Worker Wage Exploitation. </w:t>
      </w:r>
      <w:r w:rsidRPr="00E41A86">
        <w:rPr>
          <w:i/>
          <w:noProof/>
        </w:rPr>
        <w:t>Journal of Australian Political Economy, 84</w:t>
      </w:r>
      <w:r w:rsidRPr="00E41A86">
        <w:rPr>
          <w:noProof/>
        </w:rPr>
        <w:t xml:space="preserve">, 13-45. </w:t>
      </w:r>
    </w:p>
    <w:p w14:paraId="697EFDB0" w14:textId="77777777" w:rsidR="00E41A86" w:rsidRPr="00E41A86" w:rsidRDefault="00E41A86" w:rsidP="00E41A86">
      <w:pPr>
        <w:pStyle w:val="EndNoteBibliography"/>
        <w:ind w:left="720" w:hanging="720"/>
        <w:rPr>
          <w:noProof/>
        </w:rPr>
      </w:pPr>
      <w:r w:rsidRPr="00E41A86">
        <w:rPr>
          <w:noProof/>
        </w:rPr>
        <w:t xml:space="preserve">Income Tax Rates Amendment (Working Holiday Maker Reform) Bill 2016 [and related Bills]. (2016). </w:t>
      </w:r>
      <w:r w:rsidRPr="00E41A86">
        <w:rPr>
          <w:i/>
          <w:noProof/>
        </w:rPr>
        <w:t>(Cth)</w:t>
      </w:r>
      <w:r w:rsidRPr="00E41A86">
        <w:rPr>
          <w:noProof/>
        </w:rPr>
        <w:t>.</w:t>
      </w:r>
    </w:p>
    <w:p w14:paraId="3DE321F6" w14:textId="77777777" w:rsidR="00E41A86" w:rsidRPr="00E41A86" w:rsidRDefault="00E41A86" w:rsidP="00E41A86">
      <w:pPr>
        <w:pStyle w:val="EndNoteBibliography"/>
        <w:ind w:left="720" w:hanging="720"/>
        <w:rPr>
          <w:noProof/>
        </w:rPr>
      </w:pPr>
      <w:r w:rsidRPr="00E41A86">
        <w:rPr>
          <w:noProof/>
        </w:rPr>
        <w:t xml:space="preserve">Joint Standing Committee on Migration. (2020a). </w:t>
      </w:r>
      <w:r w:rsidRPr="00E41A86">
        <w:rPr>
          <w:i/>
          <w:noProof/>
        </w:rPr>
        <w:t>Final Report of the Inquiry into the Working Holiday Maker Program</w:t>
      </w:r>
      <w:r w:rsidRPr="00E41A86">
        <w:rPr>
          <w:noProof/>
        </w:rPr>
        <w:t>. Canberra</w:t>
      </w:r>
    </w:p>
    <w:p w14:paraId="439B5FF1" w14:textId="77777777" w:rsidR="00E41A86" w:rsidRPr="00E41A86" w:rsidRDefault="00E41A86" w:rsidP="00E41A86">
      <w:pPr>
        <w:pStyle w:val="EndNoteBibliography"/>
        <w:ind w:left="720" w:hanging="720"/>
        <w:rPr>
          <w:noProof/>
        </w:rPr>
      </w:pPr>
      <w:r w:rsidRPr="00E41A86">
        <w:rPr>
          <w:noProof/>
        </w:rPr>
        <w:t xml:space="preserve">Joint Standing Committee on Migration. (2020b). </w:t>
      </w:r>
      <w:r w:rsidRPr="00E41A86">
        <w:rPr>
          <w:i/>
          <w:noProof/>
        </w:rPr>
        <w:t>Interim Report of the Inquiry into the Working Holiday Maker Program</w:t>
      </w:r>
      <w:r w:rsidRPr="00E41A86">
        <w:rPr>
          <w:noProof/>
        </w:rPr>
        <w:t>. Canberra</w:t>
      </w:r>
    </w:p>
    <w:p w14:paraId="39302EE5" w14:textId="7AAF738E" w:rsidR="00E41A86" w:rsidRPr="00E41A86" w:rsidRDefault="00E41A86" w:rsidP="00E41A86">
      <w:pPr>
        <w:pStyle w:val="EndNoteBibliography"/>
        <w:ind w:left="720" w:hanging="720"/>
        <w:rPr>
          <w:noProof/>
        </w:rPr>
      </w:pPr>
      <w:r w:rsidRPr="00E41A86">
        <w:rPr>
          <w:noProof/>
        </w:rPr>
        <w:t xml:space="preserve">Parliament of Australia. (2020). Review of the Working Holiday Maker Program and its role in the economic recovery.   Retrieved from </w:t>
      </w:r>
      <w:hyperlink r:id="rId121" w:history="1">
        <w:r w:rsidRPr="00E41A86">
          <w:rPr>
            <w:rStyle w:val="Hyperlink"/>
            <w:noProof/>
          </w:rPr>
          <w:t>https://www.aph.gov.au/About_Parliament/House_of_Representatives/About_the_House_News/Media_Releases/Review_of_the_Working_Holiday_Maker_Program_and_its_role_in_the_economic_recovery</w:t>
        </w:r>
      </w:hyperlink>
    </w:p>
    <w:p w14:paraId="5052347E" w14:textId="77777777" w:rsidR="00E41A86" w:rsidRPr="00E41A86" w:rsidRDefault="00E41A86" w:rsidP="00E41A86">
      <w:pPr>
        <w:pStyle w:val="EndNoteBibliography"/>
        <w:ind w:left="720" w:hanging="720"/>
        <w:rPr>
          <w:noProof/>
        </w:rPr>
      </w:pPr>
      <w:r w:rsidRPr="00E41A86">
        <w:rPr>
          <w:noProof/>
        </w:rPr>
        <w:t xml:space="preserve">Phillips, J. (2016). </w:t>
      </w:r>
      <w:r w:rsidRPr="00E41A86">
        <w:rPr>
          <w:i/>
          <w:noProof/>
        </w:rPr>
        <w:t>Australia’s Working Holiday Maker program: a quick guide</w:t>
      </w:r>
      <w:r w:rsidRPr="00E41A86">
        <w:rPr>
          <w:noProof/>
        </w:rPr>
        <w:t>. Canberra: Commonwealth of Australia.</w:t>
      </w:r>
    </w:p>
    <w:p w14:paraId="37ACC399" w14:textId="77777777" w:rsidR="00E41A86" w:rsidRPr="00E41A86" w:rsidRDefault="00E41A86" w:rsidP="00E41A86">
      <w:pPr>
        <w:pStyle w:val="EndNoteBibliography"/>
        <w:ind w:left="720" w:hanging="720"/>
        <w:rPr>
          <w:noProof/>
        </w:rPr>
      </w:pPr>
      <w:r w:rsidRPr="00E41A86">
        <w:rPr>
          <w:noProof/>
        </w:rPr>
        <w:t xml:space="preserve">Productivity Commission. (2016). </w:t>
      </w:r>
      <w:r w:rsidRPr="00E41A86">
        <w:rPr>
          <w:i/>
          <w:noProof/>
        </w:rPr>
        <w:t>Migrant Intake into Australia</w:t>
      </w:r>
      <w:r w:rsidRPr="00E41A86">
        <w:rPr>
          <w:noProof/>
        </w:rPr>
        <w:t>. Canberra</w:t>
      </w:r>
    </w:p>
    <w:p w14:paraId="03A1C52C" w14:textId="77777777" w:rsidR="00E41A86" w:rsidRPr="00E41A86" w:rsidRDefault="00E41A86" w:rsidP="00E41A86">
      <w:pPr>
        <w:pStyle w:val="EndNoteBibliography"/>
        <w:ind w:left="720" w:hanging="720"/>
        <w:rPr>
          <w:noProof/>
        </w:rPr>
      </w:pPr>
      <w:r w:rsidRPr="00E41A86">
        <w:rPr>
          <w:noProof/>
        </w:rPr>
        <w:t xml:space="preserve">Rivzi, A. (2020). </w:t>
      </w:r>
      <w:r w:rsidRPr="00E41A86">
        <w:rPr>
          <w:i/>
          <w:noProof/>
        </w:rPr>
        <w:t>A Fairer Pathway: Improving Australia's Temporary Migration Program</w:t>
      </w:r>
      <w:r w:rsidRPr="00E41A86">
        <w:rPr>
          <w:noProof/>
        </w:rPr>
        <w:t>. Sydney, Australia</w:t>
      </w:r>
    </w:p>
    <w:p w14:paraId="56663CAC" w14:textId="77777777" w:rsidR="00E41A86" w:rsidRPr="00E41A86" w:rsidRDefault="00E41A86" w:rsidP="00E41A86">
      <w:pPr>
        <w:pStyle w:val="EndNoteBibliography"/>
        <w:ind w:left="720" w:hanging="720"/>
        <w:rPr>
          <w:noProof/>
        </w:rPr>
      </w:pPr>
      <w:r w:rsidRPr="00E41A86">
        <w:rPr>
          <w:noProof/>
        </w:rPr>
        <w:t xml:space="preserve">Swoboda, K., &amp; Dosser, R. (2016). </w:t>
      </w:r>
      <w:r w:rsidRPr="00E41A86">
        <w:rPr>
          <w:i/>
          <w:noProof/>
        </w:rPr>
        <w:t>Income Tax Rates Amendment (Working Holiday Maker Reform) Bill 2016 [and related Bills]</w:t>
      </w:r>
      <w:r w:rsidRPr="00E41A86">
        <w:rPr>
          <w:noProof/>
        </w:rPr>
        <w:t>. Canberra, Australia.</w:t>
      </w:r>
    </w:p>
    <w:p w14:paraId="1DDD10AB" w14:textId="77777777" w:rsidR="00E41A86" w:rsidRPr="00E41A86" w:rsidRDefault="00E41A86" w:rsidP="00E41A86">
      <w:pPr>
        <w:pStyle w:val="EndNoteBibliography"/>
        <w:ind w:left="720" w:hanging="720"/>
        <w:rPr>
          <w:noProof/>
        </w:rPr>
      </w:pPr>
      <w:r w:rsidRPr="00E41A86">
        <w:rPr>
          <w:noProof/>
        </w:rPr>
        <w:t xml:space="preserve">Tan, Y., Richardson, S., Lester, L., Bai, T., &amp; Sun, L. (2009). </w:t>
      </w:r>
      <w:r w:rsidRPr="00E41A86">
        <w:rPr>
          <w:i/>
          <w:noProof/>
        </w:rPr>
        <w:t>Evaluation of Australia’s Working Holiday Maker (WHM) Program</w:t>
      </w:r>
      <w:r w:rsidRPr="00E41A86">
        <w:rPr>
          <w:noProof/>
        </w:rPr>
        <w:t>. Belconnen, ACT: Department of Immigration and Citizenship</w:t>
      </w:r>
    </w:p>
    <w:p w14:paraId="407B6DFA" w14:textId="77777777" w:rsidR="00E41A86" w:rsidRPr="00E41A86" w:rsidRDefault="00E41A86" w:rsidP="00E41A86">
      <w:pPr>
        <w:pStyle w:val="EndNoteBibliography"/>
        <w:rPr>
          <w:noProof/>
        </w:rPr>
      </w:pPr>
    </w:p>
    <w:p w14:paraId="537EC539" w14:textId="562F90BC" w:rsidR="00E41A86" w:rsidRPr="00E41A86" w:rsidRDefault="00E41A86" w:rsidP="00E41A86">
      <w:pPr>
        <w:pStyle w:val="EndNoteBibliography"/>
        <w:ind w:left="720" w:hanging="720"/>
        <w:rPr>
          <w:noProof/>
        </w:rPr>
      </w:pPr>
      <w:r w:rsidRPr="00E41A86">
        <w:rPr>
          <w:noProof/>
        </w:rPr>
        <w:t xml:space="preserve">The Hon David Coleman MP. (2020). Coronavirus and Temporary Visa holders [Press release]. Retrieved from </w:t>
      </w:r>
      <w:hyperlink r:id="rId122" w:history="1">
        <w:r w:rsidRPr="00E41A86">
          <w:rPr>
            <w:rStyle w:val="Hyperlink"/>
            <w:noProof/>
          </w:rPr>
          <w:t>https://minister.homeaffairs.gov.au/davidcoleman/pages/coronavirus-and-temporary-visa-holders.aspx</w:t>
        </w:r>
      </w:hyperlink>
    </w:p>
    <w:p w14:paraId="413CDC13" w14:textId="77777777" w:rsidR="00E41A86" w:rsidRPr="00E41A86" w:rsidRDefault="00E41A86" w:rsidP="00E41A86">
      <w:pPr>
        <w:pStyle w:val="EndNoteBibliography"/>
        <w:ind w:left="720" w:hanging="720"/>
        <w:rPr>
          <w:noProof/>
        </w:rPr>
      </w:pPr>
      <w:r w:rsidRPr="00E41A86">
        <w:rPr>
          <w:noProof/>
        </w:rPr>
        <w:t xml:space="preserve">Wright, C. F., Clibborn, S., Piper, N., &amp; Cini, N. (2016). </w:t>
      </w:r>
      <w:r w:rsidRPr="00E41A86">
        <w:rPr>
          <w:i/>
          <w:noProof/>
        </w:rPr>
        <w:t>Economic migration and Australia in the 21st century</w:t>
      </w:r>
      <w:r w:rsidRPr="00E41A86">
        <w:rPr>
          <w:noProof/>
        </w:rPr>
        <w:t>. Sydney, Australia</w:t>
      </w:r>
    </w:p>
    <w:p w14:paraId="1999ACD0" w14:textId="77777777" w:rsidR="00E41A86" w:rsidRPr="00E41A86" w:rsidRDefault="00E41A86" w:rsidP="00E41A86">
      <w:pPr>
        <w:pStyle w:val="EndNoteBibliography"/>
        <w:ind w:left="720" w:hanging="720"/>
        <w:rPr>
          <w:noProof/>
        </w:rPr>
      </w:pPr>
      <w:r w:rsidRPr="00E41A86">
        <w:rPr>
          <w:noProof/>
        </w:rPr>
        <w:t xml:space="preserve">Zhao, S., Bink, B., Kruger, H., Xia, C., &amp; Stenekes, N. (2018). </w:t>
      </w:r>
      <w:r w:rsidRPr="00E41A86">
        <w:rPr>
          <w:i/>
          <w:noProof/>
        </w:rPr>
        <w:t>What difference does labour choice make to farm productivity and profitability in the Australian horticulture industry? A comparison between seasonal workers and working holiday makers</w:t>
      </w:r>
      <w:r w:rsidRPr="00E41A86">
        <w:rPr>
          <w:noProof/>
        </w:rPr>
        <w:t>. Canberra</w:t>
      </w:r>
    </w:p>
    <w:p w14:paraId="5CA4C919" w14:textId="1231D9F3" w:rsidR="00F83C45" w:rsidRPr="00E16B19" w:rsidRDefault="00F83C45" w:rsidP="00F83C45">
      <w:r w:rsidRPr="00314768">
        <w:fldChar w:fldCharType="end"/>
      </w:r>
    </w:p>
    <w:p w14:paraId="2C3AAC94" w14:textId="512DE4C0" w:rsidR="00E16B19" w:rsidRPr="00423777" w:rsidRDefault="00096565" w:rsidP="00423777">
      <w:pPr>
        <w:pStyle w:val="Appendix"/>
      </w:pPr>
      <w:r>
        <w:t xml:space="preserve"> </w:t>
      </w:r>
      <w:bookmarkStart w:id="298" w:name="_Ref69828109"/>
      <w:bookmarkStart w:id="299" w:name="_Toc75878508"/>
      <w:r w:rsidR="00D02ACA" w:rsidRPr="00423777">
        <w:t xml:space="preserve">Labour </w:t>
      </w:r>
      <w:r w:rsidR="009F0F52" w:rsidRPr="00423777">
        <w:t>m</w:t>
      </w:r>
      <w:r w:rsidR="00D02ACA" w:rsidRPr="00423777">
        <w:t xml:space="preserve">arket </w:t>
      </w:r>
      <w:r w:rsidR="009F0F52" w:rsidRPr="00423777">
        <w:t>c</w:t>
      </w:r>
      <w:r w:rsidR="00D02ACA" w:rsidRPr="00F16F36">
        <w:t xml:space="preserve">ontribution of WHMs to the Australian </w:t>
      </w:r>
      <w:r w:rsidR="00E61039" w:rsidRPr="00423777">
        <w:t>e</w:t>
      </w:r>
      <w:r w:rsidR="00D02ACA" w:rsidRPr="00423777">
        <w:t xml:space="preserve">conomy: Modelling </w:t>
      </w:r>
      <w:r w:rsidR="00E61039" w:rsidRPr="00423777">
        <w:t>e</w:t>
      </w:r>
      <w:r w:rsidR="00D02ACA" w:rsidRPr="00423777">
        <w:t xml:space="preserve">mployment, </w:t>
      </w:r>
      <w:r w:rsidR="00E61039" w:rsidRPr="00423777">
        <w:t>h</w:t>
      </w:r>
      <w:r w:rsidR="00D02ACA" w:rsidRPr="00423777">
        <w:t xml:space="preserve">ours, </w:t>
      </w:r>
      <w:r w:rsidR="00E61039" w:rsidRPr="00423777">
        <w:t>w</w:t>
      </w:r>
      <w:r w:rsidR="00D02ACA" w:rsidRPr="00423777">
        <w:t xml:space="preserve">ages, and </w:t>
      </w:r>
      <w:r w:rsidR="00E61039" w:rsidRPr="00423777">
        <w:t>j</w:t>
      </w:r>
      <w:r w:rsidR="00D02ACA" w:rsidRPr="00423777">
        <w:t>ob satisfaction</w:t>
      </w:r>
      <w:bookmarkEnd w:id="298"/>
      <w:bookmarkEnd w:id="299"/>
    </w:p>
    <w:p w14:paraId="02F0147C" w14:textId="1EB61F38" w:rsidR="00933707" w:rsidRPr="00933707" w:rsidRDefault="00933707" w:rsidP="00933707">
      <w:pPr>
        <w:pStyle w:val="FirstParagraph"/>
        <w:rPr>
          <w:sz w:val="21"/>
          <w:szCs w:val="21"/>
        </w:rPr>
      </w:pPr>
      <w:r w:rsidRPr="00933707">
        <w:rPr>
          <w:sz w:val="21"/>
          <w:szCs w:val="21"/>
        </w:rPr>
        <w:t>This section replicate</w:t>
      </w:r>
      <w:r w:rsidR="00E765BA">
        <w:rPr>
          <w:sz w:val="21"/>
          <w:szCs w:val="21"/>
        </w:rPr>
        <w:t>s</w:t>
      </w:r>
      <w:r w:rsidRPr="00933707">
        <w:rPr>
          <w:sz w:val="21"/>
          <w:szCs w:val="21"/>
        </w:rPr>
        <w:t xml:space="preserve"> the econometric models from the evaluation of the </w:t>
      </w:r>
      <w:r w:rsidR="00533FC6">
        <w:rPr>
          <w:sz w:val="21"/>
          <w:szCs w:val="21"/>
        </w:rPr>
        <w:t>WHM</w:t>
      </w:r>
      <w:r w:rsidRPr="00933707">
        <w:rPr>
          <w:sz w:val="21"/>
          <w:szCs w:val="21"/>
        </w:rPr>
        <w:t xml:space="preserve"> </w:t>
      </w:r>
      <w:r w:rsidR="002344C4">
        <w:rPr>
          <w:sz w:val="21"/>
          <w:szCs w:val="21"/>
        </w:rPr>
        <w:t>program</w:t>
      </w:r>
      <w:r w:rsidR="009974EE">
        <w:rPr>
          <w:sz w:val="21"/>
          <w:szCs w:val="21"/>
        </w:rPr>
        <w:t xml:space="preserve"> undertaken by Tan et al.</w:t>
      </w:r>
      <w:r w:rsidR="009908E3">
        <w:rPr>
          <w:sz w:val="21"/>
          <w:szCs w:val="21"/>
        </w:rPr>
        <w:t xml:space="preserve"> </w:t>
      </w:r>
      <w:r w:rsidR="009908E3">
        <w:rPr>
          <w:sz w:val="21"/>
          <w:szCs w:val="21"/>
        </w:rPr>
        <w:fldChar w:fldCharType="begin"/>
      </w:r>
      <w:r w:rsidR="009974EE">
        <w:rPr>
          <w:sz w:val="21"/>
          <w:szCs w:val="21"/>
        </w:rPr>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rsidR="009908E3">
        <w:rPr>
          <w:sz w:val="21"/>
          <w:szCs w:val="21"/>
        </w:rPr>
        <w:fldChar w:fldCharType="separate"/>
      </w:r>
      <w:r w:rsidR="009974EE">
        <w:rPr>
          <w:noProof/>
          <w:sz w:val="21"/>
          <w:szCs w:val="21"/>
        </w:rPr>
        <w:t>(2009)</w:t>
      </w:r>
      <w:r w:rsidR="009908E3">
        <w:rPr>
          <w:sz w:val="21"/>
          <w:szCs w:val="21"/>
        </w:rPr>
        <w:fldChar w:fldCharType="end"/>
      </w:r>
      <w:r w:rsidRPr="00933707">
        <w:rPr>
          <w:sz w:val="21"/>
          <w:szCs w:val="21"/>
        </w:rPr>
        <w:t>. In that repo</w:t>
      </w:r>
      <w:r w:rsidR="006644C7">
        <w:rPr>
          <w:sz w:val="21"/>
          <w:szCs w:val="21"/>
        </w:rPr>
        <w:t>r</w:t>
      </w:r>
      <w:r w:rsidRPr="00933707">
        <w:rPr>
          <w:sz w:val="21"/>
          <w:szCs w:val="21"/>
        </w:rPr>
        <w:t>t, four issues are modelled:</w:t>
      </w:r>
    </w:p>
    <w:p w14:paraId="4F4E8135" w14:textId="77777777" w:rsidR="00933707" w:rsidRPr="00933707" w:rsidRDefault="00933707" w:rsidP="002C2478">
      <w:pPr>
        <w:pStyle w:val="ListNormal"/>
      </w:pPr>
      <w:r w:rsidRPr="00933707">
        <w:t>The decision to take employment</w:t>
      </w:r>
    </w:p>
    <w:p w14:paraId="11BFB5E3" w14:textId="09B12A07" w:rsidR="00933707" w:rsidRPr="00933707" w:rsidRDefault="00933707" w:rsidP="002C2478">
      <w:pPr>
        <w:pStyle w:val="ListNormal"/>
      </w:pPr>
      <w:r w:rsidRPr="00933707">
        <w:t>The supply of hours worked per day in the WHM</w:t>
      </w:r>
      <w:r w:rsidR="00DC2C83">
        <w:t>’</w:t>
      </w:r>
      <w:r w:rsidRPr="00933707">
        <w:t>s first job</w:t>
      </w:r>
    </w:p>
    <w:p w14:paraId="02B1719A" w14:textId="77777777" w:rsidR="00933707" w:rsidRPr="00933707" w:rsidRDefault="00933707" w:rsidP="002C2478">
      <w:pPr>
        <w:pStyle w:val="ListNormal"/>
      </w:pPr>
      <w:r w:rsidRPr="00933707">
        <w:t>Wages per hour</w:t>
      </w:r>
    </w:p>
    <w:p w14:paraId="6C5FD3E5" w14:textId="77777777" w:rsidR="00933707" w:rsidRPr="00933707" w:rsidRDefault="00933707" w:rsidP="002C2478">
      <w:pPr>
        <w:pStyle w:val="ListNormal"/>
      </w:pPr>
      <w:r w:rsidRPr="00933707">
        <w:t>Job satisfaction</w:t>
      </w:r>
    </w:p>
    <w:p w14:paraId="3350E5D1" w14:textId="77777777" w:rsidR="00933707" w:rsidRPr="00933707" w:rsidRDefault="00933707" w:rsidP="00933707">
      <w:pPr>
        <w:pStyle w:val="FirstParagraph"/>
        <w:rPr>
          <w:sz w:val="21"/>
          <w:szCs w:val="21"/>
        </w:rPr>
      </w:pPr>
      <w:r w:rsidRPr="00933707">
        <w:rPr>
          <w:sz w:val="21"/>
          <w:szCs w:val="21"/>
        </w:rPr>
        <w:t>As in the NILS report, the modelling is conducted separately for males and females.</w:t>
      </w:r>
    </w:p>
    <w:p w14:paraId="418D4370" w14:textId="681AACBD" w:rsidR="00933707" w:rsidRDefault="00933707" w:rsidP="00B77536">
      <w:pPr>
        <w:pStyle w:val="Heading2"/>
        <w:numPr>
          <w:ilvl w:val="0"/>
          <w:numId w:val="0"/>
        </w:numPr>
        <w:ind w:left="567" w:hanging="567"/>
      </w:pPr>
      <w:bookmarkStart w:id="300" w:name="employment"/>
      <w:bookmarkStart w:id="301" w:name="_Toc75878509"/>
      <w:r>
        <w:t>Employment</w:t>
      </w:r>
      <w:bookmarkEnd w:id="300"/>
      <w:bookmarkEnd w:id="301"/>
    </w:p>
    <w:p w14:paraId="63610896" w14:textId="755DC838" w:rsidR="00933707" w:rsidRPr="00933707" w:rsidRDefault="00933707" w:rsidP="00933707">
      <w:pPr>
        <w:pStyle w:val="FirstParagraph"/>
        <w:rPr>
          <w:sz w:val="21"/>
          <w:szCs w:val="21"/>
        </w:rPr>
      </w:pPr>
      <w:r w:rsidRPr="00933707">
        <w:rPr>
          <w:sz w:val="21"/>
          <w:szCs w:val="21"/>
        </w:rPr>
        <w:t xml:space="preserve">The employment model estimates the probability of being employed versus unemployed using a </w:t>
      </w:r>
      <w:proofErr w:type="spellStart"/>
      <w:r w:rsidRPr="00933707">
        <w:rPr>
          <w:sz w:val="21"/>
          <w:szCs w:val="21"/>
        </w:rPr>
        <w:t>probit</w:t>
      </w:r>
      <w:proofErr w:type="spellEnd"/>
      <w:r w:rsidRPr="00933707">
        <w:rPr>
          <w:sz w:val="21"/>
          <w:szCs w:val="21"/>
        </w:rPr>
        <w:t xml:space="preserve"> model. They consider the following variables as explanatory of a WHM</w:t>
      </w:r>
      <w:r w:rsidR="00D13A62">
        <w:rPr>
          <w:sz w:val="21"/>
          <w:szCs w:val="21"/>
        </w:rPr>
        <w:t>’</w:t>
      </w:r>
      <w:r w:rsidRPr="00933707">
        <w:rPr>
          <w:sz w:val="21"/>
          <w:szCs w:val="21"/>
        </w:rPr>
        <w:t>s employment probability:</w:t>
      </w:r>
    </w:p>
    <w:p w14:paraId="1C9347B9" w14:textId="77777777" w:rsidR="00933707" w:rsidRPr="00933707" w:rsidRDefault="00933707" w:rsidP="002C2478">
      <w:pPr>
        <w:pStyle w:val="ListNormal"/>
      </w:pPr>
      <w:r w:rsidRPr="00933707">
        <w:t>Level of education</w:t>
      </w:r>
    </w:p>
    <w:p w14:paraId="593346E4" w14:textId="77777777" w:rsidR="00933707" w:rsidRPr="00933707" w:rsidRDefault="00933707" w:rsidP="002C2478">
      <w:pPr>
        <w:pStyle w:val="ListNormal"/>
      </w:pPr>
      <w:r w:rsidRPr="00933707">
        <w:t>English language ability</w:t>
      </w:r>
    </w:p>
    <w:p w14:paraId="1F338BFF" w14:textId="77777777" w:rsidR="00933707" w:rsidRPr="00933707" w:rsidRDefault="00933707" w:rsidP="002C2478">
      <w:pPr>
        <w:pStyle w:val="ListNormal"/>
      </w:pPr>
      <w:r w:rsidRPr="00933707">
        <w:t>Country of origin</w:t>
      </w:r>
    </w:p>
    <w:p w14:paraId="178E7015" w14:textId="77777777" w:rsidR="00933707" w:rsidRPr="00933707" w:rsidRDefault="00933707" w:rsidP="002C2478">
      <w:pPr>
        <w:pStyle w:val="ListNormal"/>
      </w:pPr>
      <w:r w:rsidRPr="00933707">
        <w:t>Reason for visiting Australia</w:t>
      </w:r>
    </w:p>
    <w:p w14:paraId="4E6EA32E" w14:textId="22ECF63F" w:rsidR="00933707" w:rsidRPr="00933707" w:rsidRDefault="00933707" w:rsidP="002C2478">
      <w:pPr>
        <w:pStyle w:val="ListNormal"/>
      </w:pPr>
      <w:r w:rsidRPr="00933707">
        <w:t xml:space="preserve">Visa type, duration, and </w:t>
      </w:r>
      <w:r w:rsidR="007F7686">
        <w:t>‘</w:t>
      </w:r>
      <w:r w:rsidRPr="00933707">
        <w:t>number</w:t>
      </w:r>
      <w:r w:rsidR="007F7686">
        <w:t>’</w:t>
      </w:r>
    </w:p>
    <w:p w14:paraId="0576F57B" w14:textId="77777777" w:rsidR="00933707" w:rsidRPr="00933707" w:rsidRDefault="00933707" w:rsidP="002C2478">
      <w:pPr>
        <w:pStyle w:val="ListNormal"/>
      </w:pPr>
      <w:r w:rsidRPr="00933707">
        <w:t>Age</w:t>
      </w:r>
    </w:p>
    <w:p w14:paraId="3FB41406" w14:textId="77777777" w:rsidR="00933707" w:rsidRPr="00933707" w:rsidRDefault="00933707" w:rsidP="002C2478">
      <w:pPr>
        <w:pStyle w:val="ListNormal"/>
      </w:pPr>
      <w:r w:rsidRPr="00933707">
        <w:t>Understanding of Australian culture before arriving</w:t>
      </w:r>
    </w:p>
    <w:p w14:paraId="7A7107B0" w14:textId="77777777" w:rsidR="00933707" w:rsidRPr="00933707" w:rsidRDefault="00933707" w:rsidP="002C2478">
      <w:pPr>
        <w:pStyle w:val="ListNormal"/>
      </w:pPr>
      <w:r w:rsidRPr="00933707">
        <w:t>Marital status</w:t>
      </w:r>
    </w:p>
    <w:p w14:paraId="5D40DF26" w14:textId="77777777" w:rsidR="00933707" w:rsidRPr="00933707" w:rsidRDefault="00933707" w:rsidP="002C2478">
      <w:pPr>
        <w:pStyle w:val="ListNormal"/>
      </w:pPr>
      <w:r w:rsidRPr="00933707">
        <w:t>Job prior to arrival</w:t>
      </w:r>
    </w:p>
    <w:p w14:paraId="1CBDAA85" w14:textId="23A5728D" w:rsidR="00933707" w:rsidRPr="00933707" w:rsidRDefault="00933707" w:rsidP="00933707">
      <w:pPr>
        <w:pStyle w:val="FirstParagraph"/>
        <w:rPr>
          <w:sz w:val="21"/>
          <w:szCs w:val="21"/>
        </w:rPr>
      </w:pPr>
      <w:r w:rsidRPr="00933707">
        <w:rPr>
          <w:sz w:val="21"/>
          <w:szCs w:val="21"/>
        </w:rPr>
        <w:t xml:space="preserve">Not all of these questions were asked in the </w:t>
      </w:r>
      <w:r w:rsidR="00533FC6">
        <w:rPr>
          <w:sz w:val="21"/>
          <w:szCs w:val="21"/>
        </w:rPr>
        <w:t>WHM</w:t>
      </w:r>
      <w:r w:rsidRPr="00933707">
        <w:rPr>
          <w:sz w:val="21"/>
          <w:szCs w:val="21"/>
        </w:rPr>
        <w:t xml:space="preserve"> </w:t>
      </w:r>
      <w:r w:rsidR="004C36E2">
        <w:rPr>
          <w:sz w:val="21"/>
          <w:szCs w:val="21"/>
        </w:rPr>
        <w:t>s</w:t>
      </w:r>
      <w:r w:rsidR="004C36E2" w:rsidRPr="00933707">
        <w:rPr>
          <w:sz w:val="21"/>
          <w:szCs w:val="21"/>
        </w:rPr>
        <w:t xml:space="preserve">urvey </w:t>
      </w:r>
      <w:r w:rsidR="007E53A2">
        <w:rPr>
          <w:sz w:val="21"/>
          <w:szCs w:val="21"/>
        </w:rPr>
        <w:t>20</w:t>
      </w:r>
      <w:r w:rsidRPr="00933707">
        <w:rPr>
          <w:sz w:val="21"/>
          <w:szCs w:val="21"/>
        </w:rPr>
        <w:t xml:space="preserve">20. As such, we model the decision to take employment as a function of education level, reason for visiting Australia, duration of residence in Australia, citizenship, and age. Country of citizenship has been reduced to include only those countries which individually make up more than 5% of the total sample - United Kingdom, France, Germany, Italy, Taiwan, and South Korea. This accounts for 66% of all WHM in the survey. The remaining countries are grouped together as </w:t>
      </w:r>
      <w:r w:rsidR="00CE358C">
        <w:rPr>
          <w:sz w:val="21"/>
          <w:szCs w:val="21"/>
        </w:rPr>
        <w:t>‘</w:t>
      </w:r>
      <w:r w:rsidRPr="00933707">
        <w:rPr>
          <w:sz w:val="21"/>
          <w:szCs w:val="21"/>
        </w:rPr>
        <w:t>Other</w:t>
      </w:r>
      <w:r w:rsidR="00CE358C">
        <w:rPr>
          <w:sz w:val="21"/>
          <w:szCs w:val="21"/>
        </w:rPr>
        <w:t>’</w:t>
      </w:r>
      <w:r w:rsidRPr="00933707">
        <w:rPr>
          <w:sz w:val="21"/>
          <w:szCs w:val="21"/>
        </w:rPr>
        <w:t>.</w:t>
      </w:r>
    </w:p>
    <w:p w14:paraId="33437181" w14:textId="0CA68F5E" w:rsidR="00933707" w:rsidRPr="00933707" w:rsidRDefault="00933707" w:rsidP="00933707">
      <w:pPr>
        <w:pStyle w:val="BodyText"/>
        <w:rPr>
          <w:szCs w:val="21"/>
        </w:rPr>
      </w:pPr>
      <w:r w:rsidRPr="00933707">
        <w:rPr>
          <w:szCs w:val="21"/>
        </w:rPr>
        <w:t xml:space="preserve">The outcomes of these employment models </w:t>
      </w:r>
      <w:r w:rsidR="00F229AB">
        <w:rPr>
          <w:szCs w:val="21"/>
        </w:rPr>
        <w:t>produce</w:t>
      </w:r>
      <w:r w:rsidRPr="00933707">
        <w:rPr>
          <w:szCs w:val="21"/>
        </w:rPr>
        <w:t xml:space="preserve"> </w:t>
      </w:r>
      <w:r w:rsidR="00EE282B">
        <w:rPr>
          <w:szCs w:val="21"/>
        </w:rPr>
        <w:t>similar</w:t>
      </w:r>
      <w:r w:rsidR="00F229AB">
        <w:rPr>
          <w:szCs w:val="21"/>
        </w:rPr>
        <w:t xml:space="preserve"> results</w:t>
      </w:r>
      <w:r w:rsidR="00461ADE">
        <w:rPr>
          <w:szCs w:val="21"/>
        </w:rPr>
        <w:t xml:space="preserve"> </w:t>
      </w:r>
      <w:r w:rsidR="00F229AB">
        <w:rPr>
          <w:szCs w:val="21"/>
        </w:rPr>
        <w:t>as</w:t>
      </w:r>
      <w:r w:rsidRPr="00933707">
        <w:rPr>
          <w:szCs w:val="21"/>
        </w:rPr>
        <w:t xml:space="preserve"> those presented </w:t>
      </w:r>
      <w:r w:rsidR="00F229AB">
        <w:rPr>
          <w:szCs w:val="21"/>
        </w:rPr>
        <w:t xml:space="preserve">from the </w:t>
      </w:r>
      <w:r w:rsidRPr="00933707">
        <w:rPr>
          <w:szCs w:val="21"/>
        </w:rPr>
        <w:t>previous WHM survey and remain congruent with typical labour market outcome models.</w:t>
      </w:r>
    </w:p>
    <w:p w14:paraId="5465FAC7" w14:textId="2A4CB098" w:rsidR="00513258" w:rsidRDefault="00933707" w:rsidP="002C2478">
      <w:pPr>
        <w:pStyle w:val="ListNormal"/>
      </w:pPr>
      <w:r w:rsidRPr="00933707">
        <w:t>WHM</w:t>
      </w:r>
      <w:r>
        <w:t>s</w:t>
      </w:r>
      <w:r w:rsidRPr="00933707">
        <w:t xml:space="preserve"> </w:t>
      </w:r>
      <w:r w:rsidR="00870AAA">
        <w:t xml:space="preserve">(both males and females) </w:t>
      </w:r>
      <w:r w:rsidRPr="00933707">
        <w:t>with</w:t>
      </w:r>
      <w:r w:rsidR="00C771DE">
        <w:t>out</w:t>
      </w:r>
      <w:r w:rsidRPr="00933707">
        <w:t xml:space="preserve"> a university degree were less likely to be employed </w:t>
      </w:r>
      <w:r w:rsidR="00870AAA">
        <w:t>in Australia</w:t>
      </w:r>
      <w:r w:rsidRPr="00933707">
        <w:t xml:space="preserve">. </w:t>
      </w:r>
    </w:p>
    <w:p w14:paraId="3D663CC0" w14:textId="7BF36D10" w:rsidR="00933707" w:rsidRPr="00933707" w:rsidRDefault="00933707">
      <w:pPr>
        <w:pStyle w:val="ListNormal"/>
        <w:numPr>
          <w:ilvl w:val="1"/>
          <w:numId w:val="2"/>
        </w:numPr>
      </w:pPr>
      <w:r w:rsidRPr="00933707">
        <w:t>WHMs with a high school degree were less likely to be employed</w:t>
      </w:r>
      <w:r w:rsidR="009947DB">
        <w:t xml:space="preserve"> </w:t>
      </w:r>
      <w:r w:rsidR="00B645CD">
        <w:t xml:space="preserve">than those with a university degree </w:t>
      </w:r>
      <w:r w:rsidR="009947DB" w:rsidRPr="00933707">
        <w:t>(</w:t>
      </w:r>
      <w:r w:rsidR="00740207">
        <w:t>m</w:t>
      </w:r>
      <w:r w:rsidR="009947DB" w:rsidRPr="00933707">
        <w:t>ales 4.2%</w:t>
      </w:r>
      <w:r w:rsidR="00C95999">
        <w:t xml:space="preserve"> less likely</w:t>
      </w:r>
      <w:r w:rsidR="00EE29E7">
        <w:t>;</w:t>
      </w:r>
      <w:r w:rsidR="009947DB" w:rsidRPr="00933707">
        <w:t xml:space="preserve"> </w:t>
      </w:r>
      <w:r w:rsidR="00740207">
        <w:t>f</w:t>
      </w:r>
      <w:r w:rsidR="009947DB" w:rsidRPr="00933707">
        <w:t>emales 3.7%)</w:t>
      </w:r>
      <w:r w:rsidRPr="00933707">
        <w:t>.</w:t>
      </w:r>
    </w:p>
    <w:p w14:paraId="610D1D37" w14:textId="21025679" w:rsidR="001051CB" w:rsidRPr="00933707" w:rsidRDefault="001051CB" w:rsidP="00F7381D">
      <w:pPr>
        <w:pStyle w:val="ListNormal"/>
        <w:numPr>
          <w:ilvl w:val="1"/>
          <w:numId w:val="2"/>
        </w:numPr>
      </w:pPr>
      <w:r>
        <w:t xml:space="preserve">Male WHMs who did not specify their </w:t>
      </w:r>
      <w:r w:rsidR="00D363A5">
        <w:t>level of education</w:t>
      </w:r>
      <w:r>
        <w:t xml:space="preserve"> were 27% less likely to be employed than males with a university degree. For female WHMs</w:t>
      </w:r>
      <w:r w:rsidR="00D97395">
        <w:t xml:space="preserve"> who did not specific</w:t>
      </w:r>
      <w:r w:rsidR="00740703">
        <w:t xml:space="preserve"> their education level</w:t>
      </w:r>
      <w:r>
        <w:t xml:space="preserve">, </w:t>
      </w:r>
      <w:r w:rsidR="00E44086">
        <w:t>the decrease in probability was 20.2%</w:t>
      </w:r>
    </w:p>
    <w:p w14:paraId="16357841" w14:textId="42F79EB8" w:rsidR="00933707" w:rsidRPr="00933707" w:rsidRDefault="00933707" w:rsidP="002C2478">
      <w:pPr>
        <w:pStyle w:val="ListNormal"/>
      </w:pPr>
      <w:r w:rsidRPr="00933707">
        <w:t>WHM</w:t>
      </w:r>
      <w:r w:rsidR="00CB5980">
        <w:t>s</w:t>
      </w:r>
      <w:r w:rsidRPr="00933707">
        <w:t xml:space="preserve"> who travelled to Australia </w:t>
      </w:r>
      <w:r w:rsidR="003E44AD">
        <w:t xml:space="preserve">expressly </w:t>
      </w:r>
      <w:r w:rsidRPr="00933707">
        <w:t>to work were more likely to work</w:t>
      </w:r>
      <w:r w:rsidR="00621A7B">
        <w:t xml:space="preserve"> </w:t>
      </w:r>
      <w:r w:rsidR="00621A7B" w:rsidRPr="00933707">
        <w:t>(</w:t>
      </w:r>
      <w:r w:rsidR="003E44AD">
        <w:t>m</w:t>
      </w:r>
      <w:r w:rsidR="00621A7B" w:rsidRPr="00933707">
        <w:t>ales 7.5%</w:t>
      </w:r>
      <w:r w:rsidR="007D23B1">
        <w:t xml:space="preserve"> more likely</w:t>
      </w:r>
      <w:r w:rsidR="00045F76">
        <w:t>;</w:t>
      </w:r>
      <w:r w:rsidR="00621A7B" w:rsidRPr="00933707">
        <w:t xml:space="preserve"> </w:t>
      </w:r>
      <w:r w:rsidR="00045F76">
        <w:t>f</w:t>
      </w:r>
      <w:r w:rsidR="00621A7B" w:rsidRPr="00933707">
        <w:t>emales 6.9%)</w:t>
      </w:r>
      <w:r w:rsidRPr="00933707">
        <w:t>, compared to those who visited Australia for other reasons.</w:t>
      </w:r>
    </w:p>
    <w:p w14:paraId="1C531BAC" w14:textId="76A9EDCA" w:rsidR="00933707" w:rsidRPr="00933707" w:rsidRDefault="00933707" w:rsidP="002C2478">
      <w:pPr>
        <w:pStyle w:val="ListNormal"/>
      </w:pPr>
      <w:r w:rsidRPr="00933707">
        <w:t xml:space="preserve">Each additional month of residence increased the likelihood of being employed by </w:t>
      </w:r>
      <w:r w:rsidR="006D143B">
        <w:t>1.7% for m</w:t>
      </w:r>
      <w:r w:rsidRPr="00933707">
        <w:t>ales</w:t>
      </w:r>
      <w:r w:rsidR="006D143B">
        <w:t xml:space="preserve"> and 1.8% for f</w:t>
      </w:r>
      <w:r w:rsidRPr="00933707">
        <w:t>emales</w:t>
      </w:r>
      <w:r w:rsidR="006D143B">
        <w:t>.</w:t>
      </w:r>
    </w:p>
    <w:p w14:paraId="3B5968F5" w14:textId="4EED5CB8" w:rsidR="00933707" w:rsidRPr="00933707" w:rsidRDefault="00933707" w:rsidP="002C2478">
      <w:pPr>
        <w:pStyle w:val="ListNormal"/>
      </w:pPr>
      <w:r w:rsidRPr="00933707">
        <w:t>Compared to</w:t>
      </w:r>
      <w:r w:rsidR="001A07ED">
        <w:t xml:space="preserve"> </w:t>
      </w:r>
      <w:r w:rsidRPr="00933707">
        <w:t xml:space="preserve">the </w:t>
      </w:r>
      <w:r w:rsidR="003C4C99">
        <w:t xml:space="preserve">United Kingdom (the </w:t>
      </w:r>
      <w:r w:rsidR="00EA152D" w:rsidRPr="00933707">
        <w:t xml:space="preserve">country </w:t>
      </w:r>
      <w:r w:rsidRPr="00933707">
        <w:t>base</w:t>
      </w:r>
      <w:r w:rsidR="00151643">
        <w:t>-</w:t>
      </w:r>
      <w:r w:rsidR="00EA152D">
        <w:t>case</w:t>
      </w:r>
      <w:r w:rsidR="003C4C99">
        <w:t>)</w:t>
      </w:r>
      <w:r w:rsidRPr="00933707">
        <w:t xml:space="preserve"> </w:t>
      </w:r>
      <w:r w:rsidR="003B5347">
        <w:t>m</w:t>
      </w:r>
      <w:r w:rsidR="003B5347" w:rsidRPr="00933707">
        <w:t xml:space="preserve">ale </w:t>
      </w:r>
      <w:r w:rsidRPr="00933707">
        <w:t>WHM</w:t>
      </w:r>
      <w:r w:rsidR="00294983">
        <w:t>s</w:t>
      </w:r>
      <w:r w:rsidRPr="00933707">
        <w:t xml:space="preserve"> from </w:t>
      </w:r>
      <w:r w:rsidR="00B601BB">
        <w:t xml:space="preserve">Taiwan </w:t>
      </w:r>
      <w:r w:rsidR="0017470D">
        <w:t xml:space="preserve">and South Korea </w:t>
      </w:r>
      <w:r w:rsidRPr="00933707">
        <w:t xml:space="preserve">were </w:t>
      </w:r>
      <w:r w:rsidR="00B601BB">
        <w:t>more likely</w:t>
      </w:r>
      <w:r w:rsidR="000F5428">
        <w:t xml:space="preserve"> (5.6%)</w:t>
      </w:r>
      <w:r w:rsidRPr="00933707">
        <w:t xml:space="preserve"> to be employed</w:t>
      </w:r>
      <w:r w:rsidR="0017470D">
        <w:t xml:space="preserve">. </w:t>
      </w:r>
      <w:r w:rsidR="00D60CFC">
        <w:t>F</w:t>
      </w:r>
      <w:r w:rsidR="0017470D">
        <w:t>emale WHMs</w:t>
      </w:r>
      <w:r w:rsidR="00BA2DE9">
        <w:t xml:space="preserve"> from Taiwan were</w:t>
      </w:r>
      <w:r w:rsidR="00D60CFC">
        <w:t xml:space="preserve"> 6.2%</w:t>
      </w:r>
      <w:r w:rsidR="00BA2DE9">
        <w:t xml:space="preserve"> more likely</w:t>
      </w:r>
      <w:r w:rsidR="005727E8">
        <w:t xml:space="preserve"> to be employed than those from the </w:t>
      </w:r>
      <w:r w:rsidR="0043293A">
        <w:t>United Kingdom</w:t>
      </w:r>
      <w:r w:rsidR="0053540A">
        <w:t>.</w:t>
      </w:r>
    </w:p>
    <w:p w14:paraId="06C91357" w14:textId="179FF4CF" w:rsidR="00933707" w:rsidRPr="00933707" w:rsidRDefault="00933707" w:rsidP="00933707">
      <w:pPr>
        <w:pStyle w:val="FirstParagraph"/>
        <w:rPr>
          <w:sz w:val="21"/>
          <w:szCs w:val="21"/>
        </w:rPr>
      </w:pPr>
      <w:r w:rsidRPr="00933707">
        <w:rPr>
          <w:sz w:val="21"/>
          <w:szCs w:val="21"/>
        </w:rPr>
        <w:t>Interestingly, age and aged squared did not show the standard pattern for either males or females, with no significant differences occurring across age. This matches with the results for females of the previous WHM survey, but not for males, and is incongruent with standard labour market outcomes</w:t>
      </w:r>
      <w:r w:rsidR="006D4612">
        <w:rPr>
          <w:sz w:val="21"/>
          <w:szCs w:val="21"/>
        </w:rPr>
        <w:t xml:space="preserve"> (albeit noting WHMs are </w:t>
      </w:r>
      <w:r w:rsidR="006A6D02">
        <w:rPr>
          <w:sz w:val="21"/>
          <w:szCs w:val="21"/>
        </w:rPr>
        <w:t>all aged between 18 and 35 years</w:t>
      </w:r>
      <w:r w:rsidR="006D4612">
        <w:rPr>
          <w:sz w:val="21"/>
          <w:szCs w:val="21"/>
        </w:rPr>
        <w:t>)</w:t>
      </w:r>
      <w:r w:rsidRPr="00933707">
        <w:rPr>
          <w:sz w:val="21"/>
          <w:szCs w:val="21"/>
        </w:rPr>
        <w:t>.</w:t>
      </w:r>
    </w:p>
    <w:p w14:paraId="183A3966" w14:textId="6E68DFC3" w:rsidR="00933707" w:rsidRDefault="00933707" w:rsidP="00B77536">
      <w:pPr>
        <w:pStyle w:val="Heading2"/>
        <w:numPr>
          <w:ilvl w:val="0"/>
          <w:numId w:val="0"/>
        </w:numPr>
        <w:ind w:left="567" w:hanging="567"/>
      </w:pPr>
      <w:bookmarkStart w:id="302" w:name="_Toc75878510"/>
      <w:r>
        <w:t>Hours per day, wages, job satisfaction</w:t>
      </w:r>
      <w:bookmarkEnd w:id="302"/>
      <w:r>
        <w:t xml:space="preserve"> </w:t>
      </w:r>
    </w:p>
    <w:p w14:paraId="5703CE36" w14:textId="77777777" w:rsidR="00C53019" w:rsidRDefault="00933707" w:rsidP="00933707">
      <w:pPr>
        <w:pStyle w:val="BodyText"/>
      </w:pPr>
      <w:r>
        <w:t>As in the previous WHM survey, the hours, wage, and job satisfaction models are based on a two-stage selection model where outcomes are contingent on being employed. That is the model for employment specified above is first estimated to determine who is employed. The outcome variable (hours, wages, or satisfaction) is then calculated using this sample.</w:t>
      </w:r>
      <w:r w:rsidR="007F2015">
        <w:t xml:space="preserve"> </w:t>
      </w:r>
    </w:p>
    <w:p w14:paraId="6289AE8B" w14:textId="44905501" w:rsidR="00C53019" w:rsidRDefault="00C53019" w:rsidP="00B77536">
      <w:pPr>
        <w:pStyle w:val="Heading3"/>
        <w:numPr>
          <w:ilvl w:val="0"/>
          <w:numId w:val="0"/>
        </w:numPr>
        <w:ind w:left="720" w:hanging="720"/>
      </w:pPr>
      <w:bookmarkStart w:id="303" w:name="_Toc75878511"/>
      <w:r>
        <w:t xml:space="preserve">Hours per </w:t>
      </w:r>
      <w:r w:rsidR="00691A3C">
        <w:t>week</w:t>
      </w:r>
      <w:bookmarkEnd w:id="303"/>
    </w:p>
    <w:p w14:paraId="08735F1B" w14:textId="2D0EBEBB" w:rsidR="00483891" w:rsidRDefault="004C2F52" w:rsidP="00483891">
      <w:pPr>
        <w:pStyle w:val="BodyText"/>
        <w:numPr>
          <w:ilvl w:val="0"/>
          <w:numId w:val="24"/>
        </w:numPr>
      </w:pPr>
      <w:r>
        <w:t xml:space="preserve">Hours worked </w:t>
      </w:r>
      <w:r w:rsidR="008649E9">
        <w:t xml:space="preserve">per week </w:t>
      </w:r>
      <w:r>
        <w:t>increased with age</w:t>
      </w:r>
      <w:r w:rsidR="001B6849">
        <w:t xml:space="preserve"> </w:t>
      </w:r>
      <w:r w:rsidR="00603AB4">
        <w:t>(</w:t>
      </w:r>
      <w:r w:rsidR="00612CBA">
        <w:t>but at a decreasing rate</w:t>
      </w:r>
      <w:r w:rsidR="00603AB4">
        <w:t>)</w:t>
      </w:r>
      <w:r w:rsidR="00612CBA">
        <w:t xml:space="preserve"> </w:t>
      </w:r>
      <w:r w:rsidR="001B6849">
        <w:t xml:space="preserve">by about 1.4 hours per </w:t>
      </w:r>
      <w:r w:rsidR="008649E9">
        <w:t>week for each additional year</w:t>
      </w:r>
      <w:r w:rsidR="00166493">
        <w:t xml:space="preserve"> for </w:t>
      </w:r>
      <w:r w:rsidR="00A74FFD">
        <w:t xml:space="preserve">males </w:t>
      </w:r>
      <w:r w:rsidR="00CF6759">
        <w:t xml:space="preserve">(though only at the 10% significance level) </w:t>
      </w:r>
      <w:r w:rsidR="00A74FFD">
        <w:t>but</w:t>
      </w:r>
      <w:r w:rsidR="00166493">
        <w:t xml:space="preserve"> was not observed as influen</w:t>
      </w:r>
      <w:r w:rsidR="00A74FFD">
        <w:t xml:space="preserve">cing the hours of work of females. </w:t>
      </w:r>
    </w:p>
    <w:p w14:paraId="401E2853" w14:textId="4A788481" w:rsidR="00612CBA" w:rsidRDefault="00A74FFD" w:rsidP="00483891">
      <w:pPr>
        <w:pStyle w:val="BodyText"/>
        <w:numPr>
          <w:ilvl w:val="0"/>
          <w:numId w:val="24"/>
        </w:numPr>
      </w:pPr>
      <w:r>
        <w:t xml:space="preserve">Male </w:t>
      </w:r>
      <w:r w:rsidR="00612CBA">
        <w:t>WHM</w:t>
      </w:r>
      <w:r>
        <w:t>s</w:t>
      </w:r>
      <w:r w:rsidR="00612CBA">
        <w:t xml:space="preserve"> fr</w:t>
      </w:r>
      <w:r w:rsidR="008649E9">
        <w:t xml:space="preserve">om </w:t>
      </w:r>
      <w:r w:rsidR="00CF6759">
        <w:t>Taiwan</w:t>
      </w:r>
      <w:r w:rsidR="008649E9">
        <w:t xml:space="preserve"> and </w:t>
      </w:r>
      <w:r w:rsidR="00CF6759">
        <w:t>South Korea</w:t>
      </w:r>
      <w:r w:rsidR="008649E9">
        <w:t xml:space="preserve"> worked about 3</w:t>
      </w:r>
      <w:r w:rsidR="00A863F9">
        <w:t>.</w:t>
      </w:r>
      <w:r w:rsidR="008649E9">
        <w:t xml:space="preserve">2 fewer hours per week than those from </w:t>
      </w:r>
      <w:r w:rsidR="00A863F9">
        <w:t xml:space="preserve">the United Kingdom (the </w:t>
      </w:r>
      <w:r w:rsidR="00EA152D">
        <w:t xml:space="preserve">country </w:t>
      </w:r>
      <w:r w:rsidR="00A863F9">
        <w:t>base-</w:t>
      </w:r>
      <w:r w:rsidR="00EA152D">
        <w:t>case</w:t>
      </w:r>
      <w:r w:rsidR="00A863F9">
        <w:t>)</w:t>
      </w:r>
      <w:r w:rsidR="008649E9">
        <w:t xml:space="preserve">. </w:t>
      </w:r>
      <w:r w:rsidR="00CF2250">
        <w:t>South Korean</w:t>
      </w:r>
      <w:r w:rsidR="00C75A00">
        <w:t xml:space="preserve">, </w:t>
      </w:r>
      <w:r w:rsidR="00CF2250">
        <w:t xml:space="preserve">Taiwanese </w:t>
      </w:r>
      <w:r w:rsidR="00C75A00">
        <w:t xml:space="preserve">and Other </w:t>
      </w:r>
      <w:r w:rsidR="00CF2250">
        <w:t>female WHM</w:t>
      </w:r>
      <w:r w:rsidR="00080A2B">
        <w:t>s</w:t>
      </w:r>
      <w:r w:rsidR="00CF2250">
        <w:t xml:space="preserve"> also worked </w:t>
      </w:r>
      <w:r w:rsidR="00C75A00">
        <w:t>between 1.5 fewer hours per week (Other) and 4.5 fewer hours per week (South Korea</w:t>
      </w:r>
      <w:r w:rsidR="00FB4E67">
        <w:t xml:space="preserve">) compared to those from the </w:t>
      </w:r>
      <w:r w:rsidR="00DA6FF4">
        <w:t>United Kingdom</w:t>
      </w:r>
      <w:r w:rsidR="00FB4E67">
        <w:t xml:space="preserve">. </w:t>
      </w:r>
    </w:p>
    <w:p w14:paraId="76685CE1" w14:textId="08AC2858" w:rsidR="002B0983" w:rsidRDefault="002B0983" w:rsidP="00483891">
      <w:pPr>
        <w:pStyle w:val="BodyText"/>
        <w:numPr>
          <w:ilvl w:val="0"/>
          <w:numId w:val="24"/>
        </w:numPr>
      </w:pPr>
      <w:r>
        <w:t xml:space="preserve">Compared with hospitality, tourism and sport (the </w:t>
      </w:r>
      <w:r w:rsidR="00EA152D">
        <w:t xml:space="preserve">industry </w:t>
      </w:r>
      <w:r>
        <w:t>base-</w:t>
      </w:r>
      <w:r w:rsidR="00C37638">
        <w:t>case</w:t>
      </w:r>
      <w:r>
        <w:t>)</w:t>
      </w:r>
      <w:r w:rsidR="00C57D21">
        <w:t>:</w:t>
      </w:r>
    </w:p>
    <w:p w14:paraId="5695E081" w14:textId="002B5DB0" w:rsidR="002B0983" w:rsidRDefault="002C4181" w:rsidP="002B0983">
      <w:pPr>
        <w:pStyle w:val="BodyText"/>
        <w:numPr>
          <w:ilvl w:val="1"/>
          <w:numId w:val="24"/>
        </w:numPr>
      </w:pPr>
      <w:r>
        <w:t>Males</w:t>
      </w:r>
      <w:r w:rsidR="006A0738">
        <w:t xml:space="preserve"> working in agriculture and transport worked about 6.2 hours more per week</w:t>
      </w:r>
      <w:r w:rsidR="00120C8F">
        <w:t xml:space="preserve"> </w:t>
      </w:r>
      <w:r w:rsidR="00E1314A">
        <w:t xml:space="preserve">and </w:t>
      </w:r>
      <w:r>
        <w:t>females</w:t>
      </w:r>
      <w:r w:rsidR="00E1314A">
        <w:t xml:space="preserve"> worked about 6 hours more per week</w:t>
      </w:r>
      <w:r w:rsidR="001A465D">
        <w:t>.</w:t>
      </w:r>
    </w:p>
    <w:p w14:paraId="0D7254AB" w14:textId="63D9914E" w:rsidR="002B0983" w:rsidRDefault="002C4181" w:rsidP="002B0983">
      <w:pPr>
        <w:pStyle w:val="BodyText"/>
        <w:numPr>
          <w:ilvl w:val="1"/>
          <w:numId w:val="24"/>
        </w:numPr>
      </w:pPr>
      <w:r>
        <w:t>Males</w:t>
      </w:r>
      <w:r w:rsidR="005018F8">
        <w:t xml:space="preserve"> </w:t>
      </w:r>
      <w:r w:rsidR="001A465D">
        <w:t xml:space="preserve">employed in the construction industry </w:t>
      </w:r>
      <w:r w:rsidR="0024556A">
        <w:t xml:space="preserve">also </w:t>
      </w:r>
      <w:r w:rsidR="001A465D">
        <w:t xml:space="preserve">worked </w:t>
      </w:r>
      <w:r w:rsidR="005018F8">
        <w:t xml:space="preserve">about 6 </w:t>
      </w:r>
      <w:r w:rsidR="0024556A">
        <w:t>more hours per week</w:t>
      </w:r>
      <w:r w:rsidR="005018F8">
        <w:t xml:space="preserve"> </w:t>
      </w:r>
      <w:r w:rsidR="00FF6CD3">
        <w:t>whereas</w:t>
      </w:r>
      <w:r w:rsidR="005018F8">
        <w:t xml:space="preserve"> </w:t>
      </w:r>
      <w:r>
        <w:t>females</w:t>
      </w:r>
      <w:r w:rsidR="005018F8">
        <w:t xml:space="preserve"> worked almost 10 hours more per week</w:t>
      </w:r>
      <w:r w:rsidR="0024556A">
        <w:t xml:space="preserve">. </w:t>
      </w:r>
    </w:p>
    <w:p w14:paraId="773EFB9B" w14:textId="77777777" w:rsidR="00002B42" w:rsidRDefault="00A520CD" w:rsidP="002B0983">
      <w:pPr>
        <w:pStyle w:val="BodyText"/>
        <w:numPr>
          <w:ilvl w:val="1"/>
          <w:numId w:val="24"/>
        </w:numPr>
      </w:pPr>
      <w:r>
        <w:t xml:space="preserve">Males </w:t>
      </w:r>
      <w:r w:rsidR="0024556A">
        <w:t xml:space="preserve">employed in </w:t>
      </w:r>
      <w:r w:rsidR="0023700C">
        <w:t>e</w:t>
      </w:r>
      <w:r w:rsidR="0024556A">
        <w:t xml:space="preserve">ducation </w:t>
      </w:r>
      <w:r w:rsidR="00EB0448">
        <w:t xml:space="preserve">worked about 8 hours </w:t>
      </w:r>
      <w:r w:rsidR="00211677">
        <w:t>fewer</w:t>
      </w:r>
      <w:r w:rsidR="00EB0448">
        <w:t xml:space="preserve"> per week,</w:t>
      </w:r>
      <w:r>
        <w:t xml:space="preserve"> </w:t>
      </w:r>
      <w:r w:rsidR="00002B42">
        <w:t>while there was</w:t>
      </w:r>
      <w:r>
        <w:t xml:space="preserve"> no effect on the female labour supply. </w:t>
      </w:r>
    </w:p>
    <w:p w14:paraId="354D030D" w14:textId="77777777" w:rsidR="00D045C1" w:rsidRDefault="002E5852" w:rsidP="002B0983">
      <w:pPr>
        <w:pStyle w:val="BodyText"/>
        <w:numPr>
          <w:ilvl w:val="1"/>
          <w:numId w:val="24"/>
        </w:numPr>
      </w:pPr>
      <w:r>
        <w:t>Both males and females</w:t>
      </w:r>
      <w:r w:rsidR="00A520CD">
        <w:t xml:space="preserve"> </w:t>
      </w:r>
      <w:r w:rsidR="00EB0448">
        <w:t>employed in cle</w:t>
      </w:r>
      <w:r w:rsidR="00211677">
        <w:t xml:space="preserve">aning and gardening </w:t>
      </w:r>
      <w:r w:rsidR="00D045C1">
        <w:t xml:space="preserve">worked </w:t>
      </w:r>
      <w:r w:rsidR="00211677">
        <w:t xml:space="preserve">about 3 hours fewer per week. </w:t>
      </w:r>
    </w:p>
    <w:p w14:paraId="5C25910E" w14:textId="6C3BE93A" w:rsidR="008649E9" w:rsidRDefault="00D045C1" w:rsidP="002B0983">
      <w:pPr>
        <w:pStyle w:val="BodyText"/>
        <w:numPr>
          <w:ilvl w:val="1"/>
          <w:numId w:val="24"/>
        </w:numPr>
      </w:pPr>
      <w:r>
        <w:t>Females worked more hours in office admin and IT, and sales and marketing, compared to the base-case</w:t>
      </w:r>
      <w:r w:rsidR="008C7CB2">
        <w:t>, however, t</w:t>
      </w:r>
      <w:r w:rsidR="00211677">
        <w:t>here were no differences between hours worked for the</w:t>
      </w:r>
      <w:r w:rsidR="00C16D6E">
        <w:t>se</w:t>
      </w:r>
      <w:r w:rsidR="00211677">
        <w:t xml:space="preserve"> other industries</w:t>
      </w:r>
      <w:r w:rsidR="00094F57">
        <w:t xml:space="preserve"> for males.</w:t>
      </w:r>
    </w:p>
    <w:p w14:paraId="659AB5C8" w14:textId="7296B231" w:rsidR="00924EFB" w:rsidRDefault="00924EFB" w:rsidP="00483891">
      <w:pPr>
        <w:pStyle w:val="BodyText"/>
        <w:numPr>
          <w:ilvl w:val="0"/>
          <w:numId w:val="24"/>
        </w:numPr>
      </w:pPr>
      <w:r>
        <w:t xml:space="preserve">Level of education did not appear to </w:t>
      </w:r>
      <w:r w:rsidR="00C52FB7">
        <w:t>influence the number of hours worked per week</w:t>
      </w:r>
      <w:r w:rsidR="00140227">
        <w:t xml:space="preserve"> for </w:t>
      </w:r>
      <w:r w:rsidR="000E7579">
        <w:t>males</w:t>
      </w:r>
      <w:r w:rsidR="00140227">
        <w:t xml:space="preserve"> or </w:t>
      </w:r>
      <w:r w:rsidR="000E7579">
        <w:t>females</w:t>
      </w:r>
      <w:r w:rsidR="00140227">
        <w:t xml:space="preserve">, </w:t>
      </w:r>
      <w:r w:rsidR="00C52FB7">
        <w:t>except</w:t>
      </w:r>
      <w:r w:rsidR="002430B1">
        <w:t xml:space="preserve">ing those with a trade education worked </w:t>
      </w:r>
      <w:r w:rsidR="000C2BD8">
        <w:t xml:space="preserve">about </w:t>
      </w:r>
      <w:r w:rsidR="002430B1">
        <w:t xml:space="preserve">2 more hours per week compared to those with a </w:t>
      </w:r>
      <w:r w:rsidR="00E77032">
        <w:t>u</w:t>
      </w:r>
      <w:r w:rsidR="002430B1">
        <w:t xml:space="preserve">niversity education. </w:t>
      </w:r>
    </w:p>
    <w:p w14:paraId="2312D789" w14:textId="55B1B497" w:rsidR="00B67FA8" w:rsidRDefault="00B67FA8" w:rsidP="00483891">
      <w:pPr>
        <w:pStyle w:val="BodyText"/>
        <w:numPr>
          <w:ilvl w:val="0"/>
          <w:numId w:val="24"/>
        </w:numPr>
      </w:pPr>
      <w:r>
        <w:t xml:space="preserve">Across the </w:t>
      </w:r>
      <w:r w:rsidR="00E77032">
        <w:t>s</w:t>
      </w:r>
      <w:r>
        <w:t>tates</w:t>
      </w:r>
      <w:r w:rsidR="00E77032">
        <w:t xml:space="preserve"> and territories</w:t>
      </w:r>
      <w:r>
        <w:t>, there w</w:t>
      </w:r>
      <w:r w:rsidR="008462F1">
        <w:t>ere</w:t>
      </w:r>
      <w:r>
        <w:t xml:space="preserve"> no difference</w:t>
      </w:r>
      <w:r w:rsidR="008462F1">
        <w:t>s</w:t>
      </w:r>
      <w:r>
        <w:t xml:space="preserve"> in the observed</w:t>
      </w:r>
      <w:r w:rsidR="00125EEA">
        <w:t xml:space="preserve"> hours worked </w:t>
      </w:r>
      <w:r>
        <w:t>for males compared to the base</w:t>
      </w:r>
      <w:r w:rsidR="000D0BBA">
        <w:t>-</w:t>
      </w:r>
      <w:r>
        <w:t xml:space="preserve">case of the </w:t>
      </w:r>
      <w:r w:rsidR="00AC5B15">
        <w:t>Australian Capital Territory</w:t>
      </w:r>
      <w:r>
        <w:t xml:space="preserve">, but </w:t>
      </w:r>
      <w:r w:rsidR="000E7579">
        <w:t>females</w:t>
      </w:r>
      <w:r>
        <w:t xml:space="preserve"> employed in Tasmania worked about </w:t>
      </w:r>
      <w:r w:rsidR="00235D24">
        <w:t xml:space="preserve">3.5 </w:t>
      </w:r>
      <w:r>
        <w:t xml:space="preserve">fewer hours </w:t>
      </w:r>
      <w:r w:rsidR="00235D24">
        <w:t xml:space="preserve">per week </w:t>
      </w:r>
      <w:r>
        <w:t xml:space="preserve">than </w:t>
      </w:r>
      <w:r w:rsidR="000E7579">
        <w:t>females</w:t>
      </w:r>
      <w:r>
        <w:t xml:space="preserve"> employed in the </w:t>
      </w:r>
      <w:r w:rsidR="000D0BBA">
        <w:t>Australian Capital Territory.</w:t>
      </w:r>
    </w:p>
    <w:p w14:paraId="65B8CA4C" w14:textId="64F2EF73" w:rsidR="005C20CC" w:rsidRDefault="003B7621" w:rsidP="00483891">
      <w:pPr>
        <w:pStyle w:val="BodyText"/>
        <w:numPr>
          <w:ilvl w:val="0"/>
          <w:numId w:val="24"/>
        </w:numPr>
      </w:pPr>
      <w:r>
        <w:t>There was no impact on hours worked per week for males or females for those who received on the job training.</w:t>
      </w:r>
    </w:p>
    <w:p w14:paraId="5EDE9357" w14:textId="0B411455" w:rsidR="003B7621" w:rsidRDefault="0027227E" w:rsidP="00483891">
      <w:pPr>
        <w:pStyle w:val="BodyText"/>
        <w:numPr>
          <w:ilvl w:val="0"/>
          <w:numId w:val="24"/>
        </w:numPr>
      </w:pPr>
      <w:r>
        <w:t xml:space="preserve">Duration of stay in Australia did not increase the number of hours worked per week for males, but each additional month </w:t>
      </w:r>
      <w:r w:rsidR="00FD5F49">
        <w:t>decreased</w:t>
      </w:r>
      <w:r>
        <w:t xml:space="preserve"> th</w:t>
      </w:r>
      <w:r w:rsidR="00FD5F49">
        <w:t xml:space="preserve">e number of hours worked for females by about 0.2 hours per week. </w:t>
      </w:r>
    </w:p>
    <w:p w14:paraId="2077A25A" w14:textId="6778F8DA" w:rsidR="00691A3C" w:rsidRDefault="00922272" w:rsidP="00691A3C">
      <w:pPr>
        <w:pStyle w:val="BodyText"/>
        <w:numPr>
          <w:ilvl w:val="0"/>
          <w:numId w:val="24"/>
        </w:numPr>
      </w:pPr>
      <w:r>
        <w:t xml:space="preserve">An increase in wages by $1 per hour increased </w:t>
      </w:r>
      <w:r w:rsidR="00DA724A">
        <w:t xml:space="preserve">the number of hours worked per week by </w:t>
      </w:r>
      <w:r w:rsidR="00497D1D">
        <w:t>about 0.2</w:t>
      </w:r>
      <w:r w:rsidR="00654C48">
        <w:t>6</w:t>
      </w:r>
      <w:r w:rsidR="00691A3C">
        <w:t xml:space="preserve"> for males. While there was still a statistically significant effect for females, the impact was much smaller, with a $1 per hour increase in wage only increasing the number of hours worked per week by 0.</w:t>
      </w:r>
      <w:r w:rsidR="00FB4E67">
        <w:t>08</w:t>
      </w:r>
    </w:p>
    <w:p w14:paraId="2C853231" w14:textId="347C6607" w:rsidR="00691A3C" w:rsidRDefault="001562B8" w:rsidP="00B77536">
      <w:pPr>
        <w:pStyle w:val="Heading3"/>
        <w:numPr>
          <w:ilvl w:val="0"/>
          <w:numId w:val="0"/>
        </w:numPr>
        <w:ind w:left="720" w:hanging="720"/>
      </w:pPr>
      <w:bookmarkStart w:id="304" w:name="_Toc75878512"/>
      <w:r>
        <w:t>Hourly rate of pay</w:t>
      </w:r>
      <w:bookmarkEnd w:id="304"/>
    </w:p>
    <w:p w14:paraId="2308DA96" w14:textId="3C6EE415" w:rsidR="001562B8" w:rsidRPr="001562B8" w:rsidRDefault="001562B8" w:rsidP="001562B8">
      <w:r>
        <w:t xml:space="preserve">The hourly rate of pay model </w:t>
      </w:r>
      <w:r w:rsidR="00BC75C1">
        <w:t>suggests (</w:t>
      </w:r>
      <w:r w:rsidR="007403A0">
        <w:t>in line with</w:t>
      </w:r>
      <w:r w:rsidR="00BC75C1">
        <w:t xml:space="preserve"> the previous WHM survey) that the </w:t>
      </w:r>
      <w:r w:rsidR="006B0ADC">
        <w:t xml:space="preserve">wage setting behaviour for WHMs differs to that of the general population. </w:t>
      </w:r>
    </w:p>
    <w:p w14:paraId="42480219" w14:textId="77777777" w:rsidR="00B70F97" w:rsidRDefault="000C024A" w:rsidP="000C024A">
      <w:pPr>
        <w:pStyle w:val="ListParagraph"/>
        <w:numPr>
          <w:ilvl w:val="0"/>
          <w:numId w:val="27"/>
        </w:numPr>
      </w:pPr>
      <w:r>
        <w:t xml:space="preserve">There is a significant difference between wages paid to those in </w:t>
      </w:r>
      <w:r w:rsidR="00455B62">
        <w:t>most</w:t>
      </w:r>
      <w:r>
        <w:t xml:space="preserve"> industries compared to the </w:t>
      </w:r>
      <w:r w:rsidR="00B70F97">
        <w:t xml:space="preserve">industry </w:t>
      </w:r>
      <w:r>
        <w:t xml:space="preserve">base-case </w:t>
      </w:r>
      <w:r w:rsidR="00B70F97">
        <w:t>(</w:t>
      </w:r>
      <w:r>
        <w:t>hospitality and tourism</w:t>
      </w:r>
      <w:r w:rsidR="00B70F97">
        <w:t>)</w:t>
      </w:r>
      <w:r>
        <w:t xml:space="preserve">. </w:t>
      </w:r>
    </w:p>
    <w:p w14:paraId="60F4D101" w14:textId="77777777" w:rsidR="00BD4C91" w:rsidRDefault="000C024A" w:rsidP="00B70F97">
      <w:pPr>
        <w:pStyle w:val="ListParagraph"/>
        <w:numPr>
          <w:ilvl w:val="1"/>
          <w:numId w:val="27"/>
        </w:numPr>
      </w:pPr>
      <w:r>
        <w:t xml:space="preserve">For males, </w:t>
      </w:r>
      <w:r w:rsidR="00CD26E2">
        <w:t>wages are lower in agriculture and transport (</w:t>
      </w:r>
      <w:r w:rsidR="00405506">
        <w:t>-</w:t>
      </w:r>
      <w:r w:rsidR="00E4078F">
        <w:t xml:space="preserve">76 cents/hour), </w:t>
      </w:r>
      <w:r w:rsidR="00455B62">
        <w:t xml:space="preserve">and higher in </w:t>
      </w:r>
      <w:r w:rsidR="0071507B">
        <w:t xml:space="preserve">health and aged care ($10.50/hour), </w:t>
      </w:r>
      <w:r w:rsidR="00455B62">
        <w:t xml:space="preserve">office admin and </w:t>
      </w:r>
      <w:r w:rsidR="0071507B">
        <w:t xml:space="preserve">IT, </w:t>
      </w:r>
      <w:r w:rsidR="00455B62">
        <w:t xml:space="preserve">($6.80/hour), </w:t>
      </w:r>
      <w:r w:rsidR="0071507B">
        <w:t xml:space="preserve">construction and mining ($4.11/hour), </w:t>
      </w:r>
      <w:r w:rsidR="00455B62">
        <w:t xml:space="preserve">education ($2.70/hour), </w:t>
      </w:r>
      <w:r w:rsidR="0071507B">
        <w:t>and</w:t>
      </w:r>
      <w:r w:rsidR="00455B62">
        <w:t xml:space="preserve"> </w:t>
      </w:r>
      <w:r w:rsidR="003111C4">
        <w:t xml:space="preserve">sales and marketing ($1.13/hour). </w:t>
      </w:r>
    </w:p>
    <w:p w14:paraId="0B462682" w14:textId="291F91BC" w:rsidR="00E27E0E" w:rsidRPr="001562B8" w:rsidRDefault="0071507B" w:rsidP="00B70F97">
      <w:pPr>
        <w:pStyle w:val="ListParagraph"/>
        <w:numPr>
          <w:ilvl w:val="1"/>
          <w:numId w:val="27"/>
        </w:numPr>
      </w:pPr>
      <w:r>
        <w:t xml:space="preserve">For </w:t>
      </w:r>
      <w:r w:rsidR="003C4507">
        <w:t>females</w:t>
      </w:r>
      <w:r>
        <w:t xml:space="preserve">, </w:t>
      </w:r>
      <w:r w:rsidR="00405506">
        <w:t xml:space="preserve">wages are lower in </w:t>
      </w:r>
      <w:r w:rsidR="00BD4C91">
        <w:t>e</w:t>
      </w:r>
      <w:r w:rsidR="00405506">
        <w:t>ducation (-</w:t>
      </w:r>
      <w:r w:rsidR="00C62C04">
        <w:t>$</w:t>
      </w:r>
      <w:r w:rsidR="00405506">
        <w:t>5.</w:t>
      </w:r>
      <w:r w:rsidR="00C62C04">
        <w:t xml:space="preserve">20/hour), </w:t>
      </w:r>
      <w:r w:rsidR="00651718">
        <w:t xml:space="preserve">cleaning and gardening (-$1.50/hour), and agriculture and transport (-$1.34/hour), and higher in </w:t>
      </w:r>
      <w:r w:rsidR="00336440">
        <w:t>s</w:t>
      </w:r>
      <w:r w:rsidR="00651718">
        <w:t xml:space="preserve">ales and marketing ($1.16/hour), </w:t>
      </w:r>
      <w:r w:rsidR="00D24740">
        <w:t xml:space="preserve">construction and mining ($4.60/hour), </w:t>
      </w:r>
      <w:r w:rsidR="00080EA9">
        <w:t xml:space="preserve">office admin and IT ($5.50/hour) and health and aged care ($8.90/hour). </w:t>
      </w:r>
    </w:p>
    <w:p w14:paraId="6335C5FE" w14:textId="79B2B7C9" w:rsidR="00080EA9" w:rsidRPr="001562B8" w:rsidRDefault="00080EA9" w:rsidP="000C024A">
      <w:pPr>
        <w:pStyle w:val="ListParagraph"/>
        <w:numPr>
          <w:ilvl w:val="0"/>
          <w:numId w:val="27"/>
        </w:numPr>
      </w:pPr>
      <w:r>
        <w:t xml:space="preserve">For both males and females, receiving on the job training corresponded to an increase in hourly pay of </w:t>
      </w:r>
      <w:r w:rsidR="009F328F">
        <w:t>$1</w:t>
      </w:r>
      <w:r w:rsidR="001141B1">
        <w:t>.00</w:t>
      </w:r>
      <w:r w:rsidR="009F328F">
        <w:t xml:space="preserve">/hour for males, and </w:t>
      </w:r>
      <w:r w:rsidR="001141B1">
        <w:t xml:space="preserve">$1.70/hour for females. </w:t>
      </w:r>
    </w:p>
    <w:p w14:paraId="577C16BE" w14:textId="5354E27D" w:rsidR="00F60045" w:rsidRPr="001562B8" w:rsidRDefault="00F60045" w:rsidP="000C024A">
      <w:pPr>
        <w:pStyle w:val="ListParagraph"/>
        <w:numPr>
          <w:ilvl w:val="0"/>
          <w:numId w:val="27"/>
        </w:numPr>
      </w:pPr>
      <w:r>
        <w:t xml:space="preserve">For </w:t>
      </w:r>
      <w:r w:rsidR="00BA2580">
        <w:t>females</w:t>
      </w:r>
      <w:r>
        <w:t xml:space="preserve">, there was no impact on </w:t>
      </w:r>
      <w:r w:rsidR="00744625">
        <w:t>wage rates for education levels</w:t>
      </w:r>
      <w:r w:rsidR="00D1448A">
        <w:t xml:space="preserve">, whereas for </w:t>
      </w:r>
      <w:r w:rsidR="00BA2580">
        <w:t>males</w:t>
      </w:r>
      <w:r w:rsidR="00D1448A">
        <w:t>, compared to those with university degrees, those with high school degrees were paid $3.20 more per hour, those with trade degrees were paid $</w:t>
      </w:r>
      <w:r w:rsidR="00233801">
        <w:t xml:space="preserve">0.85 more per hour, and those without high school degrees were paid $3.10 more per hour. </w:t>
      </w:r>
    </w:p>
    <w:p w14:paraId="5E4E194B" w14:textId="7B2DFEBC" w:rsidR="00283289" w:rsidRDefault="00283289" w:rsidP="000C024A">
      <w:pPr>
        <w:pStyle w:val="ListParagraph"/>
        <w:numPr>
          <w:ilvl w:val="0"/>
          <w:numId w:val="27"/>
        </w:numPr>
      </w:pPr>
      <w:r>
        <w:t xml:space="preserve">Wages followed the typical </w:t>
      </w:r>
      <w:r w:rsidR="00CB24ED">
        <w:t>inverted-u shaped pattern for both males and females</w:t>
      </w:r>
      <w:r w:rsidR="00B74C10">
        <w:t xml:space="preserve"> – increasing with age</w:t>
      </w:r>
      <w:r w:rsidR="00F75509">
        <w:t>,</w:t>
      </w:r>
      <w:r w:rsidR="00B74C10">
        <w:t xml:space="preserve"> but at a decreasing rate. </w:t>
      </w:r>
    </w:p>
    <w:p w14:paraId="0396B474" w14:textId="1967338F" w:rsidR="00B74C10" w:rsidRPr="001562B8" w:rsidRDefault="00B74C10" w:rsidP="000C024A">
      <w:pPr>
        <w:pStyle w:val="ListParagraph"/>
        <w:numPr>
          <w:ilvl w:val="0"/>
          <w:numId w:val="27"/>
        </w:numPr>
      </w:pPr>
      <w:r>
        <w:t xml:space="preserve">The wage rate for males was more consistent across </w:t>
      </w:r>
      <w:r w:rsidR="00F75509">
        <w:t>s</w:t>
      </w:r>
      <w:r>
        <w:t>tates</w:t>
      </w:r>
      <w:r w:rsidR="00F75509">
        <w:t xml:space="preserve"> and territories</w:t>
      </w:r>
      <w:r>
        <w:t xml:space="preserve">, with only those who worked in the </w:t>
      </w:r>
      <w:r w:rsidR="00F75509">
        <w:t>Northern Territory</w:t>
      </w:r>
      <w:r>
        <w:t xml:space="preserve"> and </w:t>
      </w:r>
      <w:r w:rsidR="00F75509">
        <w:t>Western Australia</w:t>
      </w:r>
      <w:r>
        <w:t xml:space="preserve"> earning more than those in the </w:t>
      </w:r>
      <w:r w:rsidR="00F75509">
        <w:t>Australian Capital Territory</w:t>
      </w:r>
      <w:r>
        <w:t xml:space="preserve"> (the base-case). For </w:t>
      </w:r>
      <w:r w:rsidR="00656206">
        <w:t>females</w:t>
      </w:r>
      <w:r>
        <w:t xml:space="preserve">, </w:t>
      </w:r>
      <w:r w:rsidR="002B2C14">
        <w:t xml:space="preserve">wages were higher in </w:t>
      </w:r>
      <w:r w:rsidR="00373AB5">
        <w:t xml:space="preserve">all states relative to the </w:t>
      </w:r>
      <w:r w:rsidR="00660E0D">
        <w:t>Australian Capital Territory</w:t>
      </w:r>
      <w:r w:rsidR="00373AB5">
        <w:t xml:space="preserve">. </w:t>
      </w:r>
      <w:r w:rsidR="002B2C14">
        <w:t xml:space="preserve"> </w:t>
      </w:r>
      <w:r w:rsidR="00373AB5">
        <w:t>In</w:t>
      </w:r>
      <w:r w:rsidR="002B2C14">
        <w:t xml:space="preserve"> </w:t>
      </w:r>
      <w:r w:rsidR="00660E0D">
        <w:t>New South Wales</w:t>
      </w:r>
      <w:r w:rsidR="002B2C14">
        <w:t xml:space="preserve"> </w:t>
      </w:r>
      <w:r w:rsidR="00373AB5">
        <w:t xml:space="preserve">hourly wages were </w:t>
      </w:r>
      <w:r w:rsidR="002B2C14">
        <w:t>$2.</w:t>
      </w:r>
      <w:r w:rsidR="00373AB5">
        <w:t xml:space="preserve">45/hour higher, in </w:t>
      </w:r>
      <w:r w:rsidR="00DC3D3B">
        <w:t>Northern Territory</w:t>
      </w:r>
      <w:r w:rsidR="00373AB5">
        <w:t xml:space="preserve"> they were $3.24/hour</w:t>
      </w:r>
      <w:r w:rsidR="00394720">
        <w:t xml:space="preserve"> higher</w:t>
      </w:r>
      <w:r w:rsidR="00373AB5">
        <w:t xml:space="preserve">, in Queensland they were </w:t>
      </w:r>
      <w:r w:rsidR="00DF1F94">
        <w:t>$1.54/hour higher, in South Australia and Tasmania they were $2.00/hour higher, an</w:t>
      </w:r>
      <w:r w:rsidR="00A24C5E">
        <w:t xml:space="preserve">d in Victoria and </w:t>
      </w:r>
      <w:r w:rsidR="00394720">
        <w:t>Western Australia</w:t>
      </w:r>
      <w:r w:rsidR="00A24C5E">
        <w:t xml:space="preserve"> they were $2.50/hour higher. </w:t>
      </w:r>
    </w:p>
    <w:p w14:paraId="7071F9FF" w14:textId="63091EAD" w:rsidR="00B22FFA" w:rsidRPr="001562B8" w:rsidRDefault="000B7276" w:rsidP="000C024A">
      <w:pPr>
        <w:pStyle w:val="ListParagraph"/>
        <w:numPr>
          <w:ilvl w:val="0"/>
          <w:numId w:val="27"/>
        </w:numPr>
      </w:pPr>
      <w:r>
        <w:t>Time spent in Australia did not impact on the hourly wage rate for males or females</w:t>
      </w:r>
      <w:r w:rsidR="00394720">
        <w:t>.</w:t>
      </w:r>
    </w:p>
    <w:p w14:paraId="47F4C280" w14:textId="77777777" w:rsidR="00394720" w:rsidRDefault="000B7276" w:rsidP="000C024A">
      <w:pPr>
        <w:pStyle w:val="ListParagraph"/>
        <w:numPr>
          <w:ilvl w:val="0"/>
          <w:numId w:val="27"/>
        </w:numPr>
      </w:pPr>
      <w:r>
        <w:t xml:space="preserve">By country of origin, </w:t>
      </w:r>
      <w:r w:rsidR="00801BFF">
        <w:t>compared to the</w:t>
      </w:r>
      <w:r w:rsidR="00394720">
        <w:t xml:space="preserve"> country</w:t>
      </w:r>
      <w:r w:rsidR="00801BFF">
        <w:t xml:space="preserve"> base</w:t>
      </w:r>
      <w:r w:rsidR="00394720">
        <w:t>-case</w:t>
      </w:r>
      <w:r w:rsidR="00801BFF">
        <w:t xml:space="preserve"> </w:t>
      </w:r>
      <w:r w:rsidR="00394720">
        <w:t>(</w:t>
      </w:r>
      <w:r w:rsidR="00B83AD7">
        <w:t>United Kingdom</w:t>
      </w:r>
      <w:r w:rsidR="00394720">
        <w:t>)</w:t>
      </w:r>
    </w:p>
    <w:p w14:paraId="7BE152F0" w14:textId="77777777" w:rsidR="001E25CB" w:rsidRDefault="00394720" w:rsidP="00394720">
      <w:pPr>
        <w:pStyle w:val="ListParagraph"/>
        <w:numPr>
          <w:ilvl w:val="1"/>
          <w:numId w:val="27"/>
        </w:numPr>
      </w:pPr>
      <w:r>
        <w:t>Males</w:t>
      </w:r>
      <w:r w:rsidR="00B83AD7">
        <w:t xml:space="preserve"> from France, Italy, Taiwan, and South Korea earnt between </w:t>
      </w:r>
      <w:r w:rsidR="00343A14">
        <w:t>$1.60 (Taiwan) and $3.00 (South Korea) less per hour</w:t>
      </w:r>
      <w:r w:rsidR="00E97529">
        <w:t xml:space="preserve">. Male WHMs from Germany and Other earnt about the same as those from the </w:t>
      </w:r>
      <w:r w:rsidR="001E25CB">
        <w:t>United Kingdom</w:t>
      </w:r>
      <w:r w:rsidR="00E97529">
        <w:t xml:space="preserve">. </w:t>
      </w:r>
    </w:p>
    <w:p w14:paraId="53A83AC2" w14:textId="0E37BC4C" w:rsidR="00B83AD7" w:rsidRDefault="00E97529" w:rsidP="00394720">
      <w:pPr>
        <w:pStyle w:val="ListParagraph"/>
        <w:numPr>
          <w:ilvl w:val="1"/>
          <w:numId w:val="27"/>
        </w:numPr>
      </w:pPr>
      <w:r>
        <w:t xml:space="preserve">For females, </w:t>
      </w:r>
      <w:r w:rsidR="000E7A09">
        <w:t>all WHM</w:t>
      </w:r>
      <w:r w:rsidR="001E25CB">
        <w:t>s</w:t>
      </w:r>
      <w:r w:rsidR="000E7A09">
        <w:t xml:space="preserve"> earnt less than those from the United Kingdom, ranging from $0.70 (Other) to </w:t>
      </w:r>
      <w:r w:rsidR="0054599C">
        <w:t xml:space="preserve">$2.90 (South Korea) less per hour. </w:t>
      </w:r>
    </w:p>
    <w:p w14:paraId="79B7F18F" w14:textId="29D0FE47" w:rsidR="00C51056" w:rsidRDefault="00C51056" w:rsidP="00C51056">
      <w:r>
        <w:t>As is discussed in the previous report, it is not surprising that the wage setting behaviour would be different for WHMs than for the general population</w:t>
      </w:r>
      <w:r w:rsidR="00761D0E">
        <w:t xml:space="preserve">. Factors on both the employer and employee side can explain </w:t>
      </w:r>
      <w:r w:rsidR="007C19B7">
        <w:t xml:space="preserve">the results presented above. </w:t>
      </w:r>
      <w:r w:rsidR="002B61FD">
        <w:t xml:space="preserve">For example, </w:t>
      </w:r>
      <w:r w:rsidR="00DE3DDC">
        <w:t xml:space="preserve">WHMs who are working while in Australia </w:t>
      </w:r>
      <w:r w:rsidR="00433F84">
        <w:t>to</w:t>
      </w:r>
      <w:r w:rsidR="00DE3DDC">
        <w:t xml:space="preserve"> finance their trip </w:t>
      </w:r>
      <w:r w:rsidR="00595F91">
        <w:t xml:space="preserve">may be more willing to accept lower paying jobs than their </w:t>
      </w:r>
      <w:r w:rsidR="00051BEE">
        <w:t>education level would suggest</w:t>
      </w:r>
      <w:r w:rsidR="00433F84">
        <w:t>, knowing that they are not seeking long-term employment</w:t>
      </w:r>
      <w:r w:rsidR="006A7FC5">
        <w:t xml:space="preserve">. </w:t>
      </w:r>
      <w:r w:rsidR="00433F84">
        <w:t xml:space="preserve">Additionally, on the demand side, employers may overlook shortcomings in an </w:t>
      </w:r>
      <w:r w:rsidR="005D74CD">
        <w:t>employee’s</w:t>
      </w:r>
      <w:r w:rsidR="00433F84">
        <w:t xml:space="preserve"> </w:t>
      </w:r>
      <w:r w:rsidR="00EF039D">
        <w:t>‘</w:t>
      </w:r>
      <w:r w:rsidR="00433F84">
        <w:t>human capital</w:t>
      </w:r>
      <w:r w:rsidR="00EF039D">
        <w:t>’</w:t>
      </w:r>
      <w:r w:rsidR="00433F84">
        <w:t xml:space="preserve"> </w:t>
      </w:r>
      <w:r w:rsidR="003F2682">
        <w:t>attributes</w:t>
      </w:r>
      <w:r w:rsidR="000C6797">
        <w:t xml:space="preserve">. </w:t>
      </w:r>
    </w:p>
    <w:p w14:paraId="3C3BCC4D" w14:textId="31124246" w:rsidR="006A49B9" w:rsidRDefault="006A49B9" w:rsidP="00B77536">
      <w:pPr>
        <w:pStyle w:val="Heading3"/>
        <w:numPr>
          <w:ilvl w:val="0"/>
          <w:numId w:val="0"/>
        </w:numPr>
        <w:ind w:left="720" w:hanging="720"/>
      </w:pPr>
      <w:bookmarkStart w:id="305" w:name="_Toc75878513"/>
      <w:r>
        <w:t>Job satisfaction</w:t>
      </w:r>
      <w:bookmarkEnd w:id="305"/>
    </w:p>
    <w:p w14:paraId="63722B9E" w14:textId="47252179" w:rsidR="00276005" w:rsidRDefault="00276005" w:rsidP="00276005">
      <w:r>
        <w:t xml:space="preserve">Job satisfaction in this round of the WHM survey </w:t>
      </w:r>
      <w:r w:rsidR="00955388">
        <w:t>was measured on a five-point scal</w:t>
      </w:r>
      <w:r w:rsidR="00432541">
        <w:t>e where</w:t>
      </w:r>
      <w:r w:rsidR="00B4398D">
        <w:t xml:space="preserve"> those who were very dissatisfied in their job scored it a 1, and those who were very satisfied with their job scored it a 5. </w:t>
      </w:r>
      <w:r w:rsidR="00476C2A">
        <w:t xml:space="preserve">Measured against this </w:t>
      </w:r>
      <w:r w:rsidR="00FA561A">
        <w:t>five-point satisfaction</w:t>
      </w:r>
      <w:r w:rsidR="00E410CB">
        <w:t xml:space="preserve">, </w:t>
      </w:r>
      <w:r w:rsidR="00504810">
        <w:t>unit increases in explanatory variables provide the change in job satisfaction.</w:t>
      </w:r>
      <w:r w:rsidR="00A975D2">
        <w:t xml:space="preserve"> </w:t>
      </w:r>
      <w:r w:rsidR="00A91B2C">
        <w:t>For clarity,</w:t>
      </w:r>
      <w:r w:rsidR="00055EA8">
        <w:t xml:space="preserve"> impacts will be measured in the percentage increase or decrease in job satisfaction</w:t>
      </w:r>
      <w:r w:rsidR="00615DFE">
        <w:t xml:space="preserve">. For example, a reduction in job satisfaction of 0.1 points represents a decrease </w:t>
      </w:r>
      <w:r w:rsidR="00615DFE" w:rsidRPr="00C470BD">
        <w:rPr>
          <w:rFonts w:cstheme="minorHAnsi"/>
        </w:rPr>
        <w:t>of</w:t>
      </w:r>
      <w:r w:rsidR="00C470BD">
        <w:rPr>
          <w:rFonts w:cstheme="minorHAnsi"/>
        </w:rPr>
        <w:t xml:space="preserve"> 0.1/5 = 2.0%</w:t>
      </w:r>
      <w:r w:rsidR="0016166A" w:rsidRPr="00C470BD">
        <w:rPr>
          <w:rFonts w:eastAsiaTheme="minorEastAsia" w:cstheme="minorHAnsi"/>
        </w:rPr>
        <w:t>.</w:t>
      </w:r>
      <w:r w:rsidR="00A975D2">
        <w:t xml:space="preserve"> As in the previous report, the effect</w:t>
      </w:r>
      <w:r w:rsidR="00B4681D">
        <w:t xml:space="preserve">s of explanatory variables are mostly minor with respect to job satisfaction. </w:t>
      </w:r>
    </w:p>
    <w:p w14:paraId="118D383B" w14:textId="0069038E" w:rsidR="00917027" w:rsidRDefault="00B17F7B" w:rsidP="00B4681D">
      <w:pPr>
        <w:pStyle w:val="ListParagraph"/>
        <w:numPr>
          <w:ilvl w:val="0"/>
          <w:numId w:val="28"/>
        </w:numPr>
      </w:pPr>
      <w:r>
        <w:t>Males</w:t>
      </w:r>
      <w:r w:rsidR="00EF1D05">
        <w:t xml:space="preserve"> who worked in agriculture and transport</w:t>
      </w:r>
      <w:r w:rsidR="00FE5DAC">
        <w:t>, health and aged care, and construction and mining</w:t>
      </w:r>
      <w:r w:rsidR="00523C9F">
        <w:t xml:space="preserve"> </w:t>
      </w:r>
      <w:r w:rsidR="0016166A">
        <w:t>were less satisfied than those in</w:t>
      </w:r>
      <w:r w:rsidR="00FA33AC">
        <w:t xml:space="preserve"> the base</w:t>
      </w:r>
      <w:r w:rsidR="0016166A">
        <w:t>-</w:t>
      </w:r>
      <w:r w:rsidR="00FA33AC">
        <w:t>industry of hospitality and tourism</w:t>
      </w:r>
      <w:r w:rsidR="0016166A">
        <w:t xml:space="preserve"> by </w:t>
      </w:r>
      <w:r w:rsidR="00FE5DAC">
        <w:t xml:space="preserve">between </w:t>
      </w:r>
      <w:r w:rsidR="00C870B6">
        <w:t>6</w:t>
      </w:r>
      <w:r w:rsidR="00122D71">
        <w:t>.5%</w:t>
      </w:r>
      <w:r w:rsidR="00C870B6">
        <w:t xml:space="preserve"> (health and aged care) </w:t>
      </w:r>
      <w:r w:rsidR="00322EBF">
        <w:t xml:space="preserve">and 3.0% (construction and mining). </w:t>
      </w:r>
      <w:r>
        <w:t>Females</w:t>
      </w:r>
      <w:r w:rsidR="00062189">
        <w:t xml:space="preserve"> were also less satisfied in agriculture and transport</w:t>
      </w:r>
      <w:r w:rsidR="00465362">
        <w:t>,</w:t>
      </w:r>
      <w:r w:rsidR="00062B86">
        <w:t xml:space="preserve"> but the effect size was much smaller at about </w:t>
      </w:r>
      <w:r w:rsidR="009D2B84">
        <w:t>1.7% less satisfied</w:t>
      </w:r>
      <w:r w:rsidR="00B6525A">
        <w:t xml:space="preserve"> compared to the base-case. </w:t>
      </w:r>
      <w:r>
        <w:t>Females</w:t>
      </w:r>
      <w:r w:rsidR="00B6525A">
        <w:t xml:space="preserve"> </w:t>
      </w:r>
      <w:r w:rsidR="00E2441B">
        <w:t>employed in cleaning and gardening experienced the largest reduction in job satisfaction compared to the base</w:t>
      </w:r>
      <w:r w:rsidR="006F05C4">
        <w:t>-</w:t>
      </w:r>
      <w:r w:rsidR="00E2441B">
        <w:t xml:space="preserve">case, a reduction of </w:t>
      </w:r>
      <w:r w:rsidR="004C1548">
        <w:t xml:space="preserve">about 3.0%. </w:t>
      </w:r>
      <w:r w:rsidR="00EF41A5">
        <w:t>Females</w:t>
      </w:r>
      <w:r w:rsidR="00054864">
        <w:t xml:space="preserve"> employed in education and office admin</w:t>
      </w:r>
      <w:r w:rsidR="006F05C4">
        <w:t>i</w:t>
      </w:r>
      <w:r w:rsidR="00A1544F">
        <w:t>stration</w:t>
      </w:r>
      <w:r w:rsidR="00054864">
        <w:t xml:space="preserve"> and IT were more </w:t>
      </w:r>
      <w:r w:rsidR="001775A3">
        <w:t>satisfied, with the effect size particularly large</w:t>
      </w:r>
      <w:r w:rsidR="005C24A6">
        <w:t xml:space="preserve"> at 7.4% higher</w:t>
      </w:r>
      <w:r w:rsidR="001775A3">
        <w:t xml:space="preserve"> for those employed in education</w:t>
      </w:r>
      <w:r w:rsidR="005C24A6">
        <w:t>.</w:t>
      </w:r>
    </w:p>
    <w:p w14:paraId="29F2D069" w14:textId="01D29754" w:rsidR="00C47F17" w:rsidRDefault="00917027" w:rsidP="00B4681D">
      <w:pPr>
        <w:pStyle w:val="ListParagraph"/>
        <w:numPr>
          <w:ilvl w:val="0"/>
          <w:numId w:val="28"/>
        </w:numPr>
      </w:pPr>
      <w:r>
        <w:t xml:space="preserve">Jobs which provided on-the-job training were associated with increased job satisfaction for males of about </w:t>
      </w:r>
      <w:r w:rsidR="00C47F17">
        <w:t>5.5%</w:t>
      </w:r>
      <w:r w:rsidR="005B2BF1">
        <w:t xml:space="preserve"> and females of about 3.</w:t>
      </w:r>
      <w:r w:rsidR="002D17E2">
        <w:t>2</w:t>
      </w:r>
      <w:r w:rsidR="005B2BF1">
        <w:t>%</w:t>
      </w:r>
    </w:p>
    <w:p w14:paraId="784FD81A" w14:textId="59F6477E" w:rsidR="00B4681D" w:rsidRPr="00276005" w:rsidRDefault="00C47F17" w:rsidP="00B4681D">
      <w:pPr>
        <w:pStyle w:val="ListParagraph"/>
        <w:numPr>
          <w:ilvl w:val="0"/>
          <w:numId w:val="28"/>
        </w:numPr>
      </w:pPr>
      <w:r>
        <w:t xml:space="preserve">Compared to </w:t>
      </w:r>
      <w:r w:rsidR="009D783F">
        <w:t xml:space="preserve">WHM from the </w:t>
      </w:r>
      <w:r w:rsidR="00B8492D">
        <w:t>United Kingdom</w:t>
      </w:r>
      <w:r w:rsidR="009D783F">
        <w:t xml:space="preserve"> (</w:t>
      </w:r>
      <w:r>
        <w:t xml:space="preserve">the base </w:t>
      </w:r>
      <w:r w:rsidR="009D783F">
        <w:t>country)</w:t>
      </w:r>
      <w:r>
        <w:t xml:space="preserve">, </w:t>
      </w:r>
      <w:r w:rsidR="007C2C5D">
        <w:t>male WHM</w:t>
      </w:r>
      <w:r w:rsidR="005D4924">
        <w:t>s</w:t>
      </w:r>
      <w:r w:rsidR="007C2C5D">
        <w:t xml:space="preserve"> from Germany and France reported higher job satisfaction of</w:t>
      </w:r>
      <w:r w:rsidR="00122D71">
        <w:t xml:space="preserve"> </w:t>
      </w:r>
      <w:r w:rsidR="005D4924">
        <w:t>2.</w:t>
      </w:r>
      <w:r w:rsidR="00E7088D">
        <w:t>9</w:t>
      </w:r>
      <w:r w:rsidR="005D4924">
        <w:t>% and 2.</w:t>
      </w:r>
      <w:r w:rsidR="00E10223">
        <w:t>4</w:t>
      </w:r>
      <w:r w:rsidR="005D4924">
        <w:t>% respectively</w:t>
      </w:r>
      <w:r w:rsidR="00A35273">
        <w:t xml:space="preserve">. </w:t>
      </w:r>
      <w:r w:rsidR="00D119E3">
        <w:t xml:space="preserve">Women from Taiwan, </w:t>
      </w:r>
      <w:r w:rsidR="00337401">
        <w:t xml:space="preserve">and </w:t>
      </w:r>
      <w:r w:rsidR="00D119E3">
        <w:t xml:space="preserve">Korea experienced lower job satisfaction than those from </w:t>
      </w:r>
      <w:r w:rsidR="00337401">
        <w:t xml:space="preserve">the </w:t>
      </w:r>
      <w:r w:rsidR="001F7937">
        <w:t>United Kingdom</w:t>
      </w:r>
      <w:r w:rsidR="00D119E3">
        <w:t xml:space="preserve">, by between </w:t>
      </w:r>
      <w:r w:rsidR="00DB66FE">
        <w:t>-</w:t>
      </w:r>
      <w:r w:rsidR="00F00D64">
        <w:t>2</w:t>
      </w:r>
      <w:r w:rsidR="00DB66FE">
        <w:t xml:space="preserve">.5% (Korea) and </w:t>
      </w:r>
      <w:r w:rsidR="00B27960">
        <w:t>-</w:t>
      </w:r>
      <w:r w:rsidR="00D546F6">
        <w:t>1.6</w:t>
      </w:r>
      <w:r w:rsidR="00B27960">
        <w:t xml:space="preserve">% (Taiwan). </w:t>
      </w:r>
    </w:p>
    <w:p w14:paraId="4416E6D2" w14:textId="5918E4CB" w:rsidR="00980B2F" w:rsidRPr="00276005" w:rsidRDefault="00980B2F" w:rsidP="00B4681D">
      <w:pPr>
        <w:pStyle w:val="ListParagraph"/>
        <w:numPr>
          <w:ilvl w:val="0"/>
          <w:numId w:val="28"/>
        </w:numPr>
      </w:pPr>
      <w:r>
        <w:t xml:space="preserve">Males who earnt more per hour were </w:t>
      </w:r>
      <w:r w:rsidR="008B5679">
        <w:t>more satisfied in their job</w:t>
      </w:r>
      <w:r w:rsidR="00FF7D33">
        <w:t xml:space="preserve">, but the effect </w:t>
      </w:r>
      <w:r w:rsidR="00023670">
        <w:t>wa</w:t>
      </w:r>
      <w:r w:rsidR="00FF7D33">
        <w:t xml:space="preserve">s small – only 0.4% higher for each additional dollar per hour increase. </w:t>
      </w:r>
      <w:r w:rsidR="00251302">
        <w:t xml:space="preserve">There was no impact on job satisfaction with hours per week.  </w:t>
      </w:r>
      <w:r w:rsidR="00EF41A5">
        <w:t>Females</w:t>
      </w:r>
      <w:r w:rsidR="008423AB">
        <w:t xml:space="preserve"> also were more satisfied in their job </w:t>
      </w:r>
      <w:r w:rsidR="00D910D2">
        <w:t xml:space="preserve">if it paid more, with satisfaction increasing by about </w:t>
      </w:r>
      <w:r w:rsidR="00FA0677">
        <w:t xml:space="preserve">0.3% per </w:t>
      </w:r>
      <w:r w:rsidR="00BC6AB9">
        <w:t xml:space="preserve">dollar per hour. Unlike </w:t>
      </w:r>
      <w:r w:rsidR="00EF41A5">
        <w:t>males</w:t>
      </w:r>
      <w:r w:rsidR="00BC6AB9">
        <w:t xml:space="preserve">, </w:t>
      </w:r>
      <w:r w:rsidR="00EF41A5">
        <w:t>females</w:t>
      </w:r>
      <w:r w:rsidR="00BC6AB9">
        <w:t xml:space="preserve"> were less satisfied with their job as the hours increased, with satisfaction decreasing by </w:t>
      </w:r>
      <w:r w:rsidR="00E765BA">
        <w:t xml:space="preserve">-0.05% per additional hour. </w:t>
      </w:r>
    </w:p>
    <w:p w14:paraId="730D57E8" w14:textId="4ADEC37F" w:rsidR="00691A3C" w:rsidRDefault="00F40D18" w:rsidP="00D967DB">
      <w:pPr>
        <w:pStyle w:val="ListParagraph"/>
        <w:numPr>
          <w:ilvl w:val="0"/>
          <w:numId w:val="28"/>
        </w:numPr>
      </w:pPr>
      <w:r>
        <w:t xml:space="preserve">Where duration of time in Australia had no impact on job satisfaction for </w:t>
      </w:r>
      <w:r w:rsidR="00EF41A5">
        <w:t>males</w:t>
      </w:r>
      <w:r>
        <w:t xml:space="preserve">, </w:t>
      </w:r>
      <w:r w:rsidR="002E21C6">
        <w:t xml:space="preserve">each additional month stayed in Australia reduced job satisfaction for </w:t>
      </w:r>
      <w:r w:rsidR="00EF41A5">
        <w:t>females</w:t>
      </w:r>
      <w:r w:rsidR="002E21C6">
        <w:t xml:space="preserve"> by about </w:t>
      </w:r>
      <w:r w:rsidR="00465362">
        <w:t xml:space="preserve">-0.5%. </w:t>
      </w:r>
    </w:p>
    <w:p w14:paraId="61F6CD77" w14:textId="77777777" w:rsidR="00B32842" w:rsidRDefault="00B32842" w:rsidP="00933707">
      <w:pPr>
        <w:pStyle w:val="BodyText"/>
      </w:pPr>
    </w:p>
    <w:p w14:paraId="0EB5E410" w14:textId="77777777" w:rsidR="005368EA" w:rsidRPr="005368EA" w:rsidRDefault="005368EA" w:rsidP="005368EA"/>
    <w:p w14:paraId="61FB6ACE" w14:textId="77777777" w:rsidR="00E16B19" w:rsidRPr="00940016" w:rsidRDefault="00E16B19" w:rsidP="00E16B19">
      <w:pPr>
        <w:spacing w:before="0" w:after="200"/>
      </w:pPr>
      <w:r w:rsidRPr="00940016">
        <w:br w:type="page"/>
      </w:r>
    </w:p>
    <w:p w14:paraId="053D394B" w14:textId="77777777" w:rsidR="00E16B19" w:rsidRPr="00940016" w:rsidRDefault="00E16B19" w:rsidP="00E16B19">
      <w:pPr>
        <w:spacing w:before="0" w:after="200"/>
      </w:pPr>
      <w:r w:rsidRPr="00940016">
        <w:br w:type="page"/>
      </w:r>
    </w:p>
    <w:p w14:paraId="18CBA2F4" w14:textId="77777777" w:rsidR="00E16B19" w:rsidRPr="00940016" w:rsidRDefault="00E16B19" w:rsidP="00E16B19">
      <w:pPr>
        <w:sectPr w:rsidR="00E16B19" w:rsidRPr="00940016" w:rsidSect="00567D91">
          <w:type w:val="continuous"/>
          <w:pgSz w:w="11906" w:h="16838" w:code="9"/>
          <w:pgMar w:top="1440" w:right="1440" w:bottom="1440" w:left="1440" w:header="709" w:footer="709" w:gutter="0"/>
          <w:cols w:space="708"/>
          <w:docGrid w:linePitch="360"/>
        </w:sectPr>
      </w:pPr>
    </w:p>
    <w:p w14:paraId="7F0FA866" w14:textId="77777777" w:rsidR="00350B12" w:rsidRDefault="00350B12" w:rsidP="00350B12">
      <w:pPr>
        <w:pStyle w:val="TitlePageSub-heading"/>
        <w:spacing w:line="240" w:lineRule="auto"/>
        <w:contextualSpacing/>
      </w:pPr>
      <w:r>
        <w:t>Australian Industrial Transformation Institute</w:t>
      </w:r>
    </w:p>
    <w:p w14:paraId="16BC4E1D" w14:textId="77777777" w:rsidR="00350B12" w:rsidRDefault="00350B12" w:rsidP="00350B12">
      <w:pPr>
        <w:pStyle w:val="TitlePageSub-heading"/>
        <w:spacing w:line="240" w:lineRule="auto"/>
        <w:contextualSpacing/>
      </w:pPr>
      <w:r>
        <w:t>College of Business, Government and Law</w:t>
      </w:r>
    </w:p>
    <w:p w14:paraId="510D6828" w14:textId="77777777" w:rsidR="00350B12" w:rsidRPr="00043CFE" w:rsidRDefault="00350B12" w:rsidP="00350B12">
      <w:pPr>
        <w:pStyle w:val="TitlePageSub-heading"/>
        <w:spacing w:line="240" w:lineRule="auto"/>
        <w:contextualSpacing/>
      </w:pPr>
      <w:r w:rsidRPr="00043CFE">
        <w:t>Flinders University</w:t>
      </w:r>
    </w:p>
    <w:p w14:paraId="0A619429" w14:textId="77777777" w:rsidR="00350B12" w:rsidRPr="00043CFE" w:rsidRDefault="00350B12" w:rsidP="00350B12">
      <w:pPr>
        <w:pStyle w:val="TitlePageSub-heading"/>
        <w:spacing w:line="240" w:lineRule="auto"/>
        <w:contextualSpacing/>
      </w:pPr>
      <w:r w:rsidRPr="00043CFE">
        <w:t>GPO Box 2100</w:t>
      </w:r>
    </w:p>
    <w:p w14:paraId="5C7DA343" w14:textId="77777777" w:rsidR="00350B12" w:rsidRPr="00043CFE" w:rsidRDefault="00350B12" w:rsidP="00350B12">
      <w:pPr>
        <w:pStyle w:val="TitlePageSub-heading"/>
        <w:spacing w:line="240" w:lineRule="auto"/>
        <w:contextualSpacing/>
      </w:pPr>
      <w:r w:rsidRPr="00043CFE">
        <w:t>Adelaide SA 5001</w:t>
      </w:r>
    </w:p>
    <w:p w14:paraId="5AED2E49" w14:textId="77777777" w:rsidR="00350B12" w:rsidRDefault="00350B12" w:rsidP="00350B12">
      <w:pPr>
        <w:pStyle w:val="TitlePageSub-heading"/>
        <w:spacing w:line="240" w:lineRule="auto"/>
        <w:contextualSpacing/>
        <w:rPr>
          <w:b/>
        </w:rPr>
      </w:pPr>
      <w:r>
        <w:rPr>
          <w:b/>
        </w:rPr>
        <w:t xml:space="preserve">P: </w:t>
      </w:r>
      <w:r w:rsidRPr="00043CFE">
        <w:t xml:space="preserve">08 8201 </w:t>
      </w:r>
      <w:r>
        <w:t>5083</w:t>
      </w:r>
    </w:p>
    <w:p w14:paraId="58158467" w14:textId="77777777" w:rsidR="00350B12" w:rsidRPr="00043CFE" w:rsidRDefault="00350B12" w:rsidP="00350B12">
      <w:pPr>
        <w:pStyle w:val="TitlePageSub-heading"/>
        <w:rPr>
          <w:b/>
        </w:rPr>
      </w:pPr>
      <w:r>
        <w:rPr>
          <w:b/>
        </w:rPr>
        <w:t xml:space="preserve">E: </w:t>
      </w:r>
      <w:r>
        <w:t>aiti</w:t>
      </w:r>
      <w:r w:rsidRPr="00043CFE">
        <w:t>@flinders.edu.au</w:t>
      </w:r>
    </w:p>
    <w:sectPr w:rsidR="00350B12" w:rsidRPr="00043CFE" w:rsidSect="00D54BC7">
      <w:headerReference w:type="default" r:id="rId123"/>
      <w:footerReference w:type="default" r:id="rId124"/>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3DA17" w14:textId="77777777" w:rsidR="00884FE3" w:rsidRDefault="00884FE3" w:rsidP="00C64FBB">
      <w:r>
        <w:separator/>
      </w:r>
    </w:p>
  </w:endnote>
  <w:endnote w:type="continuationSeparator" w:id="0">
    <w:p w14:paraId="425112EC" w14:textId="77777777" w:rsidR="00884FE3" w:rsidRDefault="00884FE3" w:rsidP="00C64FBB">
      <w:r>
        <w:continuationSeparator/>
      </w:r>
    </w:p>
  </w:endnote>
  <w:endnote w:type="continuationNotice" w:id="1">
    <w:p w14:paraId="7B07757F" w14:textId="77777777" w:rsidR="00884FE3" w:rsidRDefault="00884F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elvetica Neue LT">
    <w:charset w:val="00"/>
    <w:family w:val="auto"/>
    <w:pitch w:val="variable"/>
    <w:sig w:usb0="E50002FF" w:usb1="500079DB" w:usb2="00000010" w:usb3="00000000" w:csb0="00000001" w:csb1="00000000"/>
  </w:font>
  <w:font w:name="Swis721 Lt BT">
    <w:altName w:val="Arial"/>
    <w:panose1 w:val="00000000000000000000"/>
    <w:charset w:val="00"/>
    <w:family w:val="auto"/>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FFA62" w14:textId="77777777" w:rsidR="00E45049" w:rsidRPr="00D768EF" w:rsidRDefault="00E45049" w:rsidP="002929B4">
    <w:pPr>
      <w:pStyle w:val="Footer"/>
    </w:pPr>
    <w:r w:rsidRPr="000A4C96">
      <w:fldChar w:fldCharType="begin"/>
    </w:r>
    <w:r w:rsidRPr="000A4C96">
      <w:instrText xml:space="preserve"> PAGE   \* MERGEFORMAT </w:instrText>
    </w:r>
    <w:r w:rsidRPr="000A4C96">
      <w:fldChar w:fldCharType="separate"/>
    </w:r>
    <w:r>
      <w:rPr>
        <w:noProof/>
      </w:rPr>
      <w:t>i</w:t>
    </w:r>
    <w:r w:rsidRPr="000A4C9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rPr>
      <w:id w:val="-199245689"/>
      <w:docPartObj>
        <w:docPartGallery w:val="Page Numbers (Bottom of Page)"/>
        <w:docPartUnique/>
      </w:docPartObj>
    </w:sdtPr>
    <w:sdtEndPr>
      <w:rPr>
        <w:i w:val="0"/>
        <w:noProof/>
      </w:rPr>
    </w:sdtEndPr>
    <w:sdtContent>
      <w:sdt>
        <w:sdtPr>
          <w:rPr>
            <w:b/>
            <w:i/>
            <w:sz w:val="22"/>
          </w:rPr>
          <w:id w:val="1915276923"/>
          <w:docPartObj>
            <w:docPartGallery w:val="Page Numbers (Bottom of Page)"/>
            <w:docPartUnique/>
          </w:docPartObj>
        </w:sdtPr>
        <w:sdtEndPr>
          <w:rPr>
            <w:b w:val="0"/>
            <w:i w:val="0"/>
            <w:noProof/>
            <w:sz w:val="16"/>
          </w:rPr>
        </w:sdtEndPr>
        <w:sdtContent>
          <w:p w14:paraId="756F24B2" w14:textId="3A190EE4" w:rsidR="00E45049" w:rsidRDefault="00E45049" w:rsidP="002867FD">
            <w:pPr>
              <w:pStyle w:val="Footer"/>
              <w:jc w:val="right"/>
              <w:rPr>
                <w:b/>
                <w:i/>
                <w:sz w:val="22"/>
              </w:rPr>
            </w:pPr>
            <w:r w:rsidRPr="00FA1F85">
              <w:rPr>
                <w:noProof/>
                <w:sz w:val="16"/>
                <w:lang w:eastAsia="en-AU"/>
              </w:rPr>
              <w:drawing>
                <wp:anchor distT="0" distB="0" distL="114300" distR="114300" simplePos="0" relativeHeight="251658241" behindDoc="1" locked="0" layoutInCell="1" allowOverlap="1" wp14:anchorId="6A0DAA3F" wp14:editId="0FD6E024">
                  <wp:simplePos x="0" y="0"/>
                  <wp:positionH relativeFrom="column">
                    <wp:posOffset>5106670</wp:posOffset>
                  </wp:positionH>
                  <wp:positionV relativeFrom="paragraph">
                    <wp:posOffset>-315595</wp:posOffset>
                  </wp:positionV>
                  <wp:extent cx="1135380" cy="1207135"/>
                  <wp:effectExtent l="0" t="0" r="7620" b="0"/>
                  <wp:wrapTight wrapText="bothSides">
                    <wp:wrapPolygon edited="0">
                      <wp:start x="0" y="0"/>
                      <wp:lineTo x="0" y="21134"/>
                      <wp:lineTo x="21383" y="21134"/>
                      <wp:lineTo x="21383"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13190" t="6669"/>
                          <a:stretch/>
                        </pic:blipFill>
                        <pic:spPr bwMode="auto">
                          <a:xfrm>
                            <a:off x="0" y="0"/>
                            <a:ext cx="113538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22"/>
                <w:lang w:eastAsia="en-AU"/>
              </w:rPr>
              <mc:AlternateContent>
                <mc:Choice Requires="wps">
                  <w:drawing>
                    <wp:anchor distT="0" distB="0" distL="114300" distR="114300" simplePos="0" relativeHeight="251658246" behindDoc="0" locked="0" layoutInCell="1" allowOverlap="1" wp14:anchorId="6F716759" wp14:editId="41618478">
                      <wp:simplePos x="0" y="0"/>
                      <wp:positionH relativeFrom="column">
                        <wp:posOffset>0</wp:posOffset>
                      </wp:positionH>
                      <wp:positionV relativeFrom="paragraph">
                        <wp:posOffset>135255</wp:posOffset>
                      </wp:positionV>
                      <wp:extent cx="283210" cy="0"/>
                      <wp:effectExtent l="0" t="19050" r="21590" b="1905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111F27" id="Straight Connector 10" o:spid="_x0000_s1026" alt="&quot;&quot;"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65pt" to="22.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" strokecolor="#1a5d9b [3204]" strokeweight="3pt"/>
                  </w:pict>
                </mc:Fallback>
              </mc:AlternateContent>
            </w:r>
          </w:p>
          <w:p w14:paraId="43DFC92F" w14:textId="77777777" w:rsidR="00E45049" w:rsidRPr="00FA1F85" w:rsidRDefault="00E45049" w:rsidP="002867FD">
            <w:pPr>
              <w:pStyle w:val="Footer"/>
              <w:rPr>
                <w:b/>
                <w:i/>
                <w:noProof/>
                <w:sz w:val="22"/>
                <w:lang w:eastAsia="en-AU"/>
              </w:rPr>
            </w:pPr>
            <w:r w:rsidRPr="00FA1F85">
              <w:rPr>
                <w:b/>
                <w:i/>
                <w:sz w:val="22"/>
              </w:rPr>
              <w:fldChar w:fldCharType="begin"/>
            </w:r>
            <w:r w:rsidRPr="00FA1F85">
              <w:rPr>
                <w:b/>
                <w:i/>
                <w:sz w:val="22"/>
              </w:rPr>
              <w:instrText xml:space="preserve"> PAGE   \* MERGEFORMAT </w:instrText>
            </w:r>
            <w:r w:rsidRPr="00FA1F85">
              <w:rPr>
                <w:b/>
                <w:i/>
                <w:sz w:val="22"/>
              </w:rPr>
              <w:fldChar w:fldCharType="separate"/>
            </w:r>
            <w:r>
              <w:rPr>
                <w:b/>
                <w:i/>
                <w:noProof/>
                <w:sz w:val="22"/>
              </w:rPr>
              <w:t>6</w:t>
            </w:r>
            <w:r w:rsidRPr="00FA1F85">
              <w:rPr>
                <w:b/>
                <w:i/>
                <w:noProof/>
                <w:sz w:val="22"/>
              </w:rPr>
              <w:fldChar w:fldCharType="end"/>
            </w:r>
          </w:p>
          <w:p w14:paraId="7B35E81D" w14:textId="60701BF9" w:rsidR="00E45049" w:rsidRPr="002867FD" w:rsidRDefault="00E45049" w:rsidP="002867FD">
            <w:pPr>
              <w:pStyle w:val="Footer"/>
              <w:rPr>
                <w:noProof/>
              </w:rPr>
            </w:pPr>
            <w:r w:rsidRPr="00FA1F85">
              <w:rPr>
                <w:i/>
                <w:sz w:val="16"/>
              </w:rPr>
              <w:t>AITI (20</w:t>
            </w:r>
            <w:r>
              <w:rPr>
                <w:i/>
                <w:sz w:val="16"/>
              </w:rPr>
              <w:t>21</w:t>
            </w:r>
            <w:r w:rsidRPr="00FA1F85">
              <w:rPr>
                <w:i/>
                <w:sz w:val="16"/>
              </w:rPr>
              <w:t>)</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0A60" w14:textId="77777777" w:rsidR="00E45049" w:rsidRPr="00FA1F85" w:rsidRDefault="00E45049" w:rsidP="002867FD">
    <w:pPr>
      <w:pStyle w:val="Footer"/>
      <w:jc w:val="right"/>
      <w:rPr>
        <w:b/>
        <w:i/>
        <w:noProof/>
        <w:sz w:val="22"/>
        <w:lang w:eastAsia="en-AU"/>
      </w:rPr>
    </w:pPr>
    <w:r>
      <w:rPr>
        <w:b/>
        <w:i/>
        <w:noProof/>
        <w:sz w:val="22"/>
        <w:lang w:eastAsia="en-AU"/>
      </w:rPr>
      <mc:AlternateContent>
        <mc:Choice Requires="wps">
          <w:drawing>
            <wp:anchor distT="0" distB="0" distL="114300" distR="114300" simplePos="0" relativeHeight="251658240" behindDoc="0" locked="0" layoutInCell="1" allowOverlap="1" wp14:anchorId="734903EE" wp14:editId="5523BCB2">
              <wp:simplePos x="0" y="0"/>
              <wp:positionH relativeFrom="column">
                <wp:posOffset>5487035</wp:posOffset>
              </wp:positionH>
              <wp:positionV relativeFrom="paragraph">
                <wp:posOffset>-38735</wp:posOffset>
              </wp:positionV>
              <wp:extent cx="283210" cy="0"/>
              <wp:effectExtent l="0" t="19050" r="21590" b="19050"/>
              <wp:wrapNone/>
              <wp:docPr id="82" name="Straight Connector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E1AD9C" id="Straight Connector 82"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05pt,-3.05pt" to="454.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" strokecolor="#1a5d9b [3204]" strokeweight="3pt"/>
          </w:pict>
        </mc:Fallback>
      </mc:AlternateContent>
    </w:r>
    <w:r w:rsidRPr="00FA1F85">
      <w:rPr>
        <w:b/>
        <w:i/>
        <w:sz w:val="22"/>
      </w:rPr>
      <w:fldChar w:fldCharType="begin"/>
    </w:r>
    <w:r w:rsidRPr="00FA1F85">
      <w:rPr>
        <w:b/>
        <w:i/>
        <w:sz w:val="22"/>
      </w:rPr>
      <w:instrText xml:space="preserve"> PAGE   \* MERGEFORMAT </w:instrText>
    </w:r>
    <w:r w:rsidRPr="00FA1F85">
      <w:rPr>
        <w:b/>
        <w:i/>
        <w:sz w:val="22"/>
      </w:rPr>
      <w:fldChar w:fldCharType="separate"/>
    </w:r>
    <w:r>
      <w:rPr>
        <w:b/>
        <w:i/>
        <w:noProof/>
        <w:sz w:val="22"/>
      </w:rPr>
      <w:t>xi</w:t>
    </w:r>
    <w:r w:rsidRPr="00FA1F85">
      <w:rPr>
        <w:b/>
        <w:i/>
        <w:noProof/>
        <w:sz w:val="22"/>
      </w:rPr>
      <w:fldChar w:fldCharType="end"/>
    </w:r>
    <w:r w:rsidRPr="00FA1F85">
      <w:rPr>
        <w:b/>
        <w:i/>
        <w:noProof/>
        <w:sz w:val="22"/>
        <w:lang w:eastAsia="en-AU"/>
      </w:rPr>
      <w:t xml:space="preserve"> </w:t>
    </w:r>
  </w:p>
  <w:p w14:paraId="51B5D80B" w14:textId="3C4CB279" w:rsidR="00E45049" w:rsidRPr="00790F94" w:rsidRDefault="00E45049" w:rsidP="00790F94">
    <w:pPr>
      <w:pStyle w:val="Footer"/>
      <w:jc w:val="right"/>
      <w:rPr>
        <w:i/>
        <w:sz w:val="16"/>
      </w:rPr>
    </w:pPr>
    <w:r w:rsidRPr="00FA1F85">
      <w:rPr>
        <w:i/>
        <w:sz w:val="16"/>
      </w:rPr>
      <w:t>AITI (20</w:t>
    </w:r>
    <w:r>
      <w:rPr>
        <w:i/>
        <w:sz w:val="16"/>
      </w:rPr>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i/>
        <w:sz w:val="22"/>
      </w:rPr>
      <w:id w:val="-339316535"/>
      <w:docPartObj>
        <w:docPartGallery w:val="Page Numbers (Bottom of Page)"/>
        <w:docPartUnique/>
      </w:docPartObj>
    </w:sdtPr>
    <w:sdtEndPr>
      <w:rPr>
        <w:b w:val="0"/>
        <w:i w:val="0"/>
        <w:noProof/>
        <w:sz w:val="16"/>
      </w:rPr>
    </w:sdtEndPr>
    <w:sdtContent>
      <w:p w14:paraId="3E1E45C0" w14:textId="77777777" w:rsidR="00E45049" w:rsidRPr="00FA1F85" w:rsidRDefault="00E45049" w:rsidP="00FC07EE">
        <w:pPr>
          <w:pStyle w:val="Footer"/>
          <w:tabs>
            <w:tab w:val="center" w:pos="4513"/>
            <w:tab w:val="right" w:pos="9026"/>
          </w:tabs>
          <w:jc w:val="right"/>
          <w:rPr>
            <w:b/>
            <w:i/>
            <w:noProof/>
            <w:sz w:val="22"/>
            <w:lang w:eastAsia="en-AU"/>
          </w:rPr>
        </w:pPr>
        <w:r>
          <w:rPr>
            <w:b/>
            <w:i/>
            <w:sz w:val="22"/>
          </w:rPr>
          <w:tab/>
        </w:r>
        <w:r>
          <w:rPr>
            <w:b/>
            <w:i/>
            <w:sz w:val="22"/>
          </w:rPr>
          <w:tab/>
        </w:r>
        <w:r>
          <w:rPr>
            <w:b/>
            <w:i/>
            <w:noProof/>
            <w:sz w:val="22"/>
            <w:lang w:eastAsia="en-AU"/>
          </w:rPr>
          <mc:AlternateContent>
            <mc:Choice Requires="wps">
              <w:drawing>
                <wp:anchor distT="0" distB="0" distL="114300" distR="114300" simplePos="0" relativeHeight="251658247" behindDoc="0" locked="0" layoutInCell="1" allowOverlap="1" wp14:anchorId="595059E8" wp14:editId="570ACEFB">
                  <wp:simplePos x="0" y="0"/>
                  <wp:positionH relativeFrom="column">
                    <wp:posOffset>5487035</wp:posOffset>
                  </wp:positionH>
                  <wp:positionV relativeFrom="paragraph">
                    <wp:posOffset>-38735</wp:posOffset>
                  </wp:positionV>
                  <wp:extent cx="283210" cy="0"/>
                  <wp:effectExtent l="0" t="19050" r="21590" b="19050"/>
                  <wp:wrapNone/>
                  <wp:docPr id="65" name="Straight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1FC248" id="Straight Connector 65" o:spid="_x0000_s1026" alt="&quot;&quot;"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05pt,-3.05pt" to="454.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" strokecolor="#1a5d9b [3204]" strokeweight="3pt"/>
              </w:pict>
            </mc:Fallback>
          </mc:AlternateContent>
        </w:r>
        <w:r w:rsidRPr="00FA1F85">
          <w:rPr>
            <w:b/>
            <w:i/>
            <w:sz w:val="22"/>
          </w:rPr>
          <w:fldChar w:fldCharType="begin"/>
        </w:r>
        <w:r w:rsidRPr="00FA1F85">
          <w:rPr>
            <w:b/>
            <w:i/>
            <w:sz w:val="22"/>
          </w:rPr>
          <w:instrText xml:space="preserve"> PAGE   \* MERGEFORMAT </w:instrText>
        </w:r>
        <w:r w:rsidRPr="00FA1F85">
          <w:rPr>
            <w:b/>
            <w:i/>
            <w:sz w:val="22"/>
          </w:rPr>
          <w:fldChar w:fldCharType="separate"/>
        </w:r>
        <w:r>
          <w:rPr>
            <w:b/>
            <w:i/>
            <w:noProof/>
            <w:sz w:val="22"/>
          </w:rPr>
          <w:t>7</w:t>
        </w:r>
        <w:r w:rsidRPr="00FA1F85">
          <w:rPr>
            <w:b/>
            <w:i/>
            <w:noProof/>
            <w:sz w:val="22"/>
          </w:rPr>
          <w:fldChar w:fldCharType="end"/>
        </w:r>
      </w:p>
      <w:p w14:paraId="2A66AA5F" w14:textId="22A1EAC5" w:rsidR="00E45049" w:rsidRPr="00FC07EE" w:rsidRDefault="00E45049" w:rsidP="00FC07EE">
        <w:pPr>
          <w:pStyle w:val="Footer"/>
          <w:jc w:val="right"/>
          <w:rPr>
            <w:noProof/>
            <w:sz w:val="16"/>
          </w:rPr>
        </w:pPr>
        <w:r w:rsidRPr="00FA1F85">
          <w:rPr>
            <w:i/>
            <w:sz w:val="16"/>
          </w:rPr>
          <w:t>AITI (20</w:t>
        </w:r>
        <w:r>
          <w:rPr>
            <w:i/>
            <w:sz w:val="16"/>
          </w:rPr>
          <w:t>21</w:t>
        </w:r>
        <w:r w:rsidRPr="00FA1F85">
          <w:rPr>
            <w:i/>
            <w:sz w:val="16"/>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i/>
        <w:sz w:val="22"/>
      </w:rPr>
      <w:id w:val="1342199166"/>
      <w:docPartObj>
        <w:docPartGallery w:val="Page Numbers (Bottom of Page)"/>
        <w:docPartUnique/>
      </w:docPartObj>
    </w:sdtPr>
    <w:sdtEndPr>
      <w:rPr>
        <w:b w:val="0"/>
        <w:i w:val="0"/>
        <w:noProof/>
        <w:sz w:val="16"/>
      </w:rPr>
    </w:sdtEndPr>
    <w:sdtContent>
      <w:p w14:paraId="6587E31A" w14:textId="3F82FD3D" w:rsidR="00E45049" w:rsidRPr="00FA1F85" w:rsidRDefault="00E45049" w:rsidP="00D54BC7">
        <w:pPr>
          <w:pStyle w:val="Footer"/>
          <w:tabs>
            <w:tab w:val="center" w:pos="4513"/>
            <w:tab w:val="right" w:pos="9026"/>
          </w:tabs>
          <w:jc w:val="right"/>
          <w:rPr>
            <w:i/>
            <w:sz w:val="16"/>
          </w:rPr>
        </w:pPr>
        <w:r w:rsidRPr="00EE1B24">
          <w:rPr>
            <w:noProof/>
            <w:sz w:val="16"/>
            <w:lang w:eastAsia="en-AU"/>
          </w:rPr>
          <w:drawing>
            <wp:anchor distT="0" distB="0" distL="114300" distR="114300" simplePos="0" relativeHeight="251658243" behindDoc="1" locked="0" layoutInCell="1" allowOverlap="1" wp14:anchorId="694F8179" wp14:editId="1F39F04B">
              <wp:simplePos x="0" y="0"/>
              <wp:positionH relativeFrom="column">
                <wp:posOffset>4828540</wp:posOffset>
              </wp:positionH>
              <wp:positionV relativeFrom="paragraph">
                <wp:posOffset>-953770</wp:posOffset>
              </wp:positionV>
              <wp:extent cx="1555750" cy="1449070"/>
              <wp:effectExtent l="0" t="0" r="635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449070"/>
                      </a:xfrm>
                      <a:prstGeom prst="rect">
                        <a:avLst/>
                      </a:prstGeom>
                    </pic:spPr>
                  </pic:pic>
                </a:graphicData>
              </a:graphic>
              <wp14:sizeRelH relativeFrom="page">
                <wp14:pctWidth>0</wp14:pctWidth>
              </wp14:sizeRelH>
              <wp14:sizeRelV relativeFrom="page">
                <wp14:pctHeight>0</wp14:pctHeight>
              </wp14:sizeRelV>
            </wp:anchor>
          </w:drawing>
        </w:r>
        <w:r>
          <w:rPr>
            <w:b/>
            <w:i/>
            <w:sz w:val="22"/>
          </w:rPr>
          <w:tab/>
        </w:r>
        <w:r>
          <w:rPr>
            <w:b/>
            <w:i/>
            <w:sz w:val="22"/>
          </w:rPr>
          <w:tab/>
        </w:r>
      </w:p>
      <w:p w14:paraId="292044BF" w14:textId="77777777" w:rsidR="00E45049" w:rsidRPr="00FC07EE" w:rsidRDefault="00CD5EE5" w:rsidP="00EE1B24">
        <w:pPr>
          <w:pStyle w:val="Footer"/>
          <w:rPr>
            <w:noProof/>
            <w:sz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091AE" w14:textId="77777777" w:rsidR="00884FE3" w:rsidRDefault="00884FE3" w:rsidP="00C64FBB">
      <w:r>
        <w:separator/>
      </w:r>
    </w:p>
  </w:footnote>
  <w:footnote w:type="continuationSeparator" w:id="0">
    <w:p w14:paraId="087B678B" w14:textId="77777777" w:rsidR="00884FE3" w:rsidRDefault="00884FE3" w:rsidP="00C64FBB">
      <w:r>
        <w:continuationSeparator/>
      </w:r>
    </w:p>
  </w:footnote>
  <w:footnote w:type="continuationNotice" w:id="1">
    <w:p w14:paraId="0C3F58CE" w14:textId="77777777" w:rsidR="00884FE3" w:rsidRDefault="00884FE3">
      <w:pPr>
        <w:spacing w:before="0" w:line="240" w:lineRule="auto"/>
      </w:pPr>
    </w:p>
  </w:footnote>
  <w:footnote w:id="2">
    <w:p w14:paraId="61AB5C89" w14:textId="21825C22" w:rsidR="00E45049" w:rsidRDefault="00E45049">
      <w:pPr>
        <w:pStyle w:val="FootnoteText"/>
      </w:pPr>
      <w:r>
        <w:rPr>
          <w:rStyle w:val="FootnoteReference"/>
        </w:rPr>
        <w:footnoteRef/>
      </w:r>
      <w:r>
        <w:t xml:space="preserve"> Regional Australia is defined as all of Australia excluding </w:t>
      </w:r>
      <w:r w:rsidRPr="0030282A">
        <w:t>Sydney, Newcastle, the Central Coast and Wollongong</w:t>
      </w:r>
      <w:r>
        <w:t xml:space="preserve">; the Greater Brisbane area and the Gold Coast; the Melbourne metropolitan area; and Perth and surrounding areas. </w:t>
      </w:r>
    </w:p>
  </w:footnote>
  <w:footnote w:id="3">
    <w:p w14:paraId="1B99AA42" w14:textId="760A4C89" w:rsidR="00E45049" w:rsidRDefault="00E45049">
      <w:pPr>
        <w:pStyle w:val="FootnoteText"/>
      </w:pPr>
      <w:r>
        <w:rPr>
          <w:rStyle w:val="FootnoteReference"/>
        </w:rPr>
        <w:footnoteRef/>
      </w:r>
      <w:r>
        <w:t xml:space="preserve"> </w:t>
      </w:r>
      <w:r w:rsidRPr="7EF40915">
        <w:rPr>
          <w:i/>
          <w:iCs/>
        </w:rPr>
        <w:t>A National Disgrace: The Exploitation of Temporary Work Visa Holders</w:t>
      </w:r>
    </w:p>
  </w:footnote>
  <w:footnote w:id="4">
    <w:p w14:paraId="2FB8F7C3" w14:textId="2D0B688B" w:rsidR="00E45049" w:rsidRDefault="00E45049" w:rsidP="00E15A16">
      <w:pPr>
        <w:pStyle w:val="FootnoteText"/>
      </w:pPr>
      <w:r>
        <w:rPr>
          <w:rStyle w:val="FootnoteReference"/>
        </w:rPr>
        <w:footnoteRef/>
      </w:r>
      <w:r>
        <w:t xml:space="preserve"> Section </w:t>
      </w:r>
      <w:r>
        <w:fldChar w:fldCharType="begin"/>
      </w:r>
      <w:r>
        <w:instrText xml:space="preserve"> REF _Ref84505173 \r \h </w:instrText>
      </w:r>
      <w:r>
        <w:fldChar w:fldCharType="separate"/>
      </w:r>
      <w:r w:rsidR="00F22012">
        <w:t>2</w:t>
      </w:r>
      <w:r>
        <w:fldChar w:fldCharType="end"/>
      </w:r>
      <w:r>
        <w:t xml:space="preserve"> provides an overview of the WHM program.</w:t>
      </w:r>
    </w:p>
  </w:footnote>
  <w:footnote w:id="5">
    <w:p w14:paraId="16E41CDC" w14:textId="77777777" w:rsidR="00E45049" w:rsidRDefault="00E45049" w:rsidP="00E15A16">
      <w:pPr>
        <w:pStyle w:val="FootnoteText"/>
      </w:pPr>
      <w:r>
        <w:rPr>
          <w:rStyle w:val="FootnoteReference"/>
        </w:rPr>
        <w:footnoteRef/>
      </w:r>
      <w:r>
        <w:t xml:space="preserve"> </w:t>
      </w:r>
      <w:hyperlink r:id="rId1" w:history="1">
        <w:r w:rsidRPr="00A30FD4">
          <w:rPr>
            <w:rStyle w:val="Hyperlink"/>
          </w:rPr>
          <w:t>https://www.who.int/emergencies/diseases/novel-coronavirus-2019/interactive-timeline#</w:t>
        </w:r>
      </w:hyperlink>
      <w:r w:rsidRPr="00D707A4">
        <w:t>!</w:t>
      </w:r>
      <w:r>
        <w:t xml:space="preserve"> </w:t>
      </w:r>
    </w:p>
  </w:footnote>
  <w:footnote w:id="6">
    <w:p w14:paraId="4833EB08" w14:textId="77777777" w:rsidR="00E45049" w:rsidRDefault="00E45049" w:rsidP="00E15A16">
      <w:pPr>
        <w:pStyle w:val="FootnoteText"/>
      </w:pPr>
      <w:r>
        <w:rPr>
          <w:rStyle w:val="FootnoteReference"/>
        </w:rPr>
        <w:footnoteRef/>
      </w:r>
      <w:r>
        <w:t xml:space="preserve"> </w:t>
      </w:r>
      <w:hyperlink r:id="rId2" w:history="1">
        <w:r w:rsidRPr="00A30FD4">
          <w:rPr>
            <w:rStyle w:val="Hyperlink"/>
          </w:rPr>
          <w:t>https://www.smartraveller.gov.au/news-and-updates/covid-19-travel-advice-level-changes</w:t>
        </w:r>
      </w:hyperlink>
      <w:r>
        <w:t xml:space="preserve"> </w:t>
      </w:r>
    </w:p>
  </w:footnote>
  <w:footnote w:id="7">
    <w:p w14:paraId="0ACC6ADA" w14:textId="77777777" w:rsidR="00E45049" w:rsidRDefault="00E45049" w:rsidP="00E15A16">
      <w:pPr>
        <w:pStyle w:val="FootnoteText"/>
      </w:pPr>
      <w:r>
        <w:rPr>
          <w:rStyle w:val="FootnoteReference"/>
        </w:rPr>
        <w:footnoteRef/>
      </w:r>
      <w:r>
        <w:t xml:space="preserve"> We note that current national data about unemployment rates, workforce shortages, skills deficits and job vacancies have been impacted by business and other closures resulting from the nation-wide lockdown and subsequent rolling lockdowns in the states and territories. Data about how WHMs are fitting into the broader Australian job market is therefore unavailable. </w:t>
      </w:r>
    </w:p>
  </w:footnote>
  <w:footnote w:id="8">
    <w:p w14:paraId="50789F28" w14:textId="63A5E5D5" w:rsidR="00E45049" w:rsidRDefault="00E45049">
      <w:pPr>
        <w:pStyle w:val="FootnoteText"/>
      </w:pPr>
      <w:r>
        <w:rPr>
          <w:rStyle w:val="FootnoteReference"/>
        </w:rPr>
        <w:footnoteRef/>
      </w:r>
      <w:r>
        <w:t xml:space="preserve"> We note that surveyed WHMs visas had effectively expired before the Australian Government implemented strict COVID-19 border control measures. However, employers were interviewed early 2021, with their experience reflecting the impact of these closures.</w:t>
      </w:r>
    </w:p>
  </w:footnote>
  <w:footnote w:id="9">
    <w:p w14:paraId="3CF6517C" w14:textId="1D28599A" w:rsidR="00E45049" w:rsidRDefault="00E45049">
      <w:pPr>
        <w:pStyle w:val="FootnoteText"/>
      </w:pPr>
      <w:r w:rsidRPr="00AA3C95">
        <w:rPr>
          <w:rStyle w:val="FootnoteReference"/>
        </w:rPr>
        <w:footnoteRef/>
      </w:r>
      <w:r w:rsidRPr="00AA3C95">
        <w:t xml:space="preserve"> Austrade provided details of all eligible WHMs (‘population’) whose entry visa expiry date occurred between 1 March 2019 and 29 Febru</w:t>
      </w:r>
      <w:r w:rsidRPr="0076001F">
        <w:t>ary 2020.</w:t>
      </w:r>
    </w:p>
  </w:footnote>
  <w:footnote w:id="10">
    <w:p w14:paraId="2E649EDB" w14:textId="2071064D" w:rsidR="00E45049" w:rsidRDefault="00E45049">
      <w:pPr>
        <w:pStyle w:val="FootnoteText"/>
      </w:pPr>
      <w:r>
        <w:rPr>
          <w:rStyle w:val="FootnoteReference"/>
        </w:rPr>
        <w:footnoteRef/>
      </w:r>
      <w:r>
        <w:t xml:space="preserve"> Top 10 countries discussed in this report present the countries with the most respondents to the particular question. These usually, but not always reflect those presented in </w:t>
      </w:r>
      <w:r>
        <w:fldChar w:fldCharType="begin"/>
      </w:r>
      <w:r>
        <w:instrText xml:space="preserve"> REF _Ref56166089 \h </w:instrText>
      </w:r>
      <w:r>
        <w:fldChar w:fldCharType="separate"/>
      </w:r>
      <w:r w:rsidR="00F22012" w:rsidRPr="00D338FC">
        <w:t xml:space="preserve">Table </w:t>
      </w:r>
      <w:r w:rsidR="00F22012">
        <w:rPr>
          <w:noProof/>
        </w:rPr>
        <w:t>4</w:t>
      </w:r>
      <w:r w:rsidR="00F22012">
        <w:noBreakHyphen/>
      </w:r>
      <w:r w:rsidR="00F22012">
        <w:rPr>
          <w:noProof/>
        </w:rPr>
        <w:t>3</w:t>
      </w:r>
      <w:r>
        <w:fldChar w:fldCharType="end"/>
      </w:r>
      <w:r>
        <w:t>.</w:t>
      </w:r>
    </w:p>
  </w:footnote>
  <w:footnote w:id="11">
    <w:p w14:paraId="69570C07" w14:textId="33BB2C9F" w:rsidR="00E45049" w:rsidRDefault="00E45049">
      <w:pPr>
        <w:pStyle w:val="FootnoteText"/>
      </w:pPr>
      <w:r>
        <w:rPr>
          <w:rStyle w:val="FootnoteReference"/>
        </w:rPr>
        <w:footnoteRef/>
      </w:r>
      <w:r>
        <w:t xml:space="preserve"> This figure should not be interpreted as the employment rate of WHMs. It is the proportion of </w:t>
      </w:r>
      <w:r w:rsidRPr="00D31461">
        <w:t>all</w:t>
      </w:r>
      <w:r>
        <w:t xml:space="preserve"> </w:t>
      </w:r>
      <w:r w:rsidRPr="00D31461">
        <w:t>survey</w:t>
      </w:r>
      <w:r>
        <w:t xml:space="preserve"> participants who responded that they spent time working in Australia. An individual who did not answer this question cannot be differentiated from an individual who did not work while in Australia. In this case, valid data was received from 12,029 WHMs and was included in this analysis. Data may be missing for a number of reasons (i.e. non-working, did not recall, skipped question, partial response, did not complete survey, etc)</w:t>
      </w:r>
    </w:p>
  </w:footnote>
  <w:footnote w:id="12">
    <w:p w14:paraId="75C042EF" w14:textId="72875108" w:rsidR="00E45049" w:rsidRDefault="00E45049">
      <w:pPr>
        <w:pStyle w:val="FootnoteText"/>
      </w:pPr>
      <w:r>
        <w:rPr>
          <w:rStyle w:val="FootnoteReference"/>
        </w:rPr>
        <w:footnoteRef/>
      </w:r>
      <w:r>
        <w:t xml:space="preserve"> Additional modelling of the decision to take employment whilst in Australia is shown in </w:t>
      </w:r>
      <w:r>
        <w:fldChar w:fldCharType="begin"/>
      </w:r>
      <w:r>
        <w:instrText xml:space="preserve"> REF _Ref69828109 \n \h </w:instrText>
      </w:r>
      <w:r>
        <w:fldChar w:fldCharType="separate"/>
      </w:r>
      <w:r w:rsidR="00F22012">
        <w:t>Appendix A</w:t>
      </w:r>
      <w:r>
        <w:fldChar w:fldCharType="end"/>
      </w:r>
      <w:r>
        <w:t>.</w:t>
      </w:r>
    </w:p>
  </w:footnote>
  <w:footnote w:id="13">
    <w:p w14:paraId="3A5715DE" w14:textId="30021C46" w:rsidR="00E45049" w:rsidRDefault="00E45049">
      <w:pPr>
        <w:pStyle w:val="FootnoteText"/>
      </w:pPr>
      <w:r>
        <w:rPr>
          <w:rStyle w:val="FootnoteReference"/>
        </w:rPr>
        <w:footnoteRef/>
      </w:r>
      <w:r>
        <w:t xml:space="preserve"> ‘</w:t>
      </w:r>
      <w:r>
        <w:rPr>
          <w:lang w:eastAsia="en-AU"/>
        </w:rPr>
        <w:t>Australian Capital Territory and other Territories’</w:t>
      </w:r>
      <w:r>
        <w:t xml:space="preserve"> will be referred as </w:t>
      </w:r>
      <w:r>
        <w:rPr>
          <w:lang w:eastAsia="en-AU"/>
        </w:rPr>
        <w:t xml:space="preserve">Australian Capital Territory or ACT </w:t>
      </w:r>
      <w:r>
        <w:t>for brevity as there were very few responses related to Other Territories.</w:t>
      </w:r>
    </w:p>
  </w:footnote>
  <w:footnote w:id="14">
    <w:p w14:paraId="3729A2CD" w14:textId="06287D80" w:rsidR="00E45049" w:rsidRDefault="00E45049">
      <w:pPr>
        <w:pStyle w:val="FootnoteText"/>
      </w:pPr>
      <w:r>
        <w:rPr>
          <w:rStyle w:val="FootnoteReference"/>
        </w:rPr>
        <w:footnoteRef/>
      </w:r>
      <w:r>
        <w:t xml:space="preserve"> Australian and New Zealand Standard Classification of Occupations.</w:t>
      </w:r>
    </w:p>
  </w:footnote>
  <w:footnote w:id="15">
    <w:p w14:paraId="69E95184" w14:textId="268EA0BE" w:rsidR="00E45049" w:rsidRDefault="00E45049">
      <w:pPr>
        <w:pStyle w:val="FootnoteText"/>
      </w:pPr>
      <w:r>
        <w:rPr>
          <w:rStyle w:val="FootnoteReference"/>
        </w:rPr>
        <w:footnoteRef/>
      </w:r>
      <w:r>
        <w:t xml:space="preserve"> Respondents were asked to identify their ANZSCO occupation from a modified industry grouping. The ANZSIC was not used due to difficulties in apportioning jobs (e.g. tourism) to a specific sector.</w:t>
      </w:r>
    </w:p>
  </w:footnote>
  <w:footnote w:id="16">
    <w:p w14:paraId="5CA7709B" w14:textId="7A4DFEA7" w:rsidR="00E45049" w:rsidRDefault="00E45049">
      <w:pPr>
        <w:pStyle w:val="FootnoteText"/>
      </w:pPr>
      <w:r>
        <w:rPr>
          <w:rStyle w:val="FootnoteReference"/>
        </w:rPr>
        <w:footnoteRef/>
      </w:r>
      <w:r>
        <w:t xml:space="preserve"> It is noteworthy that social media was in its relative infancy when Tan et al. </w:t>
      </w:r>
      <w:r>
        <w:fldChar w:fldCharType="begin"/>
      </w:r>
      <w:r>
        <w:instrText xml:space="preserve"> ADDIN EN.CITE &lt;EndNote&gt;&lt;Cite ExcludeAuth="1"&gt;&lt;Author&gt;Tan&lt;/Author&gt;&lt;Year&gt;2009&lt;/Year&gt;&lt;RecNum&gt;19&lt;/RecNum&gt;&lt;DisplayText&gt;(2009)&lt;/DisplayText&gt;&lt;record&gt;&lt;rec-number&gt;19&lt;/rec-number&gt;&lt;foreign-keys&gt;&lt;key app="EN" db-id="r5sv9zwer2dw2pexz935edzbrpsweevtw5ed" timestamp="1600062507"&gt;19&lt;/key&gt;&lt;/foreign-keys&gt;&lt;ref-type name="Report"&gt;27&lt;/ref-type&gt;&lt;contributors&gt;&lt;authors&gt;&lt;author&gt;Yan Tan&lt;/author&gt;&lt;author&gt;Sue Richardson&lt;/author&gt;&lt;author&gt;Laurence Lester&lt;/author&gt;&lt;author&gt;Tracy Bai&lt;/author&gt;&lt;author&gt;Lulu Sun&lt;/author&gt;&lt;/authors&gt;&lt;/contributors&gt;&lt;titles&gt;&lt;title&gt;Evaluation of Australia’s Working Holiday Maker (WHM) Program&lt;/title&gt;&lt;/titles&gt;&lt;dates&gt;&lt;year&gt;2009&lt;/year&gt;&lt;/dates&gt;&lt;pub-location&gt;Belconnen, ACT&lt;/pub-location&gt;&lt;publisher&gt;Department of Immigration and Citizenship&lt;/publisher&gt;&lt;urls&gt;&lt;/urls&gt;&lt;/record&gt;&lt;/Cite&gt;&lt;/EndNote&gt;</w:instrText>
      </w:r>
      <w:r>
        <w:fldChar w:fldCharType="separate"/>
      </w:r>
      <w:r>
        <w:rPr>
          <w:noProof/>
        </w:rPr>
        <w:t>(2009)</w:t>
      </w:r>
      <w:r>
        <w:fldChar w:fldCharType="end"/>
      </w:r>
      <w:r>
        <w:t xml:space="preserve"> conducted their WHM program evaluation and was not identified as a job-finding method </w:t>
      </w:r>
    </w:p>
  </w:footnote>
  <w:footnote w:id="17">
    <w:p w14:paraId="667E29D3" w14:textId="6F086C58" w:rsidR="00E45049" w:rsidRDefault="00E45049">
      <w:pPr>
        <w:pStyle w:val="FootnoteText"/>
      </w:pPr>
      <w:r>
        <w:rPr>
          <w:rStyle w:val="FootnoteReference"/>
        </w:rPr>
        <w:footnoteRef/>
      </w:r>
      <w:r>
        <w:t xml:space="preserve"> </w:t>
      </w:r>
      <w:hyperlink r:id="rId3" w:history="1">
        <w:r w:rsidRPr="005B630F">
          <w:rPr>
            <w:rStyle w:val="Hyperlink"/>
          </w:rPr>
          <w:t>https://www.fairwork.gov.au/pay/minimum-wages</w:t>
        </w:r>
      </w:hyperlink>
      <w:r>
        <w:t xml:space="preserve"> </w:t>
      </w:r>
    </w:p>
  </w:footnote>
  <w:footnote w:id="18">
    <w:p w14:paraId="63F1116E" w14:textId="485397E8" w:rsidR="00E45049" w:rsidRDefault="00E45049">
      <w:pPr>
        <w:pStyle w:val="FootnoteText"/>
      </w:pPr>
      <w:r>
        <w:rPr>
          <w:rStyle w:val="FootnoteReference"/>
        </w:rPr>
        <w:footnoteRef/>
      </w:r>
      <w:r>
        <w:t xml:space="preserve"> See </w:t>
      </w:r>
      <w:r>
        <w:fldChar w:fldCharType="begin"/>
      </w:r>
      <w:r>
        <w:instrText xml:space="preserve"> REF _Ref69828109 \r \h </w:instrText>
      </w:r>
      <w:r>
        <w:fldChar w:fldCharType="separate"/>
      </w:r>
      <w:r w:rsidR="00F22012">
        <w:t>Appendix A</w:t>
      </w:r>
      <w:r>
        <w:fldChar w:fldCharType="end"/>
      </w:r>
      <w:r>
        <w:t xml:space="preserve"> for a statistical analysis of the differences in hours worked across cohorts.</w:t>
      </w:r>
    </w:p>
  </w:footnote>
  <w:footnote w:id="19">
    <w:p w14:paraId="35ACB7EF" w14:textId="73975323" w:rsidR="00E45049" w:rsidRDefault="00E45049" w:rsidP="00B45229">
      <w:r>
        <w:rPr>
          <w:rStyle w:val="FootnoteReference"/>
        </w:rPr>
        <w:footnoteRef/>
      </w:r>
      <w:r>
        <w:t xml:space="preserve"> </w:t>
      </w:r>
      <w:r w:rsidRPr="00C66797">
        <w:rPr>
          <w:rFonts w:ascii="Arial" w:eastAsia="Arial" w:hAnsi="Arial" w:cs="Times New Roman"/>
          <w:sz w:val="18"/>
        </w:rPr>
        <w:t>Week</w:t>
      </w:r>
      <w:r>
        <w:rPr>
          <w:rFonts w:ascii="Arial" w:eastAsia="Arial" w:hAnsi="Arial" w:cs="Times New Roman"/>
          <w:sz w:val="18"/>
        </w:rPr>
        <w:t>ly pay is summarised here for the</w:t>
      </w:r>
      <w:r w:rsidRPr="00D73DB0">
        <w:rPr>
          <w:rFonts w:ascii="Arial" w:eastAsia="Arial" w:hAnsi="Arial" w:cs="Times New Roman"/>
          <w:sz w:val="18"/>
        </w:rPr>
        <w:t xml:space="preserve"> 90</w:t>
      </w:r>
      <w:r>
        <w:rPr>
          <w:rFonts w:ascii="Arial" w:eastAsia="Arial" w:hAnsi="Arial" w:cs="Times New Roman"/>
          <w:sz w:val="18"/>
        </w:rPr>
        <w:t>10</w:t>
      </w:r>
      <w:r w:rsidRPr="00D73DB0">
        <w:rPr>
          <w:rFonts w:ascii="Arial" w:eastAsia="Arial" w:hAnsi="Arial" w:cs="Times New Roman"/>
          <w:sz w:val="18"/>
        </w:rPr>
        <w:t xml:space="preserve"> WHMs </w:t>
      </w:r>
      <w:r>
        <w:rPr>
          <w:rFonts w:ascii="Arial" w:eastAsia="Arial" w:hAnsi="Arial" w:cs="Times New Roman"/>
          <w:sz w:val="18"/>
        </w:rPr>
        <w:t xml:space="preserve">who </w:t>
      </w:r>
      <w:r w:rsidRPr="00D73DB0">
        <w:rPr>
          <w:rFonts w:ascii="Arial" w:eastAsia="Arial" w:hAnsi="Arial" w:cs="Times New Roman"/>
          <w:sz w:val="18"/>
        </w:rPr>
        <w:t>reported (in all jobs in which they worked) both the number of hours they worked, and hourly rate of pay and had an average weekly pay of $1,565. Average weekly pay for males was $1,820, which was higher than the average weekly pay for females at $1,415. Average weekly pay increased with age. Those aged 18-19 years earnt the least per week on average at $950, followed by those aged 20-24 years who earnt on average $1,390 per week. WHMs aged 25-30 years were paid on average $1,730 per week, and those aged over 31 years were paid on average $1,670 per week. Of the top ten countries of citizenship, weekly pay was highest for WHMs from the United Kingdom at an average of $1,780, and lowest for those from Japan at an average of $1,055.</w:t>
      </w:r>
      <w:r>
        <w:t xml:space="preserve"> </w:t>
      </w:r>
    </w:p>
  </w:footnote>
  <w:footnote w:id="20">
    <w:p w14:paraId="51F45F1D" w14:textId="2080140A" w:rsidR="00E45049" w:rsidRDefault="00E45049">
      <w:pPr>
        <w:pStyle w:val="FootnoteText"/>
      </w:pPr>
      <w:r>
        <w:rPr>
          <w:rStyle w:val="FootnoteReference"/>
        </w:rPr>
        <w:footnoteRef/>
      </w:r>
      <w:r>
        <w:t xml:space="preserve"> This young cohort also provided fewer comprehensive data, resulting in 14.1% of average pay data being recorded as missing.</w:t>
      </w:r>
    </w:p>
  </w:footnote>
  <w:footnote w:id="21">
    <w:p w14:paraId="3A5F621E" w14:textId="5764ED2A" w:rsidR="00E45049" w:rsidRDefault="00E45049">
      <w:pPr>
        <w:pStyle w:val="FootnoteText"/>
      </w:pPr>
      <w:r>
        <w:rPr>
          <w:rStyle w:val="FootnoteReference"/>
        </w:rPr>
        <w:footnoteRef/>
      </w:r>
      <w:r>
        <w:t xml:space="preserve"> Data is rounded to the nearest $100.</w:t>
      </w:r>
    </w:p>
  </w:footnote>
  <w:footnote w:id="22">
    <w:p w14:paraId="265C3ABD" w14:textId="294910F3" w:rsidR="00E45049" w:rsidRDefault="00E45049" w:rsidP="00335426">
      <w:pPr>
        <w:pStyle w:val="FootnoteText"/>
      </w:pPr>
      <w:r>
        <w:rPr>
          <w:rStyle w:val="FootnoteReference"/>
        </w:rPr>
        <w:footnoteRef/>
      </w:r>
      <w:r>
        <w:t xml:space="preserve"> Note, only 37.4% (n=7,980) of WHMs provided valid information about their average weekly expenditure in at least one place of stay. We note, responses with regard to accommodation proved easiest for respondents and were answered more consistently. Estimates of transport spending tended to align with local transport expenses (i.e. local bus, train and petrol costs) rather than tickets between destinations. WHMs had difficulty providing estimates of weekly spending on entertainment, tourism, and bills resulting in significant missing data. </w:t>
      </w:r>
    </w:p>
  </w:footnote>
  <w:footnote w:id="23">
    <w:p w14:paraId="7CE78166" w14:textId="71C15476" w:rsidR="00E45049" w:rsidRDefault="00E45049">
      <w:pPr>
        <w:pStyle w:val="FootnoteText"/>
      </w:pPr>
      <w:r>
        <w:rPr>
          <w:rStyle w:val="FootnoteReference"/>
        </w:rPr>
        <w:footnoteRef/>
      </w:r>
      <w:r>
        <w:t xml:space="preserve"> These countries (</w:t>
      </w:r>
      <w:r w:rsidRPr="007169FB">
        <w:t>Sweden, Belgium and Slovenia</w:t>
      </w:r>
      <w:r>
        <w:t>) had a low number of survey respondents</w:t>
      </w:r>
      <w:r w:rsidRPr="007169FB">
        <w:t>.</w:t>
      </w:r>
    </w:p>
  </w:footnote>
  <w:footnote w:id="24">
    <w:p w14:paraId="39D9CD7D" w14:textId="78433A22" w:rsidR="00E45049" w:rsidRDefault="00E45049">
      <w:pPr>
        <w:pStyle w:val="FootnoteText"/>
      </w:pPr>
      <w:r>
        <w:rPr>
          <w:rStyle w:val="FootnoteReference"/>
        </w:rPr>
        <w:footnoteRef/>
      </w:r>
      <w:r>
        <w:t xml:space="preserve"> Statistical Area Level 2 (SA2) area is an Australian Bureau of Statistics geographic category. There are 2310 SA2 regions in Australia including special purpose regions. SA2s have populations generally between 3,000 and 25,000 persons, with smaller SA2s tending to be more remote </w:t>
      </w:r>
      <w:r>
        <w:fldChar w:fldCharType="begin"/>
      </w:r>
      <w:r>
        <w:instrText xml:space="preserve"> ADDIN EN.CITE &lt;EndNote&gt;&lt;Cite&gt;&lt;Author&gt;Australian Bureau of Statistics&lt;/Author&gt;&lt;Year&gt;2016&lt;/Year&gt;&lt;RecNum&gt;32&lt;/RecNum&gt;&lt;DisplayText&gt;(Australian Bureau of Statistics, 2016)&lt;/DisplayText&gt;&lt;record&gt;&lt;rec-number&gt;32&lt;/rec-number&gt;&lt;foreign-keys&gt;&lt;key app="EN" db-id="r5sv9zwer2dw2pexz935edzbrpsweevtw5ed" timestamp="1617688190"&gt;32&lt;/key&gt;&lt;/foreign-keys&gt;&lt;ref-type name="Web Page"&gt;12&lt;/ref-type&gt;&lt;contributors&gt;&lt;authors&gt;&lt;author&gt;Australian Bureau of Statistics,&lt;/author&gt;&lt;/authors&gt;&lt;/contributors&gt;&lt;titles&gt;&lt;title&gt;1270.0.55.001 - Australian Statistical Geography Standard (ASGS): Volume 1 - Main Structure and Greater Capital City Statistical Areas, July 2016  &lt;/title&gt;&lt;/titles&gt;&lt;volume&gt;2021&lt;/volume&gt;&lt;number&gt;6 April&lt;/number&gt;&lt;dates&gt;&lt;year&gt;2016&lt;/year&gt;&lt;/dates&gt;&lt;pub-location&gt;Canberra&lt;/pub-location&gt;&lt;publisher&gt;ABS&lt;/publisher&gt;&lt;urls&gt;&lt;related-urls&gt;&lt;url&gt;https://www.abs.gov.au&lt;/url&gt;&lt;/related-urls&gt;&lt;/urls&gt;&lt;/record&gt;&lt;/Cite&gt;&lt;/EndNote&gt;</w:instrText>
      </w:r>
      <w:r>
        <w:fldChar w:fldCharType="separate"/>
      </w:r>
      <w:r>
        <w:rPr>
          <w:noProof/>
        </w:rPr>
        <w:t>(Australian Bureau of Statistics, 2016)</w:t>
      </w:r>
      <w:r>
        <w:fldChar w:fldCharType="end"/>
      </w:r>
      <w:r>
        <w:t>.</w:t>
      </w:r>
    </w:p>
  </w:footnote>
  <w:footnote w:id="25">
    <w:p w14:paraId="7BB86CC4" w14:textId="48EFB5D5" w:rsidR="00E45049" w:rsidRDefault="00E45049">
      <w:pPr>
        <w:pStyle w:val="FootnoteText"/>
      </w:pPr>
      <w:r>
        <w:rPr>
          <w:rStyle w:val="FootnoteReference"/>
        </w:rPr>
        <w:footnoteRef/>
      </w:r>
      <w:r>
        <w:t xml:space="preserve"> The ‘main reason’ was identified where 60% or more of the visits were for a particular purpose (i.e. where 60% or more of the visits were for work, the area was classified as a primarily 'Work' destination) where the combined total of visits for work and tourism was 60% or more, the area was classified as a primarily 'Work and Tourism'.</w:t>
      </w:r>
    </w:p>
  </w:footnote>
  <w:footnote w:id="26">
    <w:p w14:paraId="10F44829" w14:textId="56174F95" w:rsidR="00E45049" w:rsidRDefault="00E45049">
      <w:pPr>
        <w:pStyle w:val="FootnoteText"/>
      </w:pPr>
      <w:r>
        <w:rPr>
          <w:rStyle w:val="FootnoteReference"/>
        </w:rPr>
        <w:footnoteRef/>
      </w:r>
      <w:r>
        <w:t xml:space="preserve"> 13,265 WHMs provided accommodation data.</w:t>
      </w:r>
    </w:p>
  </w:footnote>
  <w:footnote w:id="27">
    <w:p w14:paraId="09D8244C" w14:textId="3D21C7AA" w:rsidR="00E45049" w:rsidRDefault="00E45049">
      <w:pPr>
        <w:pStyle w:val="FootnoteText"/>
      </w:pPr>
      <w:r>
        <w:rPr>
          <w:rStyle w:val="FootnoteReference"/>
        </w:rPr>
        <w:footnoteRef/>
      </w:r>
      <w:r>
        <w:t xml:space="preserve"> Representing 89.2% of all reported stays.</w:t>
      </w:r>
    </w:p>
  </w:footnote>
  <w:footnote w:id="28">
    <w:p w14:paraId="02240948" w14:textId="3A4DE52E" w:rsidR="00E45049" w:rsidRDefault="00E45049">
      <w:pPr>
        <w:pStyle w:val="FootnoteText"/>
      </w:pPr>
      <w:r>
        <w:rPr>
          <w:rStyle w:val="FootnoteReference"/>
        </w:rPr>
        <w:footnoteRef/>
      </w:r>
      <w:r>
        <w:t xml:space="preserve"> It is likely that other stays of this type may have been arranged by job hire agents.</w:t>
      </w:r>
    </w:p>
  </w:footnote>
  <w:footnote w:id="29">
    <w:p w14:paraId="32D209F8" w14:textId="77777777" w:rsidR="00E45049" w:rsidRDefault="00E45049" w:rsidP="00EA58E4">
      <w:pPr>
        <w:pStyle w:val="FootnoteText"/>
      </w:pPr>
      <w:r>
        <w:rPr>
          <w:rStyle w:val="FootnoteReference"/>
        </w:rPr>
        <w:footnoteRef/>
      </w:r>
      <w:r>
        <w:t xml:space="preserve"> No training was offered in 5,010 jobs, reported by an additional 4,014 WHMs.</w:t>
      </w:r>
    </w:p>
  </w:footnote>
  <w:footnote w:id="30">
    <w:p w14:paraId="13F7ADF0" w14:textId="35101204" w:rsidR="00E45049" w:rsidRDefault="00E45049">
      <w:pPr>
        <w:pStyle w:val="FootnoteText"/>
      </w:pPr>
      <w:r>
        <w:rPr>
          <w:rStyle w:val="FootnoteReference"/>
        </w:rPr>
        <w:footnoteRef/>
      </w:r>
      <w:r>
        <w:t xml:space="preserve"> Total study expenditure is rounded to the nearest $100.</w:t>
      </w:r>
    </w:p>
  </w:footnote>
  <w:footnote w:id="31">
    <w:p w14:paraId="2FC188AB" w14:textId="0A689272" w:rsidR="00E45049" w:rsidRDefault="00E45049">
      <w:pPr>
        <w:pStyle w:val="FootnoteText"/>
      </w:pPr>
      <w:r>
        <w:rPr>
          <w:rStyle w:val="FootnoteReference"/>
        </w:rPr>
        <w:footnoteRef/>
      </w:r>
      <w:r>
        <w:t xml:space="preserve"> The small number of ‘other’ courses mean this cannot be disaggregated.</w:t>
      </w:r>
    </w:p>
  </w:footnote>
  <w:footnote w:id="32">
    <w:p w14:paraId="19C4BE25" w14:textId="3AC03FF6" w:rsidR="00E45049" w:rsidRDefault="00E45049">
      <w:pPr>
        <w:pStyle w:val="FootnoteText"/>
      </w:pPr>
      <w:r>
        <w:rPr>
          <w:rStyle w:val="FootnoteReference"/>
        </w:rPr>
        <w:footnoteRef/>
      </w:r>
      <w:r>
        <w:t xml:space="preserve"> This was not related to work and earnings in Australia.</w:t>
      </w:r>
    </w:p>
  </w:footnote>
  <w:footnote w:id="33">
    <w:p w14:paraId="2D0E9A2B" w14:textId="37F6B487" w:rsidR="00E45049" w:rsidRDefault="00E45049" w:rsidP="00CF1E66">
      <w:pPr>
        <w:pStyle w:val="FootnoteText"/>
      </w:pPr>
      <w:r>
        <w:rPr>
          <w:rStyle w:val="FootnoteReference"/>
        </w:rPr>
        <w:footnoteRef/>
      </w:r>
      <w:r>
        <w:t xml:space="preserve"> Also see Section </w:t>
      </w:r>
      <w:r>
        <w:fldChar w:fldCharType="begin"/>
      </w:r>
      <w:r>
        <w:instrText xml:space="preserve"> REF _Ref75939636 \r \h </w:instrText>
      </w:r>
      <w:r>
        <w:fldChar w:fldCharType="separate"/>
      </w:r>
      <w:r w:rsidR="00F22012">
        <w:t>10.2</w:t>
      </w:r>
      <w:r>
        <w:fldChar w:fldCharType="end"/>
      </w:r>
      <w:r>
        <w:t>.</w:t>
      </w:r>
    </w:p>
  </w:footnote>
  <w:footnote w:id="34">
    <w:p w14:paraId="5FAB225D" w14:textId="25198120" w:rsidR="00E45049" w:rsidRDefault="00E45049">
      <w:pPr>
        <w:pStyle w:val="FootnoteText"/>
      </w:pPr>
      <w:r>
        <w:rPr>
          <w:rStyle w:val="FootnoteReference"/>
        </w:rPr>
        <w:footnoteRef/>
      </w:r>
      <w:r>
        <w:t xml:space="preserve"> Notations refer to deidentified businesses.</w:t>
      </w:r>
    </w:p>
  </w:footnote>
  <w:footnote w:id="35">
    <w:p w14:paraId="243D3D9D" w14:textId="3C2485E8" w:rsidR="00E45049" w:rsidRDefault="00E45049" w:rsidP="00CF1E66">
      <w:pPr>
        <w:pStyle w:val="FootnoteText"/>
      </w:pPr>
      <w:r>
        <w:rPr>
          <w:rStyle w:val="FootnoteReference"/>
        </w:rPr>
        <w:footnoteRef/>
      </w:r>
      <w:r>
        <w:t xml:space="preserve"> Section </w:t>
      </w:r>
      <w:r>
        <w:fldChar w:fldCharType="begin"/>
      </w:r>
      <w:r>
        <w:instrText xml:space="preserve"> REF _Ref69896586 \r \h </w:instrText>
      </w:r>
      <w:r>
        <w:fldChar w:fldCharType="separate"/>
      </w:r>
      <w:r w:rsidR="00F22012">
        <w:t>1</w:t>
      </w:r>
      <w:r>
        <w:fldChar w:fldCharType="end"/>
      </w:r>
      <w:r>
        <w:t xml:space="preserve"> reviewed some of the major changes to the WHM program since its inception. From the interviews, it is evident that not all employers are aware of changes that potentially benefit them. From November 2018, limits on WHMs working for one employer in plant and animal cultivation</w:t>
      </w:r>
      <w:r w:rsidRPr="00B236D7">
        <w:rPr>
          <w:iCs/>
        </w:rPr>
        <w:t xml:space="preserve"> </w:t>
      </w:r>
      <w:r>
        <w:rPr>
          <w:iCs/>
        </w:rPr>
        <w:t>(</w:t>
      </w:r>
      <w:r w:rsidRPr="00B236D7">
        <w:rPr>
          <w:iCs/>
        </w:rPr>
        <w:t>anywhere in Australia</w:t>
      </w:r>
      <w:r>
        <w:rPr>
          <w:iCs/>
        </w:rPr>
        <w:t>)</w:t>
      </w:r>
      <w:r>
        <w:t xml:space="preserve"> were raised from six to twelve months a fact not understood by some in the industry.</w:t>
      </w:r>
    </w:p>
  </w:footnote>
  <w:footnote w:id="36">
    <w:p w14:paraId="7D3EE385" w14:textId="76C928C4" w:rsidR="00E45049" w:rsidRDefault="00E45049" w:rsidP="0092680D">
      <w:pPr>
        <w:pStyle w:val="FootnoteText"/>
      </w:pPr>
      <w:r>
        <w:rPr>
          <w:rStyle w:val="FootnoteReference"/>
        </w:rPr>
        <w:footnoteRef/>
      </w:r>
      <w:r>
        <w:t xml:space="preserve"> For a discussion about the importance of WHMs to Australian businesses see Section </w:t>
      </w:r>
      <w:r>
        <w:fldChar w:fldCharType="begin"/>
      </w:r>
      <w:r>
        <w:instrText xml:space="preserve"> REF _Ref69890455 \r \h </w:instrText>
      </w:r>
      <w:r>
        <w:fldChar w:fldCharType="separate"/>
      </w:r>
      <w:r w:rsidR="00F22012">
        <w:t>9.1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B54A" w14:textId="77777777" w:rsidR="00E45049" w:rsidRDefault="00E45049">
    <w:pPr>
      <w:pStyle w:val="Header"/>
    </w:pPr>
  </w:p>
  <w:p w14:paraId="0406AB22" w14:textId="77777777" w:rsidR="00E45049" w:rsidRDefault="00E45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4CE0" w14:textId="77777777" w:rsidR="00E45049" w:rsidRDefault="00E45049">
    <w:pPr>
      <w:pStyle w:val="Header"/>
    </w:pPr>
    <w:r>
      <w:rPr>
        <w:noProof/>
        <w:lang w:eastAsia="en-AU"/>
      </w:rPr>
      <mc:AlternateContent>
        <mc:Choice Requires="wps">
          <w:drawing>
            <wp:anchor distT="0" distB="0" distL="114300" distR="114300" simplePos="0" relativeHeight="251658242" behindDoc="0" locked="0" layoutInCell="1" allowOverlap="1" wp14:anchorId="0AF383F7" wp14:editId="4C3C62AD">
              <wp:simplePos x="0" y="0"/>
              <wp:positionH relativeFrom="page">
                <wp:posOffset>66979</wp:posOffset>
              </wp:positionH>
              <wp:positionV relativeFrom="page">
                <wp:posOffset>69215</wp:posOffset>
              </wp:positionV>
              <wp:extent cx="7383600" cy="10533600"/>
              <wp:effectExtent l="0" t="0" r="27305" b="2032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3600" cy="105336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83940" id="Rectangle 11" o:spid="_x0000_s1026" alt="&quot;&quot;" style="position:absolute;margin-left:5.25pt;margin-top:5.45pt;width:581.4pt;height:829.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" fillcolor="#fdd969 [3205]" strokecolor="#fdd969 [3205]"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CD829DB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8"/>
    <w:multiLevelType w:val="singleLevel"/>
    <w:tmpl w:val="0630CA24"/>
    <w:lvl w:ilvl="0">
      <w:start w:val="1"/>
      <w:numFmt w:val="decimal"/>
      <w:pStyle w:val="ListNumber"/>
      <w:lvlText w:val="%1."/>
      <w:lvlJc w:val="left"/>
      <w:pPr>
        <w:tabs>
          <w:tab w:val="num" w:pos="8865"/>
        </w:tabs>
        <w:ind w:left="8865" w:hanging="360"/>
      </w:pPr>
    </w:lvl>
  </w:abstractNum>
  <w:abstractNum w:abstractNumId="2" w15:restartNumberingAfterBreak="0">
    <w:nsid w:val="FFFFFF89"/>
    <w:multiLevelType w:val="multilevel"/>
    <w:tmpl w:val="6D1E81D8"/>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D57614"/>
    <w:multiLevelType w:val="multilevel"/>
    <w:tmpl w:val="3AF2A03A"/>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4" w15:restartNumberingAfterBreak="0">
    <w:nsid w:val="07B5544D"/>
    <w:multiLevelType w:val="hybridMultilevel"/>
    <w:tmpl w:val="A8288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E42D6F"/>
    <w:multiLevelType w:val="hybridMultilevel"/>
    <w:tmpl w:val="6BFA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22144"/>
    <w:multiLevelType w:val="hybridMultilevel"/>
    <w:tmpl w:val="B8CA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05D60"/>
    <w:multiLevelType w:val="hybridMultilevel"/>
    <w:tmpl w:val="F9C47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4B479E"/>
    <w:multiLevelType w:val="multilevel"/>
    <w:tmpl w:val="278EBBB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0A71B83"/>
    <w:multiLevelType w:val="hybridMultilevel"/>
    <w:tmpl w:val="2E8E5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36376C"/>
    <w:multiLevelType w:val="hybridMultilevel"/>
    <w:tmpl w:val="F7540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31BD4"/>
    <w:multiLevelType w:val="hybridMultilevel"/>
    <w:tmpl w:val="7C880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F83603"/>
    <w:multiLevelType w:val="hybridMultilevel"/>
    <w:tmpl w:val="8CCA8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220430"/>
    <w:multiLevelType w:val="hybridMultilevel"/>
    <w:tmpl w:val="8680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8A1754"/>
    <w:multiLevelType w:val="hybridMultilevel"/>
    <w:tmpl w:val="F7EA6058"/>
    <w:lvl w:ilvl="0" w:tplc="CAA00488">
      <w:start w:val="1"/>
      <w:numFmt w:val="bullet"/>
      <w:pStyle w:val="ListKeyfinding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D9A42510">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F00AE8"/>
    <w:multiLevelType w:val="hybridMultilevel"/>
    <w:tmpl w:val="25C2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111820"/>
    <w:multiLevelType w:val="hybridMultilevel"/>
    <w:tmpl w:val="5AEC8E26"/>
    <w:lvl w:ilvl="0" w:tplc="EC3EC818">
      <w:start w:val="1"/>
      <w:numFmt w:val="upperLetter"/>
      <w:pStyle w:val="Appendix"/>
      <w:lvlText w:val="Appendix %1."/>
      <w:lvlJc w:val="left"/>
      <w:pPr>
        <w:ind w:left="71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422D73FD"/>
    <w:multiLevelType w:val="hybridMultilevel"/>
    <w:tmpl w:val="E7A06B7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32E6B7B"/>
    <w:multiLevelType w:val="hybridMultilevel"/>
    <w:tmpl w:val="27B6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A01849"/>
    <w:multiLevelType w:val="hybridMultilevel"/>
    <w:tmpl w:val="E2383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131C3F"/>
    <w:multiLevelType w:val="hybridMultilevel"/>
    <w:tmpl w:val="B54E2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F418F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E23C11"/>
    <w:multiLevelType w:val="hybridMultilevel"/>
    <w:tmpl w:val="0D50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4B6ADA"/>
    <w:multiLevelType w:val="hybridMultilevel"/>
    <w:tmpl w:val="F606C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4D4146"/>
    <w:multiLevelType w:val="hybridMultilevel"/>
    <w:tmpl w:val="AF84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164978"/>
    <w:multiLevelType w:val="hybridMultilevel"/>
    <w:tmpl w:val="92BA5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635810"/>
    <w:multiLevelType w:val="hybridMultilevel"/>
    <w:tmpl w:val="4BBCD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4A6288"/>
    <w:multiLevelType w:val="hybridMultilevel"/>
    <w:tmpl w:val="1F545D3A"/>
    <w:lvl w:ilvl="0" w:tplc="D570B518">
      <w:start w:val="1"/>
      <w:numFmt w:val="bullet"/>
      <w:pStyle w:val="ListNormal"/>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F04F5"/>
    <w:multiLevelType w:val="hybridMultilevel"/>
    <w:tmpl w:val="405A4734"/>
    <w:lvl w:ilvl="0" w:tplc="CCDCA2AA">
      <w:start w:val="1"/>
      <w:numFmt w:val="lowerLetter"/>
      <w:pStyle w:val="TableNotesNumbered"/>
      <w:lvlText w:val="%1."/>
      <w:lvlJc w:val="left"/>
      <w:pPr>
        <w:tabs>
          <w:tab w:val="num" w:pos="720"/>
        </w:tabs>
        <w:ind w:left="720" w:hanging="360"/>
      </w:pPr>
      <w:rPr>
        <w:rFonts w:hint="default"/>
      </w:rPr>
    </w:lvl>
    <w:lvl w:ilvl="1" w:tplc="DA9ADD68">
      <w:start w:val="1"/>
      <w:numFmt w:val="decimal"/>
      <w:lvlText w:val="%2."/>
      <w:lvlJc w:val="left"/>
      <w:pPr>
        <w:tabs>
          <w:tab w:val="num" w:pos="4815"/>
        </w:tabs>
        <w:ind w:left="4815" w:hanging="37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345290"/>
    <w:multiLevelType w:val="hybridMultilevel"/>
    <w:tmpl w:val="3C563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6F1990"/>
    <w:multiLevelType w:val="hybridMultilevel"/>
    <w:tmpl w:val="E1367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291091"/>
    <w:multiLevelType w:val="hybridMultilevel"/>
    <w:tmpl w:val="63D42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6A5FF0"/>
    <w:multiLevelType w:val="hybridMultilevel"/>
    <w:tmpl w:val="1A7C6B6A"/>
    <w:lvl w:ilvl="0" w:tplc="5DB42648">
      <w:start w:val="1"/>
      <w:numFmt w:val="bullet"/>
      <w:pStyle w:val="Dotpoints"/>
      <w:lvlText w:val=""/>
      <w:lvlJc w:val="left"/>
      <w:pPr>
        <w:ind w:left="720" w:hanging="360"/>
      </w:pPr>
      <w:rPr>
        <w:rFonts w:ascii="Wingdings" w:hAnsi="Wingdings" w:hint="default"/>
        <w:color w:val="FBC110"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B15E0D"/>
    <w:multiLevelType w:val="multilevel"/>
    <w:tmpl w:val="E21E25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93B109D"/>
    <w:multiLevelType w:val="hybridMultilevel"/>
    <w:tmpl w:val="12FC9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268D9"/>
    <w:multiLevelType w:val="hybridMultilevel"/>
    <w:tmpl w:val="35A8E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6"/>
  </w:num>
  <w:num w:numId="2">
    <w:abstractNumId w:val="27"/>
  </w:num>
  <w:num w:numId="3">
    <w:abstractNumId w:val="2"/>
  </w:num>
  <w:num w:numId="4">
    <w:abstractNumId w:val="1"/>
  </w:num>
  <w:num w:numId="5">
    <w:abstractNumId w:val="28"/>
  </w:num>
  <w:num w:numId="6">
    <w:abstractNumId w:val="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
    <w:abstractNumId w:val="8"/>
  </w:num>
  <w:num w:numId="8">
    <w:abstractNumId w:val="14"/>
  </w:num>
  <w:num w:numId="9">
    <w:abstractNumId w:val="32"/>
  </w:num>
  <w:num w:numId="10">
    <w:abstractNumId w:val="35"/>
  </w:num>
  <w:num w:numId="11">
    <w:abstractNumId w:val="9"/>
  </w:num>
  <w:num w:numId="12">
    <w:abstractNumId w:val="12"/>
  </w:num>
  <w:num w:numId="13">
    <w:abstractNumId w:val="5"/>
  </w:num>
  <w:num w:numId="14">
    <w:abstractNumId w:val="11"/>
  </w:num>
  <w:num w:numId="15">
    <w:abstractNumId w:val="19"/>
  </w:num>
  <w:num w:numId="16">
    <w:abstractNumId w:val="22"/>
  </w:num>
  <w:num w:numId="17">
    <w:abstractNumId w:val="18"/>
  </w:num>
  <w:num w:numId="18">
    <w:abstractNumId w:val="17"/>
  </w:num>
  <w:num w:numId="19">
    <w:abstractNumId w:val="23"/>
  </w:num>
  <w:num w:numId="20">
    <w:abstractNumId w:val="33"/>
  </w:num>
  <w:num w:numId="21">
    <w:abstractNumId w:val="8"/>
  </w:num>
  <w:num w:numId="22">
    <w:abstractNumId w:val="0"/>
  </w:num>
  <w:num w:numId="23">
    <w:abstractNumId w:val="6"/>
  </w:num>
  <w:num w:numId="24">
    <w:abstractNumId w:val="20"/>
  </w:num>
  <w:num w:numId="25">
    <w:abstractNumId w:val="15"/>
  </w:num>
  <w:num w:numId="26">
    <w:abstractNumId w:val="0"/>
  </w:num>
  <w:num w:numId="27">
    <w:abstractNumId w:val="30"/>
  </w:num>
  <w:num w:numId="28">
    <w:abstractNumId w:val="13"/>
  </w:num>
  <w:num w:numId="29">
    <w:abstractNumId w:val="21"/>
  </w:num>
  <w:num w:numId="30">
    <w:abstractNumId w:val="16"/>
  </w:num>
  <w:num w:numId="31">
    <w:abstractNumId w:val="31"/>
  </w:num>
  <w:num w:numId="32">
    <w:abstractNumId w:val="26"/>
  </w:num>
  <w:num w:numId="33">
    <w:abstractNumId w:val="34"/>
  </w:num>
  <w:num w:numId="34">
    <w:abstractNumId w:val="7"/>
  </w:num>
  <w:num w:numId="35">
    <w:abstractNumId w:val="29"/>
  </w:num>
  <w:num w:numId="36">
    <w:abstractNumId w:val="25"/>
  </w:num>
  <w:num w:numId="37">
    <w:abstractNumId w:val="8"/>
  </w:num>
  <w:num w:numId="38">
    <w:abstractNumId w:val="10"/>
  </w:num>
  <w:num w:numId="39">
    <w:abstractNumId w:val="24"/>
  </w:num>
  <w:num w:numId="4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proofState w:spelling="clean"/>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AITI)&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sv9zwer2dw2pexz935edzbrpsweevtw5ed&quot;&gt;WHM program evaluation&lt;record-ids&gt;&lt;item&gt;1&lt;/item&gt;&lt;item&gt;4&lt;/item&gt;&lt;item&gt;5&lt;/item&gt;&lt;item&gt;6&lt;/item&gt;&lt;item&gt;8&lt;/item&gt;&lt;item&gt;9&lt;/item&gt;&lt;item&gt;11&lt;/item&gt;&lt;item&gt;12&lt;/item&gt;&lt;item&gt;13&lt;/item&gt;&lt;item&gt;14&lt;/item&gt;&lt;item&gt;16&lt;/item&gt;&lt;item&gt;17&lt;/item&gt;&lt;item&gt;18&lt;/item&gt;&lt;item&gt;19&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39&lt;/item&gt;&lt;/record-ids&gt;&lt;/item&gt;&lt;/Libraries&gt;"/>
  </w:docVars>
  <w:rsids>
    <w:rsidRoot w:val="00253FF8"/>
    <w:rsid w:val="00000238"/>
    <w:rsid w:val="000002D1"/>
    <w:rsid w:val="000004D5"/>
    <w:rsid w:val="000004FE"/>
    <w:rsid w:val="0000050F"/>
    <w:rsid w:val="0000052D"/>
    <w:rsid w:val="00000977"/>
    <w:rsid w:val="00000D94"/>
    <w:rsid w:val="00000E01"/>
    <w:rsid w:val="00000E7E"/>
    <w:rsid w:val="00000F32"/>
    <w:rsid w:val="000012E1"/>
    <w:rsid w:val="0000159C"/>
    <w:rsid w:val="00001717"/>
    <w:rsid w:val="00001780"/>
    <w:rsid w:val="00001CA0"/>
    <w:rsid w:val="00001D57"/>
    <w:rsid w:val="00001FD0"/>
    <w:rsid w:val="00001FFA"/>
    <w:rsid w:val="00002248"/>
    <w:rsid w:val="000023B9"/>
    <w:rsid w:val="00002421"/>
    <w:rsid w:val="00002477"/>
    <w:rsid w:val="000025EE"/>
    <w:rsid w:val="000026B1"/>
    <w:rsid w:val="0000285D"/>
    <w:rsid w:val="00002A00"/>
    <w:rsid w:val="00002B42"/>
    <w:rsid w:val="00002BF5"/>
    <w:rsid w:val="00002C03"/>
    <w:rsid w:val="00002C3D"/>
    <w:rsid w:val="00002CD2"/>
    <w:rsid w:val="00003079"/>
    <w:rsid w:val="00003196"/>
    <w:rsid w:val="00003484"/>
    <w:rsid w:val="000034BC"/>
    <w:rsid w:val="000034D9"/>
    <w:rsid w:val="000036EF"/>
    <w:rsid w:val="000039E2"/>
    <w:rsid w:val="00003A53"/>
    <w:rsid w:val="00003B6B"/>
    <w:rsid w:val="00003F02"/>
    <w:rsid w:val="00003FCC"/>
    <w:rsid w:val="000041AB"/>
    <w:rsid w:val="00004294"/>
    <w:rsid w:val="000042EA"/>
    <w:rsid w:val="000042EC"/>
    <w:rsid w:val="000043CF"/>
    <w:rsid w:val="0000457C"/>
    <w:rsid w:val="000046D9"/>
    <w:rsid w:val="00004891"/>
    <w:rsid w:val="00004AB4"/>
    <w:rsid w:val="00004D93"/>
    <w:rsid w:val="00004F89"/>
    <w:rsid w:val="000051BC"/>
    <w:rsid w:val="0000536C"/>
    <w:rsid w:val="00005387"/>
    <w:rsid w:val="00005635"/>
    <w:rsid w:val="00005723"/>
    <w:rsid w:val="00005B53"/>
    <w:rsid w:val="00005B60"/>
    <w:rsid w:val="00005D9C"/>
    <w:rsid w:val="00005F10"/>
    <w:rsid w:val="00005F6B"/>
    <w:rsid w:val="000060CE"/>
    <w:rsid w:val="000061D0"/>
    <w:rsid w:val="000068E2"/>
    <w:rsid w:val="00006A53"/>
    <w:rsid w:val="00006FEC"/>
    <w:rsid w:val="00007148"/>
    <w:rsid w:val="00007217"/>
    <w:rsid w:val="00007474"/>
    <w:rsid w:val="000075AD"/>
    <w:rsid w:val="0000782A"/>
    <w:rsid w:val="000078A3"/>
    <w:rsid w:val="000079A1"/>
    <w:rsid w:val="00007C49"/>
    <w:rsid w:val="00007C97"/>
    <w:rsid w:val="00007E44"/>
    <w:rsid w:val="00007E84"/>
    <w:rsid w:val="00007E86"/>
    <w:rsid w:val="0001001C"/>
    <w:rsid w:val="000100D1"/>
    <w:rsid w:val="0001026C"/>
    <w:rsid w:val="00010427"/>
    <w:rsid w:val="00010B04"/>
    <w:rsid w:val="00010B6A"/>
    <w:rsid w:val="00010B8A"/>
    <w:rsid w:val="00011260"/>
    <w:rsid w:val="0001142F"/>
    <w:rsid w:val="00011495"/>
    <w:rsid w:val="00011683"/>
    <w:rsid w:val="000117C9"/>
    <w:rsid w:val="00011927"/>
    <w:rsid w:val="00011DA2"/>
    <w:rsid w:val="00011E56"/>
    <w:rsid w:val="00011F45"/>
    <w:rsid w:val="0001210D"/>
    <w:rsid w:val="00012131"/>
    <w:rsid w:val="0001224E"/>
    <w:rsid w:val="000123D7"/>
    <w:rsid w:val="0001258F"/>
    <w:rsid w:val="0001268F"/>
    <w:rsid w:val="0001277D"/>
    <w:rsid w:val="000128C0"/>
    <w:rsid w:val="0001296A"/>
    <w:rsid w:val="00012DD6"/>
    <w:rsid w:val="00012E6F"/>
    <w:rsid w:val="00012EE9"/>
    <w:rsid w:val="00013049"/>
    <w:rsid w:val="000130A7"/>
    <w:rsid w:val="00013554"/>
    <w:rsid w:val="00013626"/>
    <w:rsid w:val="00013AB7"/>
    <w:rsid w:val="00013C9D"/>
    <w:rsid w:val="00013D65"/>
    <w:rsid w:val="00013FC7"/>
    <w:rsid w:val="000140B4"/>
    <w:rsid w:val="00014118"/>
    <w:rsid w:val="0001413B"/>
    <w:rsid w:val="00014208"/>
    <w:rsid w:val="00014241"/>
    <w:rsid w:val="000142EE"/>
    <w:rsid w:val="000144F8"/>
    <w:rsid w:val="00014509"/>
    <w:rsid w:val="00014581"/>
    <w:rsid w:val="00014958"/>
    <w:rsid w:val="000149E7"/>
    <w:rsid w:val="00014C42"/>
    <w:rsid w:val="00014DE3"/>
    <w:rsid w:val="00015060"/>
    <w:rsid w:val="00015222"/>
    <w:rsid w:val="00015413"/>
    <w:rsid w:val="00015509"/>
    <w:rsid w:val="00015639"/>
    <w:rsid w:val="000156D8"/>
    <w:rsid w:val="000156F7"/>
    <w:rsid w:val="0001576B"/>
    <w:rsid w:val="000159CE"/>
    <w:rsid w:val="00015C61"/>
    <w:rsid w:val="00016081"/>
    <w:rsid w:val="0001616A"/>
    <w:rsid w:val="000161AA"/>
    <w:rsid w:val="00016231"/>
    <w:rsid w:val="000162A3"/>
    <w:rsid w:val="00016B79"/>
    <w:rsid w:val="00017292"/>
    <w:rsid w:val="0001770F"/>
    <w:rsid w:val="0001785E"/>
    <w:rsid w:val="00017990"/>
    <w:rsid w:val="00017D05"/>
    <w:rsid w:val="00017D09"/>
    <w:rsid w:val="00017D27"/>
    <w:rsid w:val="0002016E"/>
    <w:rsid w:val="0002026F"/>
    <w:rsid w:val="0002027F"/>
    <w:rsid w:val="000205AF"/>
    <w:rsid w:val="00020690"/>
    <w:rsid w:val="0002072C"/>
    <w:rsid w:val="00020816"/>
    <w:rsid w:val="0002098A"/>
    <w:rsid w:val="00020BF9"/>
    <w:rsid w:val="00020E49"/>
    <w:rsid w:val="000210F7"/>
    <w:rsid w:val="00021146"/>
    <w:rsid w:val="000214FE"/>
    <w:rsid w:val="000219DD"/>
    <w:rsid w:val="00021A77"/>
    <w:rsid w:val="00021BAF"/>
    <w:rsid w:val="00021CD1"/>
    <w:rsid w:val="00022235"/>
    <w:rsid w:val="0002226D"/>
    <w:rsid w:val="0002232A"/>
    <w:rsid w:val="0002239A"/>
    <w:rsid w:val="00022465"/>
    <w:rsid w:val="00022943"/>
    <w:rsid w:val="00022A29"/>
    <w:rsid w:val="00022A79"/>
    <w:rsid w:val="00022A92"/>
    <w:rsid w:val="00022A9A"/>
    <w:rsid w:val="00022AEB"/>
    <w:rsid w:val="00022AED"/>
    <w:rsid w:val="00022AEE"/>
    <w:rsid w:val="00022B0D"/>
    <w:rsid w:val="00022E80"/>
    <w:rsid w:val="00022F0C"/>
    <w:rsid w:val="00023030"/>
    <w:rsid w:val="0002303F"/>
    <w:rsid w:val="0002304F"/>
    <w:rsid w:val="000230A7"/>
    <w:rsid w:val="00023279"/>
    <w:rsid w:val="000232FA"/>
    <w:rsid w:val="00023451"/>
    <w:rsid w:val="0002360D"/>
    <w:rsid w:val="00023670"/>
    <w:rsid w:val="0002372B"/>
    <w:rsid w:val="00023825"/>
    <w:rsid w:val="00023853"/>
    <w:rsid w:val="0002391A"/>
    <w:rsid w:val="00023AE5"/>
    <w:rsid w:val="00023BD5"/>
    <w:rsid w:val="00023D5D"/>
    <w:rsid w:val="00023D70"/>
    <w:rsid w:val="00023FD4"/>
    <w:rsid w:val="00024500"/>
    <w:rsid w:val="00024ADD"/>
    <w:rsid w:val="0002507D"/>
    <w:rsid w:val="00025402"/>
    <w:rsid w:val="0002566D"/>
    <w:rsid w:val="000256AC"/>
    <w:rsid w:val="0002572E"/>
    <w:rsid w:val="0002577C"/>
    <w:rsid w:val="00025A3F"/>
    <w:rsid w:val="00025CED"/>
    <w:rsid w:val="00026116"/>
    <w:rsid w:val="0002629E"/>
    <w:rsid w:val="000262D6"/>
    <w:rsid w:val="00026356"/>
    <w:rsid w:val="000263E0"/>
    <w:rsid w:val="00026400"/>
    <w:rsid w:val="000265EF"/>
    <w:rsid w:val="000266E8"/>
    <w:rsid w:val="00026771"/>
    <w:rsid w:val="0002693B"/>
    <w:rsid w:val="00026A68"/>
    <w:rsid w:val="00026D01"/>
    <w:rsid w:val="000272A0"/>
    <w:rsid w:val="00027341"/>
    <w:rsid w:val="00027407"/>
    <w:rsid w:val="000275E9"/>
    <w:rsid w:val="000277A9"/>
    <w:rsid w:val="000278D1"/>
    <w:rsid w:val="00027A1E"/>
    <w:rsid w:val="00027B93"/>
    <w:rsid w:val="0003017A"/>
    <w:rsid w:val="000301D6"/>
    <w:rsid w:val="00030298"/>
    <w:rsid w:val="0003050D"/>
    <w:rsid w:val="000305C4"/>
    <w:rsid w:val="00030860"/>
    <w:rsid w:val="00030C1E"/>
    <w:rsid w:val="00030C67"/>
    <w:rsid w:val="00030E91"/>
    <w:rsid w:val="0003124B"/>
    <w:rsid w:val="000313CE"/>
    <w:rsid w:val="000313E8"/>
    <w:rsid w:val="000315C2"/>
    <w:rsid w:val="000318C6"/>
    <w:rsid w:val="000319B1"/>
    <w:rsid w:val="00031A2F"/>
    <w:rsid w:val="00031C36"/>
    <w:rsid w:val="000320EE"/>
    <w:rsid w:val="00032163"/>
    <w:rsid w:val="000322BA"/>
    <w:rsid w:val="000322EF"/>
    <w:rsid w:val="000323CF"/>
    <w:rsid w:val="000324C2"/>
    <w:rsid w:val="0003265B"/>
    <w:rsid w:val="00032678"/>
    <w:rsid w:val="0003273F"/>
    <w:rsid w:val="00032CBB"/>
    <w:rsid w:val="00032E4D"/>
    <w:rsid w:val="00032FD8"/>
    <w:rsid w:val="00033398"/>
    <w:rsid w:val="0003376B"/>
    <w:rsid w:val="00033951"/>
    <w:rsid w:val="00033C66"/>
    <w:rsid w:val="00033E9D"/>
    <w:rsid w:val="000340C9"/>
    <w:rsid w:val="0003447B"/>
    <w:rsid w:val="000344FD"/>
    <w:rsid w:val="0003452E"/>
    <w:rsid w:val="000345BE"/>
    <w:rsid w:val="000345CE"/>
    <w:rsid w:val="00034640"/>
    <w:rsid w:val="0003474D"/>
    <w:rsid w:val="000348B0"/>
    <w:rsid w:val="00034D03"/>
    <w:rsid w:val="00034E3F"/>
    <w:rsid w:val="00035289"/>
    <w:rsid w:val="0003538C"/>
    <w:rsid w:val="00035558"/>
    <w:rsid w:val="00035882"/>
    <w:rsid w:val="00035929"/>
    <w:rsid w:val="00035B52"/>
    <w:rsid w:val="00035C13"/>
    <w:rsid w:val="00035E6B"/>
    <w:rsid w:val="000362A0"/>
    <w:rsid w:val="00036542"/>
    <w:rsid w:val="000366DE"/>
    <w:rsid w:val="00036BE8"/>
    <w:rsid w:val="00036CF4"/>
    <w:rsid w:val="00036D54"/>
    <w:rsid w:val="00036E37"/>
    <w:rsid w:val="00036E39"/>
    <w:rsid w:val="00036E53"/>
    <w:rsid w:val="0003703D"/>
    <w:rsid w:val="00037233"/>
    <w:rsid w:val="0003726B"/>
    <w:rsid w:val="000372D1"/>
    <w:rsid w:val="00037342"/>
    <w:rsid w:val="000379E1"/>
    <w:rsid w:val="000379F5"/>
    <w:rsid w:val="00037C13"/>
    <w:rsid w:val="00037C4A"/>
    <w:rsid w:val="00037D36"/>
    <w:rsid w:val="00040128"/>
    <w:rsid w:val="000402C7"/>
    <w:rsid w:val="0004041C"/>
    <w:rsid w:val="00040BA4"/>
    <w:rsid w:val="00040BEF"/>
    <w:rsid w:val="00040E10"/>
    <w:rsid w:val="0004137F"/>
    <w:rsid w:val="000413DA"/>
    <w:rsid w:val="000416DF"/>
    <w:rsid w:val="00041736"/>
    <w:rsid w:val="00041ABB"/>
    <w:rsid w:val="00041F7E"/>
    <w:rsid w:val="00042037"/>
    <w:rsid w:val="00042151"/>
    <w:rsid w:val="000423EA"/>
    <w:rsid w:val="00042513"/>
    <w:rsid w:val="000425DB"/>
    <w:rsid w:val="0004267B"/>
    <w:rsid w:val="00042733"/>
    <w:rsid w:val="00042AD7"/>
    <w:rsid w:val="00042CF8"/>
    <w:rsid w:val="00042EE1"/>
    <w:rsid w:val="000431DB"/>
    <w:rsid w:val="00043219"/>
    <w:rsid w:val="000432F4"/>
    <w:rsid w:val="000433DF"/>
    <w:rsid w:val="000438F6"/>
    <w:rsid w:val="00043922"/>
    <w:rsid w:val="00043BFF"/>
    <w:rsid w:val="00043CDD"/>
    <w:rsid w:val="00043DA6"/>
    <w:rsid w:val="00043E46"/>
    <w:rsid w:val="00043E58"/>
    <w:rsid w:val="00043EA7"/>
    <w:rsid w:val="0004402D"/>
    <w:rsid w:val="00044146"/>
    <w:rsid w:val="0004418C"/>
    <w:rsid w:val="00044223"/>
    <w:rsid w:val="0004424A"/>
    <w:rsid w:val="00044532"/>
    <w:rsid w:val="000445C6"/>
    <w:rsid w:val="00044803"/>
    <w:rsid w:val="00044959"/>
    <w:rsid w:val="00044C68"/>
    <w:rsid w:val="00045023"/>
    <w:rsid w:val="00045158"/>
    <w:rsid w:val="000451AE"/>
    <w:rsid w:val="0004524D"/>
    <w:rsid w:val="000454BF"/>
    <w:rsid w:val="00045617"/>
    <w:rsid w:val="00045620"/>
    <w:rsid w:val="00045F76"/>
    <w:rsid w:val="000460A7"/>
    <w:rsid w:val="00046550"/>
    <w:rsid w:val="000468AF"/>
    <w:rsid w:val="00046B40"/>
    <w:rsid w:val="00046C03"/>
    <w:rsid w:val="00046D29"/>
    <w:rsid w:val="00047165"/>
    <w:rsid w:val="000472D8"/>
    <w:rsid w:val="00047477"/>
    <w:rsid w:val="000478E2"/>
    <w:rsid w:val="0004797A"/>
    <w:rsid w:val="000479CA"/>
    <w:rsid w:val="00047CCD"/>
    <w:rsid w:val="00047E8A"/>
    <w:rsid w:val="00050019"/>
    <w:rsid w:val="000500D9"/>
    <w:rsid w:val="00050423"/>
    <w:rsid w:val="0005044F"/>
    <w:rsid w:val="000505AD"/>
    <w:rsid w:val="00050785"/>
    <w:rsid w:val="000507B2"/>
    <w:rsid w:val="0005092D"/>
    <w:rsid w:val="000509D3"/>
    <w:rsid w:val="00050AD3"/>
    <w:rsid w:val="00050C7B"/>
    <w:rsid w:val="00050E50"/>
    <w:rsid w:val="00050E5F"/>
    <w:rsid w:val="00050F53"/>
    <w:rsid w:val="0005106B"/>
    <w:rsid w:val="000511A9"/>
    <w:rsid w:val="00051227"/>
    <w:rsid w:val="0005144D"/>
    <w:rsid w:val="000519BF"/>
    <w:rsid w:val="000519E7"/>
    <w:rsid w:val="00051AAF"/>
    <w:rsid w:val="00051BEE"/>
    <w:rsid w:val="00051C7A"/>
    <w:rsid w:val="00051CD8"/>
    <w:rsid w:val="00051D88"/>
    <w:rsid w:val="00051DDF"/>
    <w:rsid w:val="000521D2"/>
    <w:rsid w:val="00052346"/>
    <w:rsid w:val="000523F4"/>
    <w:rsid w:val="000524DE"/>
    <w:rsid w:val="000525DC"/>
    <w:rsid w:val="000527BB"/>
    <w:rsid w:val="0005291E"/>
    <w:rsid w:val="00052D06"/>
    <w:rsid w:val="00052DAE"/>
    <w:rsid w:val="00052EA3"/>
    <w:rsid w:val="00052F08"/>
    <w:rsid w:val="0005300B"/>
    <w:rsid w:val="00053133"/>
    <w:rsid w:val="000535EA"/>
    <w:rsid w:val="0005377A"/>
    <w:rsid w:val="00053DC4"/>
    <w:rsid w:val="00053E5F"/>
    <w:rsid w:val="00054121"/>
    <w:rsid w:val="000541A5"/>
    <w:rsid w:val="0005453F"/>
    <w:rsid w:val="00054562"/>
    <w:rsid w:val="000546EA"/>
    <w:rsid w:val="00054724"/>
    <w:rsid w:val="00054752"/>
    <w:rsid w:val="00054798"/>
    <w:rsid w:val="000547D4"/>
    <w:rsid w:val="00054864"/>
    <w:rsid w:val="000548A1"/>
    <w:rsid w:val="00054B1B"/>
    <w:rsid w:val="00054D08"/>
    <w:rsid w:val="00054F0E"/>
    <w:rsid w:val="00054F47"/>
    <w:rsid w:val="00054F85"/>
    <w:rsid w:val="00054FC1"/>
    <w:rsid w:val="00054FFF"/>
    <w:rsid w:val="00055026"/>
    <w:rsid w:val="00055078"/>
    <w:rsid w:val="0005508C"/>
    <w:rsid w:val="000550AE"/>
    <w:rsid w:val="0005525F"/>
    <w:rsid w:val="00055310"/>
    <w:rsid w:val="00055B29"/>
    <w:rsid w:val="00055D11"/>
    <w:rsid w:val="00055E2C"/>
    <w:rsid w:val="00055EA8"/>
    <w:rsid w:val="0005602C"/>
    <w:rsid w:val="00056343"/>
    <w:rsid w:val="000568F0"/>
    <w:rsid w:val="00056979"/>
    <w:rsid w:val="00056C26"/>
    <w:rsid w:val="00056DCF"/>
    <w:rsid w:val="00056F00"/>
    <w:rsid w:val="00056F8B"/>
    <w:rsid w:val="0005702E"/>
    <w:rsid w:val="000573E0"/>
    <w:rsid w:val="00057404"/>
    <w:rsid w:val="00057A74"/>
    <w:rsid w:val="00057D19"/>
    <w:rsid w:val="00060282"/>
    <w:rsid w:val="0006040B"/>
    <w:rsid w:val="00060430"/>
    <w:rsid w:val="00060DB0"/>
    <w:rsid w:val="00060FA5"/>
    <w:rsid w:val="000610F8"/>
    <w:rsid w:val="00061168"/>
    <w:rsid w:val="000612B3"/>
    <w:rsid w:val="0006140A"/>
    <w:rsid w:val="000615F9"/>
    <w:rsid w:val="00061749"/>
    <w:rsid w:val="00061848"/>
    <w:rsid w:val="00061894"/>
    <w:rsid w:val="00061B05"/>
    <w:rsid w:val="00061BC0"/>
    <w:rsid w:val="00061C80"/>
    <w:rsid w:val="00061CCF"/>
    <w:rsid w:val="00061D55"/>
    <w:rsid w:val="00061E94"/>
    <w:rsid w:val="00062189"/>
    <w:rsid w:val="000621CB"/>
    <w:rsid w:val="00062209"/>
    <w:rsid w:val="0006223D"/>
    <w:rsid w:val="0006252D"/>
    <w:rsid w:val="000629C5"/>
    <w:rsid w:val="00062A58"/>
    <w:rsid w:val="00062B0D"/>
    <w:rsid w:val="00062B78"/>
    <w:rsid w:val="00062B86"/>
    <w:rsid w:val="00062FFC"/>
    <w:rsid w:val="000630F9"/>
    <w:rsid w:val="0006314B"/>
    <w:rsid w:val="00063197"/>
    <w:rsid w:val="00063230"/>
    <w:rsid w:val="0006341F"/>
    <w:rsid w:val="000635FA"/>
    <w:rsid w:val="00063810"/>
    <w:rsid w:val="00063A5B"/>
    <w:rsid w:val="00063C9A"/>
    <w:rsid w:val="00064136"/>
    <w:rsid w:val="00064154"/>
    <w:rsid w:val="000641F6"/>
    <w:rsid w:val="0006424D"/>
    <w:rsid w:val="0006425D"/>
    <w:rsid w:val="00064278"/>
    <w:rsid w:val="0006433B"/>
    <w:rsid w:val="000644EA"/>
    <w:rsid w:val="00064537"/>
    <w:rsid w:val="000645A8"/>
    <w:rsid w:val="0006469E"/>
    <w:rsid w:val="00064808"/>
    <w:rsid w:val="00064EA1"/>
    <w:rsid w:val="00065169"/>
    <w:rsid w:val="00065314"/>
    <w:rsid w:val="00065380"/>
    <w:rsid w:val="000654CF"/>
    <w:rsid w:val="00065520"/>
    <w:rsid w:val="000655B8"/>
    <w:rsid w:val="0006564B"/>
    <w:rsid w:val="00065685"/>
    <w:rsid w:val="0006583B"/>
    <w:rsid w:val="000658A5"/>
    <w:rsid w:val="0006594D"/>
    <w:rsid w:val="00065B30"/>
    <w:rsid w:val="00065E00"/>
    <w:rsid w:val="00065F0D"/>
    <w:rsid w:val="00065F4E"/>
    <w:rsid w:val="000662E4"/>
    <w:rsid w:val="000663A6"/>
    <w:rsid w:val="000663ED"/>
    <w:rsid w:val="00066481"/>
    <w:rsid w:val="000666CA"/>
    <w:rsid w:val="000666DD"/>
    <w:rsid w:val="000668A5"/>
    <w:rsid w:val="00066957"/>
    <w:rsid w:val="00066969"/>
    <w:rsid w:val="00066B35"/>
    <w:rsid w:val="00066C26"/>
    <w:rsid w:val="00066D10"/>
    <w:rsid w:val="00067088"/>
    <w:rsid w:val="000673B7"/>
    <w:rsid w:val="0006766F"/>
    <w:rsid w:val="0006770B"/>
    <w:rsid w:val="000677DF"/>
    <w:rsid w:val="000678EF"/>
    <w:rsid w:val="00067C10"/>
    <w:rsid w:val="00067F29"/>
    <w:rsid w:val="00070099"/>
    <w:rsid w:val="000701AB"/>
    <w:rsid w:val="000703CB"/>
    <w:rsid w:val="00070701"/>
    <w:rsid w:val="00070B21"/>
    <w:rsid w:val="00070C24"/>
    <w:rsid w:val="00070C5A"/>
    <w:rsid w:val="00070FF4"/>
    <w:rsid w:val="00071498"/>
    <w:rsid w:val="00071532"/>
    <w:rsid w:val="000717CF"/>
    <w:rsid w:val="000717F7"/>
    <w:rsid w:val="00071891"/>
    <w:rsid w:val="00071C28"/>
    <w:rsid w:val="00071CE2"/>
    <w:rsid w:val="00071E3D"/>
    <w:rsid w:val="00071F9B"/>
    <w:rsid w:val="0007219A"/>
    <w:rsid w:val="000723DE"/>
    <w:rsid w:val="000723E8"/>
    <w:rsid w:val="000724B9"/>
    <w:rsid w:val="00072784"/>
    <w:rsid w:val="000728B6"/>
    <w:rsid w:val="00072AC2"/>
    <w:rsid w:val="00072B37"/>
    <w:rsid w:val="00072BA0"/>
    <w:rsid w:val="000739F6"/>
    <w:rsid w:val="00073B64"/>
    <w:rsid w:val="00074124"/>
    <w:rsid w:val="00074212"/>
    <w:rsid w:val="0007435C"/>
    <w:rsid w:val="00074392"/>
    <w:rsid w:val="000744A5"/>
    <w:rsid w:val="0007470A"/>
    <w:rsid w:val="00074C26"/>
    <w:rsid w:val="00074D9C"/>
    <w:rsid w:val="0007505F"/>
    <w:rsid w:val="00075126"/>
    <w:rsid w:val="000752FB"/>
    <w:rsid w:val="0007537E"/>
    <w:rsid w:val="000753E3"/>
    <w:rsid w:val="0007547E"/>
    <w:rsid w:val="00075550"/>
    <w:rsid w:val="000755E2"/>
    <w:rsid w:val="0007569A"/>
    <w:rsid w:val="000757AF"/>
    <w:rsid w:val="000758AE"/>
    <w:rsid w:val="00075C99"/>
    <w:rsid w:val="000763CB"/>
    <w:rsid w:val="000764E7"/>
    <w:rsid w:val="00076594"/>
    <w:rsid w:val="0007695F"/>
    <w:rsid w:val="00076A6B"/>
    <w:rsid w:val="00076C8B"/>
    <w:rsid w:val="00076D16"/>
    <w:rsid w:val="00076E6F"/>
    <w:rsid w:val="0007722B"/>
    <w:rsid w:val="00077450"/>
    <w:rsid w:val="000774A4"/>
    <w:rsid w:val="0007772E"/>
    <w:rsid w:val="0007776B"/>
    <w:rsid w:val="000777F9"/>
    <w:rsid w:val="0007781C"/>
    <w:rsid w:val="00077839"/>
    <w:rsid w:val="000778E8"/>
    <w:rsid w:val="000779DB"/>
    <w:rsid w:val="00077E2A"/>
    <w:rsid w:val="00077F5A"/>
    <w:rsid w:val="00080131"/>
    <w:rsid w:val="00080204"/>
    <w:rsid w:val="00080442"/>
    <w:rsid w:val="00080825"/>
    <w:rsid w:val="00080855"/>
    <w:rsid w:val="0008089C"/>
    <w:rsid w:val="00080909"/>
    <w:rsid w:val="000809F8"/>
    <w:rsid w:val="00080A2B"/>
    <w:rsid w:val="00080EA9"/>
    <w:rsid w:val="00081104"/>
    <w:rsid w:val="0008145B"/>
    <w:rsid w:val="00081524"/>
    <w:rsid w:val="0008157A"/>
    <w:rsid w:val="000816BD"/>
    <w:rsid w:val="000817B1"/>
    <w:rsid w:val="000817DB"/>
    <w:rsid w:val="00081834"/>
    <w:rsid w:val="00081967"/>
    <w:rsid w:val="000819EB"/>
    <w:rsid w:val="00081B2B"/>
    <w:rsid w:val="00081D18"/>
    <w:rsid w:val="00081D36"/>
    <w:rsid w:val="000820FC"/>
    <w:rsid w:val="000821F0"/>
    <w:rsid w:val="00082410"/>
    <w:rsid w:val="00082618"/>
    <w:rsid w:val="0008269C"/>
    <w:rsid w:val="00082CA1"/>
    <w:rsid w:val="00082FA0"/>
    <w:rsid w:val="00082FF5"/>
    <w:rsid w:val="000833D8"/>
    <w:rsid w:val="00083410"/>
    <w:rsid w:val="0008358B"/>
    <w:rsid w:val="000837E1"/>
    <w:rsid w:val="00083A4B"/>
    <w:rsid w:val="00083F08"/>
    <w:rsid w:val="00084226"/>
    <w:rsid w:val="0008422C"/>
    <w:rsid w:val="00084535"/>
    <w:rsid w:val="00084A9B"/>
    <w:rsid w:val="00084BBC"/>
    <w:rsid w:val="00084DB3"/>
    <w:rsid w:val="00084FC1"/>
    <w:rsid w:val="000850C6"/>
    <w:rsid w:val="00085116"/>
    <w:rsid w:val="000854FF"/>
    <w:rsid w:val="000855A2"/>
    <w:rsid w:val="000856F5"/>
    <w:rsid w:val="00085B66"/>
    <w:rsid w:val="00085BA0"/>
    <w:rsid w:val="00085E7B"/>
    <w:rsid w:val="00086075"/>
    <w:rsid w:val="0008616A"/>
    <w:rsid w:val="000861D8"/>
    <w:rsid w:val="00086250"/>
    <w:rsid w:val="00086306"/>
    <w:rsid w:val="00086383"/>
    <w:rsid w:val="000864FB"/>
    <w:rsid w:val="00086539"/>
    <w:rsid w:val="000868D4"/>
    <w:rsid w:val="000868FA"/>
    <w:rsid w:val="00086947"/>
    <w:rsid w:val="00086B4E"/>
    <w:rsid w:val="00086C9D"/>
    <w:rsid w:val="00086DC8"/>
    <w:rsid w:val="00086E24"/>
    <w:rsid w:val="00087456"/>
    <w:rsid w:val="00087521"/>
    <w:rsid w:val="00087573"/>
    <w:rsid w:val="000877ED"/>
    <w:rsid w:val="00087819"/>
    <w:rsid w:val="00087F33"/>
    <w:rsid w:val="00087F4B"/>
    <w:rsid w:val="00090204"/>
    <w:rsid w:val="0009020F"/>
    <w:rsid w:val="000902B3"/>
    <w:rsid w:val="00090476"/>
    <w:rsid w:val="0009060B"/>
    <w:rsid w:val="000906FA"/>
    <w:rsid w:val="000908E3"/>
    <w:rsid w:val="000909AB"/>
    <w:rsid w:val="00090DA3"/>
    <w:rsid w:val="00090DDD"/>
    <w:rsid w:val="00091100"/>
    <w:rsid w:val="000914D2"/>
    <w:rsid w:val="000914DC"/>
    <w:rsid w:val="00091642"/>
    <w:rsid w:val="00091648"/>
    <w:rsid w:val="00091663"/>
    <w:rsid w:val="000919A1"/>
    <w:rsid w:val="000919C3"/>
    <w:rsid w:val="00091A84"/>
    <w:rsid w:val="00091B9D"/>
    <w:rsid w:val="00091BAB"/>
    <w:rsid w:val="00091E75"/>
    <w:rsid w:val="00091F18"/>
    <w:rsid w:val="00092007"/>
    <w:rsid w:val="00092082"/>
    <w:rsid w:val="000922AD"/>
    <w:rsid w:val="00092364"/>
    <w:rsid w:val="00092535"/>
    <w:rsid w:val="00092624"/>
    <w:rsid w:val="0009289B"/>
    <w:rsid w:val="000929DE"/>
    <w:rsid w:val="00092A1E"/>
    <w:rsid w:val="00092A9C"/>
    <w:rsid w:val="00092B08"/>
    <w:rsid w:val="00093031"/>
    <w:rsid w:val="0009316F"/>
    <w:rsid w:val="0009367C"/>
    <w:rsid w:val="000936F1"/>
    <w:rsid w:val="000939F1"/>
    <w:rsid w:val="00093ADC"/>
    <w:rsid w:val="00093C0D"/>
    <w:rsid w:val="00093C89"/>
    <w:rsid w:val="00093CA5"/>
    <w:rsid w:val="00093CED"/>
    <w:rsid w:val="00094178"/>
    <w:rsid w:val="000943CF"/>
    <w:rsid w:val="000945E6"/>
    <w:rsid w:val="00094A77"/>
    <w:rsid w:val="00094CD0"/>
    <w:rsid w:val="00094EDE"/>
    <w:rsid w:val="00094F57"/>
    <w:rsid w:val="00095163"/>
    <w:rsid w:val="000952C3"/>
    <w:rsid w:val="000953B7"/>
    <w:rsid w:val="0009544C"/>
    <w:rsid w:val="000954EA"/>
    <w:rsid w:val="00095776"/>
    <w:rsid w:val="00095857"/>
    <w:rsid w:val="00095977"/>
    <w:rsid w:val="00095F72"/>
    <w:rsid w:val="0009605F"/>
    <w:rsid w:val="0009631A"/>
    <w:rsid w:val="00096449"/>
    <w:rsid w:val="00096565"/>
    <w:rsid w:val="00096669"/>
    <w:rsid w:val="0009670F"/>
    <w:rsid w:val="00096753"/>
    <w:rsid w:val="00096969"/>
    <w:rsid w:val="00096E02"/>
    <w:rsid w:val="00096E5D"/>
    <w:rsid w:val="00097190"/>
    <w:rsid w:val="000973F7"/>
    <w:rsid w:val="000974B2"/>
    <w:rsid w:val="000974C2"/>
    <w:rsid w:val="00097501"/>
    <w:rsid w:val="00097979"/>
    <w:rsid w:val="000A03A5"/>
    <w:rsid w:val="000A0436"/>
    <w:rsid w:val="000A07AB"/>
    <w:rsid w:val="000A07DA"/>
    <w:rsid w:val="000A08DA"/>
    <w:rsid w:val="000A0B04"/>
    <w:rsid w:val="000A1264"/>
    <w:rsid w:val="000A13DA"/>
    <w:rsid w:val="000A17DB"/>
    <w:rsid w:val="000A1908"/>
    <w:rsid w:val="000A19DF"/>
    <w:rsid w:val="000A1A6A"/>
    <w:rsid w:val="000A1D7B"/>
    <w:rsid w:val="000A1D87"/>
    <w:rsid w:val="000A1F3F"/>
    <w:rsid w:val="000A1FC7"/>
    <w:rsid w:val="000A24E5"/>
    <w:rsid w:val="000A283C"/>
    <w:rsid w:val="000A2A0F"/>
    <w:rsid w:val="000A2D3D"/>
    <w:rsid w:val="000A2D6B"/>
    <w:rsid w:val="000A2EF7"/>
    <w:rsid w:val="000A319F"/>
    <w:rsid w:val="000A329D"/>
    <w:rsid w:val="000A34DC"/>
    <w:rsid w:val="000A3690"/>
    <w:rsid w:val="000A3742"/>
    <w:rsid w:val="000A3789"/>
    <w:rsid w:val="000A39EE"/>
    <w:rsid w:val="000A3A47"/>
    <w:rsid w:val="000A3B93"/>
    <w:rsid w:val="000A3CA2"/>
    <w:rsid w:val="000A3D34"/>
    <w:rsid w:val="000A3E50"/>
    <w:rsid w:val="000A4209"/>
    <w:rsid w:val="000A44DD"/>
    <w:rsid w:val="000A46B9"/>
    <w:rsid w:val="000A48C2"/>
    <w:rsid w:val="000A4C96"/>
    <w:rsid w:val="000A5199"/>
    <w:rsid w:val="000A52FF"/>
    <w:rsid w:val="000A566B"/>
    <w:rsid w:val="000A56AA"/>
    <w:rsid w:val="000A5941"/>
    <w:rsid w:val="000A5A72"/>
    <w:rsid w:val="000A5D40"/>
    <w:rsid w:val="000A5D60"/>
    <w:rsid w:val="000A6036"/>
    <w:rsid w:val="000A64B9"/>
    <w:rsid w:val="000A6593"/>
    <w:rsid w:val="000A6957"/>
    <w:rsid w:val="000A6A42"/>
    <w:rsid w:val="000A6A4D"/>
    <w:rsid w:val="000A6C69"/>
    <w:rsid w:val="000A6E5E"/>
    <w:rsid w:val="000A74E1"/>
    <w:rsid w:val="000A7559"/>
    <w:rsid w:val="000A78D9"/>
    <w:rsid w:val="000A7C2D"/>
    <w:rsid w:val="000A7CF5"/>
    <w:rsid w:val="000A7DE2"/>
    <w:rsid w:val="000A7EAD"/>
    <w:rsid w:val="000A7FC9"/>
    <w:rsid w:val="000B0032"/>
    <w:rsid w:val="000B07E1"/>
    <w:rsid w:val="000B080B"/>
    <w:rsid w:val="000B0B07"/>
    <w:rsid w:val="000B0D7E"/>
    <w:rsid w:val="000B0F5B"/>
    <w:rsid w:val="000B11D5"/>
    <w:rsid w:val="000B13B4"/>
    <w:rsid w:val="000B140B"/>
    <w:rsid w:val="000B141D"/>
    <w:rsid w:val="000B1555"/>
    <w:rsid w:val="000B15A4"/>
    <w:rsid w:val="000B15B2"/>
    <w:rsid w:val="000B1651"/>
    <w:rsid w:val="000B1CAF"/>
    <w:rsid w:val="000B21F6"/>
    <w:rsid w:val="000B220A"/>
    <w:rsid w:val="000B2459"/>
    <w:rsid w:val="000B2543"/>
    <w:rsid w:val="000B25C8"/>
    <w:rsid w:val="000B2772"/>
    <w:rsid w:val="000B28CA"/>
    <w:rsid w:val="000B2A7A"/>
    <w:rsid w:val="000B2FD6"/>
    <w:rsid w:val="000B30D5"/>
    <w:rsid w:val="000B33F4"/>
    <w:rsid w:val="000B378D"/>
    <w:rsid w:val="000B37FB"/>
    <w:rsid w:val="000B38DE"/>
    <w:rsid w:val="000B3980"/>
    <w:rsid w:val="000B3BB0"/>
    <w:rsid w:val="000B4277"/>
    <w:rsid w:val="000B4398"/>
    <w:rsid w:val="000B451C"/>
    <w:rsid w:val="000B49CC"/>
    <w:rsid w:val="000B4B11"/>
    <w:rsid w:val="000B4B39"/>
    <w:rsid w:val="000B4CBE"/>
    <w:rsid w:val="000B50D5"/>
    <w:rsid w:val="000B5D3E"/>
    <w:rsid w:val="000B5F14"/>
    <w:rsid w:val="000B5FBC"/>
    <w:rsid w:val="000B61BD"/>
    <w:rsid w:val="000B61FB"/>
    <w:rsid w:val="000B675C"/>
    <w:rsid w:val="000B68B8"/>
    <w:rsid w:val="000B6E7D"/>
    <w:rsid w:val="000B6F5A"/>
    <w:rsid w:val="000B7081"/>
    <w:rsid w:val="000B70AE"/>
    <w:rsid w:val="000B70E8"/>
    <w:rsid w:val="000B71A9"/>
    <w:rsid w:val="000B7276"/>
    <w:rsid w:val="000B73E6"/>
    <w:rsid w:val="000B784B"/>
    <w:rsid w:val="000B7939"/>
    <w:rsid w:val="000B7BDA"/>
    <w:rsid w:val="000B7C0B"/>
    <w:rsid w:val="000B7CC0"/>
    <w:rsid w:val="000B7D89"/>
    <w:rsid w:val="000C003D"/>
    <w:rsid w:val="000C0095"/>
    <w:rsid w:val="000C024A"/>
    <w:rsid w:val="000C08DA"/>
    <w:rsid w:val="000C095E"/>
    <w:rsid w:val="000C0A4E"/>
    <w:rsid w:val="000C0A93"/>
    <w:rsid w:val="000C105B"/>
    <w:rsid w:val="000C129F"/>
    <w:rsid w:val="000C144A"/>
    <w:rsid w:val="000C15D6"/>
    <w:rsid w:val="000C169D"/>
    <w:rsid w:val="000C17A0"/>
    <w:rsid w:val="000C189C"/>
    <w:rsid w:val="000C1986"/>
    <w:rsid w:val="000C1B85"/>
    <w:rsid w:val="000C1CCD"/>
    <w:rsid w:val="000C1DB3"/>
    <w:rsid w:val="000C1E17"/>
    <w:rsid w:val="000C21F6"/>
    <w:rsid w:val="000C270F"/>
    <w:rsid w:val="000C2849"/>
    <w:rsid w:val="000C28CE"/>
    <w:rsid w:val="000C29B3"/>
    <w:rsid w:val="000C2BD8"/>
    <w:rsid w:val="000C2D50"/>
    <w:rsid w:val="000C2E90"/>
    <w:rsid w:val="000C2FE6"/>
    <w:rsid w:val="000C30F5"/>
    <w:rsid w:val="000C3155"/>
    <w:rsid w:val="000C3172"/>
    <w:rsid w:val="000C32B6"/>
    <w:rsid w:val="000C32C9"/>
    <w:rsid w:val="000C361D"/>
    <w:rsid w:val="000C3620"/>
    <w:rsid w:val="000C3752"/>
    <w:rsid w:val="000C38F9"/>
    <w:rsid w:val="000C390B"/>
    <w:rsid w:val="000C3B80"/>
    <w:rsid w:val="000C3BB3"/>
    <w:rsid w:val="000C3CA5"/>
    <w:rsid w:val="000C3EF1"/>
    <w:rsid w:val="000C3FB2"/>
    <w:rsid w:val="000C428C"/>
    <w:rsid w:val="000C4425"/>
    <w:rsid w:val="000C45F1"/>
    <w:rsid w:val="000C4637"/>
    <w:rsid w:val="000C46A1"/>
    <w:rsid w:val="000C4895"/>
    <w:rsid w:val="000C4910"/>
    <w:rsid w:val="000C4A64"/>
    <w:rsid w:val="000C4BD5"/>
    <w:rsid w:val="000C4D44"/>
    <w:rsid w:val="000C5010"/>
    <w:rsid w:val="000C5110"/>
    <w:rsid w:val="000C543B"/>
    <w:rsid w:val="000C572E"/>
    <w:rsid w:val="000C5797"/>
    <w:rsid w:val="000C58C8"/>
    <w:rsid w:val="000C592E"/>
    <w:rsid w:val="000C5A35"/>
    <w:rsid w:val="000C5B2B"/>
    <w:rsid w:val="000C5D1F"/>
    <w:rsid w:val="000C5FDB"/>
    <w:rsid w:val="000C60C0"/>
    <w:rsid w:val="000C61E1"/>
    <w:rsid w:val="000C6202"/>
    <w:rsid w:val="000C6388"/>
    <w:rsid w:val="000C6400"/>
    <w:rsid w:val="000C6797"/>
    <w:rsid w:val="000C681F"/>
    <w:rsid w:val="000C6824"/>
    <w:rsid w:val="000C6944"/>
    <w:rsid w:val="000C69A8"/>
    <w:rsid w:val="000C6B1A"/>
    <w:rsid w:val="000C6C3E"/>
    <w:rsid w:val="000C6F7C"/>
    <w:rsid w:val="000C7000"/>
    <w:rsid w:val="000C74B1"/>
    <w:rsid w:val="000C78C0"/>
    <w:rsid w:val="000C7A38"/>
    <w:rsid w:val="000C7F69"/>
    <w:rsid w:val="000C7F6D"/>
    <w:rsid w:val="000C7F7A"/>
    <w:rsid w:val="000D0077"/>
    <w:rsid w:val="000D0186"/>
    <w:rsid w:val="000D0251"/>
    <w:rsid w:val="000D0858"/>
    <w:rsid w:val="000D08FC"/>
    <w:rsid w:val="000D0938"/>
    <w:rsid w:val="000D0979"/>
    <w:rsid w:val="000D0A09"/>
    <w:rsid w:val="000D0A5B"/>
    <w:rsid w:val="000D0A80"/>
    <w:rsid w:val="000D0B45"/>
    <w:rsid w:val="000D0BBA"/>
    <w:rsid w:val="000D0C16"/>
    <w:rsid w:val="000D0C54"/>
    <w:rsid w:val="000D0EE1"/>
    <w:rsid w:val="000D1296"/>
    <w:rsid w:val="000D12B2"/>
    <w:rsid w:val="000D13FB"/>
    <w:rsid w:val="000D15AC"/>
    <w:rsid w:val="000D1717"/>
    <w:rsid w:val="000D184F"/>
    <w:rsid w:val="000D1BB6"/>
    <w:rsid w:val="000D1BC2"/>
    <w:rsid w:val="000D1CDA"/>
    <w:rsid w:val="000D1CE9"/>
    <w:rsid w:val="000D1E2A"/>
    <w:rsid w:val="000D2175"/>
    <w:rsid w:val="000D2228"/>
    <w:rsid w:val="000D293C"/>
    <w:rsid w:val="000D2942"/>
    <w:rsid w:val="000D2A0C"/>
    <w:rsid w:val="000D2B15"/>
    <w:rsid w:val="000D2C38"/>
    <w:rsid w:val="000D2C54"/>
    <w:rsid w:val="000D2D8F"/>
    <w:rsid w:val="000D3027"/>
    <w:rsid w:val="000D315D"/>
    <w:rsid w:val="000D31B6"/>
    <w:rsid w:val="000D339B"/>
    <w:rsid w:val="000D33A6"/>
    <w:rsid w:val="000D34AB"/>
    <w:rsid w:val="000D3576"/>
    <w:rsid w:val="000D3622"/>
    <w:rsid w:val="000D369C"/>
    <w:rsid w:val="000D36DB"/>
    <w:rsid w:val="000D3813"/>
    <w:rsid w:val="000D3A77"/>
    <w:rsid w:val="000D3C02"/>
    <w:rsid w:val="000D3E14"/>
    <w:rsid w:val="000D42EE"/>
    <w:rsid w:val="000D4412"/>
    <w:rsid w:val="000D4525"/>
    <w:rsid w:val="000D456D"/>
    <w:rsid w:val="000D458A"/>
    <w:rsid w:val="000D48E9"/>
    <w:rsid w:val="000D4C33"/>
    <w:rsid w:val="000D4EE9"/>
    <w:rsid w:val="000D4F57"/>
    <w:rsid w:val="000D5023"/>
    <w:rsid w:val="000D5543"/>
    <w:rsid w:val="000D55AF"/>
    <w:rsid w:val="000D5A23"/>
    <w:rsid w:val="000D5B5E"/>
    <w:rsid w:val="000D5DF5"/>
    <w:rsid w:val="000D5EF0"/>
    <w:rsid w:val="000D61BB"/>
    <w:rsid w:val="000D62F8"/>
    <w:rsid w:val="000D64AF"/>
    <w:rsid w:val="000D64D4"/>
    <w:rsid w:val="000D64E9"/>
    <w:rsid w:val="000D666E"/>
    <w:rsid w:val="000D66D2"/>
    <w:rsid w:val="000D6BAE"/>
    <w:rsid w:val="000D6C07"/>
    <w:rsid w:val="000D6D79"/>
    <w:rsid w:val="000D6F1D"/>
    <w:rsid w:val="000D761B"/>
    <w:rsid w:val="000D7855"/>
    <w:rsid w:val="000D7891"/>
    <w:rsid w:val="000D78B2"/>
    <w:rsid w:val="000D7AAC"/>
    <w:rsid w:val="000D7DFD"/>
    <w:rsid w:val="000E0148"/>
    <w:rsid w:val="000E02D9"/>
    <w:rsid w:val="000E070E"/>
    <w:rsid w:val="000E0AC1"/>
    <w:rsid w:val="000E0AC7"/>
    <w:rsid w:val="000E0FA4"/>
    <w:rsid w:val="000E10EF"/>
    <w:rsid w:val="000E120A"/>
    <w:rsid w:val="000E131B"/>
    <w:rsid w:val="000E1784"/>
    <w:rsid w:val="000E1AD3"/>
    <w:rsid w:val="000E1B05"/>
    <w:rsid w:val="000E1B2C"/>
    <w:rsid w:val="000E1B62"/>
    <w:rsid w:val="000E1BB9"/>
    <w:rsid w:val="000E1C7A"/>
    <w:rsid w:val="000E1CDF"/>
    <w:rsid w:val="000E26B0"/>
    <w:rsid w:val="000E2B19"/>
    <w:rsid w:val="000E2CBE"/>
    <w:rsid w:val="000E2CCB"/>
    <w:rsid w:val="000E2E2D"/>
    <w:rsid w:val="000E2E9D"/>
    <w:rsid w:val="000E30E9"/>
    <w:rsid w:val="000E30EF"/>
    <w:rsid w:val="000E361F"/>
    <w:rsid w:val="000E395B"/>
    <w:rsid w:val="000E3AC5"/>
    <w:rsid w:val="000E3B6E"/>
    <w:rsid w:val="000E3BB5"/>
    <w:rsid w:val="000E3CFD"/>
    <w:rsid w:val="000E3DE3"/>
    <w:rsid w:val="000E413D"/>
    <w:rsid w:val="000E4233"/>
    <w:rsid w:val="000E43AE"/>
    <w:rsid w:val="000E4725"/>
    <w:rsid w:val="000E47D8"/>
    <w:rsid w:val="000E499E"/>
    <w:rsid w:val="000E4A28"/>
    <w:rsid w:val="000E4AE2"/>
    <w:rsid w:val="000E51DB"/>
    <w:rsid w:val="000E5777"/>
    <w:rsid w:val="000E587C"/>
    <w:rsid w:val="000E5A6F"/>
    <w:rsid w:val="000E5ABD"/>
    <w:rsid w:val="000E5D24"/>
    <w:rsid w:val="000E62DA"/>
    <w:rsid w:val="000E636D"/>
    <w:rsid w:val="000E6988"/>
    <w:rsid w:val="000E6B2E"/>
    <w:rsid w:val="000E6BA9"/>
    <w:rsid w:val="000E6CF5"/>
    <w:rsid w:val="000E6E2A"/>
    <w:rsid w:val="000E73B8"/>
    <w:rsid w:val="000E73FE"/>
    <w:rsid w:val="000E7579"/>
    <w:rsid w:val="000E75C8"/>
    <w:rsid w:val="000E7615"/>
    <w:rsid w:val="000E785C"/>
    <w:rsid w:val="000E78B0"/>
    <w:rsid w:val="000E78D1"/>
    <w:rsid w:val="000E79E9"/>
    <w:rsid w:val="000E79EF"/>
    <w:rsid w:val="000E7A09"/>
    <w:rsid w:val="000E7E6B"/>
    <w:rsid w:val="000F0142"/>
    <w:rsid w:val="000F0208"/>
    <w:rsid w:val="000F03E8"/>
    <w:rsid w:val="000F04DB"/>
    <w:rsid w:val="000F04FA"/>
    <w:rsid w:val="000F0516"/>
    <w:rsid w:val="000F0518"/>
    <w:rsid w:val="000F0636"/>
    <w:rsid w:val="000F0932"/>
    <w:rsid w:val="000F0F53"/>
    <w:rsid w:val="000F0F65"/>
    <w:rsid w:val="000F12CB"/>
    <w:rsid w:val="000F133E"/>
    <w:rsid w:val="000F174D"/>
    <w:rsid w:val="000F1853"/>
    <w:rsid w:val="000F18C2"/>
    <w:rsid w:val="000F1BAB"/>
    <w:rsid w:val="000F1D51"/>
    <w:rsid w:val="000F215A"/>
    <w:rsid w:val="000F21CF"/>
    <w:rsid w:val="000F2537"/>
    <w:rsid w:val="000F25A1"/>
    <w:rsid w:val="000F26EA"/>
    <w:rsid w:val="000F2798"/>
    <w:rsid w:val="000F2B21"/>
    <w:rsid w:val="000F2C54"/>
    <w:rsid w:val="000F2E94"/>
    <w:rsid w:val="000F2F4B"/>
    <w:rsid w:val="000F305C"/>
    <w:rsid w:val="000F315A"/>
    <w:rsid w:val="000F33A7"/>
    <w:rsid w:val="000F361F"/>
    <w:rsid w:val="000F365D"/>
    <w:rsid w:val="000F3689"/>
    <w:rsid w:val="000F3782"/>
    <w:rsid w:val="000F3C9A"/>
    <w:rsid w:val="000F407C"/>
    <w:rsid w:val="000F425D"/>
    <w:rsid w:val="000F4398"/>
    <w:rsid w:val="000F43EC"/>
    <w:rsid w:val="000F4A84"/>
    <w:rsid w:val="000F4BB2"/>
    <w:rsid w:val="000F4BE5"/>
    <w:rsid w:val="000F506C"/>
    <w:rsid w:val="000F5428"/>
    <w:rsid w:val="000F56AD"/>
    <w:rsid w:val="000F5843"/>
    <w:rsid w:val="000F5A06"/>
    <w:rsid w:val="000F5E39"/>
    <w:rsid w:val="000F5F35"/>
    <w:rsid w:val="000F6215"/>
    <w:rsid w:val="000F62FD"/>
    <w:rsid w:val="000F66B3"/>
    <w:rsid w:val="000F674E"/>
    <w:rsid w:val="000F69B9"/>
    <w:rsid w:val="000F6EC3"/>
    <w:rsid w:val="000F70CB"/>
    <w:rsid w:val="000F71D6"/>
    <w:rsid w:val="000F7461"/>
    <w:rsid w:val="000F7466"/>
    <w:rsid w:val="000F768F"/>
    <w:rsid w:val="000F76BE"/>
    <w:rsid w:val="000F7ADD"/>
    <w:rsid w:val="000F7E4B"/>
    <w:rsid w:val="000F7E7A"/>
    <w:rsid w:val="000F7F1A"/>
    <w:rsid w:val="000F7F4D"/>
    <w:rsid w:val="00100100"/>
    <w:rsid w:val="001001E5"/>
    <w:rsid w:val="0010039E"/>
    <w:rsid w:val="00100561"/>
    <w:rsid w:val="001006B5"/>
    <w:rsid w:val="00100756"/>
    <w:rsid w:val="00100764"/>
    <w:rsid w:val="0010090C"/>
    <w:rsid w:val="00100930"/>
    <w:rsid w:val="00100A89"/>
    <w:rsid w:val="00100B8A"/>
    <w:rsid w:val="00100BA7"/>
    <w:rsid w:val="00100E1B"/>
    <w:rsid w:val="00100F21"/>
    <w:rsid w:val="001012CB"/>
    <w:rsid w:val="001012D9"/>
    <w:rsid w:val="001013EF"/>
    <w:rsid w:val="001014C2"/>
    <w:rsid w:val="001017EE"/>
    <w:rsid w:val="0010189B"/>
    <w:rsid w:val="00101A35"/>
    <w:rsid w:val="00101C01"/>
    <w:rsid w:val="00101C80"/>
    <w:rsid w:val="00101CB8"/>
    <w:rsid w:val="00101DA8"/>
    <w:rsid w:val="001026CE"/>
    <w:rsid w:val="00102742"/>
    <w:rsid w:val="001027C7"/>
    <w:rsid w:val="0010287D"/>
    <w:rsid w:val="00102BD4"/>
    <w:rsid w:val="00102D19"/>
    <w:rsid w:val="00102E74"/>
    <w:rsid w:val="001030D4"/>
    <w:rsid w:val="0010342F"/>
    <w:rsid w:val="0010351F"/>
    <w:rsid w:val="0010360A"/>
    <w:rsid w:val="00103637"/>
    <w:rsid w:val="001037B5"/>
    <w:rsid w:val="001038C9"/>
    <w:rsid w:val="00103C29"/>
    <w:rsid w:val="00103DB8"/>
    <w:rsid w:val="00103F10"/>
    <w:rsid w:val="00103F1C"/>
    <w:rsid w:val="00103FCD"/>
    <w:rsid w:val="0010413E"/>
    <w:rsid w:val="001042BB"/>
    <w:rsid w:val="00104389"/>
    <w:rsid w:val="0010441A"/>
    <w:rsid w:val="0010444D"/>
    <w:rsid w:val="00104501"/>
    <w:rsid w:val="0010483C"/>
    <w:rsid w:val="00104986"/>
    <w:rsid w:val="001049A5"/>
    <w:rsid w:val="001051CB"/>
    <w:rsid w:val="00105282"/>
    <w:rsid w:val="00105D37"/>
    <w:rsid w:val="00105FB8"/>
    <w:rsid w:val="00105FD1"/>
    <w:rsid w:val="0010620C"/>
    <w:rsid w:val="001062E9"/>
    <w:rsid w:val="0010644C"/>
    <w:rsid w:val="0010651C"/>
    <w:rsid w:val="00106529"/>
    <w:rsid w:val="001066C5"/>
    <w:rsid w:val="00106701"/>
    <w:rsid w:val="001068C7"/>
    <w:rsid w:val="001068EB"/>
    <w:rsid w:val="0010707F"/>
    <w:rsid w:val="001073DD"/>
    <w:rsid w:val="001073E5"/>
    <w:rsid w:val="001075F6"/>
    <w:rsid w:val="00107A5C"/>
    <w:rsid w:val="00107AEA"/>
    <w:rsid w:val="00107E35"/>
    <w:rsid w:val="00110381"/>
    <w:rsid w:val="001104EE"/>
    <w:rsid w:val="00110933"/>
    <w:rsid w:val="00110972"/>
    <w:rsid w:val="00110CAD"/>
    <w:rsid w:val="00110F10"/>
    <w:rsid w:val="00110F9C"/>
    <w:rsid w:val="00111032"/>
    <w:rsid w:val="001110E1"/>
    <w:rsid w:val="00111433"/>
    <w:rsid w:val="0011148C"/>
    <w:rsid w:val="0011155C"/>
    <w:rsid w:val="001117C7"/>
    <w:rsid w:val="00111990"/>
    <w:rsid w:val="001119DB"/>
    <w:rsid w:val="00111AA9"/>
    <w:rsid w:val="00111C4D"/>
    <w:rsid w:val="0011220D"/>
    <w:rsid w:val="00112592"/>
    <w:rsid w:val="001125CA"/>
    <w:rsid w:val="001126EF"/>
    <w:rsid w:val="00112737"/>
    <w:rsid w:val="001127C3"/>
    <w:rsid w:val="00112813"/>
    <w:rsid w:val="00112838"/>
    <w:rsid w:val="001128CF"/>
    <w:rsid w:val="001129FE"/>
    <w:rsid w:val="00112B48"/>
    <w:rsid w:val="00113069"/>
    <w:rsid w:val="001130B5"/>
    <w:rsid w:val="001132F8"/>
    <w:rsid w:val="00113579"/>
    <w:rsid w:val="00113614"/>
    <w:rsid w:val="0011361B"/>
    <w:rsid w:val="00113620"/>
    <w:rsid w:val="00113628"/>
    <w:rsid w:val="001137BF"/>
    <w:rsid w:val="00113832"/>
    <w:rsid w:val="00114056"/>
    <w:rsid w:val="0011408D"/>
    <w:rsid w:val="001141B1"/>
    <w:rsid w:val="00114231"/>
    <w:rsid w:val="00114242"/>
    <w:rsid w:val="001146E0"/>
    <w:rsid w:val="001148B7"/>
    <w:rsid w:val="001149C9"/>
    <w:rsid w:val="00114B00"/>
    <w:rsid w:val="00114BEA"/>
    <w:rsid w:val="00114C9B"/>
    <w:rsid w:val="00114CEC"/>
    <w:rsid w:val="00114E43"/>
    <w:rsid w:val="001151DC"/>
    <w:rsid w:val="001152C4"/>
    <w:rsid w:val="00115311"/>
    <w:rsid w:val="0011544A"/>
    <w:rsid w:val="001157E5"/>
    <w:rsid w:val="00115C89"/>
    <w:rsid w:val="00115CD5"/>
    <w:rsid w:val="00115FF7"/>
    <w:rsid w:val="00116423"/>
    <w:rsid w:val="00116539"/>
    <w:rsid w:val="00116547"/>
    <w:rsid w:val="001165AE"/>
    <w:rsid w:val="00116DD2"/>
    <w:rsid w:val="00116DD9"/>
    <w:rsid w:val="00116E3B"/>
    <w:rsid w:val="00117235"/>
    <w:rsid w:val="0011790B"/>
    <w:rsid w:val="00117933"/>
    <w:rsid w:val="00117A6B"/>
    <w:rsid w:val="00117C62"/>
    <w:rsid w:val="00117F8A"/>
    <w:rsid w:val="00120183"/>
    <w:rsid w:val="00120199"/>
    <w:rsid w:val="001201BB"/>
    <w:rsid w:val="00120201"/>
    <w:rsid w:val="00120242"/>
    <w:rsid w:val="001206F6"/>
    <w:rsid w:val="00120C8F"/>
    <w:rsid w:val="00120FAE"/>
    <w:rsid w:val="00121168"/>
    <w:rsid w:val="001217AC"/>
    <w:rsid w:val="001224BF"/>
    <w:rsid w:val="00122671"/>
    <w:rsid w:val="0012291A"/>
    <w:rsid w:val="00122C97"/>
    <w:rsid w:val="00122D71"/>
    <w:rsid w:val="00122DD8"/>
    <w:rsid w:val="00122F98"/>
    <w:rsid w:val="0012306D"/>
    <w:rsid w:val="001232CB"/>
    <w:rsid w:val="001234BA"/>
    <w:rsid w:val="0012377C"/>
    <w:rsid w:val="001237B5"/>
    <w:rsid w:val="001239D3"/>
    <w:rsid w:val="001239F3"/>
    <w:rsid w:val="0012404D"/>
    <w:rsid w:val="00124133"/>
    <w:rsid w:val="00124174"/>
    <w:rsid w:val="0012431D"/>
    <w:rsid w:val="001244D0"/>
    <w:rsid w:val="00124B9B"/>
    <w:rsid w:val="00124E4B"/>
    <w:rsid w:val="00125073"/>
    <w:rsid w:val="001251F0"/>
    <w:rsid w:val="001254E2"/>
    <w:rsid w:val="00125579"/>
    <w:rsid w:val="00125709"/>
    <w:rsid w:val="001258F0"/>
    <w:rsid w:val="00125BB2"/>
    <w:rsid w:val="00125EEA"/>
    <w:rsid w:val="00125F68"/>
    <w:rsid w:val="00126822"/>
    <w:rsid w:val="00126823"/>
    <w:rsid w:val="00126875"/>
    <w:rsid w:val="0012692B"/>
    <w:rsid w:val="00126989"/>
    <w:rsid w:val="00126CCC"/>
    <w:rsid w:val="00126D76"/>
    <w:rsid w:val="00126F57"/>
    <w:rsid w:val="001270DD"/>
    <w:rsid w:val="0012717C"/>
    <w:rsid w:val="001272FB"/>
    <w:rsid w:val="001273E3"/>
    <w:rsid w:val="001278C7"/>
    <w:rsid w:val="00127A62"/>
    <w:rsid w:val="00127AD1"/>
    <w:rsid w:val="00127CF5"/>
    <w:rsid w:val="00127D54"/>
    <w:rsid w:val="00127E64"/>
    <w:rsid w:val="00127F97"/>
    <w:rsid w:val="00130260"/>
    <w:rsid w:val="00130617"/>
    <w:rsid w:val="0013065C"/>
    <w:rsid w:val="001306CA"/>
    <w:rsid w:val="00130A35"/>
    <w:rsid w:val="00131005"/>
    <w:rsid w:val="00131026"/>
    <w:rsid w:val="00131117"/>
    <w:rsid w:val="00131904"/>
    <w:rsid w:val="00131CFD"/>
    <w:rsid w:val="00131E40"/>
    <w:rsid w:val="00131F4B"/>
    <w:rsid w:val="00131F4C"/>
    <w:rsid w:val="001322B8"/>
    <w:rsid w:val="0013241C"/>
    <w:rsid w:val="0013258D"/>
    <w:rsid w:val="00132A99"/>
    <w:rsid w:val="00132C79"/>
    <w:rsid w:val="00132FA0"/>
    <w:rsid w:val="00133A34"/>
    <w:rsid w:val="00133AC5"/>
    <w:rsid w:val="00133AEE"/>
    <w:rsid w:val="00133BD3"/>
    <w:rsid w:val="00133CA1"/>
    <w:rsid w:val="00133F67"/>
    <w:rsid w:val="0013439F"/>
    <w:rsid w:val="00134470"/>
    <w:rsid w:val="00134480"/>
    <w:rsid w:val="00134522"/>
    <w:rsid w:val="00134811"/>
    <w:rsid w:val="0013494A"/>
    <w:rsid w:val="001349B8"/>
    <w:rsid w:val="00134D95"/>
    <w:rsid w:val="00134EEA"/>
    <w:rsid w:val="001356A5"/>
    <w:rsid w:val="001360D2"/>
    <w:rsid w:val="001362BE"/>
    <w:rsid w:val="001367B2"/>
    <w:rsid w:val="00136903"/>
    <w:rsid w:val="0013695A"/>
    <w:rsid w:val="00136A68"/>
    <w:rsid w:val="00136EF4"/>
    <w:rsid w:val="00137031"/>
    <w:rsid w:val="00137163"/>
    <w:rsid w:val="001372FB"/>
    <w:rsid w:val="00137350"/>
    <w:rsid w:val="0013739A"/>
    <w:rsid w:val="00137499"/>
    <w:rsid w:val="0013777E"/>
    <w:rsid w:val="00140227"/>
    <w:rsid w:val="0014023A"/>
    <w:rsid w:val="00140350"/>
    <w:rsid w:val="0014044B"/>
    <w:rsid w:val="0014046D"/>
    <w:rsid w:val="00140A5E"/>
    <w:rsid w:val="00140CFC"/>
    <w:rsid w:val="00140E2D"/>
    <w:rsid w:val="00141247"/>
    <w:rsid w:val="0014126F"/>
    <w:rsid w:val="001413C0"/>
    <w:rsid w:val="00141663"/>
    <w:rsid w:val="001418F7"/>
    <w:rsid w:val="001419DE"/>
    <w:rsid w:val="00141B7D"/>
    <w:rsid w:val="00141B7E"/>
    <w:rsid w:val="0014206E"/>
    <w:rsid w:val="001420A1"/>
    <w:rsid w:val="001421A5"/>
    <w:rsid w:val="00142297"/>
    <w:rsid w:val="00142438"/>
    <w:rsid w:val="0014265F"/>
    <w:rsid w:val="0014274A"/>
    <w:rsid w:val="001428FF"/>
    <w:rsid w:val="00142A91"/>
    <w:rsid w:val="00142AE3"/>
    <w:rsid w:val="00142E5C"/>
    <w:rsid w:val="00142E64"/>
    <w:rsid w:val="00142E6D"/>
    <w:rsid w:val="001430E8"/>
    <w:rsid w:val="00143156"/>
    <w:rsid w:val="00143288"/>
    <w:rsid w:val="001432AA"/>
    <w:rsid w:val="001433FD"/>
    <w:rsid w:val="00143536"/>
    <w:rsid w:val="001435A1"/>
    <w:rsid w:val="00143867"/>
    <w:rsid w:val="00143CB5"/>
    <w:rsid w:val="00144115"/>
    <w:rsid w:val="00144564"/>
    <w:rsid w:val="00144710"/>
    <w:rsid w:val="00144B8A"/>
    <w:rsid w:val="00145166"/>
    <w:rsid w:val="00145371"/>
    <w:rsid w:val="001453DE"/>
    <w:rsid w:val="0014540F"/>
    <w:rsid w:val="00145606"/>
    <w:rsid w:val="0014573D"/>
    <w:rsid w:val="00145ABD"/>
    <w:rsid w:val="00145D0A"/>
    <w:rsid w:val="001460C1"/>
    <w:rsid w:val="001460EA"/>
    <w:rsid w:val="001460ED"/>
    <w:rsid w:val="0014615D"/>
    <w:rsid w:val="00146233"/>
    <w:rsid w:val="0014652F"/>
    <w:rsid w:val="0014688C"/>
    <w:rsid w:val="00146B98"/>
    <w:rsid w:val="00146C3B"/>
    <w:rsid w:val="00147103"/>
    <w:rsid w:val="001474AA"/>
    <w:rsid w:val="00147546"/>
    <w:rsid w:val="001475D6"/>
    <w:rsid w:val="001478BF"/>
    <w:rsid w:val="001479B0"/>
    <w:rsid w:val="001479EB"/>
    <w:rsid w:val="00147A06"/>
    <w:rsid w:val="001501F9"/>
    <w:rsid w:val="001506F0"/>
    <w:rsid w:val="001507C0"/>
    <w:rsid w:val="00150963"/>
    <w:rsid w:val="00150BE7"/>
    <w:rsid w:val="00150E2C"/>
    <w:rsid w:val="00150F69"/>
    <w:rsid w:val="00151235"/>
    <w:rsid w:val="001512E2"/>
    <w:rsid w:val="001512EA"/>
    <w:rsid w:val="00151485"/>
    <w:rsid w:val="00151643"/>
    <w:rsid w:val="001516C9"/>
    <w:rsid w:val="00151760"/>
    <w:rsid w:val="001517A9"/>
    <w:rsid w:val="0015197C"/>
    <w:rsid w:val="00151D75"/>
    <w:rsid w:val="00151DF1"/>
    <w:rsid w:val="00151DFA"/>
    <w:rsid w:val="0015219A"/>
    <w:rsid w:val="0015230F"/>
    <w:rsid w:val="00152401"/>
    <w:rsid w:val="00152463"/>
    <w:rsid w:val="001525F1"/>
    <w:rsid w:val="001526E2"/>
    <w:rsid w:val="001528BD"/>
    <w:rsid w:val="001529C5"/>
    <w:rsid w:val="00152A95"/>
    <w:rsid w:val="00152AE0"/>
    <w:rsid w:val="00152C7B"/>
    <w:rsid w:val="00152FCF"/>
    <w:rsid w:val="00153063"/>
    <w:rsid w:val="001530D5"/>
    <w:rsid w:val="001534EC"/>
    <w:rsid w:val="001535DD"/>
    <w:rsid w:val="0015372F"/>
    <w:rsid w:val="001537BC"/>
    <w:rsid w:val="00153A53"/>
    <w:rsid w:val="00153C61"/>
    <w:rsid w:val="00153D07"/>
    <w:rsid w:val="00153ED2"/>
    <w:rsid w:val="00153F20"/>
    <w:rsid w:val="00154071"/>
    <w:rsid w:val="001540F3"/>
    <w:rsid w:val="0015419B"/>
    <w:rsid w:val="001541A4"/>
    <w:rsid w:val="00154208"/>
    <w:rsid w:val="00154377"/>
    <w:rsid w:val="0015439F"/>
    <w:rsid w:val="001544F2"/>
    <w:rsid w:val="00154515"/>
    <w:rsid w:val="00154892"/>
    <w:rsid w:val="00154A36"/>
    <w:rsid w:val="00154ABD"/>
    <w:rsid w:val="00154B2E"/>
    <w:rsid w:val="00154BF3"/>
    <w:rsid w:val="0015511A"/>
    <w:rsid w:val="001553DD"/>
    <w:rsid w:val="00155615"/>
    <w:rsid w:val="00155800"/>
    <w:rsid w:val="00155A6C"/>
    <w:rsid w:val="00155B16"/>
    <w:rsid w:val="00155CCA"/>
    <w:rsid w:val="00155E17"/>
    <w:rsid w:val="001562B8"/>
    <w:rsid w:val="001564C4"/>
    <w:rsid w:val="001567B4"/>
    <w:rsid w:val="001567FA"/>
    <w:rsid w:val="001568FD"/>
    <w:rsid w:val="00156D2E"/>
    <w:rsid w:val="00156E16"/>
    <w:rsid w:val="001571E7"/>
    <w:rsid w:val="001571F8"/>
    <w:rsid w:val="00157322"/>
    <w:rsid w:val="001574F0"/>
    <w:rsid w:val="0015752D"/>
    <w:rsid w:val="0015789F"/>
    <w:rsid w:val="001578B1"/>
    <w:rsid w:val="00157D9E"/>
    <w:rsid w:val="0016002C"/>
    <w:rsid w:val="00160484"/>
    <w:rsid w:val="001605F5"/>
    <w:rsid w:val="00160605"/>
    <w:rsid w:val="00160A64"/>
    <w:rsid w:val="00160AD9"/>
    <w:rsid w:val="00160E63"/>
    <w:rsid w:val="00160F5E"/>
    <w:rsid w:val="00160F80"/>
    <w:rsid w:val="001612F7"/>
    <w:rsid w:val="0016166A"/>
    <w:rsid w:val="00161690"/>
    <w:rsid w:val="001616E7"/>
    <w:rsid w:val="001617A3"/>
    <w:rsid w:val="001617D1"/>
    <w:rsid w:val="00161B18"/>
    <w:rsid w:val="00161BB8"/>
    <w:rsid w:val="0016214B"/>
    <w:rsid w:val="00162310"/>
    <w:rsid w:val="001623F5"/>
    <w:rsid w:val="00162412"/>
    <w:rsid w:val="0016243E"/>
    <w:rsid w:val="0016245F"/>
    <w:rsid w:val="0016288C"/>
    <w:rsid w:val="001628FF"/>
    <w:rsid w:val="00162AB7"/>
    <w:rsid w:val="00162AC5"/>
    <w:rsid w:val="00162F88"/>
    <w:rsid w:val="001630E8"/>
    <w:rsid w:val="00163157"/>
    <w:rsid w:val="00163387"/>
    <w:rsid w:val="00163847"/>
    <w:rsid w:val="00163863"/>
    <w:rsid w:val="00163D45"/>
    <w:rsid w:val="00163EB7"/>
    <w:rsid w:val="00163F3E"/>
    <w:rsid w:val="00164289"/>
    <w:rsid w:val="001644D8"/>
    <w:rsid w:val="001645FB"/>
    <w:rsid w:val="00164795"/>
    <w:rsid w:val="0016479D"/>
    <w:rsid w:val="0016499B"/>
    <w:rsid w:val="001649AB"/>
    <w:rsid w:val="001649B6"/>
    <w:rsid w:val="00164AC3"/>
    <w:rsid w:val="00164DA9"/>
    <w:rsid w:val="00164E4A"/>
    <w:rsid w:val="00164EB4"/>
    <w:rsid w:val="0016521D"/>
    <w:rsid w:val="001652D0"/>
    <w:rsid w:val="001653A3"/>
    <w:rsid w:val="001653D8"/>
    <w:rsid w:val="00165AEE"/>
    <w:rsid w:val="00165D2C"/>
    <w:rsid w:val="00165D5C"/>
    <w:rsid w:val="00165F27"/>
    <w:rsid w:val="00166025"/>
    <w:rsid w:val="001661AC"/>
    <w:rsid w:val="001661FB"/>
    <w:rsid w:val="001662F2"/>
    <w:rsid w:val="00166471"/>
    <w:rsid w:val="00166493"/>
    <w:rsid w:val="0016652F"/>
    <w:rsid w:val="001665F0"/>
    <w:rsid w:val="0016683D"/>
    <w:rsid w:val="00166A45"/>
    <w:rsid w:val="00166E8B"/>
    <w:rsid w:val="00166F09"/>
    <w:rsid w:val="001673F1"/>
    <w:rsid w:val="0016764B"/>
    <w:rsid w:val="001679A3"/>
    <w:rsid w:val="001679D8"/>
    <w:rsid w:val="00167B0D"/>
    <w:rsid w:val="00167E1C"/>
    <w:rsid w:val="00170101"/>
    <w:rsid w:val="001703B0"/>
    <w:rsid w:val="00170659"/>
    <w:rsid w:val="001706A4"/>
    <w:rsid w:val="0017082E"/>
    <w:rsid w:val="0017088D"/>
    <w:rsid w:val="00170993"/>
    <w:rsid w:val="00170A20"/>
    <w:rsid w:val="00171021"/>
    <w:rsid w:val="001710BC"/>
    <w:rsid w:val="00171336"/>
    <w:rsid w:val="001713CF"/>
    <w:rsid w:val="001716BC"/>
    <w:rsid w:val="00171A7C"/>
    <w:rsid w:val="00171CFD"/>
    <w:rsid w:val="00171E58"/>
    <w:rsid w:val="0017210B"/>
    <w:rsid w:val="001722EE"/>
    <w:rsid w:val="00172304"/>
    <w:rsid w:val="0017268B"/>
    <w:rsid w:val="001728A5"/>
    <w:rsid w:val="00172D69"/>
    <w:rsid w:val="00172D7C"/>
    <w:rsid w:val="001738C4"/>
    <w:rsid w:val="001739AF"/>
    <w:rsid w:val="00173A7B"/>
    <w:rsid w:val="00173B3F"/>
    <w:rsid w:val="00173F04"/>
    <w:rsid w:val="00174262"/>
    <w:rsid w:val="0017432E"/>
    <w:rsid w:val="00174374"/>
    <w:rsid w:val="00174706"/>
    <w:rsid w:val="0017470D"/>
    <w:rsid w:val="001749A1"/>
    <w:rsid w:val="00174AC6"/>
    <w:rsid w:val="00174CDE"/>
    <w:rsid w:val="00174CE8"/>
    <w:rsid w:val="00174D3E"/>
    <w:rsid w:val="00174E1C"/>
    <w:rsid w:val="00175226"/>
    <w:rsid w:val="001752A0"/>
    <w:rsid w:val="001752E7"/>
    <w:rsid w:val="001752FB"/>
    <w:rsid w:val="00175731"/>
    <w:rsid w:val="00175AD9"/>
    <w:rsid w:val="00175EC7"/>
    <w:rsid w:val="00175F6A"/>
    <w:rsid w:val="001761CB"/>
    <w:rsid w:val="00176244"/>
    <w:rsid w:val="00176246"/>
    <w:rsid w:val="00176291"/>
    <w:rsid w:val="00176754"/>
    <w:rsid w:val="0017685E"/>
    <w:rsid w:val="001768D1"/>
    <w:rsid w:val="001769F6"/>
    <w:rsid w:val="00176A81"/>
    <w:rsid w:val="00176C81"/>
    <w:rsid w:val="00176E63"/>
    <w:rsid w:val="00176EE8"/>
    <w:rsid w:val="00176EF3"/>
    <w:rsid w:val="00176FB9"/>
    <w:rsid w:val="001770E8"/>
    <w:rsid w:val="0017743B"/>
    <w:rsid w:val="00177470"/>
    <w:rsid w:val="001775A3"/>
    <w:rsid w:val="00177A1C"/>
    <w:rsid w:val="00177A87"/>
    <w:rsid w:val="00177DFF"/>
    <w:rsid w:val="00177FA6"/>
    <w:rsid w:val="00177FCF"/>
    <w:rsid w:val="00180035"/>
    <w:rsid w:val="0018028F"/>
    <w:rsid w:val="00180466"/>
    <w:rsid w:val="00180549"/>
    <w:rsid w:val="00180560"/>
    <w:rsid w:val="00180648"/>
    <w:rsid w:val="001806C3"/>
    <w:rsid w:val="001809DB"/>
    <w:rsid w:val="00180C49"/>
    <w:rsid w:val="00180D1E"/>
    <w:rsid w:val="00180D69"/>
    <w:rsid w:val="00180DEC"/>
    <w:rsid w:val="00180E45"/>
    <w:rsid w:val="00181296"/>
    <w:rsid w:val="001814BA"/>
    <w:rsid w:val="001814CB"/>
    <w:rsid w:val="00181587"/>
    <w:rsid w:val="0018176B"/>
    <w:rsid w:val="00181800"/>
    <w:rsid w:val="00181BFC"/>
    <w:rsid w:val="00181C5C"/>
    <w:rsid w:val="00181D9D"/>
    <w:rsid w:val="001823B9"/>
    <w:rsid w:val="001824B9"/>
    <w:rsid w:val="00182760"/>
    <w:rsid w:val="001828EF"/>
    <w:rsid w:val="00182B37"/>
    <w:rsid w:val="00182C22"/>
    <w:rsid w:val="00182E6F"/>
    <w:rsid w:val="00182F88"/>
    <w:rsid w:val="001837A9"/>
    <w:rsid w:val="0018387D"/>
    <w:rsid w:val="00183909"/>
    <w:rsid w:val="00183AE4"/>
    <w:rsid w:val="00183B62"/>
    <w:rsid w:val="00183C55"/>
    <w:rsid w:val="00183CAF"/>
    <w:rsid w:val="00183D71"/>
    <w:rsid w:val="00183E71"/>
    <w:rsid w:val="00184250"/>
    <w:rsid w:val="001845A2"/>
    <w:rsid w:val="00184951"/>
    <w:rsid w:val="00184C21"/>
    <w:rsid w:val="00184D9C"/>
    <w:rsid w:val="00185166"/>
    <w:rsid w:val="001852AA"/>
    <w:rsid w:val="00185BAC"/>
    <w:rsid w:val="00185BEB"/>
    <w:rsid w:val="00185E87"/>
    <w:rsid w:val="0018649D"/>
    <w:rsid w:val="0018652E"/>
    <w:rsid w:val="00186943"/>
    <w:rsid w:val="00186C6C"/>
    <w:rsid w:val="0018704B"/>
    <w:rsid w:val="00187183"/>
    <w:rsid w:val="0018725D"/>
    <w:rsid w:val="0018749E"/>
    <w:rsid w:val="0018753F"/>
    <w:rsid w:val="00187565"/>
    <w:rsid w:val="001877A1"/>
    <w:rsid w:val="001877B0"/>
    <w:rsid w:val="001877EE"/>
    <w:rsid w:val="00187E2F"/>
    <w:rsid w:val="00187FAB"/>
    <w:rsid w:val="00190038"/>
    <w:rsid w:val="0019006F"/>
    <w:rsid w:val="00190138"/>
    <w:rsid w:val="001904FB"/>
    <w:rsid w:val="001904FE"/>
    <w:rsid w:val="0019060C"/>
    <w:rsid w:val="001909EF"/>
    <w:rsid w:val="00190B16"/>
    <w:rsid w:val="00190BA7"/>
    <w:rsid w:val="00190C0D"/>
    <w:rsid w:val="00190C2C"/>
    <w:rsid w:val="00190C73"/>
    <w:rsid w:val="00190F02"/>
    <w:rsid w:val="00190F5A"/>
    <w:rsid w:val="00190F70"/>
    <w:rsid w:val="00191246"/>
    <w:rsid w:val="001912D7"/>
    <w:rsid w:val="00191431"/>
    <w:rsid w:val="001914B7"/>
    <w:rsid w:val="0019151E"/>
    <w:rsid w:val="001916F6"/>
    <w:rsid w:val="0019175A"/>
    <w:rsid w:val="00191777"/>
    <w:rsid w:val="001918ED"/>
    <w:rsid w:val="00191A01"/>
    <w:rsid w:val="00191B54"/>
    <w:rsid w:val="00191BA6"/>
    <w:rsid w:val="00191BEF"/>
    <w:rsid w:val="00191C52"/>
    <w:rsid w:val="00191E65"/>
    <w:rsid w:val="0019201B"/>
    <w:rsid w:val="001921D2"/>
    <w:rsid w:val="001921D9"/>
    <w:rsid w:val="00192229"/>
    <w:rsid w:val="00192313"/>
    <w:rsid w:val="00192378"/>
    <w:rsid w:val="00192526"/>
    <w:rsid w:val="00192907"/>
    <w:rsid w:val="00192AE7"/>
    <w:rsid w:val="00192C2D"/>
    <w:rsid w:val="00193056"/>
    <w:rsid w:val="0019313A"/>
    <w:rsid w:val="00193536"/>
    <w:rsid w:val="0019365D"/>
    <w:rsid w:val="001936AB"/>
    <w:rsid w:val="001936D3"/>
    <w:rsid w:val="00193735"/>
    <w:rsid w:val="00193904"/>
    <w:rsid w:val="00193908"/>
    <w:rsid w:val="00193963"/>
    <w:rsid w:val="00193AB8"/>
    <w:rsid w:val="00193E64"/>
    <w:rsid w:val="00193E74"/>
    <w:rsid w:val="00193FF7"/>
    <w:rsid w:val="001941B1"/>
    <w:rsid w:val="001941BB"/>
    <w:rsid w:val="0019432D"/>
    <w:rsid w:val="001943ED"/>
    <w:rsid w:val="00194655"/>
    <w:rsid w:val="00194820"/>
    <w:rsid w:val="001948D8"/>
    <w:rsid w:val="00194904"/>
    <w:rsid w:val="00194C3E"/>
    <w:rsid w:val="00194C8A"/>
    <w:rsid w:val="00194E9F"/>
    <w:rsid w:val="00194EC5"/>
    <w:rsid w:val="0019520D"/>
    <w:rsid w:val="00195246"/>
    <w:rsid w:val="00195444"/>
    <w:rsid w:val="00195757"/>
    <w:rsid w:val="00195833"/>
    <w:rsid w:val="001958A5"/>
    <w:rsid w:val="00195ADC"/>
    <w:rsid w:val="00195B6B"/>
    <w:rsid w:val="00195C21"/>
    <w:rsid w:val="00195C70"/>
    <w:rsid w:val="00195E75"/>
    <w:rsid w:val="00195E8F"/>
    <w:rsid w:val="001960B1"/>
    <w:rsid w:val="001961C0"/>
    <w:rsid w:val="0019634D"/>
    <w:rsid w:val="0019636B"/>
    <w:rsid w:val="001968B1"/>
    <w:rsid w:val="00196BC2"/>
    <w:rsid w:val="00196C3D"/>
    <w:rsid w:val="00196D04"/>
    <w:rsid w:val="00196D33"/>
    <w:rsid w:val="00196D60"/>
    <w:rsid w:val="001970A0"/>
    <w:rsid w:val="001971C9"/>
    <w:rsid w:val="00197344"/>
    <w:rsid w:val="00197499"/>
    <w:rsid w:val="00197667"/>
    <w:rsid w:val="00197845"/>
    <w:rsid w:val="0019789A"/>
    <w:rsid w:val="001978FA"/>
    <w:rsid w:val="001979B0"/>
    <w:rsid w:val="00197AC3"/>
    <w:rsid w:val="00197B2F"/>
    <w:rsid w:val="00197B79"/>
    <w:rsid w:val="00197E04"/>
    <w:rsid w:val="00197E96"/>
    <w:rsid w:val="00197F43"/>
    <w:rsid w:val="001A00D5"/>
    <w:rsid w:val="001A01CA"/>
    <w:rsid w:val="001A03C0"/>
    <w:rsid w:val="001A03F3"/>
    <w:rsid w:val="001A07BB"/>
    <w:rsid w:val="001A07ED"/>
    <w:rsid w:val="001A0870"/>
    <w:rsid w:val="001A0CCC"/>
    <w:rsid w:val="001A0E43"/>
    <w:rsid w:val="001A0E56"/>
    <w:rsid w:val="001A121F"/>
    <w:rsid w:val="001A1316"/>
    <w:rsid w:val="001A15C4"/>
    <w:rsid w:val="001A1838"/>
    <w:rsid w:val="001A1D48"/>
    <w:rsid w:val="001A1F2D"/>
    <w:rsid w:val="001A2070"/>
    <w:rsid w:val="001A20F2"/>
    <w:rsid w:val="001A243B"/>
    <w:rsid w:val="001A25F8"/>
    <w:rsid w:val="001A288B"/>
    <w:rsid w:val="001A28D3"/>
    <w:rsid w:val="001A2BD9"/>
    <w:rsid w:val="001A3082"/>
    <w:rsid w:val="001A30B6"/>
    <w:rsid w:val="001A3395"/>
    <w:rsid w:val="001A33CA"/>
    <w:rsid w:val="001A35C5"/>
    <w:rsid w:val="001A3C18"/>
    <w:rsid w:val="001A3D97"/>
    <w:rsid w:val="001A3DDF"/>
    <w:rsid w:val="001A3E92"/>
    <w:rsid w:val="001A402C"/>
    <w:rsid w:val="001A4198"/>
    <w:rsid w:val="001A44BB"/>
    <w:rsid w:val="001A45E0"/>
    <w:rsid w:val="001A45ED"/>
    <w:rsid w:val="001A465D"/>
    <w:rsid w:val="001A46BC"/>
    <w:rsid w:val="001A481E"/>
    <w:rsid w:val="001A4C19"/>
    <w:rsid w:val="001A4E66"/>
    <w:rsid w:val="001A4E99"/>
    <w:rsid w:val="001A50EC"/>
    <w:rsid w:val="001A54E3"/>
    <w:rsid w:val="001A5B72"/>
    <w:rsid w:val="001A5C70"/>
    <w:rsid w:val="001A6043"/>
    <w:rsid w:val="001A60D7"/>
    <w:rsid w:val="001A6222"/>
    <w:rsid w:val="001A6391"/>
    <w:rsid w:val="001A63CB"/>
    <w:rsid w:val="001A6442"/>
    <w:rsid w:val="001A6796"/>
    <w:rsid w:val="001A67D3"/>
    <w:rsid w:val="001A6805"/>
    <w:rsid w:val="001A691E"/>
    <w:rsid w:val="001A6C63"/>
    <w:rsid w:val="001A6E65"/>
    <w:rsid w:val="001A70FD"/>
    <w:rsid w:val="001A7399"/>
    <w:rsid w:val="001A758B"/>
    <w:rsid w:val="001A79BD"/>
    <w:rsid w:val="001A7D29"/>
    <w:rsid w:val="001A7DBF"/>
    <w:rsid w:val="001A7F16"/>
    <w:rsid w:val="001B00B2"/>
    <w:rsid w:val="001B066A"/>
    <w:rsid w:val="001B0678"/>
    <w:rsid w:val="001B0805"/>
    <w:rsid w:val="001B0812"/>
    <w:rsid w:val="001B0856"/>
    <w:rsid w:val="001B09AE"/>
    <w:rsid w:val="001B0A8E"/>
    <w:rsid w:val="001B0B00"/>
    <w:rsid w:val="001B0B7F"/>
    <w:rsid w:val="001B0BEE"/>
    <w:rsid w:val="001B0E49"/>
    <w:rsid w:val="001B1046"/>
    <w:rsid w:val="001B1120"/>
    <w:rsid w:val="001B1390"/>
    <w:rsid w:val="001B15E9"/>
    <w:rsid w:val="001B18AC"/>
    <w:rsid w:val="001B1C0C"/>
    <w:rsid w:val="001B1C1D"/>
    <w:rsid w:val="001B1DB6"/>
    <w:rsid w:val="001B1DED"/>
    <w:rsid w:val="001B1DFE"/>
    <w:rsid w:val="001B1E82"/>
    <w:rsid w:val="001B1F48"/>
    <w:rsid w:val="001B24BE"/>
    <w:rsid w:val="001B27B4"/>
    <w:rsid w:val="001B2983"/>
    <w:rsid w:val="001B2BC5"/>
    <w:rsid w:val="001B2C01"/>
    <w:rsid w:val="001B2C4B"/>
    <w:rsid w:val="001B2D8C"/>
    <w:rsid w:val="001B2F9D"/>
    <w:rsid w:val="001B3185"/>
    <w:rsid w:val="001B3296"/>
    <w:rsid w:val="001B37DD"/>
    <w:rsid w:val="001B3835"/>
    <w:rsid w:val="001B38DE"/>
    <w:rsid w:val="001B39EB"/>
    <w:rsid w:val="001B3DDD"/>
    <w:rsid w:val="001B3EB3"/>
    <w:rsid w:val="001B4038"/>
    <w:rsid w:val="001B41CD"/>
    <w:rsid w:val="001B4220"/>
    <w:rsid w:val="001B425C"/>
    <w:rsid w:val="001B43BE"/>
    <w:rsid w:val="001B4475"/>
    <w:rsid w:val="001B47B3"/>
    <w:rsid w:val="001B484B"/>
    <w:rsid w:val="001B490C"/>
    <w:rsid w:val="001B4A47"/>
    <w:rsid w:val="001B4CC2"/>
    <w:rsid w:val="001B50A2"/>
    <w:rsid w:val="001B52FA"/>
    <w:rsid w:val="001B556B"/>
    <w:rsid w:val="001B5B2D"/>
    <w:rsid w:val="001B5CF7"/>
    <w:rsid w:val="001B5D85"/>
    <w:rsid w:val="001B6140"/>
    <w:rsid w:val="001B6849"/>
    <w:rsid w:val="001B685C"/>
    <w:rsid w:val="001B6949"/>
    <w:rsid w:val="001B6BA0"/>
    <w:rsid w:val="001B6C21"/>
    <w:rsid w:val="001B6E2C"/>
    <w:rsid w:val="001B6E6B"/>
    <w:rsid w:val="001B6E73"/>
    <w:rsid w:val="001B6F3C"/>
    <w:rsid w:val="001B70FC"/>
    <w:rsid w:val="001B7295"/>
    <w:rsid w:val="001B7477"/>
    <w:rsid w:val="001B7513"/>
    <w:rsid w:val="001B7590"/>
    <w:rsid w:val="001B761F"/>
    <w:rsid w:val="001B7A6D"/>
    <w:rsid w:val="001B7E01"/>
    <w:rsid w:val="001B7E29"/>
    <w:rsid w:val="001B7F18"/>
    <w:rsid w:val="001B7F2D"/>
    <w:rsid w:val="001B7F8F"/>
    <w:rsid w:val="001C000B"/>
    <w:rsid w:val="001C0075"/>
    <w:rsid w:val="001C058F"/>
    <w:rsid w:val="001C06CF"/>
    <w:rsid w:val="001C0BCA"/>
    <w:rsid w:val="001C0D30"/>
    <w:rsid w:val="001C0D73"/>
    <w:rsid w:val="001C0D74"/>
    <w:rsid w:val="001C0E77"/>
    <w:rsid w:val="001C12BC"/>
    <w:rsid w:val="001C1353"/>
    <w:rsid w:val="001C13B3"/>
    <w:rsid w:val="001C1424"/>
    <w:rsid w:val="001C14FC"/>
    <w:rsid w:val="001C195D"/>
    <w:rsid w:val="001C19C8"/>
    <w:rsid w:val="001C1C5D"/>
    <w:rsid w:val="001C1CBC"/>
    <w:rsid w:val="001C1ECD"/>
    <w:rsid w:val="001C1F19"/>
    <w:rsid w:val="001C2023"/>
    <w:rsid w:val="001C20C4"/>
    <w:rsid w:val="001C2189"/>
    <w:rsid w:val="001C2196"/>
    <w:rsid w:val="001C21B9"/>
    <w:rsid w:val="001C2216"/>
    <w:rsid w:val="001C222C"/>
    <w:rsid w:val="001C24CB"/>
    <w:rsid w:val="001C2963"/>
    <w:rsid w:val="001C2A28"/>
    <w:rsid w:val="001C2A9A"/>
    <w:rsid w:val="001C2B1E"/>
    <w:rsid w:val="001C2B51"/>
    <w:rsid w:val="001C2B64"/>
    <w:rsid w:val="001C2CE3"/>
    <w:rsid w:val="001C2D02"/>
    <w:rsid w:val="001C2D65"/>
    <w:rsid w:val="001C2F00"/>
    <w:rsid w:val="001C3107"/>
    <w:rsid w:val="001C31ED"/>
    <w:rsid w:val="001C3355"/>
    <w:rsid w:val="001C3402"/>
    <w:rsid w:val="001C342C"/>
    <w:rsid w:val="001C3762"/>
    <w:rsid w:val="001C379D"/>
    <w:rsid w:val="001C37CF"/>
    <w:rsid w:val="001C390F"/>
    <w:rsid w:val="001C391D"/>
    <w:rsid w:val="001C3AF0"/>
    <w:rsid w:val="001C3B44"/>
    <w:rsid w:val="001C3C38"/>
    <w:rsid w:val="001C3E75"/>
    <w:rsid w:val="001C3F31"/>
    <w:rsid w:val="001C3F90"/>
    <w:rsid w:val="001C4036"/>
    <w:rsid w:val="001C4A5A"/>
    <w:rsid w:val="001C4A73"/>
    <w:rsid w:val="001C4BC1"/>
    <w:rsid w:val="001C4D2B"/>
    <w:rsid w:val="001C4D92"/>
    <w:rsid w:val="001C4E87"/>
    <w:rsid w:val="001C4F79"/>
    <w:rsid w:val="001C4FF0"/>
    <w:rsid w:val="001C5006"/>
    <w:rsid w:val="001C5117"/>
    <w:rsid w:val="001C526D"/>
    <w:rsid w:val="001C5290"/>
    <w:rsid w:val="001C5308"/>
    <w:rsid w:val="001C5430"/>
    <w:rsid w:val="001C54EC"/>
    <w:rsid w:val="001C5508"/>
    <w:rsid w:val="001C55A7"/>
    <w:rsid w:val="001C561E"/>
    <w:rsid w:val="001C5A8F"/>
    <w:rsid w:val="001C5AD9"/>
    <w:rsid w:val="001C5B89"/>
    <w:rsid w:val="001C5B8E"/>
    <w:rsid w:val="001C5C44"/>
    <w:rsid w:val="001C600F"/>
    <w:rsid w:val="001C6132"/>
    <w:rsid w:val="001C6254"/>
    <w:rsid w:val="001C635A"/>
    <w:rsid w:val="001C6520"/>
    <w:rsid w:val="001C66D7"/>
    <w:rsid w:val="001C6816"/>
    <w:rsid w:val="001C6A33"/>
    <w:rsid w:val="001C6A52"/>
    <w:rsid w:val="001C6CF1"/>
    <w:rsid w:val="001C6E26"/>
    <w:rsid w:val="001C71D5"/>
    <w:rsid w:val="001C7212"/>
    <w:rsid w:val="001C75BA"/>
    <w:rsid w:val="001C77C0"/>
    <w:rsid w:val="001C7918"/>
    <w:rsid w:val="001C7AC0"/>
    <w:rsid w:val="001C7AD0"/>
    <w:rsid w:val="001C7B8A"/>
    <w:rsid w:val="001C7E22"/>
    <w:rsid w:val="001C7E9B"/>
    <w:rsid w:val="001D0016"/>
    <w:rsid w:val="001D029B"/>
    <w:rsid w:val="001D0519"/>
    <w:rsid w:val="001D08C1"/>
    <w:rsid w:val="001D0B54"/>
    <w:rsid w:val="001D0E8B"/>
    <w:rsid w:val="001D11E4"/>
    <w:rsid w:val="001D126A"/>
    <w:rsid w:val="001D12CA"/>
    <w:rsid w:val="001D17B1"/>
    <w:rsid w:val="001D18C9"/>
    <w:rsid w:val="001D19E5"/>
    <w:rsid w:val="001D1C95"/>
    <w:rsid w:val="001D1C98"/>
    <w:rsid w:val="001D1EFC"/>
    <w:rsid w:val="001D22F0"/>
    <w:rsid w:val="001D23D9"/>
    <w:rsid w:val="001D2744"/>
    <w:rsid w:val="001D2973"/>
    <w:rsid w:val="001D29BC"/>
    <w:rsid w:val="001D2C76"/>
    <w:rsid w:val="001D394C"/>
    <w:rsid w:val="001D3984"/>
    <w:rsid w:val="001D3A4B"/>
    <w:rsid w:val="001D3A75"/>
    <w:rsid w:val="001D3ADD"/>
    <w:rsid w:val="001D3C79"/>
    <w:rsid w:val="001D3D51"/>
    <w:rsid w:val="001D418C"/>
    <w:rsid w:val="001D424C"/>
    <w:rsid w:val="001D4320"/>
    <w:rsid w:val="001D43DA"/>
    <w:rsid w:val="001D443A"/>
    <w:rsid w:val="001D4593"/>
    <w:rsid w:val="001D45D9"/>
    <w:rsid w:val="001D4DA3"/>
    <w:rsid w:val="001D55AE"/>
    <w:rsid w:val="001D571D"/>
    <w:rsid w:val="001D5C06"/>
    <w:rsid w:val="001D5FD7"/>
    <w:rsid w:val="001D6052"/>
    <w:rsid w:val="001D62B2"/>
    <w:rsid w:val="001D69A1"/>
    <w:rsid w:val="001D6BAF"/>
    <w:rsid w:val="001D6C7D"/>
    <w:rsid w:val="001D6CA1"/>
    <w:rsid w:val="001D7631"/>
    <w:rsid w:val="001D795A"/>
    <w:rsid w:val="001D797A"/>
    <w:rsid w:val="001D7D51"/>
    <w:rsid w:val="001E0519"/>
    <w:rsid w:val="001E061A"/>
    <w:rsid w:val="001E0711"/>
    <w:rsid w:val="001E0828"/>
    <w:rsid w:val="001E099D"/>
    <w:rsid w:val="001E0B63"/>
    <w:rsid w:val="001E0D35"/>
    <w:rsid w:val="001E0D6E"/>
    <w:rsid w:val="001E0EBE"/>
    <w:rsid w:val="001E0F21"/>
    <w:rsid w:val="001E0F4E"/>
    <w:rsid w:val="001E1220"/>
    <w:rsid w:val="001E137A"/>
    <w:rsid w:val="001E142E"/>
    <w:rsid w:val="001E18FC"/>
    <w:rsid w:val="001E19F4"/>
    <w:rsid w:val="001E1A4E"/>
    <w:rsid w:val="001E1B88"/>
    <w:rsid w:val="001E1C8C"/>
    <w:rsid w:val="001E1DCE"/>
    <w:rsid w:val="001E1E5B"/>
    <w:rsid w:val="001E1E83"/>
    <w:rsid w:val="001E1FE1"/>
    <w:rsid w:val="001E23D5"/>
    <w:rsid w:val="001E24E2"/>
    <w:rsid w:val="001E25CB"/>
    <w:rsid w:val="001E264E"/>
    <w:rsid w:val="001E28D5"/>
    <w:rsid w:val="001E2A16"/>
    <w:rsid w:val="001E2ADB"/>
    <w:rsid w:val="001E2C12"/>
    <w:rsid w:val="001E2EDF"/>
    <w:rsid w:val="001E3508"/>
    <w:rsid w:val="001E35E1"/>
    <w:rsid w:val="001E3637"/>
    <w:rsid w:val="001E3A78"/>
    <w:rsid w:val="001E3BDF"/>
    <w:rsid w:val="001E3E5E"/>
    <w:rsid w:val="001E417D"/>
    <w:rsid w:val="001E433B"/>
    <w:rsid w:val="001E444E"/>
    <w:rsid w:val="001E44A4"/>
    <w:rsid w:val="001E44E0"/>
    <w:rsid w:val="001E4CD6"/>
    <w:rsid w:val="001E4F2F"/>
    <w:rsid w:val="001E525F"/>
    <w:rsid w:val="001E5495"/>
    <w:rsid w:val="001E5511"/>
    <w:rsid w:val="001E559D"/>
    <w:rsid w:val="001E5602"/>
    <w:rsid w:val="001E5977"/>
    <w:rsid w:val="001E59CA"/>
    <w:rsid w:val="001E5E19"/>
    <w:rsid w:val="001E5E33"/>
    <w:rsid w:val="001E5F38"/>
    <w:rsid w:val="001E6144"/>
    <w:rsid w:val="001E61CB"/>
    <w:rsid w:val="001E633F"/>
    <w:rsid w:val="001E6CEC"/>
    <w:rsid w:val="001E6E00"/>
    <w:rsid w:val="001E6F90"/>
    <w:rsid w:val="001E7463"/>
    <w:rsid w:val="001E7601"/>
    <w:rsid w:val="001E7658"/>
    <w:rsid w:val="001E77C2"/>
    <w:rsid w:val="001E788D"/>
    <w:rsid w:val="001E7A4B"/>
    <w:rsid w:val="001E7B5A"/>
    <w:rsid w:val="001E7D3D"/>
    <w:rsid w:val="001E7D86"/>
    <w:rsid w:val="001E7F2F"/>
    <w:rsid w:val="001E7FE3"/>
    <w:rsid w:val="001F00AF"/>
    <w:rsid w:val="001F0182"/>
    <w:rsid w:val="001F03C4"/>
    <w:rsid w:val="001F04CC"/>
    <w:rsid w:val="001F080F"/>
    <w:rsid w:val="001F0883"/>
    <w:rsid w:val="001F0B65"/>
    <w:rsid w:val="001F0CC1"/>
    <w:rsid w:val="001F1144"/>
    <w:rsid w:val="001F1234"/>
    <w:rsid w:val="001F1426"/>
    <w:rsid w:val="001F1686"/>
    <w:rsid w:val="001F1722"/>
    <w:rsid w:val="001F19A5"/>
    <w:rsid w:val="001F1BA4"/>
    <w:rsid w:val="001F1BB6"/>
    <w:rsid w:val="001F1E5B"/>
    <w:rsid w:val="001F2575"/>
    <w:rsid w:val="001F275E"/>
    <w:rsid w:val="001F27F1"/>
    <w:rsid w:val="001F2D71"/>
    <w:rsid w:val="001F2DFD"/>
    <w:rsid w:val="001F30A7"/>
    <w:rsid w:val="001F30BE"/>
    <w:rsid w:val="001F30F4"/>
    <w:rsid w:val="001F32CF"/>
    <w:rsid w:val="001F393E"/>
    <w:rsid w:val="001F3C5E"/>
    <w:rsid w:val="001F4281"/>
    <w:rsid w:val="001F42FE"/>
    <w:rsid w:val="001F43F2"/>
    <w:rsid w:val="001F4400"/>
    <w:rsid w:val="001F4466"/>
    <w:rsid w:val="001F481C"/>
    <w:rsid w:val="001F4B2D"/>
    <w:rsid w:val="001F5025"/>
    <w:rsid w:val="001F5077"/>
    <w:rsid w:val="001F5162"/>
    <w:rsid w:val="001F53C2"/>
    <w:rsid w:val="001F5BE9"/>
    <w:rsid w:val="001F5D9A"/>
    <w:rsid w:val="001F5E6C"/>
    <w:rsid w:val="001F6038"/>
    <w:rsid w:val="001F63FF"/>
    <w:rsid w:val="001F6999"/>
    <w:rsid w:val="001F6A78"/>
    <w:rsid w:val="001F6AB5"/>
    <w:rsid w:val="001F6AFD"/>
    <w:rsid w:val="001F6D95"/>
    <w:rsid w:val="001F6DE0"/>
    <w:rsid w:val="001F732D"/>
    <w:rsid w:val="001F75A7"/>
    <w:rsid w:val="001F75FE"/>
    <w:rsid w:val="001F76BC"/>
    <w:rsid w:val="001F7937"/>
    <w:rsid w:val="001F7D18"/>
    <w:rsid w:val="002005A9"/>
    <w:rsid w:val="00200806"/>
    <w:rsid w:val="002008AF"/>
    <w:rsid w:val="00200A3C"/>
    <w:rsid w:val="00200BE1"/>
    <w:rsid w:val="00201076"/>
    <w:rsid w:val="0020120D"/>
    <w:rsid w:val="00201928"/>
    <w:rsid w:val="00201A15"/>
    <w:rsid w:val="00201ACB"/>
    <w:rsid w:val="00201CD3"/>
    <w:rsid w:val="00201F0A"/>
    <w:rsid w:val="0020222C"/>
    <w:rsid w:val="0020259E"/>
    <w:rsid w:val="002025A6"/>
    <w:rsid w:val="0020283D"/>
    <w:rsid w:val="00202974"/>
    <w:rsid w:val="00202AB3"/>
    <w:rsid w:val="00202BC7"/>
    <w:rsid w:val="00202E8F"/>
    <w:rsid w:val="00203002"/>
    <w:rsid w:val="00203186"/>
    <w:rsid w:val="002031A3"/>
    <w:rsid w:val="00203215"/>
    <w:rsid w:val="00203352"/>
    <w:rsid w:val="002034E8"/>
    <w:rsid w:val="0020351D"/>
    <w:rsid w:val="00203C11"/>
    <w:rsid w:val="0020405C"/>
    <w:rsid w:val="002040DD"/>
    <w:rsid w:val="00204207"/>
    <w:rsid w:val="002044E2"/>
    <w:rsid w:val="002048CD"/>
    <w:rsid w:val="002048F2"/>
    <w:rsid w:val="00204ADF"/>
    <w:rsid w:val="00205095"/>
    <w:rsid w:val="00205179"/>
    <w:rsid w:val="00205187"/>
    <w:rsid w:val="00205276"/>
    <w:rsid w:val="0020556E"/>
    <w:rsid w:val="0020576C"/>
    <w:rsid w:val="00205AA3"/>
    <w:rsid w:val="00205B87"/>
    <w:rsid w:val="00205C66"/>
    <w:rsid w:val="00205D2D"/>
    <w:rsid w:val="00205F11"/>
    <w:rsid w:val="0020614A"/>
    <w:rsid w:val="002064E6"/>
    <w:rsid w:val="0020651F"/>
    <w:rsid w:val="0020694E"/>
    <w:rsid w:val="00206B22"/>
    <w:rsid w:val="00206D59"/>
    <w:rsid w:val="00206F28"/>
    <w:rsid w:val="00206F9F"/>
    <w:rsid w:val="002070CC"/>
    <w:rsid w:val="0020754B"/>
    <w:rsid w:val="00207631"/>
    <w:rsid w:val="0020763F"/>
    <w:rsid w:val="00207838"/>
    <w:rsid w:val="00207E04"/>
    <w:rsid w:val="002101A7"/>
    <w:rsid w:val="00210229"/>
    <w:rsid w:val="0021022E"/>
    <w:rsid w:val="00210706"/>
    <w:rsid w:val="00210864"/>
    <w:rsid w:val="00210946"/>
    <w:rsid w:val="00210A49"/>
    <w:rsid w:val="00210AA0"/>
    <w:rsid w:val="00210D86"/>
    <w:rsid w:val="00210EC1"/>
    <w:rsid w:val="00211165"/>
    <w:rsid w:val="00211381"/>
    <w:rsid w:val="002113A5"/>
    <w:rsid w:val="002113AA"/>
    <w:rsid w:val="00211677"/>
    <w:rsid w:val="002116C8"/>
    <w:rsid w:val="00211827"/>
    <w:rsid w:val="00211A46"/>
    <w:rsid w:val="00211C3B"/>
    <w:rsid w:val="00211C6C"/>
    <w:rsid w:val="00211ED8"/>
    <w:rsid w:val="002120F1"/>
    <w:rsid w:val="002121BE"/>
    <w:rsid w:val="002124CB"/>
    <w:rsid w:val="00212725"/>
    <w:rsid w:val="00212C30"/>
    <w:rsid w:val="00212C5D"/>
    <w:rsid w:val="00212FC2"/>
    <w:rsid w:val="00213156"/>
    <w:rsid w:val="00213300"/>
    <w:rsid w:val="00213333"/>
    <w:rsid w:val="002134C7"/>
    <w:rsid w:val="0021361D"/>
    <w:rsid w:val="002137BC"/>
    <w:rsid w:val="00213882"/>
    <w:rsid w:val="0021408A"/>
    <w:rsid w:val="0021447B"/>
    <w:rsid w:val="00214497"/>
    <w:rsid w:val="00214969"/>
    <w:rsid w:val="00214990"/>
    <w:rsid w:val="00214AAD"/>
    <w:rsid w:val="00214C2A"/>
    <w:rsid w:val="00214C68"/>
    <w:rsid w:val="00214D04"/>
    <w:rsid w:val="00214D6C"/>
    <w:rsid w:val="00214D8E"/>
    <w:rsid w:val="00214E76"/>
    <w:rsid w:val="00214F66"/>
    <w:rsid w:val="002150AE"/>
    <w:rsid w:val="00215378"/>
    <w:rsid w:val="0021568C"/>
    <w:rsid w:val="00215705"/>
    <w:rsid w:val="00215994"/>
    <w:rsid w:val="002159E6"/>
    <w:rsid w:val="00215EDC"/>
    <w:rsid w:val="00216432"/>
    <w:rsid w:val="00216522"/>
    <w:rsid w:val="002165E4"/>
    <w:rsid w:val="002166ED"/>
    <w:rsid w:val="00216726"/>
    <w:rsid w:val="00216B40"/>
    <w:rsid w:val="00216E56"/>
    <w:rsid w:val="00217193"/>
    <w:rsid w:val="0021747D"/>
    <w:rsid w:val="00217790"/>
    <w:rsid w:val="002177D0"/>
    <w:rsid w:val="00217913"/>
    <w:rsid w:val="00217CD0"/>
    <w:rsid w:val="00217D3B"/>
    <w:rsid w:val="00217D3C"/>
    <w:rsid w:val="0022064F"/>
    <w:rsid w:val="00220994"/>
    <w:rsid w:val="00220AB1"/>
    <w:rsid w:val="00220AFC"/>
    <w:rsid w:val="00220B11"/>
    <w:rsid w:val="00220C50"/>
    <w:rsid w:val="00220DDC"/>
    <w:rsid w:val="0022120A"/>
    <w:rsid w:val="002214AF"/>
    <w:rsid w:val="002215DA"/>
    <w:rsid w:val="002215DE"/>
    <w:rsid w:val="00221649"/>
    <w:rsid w:val="00221779"/>
    <w:rsid w:val="00221788"/>
    <w:rsid w:val="00221A5B"/>
    <w:rsid w:val="00221AA8"/>
    <w:rsid w:val="00221BF2"/>
    <w:rsid w:val="00221C9F"/>
    <w:rsid w:val="00221DE5"/>
    <w:rsid w:val="00222187"/>
    <w:rsid w:val="002221E6"/>
    <w:rsid w:val="00222576"/>
    <w:rsid w:val="002226BB"/>
    <w:rsid w:val="002227DF"/>
    <w:rsid w:val="00222977"/>
    <w:rsid w:val="002229F2"/>
    <w:rsid w:val="00222E94"/>
    <w:rsid w:val="00222F94"/>
    <w:rsid w:val="00223045"/>
    <w:rsid w:val="002234EA"/>
    <w:rsid w:val="00223B5D"/>
    <w:rsid w:val="00223D46"/>
    <w:rsid w:val="002241EE"/>
    <w:rsid w:val="00224441"/>
    <w:rsid w:val="0022462E"/>
    <w:rsid w:val="002247C9"/>
    <w:rsid w:val="00224823"/>
    <w:rsid w:val="00224949"/>
    <w:rsid w:val="00224A19"/>
    <w:rsid w:val="00224A96"/>
    <w:rsid w:val="00224D53"/>
    <w:rsid w:val="00224D80"/>
    <w:rsid w:val="00225006"/>
    <w:rsid w:val="00225157"/>
    <w:rsid w:val="00225171"/>
    <w:rsid w:val="002252C9"/>
    <w:rsid w:val="00225540"/>
    <w:rsid w:val="00225627"/>
    <w:rsid w:val="002256F2"/>
    <w:rsid w:val="00225A29"/>
    <w:rsid w:val="00225C48"/>
    <w:rsid w:val="00226568"/>
    <w:rsid w:val="00226CD0"/>
    <w:rsid w:val="00226EC7"/>
    <w:rsid w:val="00226FEA"/>
    <w:rsid w:val="002270B0"/>
    <w:rsid w:val="002271C9"/>
    <w:rsid w:val="00227233"/>
    <w:rsid w:val="002272C9"/>
    <w:rsid w:val="00227424"/>
    <w:rsid w:val="002277DC"/>
    <w:rsid w:val="00227BBD"/>
    <w:rsid w:val="00227CEC"/>
    <w:rsid w:val="00227D62"/>
    <w:rsid w:val="00227DA5"/>
    <w:rsid w:val="00227F2E"/>
    <w:rsid w:val="0023028E"/>
    <w:rsid w:val="002303F8"/>
    <w:rsid w:val="002304A6"/>
    <w:rsid w:val="0023051A"/>
    <w:rsid w:val="0023064B"/>
    <w:rsid w:val="00230AB6"/>
    <w:rsid w:val="00230D7B"/>
    <w:rsid w:val="00230DF1"/>
    <w:rsid w:val="00232110"/>
    <w:rsid w:val="002322E3"/>
    <w:rsid w:val="00232305"/>
    <w:rsid w:val="002326D9"/>
    <w:rsid w:val="002326F4"/>
    <w:rsid w:val="00232D0E"/>
    <w:rsid w:val="00232D48"/>
    <w:rsid w:val="00232DD7"/>
    <w:rsid w:val="00232EE7"/>
    <w:rsid w:val="00232FEE"/>
    <w:rsid w:val="002330AA"/>
    <w:rsid w:val="0023310A"/>
    <w:rsid w:val="00233787"/>
    <w:rsid w:val="00233801"/>
    <w:rsid w:val="00233837"/>
    <w:rsid w:val="00233A06"/>
    <w:rsid w:val="00233BF3"/>
    <w:rsid w:val="00233C9D"/>
    <w:rsid w:val="00233D08"/>
    <w:rsid w:val="002344C4"/>
    <w:rsid w:val="00234585"/>
    <w:rsid w:val="00234A63"/>
    <w:rsid w:val="00234AD8"/>
    <w:rsid w:val="00234CB7"/>
    <w:rsid w:val="00234D58"/>
    <w:rsid w:val="00234EA0"/>
    <w:rsid w:val="00234F02"/>
    <w:rsid w:val="00234F8F"/>
    <w:rsid w:val="002351A1"/>
    <w:rsid w:val="00235472"/>
    <w:rsid w:val="00235D24"/>
    <w:rsid w:val="00235FA3"/>
    <w:rsid w:val="0023637E"/>
    <w:rsid w:val="002363CE"/>
    <w:rsid w:val="00236485"/>
    <w:rsid w:val="0023653A"/>
    <w:rsid w:val="002365D8"/>
    <w:rsid w:val="002366C8"/>
    <w:rsid w:val="00236B0C"/>
    <w:rsid w:val="00236C60"/>
    <w:rsid w:val="00236D2E"/>
    <w:rsid w:val="0023700C"/>
    <w:rsid w:val="002370BC"/>
    <w:rsid w:val="00237146"/>
    <w:rsid w:val="00237197"/>
    <w:rsid w:val="002372B2"/>
    <w:rsid w:val="00237915"/>
    <w:rsid w:val="00237948"/>
    <w:rsid w:val="00237BBB"/>
    <w:rsid w:val="00237D38"/>
    <w:rsid w:val="00240136"/>
    <w:rsid w:val="00240535"/>
    <w:rsid w:val="002406DC"/>
    <w:rsid w:val="00240756"/>
    <w:rsid w:val="0024081F"/>
    <w:rsid w:val="00240A36"/>
    <w:rsid w:val="00240B1E"/>
    <w:rsid w:val="00240C9B"/>
    <w:rsid w:val="00240DC2"/>
    <w:rsid w:val="00240ED4"/>
    <w:rsid w:val="00240F00"/>
    <w:rsid w:val="00241142"/>
    <w:rsid w:val="00241441"/>
    <w:rsid w:val="0024148D"/>
    <w:rsid w:val="00241496"/>
    <w:rsid w:val="00241612"/>
    <w:rsid w:val="00241759"/>
    <w:rsid w:val="00241775"/>
    <w:rsid w:val="002417FF"/>
    <w:rsid w:val="00241805"/>
    <w:rsid w:val="0024195A"/>
    <w:rsid w:val="00241972"/>
    <w:rsid w:val="00241A40"/>
    <w:rsid w:val="00241B2A"/>
    <w:rsid w:val="00241DE8"/>
    <w:rsid w:val="00241E9C"/>
    <w:rsid w:val="00241F04"/>
    <w:rsid w:val="00241F7A"/>
    <w:rsid w:val="00241FE9"/>
    <w:rsid w:val="00242053"/>
    <w:rsid w:val="002421A2"/>
    <w:rsid w:val="002422BB"/>
    <w:rsid w:val="00242696"/>
    <w:rsid w:val="00242BFF"/>
    <w:rsid w:val="00242E1F"/>
    <w:rsid w:val="00242EAD"/>
    <w:rsid w:val="00243062"/>
    <w:rsid w:val="002430B1"/>
    <w:rsid w:val="002431D3"/>
    <w:rsid w:val="00243243"/>
    <w:rsid w:val="002433E5"/>
    <w:rsid w:val="0024365F"/>
    <w:rsid w:val="0024372B"/>
    <w:rsid w:val="00243919"/>
    <w:rsid w:val="00243A94"/>
    <w:rsid w:val="00243AEE"/>
    <w:rsid w:val="00243E62"/>
    <w:rsid w:val="00244053"/>
    <w:rsid w:val="002440D9"/>
    <w:rsid w:val="0024424F"/>
    <w:rsid w:val="00244CAA"/>
    <w:rsid w:val="00244D61"/>
    <w:rsid w:val="00244E31"/>
    <w:rsid w:val="00244FF2"/>
    <w:rsid w:val="002452E0"/>
    <w:rsid w:val="0024556A"/>
    <w:rsid w:val="00245780"/>
    <w:rsid w:val="00245B5D"/>
    <w:rsid w:val="00245C2A"/>
    <w:rsid w:val="00245E92"/>
    <w:rsid w:val="00245F93"/>
    <w:rsid w:val="00246288"/>
    <w:rsid w:val="002462AC"/>
    <w:rsid w:val="002464B4"/>
    <w:rsid w:val="00246633"/>
    <w:rsid w:val="00246640"/>
    <w:rsid w:val="00246808"/>
    <w:rsid w:val="00246C13"/>
    <w:rsid w:val="00246D1D"/>
    <w:rsid w:val="00246F7B"/>
    <w:rsid w:val="00247151"/>
    <w:rsid w:val="0024725A"/>
    <w:rsid w:val="002475A6"/>
    <w:rsid w:val="002475A9"/>
    <w:rsid w:val="002475B6"/>
    <w:rsid w:val="00247674"/>
    <w:rsid w:val="00247829"/>
    <w:rsid w:val="00247972"/>
    <w:rsid w:val="00247FAD"/>
    <w:rsid w:val="002500FD"/>
    <w:rsid w:val="002501E6"/>
    <w:rsid w:val="00250422"/>
    <w:rsid w:val="00250456"/>
    <w:rsid w:val="002504A2"/>
    <w:rsid w:val="002507B7"/>
    <w:rsid w:val="002509DC"/>
    <w:rsid w:val="00250B80"/>
    <w:rsid w:val="00250FF6"/>
    <w:rsid w:val="0025104B"/>
    <w:rsid w:val="00251153"/>
    <w:rsid w:val="00251302"/>
    <w:rsid w:val="002514BC"/>
    <w:rsid w:val="002517BA"/>
    <w:rsid w:val="00251ACC"/>
    <w:rsid w:val="00251C40"/>
    <w:rsid w:val="00251C5B"/>
    <w:rsid w:val="00251D1A"/>
    <w:rsid w:val="00251D4D"/>
    <w:rsid w:val="00251F3D"/>
    <w:rsid w:val="0025205F"/>
    <w:rsid w:val="002522F6"/>
    <w:rsid w:val="0025244A"/>
    <w:rsid w:val="0025262F"/>
    <w:rsid w:val="002528E9"/>
    <w:rsid w:val="00252955"/>
    <w:rsid w:val="00252B12"/>
    <w:rsid w:val="00252CEC"/>
    <w:rsid w:val="00252DA1"/>
    <w:rsid w:val="002532A0"/>
    <w:rsid w:val="002532D0"/>
    <w:rsid w:val="002534CA"/>
    <w:rsid w:val="00253B71"/>
    <w:rsid w:val="00253B7E"/>
    <w:rsid w:val="00253E99"/>
    <w:rsid w:val="00253F1B"/>
    <w:rsid w:val="00253FF8"/>
    <w:rsid w:val="002541F6"/>
    <w:rsid w:val="002544A0"/>
    <w:rsid w:val="00254590"/>
    <w:rsid w:val="002545CB"/>
    <w:rsid w:val="00254771"/>
    <w:rsid w:val="00254F5B"/>
    <w:rsid w:val="00254F5E"/>
    <w:rsid w:val="00255377"/>
    <w:rsid w:val="00255470"/>
    <w:rsid w:val="002554CC"/>
    <w:rsid w:val="00255559"/>
    <w:rsid w:val="00255651"/>
    <w:rsid w:val="00255683"/>
    <w:rsid w:val="00255781"/>
    <w:rsid w:val="0025585E"/>
    <w:rsid w:val="002558C3"/>
    <w:rsid w:val="00255BBE"/>
    <w:rsid w:val="00255D0A"/>
    <w:rsid w:val="00255E53"/>
    <w:rsid w:val="00255F6B"/>
    <w:rsid w:val="00256076"/>
    <w:rsid w:val="0025640D"/>
    <w:rsid w:val="002564DD"/>
    <w:rsid w:val="002565B7"/>
    <w:rsid w:val="00256774"/>
    <w:rsid w:val="00256B8F"/>
    <w:rsid w:val="00256BB9"/>
    <w:rsid w:val="00256CE6"/>
    <w:rsid w:val="00256E19"/>
    <w:rsid w:val="00256E24"/>
    <w:rsid w:val="00256FFD"/>
    <w:rsid w:val="0025737C"/>
    <w:rsid w:val="0025741A"/>
    <w:rsid w:val="0025746F"/>
    <w:rsid w:val="002576FC"/>
    <w:rsid w:val="002577DF"/>
    <w:rsid w:val="00257CA2"/>
    <w:rsid w:val="00257E9F"/>
    <w:rsid w:val="00257EE9"/>
    <w:rsid w:val="00257EFB"/>
    <w:rsid w:val="00257FDD"/>
    <w:rsid w:val="0026024F"/>
    <w:rsid w:val="00260317"/>
    <w:rsid w:val="00260788"/>
    <w:rsid w:val="002607FD"/>
    <w:rsid w:val="0026095D"/>
    <w:rsid w:val="00260C80"/>
    <w:rsid w:val="00260E06"/>
    <w:rsid w:val="00260E3B"/>
    <w:rsid w:val="00260EAF"/>
    <w:rsid w:val="00260EF7"/>
    <w:rsid w:val="00260F7D"/>
    <w:rsid w:val="00261233"/>
    <w:rsid w:val="00261433"/>
    <w:rsid w:val="00261825"/>
    <w:rsid w:val="00261ABA"/>
    <w:rsid w:val="00261AD5"/>
    <w:rsid w:val="00261CBE"/>
    <w:rsid w:val="00261D73"/>
    <w:rsid w:val="00261D83"/>
    <w:rsid w:val="00261E05"/>
    <w:rsid w:val="0026219D"/>
    <w:rsid w:val="00262284"/>
    <w:rsid w:val="00262368"/>
    <w:rsid w:val="00262463"/>
    <w:rsid w:val="002624CB"/>
    <w:rsid w:val="00262659"/>
    <w:rsid w:val="0026291C"/>
    <w:rsid w:val="00262B21"/>
    <w:rsid w:val="00262BDD"/>
    <w:rsid w:val="00262EBE"/>
    <w:rsid w:val="00262F51"/>
    <w:rsid w:val="002630CC"/>
    <w:rsid w:val="002632A6"/>
    <w:rsid w:val="002633A7"/>
    <w:rsid w:val="00263650"/>
    <w:rsid w:val="00263B58"/>
    <w:rsid w:val="00263C60"/>
    <w:rsid w:val="00263D76"/>
    <w:rsid w:val="00263E5E"/>
    <w:rsid w:val="00263E77"/>
    <w:rsid w:val="002641BF"/>
    <w:rsid w:val="002642A0"/>
    <w:rsid w:val="002642F3"/>
    <w:rsid w:val="00264480"/>
    <w:rsid w:val="002645D4"/>
    <w:rsid w:val="00264657"/>
    <w:rsid w:val="0026473B"/>
    <w:rsid w:val="002647A3"/>
    <w:rsid w:val="002649DE"/>
    <w:rsid w:val="00264C5A"/>
    <w:rsid w:val="00264C80"/>
    <w:rsid w:val="00264D85"/>
    <w:rsid w:val="00264E73"/>
    <w:rsid w:val="00265157"/>
    <w:rsid w:val="0026527D"/>
    <w:rsid w:val="0026543C"/>
    <w:rsid w:val="00265647"/>
    <w:rsid w:val="0026571E"/>
    <w:rsid w:val="00265814"/>
    <w:rsid w:val="002658F6"/>
    <w:rsid w:val="0026590D"/>
    <w:rsid w:val="00265946"/>
    <w:rsid w:val="00265981"/>
    <w:rsid w:val="00265BEA"/>
    <w:rsid w:val="00266368"/>
    <w:rsid w:val="002666F2"/>
    <w:rsid w:val="0026693A"/>
    <w:rsid w:val="00266D39"/>
    <w:rsid w:val="00266D6C"/>
    <w:rsid w:val="002672B1"/>
    <w:rsid w:val="0026742F"/>
    <w:rsid w:val="0026759D"/>
    <w:rsid w:val="002676DF"/>
    <w:rsid w:val="00267911"/>
    <w:rsid w:val="00267D62"/>
    <w:rsid w:val="00270241"/>
    <w:rsid w:val="00270522"/>
    <w:rsid w:val="002705DC"/>
    <w:rsid w:val="00270846"/>
    <w:rsid w:val="00270B9C"/>
    <w:rsid w:val="00270C2C"/>
    <w:rsid w:val="00270CFD"/>
    <w:rsid w:val="00270DAF"/>
    <w:rsid w:val="002710DC"/>
    <w:rsid w:val="00271177"/>
    <w:rsid w:val="00271202"/>
    <w:rsid w:val="002714A3"/>
    <w:rsid w:val="002714A9"/>
    <w:rsid w:val="00271589"/>
    <w:rsid w:val="00271922"/>
    <w:rsid w:val="00271AA6"/>
    <w:rsid w:val="00271BB5"/>
    <w:rsid w:val="00271C03"/>
    <w:rsid w:val="00271EC9"/>
    <w:rsid w:val="0027227E"/>
    <w:rsid w:val="002723D9"/>
    <w:rsid w:val="002726EA"/>
    <w:rsid w:val="00272BBA"/>
    <w:rsid w:val="00273035"/>
    <w:rsid w:val="002733CD"/>
    <w:rsid w:val="00273475"/>
    <w:rsid w:val="002734EE"/>
    <w:rsid w:val="002738FE"/>
    <w:rsid w:val="0027398E"/>
    <w:rsid w:val="00273BCE"/>
    <w:rsid w:val="00273D26"/>
    <w:rsid w:val="00273D3C"/>
    <w:rsid w:val="00273F80"/>
    <w:rsid w:val="002740DA"/>
    <w:rsid w:val="0027427A"/>
    <w:rsid w:val="0027428A"/>
    <w:rsid w:val="00274310"/>
    <w:rsid w:val="00274396"/>
    <w:rsid w:val="00274568"/>
    <w:rsid w:val="00274A40"/>
    <w:rsid w:val="00274D6F"/>
    <w:rsid w:val="00274DEB"/>
    <w:rsid w:val="00274E8E"/>
    <w:rsid w:val="00275152"/>
    <w:rsid w:val="002751AB"/>
    <w:rsid w:val="0027524A"/>
    <w:rsid w:val="002754AE"/>
    <w:rsid w:val="00275757"/>
    <w:rsid w:val="00275AB4"/>
    <w:rsid w:val="00275AEE"/>
    <w:rsid w:val="00275DBA"/>
    <w:rsid w:val="00275DFA"/>
    <w:rsid w:val="00276005"/>
    <w:rsid w:val="00276028"/>
    <w:rsid w:val="0027603D"/>
    <w:rsid w:val="00276A9F"/>
    <w:rsid w:val="00276BFF"/>
    <w:rsid w:val="00276CD7"/>
    <w:rsid w:val="00276F03"/>
    <w:rsid w:val="00276FB9"/>
    <w:rsid w:val="00277073"/>
    <w:rsid w:val="00277305"/>
    <w:rsid w:val="00277907"/>
    <w:rsid w:val="00277AA9"/>
    <w:rsid w:val="00277BBC"/>
    <w:rsid w:val="00277CBB"/>
    <w:rsid w:val="00277D2E"/>
    <w:rsid w:val="00277FBD"/>
    <w:rsid w:val="0028005E"/>
    <w:rsid w:val="0028033B"/>
    <w:rsid w:val="0028051E"/>
    <w:rsid w:val="00280716"/>
    <w:rsid w:val="00280821"/>
    <w:rsid w:val="0028089D"/>
    <w:rsid w:val="002809EB"/>
    <w:rsid w:val="00281026"/>
    <w:rsid w:val="002810A8"/>
    <w:rsid w:val="002810CB"/>
    <w:rsid w:val="0028136C"/>
    <w:rsid w:val="002813DA"/>
    <w:rsid w:val="002813E9"/>
    <w:rsid w:val="00281D3E"/>
    <w:rsid w:val="00281EAE"/>
    <w:rsid w:val="002823BF"/>
    <w:rsid w:val="002826B3"/>
    <w:rsid w:val="002826E8"/>
    <w:rsid w:val="00282CC0"/>
    <w:rsid w:val="00282CF4"/>
    <w:rsid w:val="00282EEE"/>
    <w:rsid w:val="0028315C"/>
    <w:rsid w:val="00283289"/>
    <w:rsid w:val="002832FA"/>
    <w:rsid w:val="0028335F"/>
    <w:rsid w:val="002833D8"/>
    <w:rsid w:val="00283450"/>
    <w:rsid w:val="0028358A"/>
    <w:rsid w:val="002838E7"/>
    <w:rsid w:val="002839ED"/>
    <w:rsid w:val="00283C90"/>
    <w:rsid w:val="00283E7D"/>
    <w:rsid w:val="00283FA8"/>
    <w:rsid w:val="00283FED"/>
    <w:rsid w:val="0028410D"/>
    <w:rsid w:val="002841FC"/>
    <w:rsid w:val="00284247"/>
    <w:rsid w:val="0028439F"/>
    <w:rsid w:val="0028444F"/>
    <w:rsid w:val="002846C2"/>
    <w:rsid w:val="002848D7"/>
    <w:rsid w:val="00284AEC"/>
    <w:rsid w:val="00284AF5"/>
    <w:rsid w:val="00284BEC"/>
    <w:rsid w:val="00284CDD"/>
    <w:rsid w:val="0028534B"/>
    <w:rsid w:val="00285481"/>
    <w:rsid w:val="00285AA0"/>
    <w:rsid w:val="00285AE9"/>
    <w:rsid w:val="00285C22"/>
    <w:rsid w:val="00285EC7"/>
    <w:rsid w:val="00285F23"/>
    <w:rsid w:val="002860A2"/>
    <w:rsid w:val="002860E8"/>
    <w:rsid w:val="002861C4"/>
    <w:rsid w:val="002862E8"/>
    <w:rsid w:val="00286353"/>
    <w:rsid w:val="002863C5"/>
    <w:rsid w:val="00286515"/>
    <w:rsid w:val="002867FD"/>
    <w:rsid w:val="00286D3F"/>
    <w:rsid w:val="002870C9"/>
    <w:rsid w:val="002871B1"/>
    <w:rsid w:val="00287280"/>
    <w:rsid w:val="00287359"/>
    <w:rsid w:val="0028751A"/>
    <w:rsid w:val="00287548"/>
    <w:rsid w:val="002876E4"/>
    <w:rsid w:val="00287888"/>
    <w:rsid w:val="00287A64"/>
    <w:rsid w:val="00287B25"/>
    <w:rsid w:val="00287DA0"/>
    <w:rsid w:val="002902D3"/>
    <w:rsid w:val="00290480"/>
    <w:rsid w:val="002906B7"/>
    <w:rsid w:val="0029070D"/>
    <w:rsid w:val="0029094A"/>
    <w:rsid w:val="00290C50"/>
    <w:rsid w:val="00290DFE"/>
    <w:rsid w:val="00291004"/>
    <w:rsid w:val="0029137D"/>
    <w:rsid w:val="002913DA"/>
    <w:rsid w:val="00291411"/>
    <w:rsid w:val="0029173B"/>
    <w:rsid w:val="00291807"/>
    <w:rsid w:val="00291A5E"/>
    <w:rsid w:val="00291A6A"/>
    <w:rsid w:val="00291BBC"/>
    <w:rsid w:val="00291BD0"/>
    <w:rsid w:val="00291C53"/>
    <w:rsid w:val="00291DB1"/>
    <w:rsid w:val="00291DE8"/>
    <w:rsid w:val="00292175"/>
    <w:rsid w:val="00292805"/>
    <w:rsid w:val="00292814"/>
    <w:rsid w:val="002929B4"/>
    <w:rsid w:val="00292A95"/>
    <w:rsid w:val="00292B1E"/>
    <w:rsid w:val="00292C14"/>
    <w:rsid w:val="00292CA7"/>
    <w:rsid w:val="00292CAA"/>
    <w:rsid w:val="00292DC3"/>
    <w:rsid w:val="0029306D"/>
    <w:rsid w:val="00293263"/>
    <w:rsid w:val="0029345A"/>
    <w:rsid w:val="002934A9"/>
    <w:rsid w:val="00293BB5"/>
    <w:rsid w:val="00293D04"/>
    <w:rsid w:val="00293D54"/>
    <w:rsid w:val="0029414F"/>
    <w:rsid w:val="0029432C"/>
    <w:rsid w:val="00294395"/>
    <w:rsid w:val="0029474D"/>
    <w:rsid w:val="0029477C"/>
    <w:rsid w:val="00294983"/>
    <w:rsid w:val="00294B28"/>
    <w:rsid w:val="00294B93"/>
    <w:rsid w:val="00294C52"/>
    <w:rsid w:val="00294D92"/>
    <w:rsid w:val="00294DA0"/>
    <w:rsid w:val="00294FB0"/>
    <w:rsid w:val="002952D5"/>
    <w:rsid w:val="002957B3"/>
    <w:rsid w:val="00295855"/>
    <w:rsid w:val="00295902"/>
    <w:rsid w:val="00295993"/>
    <w:rsid w:val="00295C91"/>
    <w:rsid w:val="00295D44"/>
    <w:rsid w:val="00295D49"/>
    <w:rsid w:val="00296398"/>
    <w:rsid w:val="002963C5"/>
    <w:rsid w:val="002966BD"/>
    <w:rsid w:val="00296801"/>
    <w:rsid w:val="00296C1D"/>
    <w:rsid w:val="00296D61"/>
    <w:rsid w:val="00296F1B"/>
    <w:rsid w:val="00296F37"/>
    <w:rsid w:val="00296FDF"/>
    <w:rsid w:val="00297043"/>
    <w:rsid w:val="002970CA"/>
    <w:rsid w:val="0029713E"/>
    <w:rsid w:val="002972F6"/>
    <w:rsid w:val="00297428"/>
    <w:rsid w:val="00297443"/>
    <w:rsid w:val="0029746C"/>
    <w:rsid w:val="00297522"/>
    <w:rsid w:val="0029759B"/>
    <w:rsid w:val="00297655"/>
    <w:rsid w:val="002977AE"/>
    <w:rsid w:val="00297ED5"/>
    <w:rsid w:val="002A00B3"/>
    <w:rsid w:val="002A0257"/>
    <w:rsid w:val="002A02A0"/>
    <w:rsid w:val="002A030E"/>
    <w:rsid w:val="002A04C2"/>
    <w:rsid w:val="002A05A3"/>
    <w:rsid w:val="002A0C24"/>
    <w:rsid w:val="002A0CAE"/>
    <w:rsid w:val="002A0F34"/>
    <w:rsid w:val="002A0FFE"/>
    <w:rsid w:val="002A184F"/>
    <w:rsid w:val="002A1ACA"/>
    <w:rsid w:val="002A2069"/>
    <w:rsid w:val="002A211E"/>
    <w:rsid w:val="002A219E"/>
    <w:rsid w:val="002A22CA"/>
    <w:rsid w:val="002A27EF"/>
    <w:rsid w:val="002A2874"/>
    <w:rsid w:val="002A2A1E"/>
    <w:rsid w:val="002A2F44"/>
    <w:rsid w:val="002A2F68"/>
    <w:rsid w:val="002A32D4"/>
    <w:rsid w:val="002A33DA"/>
    <w:rsid w:val="002A3768"/>
    <w:rsid w:val="002A37F7"/>
    <w:rsid w:val="002A3863"/>
    <w:rsid w:val="002A391D"/>
    <w:rsid w:val="002A3AE3"/>
    <w:rsid w:val="002A3CE3"/>
    <w:rsid w:val="002A3DD9"/>
    <w:rsid w:val="002A4123"/>
    <w:rsid w:val="002A41D5"/>
    <w:rsid w:val="002A42A6"/>
    <w:rsid w:val="002A431A"/>
    <w:rsid w:val="002A43BD"/>
    <w:rsid w:val="002A473C"/>
    <w:rsid w:val="002A4838"/>
    <w:rsid w:val="002A4C62"/>
    <w:rsid w:val="002A4E7B"/>
    <w:rsid w:val="002A4F7C"/>
    <w:rsid w:val="002A5020"/>
    <w:rsid w:val="002A5094"/>
    <w:rsid w:val="002A555F"/>
    <w:rsid w:val="002A55D1"/>
    <w:rsid w:val="002A577C"/>
    <w:rsid w:val="002A58E4"/>
    <w:rsid w:val="002A5C29"/>
    <w:rsid w:val="002A5C46"/>
    <w:rsid w:val="002A63EF"/>
    <w:rsid w:val="002A65C2"/>
    <w:rsid w:val="002A67CE"/>
    <w:rsid w:val="002A68A4"/>
    <w:rsid w:val="002A6A15"/>
    <w:rsid w:val="002A6B73"/>
    <w:rsid w:val="002A7230"/>
    <w:rsid w:val="002A732A"/>
    <w:rsid w:val="002A73D6"/>
    <w:rsid w:val="002A745F"/>
    <w:rsid w:val="002A7775"/>
    <w:rsid w:val="002A7879"/>
    <w:rsid w:val="002A7BBF"/>
    <w:rsid w:val="002A7EC1"/>
    <w:rsid w:val="002A7FF2"/>
    <w:rsid w:val="002B000F"/>
    <w:rsid w:val="002B01A1"/>
    <w:rsid w:val="002B040D"/>
    <w:rsid w:val="002B0413"/>
    <w:rsid w:val="002B05D9"/>
    <w:rsid w:val="002B068C"/>
    <w:rsid w:val="002B079D"/>
    <w:rsid w:val="002B08F7"/>
    <w:rsid w:val="002B0983"/>
    <w:rsid w:val="002B0CCF"/>
    <w:rsid w:val="002B1060"/>
    <w:rsid w:val="002B11F9"/>
    <w:rsid w:val="002B1415"/>
    <w:rsid w:val="002B153E"/>
    <w:rsid w:val="002B1764"/>
    <w:rsid w:val="002B177C"/>
    <w:rsid w:val="002B17BD"/>
    <w:rsid w:val="002B1844"/>
    <w:rsid w:val="002B19A4"/>
    <w:rsid w:val="002B19E4"/>
    <w:rsid w:val="002B1F5A"/>
    <w:rsid w:val="002B22D1"/>
    <w:rsid w:val="002B2424"/>
    <w:rsid w:val="002B25FA"/>
    <w:rsid w:val="002B2602"/>
    <w:rsid w:val="002B2997"/>
    <w:rsid w:val="002B2C14"/>
    <w:rsid w:val="002B30A2"/>
    <w:rsid w:val="002B36B0"/>
    <w:rsid w:val="002B3712"/>
    <w:rsid w:val="002B37F5"/>
    <w:rsid w:val="002B3837"/>
    <w:rsid w:val="002B399B"/>
    <w:rsid w:val="002B3A5E"/>
    <w:rsid w:val="002B3CFA"/>
    <w:rsid w:val="002B3D3D"/>
    <w:rsid w:val="002B3EC7"/>
    <w:rsid w:val="002B3FA9"/>
    <w:rsid w:val="002B4508"/>
    <w:rsid w:val="002B465A"/>
    <w:rsid w:val="002B47E7"/>
    <w:rsid w:val="002B48B4"/>
    <w:rsid w:val="002B48B7"/>
    <w:rsid w:val="002B4AE3"/>
    <w:rsid w:val="002B4BB9"/>
    <w:rsid w:val="002B4BD6"/>
    <w:rsid w:val="002B4D38"/>
    <w:rsid w:val="002B5057"/>
    <w:rsid w:val="002B5167"/>
    <w:rsid w:val="002B5173"/>
    <w:rsid w:val="002B55EE"/>
    <w:rsid w:val="002B582E"/>
    <w:rsid w:val="002B5ABC"/>
    <w:rsid w:val="002B5D65"/>
    <w:rsid w:val="002B5F49"/>
    <w:rsid w:val="002B5FA6"/>
    <w:rsid w:val="002B613B"/>
    <w:rsid w:val="002B6192"/>
    <w:rsid w:val="002B61FD"/>
    <w:rsid w:val="002B62D1"/>
    <w:rsid w:val="002B63CF"/>
    <w:rsid w:val="002B672B"/>
    <w:rsid w:val="002B6ACB"/>
    <w:rsid w:val="002B6F60"/>
    <w:rsid w:val="002B6FBD"/>
    <w:rsid w:val="002B7173"/>
    <w:rsid w:val="002B72C3"/>
    <w:rsid w:val="002B7433"/>
    <w:rsid w:val="002B7446"/>
    <w:rsid w:val="002B74AD"/>
    <w:rsid w:val="002B76B3"/>
    <w:rsid w:val="002B76E9"/>
    <w:rsid w:val="002B77B9"/>
    <w:rsid w:val="002B78A0"/>
    <w:rsid w:val="002B7A35"/>
    <w:rsid w:val="002C031C"/>
    <w:rsid w:val="002C03CF"/>
    <w:rsid w:val="002C0516"/>
    <w:rsid w:val="002C06C4"/>
    <w:rsid w:val="002C0A71"/>
    <w:rsid w:val="002C0C10"/>
    <w:rsid w:val="002C0CF5"/>
    <w:rsid w:val="002C0E06"/>
    <w:rsid w:val="002C10B1"/>
    <w:rsid w:val="002C1420"/>
    <w:rsid w:val="002C14EB"/>
    <w:rsid w:val="002C1697"/>
    <w:rsid w:val="002C184A"/>
    <w:rsid w:val="002C1AD9"/>
    <w:rsid w:val="002C1BDF"/>
    <w:rsid w:val="002C1CA2"/>
    <w:rsid w:val="002C1E86"/>
    <w:rsid w:val="002C1F51"/>
    <w:rsid w:val="002C1FF1"/>
    <w:rsid w:val="002C2042"/>
    <w:rsid w:val="002C215A"/>
    <w:rsid w:val="002C2478"/>
    <w:rsid w:val="002C285D"/>
    <w:rsid w:val="002C29F7"/>
    <w:rsid w:val="002C2B2B"/>
    <w:rsid w:val="002C2B30"/>
    <w:rsid w:val="002C2C49"/>
    <w:rsid w:val="002C2F83"/>
    <w:rsid w:val="002C2FAE"/>
    <w:rsid w:val="002C2FEF"/>
    <w:rsid w:val="002C30D5"/>
    <w:rsid w:val="002C3B82"/>
    <w:rsid w:val="002C3C68"/>
    <w:rsid w:val="002C3DF9"/>
    <w:rsid w:val="002C3EEF"/>
    <w:rsid w:val="002C4047"/>
    <w:rsid w:val="002C40EF"/>
    <w:rsid w:val="002C4181"/>
    <w:rsid w:val="002C433A"/>
    <w:rsid w:val="002C4341"/>
    <w:rsid w:val="002C45C0"/>
    <w:rsid w:val="002C465F"/>
    <w:rsid w:val="002C4799"/>
    <w:rsid w:val="002C47B5"/>
    <w:rsid w:val="002C48F0"/>
    <w:rsid w:val="002C4A48"/>
    <w:rsid w:val="002C4C01"/>
    <w:rsid w:val="002C4CED"/>
    <w:rsid w:val="002C4DA9"/>
    <w:rsid w:val="002C4DC2"/>
    <w:rsid w:val="002C50DD"/>
    <w:rsid w:val="002C520C"/>
    <w:rsid w:val="002C57CD"/>
    <w:rsid w:val="002C597A"/>
    <w:rsid w:val="002C5ACD"/>
    <w:rsid w:val="002C651B"/>
    <w:rsid w:val="002C695B"/>
    <w:rsid w:val="002C6C96"/>
    <w:rsid w:val="002C7091"/>
    <w:rsid w:val="002C77CA"/>
    <w:rsid w:val="002C7B10"/>
    <w:rsid w:val="002C7B99"/>
    <w:rsid w:val="002C7D99"/>
    <w:rsid w:val="002C7FC1"/>
    <w:rsid w:val="002D02F0"/>
    <w:rsid w:val="002D0488"/>
    <w:rsid w:val="002D0791"/>
    <w:rsid w:val="002D096C"/>
    <w:rsid w:val="002D09DC"/>
    <w:rsid w:val="002D0AEB"/>
    <w:rsid w:val="002D0CC9"/>
    <w:rsid w:val="002D1092"/>
    <w:rsid w:val="002D1346"/>
    <w:rsid w:val="002D14A8"/>
    <w:rsid w:val="002D169B"/>
    <w:rsid w:val="002D172E"/>
    <w:rsid w:val="002D17E2"/>
    <w:rsid w:val="002D193B"/>
    <w:rsid w:val="002D1DB5"/>
    <w:rsid w:val="002D1E0D"/>
    <w:rsid w:val="002D1F01"/>
    <w:rsid w:val="002D1F21"/>
    <w:rsid w:val="002D2253"/>
    <w:rsid w:val="002D2575"/>
    <w:rsid w:val="002D2593"/>
    <w:rsid w:val="002D25C7"/>
    <w:rsid w:val="002D27D5"/>
    <w:rsid w:val="002D2856"/>
    <w:rsid w:val="002D2A7D"/>
    <w:rsid w:val="002D2D1C"/>
    <w:rsid w:val="002D2E28"/>
    <w:rsid w:val="002D2E46"/>
    <w:rsid w:val="002D338A"/>
    <w:rsid w:val="002D33DC"/>
    <w:rsid w:val="002D351E"/>
    <w:rsid w:val="002D37DC"/>
    <w:rsid w:val="002D3BC4"/>
    <w:rsid w:val="002D3D37"/>
    <w:rsid w:val="002D3DD5"/>
    <w:rsid w:val="002D4053"/>
    <w:rsid w:val="002D42F4"/>
    <w:rsid w:val="002D446D"/>
    <w:rsid w:val="002D4931"/>
    <w:rsid w:val="002D4D4B"/>
    <w:rsid w:val="002D4D79"/>
    <w:rsid w:val="002D5036"/>
    <w:rsid w:val="002D5120"/>
    <w:rsid w:val="002D5188"/>
    <w:rsid w:val="002D53D1"/>
    <w:rsid w:val="002D5AC6"/>
    <w:rsid w:val="002D5D65"/>
    <w:rsid w:val="002D5D8A"/>
    <w:rsid w:val="002D6038"/>
    <w:rsid w:val="002D65EA"/>
    <w:rsid w:val="002D6726"/>
    <w:rsid w:val="002D67D5"/>
    <w:rsid w:val="002D6A57"/>
    <w:rsid w:val="002D6B1E"/>
    <w:rsid w:val="002D6EB5"/>
    <w:rsid w:val="002D6F4D"/>
    <w:rsid w:val="002D73C2"/>
    <w:rsid w:val="002D7CCB"/>
    <w:rsid w:val="002D7F6B"/>
    <w:rsid w:val="002D7FB4"/>
    <w:rsid w:val="002E00A2"/>
    <w:rsid w:val="002E00C3"/>
    <w:rsid w:val="002E04DC"/>
    <w:rsid w:val="002E051E"/>
    <w:rsid w:val="002E098D"/>
    <w:rsid w:val="002E0E03"/>
    <w:rsid w:val="002E12D4"/>
    <w:rsid w:val="002E150D"/>
    <w:rsid w:val="002E17C7"/>
    <w:rsid w:val="002E1950"/>
    <w:rsid w:val="002E19BA"/>
    <w:rsid w:val="002E1A15"/>
    <w:rsid w:val="002E1CB6"/>
    <w:rsid w:val="002E1EA6"/>
    <w:rsid w:val="002E1F24"/>
    <w:rsid w:val="002E1F9E"/>
    <w:rsid w:val="002E207F"/>
    <w:rsid w:val="002E2146"/>
    <w:rsid w:val="002E21C6"/>
    <w:rsid w:val="002E243D"/>
    <w:rsid w:val="002E2459"/>
    <w:rsid w:val="002E2536"/>
    <w:rsid w:val="002E26C5"/>
    <w:rsid w:val="002E2786"/>
    <w:rsid w:val="002E290B"/>
    <w:rsid w:val="002E2BEF"/>
    <w:rsid w:val="002E2F37"/>
    <w:rsid w:val="002E3265"/>
    <w:rsid w:val="002E32FA"/>
    <w:rsid w:val="002E3421"/>
    <w:rsid w:val="002E3478"/>
    <w:rsid w:val="002E3D71"/>
    <w:rsid w:val="002E4074"/>
    <w:rsid w:val="002E408E"/>
    <w:rsid w:val="002E41EC"/>
    <w:rsid w:val="002E43F2"/>
    <w:rsid w:val="002E48AA"/>
    <w:rsid w:val="002E4D14"/>
    <w:rsid w:val="002E5011"/>
    <w:rsid w:val="002E5328"/>
    <w:rsid w:val="002E5423"/>
    <w:rsid w:val="002E54DD"/>
    <w:rsid w:val="002E554E"/>
    <w:rsid w:val="002E5551"/>
    <w:rsid w:val="002E558E"/>
    <w:rsid w:val="002E55D7"/>
    <w:rsid w:val="002E56E8"/>
    <w:rsid w:val="002E570B"/>
    <w:rsid w:val="002E5852"/>
    <w:rsid w:val="002E585A"/>
    <w:rsid w:val="002E5B49"/>
    <w:rsid w:val="002E5BD5"/>
    <w:rsid w:val="002E5C8A"/>
    <w:rsid w:val="002E5F5D"/>
    <w:rsid w:val="002E61DA"/>
    <w:rsid w:val="002E63D7"/>
    <w:rsid w:val="002E63DD"/>
    <w:rsid w:val="002E64BF"/>
    <w:rsid w:val="002E685E"/>
    <w:rsid w:val="002E69E2"/>
    <w:rsid w:val="002E69F6"/>
    <w:rsid w:val="002E6A90"/>
    <w:rsid w:val="002E6B42"/>
    <w:rsid w:val="002E6F1F"/>
    <w:rsid w:val="002E730D"/>
    <w:rsid w:val="002E748C"/>
    <w:rsid w:val="002E77A1"/>
    <w:rsid w:val="002E7811"/>
    <w:rsid w:val="002E7A0C"/>
    <w:rsid w:val="002E7EBF"/>
    <w:rsid w:val="002E7F43"/>
    <w:rsid w:val="002F07DF"/>
    <w:rsid w:val="002F0AB9"/>
    <w:rsid w:val="002F0B49"/>
    <w:rsid w:val="002F0B8E"/>
    <w:rsid w:val="002F12E5"/>
    <w:rsid w:val="002F1391"/>
    <w:rsid w:val="002F144A"/>
    <w:rsid w:val="002F16BF"/>
    <w:rsid w:val="002F18A4"/>
    <w:rsid w:val="002F1948"/>
    <w:rsid w:val="002F1C9C"/>
    <w:rsid w:val="002F1E28"/>
    <w:rsid w:val="002F21C7"/>
    <w:rsid w:val="002F2284"/>
    <w:rsid w:val="002F235B"/>
    <w:rsid w:val="002F23FE"/>
    <w:rsid w:val="002F24E5"/>
    <w:rsid w:val="002F2A98"/>
    <w:rsid w:val="002F2E13"/>
    <w:rsid w:val="002F2EE9"/>
    <w:rsid w:val="002F30E4"/>
    <w:rsid w:val="002F331F"/>
    <w:rsid w:val="002F36DB"/>
    <w:rsid w:val="002F3F71"/>
    <w:rsid w:val="002F3F7F"/>
    <w:rsid w:val="002F400A"/>
    <w:rsid w:val="002F4151"/>
    <w:rsid w:val="002F42D3"/>
    <w:rsid w:val="002F4653"/>
    <w:rsid w:val="002F4933"/>
    <w:rsid w:val="002F4EC1"/>
    <w:rsid w:val="002F4F45"/>
    <w:rsid w:val="002F50C7"/>
    <w:rsid w:val="002F54B8"/>
    <w:rsid w:val="002F55FA"/>
    <w:rsid w:val="002F563F"/>
    <w:rsid w:val="002F5A31"/>
    <w:rsid w:val="002F5C56"/>
    <w:rsid w:val="002F6311"/>
    <w:rsid w:val="002F63F7"/>
    <w:rsid w:val="002F6474"/>
    <w:rsid w:val="002F6489"/>
    <w:rsid w:val="002F64C3"/>
    <w:rsid w:val="002F6679"/>
    <w:rsid w:val="002F66CF"/>
    <w:rsid w:val="002F67CE"/>
    <w:rsid w:val="002F68F7"/>
    <w:rsid w:val="002F6B2D"/>
    <w:rsid w:val="002F6B54"/>
    <w:rsid w:val="002F6C5A"/>
    <w:rsid w:val="002F6D5A"/>
    <w:rsid w:val="002F7006"/>
    <w:rsid w:val="002F7164"/>
    <w:rsid w:val="002F71C0"/>
    <w:rsid w:val="002F736F"/>
    <w:rsid w:val="002F7846"/>
    <w:rsid w:val="002F7C09"/>
    <w:rsid w:val="002F7E49"/>
    <w:rsid w:val="002F7FA7"/>
    <w:rsid w:val="00300114"/>
    <w:rsid w:val="003001F5"/>
    <w:rsid w:val="003004E7"/>
    <w:rsid w:val="00300646"/>
    <w:rsid w:val="003007A1"/>
    <w:rsid w:val="003007EA"/>
    <w:rsid w:val="00300AAB"/>
    <w:rsid w:val="00300B03"/>
    <w:rsid w:val="00300D5A"/>
    <w:rsid w:val="00300D70"/>
    <w:rsid w:val="00300DA4"/>
    <w:rsid w:val="0030108B"/>
    <w:rsid w:val="00301367"/>
    <w:rsid w:val="00301488"/>
    <w:rsid w:val="003014FB"/>
    <w:rsid w:val="00301595"/>
    <w:rsid w:val="00301933"/>
    <w:rsid w:val="00301ABC"/>
    <w:rsid w:val="00301C18"/>
    <w:rsid w:val="00301EA4"/>
    <w:rsid w:val="00301F0C"/>
    <w:rsid w:val="00301FFD"/>
    <w:rsid w:val="00302188"/>
    <w:rsid w:val="0030240A"/>
    <w:rsid w:val="003024A6"/>
    <w:rsid w:val="003024EC"/>
    <w:rsid w:val="0030251F"/>
    <w:rsid w:val="003025A0"/>
    <w:rsid w:val="0030277E"/>
    <w:rsid w:val="0030282A"/>
    <w:rsid w:val="003028ED"/>
    <w:rsid w:val="0030291F"/>
    <w:rsid w:val="00302B20"/>
    <w:rsid w:val="00302CFB"/>
    <w:rsid w:val="00302D07"/>
    <w:rsid w:val="00302EFE"/>
    <w:rsid w:val="00302F01"/>
    <w:rsid w:val="003034F8"/>
    <w:rsid w:val="00303692"/>
    <w:rsid w:val="003036B4"/>
    <w:rsid w:val="0030372A"/>
    <w:rsid w:val="00303742"/>
    <w:rsid w:val="003037A6"/>
    <w:rsid w:val="00303993"/>
    <w:rsid w:val="00303A56"/>
    <w:rsid w:val="00303C3A"/>
    <w:rsid w:val="00303CB1"/>
    <w:rsid w:val="00303E78"/>
    <w:rsid w:val="00303F63"/>
    <w:rsid w:val="00304033"/>
    <w:rsid w:val="0030453D"/>
    <w:rsid w:val="00304B8C"/>
    <w:rsid w:val="00304D24"/>
    <w:rsid w:val="00304F1A"/>
    <w:rsid w:val="003053B4"/>
    <w:rsid w:val="003056E2"/>
    <w:rsid w:val="0030598C"/>
    <w:rsid w:val="00305B46"/>
    <w:rsid w:val="00305C80"/>
    <w:rsid w:val="00305CBD"/>
    <w:rsid w:val="0030629D"/>
    <w:rsid w:val="003065A9"/>
    <w:rsid w:val="00306640"/>
    <w:rsid w:val="003066C6"/>
    <w:rsid w:val="0030697E"/>
    <w:rsid w:val="00306B64"/>
    <w:rsid w:val="00306C21"/>
    <w:rsid w:val="00306E8C"/>
    <w:rsid w:val="00306FBE"/>
    <w:rsid w:val="0030705A"/>
    <w:rsid w:val="003071A7"/>
    <w:rsid w:val="00307211"/>
    <w:rsid w:val="003072CA"/>
    <w:rsid w:val="0030750A"/>
    <w:rsid w:val="00307589"/>
    <w:rsid w:val="003078C5"/>
    <w:rsid w:val="00307929"/>
    <w:rsid w:val="003079C6"/>
    <w:rsid w:val="00307B68"/>
    <w:rsid w:val="00307C1D"/>
    <w:rsid w:val="00307C32"/>
    <w:rsid w:val="0031014D"/>
    <w:rsid w:val="003108B3"/>
    <w:rsid w:val="00310BE4"/>
    <w:rsid w:val="00310C19"/>
    <w:rsid w:val="00310D31"/>
    <w:rsid w:val="00310D68"/>
    <w:rsid w:val="00310F60"/>
    <w:rsid w:val="003111C4"/>
    <w:rsid w:val="00311696"/>
    <w:rsid w:val="003118E2"/>
    <w:rsid w:val="003118F1"/>
    <w:rsid w:val="00311938"/>
    <w:rsid w:val="00311959"/>
    <w:rsid w:val="00311D8E"/>
    <w:rsid w:val="00311E0D"/>
    <w:rsid w:val="00311E37"/>
    <w:rsid w:val="00311EA5"/>
    <w:rsid w:val="00312029"/>
    <w:rsid w:val="0031224D"/>
    <w:rsid w:val="00312630"/>
    <w:rsid w:val="0031269E"/>
    <w:rsid w:val="0031272D"/>
    <w:rsid w:val="003127BF"/>
    <w:rsid w:val="0031282B"/>
    <w:rsid w:val="0031289C"/>
    <w:rsid w:val="00313240"/>
    <w:rsid w:val="003132BF"/>
    <w:rsid w:val="00313597"/>
    <w:rsid w:val="003135A1"/>
    <w:rsid w:val="003135BE"/>
    <w:rsid w:val="00313906"/>
    <w:rsid w:val="003139E3"/>
    <w:rsid w:val="00313A7E"/>
    <w:rsid w:val="00314337"/>
    <w:rsid w:val="00314353"/>
    <w:rsid w:val="00314654"/>
    <w:rsid w:val="00314768"/>
    <w:rsid w:val="00314939"/>
    <w:rsid w:val="00314A8A"/>
    <w:rsid w:val="00314B53"/>
    <w:rsid w:val="00314E0B"/>
    <w:rsid w:val="00314E69"/>
    <w:rsid w:val="003152F2"/>
    <w:rsid w:val="00315542"/>
    <w:rsid w:val="00315912"/>
    <w:rsid w:val="00315BBE"/>
    <w:rsid w:val="00315FB4"/>
    <w:rsid w:val="00316360"/>
    <w:rsid w:val="0031636B"/>
    <w:rsid w:val="003164A0"/>
    <w:rsid w:val="00316795"/>
    <w:rsid w:val="003167FB"/>
    <w:rsid w:val="0031683A"/>
    <w:rsid w:val="00316873"/>
    <w:rsid w:val="00316C61"/>
    <w:rsid w:val="00316DA3"/>
    <w:rsid w:val="00317143"/>
    <w:rsid w:val="00317587"/>
    <w:rsid w:val="00317689"/>
    <w:rsid w:val="003177B2"/>
    <w:rsid w:val="003178C7"/>
    <w:rsid w:val="00317947"/>
    <w:rsid w:val="00317A7A"/>
    <w:rsid w:val="00317B8E"/>
    <w:rsid w:val="00317CA1"/>
    <w:rsid w:val="00317DA9"/>
    <w:rsid w:val="00317DBE"/>
    <w:rsid w:val="00317ED4"/>
    <w:rsid w:val="00317EF1"/>
    <w:rsid w:val="00320030"/>
    <w:rsid w:val="0032010D"/>
    <w:rsid w:val="00320116"/>
    <w:rsid w:val="003202F3"/>
    <w:rsid w:val="00320432"/>
    <w:rsid w:val="0032073A"/>
    <w:rsid w:val="0032081D"/>
    <w:rsid w:val="00320834"/>
    <w:rsid w:val="00320AD5"/>
    <w:rsid w:val="00320D98"/>
    <w:rsid w:val="00320FA6"/>
    <w:rsid w:val="00320FDF"/>
    <w:rsid w:val="003210B5"/>
    <w:rsid w:val="003210DB"/>
    <w:rsid w:val="003214C9"/>
    <w:rsid w:val="00321740"/>
    <w:rsid w:val="00321A46"/>
    <w:rsid w:val="00321C36"/>
    <w:rsid w:val="00321CD3"/>
    <w:rsid w:val="00321F08"/>
    <w:rsid w:val="00322863"/>
    <w:rsid w:val="00322BB7"/>
    <w:rsid w:val="00322EBF"/>
    <w:rsid w:val="00323026"/>
    <w:rsid w:val="003234CF"/>
    <w:rsid w:val="003238B1"/>
    <w:rsid w:val="00323975"/>
    <w:rsid w:val="00323B17"/>
    <w:rsid w:val="00323D3F"/>
    <w:rsid w:val="00323E94"/>
    <w:rsid w:val="003240AD"/>
    <w:rsid w:val="0032442F"/>
    <w:rsid w:val="0032457B"/>
    <w:rsid w:val="003245E1"/>
    <w:rsid w:val="00324608"/>
    <w:rsid w:val="003246FC"/>
    <w:rsid w:val="00324A2F"/>
    <w:rsid w:val="00324AFB"/>
    <w:rsid w:val="00324B4E"/>
    <w:rsid w:val="00324C64"/>
    <w:rsid w:val="00325265"/>
    <w:rsid w:val="00325533"/>
    <w:rsid w:val="00325581"/>
    <w:rsid w:val="0032560D"/>
    <w:rsid w:val="00325620"/>
    <w:rsid w:val="00326320"/>
    <w:rsid w:val="0032639F"/>
    <w:rsid w:val="003265A7"/>
    <w:rsid w:val="003267A3"/>
    <w:rsid w:val="00326939"/>
    <w:rsid w:val="003269B9"/>
    <w:rsid w:val="00326AE1"/>
    <w:rsid w:val="00326C1C"/>
    <w:rsid w:val="00326EDC"/>
    <w:rsid w:val="00326FDC"/>
    <w:rsid w:val="0032701C"/>
    <w:rsid w:val="003274CA"/>
    <w:rsid w:val="0032751E"/>
    <w:rsid w:val="003275DC"/>
    <w:rsid w:val="00327AFB"/>
    <w:rsid w:val="00327CE9"/>
    <w:rsid w:val="00330D65"/>
    <w:rsid w:val="00330D8F"/>
    <w:rsid w:val="0033122B"/>
    <w:rsid w:val="003312C5"/>
    <w:rsid w:val="00331474"/>
    <w:rsid w:val="003314AD"/>
    <w:rsid w:val="00331916"/>
    <w:rsid w:val="003319E0"/>
    <w:rsid w:val="00331AD4"/>
    <w:rsid w:val="00331AF9"/>
    <w:rsid w:val="00331B0B"/>
    <w:rsid w:val="003320F3"/>
    <w:rsid w:val="0033213A"/>
    <w:rsid w:val="003321EC"/>
    <w:rsid w:val="0033243C"/>
    <w:rsid w:val="0033270B"/>
    <w:rsid w:val="0033272D"/>
    <w:rsid w:val="0033294C"/>
    <w:rsid w:val="00332952"/>
    <w:rsid w:val="00333014"/>
    <w:rsid w:val="003331D6"/>
    <w:rsid w:val="00333282"/>
    <w:rsid w:val="0033364E"/>
    <w:rsid w:val="00333661"/>
    <w:rsid w:val="003339A6"/>
    <w:rsid w:val="003339F8"/>
    <w:rsid w:val="00333B99"/>
    <w:rsid w:val="00333E88"/>
    <w:rsid w:val="00333F17"/>
    <w:rsid w:val="00333F79"/>
    <w:rsid w:val="003342C4"/>
    <w:rsid w:val="003342E7"/>
    <w:rsid w:val="0033435A"/>
    <w:rsid w:val="003346ED"/>
    <w:rsid w:val="00334ABD"/>
    <w:rsid w:val="00334CC6"/>
    <w:rsid w:val="00334E52"/>
    <w:rsid w:val="00335298"/>
    <w:rsid w:val="003352EE"/>
    <w:rsid w:val="00335366"/>
    <w:rsid w:val="00335426"/>
    <w:rsid w:val="0033543A"/>
    <w:rsid w:val="00335528"/>
    <w:rsid w:val="003355D3"/>
    <w:rsid w:val="0033561D"/>
    <w:rsid w:val="003358A5"/>
    <w:rsid w:val="00335C9A"/>
    <w:rsid w:val="00335DAD"/>
    <w:rsid w:val="00335F56"/>
    <w:rsid w:val="0033617B"/>
    <w:rsid w:val="003361B5"/>
    <w:rsid w:val="00336440"/>
    <w:rsid w:val="00336647"/>
    <w:rsid w:val="0033669B"/>
    <w:rsid w:val="0033694B"/>
    <w:rsid w:val="003369D8"/>
    <w:rsid w:val="00336D6F"/>
    <w:rsid w:val="00336E7C"/>
    <w:rsid w:val="0033704A"/>
    <w:rsid w:val="00337203"/>
    <w:rsid w:val="00337401"/>
    <w:rsid w:val="00337744"/>
    <w:rsid w:val="00337AC8"/>
    <w:rsid w:val="00337F93"/>
    <w:rsid w:val="00337FB6"/>
    <w:rsid w:val="003404E8"/>
    <w:rsid w:val="0034065C"/>
    <w:rsid w:val="00340674"/>
    <w:rsid w:val="003407E3"/>
    <w:rsid w:val="003408A8"/>
    <w:rsid w:val="00340AB4"/>
    <w:rsid w:val="00340BA3"/>
    <w:rsid w:val="00340BAF"/>
    <w:rsid w:val="00340E64"/>
    <w:rsid w:val="00340FE4"/>
    <w:rsid w:val="003410ED"/>
    <w:rsid w:val="0034146F"/>
    <w:rsid w:val="003419FB"/>
    <w:rsid w:val="00341ABC"/>
    <w:rsid w:val="00341ADA"/>
    <w:rsid w:val="00341E3B"/>
    <w:rsid w:val="00342104"/>
    <w:rsid w:val="00342419"/>
    <w:rsid w:val="003424FA"/>
    <w:rsid w:val="003426DF"/>
    <w:rsid w:val="003427C8"/>
    <w:rsid w:val="00342ACD"/>
    <w:rsid w:val="00342C6F"/>
    <w:rsid w:val="00342E44"/>
    <w:rsid w:val="00342FCD"/>
    <w:rsid w:val="003431FB"/>
    <w:rsid w:val="003432D6"/>
    <w:rsid w:val="003432EC"/>
    <w:rsid w:val="0034334E"/>
    <w:rsid w:val="003434A2"/>
    <w:rsid w:val="0034370C"/>
    <w:rsid w:val="0034395D"/>
    <w:rsid w:val="00343974"/>
    <w:rsid w:val="00343A14"/>
    <w:rsid w:val="00343B4C"/>
    <w:rsid w:val="00343FB9"/>
    <w:rsid w:val="0034420E"/>
    <w:rsid w:val="0034423C"/>
    <w:rsid w:val="003443DB"/>
    <w:rsid w:val="00344466"/>
    <w:rsid w:val="003444B1"/>
    <w:rsid w:val="0034451E"/>
    <w:rsid w:val="00344611"/>
    <w:rsid w:val="00344BD9"/>
    <w:rsid w:val="00344CDD"/>
    <w:rsid w:val="00344CE2"/>
    <w:rsid w:val="00344D3C"/>
    <w:rsid w:val="0034502B"/>
    <w:rsid w:val="003454BD"/>
    <w:rsid w:val="003457ED"/>
    <w:rsid w:val="00345D17"/>
    <w:rsid w:val="00345EBF"/>
    <w:rsid w:val="003461D4"/>
    <w:rsid w:val="0034639A"/>
    <w:rsid w:val="003463BD"/>
    <w:rsid w:val="003464A1"/>
    <w:rsid w:val="0034651C"/>
    <w:rsid w:val="00346605"/>
    <w:rsid w:val="003467DB"/>
    <w:rsid w:val="00346A7F"/>
    <w:rsid w:val="00346A81"/>
    <w:rsid w:val="00346AB0"/>
    <w:rsid w:val="00346AE5"/>
    <w:rsid w:val="00346C8F"/>
    <w:rsid w:val="00346CEC"/>
    <w:rsid w:val="00346D0D"/>
    <w:rsid w:val="00346FD8"/>
    <w:rsid w:val="003470EE"/>
    <w:rsid w:val="003475AE"/>
    <w:rsid w:val="00347A44"/>
    <w:rsid w:val="00347F29"/>
    <w:rsid w:val="00350066"/>
    <w:rsid w:val="00350180"/>
    <w:rsid w:val="003501F7"/>
    <w:rsid w:val="003502C5"/>
    <w:rsid w:val="0035033F"/>
    <w:rsid w:val="003505D2"/>
    <w:rsid w:val="00350B12"/>
    <w:rsid w:val="00350BA7"/>
    <w:rsid w:val="00350C04"/>
    <w:rsid w:val="00350C36"/>
    <w:rsid w:val="0035111F"/>
    <w:rsid w:val="003511B6"/>
    <w:rsid w:val="0035121F"/>
    <w:rsid w:val="0035143C"/>
    <w:rsid w:val="0035147A"/>
    <w:rsid w:val="00351556"/>
    <w:rsid w:val="00351595"/>
    <w:rsid w:val="003515A9"/>
    <w:rsid w:val="003515F8"/>
    <w:rsid w:val="003516A4"/>
    <w:rsid w:val="003516B6"/>
    <w:rsid w:val="00351767"/>
    <w:rsid w:val="00351A17"/>
    <w:rsid w:val="00351D5B"/>
    <w:rsid w:val="00351E14"/>
    <w:rsid w:val="003520C7"/>
    <w:rsid w:val="00352298"/>
    <w:rsid w:val="00352C1D"/>
    <w:rsid w:val="00352D1A"/>
    <w:rsid w:val="00352D69"/>
    <w:rsid w:val="00352ECB"/>
    <w:rsid w:val="0035302C"/>
    <w:rsid w:val="003532A3"/>
    <w:rsid w:val="003534EB"/>
    <w:rsid w:val="003537BA"/>
    <w:rsid w:val="00353825"/>
    <w:rsid w:val="00353830"/>
    <w:rsid w:val="003539F5"/>
    <w:rsid w:val="00353C7F"/>
    <w:rsid w:val="00353F0B"/>
    <w:rsid w:val="00354017"/>
    <w:rsid w:val="0035420B"/>
    <w:rsid w:val="00354273"/>
    <w:rsid w:val="0035438A"/>
    <w:rsid w:val="00354521"/>
    <w:rsid w:val="003548C8"/>
    <w:rsid w:val="003549F5"/>
    <w:rsid w:val="00354DC7"/>
    <w:rsid w:val="00354DFD"/>
    <w:rsid w:val="00354FD1"/>
    <w:rsid w:val="0035503E"/>
    <w:rsid w:val="00355061"/>
    <w:rsid w:val="003550A7"/>
    <w:rsid w:val="003552A7"/>
    <w:rsid w:val="0035540B"/>
    <w:rsid w:val="00355620"/>
    <w:rsid w:val="00355815"/>
    <w:rsid w:val="00355934"/>
    <w:rsid w:val="00355BD3"/>
    <w:rsid w:val="00355C22"/>
    <w:rsid w:val="00355E7E"/>
    <w:rsid w:val="003560A5"/>
    <w:rsid w:val="003561BE"/>
    <w:rsid w:val="003566D7"/>
    <w:rsid w:val="00356757"/>
    <w:rsid w:val="00356A26"/>
    <w:rsid w:val="00356A75"/>
    <w:rsid w:val="00356B43"/>
    <w:rsid w:val="00356DCF"/>
    <w:rsid w:val="00356E29"/>
    <w:rsid w:val="00356E2E"/>
    <w:rsid w:val="003570B1"/>
    <w:rsid w:val="00357295"/>
    <w:rsid w:val="003574EA"/>
    <w:rsid w:val="00357531"/>
    <w:rsid w:val="0035799B"/>
    <w:rsid w:val="00357AD8"/>
    <w:rsid w:val="00357B13"/>
    <w:rsid w:val="00357B3D"/>
    <w:rsid w:val="00357BC1"/>
    <w:rsid w:val="00357C5F"/>
    <w:rsid w:val="00357CE3"/>
    <w:rsid w:val="00357F0F"/>
    <w:rsid w:val="00357F6F"/>
    <w:rsid w:val="00360160"/>
    <w:rsid w:val="00360418"/>
    <w:rsid w:val="003609F7"/>
    <w:rsid w:val="00360A5D"/>
    <w:rsid w:val="00360B67"/>
    <w:rsid w:val="00360DF0"/>
    <w:rsid w:val="00360E6F"/>
    <w:rsid w:val="0036108C"/>
    <w:rsid w:val="003610EB"/>
    <w:rsid w:val="00361134"/>
    <w:rsid w:val="003611B1"/>
    <w:rsid w:val="00361369"/>
    <w:rsid w:val="003613C0"/>
    <w:rsid w:val="003613CC"/>
    <w:rsid w:val="0036165F"/>
    <w:rsid w:val="00361885"/>
    <w:rsid w:val="00361CC9"/>
    <w:rsid w:val="00361D96"/>
    <w:rsid w:val="00361F71"/>
    <w:rsid w:val="003621CF"/>
    <w:rsid w:val="00362457"/>
    <w:rsid w:val="00362773"/>
    <w:rsid w:val="00362A34"/>
    <w:rsid w:val="00362CD2"/>
    <w:rsid w:val="00362F96"/>
    <w:rsid w:val="00363149"/>
    <w:rsid w:val="0036315E"/>
    <w:rsid w:val="00363196"/>
    <w:rsid w:val="003631E6"/>
    <w:rsid w:val="003633D6"/>
    <w:rsid w:val="0036340D"/>
    <w:rsid w:val="00363431"/>
    <w:rsid w:val="0036351E"/>
    <w:rsid w:val="003635B7"/>
    <w:rsid w:val="00363956"/>
    <w:rsid w:val="00364147"/>
    <w:rsid w:val="003641CE"/>
    <w:rsid w:val="003644D9"/>
    <w:rsid w:val="003645B6"/>
    <w:rsid w:val="00364FDB"/>
    <w:rsid w:val="0036521E"/>
    <w:rsid w:val="0036542A"/>
    <w:rsid w:val="00365436"/>
    <w:rsid w:val="003656C8"/>
    <w:rsid w:val="00365767"/>
    <w:rsid w:val="00365B55"/>
    <w:rsid w:val="00365B78"/>
    <w:rsid w:val="00365D62"/>
    <w:rsid w:val="00365E37"/>
    <w:rsid w:val="00365E45"/>
    <w:rsid w:val="003660DF"/>
    <w:rsid w:val="0036617F"/>
    <w:rsid w:val="00366A3A"/>
    <w:rsid w:val="00366B09"/>
    <w:rsid w:val="003675AF"/>
    <w:rsid w:val="00367621"/>
    <w:rsid w:val="00367AAC"/>
    <w:rsid w:val="00367AD2"/>
    <w:rsid w:val="00367CAC"/>
    <w:rsid w:val="00367CCC"/>
    <w:rsid w:val="00367E7C"/>
    <w:rsid w:val="00370332"/>
    <w:rsid w:val="00370383"/>
    <w:rsid w:val="00370500"/>
    <w:rsid w:val="00370543"/>
    <w:rsid w:val="003705C5"/>
    <w:rsid w:val="00370912"/>
    <w:rsid w:val="003709E1"/>
    <w:rsid w:val="00370AA4"/>
    <w:rsid w:val="00370C71"/>
    <w:rsid w:val="00370C7C"/>
    <w:rsid w:val="00370E6B"/>
    <w:rsid w:val="00370F99"/>
    <w:rsid w:val="003711E0"/>
    <w:rsid w:val="003711E9"/>
    <w:rsid w:val="0037146F"/>
    <w:rsid w:val="0037156F"/>
    <w:rsid w:val="00371832"/>
    <w:rsid w:val="00371A2F"/>
    <w:rsid w:val="0037212F"/>
    <w:rsid w:val="003724DB"/>
    <w:rsid w:val="00372613"/>
    <w:rsid w:val="003727E3"/>
    <w:rsid w:val="0037284D"/>
    <w:rsid w:val="00372B48"/>
    <w:rsid w:val="00372C64"/>
    <w:rsid w:val="003732B3"/>
    <w:rsid w:val="00373505"/>
    <w:rsid w:val="003738AD"/>
    <w:rsid w:val="00373AB1"/>
    <w:rsid w:val="00373AB5"/>
    <w:rsid w:val="00373C7B"/>
    <w:rsid w:val="00373CB3"/>
    <w:rsid w:val="00373D03"/>
    <w:rsid w:val="00373F68"/>
    <w:rsid w:val="0037442D"/>
    <w:rsid w:val="0037450E"/>
    <w:rsid w:val="00374591"/>
    <w:rsid w:val="00374717"/>
    <w:rsid w:val="0037487C"/>
    <w:rsid w:val="00374993"/>
    <w:rsid w:val="00374D58"/>
    <w:rsid w:val="00374E1C"/>
    <w:rsid w:val="00374F44"/>
    <w:rsid w:val="003751F3"/>
    <w:rsid w:val="0037538F"/>
    <w:rsid w:val="0037571F"/>
    <w:rsid w:val="00375899"/>
    <w:rsid w:val="003759E5"/>
    <w:rsid w:val="00375B44"/>
    <w:rsid w:val="00375D87"/>
    <w:rsid w:val="00375F49"/>
    <w:rsid w:val="00376273"/>
    <w:rsid w:val="00376308"/>
    <w:rsid w:val="0037631C"/>
    <w:rsid w:val="003764FF"/>
    <w:rsid w:val="00376686"/>
    <w:rsid w:val="0037675A"/>
    <w:rsid w:val="00376904"/>
    <w:rsid w:val="00376988"/>
    <w:rsid w:val="00376BDA"/>
    <w:rsid w:val="00376CC9"/>
    <w:rsid w:val="00376CF2"/>
    <w:rsid w:val="00376DB2"/>
    <w:rsid w:val="00376E22"/>
    <w:rsid w:val="00376FBC"/>
    <w:rsid w:val="0037724E"/>
    <w:rsid w:val="0037728A"/>
    <w:rsid w:val="0037744B"/>
    <w:rsid w:val="003774C8"/>
    <w:rsid w:val="003776EF"/>
    <w:rsid w:val="00377759"/>
    <w:rsid w:val="003777EB"/>
    <w:rsid w:val="00377999"/>
    <w:rsid w:val="00377A6D"/>
    <w:rsid w:val="00377AAA"/>
    <w:rsid w:val="00377B0E"/>
    <w:rsid w:val="00377BD5"/>
    <w:rsid w:val="00377C1A"/>
    <w:rsid w:val="00380072"/>
    <w:rsid w:val="003800CD"/>
    <w:rsid w:val="003800EE"/>
    <w:rsid w:val="00380451"/>
    <w:rsid w:val="00380454"/>
    <w:rsid w:val="0038071E"/>
    <w:rsid w:val="00380839"/>
    <w:rsid w:val="00380A67"/>
    <w:rsid w:val="00380C21"/>
    <w:rsid w:val="00380C8E"/>
    <w:rsid w:val="00380E17"/>
    <w:rsid w:val="003815F2"/>
    <w:rsid w:val="00381839"/>
    <w:rsid w:val="003818A2"/>
    <w:rsid w:val="00381BF3"/>
    <w:rsid w:val="00381E1C"/>
    <w:rsid w:val="003820C6"/>
    <w:rsid w:val="00382352"/>
    <w:rsid w:val="00382405"/>
    <w:rsid w:val="0038252A"/>
    <w:rsid w:val="0038256A"/>
    <w:rsid w:val="00382871"/>
    <w:rsid w:val="003829F7"/>
    <w:rsid w:val="00382F63"/>
    <w:rsid w:val="003830BF"/>
    <w:rsid w:val="0038319F"/>
    <w:rsid w:val="0038325E"/>
    <w:rsid w:val="00383929"/>
    <w:rsid w:val="00383C92"/>
    <w:rsid w:val="00383E6C"/>
    <w:rsid w:val="0038430E"/>
    <w:rsid w:val="00384754"/>
    <w:rsid w:val="00384993"/>
    <w:rsid w:val="00384B94"/>
    <w:rsid w:val="00384C7B"/>
    <w:rsid w:val="00384CBC"/>
    <w:rsid w:val="00384CC6"/>
    <w:rsid w:val="003851AE"/>
    <w:rsid w:val="00385289"/>
    <w:rsid w:val="00385974"/>
    <w:rsid w:val="00385A24"/>
    <w:rsid w:val="00385ED6"/>
    <w:rsid w:val="003860F0"/>
    <w:rsid w:val="0038618E"/>
    <w:rsid w:val="003862D1"/>
    <w:rsid w:val="0038677E"/>
    <w:rsid w:val="00386982"/>
    <w:rsid w:val="003869A9"/>
    <w:rsid w:val="003869DF"/>
    <w:rsid w:val="00386D2A"/>
    <w:rsid w:val="003870CE"/>
    <w:rsid w:val="00387171"/>
    <w:rsid w:val="0038721D"/>
    <w:rsid w:val="0038739D"/>
    <w:rsid w:val="0038764D"/>
    <w:rsid w:val="00387684"/>
    <w:rsid w:val="00387A01"/>
    <w:rsid w:val="00387AB6"/>
    <w:rsid w:val="00387ABC"/>
    <w:rsid w:val="00390297"/>
    <w:rsid w:val="0039029C"/>
    <w:rsid w:val="00390342"/>
    <w:rsid w:val="0039088B"/>
    <w:rsid w:val="003909B3"/>
    <w:rsid w:val="00390A1E"/>
    <w:rsid w:val="00390BD9"/>
    <w:rsid w:val="00390F96"/>
    <w:rsid w:val="00391185"/>
    <w:rsid w:val="00391508"/>
    <w:rsid w:val="0039172F"/>
    <w:rsid w:val="003917B2"/>
    <w:rsid w:val="003918A5"/>
    <w:rsid w:val="00391A6F"/>
    <w:rsid w:val="00391B6B"/>
    <w:rsid w:val="00391D24"/>
    <w:rsid w:val="00391D31"/>
    <w:rsid w:val="00391D8C"/>
    <w:rsid w:val="00391E43"/>
    <w:rsid w:val="00391FA6"/>
    <w:rsid w:val="00392142"/>
    <w:rsid w:val="0039231E"/>
    <w:rsid w:val="003925B8"/>
    <w:rsid w:val="00392950"/>
    <w:rsid w:val="00392962"/>
    <w:rsid w:val="00392AD8"/>
    <w:rsid w:val="00392B70"/>
    <w:rsid w:val="00392B95"/>
    <w:rsid w:val="00392BCB"/>
    <w:rsid w:val="00392C90"/>
    <w:rsid w:val="00392DEB"/>
    <w:rsid w:val="00392E66"/>
    <w:rsid w:val="003931E7"/>
    <w:rsid w:val="00393345"/>
    <w:rsid w:val="003933D0"/>
    <w:rsid w:val="00393466"/>
    <w:rsid w:val="0039386F"/>
    <w:rsid w:val="003938D3"/>
    <w:rsid w:val="00393993"/>
    <w:rsid w:val="00393DCB"/>
    <w:rsid w:val="00393E49"/>
    <w:rsid w:val="00393FA5"/>
    <w:rsid w:val="003940C9"/>
    <w:rsid w:val="0039420B"/>
    <w:rsid w:val="003945FB"/>
    <w:rsid w:val="00394675"/>
    <w:rsid w:val="00394720"/>
    <w:rsid w:val="003948A5"/>
    <w:rsid w:val="00394F29"/>
    <w:rsid w:val="00394FBA"/>
    <w:rsid w:val="003952A1"/>
    <w:rsid w:val="00395408"/>
    <w:rsid w:val="0039552B"/>
    <w:rsid w:val="0039565B"/>
    <w:rsid w:val="00395AE0"/>
    <w:rsid w:val="00395CB1"/>
    <w:rsid w:val="00395E11"/>
    <w:rsid w:val="00396082"/>
    <w:rsid w:val="00396296"/>
    <w:rsid w:val="003962A3"/>
    <w:rsid w:val="0039669F"/>
    <w:rsid w:val="00396EB3"/>
    <w:rsid w:val="00397225"/>
    <w:rsid w:val="003972CC"/>
    <w:rsid w:val="0039735A"/>
    <w:rsid w:val="003973F6"/>
    <w:rsid w:val="003979CE"/>
    <w:rsid w:val="00397E09"/>
    <w:rsid w:val="00397F84"/>
    <w:rsid w:val="00397FE9"/>
    <w:rsid w:val="003A0033"/>
    <w:rsid w:val="003A01EB"/>
    <w:rsid w:val="003A0297"/>
    <w:rsid w:val="003A03F7"/>
    <w:rsid w:val="003A040C"/>
    <w:rsid w:val="003A0415"/>
    <w:rsid w:val="003A0424"/>
    <w:rsid w:val="003A04F3"/>
    <w:rsid w:val="003A0B9B"/>
    <w:rsid w:val="003A0D62"/>
    <w:rsid w:val="003A0EFF"/>
    <w:rsid w:val="003A10A2"/>
    <w:rsid w:val="003A1232"/>
    <w:rsid w:val="003A124C"/>
    <w:rsid w:val="003A13F6"/>
    <w:rsid w:val="003A170A"/>
    <w:rsid w:val="003A1760"/>
    <w:rsid w:val="003A1774"/>
    <w:rsid w:val="003A185A"/>
    <w:rsid w:val="003A1917"/>
    <w:rsid w:val="003A1983"/>
    <w:rsid w:val="003A1989"/>
    <w:rsid w:val="003A1A29"/>
    <w:rsid w:val="003A1A93"/>
    <w:rsid w:val="003A1EBD"/>
    <w:rsid w:val="003A1F81"/>
    <w:rsid w:val="003A2136"/>
    <w:rsid w:val="003A23DB"/>
    <w:rsid w:val="003A2421"/>
    <w:rsid w:val="003A255C"/>
    <w:rsid w:val="003A26B9"/>
    <w:rsid w:val="003A26E2"/>
    <w:rsid w:val="003A26E7"/>
    <w:rsid w:val="003A271D"/>
    <w:rsid w:val="003A2A9F"/>
    <w:rsid w:val="003A2B52"/>
    <w:rsid w:val="003A2B5D"/>
    <w:rsid w:val="003A2C14"/>
    <w:rsid w:val="003A2D80"/>
    <w:rsid w:val="003A2DC2"/>
    <w:rsid w:val="003A304F"/>
    <w:rsid w:val="003A31C9"/>
    <w:rsid w:val="003A3351"/>
    <w:rsid w:val="003A336A"/>
    <w:rsid w:val="003A34F0"/>
    <w:rsid w:val="003A3548"/>
    <w:rsid w:val="003A359A"/>
    <w:rsid w:val="003A3601"/>
    <w:rsid w:val="003A365B"/>
    <w:rsid w:val="003A3678"/>
    <w:rsid w:val="003A36F7"/>
    <w:rsid w:val="003A3870"/>
    <w:rsid w:val="003A3B1B"/>
    <w:rsid w:val="003A3CE4"/>
    <w:rsid w:val="003A3D79"/>
    <w:rsid w:val="003A3DCC"/>
    <w:rsid w:val="003A4A5A"/>
    <w:rsid w:val="003A4C67"/>
    <w:rsid w:val="003A4F99"/>
    <w:rsid w:val="003A5165"/>
    <w:rsid w:val="003A5283"/>
    <w:rsid w:val="003A5527"/>
    <w:rsid w:val="003A55B5"/>
    <w:rsid w:val="003A57B6"/>
    <w:rsid w:val="003A5A6D"/>
    <w:rsid w:val="003A5A81"/>
    <w:rsid w:val="003A5E1A"/>
    <w:rsid w:val="003A5E65"/>
    <w:rsid w:val="003A62E5"/>
    <w:rsid w:val="003A63AA"/>
    <w:rsid w:val="003A64D4"/>
    <w:rsid w:val="003A66CF"/>
    <w:rsid w:val="003A6719"/>
    <w:rsid w:val="003A673A"/>
    <w:rsid w:val="003A6771"/>
    <w:rsid w:val="003A690F"/>
    <w:rsid w:val="003A6ADC"/>
    <w:rsid w:val="003A7036"/>
    <w:rsid w:val="003A7110"/>
    <w:rsid w:val="003A712C"/>
    <w:rsid w:val="003A7151"/>
    <w:rsid w:val="003A75F6"/>
    <w:rsid w:val="003A7A15"/>
    <w:rsid w:val="003A7A7F"/>
    <w:rsid w:val="003A7AE8"/>
    <w:rsid w:val="003A7CC7"/>
    <w:rsid w:val="003A7D06"/>
    <w:rsid w:val="003A7E00"/>
    <w:rsid w:val="003B00C7"/>
    <w:rsid w:val="003B07A9"/>
    <w:rsid w:val="003B097A"/>
    <w:rsid w:val="003B0C56"/>
    <w:rsid w:val="003B0DF4"/>
    <w:rsid w:val="003B0F05"/>
    <w:rsid w:val="003B144E"/>
    <w:rsid w:val="003B15F7"/>
    <w:rsid w:val="003B18D7"/>
    <w:rsid w:val="003B1B1A"/>
    <w:rsid w:val="003B1B2D"/>
    <w:rsid w:val="003B1B52"/>
    <w:rsid w:val="003B1E2E"/>
    <w:rsid w:val="003B1E87"/>
    <w:rsid w:val="003B1F7C"/>
    <w:rsid w:val="003B20FB"/>
    <w:rsid w:val="003B24C1"/>
    <w:rsid w:val="003B24E9"/>
    <w:rsid w:val="003B27DF"/>
    <w:rsid w:val="003B298C"/>
    <w:rsid w:val="003B2C44"/>
    <w:rsid w:val="003B2CD5"/>
    <w:rsid w:val="003B2DE1"/>
    <w:rsid w:val="003B2FE8"/>
    <w:rsid w:val="003B31D4"/>
    <w:rsid w:val="003B3530"/>
    <w:rsid w:val="003B3746"/>
    <w:rsid w:val="003B3929"/>
    <w:rsid w:val="003B3975"/>
    <w:rsid w:val="003B4126"/>
    <w:rsid w:val="003B434C"/>
    <w:rsid w:val="003B4389"/>
    <w:rsid w:val="003B4434"/>
    <w:rsid w:val="003B446A"/>
    <w:rsid w:val="003B44A8"/>
    <w:rsid w:val="003B4594"/>
    <w:rsid w:val="003B459A"/>
    <w:rsid w:val="003B4628"/>
    <w:rsid w:val="003B4738"/>
    <w:rsid w:val="003B4935"/>
    <w:rsid w:val="003B4A0C"/>
    <w:rsid w:val="003B4C17"/>
    <w:rsid w:val="003B4E45"/>
    <w:rsid w:val="003B524E"/>
    <w:rsid w:val="003B5347"/>
    <w:rsid w:val="003B53DB"/>
    <w:rsid w:val="003B548E"/>
    <w:rsid w:val="003B5660"/>
    <w:rsid w:val="003B59A5"/>
    <w:rsid w:val="003B5E14"/>
    <w:rsid w:val="003B6151"/>
    <w:rsid w:val="003B635C"/>
    <w:rsid w:val="003B658B"/>
    <w:rsid w:val="003B6A93"/>
    <w:rsid w:val="003B6D86"/>
    <w:rsid w:val="003B6F61"/>
    <w:rsid w:val="003B70FF"/>
    <w:rsid w:val="003B71CC"/>
    <w:rsid w:val="003B73D1"/>
    <w:rsid w:val="003B7404"/>
    <w:rsid w:val="003B74D9"/>
    <w:rsid w:val="003B7593"/>
    <w:rsid w:val="003B7621"/>
    <w:rsid w:val="003B7641"/>
    <w:rsid w:val="003B775B"/>
    <w:rsid w:val="003B7775"/>
    <w:rsid w:val="003B7D76"/>
    <w:rsid w:val="003C0321"/>
    <w:rsid w:val="003C032F"/>
    <w:rsid w:val="003C035D"/>
    <w:rsid w:val="003C04D3"/>
    <w:rsid w:val="003C07D9"/>
    <w:rsid w:val="003C0828"/>
    <w:rsid w:val="003C08BB"/>
    <w:rsid w:val="003C090F"/>
    <w:rsid w:val="003C0A25"/>
    <w:rsid w:val="003C0AC9"/>
    <w:rsid w:val="003C0C15"/>
    <w:rsid w:val="003C0CAD"/>
    <w:rsid w:val="003C0ED6"/>
    <w:rsid w:val="003C12D9"/>
    <w:rsid w:val="003C17A7"/>
    <w:rsid w:val="003C1837"/>
    <w:rsid w:val="003C1A9A"/>
    <w:rsid w:val="003C1B61"/>
    <w:rsid w:val="003C1C01"/>
    <w:rsid w:val="003C1D1A"/>
    <w:rsid w:val="003C22A1"/>
    <w:rsid w:val="003C2336"/>
    <w:rsid w:val="003C233C"/>
    <w:rsid w:val="003C236A"/>
    <w:rsid w:val="003C2433"/>
    <w:rsid w:val="003C2946"/>
    <w:rsid w:val="003C2957"/>
    <w:rsid w:val="003C2A68"/>
    <w:rsid w:val="003C2C85"/>
    <w:rsid w:val="003C2CDF"/>
    <w:rsid w:val="003C3060"/>
    <w:rsid w:val="003C3794"/>
    <w:rsid w:val="003C39F8"/>
    <w:rsid w:val="003C3AC0"/>
    <w:rsid w:val="003C3B2D"/>
    <w:rsid w:val="003C3C8E"/>
    <w:rsid w:val="003C3CF9"/>
    <w:rsid w:val="003C3D6D"/>
    <w:rsid w:val="003C3D74"/>
    <w:rsid w:val="003C3E62"/>
    <w:rsid w:val="003C3EA6"/>
    <w:rsid w:val="003C4507"/>
    <w:rsid w:val="003C4621"/>
    <w:rsid w:val="003C4711"/>
    <w:rsid w:val="003C4838"/>
    <w:rsid w:val="003C4B3E"/>
    <w:rsid w:val="003C4B56"/>
    <w:rsid w:val="003C4C74"/>
    <w:rsid w:val="003C4C99"/>
    <w:rsid w:val="003C4CC3"/>
    <w:rsid w:val="003C5122"/>
    <w:rsid w:val="003C53D3"/>
    <w:rsid w:val="003C5410"/>
    <w:rsid w:val="003C542F"/>
    <w:rsid w:val="003C5616"/>
    <w:rsid w:val="003C5A4C"/>
    <w:rsid w:val="003C5A6B"/>
    <w:rsid w:val="003C5F0C"/>
    <w:rsid w:val="003C60BE"/>
    <w:rsid w:val="003C60C3"/>
    <w:rsid w:val="003C6306"/>
    <w:rsid w:val="003C6432"/>
    <w:rsid w:val="003C66D3"/>
    <w:rsid w:val="003C6846"/>
    <w:rsid w:val="003C6973"/>
    <w:rsid w:val="003C6C9B"/>
    <w:rsid w:val="003C6CF3"/>
    <w:rsid w:val="003C6DB0"/>
    <w:rsid w:val="003C6DE9"/>
    <w:rsid w:val="003C6F65"/>
    <w:rsid w:val="003C7175"/>
    <w:rsid w:val="003C71C2"/>
    <w:rsid w:val="003C7244"/>
    <w:rsid w:val="003C7719"/>
    <w:rsid w:val="003C7831"/>
    <w:rsid w:val="003C7A73"/>
    <w:rsid w:val="003C7C27"/>
    <w:rsid w:val="003C7DE3"/>
    <w:rsid w:val="003C7E29"/>
    <w:rsid w:val="003C7E6D"/>
    <w:rsid w:val="003D02B7"/>
    <w:rsid w:val="003D0395"/>
    <w:rsid w:val="003D04EB"/>
    <w:rsid w:val="003D07DD"/>
    <w:rsid w:val="003D0A86"/>
    <w:rsid w:val="003D0A99"/>
    <w:rsid w:val="003D0AB1"/>
    <w:rsid w:val="003D0B61"/>
    <w:rsid w:val="003D1044"/>
    <w:rsid w:val="003D10EE"/>
    <w:rsid w:val="003D11AD"/>
    <w:rsid w:val="003D12B4"/>
    <w:rsid w:val="003D1599"/>
    <w:rsid w:val="003D1698"/>
    <w:rsid w:val="003D16E4"/>
    <w:rsid w:val="003D17A0"/>
    <w:rsid w:val="003D199D"/>
    <w:rsid w:val="003D1FC2"/>
    <w:rsid w:val="003D23C4"/>
    <w:rsid w:val="003D24FC"/>
    <w:rsid w:val="003D2621"/>
    <w:rsid w:val="003D26C6"/>
    <w:rsid w:val="003D2767"/>
    <w:rsid w:val="003D2858"/>
    <w:rsid w:val="003D29CB"/>
    <w:rsid w:val="003D2B6E"/>
    <w:rsid w:val="003D2C50"/>
    <w:rsid w:val="003D2C6F"/>
    <w:rsid w:val="003D2CDF"/>
    <w:rsid w:val="003D2F87"/>
    <w:rsid w:val="003D2FCC"/>
    <w:rsid w:val="003D331A"/>
    <w:rsid w:val="003D347F"/>
    <w:rsid w:val="003D34A7"/>
    <w:rsid w:val="003D3711"/>
    <w:rsid w:val="003D38F0"/>
    <w:rsid w:val="003D3ABA"/>
    <w:rsid w:val="003D3F9E"/>
    <w:rsid w:val="003D40D2"/>
    <w:rsid w:val="003D4474"/>
    <w:rsid w:val="003D4600"/>
    <w:rsid w:val="003D46CA"/>
    <w:rsid w:val="003D4811"/>
    <w:rsid w:val="003D4D08"/>
    <w:rsid w:val="003D4D71"/>
    <w:rsid w:val="003D4E47"/>
    <w:rsid w:val="003D52FA"/>
    <w:rsid w:val="003D555F"/>
    <w:rsid w:val="003D557A"/>
    <w:rsid w:val="003D587B"/>
    <w:rsid w:val="003D590B"/>
    <w:rsid w:val="003D5C0B"/>
    <w:rsid w:val="003D5FFE"/>
    <w:rsid w:val="003D692B"/>
    <w:rsid w:val="003D6A5D"/>
    <w:rsid w:val="003D6FBA"/>
    <w:rsid w:val="003D6FEE"/>
    <w:rsid w:val="003D714A"/>
    <w:rsid w:val="003D73F9"/>
    <w:rsid w:val="003E0161"/>
    <w:rsid w:val="003E0279"/>
    <w:rsid w:val="003E0291"/>
    <w:rsid w:val="003E02F4"/>
    <w:rsid w:val="003E0690"/>
    <w:rsid w:val="003E06EB"/>
    <w:rsid w:val="003E0CC6"/>
    <w:rsid w:val="003E0CE3"/>
    <w:rsid w:val="003E0D55"/>
    <w:rsid w:val="003E10C6"/>
    <w:rsid w:val="003E1239"/>
    <w:rsid w:val="003E162E"/>
    <w:rsid w:val="003E1743"/>
    <w:rsid w:val="003E19BF"/>
    <w:rsid w:val="003E1B07"/>
    <w:rsid w:val="003E1D18"/>
    <w:rsid w:val="003E1D67"/>
    <w:rsid w:val="003E1DC7"/>
    <w:rsid w:val="003E1EC3"/>
    <w:rsid w:val="003E1F08"/>
    <w:rsid w:val="003E200E"/>
    <w:rsid w:val="003E21EC"/>
    <w:rsid w:val="003E22D2"/>
    <w:rsid w:val="003E2856"/>
    <w:rsid w:val="003E2867"/>
    <w:rsid w:val="003E2B73"/>
    <w:rsid w:val="003E2BE0"/>
    <w:rsid w:val="003E2DE6"/>
    <w:rsid w:val="003E2DF2"/>
    <w:rsid w:val="003E2E62"/>
    <w:rsid w:val="003E2FA3"/>
    <w:rsid w:val="003E32DF"/>
    <w:rsid w:val="003E3351"/>
    <w:rsid w:val="003E36A5"/>
    <w:rsid w:val="003E3A05"/>
    <w:rsid w:val="003E3A64"/>
    <w:rsid w:val="003E3B47"/>
    <w:rsid w:val="003E3C06"/>
    <w:rsid w:val="003E3CE5"/>
    <w:rsid w:val="003E3CFD"/>
    <w:rsid w:val="003E3D4C"/>
    <w:rsid w:val="003E3EDA"/>
    <w:rsid w:val="003E3EE7"/>
    <w:rsid w:val="003E411A"/>
    <w:rsid w:val="003E414B"/>
    <w:rsid w:val="003E44AD"/>
    <w:rsid w:val="003E44DE"/>
    <w:rsid w:val="003E45C2"/>
    <w:rsid w:val="003E473F"/>
    <w:rsid w:val="003E4961"/>
    <w:rsid w:val="003E4B79"/>
    <w:rsid w:val="003E4BD2"/>
    <w:rsid w:val="003E4CD2"/>
    <w:rsid w:val="003E4E6B"/>
    <w:rsid w:val="003E5552"/>
    <w:rsid w:val="003E5561"/>
    <w:rsid w:val="003E561D"/>
    <w:rsid w:val="003E59CA"/>
    <w:rsid w:val="003E5A82"/>
    <w:rsid w:val="003E5A8A"/>
    <w:rsid w:val="003E5AFD"/>
    <w:rsid w:val="003E5C63"/>
    <w:rsid w:val="003E5E90"/>
    <w:rsid w:val="003E5EF1"/>
    <w:rsid w:val="003E6090"/>
    <w:rsid w:val="003E60E6"/>
    <w:rsid w:val="003E6294"/>
    <w:rsid w:val="003E6478"/>
    <w:rsid w:val="003E6A57"/>
    <w:rsid w:val="003E7278"/>
    <w:rsid w:val="003E740F"/>
    <w:rsid w:val="003E7A04"/>
    <w:rsid w:val="003E7BD4"/>
    <w:rsid w:val="003E7D11"/>
    <w:rsid w:val="003F00A0"/>
    <w:rsid w:val="003F0105"/>
    <w:rsid w:val="003F0146"/>
    <w:rsid w:val="003F0241"/>
    <w:rsid w:val="003F03F5"/>
    <w:rsid w:val="003F0423"/>
    <w:rsid w:val="003F05DB"/>
    <w:rsid w:val="003F0F24"/>
    <w:rsid w:val="003F1064"/>
    <w:rsid w:val="003F10E7"/>
    <w:rsid w:val="003F159C"/>
    <w:rsid w:val="003F15A2"/>
    <w:rsid w:val="003F1632"/>
    <w:rsid w:val="003F1780"/>
    <w:rsid w:val="003F1931"/>
    <w:rsid w:val="003F1B87"/>
    <w:rsid w:val="003F1CF2"/>
    <w:rsid w:val="003F1E90"/>
    <w:rsid w:val="003F2316"/>
    <w:rsid w:val="003F2506"/>
    <w:rsid w:val="003F251D"/>
    <w:rsid w:val="003F2682"/>
    <w:rsid w:val="003F273F"/>
    <w:rsid w:val="003F28DC"/>
    <w:rsid w:val="003F29E9"/>
    <w:rsid w:val="003F2D79"/>
    <w:rsid w:val="003F2EDD"/>
    <w:rsid w:val="003F2F8D"/>
    <w:rsid w:val="003F331C"/>
    <w:rsid w:val="003F369A"/>
    <w:rsid w:val="003F3846"/>
    <w:rsid w:val="003F3A73"/>
    <w:rsid w:val="003F3BD3"/>
    <w:rsid w:val="003F3EE1"/>
    <w:rsid w:val="003F3F46"/>
    <w:rsid w:val="003F46B9"/>
    <w:rsid w:val="003F4C6A"/>
    <w:rsid w:val="003F4DDF"/>
    <w:rsid w:val="003F51D4"/>
    <w:rsid w:val="003F52C5"/>
    <w:rsid w:val="003F5411"/>
    <w:rsid w:val="003F5538"/>
    <w:rsid w:val="003F55A9"/>
    <w:rsid w:val="003F568C"/>
    <w:rsid w:val="003F5737"/>
    <w:rsid w:val="003F57A6"/>
    <w:rsid w:val="003F57AB"/>
    <w:rsid w:val="003F5810"/>
    <w:rsid w:val="003F5950"/>
    <w:rsid w:val="003F6086"/>
    <w:rsid w:val="003F62C4"/>
    <w:rsid w:val="003F6356"/>
    <w:rsid w:val="003F6440"/>
    <w:rsid w:val="003F648C"/>
    <w:rsid w:val="003F68A7"/>
    <w:rsid w:val="003F694A"/>
    <w:rsid w:val="003F6D2E"/>
    <w:rsid w:val="003F7493"/>
    <w:rsid w:val="003F771C"/>
    <w:rsid w:val="003F7BBC"/>
    <w:rsid w:val="003F7C98"/>
    <w:rsid w:val="003F7D25"/>
    <w:rsid w:val="003F7D80"/>
    <w:rsid w:val="003F7F0A"/>
    <w:rsid w:val="0040002C"/>
    <w:rsid w:val="004002A3"/>
    <w:rsid w:val="004002AB"/>
    <w:rsid w:val="004003D4"/>
    <w:rsid w:val="00400629"/>
    <w:rsid w:val="004007F0"/>
    <w:rsid w:val="0040082B"/>
    <w:rsid w:val="00400950"/>
    <w:rsid w:val="00400A59"/>
    <w:rsid w:val="00400BB6"/>
    <w:rsid w:val="00400C82"/>
    <w:rsid w:val="00400D95"/>
    <w:rsid w:val="00400DD9"/>
    <w:rsid w:val="00400E92"/>
    <w:rsid w:val="00400EC7"/>
    <w:rsid w:val="00400EEA"/>
    <w:rsid w:val="00401009"/>
    <w:rsid w:val="0040103D"/>
    <w:rsid w:val="0040117B"/>
    <w:rsid w:val="00401314"/>
    <w:rsid w:val="00401676"/>
    <w:rsid w:val="00401885"/>
    <w:rsid w:val="004018E4"/>
    <w:rsid w:val="00401914"/>
    <w:rsid w:val="00401A25"/>
    <w:rsid w:val="004020F6"/>
    <w:rsid w:val="00402109"/>
    <w:rsid w:val="00402384"/>
    <w:rsid w:val="00402681"/>
    <w:rsid w:val="004028EB"/>
    <w:rsid w:val="00402914"/>
    <w:rsid w:val="00402BD6"/>
    <w:rsid w:val="00402DDD"/>
    <w:rsid w:val="00402FD7"/>
    <w:rsid w:val="00403410"/>
    <w:rsid w:val="00403D6C"/>
    <w:rsid w:val="00403E3C"/>
    <w:rsid w:val="00403E81"/>
    <w:rsid w:val="00404166"/>
    <w:rsid w:val="0040420E"/>
    <w:rsid w:val="0040421A"/>
    <w:rsid w:val="0040438F"/>
    <w:rsid w:val="00404556"/>
    <w:rsid w:val="00404567"/>
    <w:rsid w:val="00404727"/>
    <w:rsid w:val="0040474C"/>
    <w:rsid w:val="004048B2"/>
    <w:rsid w:val="004048B3"/>
    <w:rsid w:val="00404B64"/>
    <w:rsid w:val="00404C35"/>
    <w:rsid w:val="00404DE0"/>
    <w:rsid w:val="00404EE6"/>
    <w:rsid w:val="00404F08"/>
    <w:rsid w:val="004050BF"/>
    <w:rsid w:val="0040516A"/>
    <w:rsid w:val="0040517A"/>
    <w:rsid w:val="00405192"/>
    <w:rsid w:val="004051AF"/>
    <w:rsid w:val="004054D6"/>
    <w:rsid w:val="00405506"/>
    <w:rsid w:val="004055F6"/>
    <w:rsid w:val="0040574B"/>
    <w:rsid w:val="0040575E"/>
    <w:rsid w:val="004058FE"/>
    <w:rsid w:val="00405919"/>
    <w:rsid w:val="00405CD4"/>
    <w:rsid w:val="00405DBF"/>
    <w:rsid w:val="0040634B"/>
    <w:rsid w:val="00406406"/>
    <w:rsid w:val="004064D2"/>
    <w:rsid w:val="00406589"/>
    <w:rsid w:val="004065D6"/>
    <w:rsid w:val="00406845"/>
    <w:rsid w:val="00406952"/>
    <w:rsid w:val="00406B77"/>
    <w:rsid w:val="00406D1D"/>
    <w:rsid w:val="00406FF8"/>
    <w:rsid w:val="00407031"/>
    <w:rsid w:val="004073D3"/>
    <w:rsid w:val="00407693"/>
    <w:rsid w:val="00407725"/>
    <w:rsid w:val="0040779C"/>
    <w:rsid w:val="004079F2"/>
    <w:rsid w:val="00407C1A"/>
    <w:rsid w:val="004100A0"/>
    <w:rsid w:val="00410175"/>
    <w:rsid w:val="004101CC"/>
    <w:rsid w:val="00410392"/>
    <w:rsid w:val="00410499"/>
    <w:rsid w:val="0041053F"/>
    <w:rsid w:val="004108E2"/>
    <w:rsid w:val="00410A58"/>
    <w:rsid w:val="00410ADD"/>
    <w:rsid w:val="00410B9F"/>
    <w:rsid w:val="00410DAA"/>
    <w:rsid w:val="00410ED5"/>
    <w:rsid w:val="00410FBD"/>
    <w:rsid w:val="00410FC3"/>
    <w:rsid w:val="004113C0"/>
    <w:rsid w:val="00411421"/>
    <w:rsid w:val="00411944"/>
    <w:rsid w:val="004120F3"/>
    <w:rsid w:val="0041211D"/>
    <w:rsid w:val="00412258"/>
    <w:rsid w:val="004122B1"/>
    <w:rsid w:val="00412394"/>
    <w:rsid w:val="00412404"/>
    <w:rsid w:val="00412440"/>
    <w:rsid w:val="004127A1"/>
    <w:rsid w:val="00412836"/>
    <w:rsid w:val="00412896"/>
    <w:rsid w:val="004128B6"/>
    <w:rsid w:val="00412C04"/>
    <w:rsid w:val="0041335B"/>
    <w:rsid w:val="004133E1"/>
    <w:rsid w:val="0041366E"/>
    <w:rsid w:val="00413674"/>
    <w:rsid w:val="00413A36"/>
    <w:rsid w:val="00413B49"/>
    <w:rsid w:val="00413CCE"/>
    <w:rsid w:val="00413D0B"/>
    <w:rsid w:val="00414204"/>
    <w:rsid w:val="00414621"/>
    <w:rsid w:val="0041489F"/>
    <w:rsid w:val="00414953"/>
    <w:rsid w:val="00414A2F"/>
    <w:rsid w:val="00414AE9"/>
    <w:rsid w:val="00414EF3"/>
    <w:rsid w:val="0041506E"/>
    <w:rsid w:val="004154D0"/>
    <w:rsid w:val="004155CF"/>
    <w:rsid w:val="00415783"/>
    <w:rsid w:val="00415965"/>
    <w:rsid w:val="00415990"/>
    <w:rsid w:val="00415A65"/>
    <w:rsid w:val="00415B4E"/>
    <w:rsid w:val="00415C2E"/>
    <w:rsid w:val="004160BF"/>
    <w:rsid w:val="004162B3"/>
    <w:rsid w:val="0041669D"/>
    <w:rsid w:val="00416C72"/>
    <w:rsid w:val="00416D87"/>
    <w:rsid w:val="00416E3C"/>
    <w:rsid w:val="00417041"/>
    <w:rsid w:val="004171FA"/>
    <w:rsid w:val="004172A5"/>
    <w:rsid w:val="004172EB"/>
    <w:rsid w:val="00417600"/>
    <w:rsid w:val="00417A2F"/>
    <w:rsid w:val="00417B33"/>
    <w:rsid w:val="00417CCB"/>
    <w:rsid w:val="00417D78"/>
    <w:rsid w:val="00417D81"/>
    <w:rsid w:val="00420070"/>
    <w:rsid w:val="004204BA"/>
    <w:rsid w:val="00420669"/>
    <w:rsid w:val="0042067F"/>
    <w:rsid w:val="0042078A"/>
    <w:rsid w:val="00420BCA"/>
    <w:rsid w:val="004210A2"/>
    <w:rsid w:val="004211DE"/>
    <w:rsid w:val="00421379"/>
    <w:rsid w:val="00421386"/>
    <w:rsid w:val="004214FE"/>
    <w:rsid w:val="0042175F"/>
    <w:rsid w:val="0042193D"/>
    <w:rsid w:val="00421AC0"/>
    <w:rsid w:val="00421D1E"/>
    <w:rsid w:val="00421F6A"/>
    <w:rsid w:val="00421F73"/>
    <w:rsid w:val="0042239F"/>
    <w:rsid w:val="00422437"/>
    <w:rsid w:val="004224D6"/>
    <w:rsid w:val="004229A4"/>
    <w:rsid w:val="004229F5"/>
    <w:rsid w:val="00422B3D"/>
    <w:rsid w:val="00422E16"/>
    <w:rsid w:val="004230BD"/>
    <w:rsid w:val="00423134"/>
    <w:rsid w:val="0042313F"/>
    <w:rsid w:val="00423472"/>
    <w:rsid w:val="0042348B"/>
    <w:rsid w:val="00423777"/>
    <w:rsid w:val="004237B8"/>
    <w:rsid w:val="004238E9"/>
    <w:rsid w:val="00423999"/>
    <w:rsid w:val="00423B59"/>
    <w:rsid w:val="00424143"/>
    <w:rsid w:val="0042436B"/>
    <w:rsid w:val="00424791"/>
    <w:rsid w:val="004247A7"/>
    <w:rsid w:val="004247C0"/>
    <w:rsid w:val="00424898"/>
    <w:rsid w:val="00424908"/>
    <w:rsid w:val="00424DA2"/>
    <w:rsid w:val="00425092"/>
    <w:rsid w:val="00425096"/>
    <w:rsid w:val="00425116"/>
    <w:rsid w:val="004251B6"/>
    <w:rsid w:val="004255FD"/>
    <w:rsid w:val="00425684"/>
    <w:rsid w:val="00425992"/>
    <w:rsid w:val="00425B49"/>
    <w:rsid w:val="00425C6C"/>
    <w:rsid w:val="004260ED"/>
    <w:rsid w:val="00426152"/>
    <w:rsid w:val="004261B9"/>
    <w:rsid w:val="0042626D"/>
    <w:rsid w:val="00426631"/>
    <w:rsid w:val="00426645"/>
    <w:rsid w:val="0042690C"/>
    <w:rsid w:val="00426AE4"/>
    <w:rsid w:val="00426BBC"/>
    <w:rsid w:val="00426CC0"/>
    <w:rsid w:val="00426D58"/>
    <w:rsid w:val="0042737A"/>
    <w:rsid w:val="004275F4"/>
    <w:rsid w:val="0042771A"/>
    <w:rsid w:val="00427807"/>
    <w:rsid w:val="00427863"/>
    <w:rsid w:val="004279EB"/>
    <w:rsid w:val="00427A6E"/>
    <w:rsid w:val="00427BA4"/>
    <w:rsid w:val="00427E18"/>
    <w:rsid w:val="00427E4C"/>
    <w:rsid w:val="00430397"/>
    <w:rsid w:val="004303BD"/>
    <w:rsid w:val="004303E7"/>
    <w:rsid w:val="0043077B"/>
    <w:rsid w:val="00430838"/>
    <w:rsid w:val="00431154"/>
    <w:rsid w:val="004314E5"/>
    <w:rsid w:val="00431584"/>
    <w:rsid w:val="00431818"/>
    <w:rsid w:val="00431ABF"/>
    <w:rsid w:val="00431B0B"/>
    <w:rsid w:val="00431D14"/>
    <w:rsid w:val="0043226B"/>
    <w:rsid w:val="004323F0"/>
    <w:rsid w:val="0043240C"/>
    <w:rsid w:val="00432541"/>
    <w:rsid w:val="00432755"/>
    <w:rsid w:val="0043293A"/>
    <w:rsid w:val="0043294F"/>
    <w:rsid w:val="00432BEA"/>
    <w:rsid w:val="00432C35"/>
    <w:rsid w:val="00432DD8"/>
    <w:rsid w:val="00432E7B"/>
    <w:rsid w:val="004331CA"/>
    <w:rsid w:val="004331EA"/>
    <w:rsid w:val="00433353"/>
    <w:rsid w:val="00433557"/>
    <w:rsid w:val="004337ED"/>
    <w:rsid w:val="00433A38"/>
    <w:rsid w:val="00433B1D"/>
    <w:rsid w:val="00433C2B"/>
    <w:rsid w:val="00433D2E"/>
    <w:rsid w:val="00433F84"/>
    <w:rsid w:val="00434086"/>
    <w:rsid w:val="004340EC"/>
    <w:rsid w:val="004342AD"/>
    <w:rsid w:val="00434578"/>
    <w:rsid w:val="004346BF"/>
    <w:rsid w:val="00434A22"/>
    <w:rsid w:val="00434EC7"/>
    <w:rsid w:val="00434EE7"/>
    <w:rsid w:val="00434F5F"/>
    <w:rsid w:val="0043508F"/>
    <w:rsid w:val="004356F1"/>
    <w:rsid w:val="00435789"/>
    <w:rsid w:val="00435A0A"/>
    <w:rsid w:val="00435B4D"/>
    <w:rsid w:val="00436161"/>
    <w:rsid w:val="0043616A"/>
    <w:rsid w:val="004362E3"/>
    <w:rsid w:val="00436335"/>
    <w:rsid w:val="00436425"/>
    <w:rsid w:val="004366FD"/>
    <w:rsid w:val="00436723"/>
    <w:rsid w:val="004369DD"/>
    <w:rsid w:val="00436BAF"/>
    <w:rsid w:val="00436BD1"/>
    <w:rsid w:val="00436C6D"/>
    <w:rsid w:val="00436D1A"/>
    <w:rsid w:val="00436D6B"/>
    <w:rsid w:val="00436E4B"/>
    <w:rsid w:val="00436E63"/>
    <w:rsid w:val="00436E8E"/>
    <w:rsid w:val="00437116"/>
    <w:rsid w:val="00437312"/>
    <w:rsid w:val="00437437"/>
    <w:rsid w:val="0043757B"/>
    <w:rsid w:val="004375E9"/>
    <w:rsid w:val="004376E1"/>
    <w:rsid w:val="004378DC"/>
    <w:rsid w:val="00437AEA"/>
    <w:rsid w:val="00437C43"/>
    <w:rsid w:val="00437D6A"/>
    <w:rsid w:val="0044009C"/>
    <w:rsid w:val="0044020C"/>
    <w:rsid w:val="004402C1"/>
    <w:rsid w:val="00440688"/>
    <w:rsid w:val="004407AF"/>
    <w:rsid w:val="00440A90"/>
    <w:rsid w:val="00440BE2"/>
    <w:rsid w:val="00440F7E"/>
    <w:rsid w:val="00441002"/>
    <w:rsid w:val="004410EA"/>
    <w:rsid w:val="0044116A"/>
    <w:rsid w:val="00441596"/>
    <w:rsid w:val="00441678"/>
    <w:rsid w:val="00441C14"/>
    <w:rsid w:val="00441D58"/>
    <w:rsid w:val="00441E41"/>
    <w:rsid w:val="0044200E"/>
    <w:rsid w:val="00442316"/>
    <w:rsid w:val="004426F3"/>
    <w:rsid w:val="00442701"/>
    <w:rsid w:val="00442866"/>
    <w:rsid w:val="00442CAA"/>
    <w:rsid w:val="00442D70"/>
    <w:rsid w:val="00442DB3"/>
    <w:rsid w:val="0044317D"/>
    <w:rsid w:val="00443301"/>
    <w:rsid w:val="00443334"/>
    <w:rsid w:val="00443388"/>
    <w:rsid w:val="004435A8"/>
    <w:rsid w:val="004438A1"/>
    <w:rsid w:val="004439DA"/>
    <w:rsid w:val="00443BB8"/>
    <w:rsid w:val="00443D84"/>
    <w:rsid w:val="00443E5E"/>
    <w:rsid w:val="004442A3"/>
    <w:rsid w:val="004442FA"/>
    <w:rsid w:val="0044435B"/>
    <w:rsid w:val="004443BE"/>
    <w:rsid w:val="004444DE"/>
    <w:rsid w:val="00444703"/>
    <w:rsid w:val="00444889"/>
    <w:rsid w:val="004448A2"/>
    <w:rsid w:val="00444A48"/>
    <w:rsid w:val="00444BF5"/>
    <w:rsid w:val="00444E9B"/>
    <w:rsid w:val="00445465"/>
    <w:rsid w:val="00445640"/>
    <w:rsid w:val="004456BB"/>
    <w:rsid w:val="00445704"/>
    <w:rsid w:val="00445A14"/>
    <w:rsid w:val="00445AD9"/>
    <w:rsid w:val="00445B73"/>
    <w:rsid w:val="00445B86"/>
    <w:rsid w:val="00445FC3"/>
    <w:rsid w:val="004460D9"/>
    <w:rsid w:val="00446237"/>
    <w:rsid w:val="00446276"/>
    <w:rsid w:val="00446589"/>
    <w:rsid w:val="0044682D"/>
    <w:rsid w:val="00446AAA"/>
    <w:rsid w:val="00446B50"/>
    <w:rsid w:val="0044727E"/>
    <w:rsid w:val="00447809"/>
    <w:rsid w:val="0044788E"/>
    <w:rsid w:val="00447941"/>
    <w:rsid w:val="00447A7D"/>
    <w:rsid w:val="00447B83"/>
    <w:rsid w:val="00447D70"/>
    <w:rsid w:val="00447E54"/>
    <w:rsid w:val="004502BE"/>
    <w:rsid w:val="004503C8"/>
    <w:rsid w:val="00450590"/>
    <w:rsid w:val="004505FB"/>
    <w:rsid w:val="00450ABC"/>
    <w:rsid w:val="00450AF0"/>
    <w:rsid w:val="00450D2B"/>
    <w:rsid w:val="00450EE9"/>
    <w:rsid w:val="00450FCB"/>
    <w:rsid w:val="0045100D"/>
    <w:rsid w:val="004510C8"/>
    <w:rsid w:val="004511A3"/>
    <w:rsid w:val="004514C9"/>
    <w:rsid w:val="0045153D"/>
    <w:rsid w:val="00451594"/>
    <w:rsid w:val="004515BB"/>
    <w:rsid w:val="00451623"/>
    <w:rsid w:val="004518A7"/>
    <w:rsid w:val="004518C5"/>
    <w:rsid w:val="00451ABD"/>
    <w:rsid w:val="00451B07"/>
    <w:rsid w:val="00451BD6"/>
    <w:rsid w:val="00451D63"/>
    <w:rsid w:val="00452076"/>
    <w:rsid w:val="004521FA"/>
    <w:rsid w:val="0045228E"/>
    <w:rsid w:val="0045228F"/>
    <w:rsid w:val="004522DD"/>
    <w:rsid w:val="0045260E"/>
    <w:rsid w:val="004526BD"/>
    <w:rsid w:val="0045275C"/>
    <w:rsid w:val="00452949"/>
    <w:rsid w:val="00452958"/>
    <w:rsid w:val="00452BAE"/>
    <w:rsid w:val="00452F8F"/>
    <w:rsid w:val="00452FDA"/>
    <w:rsid w:val="00453120"/>
    <w:rsid w:val="004532C8"/>
    <w:rsid w:val="0045389D"/>
    <w:rsid w:val="00453985"/>
    <w:rsid w:val="00453A9D"/>
    <w:rsid w:val="00453BF4"/>
    <w:rsid w:val="00453C7B"/>
    <w:rsid w:val="00453D8E"/>
    <w:rsid w:val="00453FC9"/>
    <w:rsid w:val="0045400B"/>
    <w:rsid w:val="0045403C"/>
    <w:rsid w:val="00454041"/>
    <w:rsid w:val="00454252"/>
    <w:rsid w:val="004547C2"/>
    <w:rsid w:val="004549EA"/>
    <w:rsid w:val="00454A22"/>
    <w:rsid w:val="00454DA8"/>
    <w:rsid w:val="00454DBC"/>
    <w:rsid w:val="00454E28"/>
    <w:rsid w:val="00455365"/>
    <w:rsid w:val="004553A8"/>
    <w:rsid w:val="0045556E"/>
    <w:rsid w:val="0045571E"/>
    <w:rsid w:val="004559B1"/>
    <w:rsid w:val="00455B62"/>
    <w:rsid w:val="00455C71"/>
    <w:rsid w:val="00455C95"/>
    <w:rsid w:val="00455CEC"/>
    <w:rsid w:val="00456363"/>
    <w:rsid w:val="00456585"/>
    <w:rsid w:val="0045671E"/>
    <w:rsid w:val="0045678F"/>
    <w:rsid w:val="0045683A"/>
    <w:rsid w:val="00456863"/>
    <w:rsid w:val="00456DBE"/>
    <w:rsid w:val="00456E44"/>
    <w:rsid w:val="00457079"/>
    <w:rsid w:val="00457438"/>
    <w:rsid w:val="00457542"/>
    <w:rsid w:val="004575E6"/>
    <w:rsid w:val="004578B8"/>
    <w:rsid w:val="00457A93"/>
    <w:rsid w:val="00457AA1"/>
    <w:rsid w:val="00457D35"/>
    <w:rsid w:val="00457FBE"/>
    <w:rsid w:val="00460122"/>
    <w:rsid w:val="00460218"/>
    <w:rsid w:val="0046045B"/>
    <w:rsid w:val="0046072B"/>
    <w:rsid w:val="0046074E"/>
    <w:rsid w:val="00460992"/>
    <w:rsid w:val="00460A14"/>
    <w:rsid w:val="00460B5C"/>
    <w:rsid w:val="00460C71"/>
    <w:rsid w:val="00460DC3"/>
    <w:rsid w:val="00460DE8"/>
    <w:rsid w:val="0046100E"/>
    <w:rsid w:val="004613A8"/>
    <w:rsid w:val="00461AA2"/>
    <w:rsid w:val="00461AB4"/>
    <w:rsid w:val="00461ADE"/>
    <w:rsid w:val="00461B82"/>
    <w:rsid w:val="00461BFE"/>
    <w:rsid w:val="00461C4A"/>
    <w:rsid w:val="00461E4F"/>
    <w:rsid w:val="00461FFD"/>
    <w:rsid w:val="0046206C"/>
    <w:rsid w:val="00462110"/>
    <w:rsid w:val="00462350"/>
    <w:rsid w:val="00462466"/>
    <w:rsid w:val="00462923"/>
    <w:rsid w:val="0046294F"/>
    <w:rsid w:val="00462A5D"/>
    <w:rsid w:val="00462CE3"/>
    <w:rsid w:val="00462D45"/>
    <w:rsid w:val="00462DBB"/>
    <w:rsid w:val="00462EB2"/>
    <w:rsid w:val="0046327B"/>
    <w:rsid w:val="00463470"/>
    <w:rsid w:val="00463772"/>
    <w:rsid w:val="00463AF2"/>
    <w:rsid w:val="00463D76"/>
    <w:rsid w:val="00464042"/>
    <w:rsid w:val="00464193"/>
    <w:rsid w:val="004642A9"/>
    <w:rsid w:val="00464323"/>
    <w:rsid w:val="00464710"/>
    <w:rsid w:val="00464AE2"/>
    <w:rsid w:val="00464BD9"/>
    <w:rsid w:val="00464C54"/>
    <w:rsid w:val="00464D96"/>
    <w:rsid w:val="00464FDB"/>
    <w:rsid w:val="00465362"/>
    <w:rsid w:val="004654C0"/>
    <w:rsid w:val="00465586"/>
    <w:rsid w:val="00465738"/>
    <w:rsid w:val="0046578D"/>
    <w:rsid w:val="004659F4"/>
    <w:rsid w:val="00465CFF"/>
    <w:rsid w:val="00465D51"/>
    <w:rsid w:val="00465D6A"/>
    <w:rsid w:val="00465FCB"/>
    <w:rsid w:val="0046609E"/>
    <w:rsid w:val="004660BE"/>
    <w:rsid w:val="0046616F"/>
    <w:rsid w:val="0046625A"/>
    <w:rsid w:val="0046632D"/>
    <w:rsid w:val="00466913"/>
    <w:rsid w:val="00466B60"/>
    <w:rsid w:val="00466C5F"/>
    <w:rsid w:val="00466CEC"/>
    <w:rsid w:val="00466F6F"/>
    <w:rsid w:val="00466FDA"/>
    <w:rsid w:val="00467137"/>
    <w:rsid w:val="00467143"/>
    <w:rsid w:val="00467574"/>
    <w:rsid w:val="0046775B"/>
    <w:rsid w:val="0046795B"/>
    <w:rsid w:val="00467B13"/>
    <w:rsid w:val="00467D86"/>
    <w:rsid w:val="00467E4D"/>
    <w:rsid w:val="00467EB8"/>
    <w:rsid w:val="0047025B"/>
    <w:rsid w:val="0047044C"/>
    <w:rsid w:val="0047044D"/>
    <w:rsid w:val="0047073C"/>
    <w:rsid w:val="00470A40"/>
    <w:rsid w:val="00470C4D"/>
    <w:rsid w:val="00470DDE"/>
    <w:rsid w:val="00470E58"/>
    <w:rsid w:val="00470FD8"/>
    <w:rsid w:val="004718E8"/>
    <w:rsid w:val="00471989"/>
    <w:rsid w:val="00471C5F"/>
    <w:rsid w:val="0047233C"/>
    <w:rsid w:val="004724B7"/>
    <w:rsid w:val="004724E4"/>
    <w:rsid w:val="0047252D"/>
    <w:rsid w:val="004725C2"/>
    <w:rsid w:val="004725DE"/>
    <w:rsid w:val="004727C4"/>
    <w:rsid w:val="00472B17"/>
    <w:rsid w:val="00472BC6"/>
    <w:rsid w:val="00472BDA"/>
    <w:rsid w:val="00472C8A"/>
    <w:rsid w:val="00472EF5"/>
    <w:rsid w:val="004730BE"/>
    <w:rsid w:val="0047315D"/>
    <w:rsid w:val="004731A6"/>
    <w:rsid w:val="00473289"/>
    <w:rsid w:val="00473295"/>
    <w:rsid w:val="00473314"/>
    <w:rsid w:val="00473488"/>
    <w:rsid w:val="00473577"/>
    <w:rsid w:val="0047358B"/>
    <w:rsid w:val="004736AB"/>
    <w:rsid w:val="0047372E"/>
    <w:rsid w:val="00473884"/>
    <w:rsid w:val="00473AA7"/>
    <w:rsid w:val="00473C8A"/>
    <w:rsid w:val="00473DA6"/>
    <w:rsid w:val="00473E98"/>
    <w:rsid w:val="00473FE8"/>
    <w:rsid w:val="0047407D"/>
    <w:rsid w:val="00474117"/>
    <w:rsid w:val="0047427F"/>
    <w:rsid w:val="00474516"/>
    <w:rsid w:val="0047458B"/>
    <w:rsid w:val="00474645"/>
    <w:rsid w:val="00474741"/>
    <w:rsid w:val="0047490B"/>
    <w:rsid w:val="00474AD0"/>
    <w:rsid w:val="00474BA8"/>
    <w:rsid w:val="00474C60"/>
    <w:rsid w:val="00474D26"/>
    <w:rsid w:val="00474E30"/>
    <w:rsid w:val="00474EDD"/>
    <w:rsid w:val="004750F8"/>
    <w:rsid w:val="00475106"/>
    <w:rsid w:val="004752A8"/>
    <w:rsid w:val="004755E4"/>
    <w:rsid w:val="004756DC"/>
    <w:rsid w:val="00475873"/>
    <w:rsid w:val="004758FE"/>
    <w:rsid w:val="004759FA"/>
    <w:rsid w:val="00475BD0"/>
    <w:rsid w:val="00475DA7"/>
    <w:rsid w:val="00475ED6"/>
    <w:rsid w:val="004763E3"/>
    <w:rsid w:val="00476745"/>
    <w:rsid w:val="0047679D"/>
    <w:rsid w:val="00476878"/>
    <w:rsid w:val="0047694F"/>
    <w:rsid w:val="00476B9C"/>
    <w:rsid w:val="00476C2A"/>
    <w:rsid w:val="004770D4"/>
    <w:rsid w:val="00477105"/>
    <w:rsid w:val="00477422"/>
    <w:rsid w:val="00477514"/>
    <w:rsid w:val="0047770D"/>
    <w:rsid w:val="00477A04"/>
    <w:rsid w:val="00477CBA"/>
    <w:rsid w:val="00477ECA"/>
    <w:rsid w:val="00477F70"/>
    <w:rsid w:val="00480486"/>
    <w:rsid w:val="00480544"/>
    <w:rsid w:val="00480A53"/>
    <w:rsid w:val="00480A86"/>
    <w:rsid w:val="00480D02"/>
    <w:rsid w:val="00480D11"/>
    <w:rsid w:val="00480D7E"/>
    <w:rsid w:val="00480FFF"/>
    <w:rsid w:val="004811C2"/>
    <w:rsid w:val="00481347"/>
    <w:rsid w:val="0048157C"/>
    <w:rsid w:val="004818EA"/>
    <w:rsid w:val="00481BAF"/>
    <w:rsid w:val="00481DD9"/>
    <w:rsid w:val="004824DD"/>
    <w:rsid w:val="00482531"/>
    <w:rsid w:val="00482665"/>
    <w:rsid w:val="004827F7"/>
    <w:rsid w:val="00482B33"/>
    <w:rsid w:val="00482C30"/>
    <w:rsid w:val="00482DC2"/>
    <w:rsid w:val="004831A0"/>
    <w:rsid w:val="004832D4"/>
    <w:rsid w:val="004837EE"/>
    <w:rsid w:val="00483891"/>
    <w:rsid w:val="00483947"/>
    <w:rsid w:val="004839F1"/>
    <w:rsid w:val="00483B5F"/>
    <w:rsid w:val="00483B62"/>
    <w:rsid w:val="00483C01"/>
    <w:rsid w:val="00483C9D"/>
    <w:rsid w:val="00483F94"/>
    <w:rsid w:val="004840F9"/>
    <w:rsid w:val="0048412E"/>
    <w:rsid w:val="0048414E"/>
    <w:rsid w:val="004841EA"/>
    <w:rsid w:val="00484409"/>
    <w:rsid w:val="00484443"/>
    <w:rsid w:val="0048492A"/>
    <w:rsid w:val="00484ADF"/>
    <w:rsid w:val="00484BAC"/>
    <w:rsid w:val="00484E66"/>
    <w:rsid w:val="00484E8E"/>
    <w:rsid w:val="004852D9"/>
    <w:rsid w:val="004856DB"/>
    <w:rsid w:val="00485723"/>
    <w:rsid w:val="00485AB5"/>
    <w:rsid w:val="00485E96"/>
    <w:rsid w:val="00485F28"/>
    <w:rsid w:val="00486308"/>
    <w:rsid w:val="00486336"/>
    <w:rsid w:val="004863FC"/>
    <w:rsid w:val="00486685"/>
    <w:rsid w:val="00486735"/>
    <w:rsid w:val="00486737"/>
    <w:rsid w:val="00486778"/>
    <w:rsid w:val="004868DD"/>
    <w:rsid w:val="00486B2A"/>
    <w:rsid w:val="00486E9E"/>
    <w:rsid w:val="00486FA6"/>
    <w:rsid w:val="00486FEA"/>
    <w:rsid w:val="00487103"/>
    <w:rsid w:val="00487296"/>
    <w:rsid w:val="00487447"/>
    <w:rsid w:val="0048772D"/>
    <w:rsid w:val="00487C8D"/>
    <w:rsid w:val="00487E4F"/>
    <w:rsid w:val="00487F7D"/>
    <w:rsid w:val="00487FF4"/>
    <w:rsid w:val="004900FB"/>
    <w:rsid w:val="004902D1"/>
    <w:rsid w:val="004904FE"/>
    <w:rsid w:val="00490680"/>
    <w:rsid w:val="0049072B"/>
    <w:rsid w:val="00490799"/>
    <w:rsid w:val="00490A97"/>
    <w:rsid w:val="00490D6D"/>
    <w:rsid w:val="00490FF9"/>
    <w:rsid w:val="0049100E"/>
    <w:rsid w:val="00491455"/>
    <w:rsid w:val="004914C1"/>
    <w:rsid w:val="004915C3"/>
    <w:rsid w:val="004916C5"/>
    <w:rsid w:val="00491815"/>
    <w:rsid w:val="00491926"/>
    <w:rsid w:val="00491A95"/>
    <w:rsid w:val="00491C3B"/>
    <w:rsid w:val="00491D04"/>
    <w:rsid w:val="00492033"/>
    <w:rsid w:val="004924CB"/>
    <w:rsid w:val="00492519"/>
    <w:rsid w:val="004927FD"/>
    <w:rsid w:val="00492A74"/>
    <w:rsid w:val="00492B9C"/>
    <w:rsid w:val="00492D48"/>
    <w:rsid w:val="00493181"/>
    <w:rsid w:val="004931A9"/>
    <w:rsid w:val="004933BB"/>
    <w:rsid w:val="004933C0"/>
    <w:rsid w:val="004934F0"/>
    <w:rsid w:val="0049353E"/>
    <w:rsid w:val="00493759"/>
    <w:rsid w:val="004939EF"/>
    <w:rsid w:val="00493D0C"/>
    <w:rsid w:val="00493DA1"/>
    <w:rsid w:val="00493E5A"/>
    <w:rsid w:val="00493E62"/>
    <w:rsid w:val="0049447F"/>
    <w:rsid w:val="00494625"/>
    <w:rsid w:val="00494A7F"/>
    <w:rsid w:val="00495594"/>
    <w:rsid w:val="00495A36"/>
    <w:rsid w:val="00495AA2"/>
    <w:rsid w:val="00495B5B"/>
    <w:rsid w:val="00495C63"/>
    <w:rsid w:val="00495E74"/>
    <w:rsid w:val="00495F4E"/>
    <w:rsid w:val="00495F98"/>
    <w:rsid w:val="004960E5"/>
    <w:rsid w:val="00496110"/>
    <w:rsid w:val="00496323"/>
    <w:rsid w:val="00496340"/>
    <w:rsid w:val="00496468"/>
    <w:rsid w:val="0049654D"/>
    <w:rsid w:val="004966F3"/>
    <w:rsid w:val="00496734"/>
    <w:rsid w:val="00496753"/>
    <w:rsid w:val="00496972"/>
    <w:rsid w:val="00496D78"/>
    <w:rsid w:val="00496D7A"/>
    <w:rsid w:val="00497011"/>
    <w:rsid w:val="0049722F"/>
    <w:rsid w:val="004973EC"/>
    <w:rsid w:val="0049741C"/>
    <w:rsid w:val="004974B8"/>
    <w:rsid w:val="004975F4"/>
    <w:rsid w:val="00497695"/>
    <w:rsid w:val="004978F3"/>
    <w:rsid w:val="004979C7"/>
    <w:rsid w:val="00497ADF"/>
    <w:rsid w:val="00497B76"/>
    <w:rsid w:val="00497D1D"/>
    <w:rsid w:val="004A00FB"/>
    <w:rsid w:val="004A0354"/>
    <w:rsid w:val="004A0B8B"/>
    <w:rsid w:val="004A0C60"/>
    <w:rsid w:val="004A11A7"/>
    <w:rsid w:val="004A132C"/>
    <w:rsid w:val="004A14F0"/>
    <w:rsid w:val="004A15F1"/>
    <w:rsid w:val="004A196A"/>
    <w:rsid w:val="004A1986"/>
    <w:rsid w:val="004A1990"/>
    <w:rsid w:val="004A1A59"/>
    <w:rsid w:val="004A1B4A"/>
    <w:rsid w:val="004A1BC0"/>
    <w:rsid w:val="004A1D07"/>
    <w:rsid w:val="004A1DFB"/>
    <w:rsid w:val="004A202D"/>
    <w:rsid w:val="004A21BE"/>
    <w:rsid w:val="004A2691"/>
    <w:rsid w:val="004A26C8"/>
    <w:rsid w:val="004A27A0"/>
    <w:rsid w:val="004A29E9"/>
    <w:rsid w:val="004A2C7F"/>
    <w:rsid w:val="004A2D00"/>
    <w:rsid w:val="004A2E65"/>
    <w:rsid w:val="004A32AE"/>
    <w:rsid w:val="004A3332"/>
    <w:rsid w:val="004A3788"/>
    <w:rsid w:val="004A37F0"/>
    <w:rsid w:val="004A3D07"/>
    <w:rsid w:val="004A433D"/>
    <w:rsid w:val="004A4403"/>
    <w:rsid w:val="004A475C"/>
    <w:rsid w:val="004A4813"/>
    <w:rsid w:val="004A4A73"/>
    <w:rsid w:val="004A4CBC"/>
    <w:rsid w:val="004A4DF1"/>
    <w:rsid w:val="004A4E62"/>
    <w:rsid w:val="004A4F87"/>
    <w:rsid w:val="004A5338"/>
    <w:rsid w:val="004A5493"/>
    <w:rsid w:val="004A54E0"/>
    <w:rsid w:val="004A58E6"/>
    <w:rsid w:val="004A5C57"/>
    <w:rsid w:val="004A5C90"/>
    <w:rsid w:val="004A5D2F"/>
    <w:rsid w:val="004A5E2F"/>
    <w:rsid w:val="004A6329"/>
    <w:rsid w:val="004A6561"/>
    <w:rsid w:val="004A6778"/>
    <w:rsid w:val="004A6AE1"/>
    <w:rsid w:val="004A6CC8"/>
    <w:rsid w:val="004A6EBD"/>
    <w:rsid w:val="004A6ECD"/>
    <w:rsid w:val="004A702D"/>
    <w:rsid w:val="004A7239"/>
    <w:rsid w:val="004A7732"/>
    <w:rsid w:val="004A78FC"/>
    <w:rsid w:val="004A7B83"/>
    <w:rsid w:val="004A7C7E"/>
    <w:rsid w:val="004A7CD0"/>
    <w:rsid w:val="004B00CF"/>
    <w:rsid w:val="004B02D0"/>
    <w:rsid w:val="004B03C6"/>
    <w:rsid w:val="004B0491"/>
    <w:rsid w:val="004B067D"/>
    <w:rsid w:val="004B09C5"/>
    <w:rsid w:val="004B0BAC"/>
    <w:rsid w:val="004B0E14"/>
    <w:rsid w:val="004B0F57"/>
    <w:rsid w:val="004B1029"/>
    <w:rsid w:val="004B135A"/>
    <w:rsid w:val="004B14C3"/>
    <w:rsid w:val="004B154D"/>
    <w:rsid w:val="004B1A72"/>
    <w:rsid w:val="004B24B9"/>
    <w:rsid w:val="004B2601"/>
    <w:rsid w:val="004B2693"/>
    <w:rsid w:val="004B2B9C"/>
    <w:rsid w:val="004B2E67"/>
    <w:rsid w:val="004B30A6"/>
    <w:rsid w:val="004B3102"/>
    <w:rsid w:val="004B3114"/>
    <w:rsid w:val="004B35FA"/>
    <w:rsid w:val="004B366A"/>
    <w:rsid w:val="004B3671"/>
    <w:rsid w:val="004B37E3"/>
    <w:rsid w:val="004B37E4"/>
    <w:rsid w:val="004B3B79"/>
    <w:rsid w:val="004B3BD8"/>
    <w:rsid w:val="004B3C00"/>
    <w:rsid w:val="004B3E69"/>
    <w:rsid w:val="004B3E7B"/>
    <w:rsid w:val="004B442F"/>
    <w:rsid w:val="004B4456"/>
    <w:rsid w:val="004B454B"/>
    <w:rsid w:val="004B45D2"/>
    <w:rsid w:val="004B46AF"/>
    <w:rsid w:val="004B47BB"/>
    <w:rsid w:val="004B483D"/>
    <w:rsid w:val="004B4980"/>
    <w:rsid w:val="004B4ADD"/>
    <w:rsid w:val="004B4D26"/>
    <w:rsid w:val="004B4D74"/>
    <w:rsid w:val="004B5257"/>
    <w:rsid w:val="004B5266"/>
    <w:rsid w:val="004B5297"/>
    <w:rsid w:val="004B53E2"/>
    <w:rsid w:val="004B5545"/>
    <w:rsid w:val="004B572C"/>
    <w:rsid w:val="004B57CF"/>
    <w:rsid w:val="004B58B6"/>
    <w:rsid w:val="004B5A05"/>
    <w:rsid w:val="004B5A3C"/>
    <w:rsid w:val="004B5C50"/>
    <w:rsid w:val="004B5F4F"/>
    <w:rsid w:val="004B5FD8"/>
    <w:rsid w:val="004B60D2"/>
    <w:rsid w:val="004B62A6"/>
    <w:rsid w:val="004B64F3"/>
    <w:rsid w:val="004B6522"/>
    <w:rsid w:val="004B67A6"/>
    <w:rsid w:val="004B67BB"/>
    <w:rsid w:val="004B67C8"/>
    <w:rsid w:val="004B68E5"/>
    <w:rsid w:val="004B694E"/>
    <w:rsid w:val="004B69EC"/>
    <w:rsid w:val="004B69FC"/>
    <w:rsid w:val="004B6BE4"/>
    <w:rsid w:val="004B6C10"/>
    <w:rsid w:val="004B7171"/>
    <w:rsid w:val="004B7321"/>
    <w:rsid w:val="004B75DF"/>
    <w:rsid w:val="004B788B"/>
    <w:rsid w:val="004B795B"/>
    <w:rsid w:val="004B7A84"/>
    <w:rsid w:val="004B7D90"/>
    <w:rsid w:val="004B7F52"/>
    <w:rsid w:val="004C014D"/>
    <w:rsid w:val="004C0369"/>
    <w:rsid w:val="004C0490"/>
    <w:rsid w:val="004C04EA"/>
    <w:rsid w:val="004C05AE"/>
    <w:rsid w:val="004C0C73"/>
    <w:rsid w:val="004C0EAA"/>
    <w:rsid w:val="004C11B0"/>
    <w:rsid w:val="004C1210"/>
    <w:rsid w:val="004C13FD"/>
    <w:rsid w:val="004C148F"/>
    <w:rsid w:val="004C14F6"/>
    <w:rsid w:val="004C1548"/>
    <w:rsid w:val="004C16C9"/>
    <w:rsid w:val="004C17E6"/>
    <w:rsid w:val="004C187B"/>
    <w:rsid w:val="004C18FE"/>
    <w:rsid w:val="004C1B69"/>
    <w:rsid w:val="004C1E8F"/>
    <w:rsid w:val="004C20AF"/>
    <w:rsid w:val="004C20FB"/>
    <w:rsid w:val="004C21FF"/>
    <w:rsid w:val="004C22A1"/>
    <w:rsid w:val="004C2308"/>
    <w:rsid w:val="004C23BD"/>
    <w:rsid w:val="004C26A0"/>
    <w:rsid w:val="004C280F"/>
    <w:rsid w:val="004C2BAC"/>
    <w:rsid w:val="004C2D34"/>
    <w:rsid w:val="004C2E59"/>
    <w:rsid w:val="004C2F52"/>
    <w:rsid w:val="004C2F76"/>
    <w:rsid w:val="004C315C"/>
    <w:rsid w:val="004C32D0"/>
    <w:rsid w:val="004C3330"/>
    <w:rsid w:val="004C340E"/>
    <w:rsid w:val="004C3666"/>
    <w:rsid w:val="004C36E2"/>
    <w:rsid w:val="004C3718"/>
    <w:rsid w:val="004C3773"/>
    <w:rsid w:val="004C3825"/>
    <w:rsid w:val="004C3897"/>
    <w:rsid w:val="004C399B"/>
    <w:rsid w:val="004C3B72"/>
    <w:rsid w:val="004C3F33"/>
    <w:rsid w:val="004C444C"/>
    <w:rsid w:val="004C46FF"/>
    <w:rsid w:val="004C4D34"/>
    <w:rsid w:val="004C4DE3"/>
    <w:rsid w:val="004C4F64"/>
    <w:rsid w:val="004C52BD"/>
    <w:rsid w:val="004C52C1"/>
    <w:rsid w:val="004C5475"/>
    <w:rsid w:val="004C54D2"/>
    <w:rsid w:val="004C5603"/>
    <w:rsid w:val="004C566B"/>
    <w:rsid w:val="004C5732"/>
    <w:rsid w:val="004C59D5"/>
    <w:rsid w:val="004C59DE"/>
    <w:rsid w:val="004C5A71"/>
    <w:rsid w:val="004C5A84"/>
    <w:rsid w:val="004C5B77"/>
    <w:rsid w:val="004C5FB2"/>
    <w:rsid w:val="004C6001"/>
    <w:rsid w:val="004C606A"/>
    <w:rsid w:val="004C6201"/>
    <w:rsid w:val="004C65B2"/>
    <w:rsid w:val="004C65BA"/>
    <w:rsid w:val="004C6623"/>
    <w:rsid w:val="004C6753"/>
    <w:rsid w:val="004C6939"/>
    <w:rsid w:val="004C6A1D"/>
    <w:rsid w:val="004C6C71"/>
    <w:rsid w:val="004C6EEF"/>
    <w:rsid w:val="004C6F72"/>
    <w:rsid w:val="004C71DF"/>
    <w:rsid w:val="004C7465"/>
    <w:rsid w:val="004C74BE"/>
    <w:rsid w:val="004C75E3"/>
    <w:rsid w:val="004C79AA"/>
    <w:rsid w:val="004C7C65"/>
    <w:rsid w:val="004C7CD8"/>
    <w:rsid w:val="004C7D01"/>
    <w:rsid w:val="004C7DCE"/>
    <w:rsid w:val="004C7E9A"/>
    <w:rsid w:val="004D0096"/>
    <w:rsid w:val="004D0584"/>
    <w:rsid w:val="004D06C5"/>
    <w:rsid w:val="004D08C4"/>
    <w:rsid w:val="004D0936"/>
    <w:rsid w:val="004D0989"/>
    <w:rsid w:val="004D0BD7"/>
    <w:rsid w:val="004D0C11"/>
    <w:rsid w:val="004D0D6A"/>
    <w:rsid w:val="004D0E87"/>
    <w:rsid w:val="004D129A"/>
    <w:rsid w:val="004D13E8"/>
    <w:rsid w:val="004D1617"/>
    <w:rsid w:val="004D1AAD"/>
    <w:rsid w:val="004D1ACA"/>
    <w:rsid w:val="004D1C0D"/>
    <w:rsid w:val="004D1C76"/>
    <w:rsid w:val="004D1D6D"/>
    <w:rsid w:val="004D1D90"/>
    <w:rsid w:val="004D1F3A"/>
    <w:rsid w:val="004D1F9A"/>
    <w:rsid w:val="004D20BF"/>
    <w:rsid w:val="004D231B"/>
    <w:rsid w:val="004D23F7"/>
    <w:rsid w:val="004D2507"/>
    <w:rsid w:val="004D2AEE"/>
    <w:rsid w:val="004D2B3A"/>
    <w:rsid w:val="004D2CEF"/>
    <w:rsid w:val="004D2D91"/>
    <w:rsid w:val="004D3025"/>
    <w:rsid w:val="004D30CE"/>
    <w:rsid w:val="004D3195"/>
    <w:rsid w:val="004D32CB"/>
    <w:rsid w:val="004D353E"/>
    <w:rsid w:val="004D35E4"/>
    <w:rsid w:val="004D38D7"/>
    <w:rsid w:val="004D3CA0"/>
    <w:rsid w:val="004D3CCD"/>
    <w:rsid w:val="004D4036"/>
    <w:rsid w:val="004D407A"/>
    <w:rsid w:val="004D40DD"/>
    <w:rsid w:val="004D4180"/>
    <w:rsid w:val="004D45E3"/>
    <w:rsid w:val="004D48C8"/>
    <w:rsid w:val="004D4914"/>
    <w:rsid w:val="004D4A37"/>
    <w:rsid w:val="004D4B76"/>
    <w:rsid w:val="004D4C3F"/>
    <w:rsid w:val="004D4D9E"/>
    <w:rsid w:val="004D4E1E"/>
    <w:rsid w:val="004D4EA9"/>
    <w:rsid w:val="004D4FE9"/>
    <w:rsid w:val="004D52AF"/>
    <w:rsid w:val="004D55FF"/>
    <w:rsid w:val="004D56FC"/>
    <w:rsid w:val="004D5897"/>
    <w:rsid w:val="004D5971"/>
    <w:rsid w:val="004D5B82"/>
    <w:rsid w:val="004D5C86"/>
    <w:rsid w:val="004D665B"/>
    <w:rsid w:val="004D6838"/>
    <w:rsid w:val="004D6E76"/>
    <w:rsid w:val="004D6ECA"/>
    <w:rsid w:val="004D6EED"/>
    <w:rsid w:val="004D6F60"/>
    <w:rsid w:val="004D70EE"/>
    <w:rsid w:val="004D718F"/>
    <w:rsid w:val="004D7349"/>
    <w:rsid w:val="004D7377"/>
    <w:rsid w:val="004D73FD"/>
    <w:rsid w:val="004D747A"/>
    <w:rsid w:val="004D7699"/>
    <w:rsid w:val="004D7747"/>
    <w:rsid w:val="004D7B18"/>
    <w:rsid w:val="004D7B1F"/>
    <w:rsid w:val="004D7F3D"/>
    <w:rsid w:val="004E0019"/>
    <w:rsid w:val="004E011B"/>
    <w:rsid w:val="004E0817"/>
    <w:rsid w:val="004E0B47"/>
    <w:rsid w:val="004E0BCB"/>
    <w:rsid w:val="004E0C6C"/>
    <w:rsid w:val="004E0E1C"/>
    <w:rsid w:val="004E0E49"/>
    <w:rsid w:val="004E0E99"/>
    <w:rsid w:val="004E1214"/>
    <w:rsid w:val="004E1366"/>
    <w:rsid w:val="004E173D"/>
    <w:rsid w:val="004E17D5"/>
    <w:rsid w:val="004E187F"/>
    <w:rsid w:val="004E1910"/>
    <w:rsid w:val="004E1D3C"/>
    <w:rsid w:val="004E1DA1"/>
    <w:rsid w:val="004E1FAD"/>
    <w:rsid w:val="004E252F"/>
    <w:rsid w:val="004E253A"/>
    <w:rsid w:val="004E275C"/>
    <w:rsid w:val="004E2776"/>
    <w:rsid w:val="004E2B1F"/>
    <w:rsid w:val="004E2DA3"/>
    <w:rsid w:val="004E2E4B"/>
    <w:rsid w:val="004E2EBB"/>
    <w:rsid w:val="004E325D"/>
    <w:rsid w:val="004E3703"/>
    <w:rsid w:val="004E3734"/>
    <w:rsid w:val="004E3758"/>
    <w:rsid w:val="004E411C"/>
    <w:rsid w:val="004E4193"/>
    <w:rsid w:val="004E455C"/>
    <w:rsid w:val="004E45BF"/>
    <w:rsid w:val="004E4A93"/>
    <w:rsid w:val="004E4ECB"/>
    <w:rsid w:val="004E4F36"/>
    <w:rsid w:val="004E5048"/>
    <w:rsid w:val="004E53F9"/>
    <w:rsid w:val="004E542E"/>
    <w:rsid w:val="004E54C7"/>
    <w:rsid w:val="004E5803"/>
    <w:rsid w:val="004E58E7"/>
    <w:rsid w:val="004E591D"/>
    <w:rsid w:val="004E5BA6"/>
    <w:rsid w:val="004E5E92"/>
    <w:rsid w:val="004E6801"/>
    <w:rsid w:val="004E69AF"/>
    <w:rsid w:val="004E6D75"/>
    <w:rsid w:val="004E6EC0"/>
    <w:rsid w:val="004E728C"/>
    <w:rsid w:val="004E72B5"/>
    <w:rsid w:val="004E72C4"/>
    <w:rsid w:val="004E7B2E"/>
    <w:rsid w:val="004E7B35"/>
    <w:rsid w:val="004E7C31"/>
    <w:rsid w:val="004E7DC6"/>
    <w:rsid w:val="004E7E24"/>
    <w:rsid w:val="004F061B"/>
    <w:rsid w:val="004F068E"/>
    <w:rsid w:val="004F0781"/>
    <w:rsid w:val="004F0844"/>
    <w:rsid w:val="004F0906"/>
    <w:rsid w:val="004F0A7A"/>
    <w:rsid w:val="004F0B49"/>
    <w:rsid w:val="004F0DDB"/>
    <w:rsid w:val="004F0E25"/>
    <w:rsid w:val="004F0EB3"/>
    <w:rsid w:val="004F0EEB"/>
    <w:rsid w:val="004F12B5"/>
    <w:rsid w:val="004F12BE"/>
    <w:rsid w:val="004F14E3"/>
    <w:rsid w:val="004F1557"/>
    <w:rsid w:val="004F158C"/>
    <w:rsid w:val="004F1670"/>
    <w:rsid w:val="004F169F"/>
    <w:rsid w:val="004F1919"/>
    <w:rsid w:val="004F1B35"/>
    <w:rsid w:val="004F1D7C"/>
    <w:rsid w:val="004F1F20"/>
    <w:rsid w:val="004F1F97"/>
    <w:rsid w:val="004F2655"/>
    <w:rsid w:val="004F26B7"/>
    <w:rsid w:val="004F2759"/>
    <w:rsid w:val="004F2C57"/>
    <w:rsid w:val="004F2F40"/>
    <w:rsid w:val="004F3184"/>
    <w:rsid w:val="004F34A9"/>
    <w:rsid w:val="004F3A39"/>
    <w:rsid w:val="004F3ACF"/>
    <w:rsid w:val="004F3C7E"/>
    <w:rsid w:val="004F3DC0"/>
    <w:rsid w:val="004F4627"/>
    <w:rsid w:val="004F48D9"/>
    <w:rsid w:val="004F4A94"/>
    <w:rsid w:val="004F4CFF"/>
    <w:rsid w:val="004F514C"/>
    <w:rsid w:val="004F5386"/>
    <w:rsid w:val="004F53E7"/>
    <w:rsid w:val="004F5528"/>
    <w:rsid w:val="004F58B4"/>
    <w:rsid w:val="004F598F"/>
    <w:rsid w:val="004F5C85"/>
    <w:rsid w:val="004F60AF"/>
    <w:rsid w:val="004F62E9"/>
    <w:rsid w:val="004F63AC"/>
    <w:rsid w:val="004F6823"/>
    <w:rsid w:val="004F6905"/>
    <w:rsid w:val="004F6912"/>
    <w:rsid w:val="004F69DE"/>
    <w:rsid w:val="004F6A5F"/>
    <w:rsid w:val="004F6B47"/>
    <w:rsid w:val="004F6B70"/>
    <w:rsid w:val="004F6EF1"/>
    <w:rsid w:val="004F70A8"/>
    <w:rsid w:val="004F7187"/>
    <w:rsid w:val="004F76C4"/>
    <w:rsid w:val="004F7858"/>
    <w:rsid w:val="004F7981"/>
    <w:rsid w:val="004F7988"/>
    <w:rsid w:val="004F7D45"/>
    <w:rsid w:val="005000B1"/>
    <w:rsid w:val="0050022D"/>
    <w:rsid w:val="005003C5"/>
    <w:rsid w:val="0050049F"/>
    <w:rsid w:val="005005A6"/>
    <w:rsid w:val="00500741"/>
    <w:rsid w:val="005008BA"/>
    <w:rsid w:val="00500A75"/>
    <w:rsid w:val="00500B07"/>
    <w:rsid w:val="00500B59"/>
    <w:rsid w:val="00500F71"/>
    <w:rsid w:val="00501033"/>
    <w:rsid w:val="0050127B"/>
    <w:rsid w:val="0050128E"/>
    <w:rsid w:val="005017D9"/>
    <w:rsid w:val="00501896"/>
    <w:rsid w:val="005018F8"/>
    <w:rsid w:val="005019A4"/>
    <w:rsid w:val="005019B9"/>
    <w:rsid w:val="00501AA5"/>
    <w:rsid w:val="00502209"/>
    <w:rsid w:val="00502335"/>
    <w:rsid w:val="005025A2"/>
    <w:rsid w:val="005025EA"/>
    <w:rsid w:val="00502966"/>
    <w:rsid w:val="005029D7"/>
    <w:rsid w:val="00503098"/>
    <w:rsid w:val="005030C3"/>
    <w:rsid w:val="005035D2"/>
    <w:rsid w:val="005039CF"/>
    <w:rsid w:val="00503DF8"/>
    <w:rsid w:val="005040CB"/>
    <w:rsid w:val="005045F1"/>
    <w:rsid w:val="00504756"/>
    <w:rsid w:val="00504810"/>
    <w:rsid w:val="00504827"/>
    <w:rsid w:val="0050484D"/>
    <w:rsid w:val="00504BA5"/>
    <w:rsid w:val="00504BA6"/>
    <w:rsid w:val="00504BEB"/>
    <w:rsid w:val="00504D58"/>
    <w:rsid w:val="00505006"/>
    <w:rsid w:val="005051DF"/>
    <w:rsid w:val="0050537F"/>
    <w:rsid w:val="00505566"/>
    <w:rsid w:val="00505649"/>
    <w:rsid w:val="005059BF"/>
    <w:rsid w:val="00505B56"/>
    <w:rsid w:val="00505B9B"/>
    <w:rsid w:val="00505D54"/>
    <w:rsid w:val="00505DDB"/>
    <w:rsid w:val="00505DE9"/>
    <w:rsid w:val="00506582"/>
    <w:rsid w:val="0050658A"/>
    <w:rsid w:val="00506878"/>
    <w:rsid w:val="005068DB"/>
    <w:rsid w:val="00506C64"/>
    <w:rsid w:val="00506C91"/>
    <w:rsid w:val="00506F9B"/>
    <w:rsid w:val="00506FA7"/>
    <w:rsid w:val="005072F0"/>
    <w:rsid w:val="00507668"/>
    <w:rsid w:val="00507742"/>
    <w:rsid w:val="00507883"/>
    <w:rsid w:val="00507B1A"/>
    <w:rsid w:val="00507BCE"/>
    <w:rsid w:val="00507C9C"/>
    <w:rsid w:val="00510005"/>
    <w:rsid w:val="00510173"/>
    <w:rsid w:val="0051034F"/>
    <w:rsid w:val="0051056F"/>
    <w:rsid w:val="005106D7"/>
    <w:rsid w:val="00510B1B"/>
    <w:rsid w:val="00510B25"/>
    <w:rsid w:val="00510B6B"/>
    <w:rsid w:val="00510BCB"/>
    <w:rsid w:val="00510BF4"/>
    <w:rsid w:val="00510C33"/>
    <w:rsid w:val="00510F5C"/>
    <w:rsid w:val="00511232"/>
    <w:rsid w:val="005114CE"/>
    <w:rsid w:val="0051164D"/>
    <w:rsid w:val="0051184F"/>
    <w:rsid w:val="00511B6A"/>
    <w:rsid w:val="00511BE9"/>
    <w:rsid w:val="00511D59"/>
    <w:rsid w:val="00511D9E"/>
    <w:rsid w:val="00511F84"/>
    <w:rsid w:val="00511FE4"/>
    <w:rsid w:val="00512878"/>
    <w:rsid w:val="00512B3B"/>
    <w:rsid w:val="00512C74"/>
    <w:rsid w:val="00512E3C"/>
    <w:rsid w:val="00512EF5"/>
    <w:rsid w:val="00513258"/>
    <w:rsid w:val="0051341C"/>
    <w:rsid w:val="00513439"/>
    <w:rsid w:val="0051348B"/>
    <w:rsid w:val="0051366C"/>
    <w:rsid w:val="00513779"/>
    <w:rsid w:val="00513C18"/>
    <w:rsid w:val="00513F15"/>
    <w:rsid w:val="00513FC9"/>
    <w:rsid w:val="00514027"/>
    <w:rsid w:val="00514169"/>
    <w:rsid w:val="00514405"/>
    <w:rsid w:val="00514B3C"/>
    <w:rsid w:val="00514C91"/>
    <w:rsid w:val="00514E1C"/>
    <w:rsid w:val="00514E8B"/>
    <w:rsid w:val="00514F1B"/>
    <w:rsid w:val="00514F75"/>
    <w:rsid w:val="00514FBF"/>
    <w:rsid w:val="0051500B"/>
    <w:rsid w:val="0051565C"/>
    <w:rsid w:val="00515761"/>
    <w:rsid w:val="00515A43"/>
    <w:rsid w:val="00515BB8"/>
    <w:rsid w:val="00515D73"/>
    <w:rsid w:val="0051630D"/>
    <w:rsid w:val="00516DB9"/>
    <w:rsid w:val="00516F8D"/>
    <w:rsid w:val="005171BE"/>
    <w:rsid w:val="00517386"/>
    <w:rsid w:val="005173E3"/>
    <w:rsid w:val="0051740A"/>
    <w:rsid w:val="0051786C"/>
    <w:rsid w:val="00517FAD"/>
    <w:rsid w:val="005200F2"/>
    <w:rsid w:val="00520367"/>
    <w:rsid w:val="005203A3"/>
    <w:rsid w:val="005204C4"/>
    <w:rsid w:val="0052054F"/>
    <w:rsid w:val="00520754"/>
    <w:rsid w:val="005207D4"/>
    <w:rsid w:val="0052085B"/>
    <w:rsid w:val="005209FE"/>
    <w:rsid w:val="00520A98"/>
    <w:rsid w:val="00520B68"/>
    <w:rsid w:val="00520D72"/>
    <w:rsid w:val="00520DDC"/>
    <w:rsid w:val="00520EDD"/>
    <w:rsid w:val="00521457"/>
    <w:rsid w:val="00521573"/>
    <w:rsid w:val="005215CD"/>
    <w:rsid w:val="00521792"/>
    <w:rsid w:val="00521BB2"/>
    <w:rsid w:val="00521BB4"/>
    <w:rsid w:val="00521C6B"/>
    <w:rsid w:val="00521F00"/>
    <w:rsid w:val="00522025"/>
    <w:rsid w:val="0052207B"/>
    <w:rsid w:val="005223CC"/>
    <w:rsid w:val="00522447"/>
    <w:rsid w:val="00522588"/>
    <w:rsid w:val="00522855"/>
    <w:rsid w:val="005229D8"/>
    <w:rsid w:val="00522EDD"/>
    <w:rsid w:val="00522F95"/>
    <w:rsid w:val="0052308C"/>
    <w:rsid w:val="00523191"/>
    <w:rsid w:val="0052323A"/>
    <w:rsid w:val="00523347"/>
    <w:rsid w:val="005233E2"/>
    <w:rsid w:val="00523416"/>
    <w:rsid w:val="00523461"/>
    <w:rsid w:val="005234BA"/>
    <w:rsid w:val="00523585"/>
    <w:rsid w:val="005235FC"/>
    <w:rsid w:val="005236C0"/>
    <w:rsid w:val="00523C9F"/>
    <w:rsid w:val="005240C1"/>
    <w:rsid w:val="00524285"/>
    <w:rsid w:val="0052466B"/>
    <w:rsid w:val="00524981"/>
    <w:rsid w:val="00524DE2"/>
    <w:rsid w:val="00524E41"/>
    <w:rsid w:val="00524EAB"/>
    <w:rsid w:val="00524EBD"/>
    <w:rsid w:val="00524F49"/>
    <w:rsid w:val="00524F71"/>
    <w:rsid w:val="00525072"/>
    <w:rsid w:val="005250E7"/>
    <w:rsid w:val="005253F9"/>
    <w:rsid w:val="00525537"/>
    <w:rsid w:val="005255AC"/>
    <w:rsid w:val="00525745"/>
    <w:rsid w:val="00525B38"/>
    <w:rsid w:val="00525BDB"/>
    <w:rsid w:val="00525D1D"/>
    <w:rsid w:val="00526368"/>
    <w:rsid w:val="0052636E"/>
    <w:rsid w:val="005264F4"/>
    <w:rsid w:val="0052663C"/>
    <w:rsid w:val="005269DB"/>
    <w:rsid w:val="00526AED"/>
    <w:rsid w:val="00526B2D"/>
    <w:rsid w:val="00526D12"/>
    <w:rsid w:val="00526D71"/>
    <w:rsid w:val="00526E1C"/>
    <w:rsid w:val="00526E63"/>
    <w:rsid w:val="00526FF3"/>
    <w:rsid w:val="00527091"/>
    <w:rsid w:val="00527415"/>
    <w:rsid w:val="005277D6"/>
    <w:rsid w:val="00527B05"/>
    <w:rsid w:val="00527B74"/>
    <w:rsid w:val="00527BA2"/>
    <w:rsid w:val="00527C6E"/>
    <w:rsid w:val="00527CDC"/>
    <w:rsid w:val="00527E3E"/>
    <w:rsid w:val="00527F56"/>
    <w:rsid w:val="00530168"/>
    <w:rsid w:val="005303F3"/>
    <w:rsid w:val="00530426"/>
    <w:rsid w:val="00530634"/>
    <w:rsid w:val="00530684"/>
    <w:rsid w:val="00530747"/>
    <w:rsid w:val="00530ABD"/>
    <w:rsid w:val="00530F19"/>
    <w:rsid w:val="0053129E"/>
    <w:rsid w:val="00531390"/>
    <w:rsid w:val="005316B7"/>
    <w:rsid w:val="00531871"/>
    <w:rsid w:val="00531894"/>
    <w:rsid w:val="00531E9E"/>
    <w:rsid w:val="00531EFE"/>
    <w:rsid w:val="005321AE"/>
    <w:rsid w:val="005324F5"/>
    <w:rsid w:val="00532688"/>
    <w:rsid w:val="005326E1"/>
    <w:rsid w:val="005326E4"/>
    <w:rsid w:val="005326E8"/>
    <w:rsid w:val="00532AC9"/>
    <w:rsid w:val="00532B6A"/>
    <w:rsid w:val="005330BB"/>
    <w:rsid w:val="005330EA"/>
    <w:rsid w:val="00533262"/>
    <w:rsid w:val="005333A3"/>
    <w:rsid w:val="005334B1"/>
    <w:rsid w:val="00533540"/>
    <w:rsid w:val="005335E1"/>
    <w:rsid w:val="0053380A"/>
    <w:rsid w:val="00533981"/>
    <w:rsid w:val="00533CE2"/>
    <w:rsid w:val="00533FC6"/>
    <w:rsid w:val="0053404F"/>
    <w:rsid w:val="005342AB"/>
    <w:rsid w:val="00534437"/>
    <w:rsid w:val="005346D0"/>
    <w:rsid w:val="00534DF5"/>
    <w:rsid w:val="00534FCF"/>
    <w:rsid w:val="00535070"/>
    <w:rsid w:val="00535077"/>
    <w:rsid w:val="005353B3"/>
    <w:rsid w:val="005353EE"/>
    <w:rsid w:val="0053540A"/>
    <w:rsid w:val="005354D6"/>
    <w:rsid w:val="0053550B"/>
    <w:rsid w:val="005359EF"/>
    <w:rsid w:val="00535A0E"/>
    <w:rsid w:val="00535A53"/>
    <w:rsid w:val="00535BA1"/>
    <w:rsid w:val="00535E2D"/>
    <w:rsid w:val="00535E88"/>
    <w:rsid w:val="00535FA9"/>
    <w:rsid w:val="00536355"/>
    <w:rsid w:val="005364B3"/>
    <w:rsid w:val="00536760"/>
    <w:rsid w:val="005368EA"/>
    <w:rsid w:val="005369EE"/>
    <w:rsid w:val="00536A09"/>
    <w:rsid w:val="00536BD4"/>
    <w:rsid w:val="00536C67"/>
    <w:rsid w:val="00536C8C"/>
    <w:rsid w:val="00536F56"/>
    <w:rsid w:val="00536F92"/>
    <w:rsid w:val="0053706D"/>
    <w:rsid w:val="00537090"/>
    <w:rsid w:val="00537278"/>
    <w:rsid w:val="005377E9"/>
    <w:rsid w:val="005379DF"/>
    <w:rsid w:val="00537B1E"/>
    <w:rsid w:val="00537F68"/>
    <w:rsid w:val="00537FF6"/>
    <w:rsid w:val="00540267"/>
    <w:rsid w:val="00540385"/>
    <w:rsid w:val="00540ADD"/>
    <w:rsid w:val="00540B50"/>
    <w:rsid w:val="00540E5D"/>
    <w:rsid w:val="0054125A"/>
    <w:rsid w:val="00541269"/>
    <w:rsid w:val="005412A0"/>
    <w:rsid w:val="005414EF"/>
    <w:rsid w:val="00541503"/>
    <w:rsid w:val="0054160D"/>
    <w:rsid w:val="00541630"/>
    <w:rsid w:val="005416B1"/>
    <w:rsid w:val="0054176B"/>
    <w:rsid w:val="00541C85"/>
    <w:rsid w:val="00541E32"/>
    <w:rsid w:val="00541EE7"/>
    <w:rsid w:val="0054221A"/>
    <w:rsid w:val="0054249D"/>
    <w:rsid w:val="00542628"/>
    <w:rsid w:val="0054268D"/>
    <w:rsid w:val="005426D6"/>
    <w:rsid w:val="00542A3F"/>
    <w:rsid w:val="00542ADB"/>
    <w:rsid w:val="00542B84"/>
    <w:rsid w:val="00542CB7"/>
    <w:rsid w:val="005430F3"/>
    <w:rsid w:val="00543129"/>
    <w:rsid w:val="0054319A"/>
    <w:rsid w:val="0054328D"/>
    <w:rsid w:val="005434D8"/>
    <w:rsid w:val="0054356E"/>
    <w:rsid w:val="005435F5"/>
    <w:rsid w:val="00543790"/>
    <w:rsid w:val="0054380C"/>
    <w:rsid w:val="0054387C"/>
    <w:rsid w:val="0054391F"/>
    <w:rsid w:val="00543954"/>
    <w:rsid w:val="00543AD6"/>
    <w:rsid w:val="00543B27"/>
    <w:rsid w:val="00543E3E"/>
    <w:rsid w:val="005440DB"/>
    <w:rsid w:val="0054416B"/>
    <w:rsid w:val="00544265"/>
    <w:rsid w:val="005442A2"/>
    <w:rsid w:val="005443F6"/>
    <w:rsid w:val="005445DA"/>
    <w:rsid w:val="00544699"/>
    <w:rsid w:val="00544A79"/>
    <w:rsid w:val="00544A9B"/>
    <w:rsid w:val="00544E1E"/>
    <w:rsid w:val="005451A2"/>
    <w:rsid w:val="00545292"/>
    <w:rsid w:val="00545478"/>
    <w:rsid w:val="0054573C"/>
    <w:rsid w:val="0054577B"/>
    <w:rsid w:val="00545920"/>
    <w:rsid w:val="00545922"/>
    <w:rsid w:val="0054599C"/>
    <w:rsid w:val="00545B1D"/>
    <w:rsid w:val="00545BF5"/>
    <w:rsid w:val="00545E67"/>
    <w:rsid w:val="00546105"/>
    <w:rsid w:val="00546203"/>
    <w:rsid w:val="005464AE"/>
    <w:rsid w:val="00546547"/>
    <w:rsid w:val="00546E2F"/>
    <w:rsid w:val="00546FB0"/>
    <w:rsid w:val="005470D0"/>
    <w:rsid w:val="00547204"/>
    <w:rsid w:val="00547381"/>
    <w:rsid w:val="0054741E"/>
    <w:rsid w:val="005475F5"/>
    <w:rsid w:val="00547A2A"/>
    <w:rsid w:val="00547B5A"/>
    <w:rsid w:val="00547D92"/>
    <w:rsid w:val="00547E34"/>
    <w:rsid w:val="00547E77"/>
    <w:rsid w:val="00547E98"/>
    <w:rsid w:val="00547F93"/>
    <w:rsid w:val="0055004A"/>
    <w:rsid w:val="0055022E"/>
    <w:rsid w:val="0055025B"/>
    <w:rsid w:val="005502A5"/>
    <w:rsid w:val="005502A6"/>
    <w:rsid w:val="00550484"/>
    <w:rsid w:val="005509A1"/>
    <w:rsid w:val="00550AA8"/>
    <w:rsid w:val="00550AEC"/>
    <w:rsid w:val="00550AEE"/>
    <w:rsid w:val="00550B38"/>
    <w:rsid w:val="00550DE4"/>
    <w:rsid w:val="00550E06"/>
    <w:rsid w:val="00550ECA"/>
    <w:rsid w:val="0055101E"/>
    <w:rsid w:val="0055176D"/>
    <w:rsid w:val="00551A71"/>
    <w:rsid w:val="00551BD0"/>
    <w:rsid w:val="00551F4C"/>
    <w:rsid w:val="0055252A"/>
    <w:rsid w:val="005526DB"/>
    <w:rsid w:val="005528D0"/>
    <w:rsid w:val="00552A30"/>
    <w:rsid w:val="00552BFF"/>
    <w:rsid w:val="00552C08"/>
    <w:rsid w:val="00552C57"/>
    <w:rsid w:val="00552D5D"/>
    <w:rsid w:val="00552D9E"/>
    <w:rsid w:val="00552E01"/>
    <w:rsid w:val="00552E28"/>
    <w:rsid w:val="00552EC2"/>
    <w:rsid w:val="00553010"/>
    <w:rsid w:val="005530F6"/>
    <w:rsid w:val="0055332D"/>
    <w:rsid w:val="0055389B"/>
    <w:rsid w:val="00553AF8"/>
    <w:rsid w:val="00553B2B"/>
    <w:rsid w:val="00553BB7"/>
    <w:rsid w:val="00553C83"/>
    <w:rsid w:val="00553F1A"/>
    <w:rsid w:val="005540CE"/>
    <w:rsid w:val="00554332"/>
    <w:rsid w:val="0055434D"/>
    <w:rsid w:val="0055451D"/>
    <w:rsid w:val="00554601"/>
    <w:rsid w:val="0055465B"/>
    <w:rsid w:val="005547EF"/>
    <w:rsid w:val="0055485B"/>
    <w:rsid w:val="00554F16"/>
    <w:rsid w:val="0055500E"/>
    <w:rsid w:val="00555394"/>
    <w:rsid w:val="00555587"/>
    <w:rsid w:val="005559B2"/>
    <w:rsid w:val="00555AE0"/>
    <w:rsid w:val="00555C30"/>
    <w:rsid w:val="0055600D"/>
    <w:rsid w:val="00556070"/>
    <w:rsid w:val="00556355"/>
    <w:rsid w:val="00556392"/>
    <w:rsid w:val="00556847"/>
    <w:rsid w:val="005568CB"/>
    <w:rsid w:val="005569AB"/>
    <w:rsid w:val="00556B19"/>
    <w:rsid w:val="00556BA4"/>
    <w:rsid w:val="00556EF2"/>
    <w:rsid w:val="00556F14"/>
    <w:rsid w:val="00557123"/>
    <w:rsid w:val="0055754E"/>
    <w:rsid w:val="005575DE"/>
    <w:rsid w:val="0055766B"/>
    <w:rsid w:val="005578BB"/>
    <w:rsid w:val="005578D9"/>
    <w:rsid w:val="005579F2"/>
    <w:rsid w:val="00557A52"/>
    <w:rsid w:val="00557C65"/>
    <w:rsid w:val="00557DAB"/>
    <w:rsid w:val="00557EFA"/>
    <w:rsid w:val="005600D1"/>
    <w:rsid w:val="005602AD"/>
    <w:rsid w:val="0056035A"/>
    <w:rsid w:val="00560367"/>
    <w:rsid w:val="00560472"/>
    <w:rsid w:val="00560669"/>
    <w:rsid w:val="0056096F"/>
    <w:rsid w:val="005609FE"/>
    <w:rsid w:val="00560DC7"/>
    <w:rsid w:val="00560FD3"/>
    <w:rsid w:val="0056101F"/>
    <w:rsid w:val="00561523"/>
    <w:rsid w:val="005615C9"/>
    <w:rsid w:val="005615D0"/>
    <w:rsid w:val="005615EC"/>
    <w:rsid w:val="00561872"/>
    <w:rsid w:val="0056187A"/>
    <w:rsid w:val="005619F6"/>
    <w:rsid w:val="00561ADD"/>
    <w:rsid w:val="00561E08"/>
    <w:rsid w:val="00561E95"/>
    <w:rsid w:val="00561F88"/>
    <w:rsid w:val="0056203D"/>
    <w:rsid w:val="00562189"/>
    <w:rsid w:val="00562229"/>
    <w:rsid w:val="0056236A"/>
    <w:rsid w:val="00562463"/>
    <w:rsid w:val="00562718"/>
    <w:rsid w:val="00562879"/>
    <w:rsid w:val="00562AD6"/>
    <w:rsid w:val="00562C96"/>
    <w:rsid w:val="00562C9A"/>
    <w:rsid w:val="00562D0D"/>
    <w:rsid w:val="00562F1C"/>
    <w:rsid w:val="00563114"/>
    <w:rsid w:val="00563337"/>
    <w:rsid w:val="0056362A"/>
    <w:rsid w:val="005636BD"/>
    <w:rsid w:val="00563A08"/>
    <w:rsid w:val="00563A1D"/>
    <w:rsid w:val="00563A37"/>
    <w:rsid w:val="00563B4E"/>
    <w:rsid w:val="00563BB0"/>
    <w:rsid w:val="00563EF3"/>
    <w:rsid w:val="00563FBA"/>
    <w:rsid w:val="00564200"/>
    <w:rsid w:val="0056448C"/>
    <w:rsid w:val="005644EB"/>
    <w:rsid w:val="00564586"/>
    <w:rsid w:val="005647F1"/>
    <w:rsid w:val="00564807"/>
    <w:rsid w:val="0056495C"/>
    <w:rsid w:val="005649F6"/>
    <w:rsid w:val="00564B1C"/>
    <w:rsid w:val="00564C58"/>
    <w:rsid w:val="0056500C"/>
    <w:rsid w:val="0056521B"/>
    <w:rsid w:val="0056534C"/>
    <w:rsid w:val="00565820"/>
    <w:rsid w:val="00565974"/>
    <w:rsid w:val="00565A11"/>
    <w:rsid w:val="00565A86"/>
    <w:rsid w:val="00565D8E"/>
    <w:rsid w:val="00565D93"/>
    <w:rsid w:val="00565F74"/>
    <w:rsid w:val="00565F97"/>
    <w:rsid w:val="00566163"/>
    <w:rsid w:val="00566357"/>
    <w:rsid w:val="0056679F"/>
    <w:rsid w:val="005667ED"/>
    <w:rsid w:val="00566A26"/>
    <w:rsid w:val="00566C16"/>
    <w:rsid w:val="00567017"/>
    <w:rsid w:val="005675E0"/>
    <w:rsid w:val="005677B2"/>
    <w:rsid w:val="005678C2"/>
    <w:rsid w:val="00567968"/>
    <w:rsid w:val="00567A23"/>
    <w:rsid w:val="00567D14"/>
    <w:rsid w:val="00567D91"/>
    <w:rsid w:val="00567E16"/>
    <w:rsid w:val="0057021C"/>
    <w:rsid w:val="005702A1"/>
    <w:rsid w:val="005702FF"/>
    <w:rsid w:val="0057063D"/>
    <w:rsid w:val="005706E1"/>
    <w:rsid w:val="00570A36"/>
    <w:rsid w:val="00570AD3"/>
    <w:rsid w:val="00570C47"/>
    <w:rsid w:val="005712FA"/>
    <w:rsid w:val="00571520"/>
    <w:rsid w:val="00571570"/>
    <w:rsid w:val="00571B43"/>
    <w:rsid w:val="00571EEF"/>
    <w:rsid w:val="00571F3B"/>
    <w:rsid w:val="0057224D"/>
    <w:rsid w:val="00572553"/>
    <w:rsid w:val="00572781"/>
    <w:rsid w:val="005727E8"/>
    <w:rsid w:val="00572822"/>
    <w:rsid w:val="00572891"/>
    <w:rsid w:val="005728C2"/>
    <w:rsid w:val="0057294F"/>
    <w:rsid w:val="00572C47"/>
    <w:rsid w:val="00572FD7"/>
    <w:rsid w:val="005732F4"/>
    <w:rsid w:val="0057348E"/>
    <w:rsid w:val="00573759"/>
    <w:rsid w:val="005737D0"/>
    <w:rsid w:val="005738BD"/>
    <w:rsid w:val="00573DC5"/>
    <w:rsid w:val="00573E04"/>
    <w:rsid w:val="00573FA9"/>
    <w:rsid w:val="0057400C"/>
    <w:rsid w:val="00574209"/>
    <w:rsid w:val="0057430B"/>
    <w:rsid w:val="005744EB"/>
    <w:rsid w:val="0057453B"/>
    <w:rsid w:val="0057454A"/>
    <w:rsid w:val="00574D49"/>
    <w:rsid w:val="00574F1E"/>
    <w:rsid w:val="00574FC3"/>
    <w:rsid w:val="005750A4"/>
    <w:rsid w:val="005757DB"/>
    <w:rsid w:val="005758C8"/>
    <w:rsid w:val="005758E8"/>
    <w:rsid w:val="00575C0E"/>
    <w:rsid w:val="00575E49"/>
    <w:rsid w:val="00575EE4"/>
    <w:rsid w:val="00575FFB"/>
    <w:rsid w:val="0057608D"/>
    <w:rsid w:val="005761BF"/>
    <w:rsid w:val="0057631F"/>
    <w:rsid w:val="00576599"/>
    <w:rsid w:val="0057669A"/>
    <w:rsid w:val="00576B3F"/>
    <w:rsid w:val="00576B93"/>
    <w:rsid w:val="00576C7E"/>
    <w:rsid w:val="00576D7F"/>
    <w:rsid w:val="00576DBB"/>
    <w:rsid w:val="00576E4A"/>
    <w:rsid w:val="00576EBC"/>
    <w:rsid w:val="00577172"/>
    <w:rsid w:val="005777EF"/>
    <w:rsid w:val="00577AD2"/>
    <w:rsid w:val="00577AE1"/>
    <w:rsid w:val="00577B27"/>
    <w:rsid w:val="00577C80"/>
    <w:rsid w:val="00577E5B"/>
    <w:rsid w:val="00580257"/>
    <w:rsid w:val="0058060D"/>
    <w:rsid w:val="00580B18"/>
    <w:rsid w:val="0058105D"/>
    <w:rsid w:val="00581112"/>
    <w:rsid w:val="005811C4"/>
    <w:rsid w:val="005814AC"/>
    <w:rsid w:val="0058157E"/>
    <w:rsid w:val="005816FF"/>
    <w:rsid w:val="0058187C"/>
    <w:rsid w:val="00581B5F"/>
    <w:rsid w:val="00581C2F"/>
    <w:rsid w:val="00582224"/>
    <w:rsid w:val="005827F5"/>
    <w:rsid w:val="00582822"/>
    <w:rsid w:val="0058297D"/>
    <w:rsid w:val="00582BC4"/>
    <w:rsid w:val="005835D8"/>
    <w:rsid w:val="0058371E"/>
    <w:rsid w:val="00583771"/>
    <w:rsid w:val="00583825"/>
    <w:rsid w:val="00583877"/>
    <w:rsid w:val="005838DC"/>
    <w:rsid w:val="005838F7"/>
    <w:rsid w:val="00583DF5"/>
    <w:rsid w:val="00584088"/>
    <w:rsid w:val="0058415E"/>
    <w:rsid w:val="005844F4"/>
    <w:rsid w:val="005845B4"/>
    <w:rsid w:val="005847CC"/>
    <w:rsid w:val="005849B3"/>
    <w:rsid w:val="00584E8C"/>
    <w:rsid w:val="00584FAD"/>
    <w:rsid w:val="00585859"/>
    <w:rsid w:val="00585979"/>
    <w:rsid w:val="00585B54"/>
    <w:rsid w:val="00585BE9"/>
    <w:rsid w:val="00585F95"/>
    <w:rsid w:val="0058608D"/>
    <w:rsid w:val="005863F0"/>
    <w:rsid w:val="0058647D"/>
    <w:rsid w:val="0058662F"/>
    <w:rsid w:val="0058674B"/>
    <w:rsid w:val="00586771"/>
    <w:rsid w:val="0058691F"/>
    <w:rsid w:val="00586C7E"/>
    <w:rsid w:val="00586E0F"/>
    <w:rsid w:val="00586F4B"/>
    <w:rsid w:val="005878AA"/>
    <w:rsid w:val="00587B56"/>
    <w:rsid w:val="00587CF1"/>
    <w:rsid w:val="00587FA9"/>
    <w:rsid w:val="00590386"/>
    <w:rsid w:val="00590398"/>
    <w:rsid w:val="005903DB"/>
    <w:rsid w:val="0059048D"/>
    <w:rsid w:val="005905EE"/>
    <w:rsid w:val="005907E6"/>
    <w:rsid w:val="005908CB"/>
    <w:rsid w:val="0059133F"/>
    <w:rsid w:val="0059158C"/>
    <w:rsid w:val="00591597"/>
    <w:rsid w:val="00591A46"/>
    <w:rsid w:val="00591AD9"/>
    <w:rsid w:val="00591BC0"/>
    <w:rsid w:val="00591C53"/>
    <w:rsid w:val="00591F2C"/>
    <w:rsid w:val="00591F5F"/>
    <w:rsid w:val="00591FD2"/>
    <w:rsid w:val="00592185"/>
    <w:rsid w:val="00592209"/>
    <w:rsid w:val="005922ED"/>
    <w:rsid w:val="0059263E"/>
    <w:rsid w:val="005927A2"/>
    <w:rsid w:val="00592A6C"/>
    <w:rsid w:val="00592D9E"/>
    <w:rsid w:val="00592F84"/>
    <w:rsid w:val="00593126"/>
    <w:rsid w:val="00593215"/>
    <w:rsid w:val="005933AC"/>
    <w:rsid w:val="0059347D"/>
    <w:rsid w:val="005934EE"/>
    <w:rsid w:val="00593654"/>
    <w:rsid w:val="0059390B"/>
    <w:rsid w:val="00593EA9"/>
    <w:rsid w:val="00594264"/>
    <w:rsid w:val="005943AC"/>
    <w:rsid w:val="005944FF"/>
    <w:rsid w:val="005945FA"/>
    <w:rsid w:val="00594CA2"/>
    <w:rsid w:val="00594E1A"/>
    <w:rsid w:val="00594EE3"/>
    <w:rsid w:val="005950E0"/>
    <w:rsid w:val="00595477"/>
    <w:rsid w:val="0059563E"/>
    <w:rsid w:val="0059564E"/>
    <w:rsid w:val="005959FD"/>
    <w:rsid w:val="00595BC6"/>
    <w:rsid w:val="00595D5E"/>
    <w:rsid w:val="00595DFF"/>
    <w:rsid w:val="00595F91"/>
    <w:rsid w:val="00596027"/>
    <w:rsid w:val="0059607E"/>
    <w:rsid w:val="00596369"/>
    <w:rsid w:val="005963C1"/>
    <w:rsid w:val="005963FF"/>
    <w:rsid w:val="0059646F"/>
    <w:rsid w:val="005965DC"/>
    <w:rsid w:val="00596756"/>
    <w:rsid w:val="005969DC"/>
    <w:rsid w:val="00596A00"/>
    <w:rsid w:val="00596FC2"/>
    <w:rsid w:val="00597296"/>
    <w:rsid w:val="00597442"/>
    <w:rsid w:val="00597700"/>
    <w:rsid w:val="00597A30"/>
    <w:rsid w:val="00597DF1"/>
    <w:rsid w:val="00597EB9"/>
    <w:rsid w:val="005A0B88"/>
    <w:rsid w:val="005A0D18"/>
    <w:rsid w:val="005A0D56"/>
    <w:rsid w:val="005A0E5A"/>
    <w:rsid w:val="005A1640"/>
    <w:rsid w:val="005A1A43"/>
    <w:rsid w:val="005A1A83"/>
    <w:rsid w:val="005A1AFC"/>
    <w:rsid w:val="005A1B09"/>
    <w:rsid w:val="005A1B2C"/>
    <w:rsid w:val="005A1C54"/>
    <w:rsid w:val="005A1E71"/>
    <w:rsid w:val="005A21ED"/>
    <w:rsid w:val="005A240F"/>
    <w:rsid w:val="005A2896"/>
    <w:rsid w:val="005A28A2"/>
    <w:rsid w:val="005A29FE"/>
    <w:rsid w:val="005A2A27"/>
    <w:rsid w:val="005A2A68"/>
    <w:rsid w:val="005A2A7C"/>
    <w:rsid w:val="005A328D"/>
    <w:rsid w:val="005A34A7"/>
    <w:rsid w:val="005A3932"/>
    <w:rsid w:val="005A39B1"/>
    <w:rsid w:val="005A3A3C"/>
    <w:rsid w:val="005A3BD8"/>
    <w:rsid w:val="005A3E1C"/>
    <w:rsid w:val="005A3E67"/>
    <w:rsid w:val="005A4052"/>
    <w:rsid w:val="005A417E"/>
    <w:rsid w:val="005A42AD"/>
    <w:rsid w:val="005A4336"/>
    <w:rsid w:val="005A470F"/>
    <w:rsid w:val="005A4FD6"/>
    <w:rsid w:val="005A4FF4"/>
    <w:rsid w:val="005A5307"/>
    <w:rsid w:val="005A54D9"/>
    <w:rsid w:val="005A5525"/>
    <w:rsid w:val="005A562B"/>
    <w:rsid w:val="005A5694"/>
    <w:rsid w:val="005A5929"/>
    <w:rsid w:val="005A5AF3"/>
    <w:rsid w:val="005A5C10"/>
    <w:rsid w:val="005A5F44"/>
    <w:rsid w:val="005A6216"/>
    <w:rsid w:val="005A6942"/>
    <w:rsid w:val="005A698F"/>
    <w:rsid w:val="005A6A1C"/>
    <w:rsid w:val="005A6A9A"/>
    <w:rsid w:val="005A700D"/>
    <w:rsid w:val="005A7182"/>
    <w:rsid w:val="005A71AF"/>
    <w:rsid w:val="005A74BD"/>
    <w:rsid w:val="005A76B9"/>
    <w:rsid w:val="005A78B6"/>
    <w:rsid w:val="005A7C27"/>
    <w:rsid w:val="005A7DFF"/>
    <w:rsid w:val="005B0746"/>
    <w:rsid w:val="005B078D"/>
    <w:rsid w:val="005B0898"/>
    <w:rsid w:val="005B09BF"/>
    <w:rsid w:val="005B09E2"/>
    <w:rsid w:val="005B11AE"/>
    <w:rsid w:val="005B1396"/>
    <w:rsid w:val="005B1398"/>
    <w:rsid w:val="005B14C7"/>
    <w:rsid w:val="005B17E0"/>
    <w:rsid w:val="005B1900"/>
    <w:rsid w:val="005B19ED"/>
    <w:rsid w:val="005B1EB7"/>
    <w:rsid w:val="005B1FA2"/>
    <w:rsid w:val="005B202A"/>
    <w:rsid w:val="005B23C4"/>
    <w:rsid w:val="005B23EE"/>
    <w:rsid w:val="005B2682"/>
    <w:rsid w:val="005B2701"/>
    <w:rsid w:val="005B28B4"/>
    <w:rsid w:val="005B2B56"/>
    <w:rsid w:val="005B2BF1"/>
    <w:rsid w:val="005B2DE2"/>
    <w:rsid w:val="005B2F4D"/>
    <w:rsid w:val="005B32C1"/>
    <w:rsid w:val="005B3362"/>
    <w:rsid w:val="005B34B4"/>
    <w:rsid w:val="005B34DA"/>
    <w:rsid w:val="005B3677"/>
    <w:rsid w:val="005B3679"/>
    <w:rsid w:val="005B380B"/>
    <w:rsid w:val="005B3B37"/>
    <w:rsid w:val="005B3D78"/>
    <w:rsid w:val="005B3D90"/>
    <w:rsid w:val="005B4202"/>
    <w:rsid w:val="005B4297"/>
    <w:rsid w:val="005B464D"/>
    <w:rsid w:val="005B472B"/>
    <w:rsid w:val="005B4BD6"/>
    <w:rsid w:val="005B4CD5"/>
    <w:rsid w:val="005B4F9F"/>
    <w:rsid w:val="005B5106"/>
    <w:rsid w:val="005B51BE"/>
    <w:rsid w:val="005B5637"/>
    <w:rsid w:val="005B5912"/>
    <w:rsid w:val="005B5949"/>
    <w:rsid w:val="005B5AB9"/>
    <w:rsid w:val="005B5B2E"/>
    <w:rsid w:val="005B5BCD"/>
    <w:rsid w:val="005B5C05"/>
    <w:rsid w:val="005B5C89"/>
    <w:rsid w:val="005B5D9B"/>
    <w:rsid w:val="005B5E1E"/>
    <w:rsid w:val="005B60BA"/>
    <w:rsid w:val="005B622B"/>
    <w:rsid w:val="005B6264"/>
    <w:rsid w:val="005B627F"/>
    <w:rsid w:val="005B6280"/>
    <w:rsid w:val="005B63A2"/>
    <w:rsid w:val="005B64C4"/>
    <w:rsid w:val="005B6586"/>
    <w:rsid w:val="005B68B7"/>
    <w:rsid w:val="005B6906"/>
    <w:rsid w:val="005B6BF3"/>
    <w:rsid w:val="005B6D5B"/>
    <w:rsid w:val="005B6F38"/>
    <w:rsid w:val="005B70C2"/>
    <w:rsid w:val="005B70C3"/>
    <w:rsid w:val="005B7262"/>
    <w:rsid w:val="005B741D"/>
    <w:rsid w:val="005B7476"/>
    <w:rsid w:val="005B7716"/>
    <w:rsid w:val="005B7856"/>
    <w:rsid w:val="005B7966"/>
    <w:rsid w:val="005B7AD8"/>
    <w:rsid w:val="005B7DD9"/>
    <w:rsid w:val="005C00F1"/>
    <w:rsid w:val="005C02BA"/>
    <w:rsid w:val="005C05C3"/>
    <w:rsid w:val="005C05FB"/>
    <w:rsid w:val="005C06ED"/>
    <w:rsid w:val="005C0786"/>
    <w:rsid w:val="005C0964"/>
    <w:rsid w:val="005C0AE3"/>
    <w:rsid w:val="005C0B33"/>
    <w:rsid w:val="005C0B51"/>
    <w:rsid w:val="005C0BF1"/>
    <w:rsid w:val="005C0F93"/>
    <w:rsid w:val="005C0FF1"/>
    <w:rsid w:val="005C105B"/>
    <w:rsid w:val="005C1168"/>
    <w:rsid w:val="005C126C"/>
    <w:rsid w:val="005C13C8"/>
    <w:rsid w:val="005C140C"/>
    <w:rsid w:val="005C14E3"/>
    <w:rsid w:val="005C1707"/>
    <w:rsid w:val="005C1891"/>
    <w:rsid w:val="005C1953"/>
    <w:rsid w:val="005C1B58"/>
    <w:rsid w:val="005C1B6B"/>
    <w:rsid w:val="005C1B86"/>
    <w:rsid w:val="005C20CC"/>
    <w:rsid w:val="005C235F"/>
    <w:rsid w:val="005C24A6"/>
    <w:rsid w:val="005C2525"/>
    <w:rsid w:val="005C270F"/>
    <w:rsid w:val="005C27FD"/>
    <w:rsid w:val="005C2C00"/>
    <w:rsid w:val="005C30E9"/>
    <w:rsid w:val="005C335D"/>
    <w:rsid w:val="005C33C6"/>
    <w:rsid w:val="005C34A5"/>
    <w:rsid w:val="005C34DB"/>
    <w:rsid w:val="005C353C"/>
    <w:rsid w:val="005C3579"/>
    <w:rsid w:val="005C3589"/>
    <w:rsid w:val="005C362D"/>
    <w:rsid w:val="005C392F"/>
    <w:rsid w:val="005C3B68"/>
    <w:rsid w:val="005C3BD1"/>
    <w:rsid w:val="005C3CAC"/>
    <w:rsid w:val="005C4162"/>
    <w:rsid w:val="005C4306"/>
    <w:rsid w:val="005C44B1"/>
    <w:rsid w:val="005C45F2"/>
    <w:rsid w:val="005C46FE"/>
    <w:rsid w:val="005C48AE"/>
    <w:rsid w:val="005C4CD0"/>
    <w:rsid w:val="005C50A9"/>
    <w:rsid w:val="005C55A8"/>
    <w:rsid w:val="005C5619"/>
    <w:rsid w:val="005C5BC9"/>
    <w:rsid w:val="005C5D12"/>
    <w:rsid w:val="005C5D17"/>
    <w:rsid w:val="005C5D91"/>
    <w:rsid w:val="005C615B"/>
    <w:rsid w:val="005C6196"/>
    <w:rsid w:val="005C65F3"/>
    <w:rsid w:val="005C671C"/>
    <w:rsid w:val="005C6951"/>
    <w:rsid w:val="005C6A9D"/>
    <w:rsid w:val="005C6B3C"/>
    <w:rsid w:val="005C6F4A"/>
    <w:rsid w:val="005C6FF9"/>
    <w:rsid w:val="005C709B"/>
    <w:rsid w:val="005C71AC"/>
    <w:rsid w:val="005C7364"/>
    <w:rsid w:val="005C755C"/>
    <w:rsid w:val="005C7666"/>
    <w:rsid w:val="005C77AE"/>
    <w:rsid w:val="005C79EE"/>
    <w:rsid w:val="005C7E95"/>
    <w:rsid w:val="005C7FAB"/>
    <w:rsid w:val="005D01D7"/>
    <w:rsid w:val="005D0336"/>
    <w:rsid w:val="005D06A5"/>
    <w:rsid w:val="005D06F4"/>
    <w:rsid w:val="005D0A65"/>
    <w:rsid w:val="005D0A66"/>
    <w:rsid w:val="005D0C6B"/>
    <w:rsid w:val="005D0E4F"/>
    <w:rsid w:val="005D0E70"/>
    <w:rsid w:val="005D13B5"/>
    <w:rsid w:val="005D16EB"/>
    <w:rsid w:val="005D1732"/>
    <w:rsid w:val="005D17A1"/>
    <w:rsid w:val="005D1858"/>
    <w:rsid w:val="005D1932"/>
    <w:rsid w:val="005D1ABA"/>
    <w:rsid w:val="005D1FAE"/>
    <w:rsid w:val="005D220E"/>
    <w:rsid w:val="005D225E"/>
    <w:rsid w:val="005D2446"/>
    <w:rsid w:val="005D249B"/>
    <w:rsid w:val="005D2CB0"/>
    <w:rsid w:val="005D2E0A"/>
    <w:rsid w:val="005D2E19"/>
    <w:rsid w:val="005D2E74"/>
    <w:rsid w:val="005D3389"/>
    <w:rsid w:val="005D3E6A"/>
    <w:rsid w:val="005D3F8C"/>
    <w:rsid w:val="005D435B"/>
    <w:rsid w:val="005D4563"/>
    <w:rsid w:val="005D485F"/>
    <w:rsid w:val="005D4924"/>
    <w:rsid w:val="005D49BB"/>
    <w:rsid w:val="005D4BC9"/>
    <w:rsid w:val="005D4BFB"/>
    <w:rsid w:val="005D4FFF"/>
    <w:rsid w:val="005D50A0"/>
    <w:rsid w:val="005D5349"/>
    <w:rsid w:val="005D53A0"/>
    <w:rsid w:val="005D5486"/>
    <w:rsid w:val="005D5506"/>
    <w:rsid w:val="005D550C"/>
    <w:rsid w:val="005D565C"/>
    <w:rsid w:val="005D56A5"/>
    <w:rsid w:val="005D573C"/>
    <w:rsid w:val="005D57E2"/>
    <w:rsid w:val="005D59F1"/>
    <w:rsid w:val="005D5DBF"/>
    <w:rsid w:val="005D5EA5"/>
    <w:rsid w:val="005D5FA7"/>
    <w:rsid w:val="005D5FFE"/>
    <w:rsid w:val="005D61B5"/>
    <w:rsid w:val="005D61EB"/>
    <w:rsid w:val="005D648A"/>
    <w:rsid w:val="005D6527"/>
    <w:rsid w:val="005D6694"/>
    <w:rsid w:val="005D683F"/>
    <w:rsid w:val="005D68FB"/>
    <w:rsid w:val="005D6F09"/>
    <w:rsid w:val="005D6FF9"/>
    <w:rsid w:val="005D7055"/>
    <w:rsid w:val="005D70AA"/>
    <w:rsid w:val="005D71A0"/>
    <w:rsid w:val="005D732F"/>
    <w:rsid w:val="005D73BC"/>
    <w:rsid w:val="005D74CD"/>
    <w:rsid w:val="005D768F"/>
    <w:rsid w:val="005D77C4"/>
    <w:rsid w:val="005D7818"/>
    <w:rsid w:val="005D790F"/>
    <w:rsid w:val="005D79F2"/>
    <w:rsid w:val="005D7A66"/>
    <w:rsid w:val="005D7D36"/>
    <w:rsid w:val="005D7E2F"/>
    <w:rsid w:val="005D7F61"/>
    <w:rsid w:val="005E013D"/>
    <w:rsid w:val="005E0710"/>
    <w:rsid w:val="005E073E"/>
    <w:rsid w:val="005E091A"/>
    <w:rsid w:val="005E0A8F"/>
    <w:rsid w:val="005E0C03"/>
    <w:rsid w:val="005E0CF0"/>
    <w:rsid w:val="005E0EC5"/>
    <w:rsid w:val="005E113D"/>
    <w:rsid w:val="005E1412"/>
    <w:rsid w:val="005E178C"/>
    <w:rsid w:val="005E17C8"/>
    <w:rsid w:val="005E1984"/>
    <w:rsid w:val="005E1C03"/>
    <w:rsid w:val="005E1D9E"/>
    <w:rsid w:val="005E1E12"/>
    <w:rsid w:val="005E1EED"/>
    <w:rsid w:val="005E1FDF"/>
    <w:rsid w:val="005E20F4"/>
    <w:rsid w:val="005E2333"/>
    <w:rsid w:val="005E24D1"/>
    <w:rsid w:val="005E26FE"/>
    <w:rsid w:val="005E27DD"/>
    <w:rsid w:val="005E2A0E"/>
    <w:rsid w:val="005E2A8E"/>
    <w:rsid w:val="005E2C87"/>
    <w:rsid w:val="005E2D13"/>
    <w:rsid w:val="005E2EF4"/>
    <w:rsid w:val="005E31B2"/>
    <w:rsid w:val="005E32BD"/>
    <w:rsid w:val="005E32E5"/>
    <w:rsid w:val="005E34CE"/>
    <w:rsid w:val="005E3666"/>
    <w:rsid w:val="005E370D"/>
    <w:rsid w:val="005E39C6"/>
    <w:rsid w:val="005E3CF4"/>
    <w:rsid w:val="005E3D0B"/>
    <w:rsid w:val="005E3DCA"/>
    <w:rsid w:val="005E4044"/>
    <w:rsid w:val="005E415C"/>
    <w:rsid w:val="005E43F0"/>
    <w:rsid w:val="005E4508"/>
    <w:rsid w:val="005E4609"/>
    <w:rsid w:val="005E4A15"/>
    <w:rsid w:val="005E4BC4"/>
    <w:rsid w:val="005E4BD6"/>
    <w:rsid w:val="005E4D15"/>
    <w:rsid w:val="005E4E89"/>
    <w:rsid w:val="005E4EB2"/>
    <w:rsid w:val="005E4FD6"/>
    <w:rsid w:val="005E56CD"/>
    <w:rsid w:val="005E59A5"/>
    <w:rsid w:val="005E59D8"/>
    <w:rsid w:val="005E5B89"/>
    <w:rsid w:val="005E5D70"/>
    <w:rsid w:val="005E5F9E"/>
    <w:rsid w:val="005E6426"/>
    <w:rsid w:val="005E642A"/>
    <w:rsid w:val="005E646C"/>
    <w:rsid w:val="005E64A8"/>
    <w:rsid w:val="005E6756"/>
    <w:rsid w:val="005E6901"/>
    <w:rsid w:val="005E697A"/>
    <w:rsid w:val="005E6A2D"/>
    <w:rsid w:val="005E6B53"/>
    <w:rsid w:val="005E6C46"/>
    <w:rsid w:val="005E6CD3"/>
    <w:rsid w:val="005E6ED0"/>
    <w:rsid w:val="005E7249"/>
    <w:rsid w:val="005E7504"/>
    <w:rsid w:val="005E7719"/>
    <w:rsid w:val="005E7774"/>
    <w:rsid w:val="005E778F"/>
    <w:rsid w:val="005E77D3"/>
    <w:rsid w:val="005E7A20"/>
    <w:rsid w:val="005E7A3E"/>
    <w:rsid w:val="005E7BDE"/>
    <w:rsid w:val="005E7C3D"/>
    <w:rsid w:val="005E7D59"/>
    <w:rsid w:val="005E7EFE"/>
    <w:rsid w:val="005E7F8D"/>
    <w:rsid w:val="005E7F92"/>
    <w:rsid w:val="005F00F0"/>
    <w:rsid w:val="005F024A"/>
    <w:rsid w:val="005F03D4"/>
    <w:rsid w:val="005F0778"/>
    <w:rsid w:val="005F0780"/>
    <w:rsid w:val="005F0921"/>
    <w:rsid w:val="005F09BC"/>
    <w:rsid w:val="005F0E8F"/>
    <w:rsid w:val="005F105D"/>
    <w:rsid w:val="005F1080"/>
    <w:rsid w:val="005F1AA7"/>
    <w:rsid w:val="005F1AE5"/>
    <w:rsid w:val="005F1CBD"/>
    <w:rsid w:val="005F2250"/>
    <w:rsid w:val="005F2460"/>
    <w:rsid w:val="005F26C6"/>
    <w:rsid w:val="005F2BBB"/>
    <w:rsid w:val="005F2C1B"/>
    <w:rsid w:val="005F2D44"/>
    <w:rsid w:val="005F2DF7"/>
    <w:rsid w:val="005F2F7F"/>
    <w:rsid w:val="005F33A4"/>
    <w:rsid w:val="005F33AF"/>
    <w:rsid w:val="005F3640"/>
    <w:rsid w:val="005F36C9"/>
    <w:rsid w:val="005F3829"/>
    <w:rsid w:val="005F3EC4"/>
    <w:rsid w:val="005F3F8D"/>
    <w:rsid w:val="005F4000"/>
    <w:rsid w:val="005F406A"/>
    <w:rsid w:val="005F412F"/>
    <w:rsid w:val="005F419A"/>
    <w:rsid w:val="005F41D3"/>
    <w:rsid w:val="005F4294"/>
    <w:rsid w:val="005F42E6"/>
    <w:rsid w:val="005F43FC"/>
    <w:rsid w:val="005F44AB"/>
    <w:rsid w:val="005F49FD"/>
    <w:rsid w:val="005F4B1F"/>
    <w:rsid w:val="005F4DBD"/>
    <w:rsid w:val="005F4E48"/>
    <w:rsid w:val="005F4E7F"/>
    <w:rsid w:val="005F5A87"/>
    <w:rsid w:val="005F5DC2"/>
    <w:rsid w:val="005F5E4F"/>
    <w:rsid w:val="005F6184"/>
    <w:rsid w:val="005F640D"/>
    <w:rsid w:val="005F65F0"/>
    <w:rsid w:val="005F661B"/>
    <w:rsid w:val="005F68CE"/>
    <w:rsid w:val="005F69EB"/>
    <w:rsid w:val="005F6CC3"/>
    <w:rsid w:val="005F6D72"/>
    <w:rsid w:val="005F6ED1"/>
    <w:rsid w:val="005F7079"/>
    <w:rsid w:val="005F7467"/>
    <w:rsid w:val="005F7F77"/>
    <w:rsid w:val="005F7F8F"/>
    <w:rsid w:val="0060012C"/>
    <w:rsid w:val="006002FD"/>
    <w:rsid w:val="00600705"/>
    <w:rsid w:val="0060080C"/>
    <w:rsid w:val="0060083F"/>
    <w:rsid w:val="00600965"/>
    <w:rsid w:val="00600D89"/>
    <w:rsid w:val="00600DB2"/>
    <w:rsid w:val="00600DC0"/>
    <w:rsid w:val="00600DC2"/>
    <w:rsid w:val="00600FF0"/>
    <w:rsid w:val="006010E7"/>
    <w:rsid w:val="00601384"/>
    <w:rsid w:val="00601511"/>
    <w:rsid w:val="006019E5"/>
    <w:rsid w:val="00601B23"/>
    <w:rsid w:val="00601B6B"/>
    <w:rsid w:val="00601DFA"/>
    <w:rsid w:val="00601EFD"/>
    <w:rsid w:val="006024C4"/>
    <w:rsid w:val="006025F8"/>
    <w:rsid w:val="00602934"/>
    <w:rsid w:val="006029C3"/>
    <w:rsid w:val="00602BA6"/>
    <w:rsid w:val="00602C02"/>
    <w:rsid w:val="00602E30"/>
    <w:rsid w:val="00602FAD"/>
    <w:rsid w:val="00602FF1"/>
    <w:rsid w:val="00602FFB"/>
    <w:rsid w:val="00603272"/>
    <w:rsid w:val="0060345F"/>
    <w:rsid w:val="006034EB"/>
    <w:rsid w:val="00603545"/>
    <w:rsid w:val="006038A1"/>
    <w:rsid w:val="006038D4"/>
    <w:rsid w:val="00603AB4"/>
    <w:rsid w:val="00603AE7"/>
    <w:rsid w:val="00603B46"/>
    <w:rsid w:val="00603CFF"/>
    <w:rsid w:val="00603D57"/>
    <w:rsid w:val="00603F2B"/>
    <w:rsid w:val="00603FDF"/>
    <w:rsid w:val="006042E4"/>
    <w:rsid w:val="00604468"/>
    <w:rsid w:val="00604778"/>
    <w:rsid w:val="0060491B"/>
    <w:rsid w:val="00604A39"/>
    <w:rsid w:val="00604E13"/>
    <w:rsid w:val="00604EBC"/>
    <w:rsid w:val="00604EDB"/>
    <w:rsid w:val="0060520D"/>
    <w:rsid w:val="0060534F"/>
    <w:rsid w:val="006055FF"/>
    <w:rsid w:val="0060593A"/>
    <w:rsid w:val="00605A0B"/>
    <w:rsid w:val="00605A85"/>
    <w:rsid w:val="00605AA9"/>
    <w:rsid w:val="00605AE7"/>
    <w:rsid w:val="00605AE8"/>
    <w:rsid w:val="00605B71"/>
    <w:rsid w:val="00605E47"/>
    <w:rsid w:val="006062CD"/>
    <w:rsid w:val="00606344"/>
    <w:rsid w:val="00606477"/>
    <w:rsid w:val="00606720"/>
    <w:rsid w:val="0060689C"/>
    <w:rsid w:val="00606B2A"/>
    <w:rsid w:val="00606C55"/>
    <w:rsid w:val="00606CF7"/>
    <w:rsid w:val="00606EF9"/>
    <w:rsid w:val="006072ED"/>
    <w:rsid w:val="00607450"/>
    <w:rsid w:val="00607545"/>
    <w:rsid w:val="006075F5"/>
    <w:rsid w:val="00607741"/>
    <w:rsid w:val="006077CC"/>
    <w:rsid w:val="00607911"/>
    <w:rsid w:val="0060793B"/>
    <w:rsid w:val="006100C8"/>
    <w:rsid w:val="00610328"/>
    <w:rsid w:val="006103C0"/>
    <w:rsid w:val="00610B85"/>
    <w:rsid w:val="00610D50"/>
    <w:rsid w:val="00611056"/>
    <w:rsid w:val="00611112"/>
    <w:rsid w:val="006111BE"/>
    <w:rsid w:val="0061121F"/>
    <w:rsid w:val="00611617"/>
    <w:rsid w:val="00611685"/>
    <w:rsid w:val="00611769"/>
    <w:rsid w:val="00611A1E"/>
    <w:rsid w:val="00611A41"/>
    <w:rsid w:val="00611B28"/>
    <w:rsid w:val="00612262"/>
    <w:rsid w:val="00612280"/>
    <w:rsid w:val="006126FA"/>
    <w:rsid w:val="00612ADA"/>
    <w:rsid w:val="00612CBA"/>
    <w:rsid w:val="00612FB5"/>
    <w:rsid w:val="0061341F"/>
    <w:rsid w:val="00613531"/>
    <w:rsid w:val="0061374B"/>
    <w:rsid w:val="00613806"/>
    <w:rsid w:val="00613BAE"/>
    <w:rsid w:val="00613D00"/>
    <w:rsid w:val="00613D3D"/>
    <w:rsid w:val="00613D70"/>
    <w:rsid w:val="00613E31"/>
    <w:rsid w:val="00614119"/>
    <w:rsid w:val="006141D9"/>
    <w:rsid w:val="00614224"/>
    <w:rsid w:val="00614293"/>
    <w:rsid w:val="006143A7"/>
    <w:rsid w:val="006144C5"/>
    <w:rsid w:val="0061480B"/>
    <w:rsid w:val="00614844"/>
    <w:rsid w:val="006148E7"/>
    <w:rsid w:val="00614945"/>
    <w:rsid w:val="00614AB4"/>
    <w:rsid w:val="00614ABA"/>
    <w:rsid w:val="00614AD5"/>
    <w:rsid w:val="00614C9B"/>
    <w:rsid w:val="00614E8F"/>
    <w:rsid w:val="00614F3C"/>
    <w:rsid w:val="00615093"/>
    <w:rsid w:val="00615287"/>
    <w:rsid w:val="0061553B"/>
    <w:rsid w:val="006156D5"/>
    <w:rsid w:val="00615998"/>
    <w:rsid w:val="00615AFD"/>
    <w:rsid w:val="00615CC1"/>
    <w:rsid w:val="00615DFE"/>
    <w:rsid w:val="00615F63"/>
    <w:rsid w:val="00615F67"/>
    <w:rsid w:val="0061602E"/>
    <w:rsid w:val="006160BB"/>
    <w:rsid w:val="006163AE"/>
    <w:rsid w:val="006163D7"/>
    <w:rsid w:val="006168E3"/>
    <w:rsid w:val="00616F28"/>
    <w:rsid w:val="0061736F"/>
    <w:rsid w:val="0061737D"/>
    <w:rsid w:val="006174FE"/>
    <w:rsid w:val="006178DB"/>
    <w:rsid w:val="0061799A"/>
    <w:rsid w:val="00617A04"/>
    <w:rsid w:val="00617DA1"/>
    <w:rsid w:val="00617F29"/>
    <w:rsid w:val="0062001A"/>
    <w:rsid w:val="0062030F"/>
    <w:rsid w:val="0062040D"/>
    <w:rsid w:val="0062070B"/>
    <w:rsid w:val="006208F0"/>
    <w:rsid w:val="00620BEA"/>
    <w:rsid w:val="00620CDF"/>
    <w:rsid w:val="00620E14"/>
    <w:rsid w:val="00620E1C"/>
    <w:rsid w:val="00620FCF"/>
    <w:rsid w:val="006212DA"/>
    <w:rsid w:val="00621482"/>
    <w:rsid w:val="006217EA"/>
    <w:rsid w:val="00621A7B"/>
    <w:rsid w:val="00621A96"/>
    <w:rsid w:val="00621CCA"/>
    <w:rsid w:val="00621EC8"/>
    <w:rsid w:val="00622036"/>
    <w:rsid w:val="006220FC"/>
    <w:rsid w:val="006221E8"/>
    <w:rsid w:val="00622292"/>
    <w:rsid w:val="006227DD"/>
    <w:rsid w:val="0062280D"/>
    <w:rsid w:val="00622A49"/>
    <w:rsid w:val="00622A99"/>
    <w:rsid w:val="00622CA0"/>
    <w:rsid w:val="00623140"/>
    <w:rsid w:val="0062325F"/>
    <w:rsid w:val="00623270"/>
    <w:rsid w:val="00623D04"/>
    <w:rsid w:val="00623D5C"/>
    <w:rsid w:val="0062402B"/>
    <w:rsid w:val="006240B3"/>
    <w:rsid w:val="00624133"/>
    <w:rsid w:val="00624240"/>
    <w:rsid w:val="0062437E"/>
    <w:rsid w:val="006244DD"/>
    <w:rsid w:val="0062492B"/>
    <w:rsid w:val="00624DD0"/>
    <w:rsid w:val="0062508D"/>
    <w:rsid w:val="00625108"/>
    <w:rsid w:val="006251BB"/>
    <w:rsid w:val="006251BF"/>
    <w:rsid w:val="0062531C"/>
    <w:rsid w:val="00625376"/>
    <w:rsid w:val="0062537E"/>
    <w:rsid w:val="00625857"/>
    <w:rsid w:val="00625944"/>
    <w:rsid w:val="00625B6A"/>
    <w:rsid w:val="00625C16"/>
    <w:rsid w:val="00625C96"/>
    <w:rsid w:val="00625D15"/>
    <w:rsid w:val="0062635E"/>
    <w:rsid w:val="006264F2"/>
    <w:rsid w:val="00626786"/>
    <w:rsid w:val="00626852"/>
    <w:rsid w:val="006268DF"/>
    <w:rsid w:val="00626A37"/>
    <w:rsid w:val="00626DDF"/>
    <w:rsid w:val="0062701B"/>
    <w:rsid w:val="006270EE"/>
    <w:rsid w:val="006271F1"/>
    <w:rsid w:val="00627335"/>
    <w:rsid w:val="00627685"/>
    <w:rsid w:val="00627B7F"/>
    <w:rsid w:val="00630072"/>
    <w:rsid w:val="006300E2"/>
    <w:rsid w:val="00630206"/>
    <w:rsid w:val="0063070A"/>
    <w:rsid w:val="00630959"/>
    <w:rsid w:val="00630EA6"/>
    <w:rsid w:val="00631024"/>
    <w:rsid w:val="00631055"/>
    <w:rsid w:val="0063106B"/>
    <w:rsid w:val="0063112F"/>
    <w:rsid w:val="0063119C"/>
    <w:rsid w:val="00631381"/>
    <w:rsid w:val="0063165B"/>
    <w:rsid w:val="0063179B"/>
    <w:rsid w:val="0063181C"/>
    <w:rsid w:val="00631A03"/>
    <w:rsid w:val="00631CEB"/>
    <w:rsid w:val="0063200F"/>
    <w:rsid w:val="0063236A"/>
    <w:rsid w:val="00632BB7"/>
    <w:rsid w:val="00632CAF"/>
    <w:rsid w:val="0063314A"/>
    <w:rsid w:val="0063330A"/>
    <w:rsid w:val="00633462"/>
    <w:rsid w:val="00633545"/>
    <w:rsid w:val="00633753"/>
    <w:rsid w:val="006338DF"/>
    <w:rsid w:val="0063391C"/>
    <w:rsid w:val="00633BAD"/>
    <w:rsid w:val="00633D40"/>
    <w:rsid w:val="00633F20"/>
    <w:rsid w:val="00633FF1"/>
    <w:rsid w:val="0063402E"/>
    <w:rsid w:val="00634454"/>
    <w:rsid w:val="006344A1"/>
    <w:rsid w:val="00634834"/>
    <w:rsid w:val="006349F5"/>
    <w:rsid w:val="00634AAD"/>
    <w:rsid w:val="0063513A"/>
    <w:rsid w:val="00635146"/>
    <w:rsid w:val="006354F9"/>
    <w:rsid w:val="00635592"/>
    <w:rsid w:val="006355BB"/>
    <w:rsid w:val="006355D2"/>
    <w:rsid w:val="00635777"/>
    <w:rsid w:val="00635900"/>
    <w:rsid w:val="00635A65"/>
    <w:rsid w:val="00635AA8"/>
    <w:rsid w:val="00635CA3"/>
    <w:rsid w:val="00635D2E"/>
    <w:rsid w:val="00635E75"/>
    <w:rsid w:val="00635F3F"/>
    <w:rsid w:val="0063635E"/>
    <w:rsid w:val="0063685C"/>
    <w:rsid w:val="006369DC"/>
    <w:rsid w:val="00636D87"/>
    <w:rsid w:val="006370C8"/>
    <w:rsid w:val="0063713A"/>
    <w:rsid w:val="00637280"/>
    <w:rsid w:val="0063742C"/>
    <w:rsid w:val="006374D1"/>
    <w:rsid w:val="0063752F"/>
    <w:rsid w:val="0063753C"/>
    <w:rsid w:val="00637583"/>
    <w:rsid w:val="00637B9C"/>
    <w:rsid w:val="00637EA0"/>
    <w:rsid w:val="0064019D"/>
    <w:rsid w:val="006401AB"/>
    <w:rsid w:val="006401B4"/>
    <w:rsid w:val="006405AE"/>
    <w:rsid w:val="00640681"/>
    <w:rsid w:val="00640972"/>
    <w:rsid w:val="006409DA"/>
    <w:rsid w:val="00640A1D"/>
    <w:rsid w:val="00640DF3"/>
    <w:rsid w:val="00640E56"/>
    <w:rsid w:val="00641088"/>
    <w:rsid w:val="006410F8"/>
    <w:rsid w:val="00641527"/>
    <w:rsid w:val="0064165C"/>
    <w:rsid w:val="006419B0"/>
    <w:rsid w:val="00641A18"/>
    <w:rsid w:val="00641ADC"/>
    <w:rsid w:val="00641D3C"/>
    <w:rsid w:val="00641F37"/>
    <w:rsid w:val="00641F65"/>
    <w:rsid w:val="006421EB"/>
    <w:rsid w:val="00642307"/>
    <w:rsid w:val="006423DB"/>
    <w:rsid w:val="00642682"/>
    <w:rsid w:val="006427A0"/>
    <w:rsid w:val="006429C3"/>
    <w:rsid w:val="00642A9B"/>
    <w:rsid w:val="00642B84"/>
    <w:rsid w:val="00642BA2"/>
    <w:rsid w:val="00642BDE"/>
    <w:rsid w:val="00642BFD"/>
    <w:rsid w:val="00642D30"/>
    <w:rsid w:val="00642E64"/>
    <w:rsid w:val="00642E8A"/>
    <w:rsid w:val="006430FA"/>
    <w:rsid w:val="00643229"/>
    <w:rsid w:val="006432A7"/>
    <w:rsid w:val="00643393"/>
    <w:rsid w:val="0064350E"/>
    <w:rsid w:val="00643767"/>
    <w:rsid w:val="00643A3E"/>
    <w:rsid w:val="00643BEE"/>
    <w:rsid w:val="00643CD1"/>
    <w:rsid w:val="00643D64"/>
    <w:rsid w:val="00643FD4"/>
    <w:rsid w:val="006446D9"/>
    <w:rsid w:val="00644BC5"/>
    <w:rsid w:val="00644E9E"/>
    <w:rsid w:val="00645C0D"/>
    <w:rsid w:val="00645D01"/>
    <w:rsid w:val="00645DA4"/>
    <w:rsid w:val="00645EA7"/>
    <w:rsid w:val="00645EFF"/>
    <w:rsid w:val="00646066"/>
    <w:rsid w:val="00646241"/>
    <w:rsid w:val="006462CF"/>
    <w:rsid w:val="00646330"/>
    <w:rsid w:val="0064646B"/>
    <w:rsid w:val="006464AA"/>
    <w:rsid w:val="0064652E"/>
    <w:rsid w:val="0064660B"/>
    <w:rsid w:val="00646662"/>
    <w:rsid w:val="0064681D"/>
    <w:rsid w:val="00646A1A"/>
    <w:rsid w:val="00646B01"/>
    <w:rsid w:val="00646BC3"/>
    <w:rsid w:val="00646E49"/>
    <w:rsid w:val="00646EDD"/>
    <w:rsid w:val="0064703D"/>
    <w:rsid w:val="00647149"/>
    <w:rsid w:val="00647348"/>
    <w:rsid w:val="006473B6"/>
    <w:rsid w:val="006473BD"/>
    <w:rsid w:val="006473C1"/>
    <w:rsid w:val="006474F1"/>
    <w:rsid w:val="0064752F"/>
    <w:rsid w:val="00647571"/>
    <w:rsid w:val="006479AA"/>
    <w:rsid w:val="00647A70"/>
    <w:rsid w:val="00647AF6"/>
    <w:rsid w:val="00647C5C"/>
    <w:rsid w:val="00647EA5"/>
    <w:rsid w:val="006501A4"/>
    <w:rsid w:val="0065030C"/>
    <w:rsid w:val="0065044D"/>
    <w:rsid w:val="006504C9"/>
    <w:rsid w:val="006508C3"/>
    <w:rsid w:val="00650A48"/>
    <w:rsid w:val="00650C91"/>
    <w:rsid w:val="006514DD"/>
    <w:rsid w:val="00651500"/>
    <w:rsid w:val="00651718"/>
    <w:rsid w:val="006518B5"/>
    <w:rsid w:val="00651D42"/>
    <w:rsid w:val="00651D6A"/>
    <w:rsid w:val="00651EE8"/>
    <w:rsid w:val="00651FE5"/>
    <w:rsid w:val="006522FA"/>
    <w:rsid w:val="006523CB"/>
    <w:rsid w:val="00652647"/>
    <w:rsid w:val="00652796"/>
    <w:rsid w:val="0065295E"/>
    <w:rsid w:val="006529CE"/>
    <w:rsid w:val="00652AFE"/>
    <w:rsid w:val="00652B66"/>
    <w:rsid w:val="00652B8A"/>
    <w:rsid w:val="00652BB4"/>
    <w:rsid w:val="00652E7C"/>
    <w:rsid w:val="0065319D"/>
    <w:rsid w:val="00653419"/>
    <w:rsid w:val="00653655"/>
    <w:rsid w:val="0065372C"/>
    <w:rsid w:val="00653746"/>
    <w:rsid w:val="00653BF0"/>
    <w:rsid w:val="00653FCD"/>
    <w:rsid w:val="00653FE0"/>
    <w:rsid w:val="00654222"/>
    <w:rsid w:val="006547C5"/>
    <w:rsid w:val="00654868"/>
    <w:rsid w:val="006548A9"/>
    <w:rsid w:val="00654BD9"/>
    <w:rsid w:val="00654C48"/>
    <w:rsid w:val="00655124"/>
    <w:rsid w:val="00655140"/>
    <w:rsid w:val="006551DA"/>
    <w:rsid w:val="006554F9"/>
    <w:rsid w:val="006556C6"/>
    <w:rsid w:val="00655716"/>
    <w:rsid w:val="0065579B"/>
    <w:rsid w:val="0065586B"/>
    <w:rsid w:val="00655A72"/>
    <w:rsid w:val="00655B25"/>
    <w:rsid w:val="00655BDB"/>
    <w:rsid w:val="0065603C"/>
    <w:rsid w:val="00656057"/>
    <w:rsid w:val="00656206"/>
    <w:rsid w:val="006563E8"/>
    <w:rsid w:val="006566B1"/>
    <w:rsid w:val="006568E2"/>
    <w:rsid w:val="00656BAC"/>
    <w:rsid w:val="00656CA7"/>
    <w:rsid w:val="00656D98"/>
    <w:rsid w:val="00656E0E"/>
    <w:rsid w:val="00656E96"/>
    <w:rsid w:val="00656F39"/>
    <w:rsid w:val="00656FCC"/>
    <w:rsid w:val="0065708A"/>
    <w:rsid w:val="00657300"/>
    <w:rsid w:val="00657390"/>
    <w:rsid w:val="00657505"/>
    <w:rsid w:val="006577C4"/>
    <w:rsid w:val="0065789F"/>
    <w:rsid w:val="00657B6B"/>
    <w:rsid w:val="00657C1E"/>
    <w:rsid w:val="00657C81"/>
    <w:rsid w:val="00657D05"/>
    <w:rsid w:val="00657D77"/>
    <w:rsid w:val="00657D89"/>
    <w:rsid w:val="00657F70"/>
    <w:rsid w:val="006600DF"/>
    <w:rsid w:val="0066010F"/>
    <w:rsid w:val="006603F4"/>
    <w:rsid w:val="00660732"/>
    <w:rsid w:val="00660741"/>
    <w:rsid w:val="0066075A"/>
    <w:rsid w:val="00660982"/>
    <w:rsid w:val="00660C68"/>
    <w:rsid w:val="00660E0D"/>
    <w:rsid w:val="00660E59"/>
    <w:rsid w:val="0066126B"/>
    <w:rsid w:val="0066137C"/>
    <w:rsid w:val="00661597"/>
    <w:rsid w:val="00661783"/>
    <w:rsid w:val="006617D2"/>
    <w:rsid w:val="00661903"/>
    <w:rsid w:val="006619B8"/>
    <w:rsid w:val="00661A21"/>
    <w:rsid w:val="00661B41"/>
    <w:rsid w:val="00661BEC"/>
    <w:rsid w:val="00661C92"/>
    <w:rsid w:val="00661D1A"/>
    <w:rsid w:val="006626E4"/>
    <w:rsid w:val="00662C33"/>
    <w:rsid w:val="0066303C"/>
    <w:rsid w:val="006631C7"/>
    <w:rsid w:val="00663242"/>
    <w:rsid w:val="00663293"/>
    <w:rsid w:val="006632D7"/>
    <w:rsid w:val="00663302"/>
    <w:rsid w:val="00663341"/>
    <w:rsid w:val="006633B2"/>
    <w:rsid w:val="00663471"/>
    <w:rsid w:val="006634CD"/>
    <w:rsid w:val="0066369C"/>
    <w:rsid w:val="00663791"/>
    <w:rsid w:val="0066379B"/>
    <w:rsid w:val="006639EC"/>
    <w:rsid w:val="00663B10"/>
    <w:rsid w:val="00663DA2"/>
    <w:rsid w:val="00663F59"/>
    <w:rsid w:val="006641DB"/>
    <w:rsid w:val="00664214"/>
    <w:rsid w:val="0066426C"/>
    <w:rsid w:val="006644C7"/>
    <w:rsid w:val="006647F4"/>
    <w:rsid w:val="0066498A"/>
    <w:rsid w:val="00664C4E"/>
    <w:rsid w:val="00664D9A"/>
    <w:rsid w:val="00664DCA"/>
    <w:rsid w:val="00664FF9"/>
    <w:rsid w:val="00665259"/>
    <w:rsid w:val="00665274"/>
    <w:rsid w:val="00665412"/>
    <w:rsid w:val="0066560D"/>
    <w:rsid w:val="0066564C"/>
    <w:rsid w:val="006656D0"/>
    <w:rsid w:val="006658B7"/>
    <w:rsid w:val="0066596B"/>
    <w:rsid w:val="006659C5"/>
    <w:rsid w:val="00665A42"/>
    <w:rsid w:val="00665C72"/>
    <w:rsid w:val="00665E5F"/>
    <w:rsid w:val="00665F49"/>
    <w:rsid w:val="006661B3"/>
    <w:rsid w:val="00666291"/>
    <w:rsid w:val="0066655C"/>
    <w:rsid w:val="0066661B"/>
    <w:rsid w:val="00666C7A"/>
    <w:rsid w:val="00667046"/>
    <w:rsid w:val="00667076"/>
    <w:rsid w:val="006671FC"/>
    <w:rsid w:val="00667303"/>
    <w:rsid w:val="00667382"/>
    <w:rsid w:val="006673B0"/>
    <w:rsid w:val="00667434"/>
    <w:rsid w:val="00667438"/>
    <w:rsid w:val="006674A2"/>
    <w:rsid w:val="00667812"/>
    <w:rsid w:val="006679C0"/>
    <w:rsid w:val="00667B6F"/>
    <w:rsid w:val="00667C9A"/>
    <w:rsid w:val="00667DD4"/>
    <w:rsid w:val="00670213"/>
    <w:rsid w:val="0067035E"/>
    <w:rsid w:val="006703F3"/>
    <w:rsid w:val="006705F1"/>
    <w:rsid w:val="006707F2"/>
    <w:rsid w:val="00670B28"/>
    <w:rsid w:val="00670CD1"/>
    <w:rsid w:val="00671040"/>
    <w:rsid w:val="00671123"/>
    <w:rsid w:val="00671131"/>
    <w:rsid w:val="00671224"/>
    <w:rsid w:val="006712FE"/>
    <w:rsid w:val="006714A4"/>
    <w:rsid w:val="006716EE"/>
    <w:rsid w:val="00671DC8"/>
    <w:rsid w:val="00671F5C"/>
    <w:rsid w:val="00672218"/>
    <w:rsid w:val="006725F7"/>
    <w:rsid w:val="00672669"/>
    <w:rsid w:val="00672865"/>
    <w:rsid w:val="006729A8"/>
    <w:rsid w:val="00672A91"/>
    <w:rsid w:val="00672AAB"/>
    <w:rsid w:val="00672AF7"/>
    <w:rsid w:val="00672C61"/>
    <w:rsid w:val="006730DD"/>
    <w:rsid w:val="006731BC"/>
    <w:rsid w:val="00673322"/>
    <w:rsid w:val="006738FD"/>
    <w:rsid w:val="00673C4E"/>
    <w:rsid w:val="00673D8E"/>
    <w:rsid w:val="00673DE4"/>
    <w:rsid w:val="00674295"/>
    <w:rsid w:val="006744BB"/>
    <w:rsid w:val="006745C1"/>
    <w:rsid w:val="006747D7"/>
    <w:rsid w:val="006749DB"/>
    <w:rsid w:val="00674C8F"/>
    <w:rsid w:val="00674D12"/>
    <w:rsid w:val="00675107"/>
    <w:rsid w:val="006752DF"/>
    <w:rsid w:val="006754D1"/>
    <w:rsid w:val="0067561F"/>
    <w:rsid w:val="00675A65"/>
    <w:rsid w:val="00675B09"/>
    <w:rsid w:val="00675B61"/>
    <w:rsid w:val="006760E4"/>
    <w:rsid w:val="0067612C"/>
    <w:rsid w:val="006762A9"/>
    <w:rsid w:val="00676706"/>
    <w:rsid w:val="00676A2D"/>
    <w:rsid w:val="00676E03"/>
    <w:rsid w:val="00676FC7"/>
    <w:rsid w:val="00677556"/>
    <w:rsid w:val="006775B1"/>
    <w:rsid w:val="006775D0"/>
    <w:rsid w:val="00677A33"/>
    <w:rsid w:val="00677B66"/>
    <w:rsid w:val="00677BEA"/>
    <w:rsid w:val="00677BF0"/>
    <w:rsid w:val="00677D03"/>
    <w:rsid w:val="00680341"/>
    <w:rsid w:val="00680654"/>
    <w:rsid w:val="006806B3"/>
    <w:rsid w:val="00680877"/>
    <w:rsid w:val="00680F20"/>
    <w:rsid w:val="00681809"/>
    <w:rsid w:val="006818CB"/>
    <w:rsid w:val="00681B4E"/>
    <w:rsid w:val="00681D41"/>
    <w:rsid w:val="00681D4D"/>
    <w:rsid w:val="00681D7C"/>
    <w:rsid w:val="00681E00"/>
    <w:rsid w:val="00681E20"/>
    <w:rsid w:val="00681F30"/>
    <w:rsid w:val="00681FED"/>
    <w:rsid w:val="006825B7"/>
    <w:rsid w:val="00682687"/>
    <w:rsid w:val="00682869"/>
    <w:rsid w:val="006828CA"/>
    <w:rsid w:val="00682993"/>
    <w:rsid w:val="006829E3"/>
    <w:rsid w:val="00682B8E"/>
    <w:rsid w:val="00682BE4"/>
    <w:rsid w:val="00682C0D"/>
    <w:rsid w:val="00682E23"/>
    <w:rsid w:val="00682EE2"/>
    <w:rsid w:val="0068301C"/>
    <w:rsid w:val="0068322B"/>
    <w:rsid w:val="00683426"/>
    <w:rsid w:val="006837EB"/>
    <w:rsid w:val="0068396D"/>
    <w:rsid w:val="006839A4"/>
    <w:rsid w:val="00683CA9"/>
    <w:rsid w:val="00683DCB"/>
    <w:rsid w:val="00683FC5"/>
    <w:rsid w:val="006843A0"/>
    <w:rsid w:val="0068456C"/>
    <w:rsid w:val="006845F4"/>
    <w:rsid w:val="00684AF5"/>
    <w:rsid w:val="00684E86"/>
    <w:rsid w:val="00684E87"/>
    <w:rsid w:val="00685084"/>
    <w:rsid w:val="0068516C"/>
    <w:rsid w:val="00685706"/>
    <w:rsid w:val="00685917"/>
    <w:rsid w:val="00685918"/>
    <w:rsid w:val="00685D85"/>
    <w:rsid w:val="00685DF6"/>
    <w:rsid w:val="00686024"/>
    <w:rsid w:val="00686128"/>
    <w:rsid w:val="00686412"/>
    <w:rsid w:val="0068642C"/>
    <w:rsid w:val="00686890"/>
    <w:rsid w:val="00686C48"/>
    <w:rsid w:val="00686F2F"/>
    <w:rsid w:val="00687452"/>
    <w:rsid w:val="00687829"/>
    <w:rsid w:val="006879AF"/>
    <w:rsid w:val="00687B84"/>
    <w:rsid w:val="00687C06"/>
    <w:rsid w:val="00687CF3"/>
    <w:rsid w:val="00687D79"/>
    <w:rsid w:val="00687E2B"/>
    <w:rsid w:val="00687E42"/>
    <w:rsid w:val="00687EA7"/>
    <w:rsid w:val="00687FBB"/>
    <w:rsid w:val="00690402"/>
    <w:rsid w:val="0069059D"/>
    <w:rsid w:val="0069064C"/>
    <w:rsid w:val="00690881"/>
    <w:rsid w:val="00690954"/>
    <w:rsid w:val="00690C65"/>
    <w:rsid w:val="00690CBC"/>
    <w:rsid w:val="00690D76"/>
    <w:rsid w:val="00690FBC"/>
    <w:rsid w:val="00691316"/>
    <w:rsid w:val="0069132E"/>
    <w:rsid w:val="0069182D"/>
    <w:rsid w:val="0069193D"/>
    <w:rsid w:val="00691A3C"/>
    <w:rsid w:val="00691BD8"/>
    <w:rsid w:val="00691CDB"/>
    <w:rsid w:val="00691D0A"/>
    <w:rsid w:val="006921D5"/>
    <w:rsid w:val="0069240E"/>
    <w:rsid w:val="00692684"/>
    <w:rsid w:val="006926D1"/>
    <w:rsid w:val="006927F0"/>
    <w:rsid w:val="006928B8"/>
    <w:rsid w:val="0069291A"/>
    <w:rsid w:val="00692A73"/>
    <w:rsid w:val="00692DC6"/>
    <w:rsid w:val="00692E89"/>
    <w:rsid w:val="00693263"/>
    <w:rsid w:val="00693281"/>
    <w:rsid w:val="0069347E"/>
    <w:rsid w:val="0069352B"/>
    <w:rsid w:val="00693910"/>
    <w:rsid w:val="00693A6F"/>
    <w:rsid w:val="00693E8D"/>
    <w:rsid w:val="00694117"/>
    <w:rsid w:val="006941DA"/>
    <w:rsid w:val="00694340"/>
    <w:rsid w:val="00694670"/>
    <w:rsid w:val="006948B8"/>
    <w:rsid w:val="00694AFF"/>
    <w:rsid w:val="00694C30"/>
    <w:rsid w:val="006950AF"/>
    <w:rsid w:val="00695166"/>
    <w:rsid w:val="006951F5"/>
    <w:rsid w:val="00695EC9"/>
    <w:rsid w:val="00695F3B"/>
    <w:rsid w:val="00695F3F"/>
    <w:rsid w:val="00695FA5"/>
    <w:rsid w:val="006960D9"/>
    <w:rsid w:val="006963CC"/>
    <w:rsid w:val="00696422"/>
    <w:rsid w:val="0069687F"/>
    <w:rsid w:val="00696C89"/>
    <w:rsid w:val="00696D19"/>
    <w:rsid w:val="00696D4E"/>
    <w:rsid w:val="0069703E"/>
    <w:rsid w:val="0069708D"/>
    <w:rsid w:val="00697135"/>
    <w:rsid w:val="00697387"/>
    <w:rsid w:val="0069756A"/>
    <w:rsid w:val="006976C1"/>
    <w:rsid w:val="006979C9"/>
    <w:rsid w:val="00697B96"/>
    <w:rsid w:val="00697C6B"/>
    <w:rsid w:val="00697D1C"/>
    <w:rsid w:val="00697E38"/>
    <w:rsid w:val="00697ECD"/>
    <w:rsid w:val="00697FF3"/>
    <w:rsid w:val="006A024A"/>
    <w:rsid w:val="006A05DC"/>
    <w:rsid w:val="006A05FD"/>
    <w:rsid w:val="006A0738"/>
    <w:rsid w:val="006A07C3"/>
    <w:rsid w:val="006A0814"/>
    <w:rsid w:val="006A087D"/>
    <w:rsid w:val="006A0A2E"/>
    <w:rsid w:val="006A0BE6"/>
    <w:rsid w:val="006A0DE1"/>
    <w:rsid w:val="006A123B"/>
    <w:rsid w:val="006A14C0"/>
    <w:rsid w:val="006A1522"/>
    <w:rsid w:val="006A15C8"/>
    <w:rsid w:val="006A17F6"/>
    <w:rsid w:val="006A1F0E"/>
    <w:rsid w:val="006A1F9B"/>
    <w:rsid w:val="006A24F6"/>
    <w:rsid w:val="006A2555"/>
    <w:rsid w:val="006A294A"/>
    <w:rsid w:val="006A2B44"/>
    <w:rsid w:val="006A2D21"/>
    <w:rsid w:val="006A2D71"/>
    <w:rsid w:val="006A315F"/>
    <w:rsid w:val="006A3166"/>
    <w:rsid w:val="006A323D"/>
    <w:rsid w:val="006A326E"/>
    <w:rsid w:val="006A339F"/>
    <w:rsid w:val="006A35B2"/>
    <w:rsid w:val="006A3639"/>
    <w:rsid w:val="006A398B"/>
    <w:rsid w:val="006A3E62"/>
    <w:rsid w:val="006A454C"/>
    <w:rsid w:val="006A46AC"/>
    <w:rsid w:val="006A46C3"/>
    <w:rsid w:val="006A49B9"/>
    <w:rsid w:val="006A4BDE"/>
    <w:rsid w:val="006A4C3A"/>
    <w:rsid w:val="006A4D4A"/>
    <w:rsid w:val="006A4DF5"/>
    <w:rsid w:val="006A503A"/>
    <w:rsid w:val="006A5187"/>
    <w:rsid w:val="006A5345"/>
    <w:rsid w:val="006A5874"/>
    <w:rsid w:val="006A5A44"/>
    <w:rsid w:val="006A5C60"/>
    <w:rsid w:val="006A5D98"/>
    <w:rsid w:val="006A5EA2"/>
    <w:rsid w:val="006A5ED0"/>
    <w:rsid w:val="006A638B"/>
    <w:rsid w:val="006A64FB"/>
    <w:rsid w:val="006A658E"/>
    <w:rsid w:val="006A68C0"/>
    <w:rsid w:val="006A6C5B"/>
    <w:rsid w:val="006A6D02"/>
    <w:rsid w:val="006A6EB2"/>
    <w:rsid w:val="006A707C"/>
    <w:rsid w:val="006A7277"/>
    <w:rsid w:val="006A74FE"/>
    <w:rsid w:val="006A758A"/>
    <w:rsid w:val="006A7601"/>
    <w:rsid w:val="006A792F"/>
    <w:rsid w:val="006A7C40"/>
    <w:rsid w:val="006A7D6C"/>
    <w:rsid w:val="006A7E31"/>
    <w:rsid w:val="006A7FC5"/>
    <w:rsid w:val="006B02CD"/>
    <w:rsid w:val="006B02D6"/>
    <w:rsid w:val="006B0669"/>
    <w:rsid w:val="006B097C"/>
    <w:rsid w:val="006B0ADC"/>
    <w:rsid w:val="006B0B71"/>
    <w:rsid w:val="006B0C60"/>
    <w:rsid w:val="006B0ED6"/>
    <w:rsid w:val="006B0FA0"/>
    <w:rsid w:val="006B0FE7"/>
    <w:rsid w:val="006B1257"/>
    <w:rsid w:val="006B1494"/>
    <w:rsid w:val="006B15B2"/>
    <w:rsid w:val="006B16D2"/>
    <w:rsid w:val="006B17FB"/>
    <w:rsid w:val="006B1A41"/>
    <w:rsid w:val="006B1D79"/>
    <w:rsid w:val="006B22A8"/>
    <w:rsid w:val="006B245C"/>
    <w:rsid w:val="006B2628"/>
    <w:rsid w:val="006B274D"/>
    <w:rsid w:val="006B2936"/>
    <w:rsid w:val="006B2C12"/>
    <w:rsid w:val="006B2C23"/>
    <w:rsid w:val="006B2D46"/>
    <w:rsid w:val="006B2EFB"/>
    <w:rsid w:val="006B2F23"/>
    <w:rsid w:val="006B2F29"/>
    <w:rsid w:val="006B3019"/>
    <w:rsid w:val="006B30A3"/>
    <w:rsid w:val="006B3133"/>
    <w:rsid w:val="006B319E"/>
    <w:rsid w:val="006B32FD"/>
    <w:rsid w:val="006B3627"/>
    <w:rsid w:val="006B3821"/>
    <w:rsid w:val="006B3D21"/>
    <w:rsid w:val="006B4011"/>
    <w:rsid w:val="006B45B4"/>
    <w:rsid w:val="006B463E"/>
    <w:rsid w:val="006B49FD"/>
    <w:rsid w:val="006B4A5A"/>
    <w:rsid w:val="006B4DD0"/>
    <w:rsid w:val="006B4F28"/>
    <w:rsid w:val="006B5114"/>
    <w:rsid w:val="006B53D8"/>
    <w:rsid w:val="006B5541"/>
    <w:rsid w:val="006B5830"/>
    <w:rsid w:val="006B5A09"/>
    <w:rsid w:val="006B5B59"/>
    <w:rsid w:val="006B5BF3"/>
    <w:rsid w:val="006B5C39"/>
    <w:rsid w:val="006B5C9B"/>
    <w:rsid w:val="006B5E29"/>
    <w:rsid w:val="006B5EB9"/>
    <w:rsid w:val="006B5F94"/>
    <w:rsid w:val="006B5FDD"/>
    <w:rsid w:val="006B631C"/>
    <w:rsid w:val="006B6332"/>
    <w:rsid w:val="006B635B"/>
    <w:rsid w:val="006B64F0"/>
    <w:rsid w:val="006B6879"/>
    <w:rsid w:val="006B69C8"/>
    <w:rsid w:val="006B6AC2"/>
    <w:rsid w:val="006B70A2"/>
    <w:rsid w:val="006B70EE"/>
    <w:rsid w:val="006B70F9"/>
    <w:rsid w:val="006B721D"/>
    <w:rsid w:val="006B75C8"/>
    <w:rsid w:val="006B76F3"/>
    <w:rsid w:val="006B7848"/>
    <w:rsid w:val="006B79CB"/>
    <w:rsid w:val="006B7F10"/>
    <w:rsid w:val="006C00A5"/>
    <w:rsid w:val="006C05B4"/>
    <w:rsid w:val="006C073E"/>
    <w:rsid w:val="006C088B"/>
    <w:rsid w:val="006C097F"/>
    <w:rsid w:val="006C0A98"/>
    <w:rsid w:val="006C0AC7"/>
    <w:rsid w:val="006C0C68"/>
    <w:rsid w:val="006C0DAB"/>
    <w:rsid w:val="006C0E3F"/>
    <w:rsid w:val="006C0F39"/>
    <w:rsid w:val="006C1071"/>
    <w:rsid w:val="006C10CA"/>
    <w:rsid w:val="006C1191"/>
    <w:rsid w:val="006C158F"/>
    <w:rsid w:val="006C163E"/>
    <w:rsid w:val="006C1690"/>
    <w:rsid w:val="006C16D7"/>
    <w:rsid w:val="006C1837"/>
    <w:rsid w:val="006C1D50"/>
    <w:rsid w:val="006C1FC6"/>
    <w:rsid w:val="006C20D8"/>
    <w:rsid w:val="006C220D"/>
    <w:rsid w:val="006C22E0"/>
    <w:rsid w:val="006C233F"/>
    <w:rsid w:val="006C236C"/>
    <w:rsid w:val="006C23E0"/>
    <w:rsid w:val="006C2509"/>
    <w:rsid w:val="006C2513"/>
    <w:rsid w:val="006C263D"/>
    <w:rsid w:val="006C26EE"/>
    <w:rsid w:val="006C281F"/>
    <w:rsid w:val="006C2CBB"/>
    <w:rsid w:val="006C32AE"/>
    <w:rsid w:val="006C34A9"/>
    <w:rsid w:val="006C34EC"/>
    <w:rsid w:val="006C356E"/>
    <w:rsid w:val="006C39F6"/>
    <w:rsid w:val="006C3BAE"/>
    <w:rsid w:val="006C3D35"/>
    <w:rsid w:val="006C3D47"/>
    <w:rsid w:val="006C3DC7"/>
    <w:rsid w:val="006C3EF1"/>
    <w:rsid w:val="006C4A38"/>
    <w:rsid w:val="006C4BC4"/>
    <w:rsid w:val="006C4CF0"/>
    <w:rsid w:val="006C4E92"/>
    <w:rsid w:val="006C4FAA"/>
    <w:rsid w:val="006C520C"/>
    <w:rsid w:val="006C53F7"/>
    <w:rsid w:val="006C576F"/>
    <w:rsid w:val="006C591C"/>
    <w:rsid w:val="006C5993"/>
    <w:rsid w:val="006C5A89"/>
    <w:rsid w:val="006C5B56"/>
    <w:rsid w:val="006C5FD6"/>
    <w:rsid w:val="006C61AD"/>
    <w:rsid w:val="006C628A"/>
    <w:rsid w:val="006C6317"/>
    <w:rsid w:val="006C649E"/>
    <w:rsid w:val="006C64BE"/>
    <w:rsid w:val="006C6512"/>
    <w:rsid w:val="006C6578"/>
    <w:rsid w:val="006C6679"/>
    <w:rsid w:val="006C67E0"/>
    <w:rsid w:val="006C6856"/>
    <w:rsid w:val="006C6A44"/>
    <w:rsid w:val="006C6A6D"/>
    <w:rsid w:val="006C6D62"/>
    <w:rsid w:val="006C6F75"/>
    <w:rsid w:val="006C70EC"/>
    <w:rsid w:val="006C718A"/>
    <w:rsid w:val="006C7365"/>
    <w:rsid w:val="006C7549"/>
    <w:rsid w:val="006C7619"/>
    <w:rsid w:val="006C7841"/>
    <w:rsid w:val="006C7B34"/>
    <w:rsid w:val="006C7C2B"/>
    <w:rsid w:val="006C7CB4"/>
    <w:rsid w:val="006D0057"/>
    <w:rsid w:val="006D02E2"/>
    <w:rsid w:val="006D03A9"/>
    <w:rsid w:val="006D0440"/>
    <w:rsid w:val="006D0663"/>
    <w:rsid w:val="006D0A9D"/>
    <w:rsid w:val="006D0C6A"/>
    <w:rsid w:val="006D0F9F"/>
    <w:rsid w:val="006D132F"/>
    <w:rsid w:val="006D143B"/>
    <w:rsid w:val="006D1543"/>
    <w:rsid w:val="006D1695"/>
    <w:rsid w:val="006D190E"/>
    <w:rsid w:val="006D19EF"/>
    <w:rsid w:val="006D1C1A"/>
    <w:rsid w:val="006D1EE2"/>
    <w:rsid w:val="006D2272"/>
    <w:rsid w:val="006D232D"/>
    <w:rsid w:val="006D2608"/>
    <w:rsid w:val="006D28A8"/>
    <w:rsid w:val="006D2F44"/>
    <w:rsid w:val="006D30F0"/>
    <w:rsid w:val="006D3807"/>
    <w:rsid w:val="006D39B9"/>
    <w:rsid w:val="006D3B50"/>
    <w:rsid w:val="006D3D14"/>
    <w:rsid w:val="006D40E3"/>
    <w:rsid w:val="006D41B2"/>
    <w:rsid w:val="006D4232"/>
    <w:rsid w:val="006D4432"/>
    <w:rsid w:val="006D4612"/>
    <w:rsid w:val="006D4692"/>
    <w:rsid w:val="006D46FA"/>
    <w:rsid w:val="006D4712"/>
    <w:rsid w:val="006D479D"/>
    <w:rsid w:val="006D4885"/>
    <w:rsid w:val="006D4A42"/>
    <w:rsid w:val="006D4B83"/>
    <w:rsid w:val="006D4C04"/>
    <w:rsid w:val="006D4CDA"/>
    <w:rsid w:val="006D4EF1"/>
    <w:rsid w:val="006D5014"/>
    <w:rsid w:val="006D5200"/>
    <w:rsid w:val="006D5253"/>
    <w:rsid w:val="006D5481"/>
    <w:rsid w:val="006D5646"/>
    <w:rsid w:val="006D564A"/>
    <w:rsid w:val="006D56E7"/>
    <w:rsid w:val="006D5939"/>
    <w:rsid w:val="006D5A7C"/>
    <w:rsid w:val="006D5B3F"/>
    <w:rsid w:val="006D5B4A"/>
    <w:rsid w:val="006D5E9E"/>
    <w:rsid w:val="006D5ECF"/>
    <w:rsid w:val="006D6014"/>
    <w:rsid w:val="006D640A"/>
    <w:rsid w:val="006D645E"/>
    <w:rsid w:val="006D656C"/>
    <w:rsid w:val="006D65D4"/>
    <w:rsid w:val="006D6635"/>
    <w:rsid w:val="006D66B9"/>
    <w:rsid w:val="006D674B"/>
    <w:rsid w:val="006D676D"/>
    <w:rsid w:val="006D67D3"/>
    <w:rsid w:val="006D67D4"/>
    <w:rsid w:val="006D680A"/>
    <w:rsid w:val="006D68F5"/>
    <w:rsid w:val="006D692D"/>
    <w:rsid w:val="006D6A01"/>
    <w:rsid w:val="006D6B33"/>
    <w:rsid w:val="006D6D06"/>
    <w:rsid w:val="006D6D30"/>
    <w:rsid w:val="006D71B4"/>
    <w:rsid w:val="006D74E3"/>
    <w:rsid w:val="006D7524"/>
    <w:rsid w:val="006D75C9"/>
    <w:rsid w:val="006D75CE"/>
    <w:rsid w:val="006D7785"/>
    <w:rsid w:val="006D7968"/>
    <w:rsid w:val="006D797F"/>
    <w:rsid w:val="006E0006"/>
    <w:rsid w:val="006E0103"/>
    <w:rsid w:val="006E017B"/>
    <w:rsid w:val="006E024C"/>
    <w:rsid w:val="006E027B"/>
    <w:rsid w:val="006E044E"/>
    <w:rsid w:val="006E0608"/>
    <w:rsid w:val="006E0896"/>
    <w:rsid w:val="006E101A"/>
    <w:rsid w:val="006E105E"/>
    <w:rsid w:val="006E112C"/>
    <w:rsid w:val="006E128D"/>
    <w:rsid w:val="006E14B4"/>
    <w:rsid w:val="006E15E5"/>
    <w:rsid w:val="006E1C3D"/>
    <w:rsid w:val="006E1D94"/>
    <w:rsid w:val="006E2321"/>
    <w:rsid w:val="006E239B"/>
    <w:rsid w:val="006E251D"/>
    <w:rsid w:val="006E25A0"/>
    <w:rsid w:val="006E28C2"/>
    <w:rsid w:val="006E2BA2"/>
    <w:rsid w:val="006E2C3E"/>
    <w:rsid w:val="006E2C64"/>
    <w:rsid w:val="006E2EAA"/>
    <w:rsid w:val="006E2EB7"/>
    <w:rsid w:val="006E2ED4"/>
    <w:rsid w:val="006E32DF"/>
    <w:rsid w:val="006E3489"/>
    <w:rsid w:val="006E395B"/>
    <w:rsid w:val="006E39A6"/>
    <w:rsid w:val="006E39B6"/>
    <w:rsid w:val="006E3B02"/>
    <w:rsid w:val="006E3F5A"/>
    <w:rsid w:val="006E3FA1"/>
    <w:rsid w:val="006E4018"/>
    <w:rsid w:val="006E426F"/>
    <w:rsid w:val="006E44A8"/>
    <w:rsid w:val="006E4640"/>
    <w:rsid w:val="006E4785"/>
    <w:rsid w:val="006E495F"/>
    <w:rsid w:val="006E4B3C"/>
    <w:rsid w:val="006E4C5B"/>
    <w:rsid w:val="006E4E55"/>
    <w:rsid w:val="006E4F64"/>
    <w:rsid w:val="006E50B3"/>
    <w:rsid w:val="006E515E"/>
    <w:rsid w:val="006E53F1"/>
    <w:rsid w:val="006E548A"/>
    <w:rsid w:val="006E55C8"/>
    <w:rsid w:val="006E5B94"/>
    <w:rsid w:val="006E5D57"/>
    <w:rsid w:val="006E5D9D"/>
    <w:rsid w:val="006E5E5F"/>
    <w:rsid w:val="006E636C"/>
    <w:rsid w:val="006E6620"/>
    <w:rsid w:val="006E6816"/>
    <w:rsid w:val="006E681C"/>
    <w:rsid w:val="006E6ADF"/>
    <w:rsid w:val="006E6E17"/>
    <w:rsid w:val="006E6E59"/>
    <w:rsid w:val="006E6E5B"/>
    <w:rsid w:val="006E6F21"/>
    <w:rsid w:val="006E7268"/>
    <w:rsid w:val="006E73D0"/>
    <w:rsid w:val="006E7462"/>
    <w:rsid w:val="006E790A"/>
    <w:rsid w:val="006E7B07"/>
    <w:rsid w:val="006E7CCA"/>
    <w:rsid w:val="006E7E08"/>
    <w:rsid w:val="006F028F"/>
    <w:rsid w:val="006F03DF"/>
    <w:rsid w:val="006F056B"/>
    <w:rsid w:val="006F05A2"/>
    <w:rsid w:val="006F05C4"/>
    <w:rsid w:val="006F07AF"/>
    <w:rsid w:val="006F081C"/>
    <w:rsid w:val="006F0BCF"/>
    <w:rsid w:val="006F0C99"/>
    <w:rsid w:val="006F0C9E"/>
    <w:rsid w:val="006F0F4B"/>
    <w:rsid w:val="006F1157"/>
    <w:rsid w:val="006F116E"/>
    <w:rsid w:val="006F133C"/>
    <w:rsid w:val="006F143B"/>
    <w:rsid w:val="006F14AE"/>
    <w:rsid w:val="006F1758"/>
    <w:rsid w:val="006F19A8"/>
    <w:rsid w:val="006F1AAE"/>
    <w:rsid w:val="006F1AF4"/>
    <w:rsid w:val="006F24B8"/>
    <w:rsid w:val="006F261F"/>
    <w:rsid w:val="006F28E2"/>
    <w:rsid w:val="006F2D51"/>
    <w:rsid w:val="006F32C9"/>
    <w:rsid w:val="006F3394"/>
    <w:rsid w:val="006F347A"/>
    <w:rsid w:val="006F36F5"/>
    <w:rsid w:val="006F392E"/>
    <w:rsid w:val="006F3BBB"/>
    <w:rsid w:val="006F3E4F"/>
    <w:rsid w:val="006F3EAE"/>
    <w:rsid w:val="006F417C"/>
    <w:rsid w:val="006F4356"/>
    <w:rsid w:val="006F436C"/>
    <w:rsid w:val="006F4449"/>
    <w:rsid w:val="006F47D9"/>
    <w:rsid w:val="006F4B30"/>
    <w:rsid w:val="006F4B9E"/>
    <w:rsid w:val="006F4F39"/>
    <w:rsid w:val="006F4FDE"/>
    <w:rsid w:val="006F50CE"/>
    <w:rsid w:val="006F517A"/>
    <w:rsid w:val="006F51E5"/>
    <w:rsid w:val="006F52DD"/>
    <w:rsid w:val="006F533F"/>
    <w:rsid w:val="006F5404"/>
    <w:rsid w:val="006F55B7"/>
    <w:rsid w:val="006F55D5"/>
    <w:rsid w:val="006F5657"/>
    <w:rsid w:val="006F5753"/>
    <w:rsid w:val="006F5762"/>
    <w:rsid w:val="006F581C"/>
    <w:rsid w:val="006F58C6"/>
    <w:rsid w:val="006F5DD5"/>
    <w:rsid w:val="006F5EA6"/>
    <w:rsid w:val="006F611E"/>
    <w:rsid w:val="006F64F9"/>
    <w:rsid w:val="006F6678"/>
    <w:rsid w:val="006F68E5"/>
    <w:rsid w:val="006F6A71"/>
    <w:rsid w:val="006F6CC3"/>
    <w:rsid w:val="006F6FCD"/>
    <w:rsid w:val="006F7038"/>
    <w:rsid w:val="006F71B4"/>
    <w:rsid w:val="006F71F6"/>
    <w:rsid w:val="006F731F"/>
    <w:rsid w:val="006F7329"/>
    <w:rsid w:val="006F741B"/>
    <w:rsid w:val="006F7465"/>
    <w:rsid w:val="006F76F3"/>
    <w:rsid w:val="006F79B3"/>
    <w:rsid w:val="006F7B52"/>
    <w:rsid w:val="006F7BFC"/>
    <w:rsid w:val="006F7D0C"/>
    <w:rsid w:val="007002DD"/>
    <w:rsid w:val="00700761"/>
    <w:rsid w:val="00700BBF"/>
    <w:rsid w:val="00700C7F"/>
    <w:rsid w:val="00700EB6"/>
    <w:rsid w:val="00701129"/>
    <w:rsid w:val="007011A2"/>
    <w:rsid w:val="007014B1"/>
    <w:rsid w:val="00701625"/>
    <w:rsid w:val="00701759"/>
    <w:rsid w:val="00701B8E"/>
    <w:rsid w:val="00701C43"/>
    <w:rsid w:val="0070201F"/>
    <w:rsid w:val="00702510"/>
    <w:rsid w:val="0070255E"/>
    <w:rsid w:val="007029AE"/>
    <w:rsid w:val="00702A7D"/>
    <w:rsid w:val="00702B72"/>
    <w:rsid w:val="00702F59"/>
    <w:rsid w:val="00703076"/>
    <w:rsid w:val="007030BD"/>
    <w:rsid w:val="00703239"/>
    <w:rsid w:val="00703399"/>
    <w:rsid w:val="00703703"/>
    <w:rsid w:val="00703808"/>
    <w:rsid w:val="00703986"/>
    <w:rsid w:val="00703987"/>
    <w:rsid w:val="00703A99"/>
    <w:rsid w:val="007042A6"/>
    <w:rsid w:val="00704697"/>
    <w:rsid w:val="007049F8"/>
    <w:rsid w:val="00705184"/>
    <w:rsid w:val="00705229"/>
    <w:rsid w:val="0070530F"/>
    <w:rsid w:val="00705348"/>
    <w:rsid w:val="00705692"/>
    <w:rsid w:val="00705BC2"/>
    <w:rsid w:val="00705FEB"/>
    <w:rsid w:val="0070601D"/>
    <w:rsid w:val="0070628E"/>
    <w:rsid w:val="00706583"/>
    <w:rsid w:val="00706678"/>
    <w:rsid w:val="0070693E"/>
    <w:rsid w:val="007069BC"/>
    <w:rsid w:val="00706B22"/>
    <w:rsid w:val="00706CF9"/>
    <w:rsid w:val="00706D31"/>
    <w:rsid w:val="00706EEB"/>
    <w:rsid w:val="00706EF2"/>
    <w:rsid w:val="00707019"/>
    <w:rsid w:val="00707042"/>
    <w:rsid w:val="007071CA"/>
    <w:rsid w:val="0070723B"/>
    <w:rsid w:val="0070767A"/>
    <w:rsid w:val="0070789F"/>
    <w:rsid w:val="00707E9A"/>
    <w:rsid w:val="007100A5"/>
    <w:rsid w:val="007100F8"/>
    <w:rsid w:val="0071014A"/>
    <w:rsid w:val="007101D9"/>
    <w:rsid w:val="00710257"/>
    <w:rsid w:val="00710289"/>
    <w:rsid w:val="00710327"/>
    <w:rsid w:val="0071032A"/>
    <w:rsid w:val="00710451"/>
    <w:rsid w:val="0071085D"/>
    <w:rsid w:val="00710897"/>
    <w:rsid w:val="00710B1E"/>
    <w:rsid w:val="00710C25"/>
    <w:rsid w:val="00710CC1"/>
    <w:rsid w:val="00710F6E"/>
    <w:rsid w:val="00711126"/>
    <w:rsid w:val="007115D7"/>
    <w:rsid w:val="007119E9"/>
    <w:rsid w:val="00711BDB"/>
    <w:rsid w:val="00711C35"/>
    <w:rsid w:val="00711C38"/>
    <w:rsid w:val="00711CF2"/>
    <w:rsid w:val="00711DCC"/>
    <w:rsid w:val="00711E59"/>
    <w:rsid w:val="00711E63"/>
    <w:rsid w:val="00712083"/>
    <w:rsid w:val="00712734"/>
    <w:rsid w:val="00712A8C"/>
    <w:rsid w:val="00712ACF"/>
    <w:rsid w:val="00712BC1"/>
    <w:rsid w:val="00712C66"/>
    <w:rsid w:val="00713011"/>
    <w:rsid w:val="0071311E"/>
    <w:rsid w:val="00713160"/>
    <w:rsid w:val="00713289"/>
    <w:rsid w:val="00713B13"/>
    <w:rsid w:val="00713E5B"/>
    <w:rsid w:val="00714192"/>
    <w:rsid w:val="007141BA"/>
    <w:rsid w:val="007142AF"/>
    <w:rsid w:val="00714415"/>
    <w:rsid w:val="007144AF"/>
    <w:rsid w:val="007144E1"/>
    <w:rsid w:val="007145D0"/>
    <w:rsid w:val="00714832"/>
    <w:rsid w:val="007148DA"/>
    <w:rsid w:val="00714CF9"/>
    <w:rsid w:val="00714D0F"/>
    <w:rsid w:val="00714EC6"/>
    <w:rsid w:val="0071507B"/>
    <w:rsid w:val="007151DF"/>
    <w:rsid w:val="00715378"/>
    <w:rsid w:val="00715533"/>
    <w:rsid w:val="0071589A"/>
    <w:rsid w:val="00715B96"/>
    <w:rsid w:val="00715BEA"/>
    <w:rsid w:val="00715D70"/>
    <w:rsid w:val="00715FD4"/>
    <w:rsid w:val="007162AE"/>
    <w:rsid w:val="007166DE"/>
    <w:rsid w:val="0071679C"/>
    <w:rsid w:val="007168CA"/>
    <w:rsid w:val="007169FB"/>
    <w:rsid w:val="00716BEB"/>
    <w:rsid w:val="00717053"/>
    <w:rsid w:val="007171A7"/>
    <w:rsid w:val="007173FD"/>
    <w:rsid w:val="007175BB"/>
    <w:rsid w:val="007176A2"/>
    <w:rsid w:val="00717AA6"/>
    <w:rsid w:val="00717ABB"/>
    <w:rsid w:val="00717B56"/>
    <w:rsid w:val="00717C5F"/>
    <w:rsid w:val="00717D6D"/>
    <w:rsid w:val="0072000B"/>
    <w:rsid w:val="0072005E"/>
    <w:rsid w:val="0072009C"/>
    <w:rsid w:val="007201A7"/>
    <w:rsid w:val="007202E1"/>
    <w:rsid w:val="00720460"/>
    <w:rsid w:val="00720559"/>
    <w:rsid w:val="007207CA"/>
    <w:rsid w:val="007208A2"/>
    <w:rsid w:val="00720AAA"/>
    <w:rsid w:val="00720F0C"/>
    <w:rsid w:val="0072152D"/>
    <w:rsid w:val="00721548"/>
    <w:rsid w:val="00721616"/>
    <w:rsid w:val="00721732"/>
    <w:rsid w:val="007218D5"/>
    <w:rsid w:val="00721A23"/>
    <w:rsid w:val="00721B0A"/>
    <w:rsid w:val="00721BBF"/>
    <w:rsid w:val="00721CF8"/>
    <w:rsid w:val="00721D7E"/>
    <w:rsid w:val="00721E18"/>
    <w:rsid w:val="00722282"/>
    <w:rsid w:val="00722396"/>
    <w:rsid w:val="00722689"/>
    <w:rsid w:val="007227F1"/>
    <w:rsid w:val="0072290C"/>
    <w:rsid w:val="007229CE"/>
    <w:rsid w:val="007229E0"/>
    <w:rsid w:val="007231C4"/>
    <w:rsid w:val="00723233"/>
    <w:rsid w:val="007233E4"/>
    <w:rsid w:val="00723558"/>
    <w:rsid w:val="0072366C"/>
    <w:rsid w:val="00723911"/>
    <w:rsid w:val="00723BE3"/>
    <w:rsid w:val="00723DF8"/>
    <w:rsid w:val="00724204"/>
    <w:rsid w:val="00724209"/>
    <w:rsid w:val="00724305"/>
    <w:rsid w:val="007244A0"/>
    <w:rsid w:val="0072457F"/>
    <w:rsid w:val="007246A3"/>
    <w:rsid w:val="0072484E"/>
    <w:rsid w:val="00724C87"/>
    <w:rsid w:val="00725115"/>
    <w:rsid w:val="0072519D"/>
    <w:rsid w:val="007253BC"/>
    <w:rsid w:val="007253BF"/>
    <w:rsid w:val="0072545A"/>
    <w:rsid w:val="00725613"/>
    <w:rsid w:val="00725893"/>
    <w:rsid w:val="007259FE"/>
    <w:rsid w:val="00725B32"/>
    <w:rsid w:val="00725B89"/>
    <w:rsid w:val="00725CFB"/>
    <w:rsid w:val="00725E64"/>
    <w:rsid w:val="00725EFC"/>
    <w:rsid w:val="00726326"/>
    <w:rsid w:val="007263B4"/>
    <w:rsid w:val="0072654C"/>
    <w:rsid w:val="007265E9"/>
    <w:rsid w:val="00726758"/>
    <w:rsid w:val="007267D4"/>
    <w:rsid w:val="00726835"/>
    <w:rsid w:val="0072699D"/>
    <w:rsid w:val="007269BF"/>
    <w:rsid w:val="00726E4D"/>
    <w:rsid w:val="00727269"/>
    <w:rsid w:val="007272A4"/>
    <w:rsid w:val="00727317"/>
    <w:rsid w:val="00727345"/>
    <w:rsid w:val="007274A2"/>
    <w:rsid w:val="007275E1"/>
    <w:rsid w:val="00727C98"/>
    <w:rsid w:val="00727E5E"/>
    <w:rsid w:val="00727E8A"/>
    <w:rsid w:val="00730051"/>
    <w:rsid w:val="00730402"/>
    <w:rsid w:val="007307B4"/>
    <w:rsid w:val="007309A1"/>
    <w:rsid w:val="007309C7"/>
    <w:rsid w:val="007309D4"/>
    <w:rsid w:val="00730A60"/>
    <w:rsid w:val="00730B31"/>
    <w:rsid w:val="00730D2B"/>
    <w:rsid w:val="00730D5C"/>
    <w:rsid w:val="00731015"/>
    <w:rsid w:val="00731056"/>
    <w:rsid w:val="0073157F"/>
    <w:rsid w:val="0073172D"/>
    <w:rsid w:val="0073173F"/>
    <w:rsid w:val="00731942"/>
    <w:rsid w:val="00732072"/>
    <w:rsid w:val="00732458"/>
    <w:rsid w:val="00732493"/>
    <w:rsid w:val="00732611"/>
    <w:rsid w:val="007326A9"/>
    <w:rsid w:val="00732784"/>
    <w:rsid w:val="00732804"/>
    <w:rsid w:val="007329F8"/>
    <w:rsid w:val="00732A72"/>
    <w:rsid w:val="00732A82"/>
    <w:rsid w:val="00732C32"/>
    <w:rsid w:val="00732F58"/>
    <w:rsid w:val="007337AE"/>
    <w:rsid w:val="00733A7B"/>
    <w:rsid w:val="00733C4C"/>
    <w:rsid w:val="00734150"/>
    <w:rsid w:val="00734182"/>
    <w:rsid w:val="007345EF"/>
    <w:rsid w:val="007348A4"/>
    <w:rsid w:val="00734936"/>
    <w:rsid w:val="007349C5"/>
    <w:rsid w:val="00734D2E"/>
    <w:rsid w:val="00734E7D"/>
    <w:rsid w:val="007354C0"/>
    <w:rsid w:val="007354CF"/>
    <w:rsid w:val="007355A8"/>
    <w:rsid w:val="0073575F"/>
    <w:rsid w:val="00735935"/>
    <w:rsid w:val="0073599C"/>
    <w:rsid w:val="00735E7A"/>
    <w:rsid w:val="00735ECE"/>
    <w:rsid w:val="00735EDF"/>
    <w:rsid w:val="007361C4"/>
    <w:rsid w:val="007363DC"/>
    <w:rsid w:val="007368F0"/>
    <w:rsid w:val="00736A6F"/>
    <w:rsid w:val="00736BFC"/>
    <w:rsid w:val="00736C39"/>
    <w:rsid w:val="00736C8B"/>
    <w:rsid w:val="00736D9E"/>
    <w:rsid w:val="00736DF2"/>
    <w:rsid w:val="00736E25"/>
    <w:rsid w:val="00736E5E"/>
    <w:rsid w:val="00737129"/>
    <w:rsid w:val="007374EA"/>
    <w:rsid w:val="00737535"/>
    <w:rsid w:val="007375CD"/>
    <w:rsid w:val="007378D0"/>
    <w:rsid w:val="00737A67"/>
    <w:rsid w:val="00737AF4"/>
    <w:rsid w:val="00737C29"/>
    <w:rsid w:val="00737CAC"/>
    <w:rsid w:val="00737D4D"/>
    <w:rsid w:val="00740207"/>
    <w:rsid w:val="0074030F"/>
    <w:rsid w:val="007403A0"/>
    <w:rsid w:val="00740425"/>
    <w:rsid w:val="00740428"/>
    <w:rsid w:val="007404CC"/>
    <w:rsid w:val="00740690"/>
    <w:rsid w:val="00740693"/>
    <w:rsid w:val="00740703"/>
    <w:rsid w:val="00740731"/>
    <w:rsid w:val="00740867"/>
    <w:rsid w:val="007409D9"/>
    <w:rsid w:val="00740FC2"/>
    <w:rsid w:val="007412A4"/>
    <w:rsid w:val="0074190C"/>
    <w:rsid w:val="00741963"/>
    <w:rsid w:val="007419C3"/>
    <w:rsid w:val="00741AC0"/>
    <w:rsid w:val="00741D44"/>
    <w:rsid w:val="00741E9D"/>
    <w:rsid w:val="00741EB6"/>
    <w:rsid w:val="00742039"/>
    <w:rsid w:val="007420E9"/>
    <w:rsid w:val="0074211F"/>
    <w:rsid w:val="00742157"/>
    <w:rsid w:val="00742202"/>
    <w:rsid w:val="00742926"/>
    <w:rsid w:val="00742A55"/>
    <w:rsid w:val="00742AB7"/>
    <w:rsid w:val="00742D33"/>
    <w:rsid w:val="00742DAD"/>
    <w:rsid w:val="00742DEA"/>
    <w:rsid w:val="00742E11"/>
    <w:rsid w:val="00742F5D"/>
    <w:rsid w:val="0074323D"/>
    <w:rsid w:val="007432FC"/>
    <w:rsid w:val="00743458"/>
    <w:rsid w:val="007434A4"/>
    <w:rsid w:val="0074356F"/>
    <w:rsid w:val="0074359C"/>
    <w:rsid w:val="00743621"/>
    <w:rsid w:val="00743652"/>
    <w:rsid w:val="007436FC"/>
    <w:rsid w:val="0074373E"/>
    <w:rsid w:val="0074392C"/>
    <w:rsid w:val="00743B44"/>
    <w:rsid w:val="00743EA2"/>
    <w:rsid w:val="00743F2D"/>
    <w:rsid w:val="00744018"/>
    <w:rsid w:val="00744066"/>
    <w:rsid w:val="00744122"/>
    <w:rsid w:val="0074414D"/>
    <w:rsid w:val="007442EB"/>
    <w:rsid w:val="0074456F"/>
    <w:rsid w:val="00744625"/>
    <w:rsid w:val="007449EC"/>
    <w:rsid w:val="007449F0"/>
    <w:rsid w:val="00744E9F"/>
    <w:rsid w:val="00745009"/>
    <w:rsid w:val="007452CE"/>
    <w:rsid w:val="00745533"/>
    <w:rsid w:val="0074553A"/>
    <w:rsid w:val="0074576F"/>
    <w:rsid w:val="00745820"/>
    <w:rsid w:val="007458E5"/>
    <w:rsid w:val="00745A35"/>
    <w:rsid w:val="00745BA6"/>
    <w:rsid w:val="00745CBD"/>
    <w:rsid w:val="00745F72"/>
    <w:rsid w:val="0074629D"/>
    <w:rsid w:val="0074695F"/>
    <w:rsid w:val="00746AA7"/>
    <w:rsid w:val="00746D56"/>
    <w:rsid w:val="00746DAF"/>
    <w:rsid w:val="00746E80"/>
    <w:rsid w:val="00746EC4"/>
    <w:rsid w:val="00747221"/>
    <w:rsid w:val="007472F5"/>
    <w:rsid w:val="007473FA"/>
    <w:rsid w:val="007477C8"/>
    <w:rsid w:val="0074786F"/>
    <w:rsid w:val="00747AD8"/>
    <w:rsid w:val="00747DFF"/>
    <w:rsid w:val="00747EF9"/>
    <w:rsid w:val="0075012D"/>
    <w:rsid w:val="00750281"/>
    <w:rsid w:val="007502F3"/>
    <w:rsid w:val="0075031E"/>
    <w:rsid w:val="00750670"/>
    <w:rsid w:val="00750758"/>
    <w:rsid w:val="007508B5"/>
    <w:rsid w:val="0075093A"/>
    <w:rsid w:val="00750B0C"/>
    <w:rsid w:val="00750D8A"/>
    <w:rsid w:val="00750F01"/>
    <w:rsid w:val="0075105C"/>
    <w:rsid w:val="007513E3"/>
    <w:rsid w:val="0075158C"/>
    <w:rsid w:val="00751680"/>
    <w:rsid w:val="007518EA"/>
    <w:rsid w:val="00751BCE"/>
    <w:rsid w:val="00751CA7"/>
    <w:rsid w:val="00751CD3"/>
    <w:rsid w:val="0075214E"/>
    <w:rsid w:val="007521CB"/>
    <w:rsid w:val="00752555"/>
    <w:rsid w:val="00752765"/>
    <w:rsid w:val="00752956"/>
    <w:rsid w:val="00752A3E"/>
    <w:rsid w:val="00752BE6"/>
    <w:rsid w:val="00752E17"/>
    <w:rsid w:val="007533A4"/>
    <w:rsid w:val="007533D9"/>
    <w:rsid w:val="00753632"/>
    <w:rsid w:val="00753753"/>
    <w:rsid w:val="00753987"/>
    <w:rsid w:val="00753B6A"/>
    <w:rsid w:val="00753C25"/>
    <w:rsid w:val="00753C69"/>
    <w:rsid w:val="00753D3E"/>
    <w:rsid w:val="00753E44"/>
    <w:rsid w:val="00754053"/>
    <w:rsid w:val="007542DB"/>
    <w:rsid w:val="00754331"/>
    <w:rsid w:val="00754398"/>
    <w:rsid w:val="007546EB"/>
    <w:rsid w:val="00754827"/>
    <w:rsid w:val="007548D2"/>
    <w:rsid w:val="007549CD"/>
    <w:rsid w:val="00754C0C"/>
    <w:rsid w:val="00754CD9"/>
    <w:rsid w:val="00754FBB"/>
    <w:rsid w:val="00755399"/>
    <w:rsid w:val="007554E6"/>
    <w:rsid w:val="007555AB"/>
    <w:rsid w:val="00755985"/>
    <w:rsid w:val="00755BE2"/>
    <w:rsid w:val="00755C4D"/>
    <w:rsid w:val="00755EBF"/>
    <w:rsid w:val="0075620D"/>
    <w:rsid w:val="0075630C"/>
    <w:rsid w:val="00756323"/>
    <w:rsid w:val="0075638C"/>
    <w:rsid w:val="00756547"/>
    <w:rsid w:val="007565A6"/>
    <w:rsid w:val="00756642"/>
    <w:rsid w:val="0075697A"/>
    <w:rsid w:val="00756ACC"/>
    <w:rsid w:val="00756E2E"/>
    <w:rsid w:val="00757059"/>
    <w:rsid w:val="007571AA"/>
    <w:rsid w:val="00757574"/>
    <w:rsid w:val="00757650"/>
    <w:rsid w:val="00757760"/>
    <w:rsid w:val="00757859"/>
    <w:rsid w:val="00757909"/>
    <w:rsid w:val="00757996"/>
    <w:rsid w:val="00757ABE"/>
    <w:rsid w:val="00757C87"/>
    <w:rsid w:val="00757D5A"/>
    <w:rsid w:val="00757E39"/>
    <w:rsid w:val="00757EDE"/>
    <w:rsid w:val="0076001F"/>
    <w:rsid w:val="0076030B"/>
    <w:rsid w:val="00760429"/>
    <w:rsid w:val="007605F9"/>
    <w:rsid w:val="007608AD"/>
    <w:rsid w:val="0076093E"/>
    <w:rsid w:val="00760BED"/>
    <w:rsid w:val="00760DEC"/>
    <w:rsid w:val="00761088"/>
    <w:rsid w:val="00761107"/>
    <w:rsid w:val="0076118F"/>
    <w:rsid w:val="0076127E"/>
    <w:rsid w:val="007612E4"/>
    <w:rsid w:val="0076143E"/>
    <w:rsid w:val="007614CF"/>
    <w:rsid w:val="007617DC"/>
    <w:rsid w:val="0076199E"/>
    <w:rsid w:val="00761A5E"/>
    <w:rsid w:val="00761D0E"/>
    <w:rsid w:val="00762072"/>
    <w:rsid w:val="0076236E"/>
    <w:rsid w:val="00762515"/>
    <w:rsid w:val="0076273D"/>
    <w:rsid w:val="00762758"/>
    <w:rsid w:val="0076278D"/>
    <w:rsid w:val="00762964"/>
    <w:rsid w:val="00762990"/>
    <w:rsid w:val="00762A29"/>
    <w:rsid w:val="00763162"/>
    <w:rsid w:val="007631D1"/>
    <w:rsid w:val="00763376"/>
    <w:rsid w:val="0076379C"/>
    <w:rsid w:val="00763B10"/>
    <w:rsid w:val="00763D57"/>
    <w:rsid w:val="00763DEB"/>
    <w:rsid w:val="00764436"/>
    <w:rsid w:val="0076444C"/>
    <w:rsid w:val="007644F4"/>
    <w:rsid w:val="00764681"/>
    <w:rsid w:val="007647E0"/>
    <w:rsid w:val="007648F1"/>
    <w:rsid w:val="00764BDE"/>
    <w:rsid w:val="00764CCC"/>
    <w:rsid w:val="00764CE3"/>
    <w:rsid w:val="00765292"/>
    <w:rsid w:val="00765491"/>
    <w:rsid w:val="00765689"/>
    <w:rsid w:val="007656E4"/>
    <w:rsid w:val="00765758"/>
    <w:rsid w:val="00765B0F"/>
    <w:rsid w:val="00765B19"/>
    <w:rsid w:val="00765C32"/>
    <w:rsid w:val="00765DA0"/>
    <w:rsid w:val="00765DEE"/>
    <w:rsid w:val="00766407"/>
    <w:rsid w:val="007664A9"/>
    <w:rsid w:val="00766597"/>
    <w:rsid w:val="00766897"/>
    <w:rsid w:val="00766923"/>
    <w:rsid w:val="00766CDA"/>
    <w:rsid w:val="00766F78"/>
    <w:rsid w:val="0076721C"/>
    <w:rsid w:val="00767789"/>
    <w:rsid w:val="00767876"/>
    <w:rsid w:val="00767A53"/>
    <w:rsid w:val="00767B66"/>
    <w:rsid w:val="00770042"/>
    <w:rsid w:val="0077008C"/>
    <w:rsid w:val="007705FA"/>
    <w:rsid w:val="007706A9"/>
    <w:rsid w:val="007706B6"/>
    <w:rsid w:val="00770FA2"/>
    <w:rsid w:val="00770FAA"/>
    <w:rsid w:val="00771613"/>
    <w:rsid w:val="00771702"/>
    <w:rsid w:val="007717AD"/>
    <w:rsid w:val="00771A81"/>
    <w:rsid w:val="00771B7A"/>
    <w:rsid w:val="007723D0"/>
    <w:rsid w:val="007724F7"/>
    <w:rsid w:val="00772506"/>
    <w:rsid w:val="00772626"/>
    <w:rsid w:val="0077279A"/>
    <w:rsid w:val="0077294C"/>
    <w:rsid w:val="00772C1E"/>
    <w:rsid w:val="00772D86"/>
    <w:rsid w:val="00772E4B"/>
    <w:rsid w:val="00772E7C"/>
    <w:rsid w:val="00772F8D"/>
    <w:rsid w:val="007733A8"/>
    <w:rsid w:val="00773798"/>
    <w:rsid w:val="00773873"/>
    <w:rsid w:val="007739C6"/>
    <w:rsid w:val="00773AD6"/>
    <w:rsid w:val="0077429C"/>
    <w:rsid w:val="00774430"/>
    <w:rsid w:val="00774909"/>
    <w:rsid w:val="00774961"/>
    <w:rsid w:val="00774A33"/>
    <w:rsid w:val="00774C77"/>
    <w:rsid w:val="00774D65"/>
    <w:rsid w:val="00774E10"/>
    <w:rsid w:val="00775332"/>
    <w:rsid w:val="00775513"/>
    <w:rsid w:val="0077552B"/>
    <w:rsid w:val="0077566A"/>
    <w:rsid w:val="00775927"/>
    <w:rsid w:val="0077599D"/>
    <w:rsid w:val="00775D46"/>
    <w:rsid w:val="00775E21"/>
    <w:rsid w:val="00775E9C"/>
    <w:rsid w:val="00776007"/>
    <w:rsid w:val="0077628D"/>
    <w:rsid w:val="0077653E"/>
    <w:rsid w:val="0077665D"/>
    <w:rsid w:val="007766EB"/>
    <w:rsid w:val="00776810"/>
    <w:rsid w:val="00776A90"/>
    <w:rsid w:val="00776B0B"/>
    <w:rsid w:val="00776C1F"/>
    <w:rsid w:val="00776C90"/>
    <w:rsid w:val="00776EDC"/>
    <w:rsid w:val="00776F21"/>
    <w:rsid w:val="00777254"/>
    <w:rsid w:val="00777394"/>
    <w:rsid w:val="0077784F"/>
    <w:rsid w:val="007778BC"/>
    <w:rsid w:val="007779AA"/>
    <w:rsid w:val="00777ADF"/>
    <w:rsid w:val="00777AE7"/>
    <w:rsid w:val="00777C0B"/>
    <w:rsid w:val="00777EBF"/>
    <w:rsid w:val="00780030"/>
    <w:rsid w:val="00780049"/>
    <w:rsid w:val="00780302"/>
    <w:rsid w:val="00780401"/>
    <w:rsid w:val="00780478"/>
    <w:rsid w:val="0078082D"/>
    <w:rsid w:val="007808BD"/>
    <w:rsid w:val="00780CE0"/>
    <w:rsid w:val="00780EBD"/>
    <w:rsid w:val="007813BD"/>
    <w:rsid w:val="007815AE"/>
    <w:rsid w:val="00781785"/>
    <w:rsid w:val="007817C8"/>
    <w:rsid w:val="00781C44"/>
    <w:rsid w:val="00781FB7"/>
    <w:rsid w:val="00782017"/>
    <w:rsid w:val="007820AA"/>
    <w:rsid w:val="007824A6"/>
    <w:rsid w:val="007824C5"/>
    <w:rsid w:val="00782A51"/>
    <w:rsid w:val="00782B90"/>
    <w:rsid w:val="00782FF1"/>
    <w:rsid w:val="0078303A"/>
    <w:rsid w:val="00783156"/>
    <w:rsid w:val="00783256"/>
    <w:rsid w:val="007832A6"/>
    <w:rsid w:val="007832FD"/>
    <w:rsid w:val="00783443"/>
    <w:rsid w:val="007834BE"/>
    <w:rsid w:val="007834E5"/>
    <w:rsid w:val="007835B7"/>
    <w:rsid w:val="0078360F"/>
    <w:rsid w:val="007838AB"/>
    <w:rsid w:val="00783C73"/>
    <w:rsid w:val="00784020"/>
    <w:rsid w:val="007842B8"/>
    <w:rsid w:val="00784324"/>
    <w:rsid w:val="0078441A"/>
    <w:rsid w:val="00784542"/>
    <w:rsid w:val="00784964"/>
    <w:rsid w:val="00784D07"/>
    <w:rsid w:val="00784D5F"/>
    <w:rsid w:val="00784EF6"/>
    <w:rsid w:val="00784F28"/>
    <w:rsid w:val="00785757"/>
    <w:rsid w:val="007858D0"/>
    <w:rsid w:val="00785A0A"/>
    <w:rsid w:val="00785C34"/>
    <w:rsid w:val="00785F95"/>
    <w:rsid w:val="007860AC"/>
    <w:rsid w:val="007860C7"/>
    <w:rsid w:val="00786133"/>
    <w:rsid w:val="007863C2"/>
    <w:rsid w:val="007864DB"/>
    <w:rsid w:val="007867BB"/>
    <w:rsid w:val="00786807"/>
    <w:rsid w:val="00786A70"/>
    <w:rsid w:val="00786C3B"/>
    <w:rsid w:val="0078715B"/>
    <w:rsid w:val="0078739A"/>
    <w:rsid w:val="0078758F"/>
    <w:rsid w:val="007875B8"/>
    <w:rsid w:val="007878BC"/>
    <w:rsid w:val="007878E0"/>
    <w:rsid w:val="0078794E"/>
    <w:rsid w:val="00787A0B"/>
    <w:rsid w:val="00787B32"/>
    <w:rsid w:val="00787F61"/>
    <w:rsid w:val="0079070F"/>
    <w:rsid w:val="007907A1"/>
    <w:rsid w:val="00790A64"/>
    <w:rsid w:val="00790F94"/>
    <w:rsid w:val="007914A9"/>
    <w:rsid w:val="00791503"/>
    <w:rsid w:val="0079150B"/>
    <w:rsid w:val="00791C8B"/>
    <w:rsid w:val="00791CE5"/>
    <w:rsid w:val="00791DAD"/>
    <w:rsid w:val="007920D9"/>
    <w:rsid w:val="00792104"/>
    <w:rsid w:val="007924FA"/>
    <w:rsid w:val="007927B5"/>
    <w:rsid w:val="00792A1B"/>
    <w:rsid w:val="00792DE6"/>
    <w:rsid w:val="00792F16"/>
    <w:rsid w:val="00793033"/>
    <w:rsid w:val="007930B8"/>
    <w:rsid w:val="0079310C"/>
    <w:rsid w:val="0079313A"/>
    <w:rsid w:val="00793352"/>
    <w:rsid w:val="007934E4"/>
    <w:rsid w:val="007935AF"/>
    <w:rsid w:val="0079368B"/>
    <w:rsid w:val="007936B7"/>
    <w:rsid w:val="00793BC1"/>
    <w:rsid w:val="00793C7E"/>
    <w:rsid w:val="00793D35"/>
    <w:rsid w:val="00794013"/>
    <w:rsid w:val="00794468"/>
    <w:rsid w:val="007948FE"/>
    <w:rsid w:val="00794EA8"/>
    <w:rsid w:val="00794EFC"/>
    <w:rsid w:val="00795140"/>
    <w:rsid w:val="0079527E"/>
    <w:rsid w:val="00795498"/>
    <w:rsid w:val="007955C2"/>
    <w:rsid w:val="007955CA"/>
    <w:rsid w:val="00795681"/>
    <w:rsid w:val="0079569F"/>
    <w:rsid w:val="00795C48"/>
    <w:rsid w:val="00795D77"/>
    <w:rsid w:val="00795E31"/>
    <w:rsid w:val="00795EC6"/>
    <w:rsid w:val="007960BF"/>
    <w:rsid w:val="00796180"/>
    <w:rsid w:val="007965C5"/>
    <w:rsid w:val="007966E2"/>
    <w:rsid w:val="00796899"/>
    <w:rsid w:val="00796B4E"/>
    <w:rsid w:val="00796B5A"/>
    <w:rsid w:val="00796FA8"/>
    <w:rsid w:val="00797320"/>
    <w:rsid w:val="0079748B"/>
    <w:rsid w:val="00797508"/>
    <w:rsid w:val="00797538"/>
    <w:rsid w:val="00797540"/>
    <w:rsid w:val="0079796A"/>
    <w:rsid w:val="0079797E"/>
    <w:rsid w:val="00797B16"/>
    <w:rsid w:val="00797BB9"/>
    <w:rsid w:val="00797EA7"/>
    <w:rsid w:val="007A05E8"/>
    <w:rsid w:val="007A0713"/>
    <w:rsid w:val="007A080D"/>
    <w:rsid w:val="007A0822"/>
    <w:rsid w:val="007A0B96"/>
    <w:rsid w:val="007A0CF1"/>
    <w:rsid w:val="007A0D1B"/>
    <w:rsid w:val="007A0FB0"/>
    <w:rsid w:val="007A11D0"/>
    <w:rsid w:val="007A11F5"/>
    <w:rsid w:val="007A131C"/>
    <w:rsid w:val="007A16CA"/>
    <w:rsid w:val="007A174C"/>
    <w:rsid w:val="007A177D"/>
    <w:rsid w:val="007A1891"/>
    <w:rsid w:val="007A19A8"/>
    <w:rsid w:val="007A19DC"/>
    <w:rsid w:val="007A1B16"/>
    <w:rsid w:val="007A1D5C"/>
    <w:rsid w:val="007A1F5E"/>
    <w:rsid w:val="007A20E9"/>
    <w:rsid w:val="007A2246"/>
    <w:rsid w:val="007A2292"/>
    <w:rsid w:val="007A2429"/>
    <w:rsid w:val="007A264A"/>
    <w:rsid w:val="007A27C2"/>
    <w:rsid w:val="007A2859"/>
    <w:rsid w:val="007A2AC0"/>
    <w:rsid w:val="007A2B16"/>
    <w:rsid w:val="007A2BB1"/>
    <w:rsid w:val="007A2D2F"/>
    <w:rsid w:val="007A2D86"/>
    <w:rsid w:val="007A2E0F"/>
    <w:rsid w:val="007A30CB"/>
    <w:rsid w:val="007A32EA"/>
    <w:rsid w:val="007A32F4"/>
    <w:rsid w:val="007A34AB"/>
    <w:rsid w:val="007A35E0"/>
    <w:rsid w:val="007A36EF"/>
    <w:rsid w:val="007A36F3"/>
    <w:rsid w:val="007A3708"/>
    <w:rsid w:val="007A3ED8"/>
    <w:rsid w:val="007A3F0A"/>
    <w:rsid w:val="007A40A1"/>
    <w:rsid w:val="007A4208"/>
    <w:rsid w:val="007A4394"/>
    <w:rsid w:val="007A43B7"/>
    <w:rsid w:val="007A44D0"/>
    <w:rsid w:val="007A44D1"/>
    <w:rsid w:val="007A4681"/>
    <w:rsid w:val="007A4698"/>
    <w:rsid w:val="007A46CA"/>
    <w:rsid w:val="007A477D"/>
    <w:rsid w:val="007A48AA"/>
    <w:rsid w:val="007A49CC"/>
    <w:rsid w:val="007A4AEA"/>
    <w:rsid w:val="007A4E36"/>
    <w:rsid w:val="007A4E88"/>
    <w:rsid w:val="007A4EBC"/>
    <w:rsid w:val="007A5079"/>
    <w:rsid w:val="007A525C"/>
    <w:rsid w:val="007A52D1"/>
    <w:rsid w:val="007A5686"/>
    <w:rsid w:val="007A57C8"/>
    <w:rsid w:val="007A5AF8"/>
    <w:rsid w:val="007A5B73"/>
    <w:rsid w:val="007A5C85"/>
    <w:rsid w:val="007A5C97"/>
    <w:rsid w:val="007A5F7D"/>
    <w:rsid w:val="007A6111"/>
    <w:rsid w:val="007A6587"/>
    <w:rsid w:val="007A65B4"/>
    <w:rsid w:val="007A66F8"/>
    <w:rsid w:val="007A67EE"/>
    <w:rsid w:val="007A6859"/>
    <w:rsid w:val="007A6A66"/>
    <w:rsid w:val="007A6E05"/>
    <w:rsid w:val="007A7093"/>
    <w:rsid w:val="007A7236"/>
    <w:rsid w:val="007A72E4"/>
    <w:rsid w:val="007A73F6"/>
    <w:rsid w:val="007A75CB"/>
    <w:rsid w:val="007A769F"/>
    <w:rsid w:val="007A7764"/>
    <w:rsid w:val="007A778D"/>
    <w:rsid w:val="007A77D9"/>
    <w:rsid w:val="007A785A"/>
    <w:rsid w:val="007A788E"/>
    <w:rsid w:val="007A7916"/>
    <w:rsid w:val="007A7963"/>
    <w:rsid w:val="007A7A2F"/>
    <w:rsid w:val="007A7FC6"/>
    <w:rsid w:val="007B021E"/>
    <w:rsid w:val="007B035D"/>
    <w:rsid w:val="007B04F2"/>
    <w:rsid w:val="007B0502"/>
    <w:rsid w:val="007B085A"/>
    <w:rsid w:val="007B0A58"/>
    <w:rsid w:val="007B10DB"/>
    <w:rsid w:val="007B10E3"/>
    <w:rsid w:val="007B123E"/>
    <w:rsid w:val="007B12E2"/>
    <w:rsid w:val="007B1840"/>
    <w:rsid w:val="007B1ADD"/>
    <w:rsid w:val="007B1C83"/>
    <w:rsid w:val="007B1F25"/>
    <w:rsid w:val="007B222A"/>
    <w:rsid w:val="007B22E5"/>
    <w:rsid w:val="007B2581"/>
    <w:rsid w:val="007B274B"/>
    <w:rsid w:val="007B274F"/>
    <w:rsid w:val="007B2C11"/>
    <w:rsid w:val="007B2D82"/>
    <w:rsid w:val="007B2DFE"/>
    <w:rsid w:val="007B2E55"/>
    <w:rsid w:val="007B2EED"/>
    <w:rsid w:val="007B2F83"/>
    <w:rsid w:val="007B337B"/>
    <w:rsid w:val="007B3665"/>
    <w:rsid w:val="007B38E3"/>
    <w:rsid w:val="007B3A96"/>
    <w:rsid w:val="007B3AD5"/>
    <w:rsid w:val="007B3C15"/>
    <w:rsid w:val="007B3C1B"/>
    <w:rsid w:val="007B3CCB"/>
    <w:rsid w:val="007B3FDE"/>
    <w:rsid w:val="007B4077"/>
    <w:rsid w:val="007B4153"/>
    <w:rsid w:val="007B42BB"/>
    <w:rsid w:val="007B43C4"/>
    <w:rsid w:val="007B45EA"/>
    <w:rsid w:val="007B4853"/>
    <w:rsid w:val="007B4A5A"/>
    <w:rsid w:val="007B4CE3"/>
    <w:rsid w:val="007B4D3C"/>
    <w:rsid w:val="007B4F41"/>
    <w:rsid w:val="007B4F5B"/>
    <w:rsid w:val="007B50E9"/>
    <w:rsid w:val="007B516C"/>
    <w:rsid w:val="007B518C"/>
    <w:rsid w:val="007B522A"/>
    <w:rsid w:val="007B544D"/>
    <w:rsid w:val="007B5A39"/>
    <w:rsid w:val="007B5A92"/>
    <w:rsid w:val="007B5DC0"/>
    <w:rsid w:val="007B5E42"/>
    <w:rsid w:val="007B6038"/>
    <w:rsid w:val="007B6039"/>
    <w:rsid w:val="007B61C2"/>
    <w:rsid w:val="007B62A1"/>
    <w:rsid w:val="007B657B"/>
    <w:rsid w:val="007B6589"/>
    <w:rsid w:val="007B676C"/>
    <w:rsid w:val="007B677A"/>
    <w:rsid w:val="007B6A20"/>
    <w:rsid w:val="007B6ADB"/>
    <w:rsid w:val="007B6AF7"/>
    <w:rsid w:val="007B6D3B"/>
    <w:rsid w:val="007B6F08"/>
    <w:rsid w:val="007B7193"/>
    <w:rsid w:val="007B740C"/>
    <w:rsid w:val="007B7573"/>
    <w:rsid w:val="007B757E"/>
    <w:rsid w:val="007B77EB"/>
    <w:rsid w:val="007B7828"/>
    <w:rsid w:val="007B7949"/>
    <w:rsid w:val="007B7CEC"/>
    <w:rsid w:val="007B7DF1"/>
    <w:rsid w:val="007B7E71"/>
    <w:rsid w:val="007B7F60"/>
    <w:rsid w:val="007B7FCC"/>
    <w:rsid w:val="007C0206"/>
    <w:rsid w:val="007C02C8"/>
    <w:rsid w:val="007C05F2"/>
    <w:rsid w:val="007C08EF"/>
    <w:rsid w:val="007C09CC"/>
    <w:rsid w:val="007C0B30"/>
    <w:rsid w:val="007C0BD5"/>
    <w:rsid w:val="007C0CB0"/>
    <w:rsid w:val="007C0E86"/>
    <w:rsid w:val="007C0F65"/>
    <w:rsid w:val="007C11AD"/>
    <w:rsid w:val="007C11E0"/>
    <w:rsid w:val="007C166E"/>
    <w:rsid w:val="007C17AA"/>
    <w:rsid w:val="007C19B7"/>
    <w:rsid w:val="007C1A07"/>
    <w:rsid w:val="007C1B5A"/>
    <w:rsid w:val="007C1BE6"/>
    <w:rsid w:val="007C1CED"/>
    <w:rsid w:val="007C1DAB"/>
    <w:rsid w:val="007C210A"/>
    <w:rsid w:val="007C2160"/>
    <w:rsid w:val="007C2280"/>
    <w:rsid w:val="007C2549"/>
    <w:rsid w:val="007C25D2"/>
    <w:rsid w:val="007C287E"/>
    <w:rsid w:val="007C287F"/>
    <w:rsid w:val="007C2C5D"/>
    <w:rsid w:val="007C2CBB"/>
    <w:rsid w:val="007C2E8A"/>
    <w:rsid w:val="007C3320"/>
    <w:rsid w:val="007C3BAF"/>
    <w:rsid w:val="007C3D09"/>
    <w:rsid w:val="007C3D2D"/>
    <w:rsid w:val="007C3FC5"/>
    <w:rsid w:val="007C4006"/>
    <w:rsid w:val="007C400D"/>
    <w:rsid w:val="007C4129"/>
    <w:rsid w:val="007C413F"/>
    <w:rsid w:val="007C41E1"/>
    <w:rsid w:val="007C460B"/>
    <w:rsid w:val="007C4735"/>
    <w:rsid w:val="007C4D03"/>
    <w:rsid w:val="007C4E85"/>
    <w:rsid w:val="007C4FC0"/>
    <w:rsid w:val="007C503D"/>
    <w:rsid w:val="007C5393"/>
    <w:rsid w:val="007C54ED"/>
    <w:rsid w:val="007C5A6B"/>
    <w:rsid w:val="007C5C05"/>
    <w:rsid w:val="007C5E13"/>
    <w:rsid w:val="007C5E6D"/>
    <w:rsid w:val="007C5EE6"/>
    <w:rsid w:val="007C61AD"/>
    <w:rsid w:val="007C61DB"/>
    <w:rsid w:val="007C632B"/>
    <w:rsid w:val="007C6369"/>
    <w:rsid w:val="007C63C0"/>
    <w:rsid w:val="007C646A"/>
    <w:rsid w:val="007C6545"/>
    <w:rsid w:val="007C67B2"/>
    <w:rsid w:val="007C6869"/>
    <w:rsid w:val="007C69BA"/>
    <w:rsid w:val="007C6C16"/>
    <w:rsid w:val="007C7079"/>
    <w:rsid w:val="007C710E"/>
    <w:rsid w:val="007C72A2"/>
    <w:rsid w:val="007C72E6"/>
    <w:rsid w:val="007C7455"/>
    <w:rsid w:val="007C7696"/>
    <w:rsid w:val="007C78AE"/>
    <w:rsid w:val="007C79AA"/>
    <w:rsid w:val="007C7A0D"/>
    <w:rsid w:val="007C7C08"/>
    <w:rsid w:val="007C7DB6"/>
    <w:rsid w:val="007C7EFE"/>
    <w:rsid w:val="007D00FF"/>
    <w:rsid w:val="007D0122"/>
    <w:rsid w:val="007D0244"/>
    <w:rsid w:val="007D0484"/>
    <w:rsid w:val="007D05C1"/>
    <w:rsid w:val="007D09C0"/>
    <w:rsid w:val="007D0B1F"/>
    <w:rsid w:val="007D137D"/>
    <w:rsid w:val="007D1761"/>
    <w:rsid w:val="007D1961"/>
    <w:rsid w:val="007D1993"/>
    <w:rsid w:val="007D1A41"/>
    <w:rsid w:val="007D2125"/>
    <w:rsid w:val="007D23B1"/>
    <w:rsid w:val="007D245E"/>
    <w:rsid w:val="007D2906"/>
    <w:rsid w:val="007D2AD7"/>
    <w:rsid w:val="007D2B04"/>
    <w:rsid w:val="007D2D79"/>
    <w:rsid w:val="007D2D92"/>
    <w:rsid w:val="007D2E6A"/>
    <w:rsid w:val="007D2E9A"/>
    <w:rsid w:val="007D3023"/>
    <w:rsid w:val="007D3085"/>
    <w:rsid w:val="007D311F"/>
    <w:rsid w:val="007D3430"/>
    <w:rsid w:val="007D37A8"/>
    <w:rsid w:val="007D3850"/>
    <w:rsid w:val="007D3876"/>
    <w:rsid w:val="007D391C"/>
    <w:rsid w:val="007D3987"/>
    <w:rsid w:val="007D3A8C"/>
    <w:rsid w:val="007D3AFD"/>
    <w:rsid w:val="007D3CA8"/>
    <w:rsid w:val="007D3FDF"/>
    <w:rsid w:val="007D43CB"/>
    <w:rsid w:val="007D477A"/>
    <w:rsid w:val="007D47A5"/>
    <w:rsid w:val="007D49E8"/>
    <w:rsid w:val="007D49F4"/>
    <w:rsid w:val="007D4AC5"/>
    <w:rsid w:val="007D4D10"/>
    <w:rsid w:val="007D4D95"/>
    <w:rsid w:val="007D5004"/>
    <w:rsid w:val="007D5038"/>
    <w:rsid w:val="007D50F8"/>
    <w:rsid w:val="007D51B7"/>
    <w:rsid w:val="007D56FC"/>
    <w:rsid w:val="007D5721"/>
    <w:rsid w:val="007D58EA"/>
    <w:rsid w:val="007D5A9E"/>
    <w:rsid w:val="007D5C51"/>
    <w:rsid w:val="007D5E93"/>
    <w:rsid w:val="007D5EE8"/>
    <w:rsid w:val="007D6286"/>
    <w:rsid w:val="007D6426"/>
    <w:rsid w:val="007D6667"/>
    <w:rsid w:val="007D668F"/>
    <w:rsid w:val="007D66F2"/>
    <w:rsid w:val="007D727E"/>
    <w:rsid w:val="007D7408"/>
    <w:rsid w:val="007D77B3"/>
    <w:rsid w:val="007D7BB7"/>
    <w:rsid w:val="007D7D2F"/>
    <w:rsid w:val="007D7F3D"/>
    <w:rsid w:val="007E00A5"/>
    <w:rsid w:val="007E03B5"/>
    <w:rsid w:val="007E053E"/>
    <w:rsid w:val="007E0560"/>
    <w:rsid w:val="007E090E"/>
    <w:rsid w:val="007E0BA4"/>
    <w:rsid w:val="007E0F61"/>
    <w:rsid w:val="007E103B"/>
    <w:rsid w:val="007E10EC"/>
    <w:rsid w:val="007E1305"/>
    <w:rsid w:val="007E13B9"/>
    <w:rsid w:val="007E1481"/>
    <w:rsid w:val="007E1622"/>
    <w:rsid w:val="007E18CC"/>
    <w:rsid w:val="007E1AB3"/>
    <w:rsid w:val="007E1F7C"/>
    <w:rsid w:val="007E2110"/>
    <w:rsid w:val="007E245E"/>
    <w:rsid w:val="007E278B"/>
    <w:rsid w:val="007E29C7"/>
    <w:rsid w:val="007E2C62"/>
    <w:rsid w:val="007E31F3"/>
    <w:rsid w:val="007E321A"/>
    <w:rsid w:val="007E3284"/>
    <w:rsid w:val="007E336E"/>
    <w:rsid w:val="007E34AB"/>
    <w:rsid w:val="007E35E6"/>
    <w:rsid w:val="007E3773"/>
    <w:rsid w:val="007E37E5"/>
    <w:rsid w:val="007E3B10"/>
    <w:rsid w:val="007E3D3D"/>
    <w:rsid w:val="007E3DC8"/>
    <w:rsid w:val="007E3DD9"/>
    <w:rsid w:val="007E3DE0"/>
    <w:rsid w:val="007E3E17"/>
    <w:rsid w:val="007E402B"/>
    <w:rsid w:val="007E4326"/>
    <w:rsid w:val="007E43F3"/>
    <w:rsid w:val="007E4592"/>
    <w:rsid w:val="007E45B5"/>
    <w:rsid w:val="007E4AE9"/>
    <w:rsid w:val="007E4D41"/>
    <w:rsid w:val="007E4E15"/>
    <w:rsid w:val="007E5297"/>
    <w:rsid w:val="007E53A2"/>
    <w:rsid w:val="007E54A3"/>
    <w:rsid w:val="007E56BB"/>
    <w:rsid w:val="007E586A"/>
    <w:rsid w:val="007E59B4"/>
    <w:rsid w:val="007E5BE7"/>
    <w:rsid w:val="007E5C60"/>
    <w:rsid w:val="007E5C81"/>
    <w:rsid w:val="007E5E26"/>
    <w:rsid w:val="007E5F4A"/>
    <w:rsid w:val="007E6003"/>
    <w:rsid w:val="007E611D"/>
    <w:rsid w:val="007E61FF"/>
    <w:rsid w:val="007E6249"/>
    <w:rsid w:val="007E635E"/>
    <w:rsid w:val="007E64F6"/>
    <w:rsid w:val="007E6677"/>
    <w:rsid w:val="007E66E9"/>
    <w:rsid w:val="007E6DBB"/>
    <w:rsid w:val="007E6F42"/>
    <w:rsid w:val="007E74DF"/>
    <w:rsid w:val="007E7694"/>
    <w:rsid w:val="007E77B4"/>
    <w:rsid w:val="007E7D22"/>
    <w:rsid w:val="007E7D3A"/>
    <w:rsid w:val="007E7E3F"/>
    <w:rsid w:val="007E7ED9"/>
    <w:rsid w:val="007F0064"/>
    <w:rsid w:val="007F0073"/>
    <w:rsid w:val="007F007D"/>
    <w:rsid w:val="007F00D4"/>
    <w:rsid w:val="007F0102"/>
    <w:rsid w:val="007F0353"/>
    <w:rsid w:val="007F05C7"/>
    <w:rsid w:val="007F0EEA"/>
    <w:rsid w:val="007F0F7B"/>
    <w:rsid w:val="007F0FDF"/>
    <w:rsid w:val="007F17E9"/>
    <w:rsid w:val="007F17F2"/>
    <w:rsid w:val="007F1D0B"/>
    <w:rsid w:val="007F1F19"/>
    <w:rsid w:val="007F1FB7"/>
    <w:rsid w:val="007F2015"/>
    <w:rsid w:val="007F20BE"/>
    <w:rsid w:val="007F23CB"/>
    <w:rsid w:val="007F23D4"/>
    <w:rsid w:val="007F255E"/>
    <w:rsid w:val="007F2665"/>
    <w:rsid w:val="007F279F"/>
    <w:rsid w:val="007F27A8"/>
    <w:rsid w:val="007F2996"/>
    <w:rsid w:val="007F29BF"/>
    <w:rsid w:val="007F2AC8"/>
    <w:rsid w:val="007F3019"/>
    <w:rsid w:val="007F326E"/>
    <w:rsid w:val="007F3328"/>
    <w:rsid w:val="007F33FE"/>
    <w:rsid w:val="007F379B"/>
    <w:rsid w:val="007F3852"/>
    <w:rsid w:val="007F3A72"/>
    <w:rsid w:val="007F3A79"/>
    <w:rsid w:val="007F3CA9"/>
    <w:rsid w:val="007F3CF5"/>
    <w:rsid w:val="007F3ECF"/>
    <w:rsid w:val="007F3F5C"/>
    <w:rsid w:val="007F3FB1"/>
    <w:rsid w:val="007F4008"/>
    <w:rsid w:val="007F41C5"/>
    <w:rsid w:val="007F42A5"/>
    <w:rsid w:val="007F43A4"/>
    <w:rsid w:val="007F450C"/>
    <w:rsid w:val="007F49D2"/>
    <w:rsid w:val="007F4A53"/>
    <w:rsid w:val="007F4B25"/>
    <w:rsid w:val="007F4B6B"/>
    <w:rsid w:val="007F4C3F"/>
    <w:rsid w:val="007F4DCC"/>
    <w:rsid w:val="007F4F4B"/>
    <w:rsid w:val="007F50B5"/>
    <w:rsid w:val="007F5655"/>
    <w:rsid w:val="007F5C65"/>
    <w:rsid w:val="007F5E7E"/>
    <w:rsid w:val="007F5F3A"/>
    <w:rsid w:val="007F6018"/>
    <w:rsid w:val="007F616F"/>
    <w:rsid w:val="007F6294"/>
    <w:rsid w:val="007F675E"/>
    <w:rsid w:val="007F6A0A"/>
    <w:rsid w:val="007F6B12"/>
    <w:rsid w:val="007F6C39"/>
    <w:rsid w:val="007F6D2B"/>
    <w:rsid w:val="007F6F4A"/>
    <w:rsid w:val="007F6F4B"/>
    <w:rsid w:val="007F6FDA"/>
    <w:rsid w:val="007F6FEB"/>
    <w:rsid w:val="007F70FA"/>
    <w:rsid w:val="007F7212"/>
    <w:rsid w:val="007F727B"/>
    <w:rsid w:val="007F7686"/>
    <w:rsid w:val="007F7A29"/>
    <w:rsid w:val="007F7DBB"/>
    <w:rsid w:val="007F7FF8"/>
    <w:rsid w:val="00800073"/>
    <w:rsid w:val="0080009C"/>
    <w:rsid w:val="00800616"/>
    <w:rsid w:val="0080066E"/>
    <w:rsid w:val="0080069C"/>
    <w:rsid w:val="00800821"/>
    <w:rsid w:val="00800A21"/>
    <w:rsid w:val="00801022"/>
    <w:rsid w:val="0080148C"/>
    <w:rsid w:val="0080164D"/>
    <w:rsid w:val="0080188A"/>
    <w:rsid w:val="00801BFF"/>
    <w:rsid w:val="00801E49"/>
    <w:rsid w:val="00801E54"/>
    <w:rsid w:val="00801F09"/>
    <w:rsid w:val="00801FE5"/>
    <w:rsid w:val="00802531"/>
    <w:rsid w:val="0080253C"/>
    <w:rsid w:val="008029D3"/>
    <w:rsid w:val="00802B1A"/>
    <w:rsid w:val="00802D91"/>
    <w:rsid w:val="00802DD9"/>
    <w:rsid w:val="00802E21"/>
    <w:rsid w:val="00802F61"/>
    <w:rsid w:val="00803135"/>
    <w:rsid w:val="00803290"/>
    <w:rsid w:val="00803709"/>
    <w:rsid w:val="00803E4B"/>
    <w:rsid w:val="00803EBB"/>
    <w:rsid w:val="008042D7"/>
    <w:rsid w:val="0080450E"/>
    <w:rsid w:val="00804614"/>
    <w:rsid w:val="0080483E"/>
    <w:rsid w:val="00804F1E"/>
    <w:rsid w:val="00804FF9"/>
    <w:rsid w:val="008053EC"/>
    <w:rsid w:val="008056DC"/>
    <w:rsid w:val="0080570C"/>
    <w:rsid w:val="00805734"/>
    <w:rsid w:val="00805740"/>
    <w:rsid w:val="00805815"/>
    <w:rsid w:val="00805B05"/>
    <w:rsid w:val="00805B0A"/>
    <w:rsid w:val="00805E49"/>
    <w:rsid w:val="00805F6E"/>
    <w:rsid w:val="00805FAD"/>
    <w:rsid w:val="00805FD7"/>
    <w:rsid w:val="00806079"/>
    <w:rsid w:val="0080610C"/>
    <w:rsid w:val="008064A9"/>
    <w:rsid w:val="008066F1"/>
    <w:rsid w:val="00806843"/>
    <w:rsid w:val="008069C5"/>
    <w:rsid w:val="00806A1F"/>
    <w:rsid w:val="00806DB7"/>
    <w:rsid w:val="00807160"/>
    <w:rsid w:val="008071A4"/>
    <w:rsid w:val="00807307"/>
    <w:rsid w:val="008073D4"/>
    <w:rsid w:val="0080743C"/>
    <w:rsid w:val="00807B5D"/>
    <w:rsid w:val="00807C2D"/>
    <w:rsid w:val="00807CA0"/>
    <w:rsid w:val="00807CC5"/>
    <w:rsid w:val="00807F4D"/>
    <w:rsid w:val="0081001A"/>
    <w:rsid w:val="008109F9"/>
    <w:rsid w:val="00810A77"/>
    <w:rsid w:val="00810D19"/>
    <w:rsid w:val="00810F5D"/>
    <w:rsid w:val="008110A1"/>
    <w:rsid w:val="008110DE"/>
    <w:rsid w:val="008111BB"/>
    <w:rsid w:val="0081121C"/>
    <w:rsid w:val="0081124D"/>
    <w:rsid w:val="00811346"/>
    <w:rsid w:val="0081163F"/>
    <w:rsid w:val="00811692"/>
    <w:rsid w:val="00811B01"/>
    <w:rsid w:val="00811BE1"/>
    <w:rsid w:val="00811CEA"/>
    <w:rsid w:val="00811CF8"/>
    <w:rsid w:val="0081232C"/>
    <w:rsid w:val="008126AE"/>
    <w:rsid w:val="00812878"/>
    <w:rsid w:val="00812AE5"/>
    <w:rsid w:val="00812B03"/>
    <w:rsid w:val="00812C26"/>
    <w:rsid w:val="00812DA3"/>
    <w:rsid w:val="00812FF7"/>
    <w:rsid w:val="008130DE"/>
    <w:rsid w:val="0081321A"/>
    <w:rsid w:val="008133A7"/>
    <w:rsid w:val="0081340F"/>
    <w:rsid w:val="00813815"/>
    <w:rsid w:val="00813821"/>
    <w:rsid w:val="00813C02"/>
    <w:rsid w:val="00813F3F"/>
    <w:rsid w:val="00814059"/>
    <w:rsid w:val="008142D8"/>
    <w:rsid w:val="008143C7"/>
    <w:rsid w:val="00814497"/>
    <w:rsid w:val="008146AB"/>
    <w:rsid w:val="008146FA"/>
    <w:rsid w:val="00814734"/>
    <w:rsid w:val="00814831"/>
    <w:rsid w:val="0081483D"/>
    <w:rsid w:val="00815013"/>
    <w:rsid w:val="0081511E"/>
    <w:rsid w:val="008154D8"/>
    <w:rsid w:val="0081556C"/>
    <w:rsid w:val="0081559D"/>
    <w:rsid w:val="00815822"/>
    <w:rsid w:val="008158A6"/>
    <w:rsid w:val="00815DAE"/>
    <w:rsid w:val="00815E0E"/>
    <w:rsid w:val="00815F31"/>
    <w:rsid w:val="00815F4D"/>
    <w:rsid w:val="0081603A"/>
    <w:rsid w:val="008161A4"/>
    <w:rsid w:val="00816399"/>
    <w:rsid w:val="008164BA"/>
    <w:rsid w:val="008164F7"/>
    <w:rsid w:val="0081668C"/>
    <w:rsid w:val="00816871"/>
    <w:rsid w:val="0081689D"/>
    <w:rsid w:val="00816948"/>
    <w:rsid w:val="00816992"/>
    <w:rsid w:val="00816A56"/>
    <w:rsid w:val="00816A7B"/>
    <w:rsid w:val="00816AA7"/>
    <w:rsid w:val="00816AFB"/>
    <w:rsid w:val="0081705A"/>
    <w:rsid w:val="008174B2"/>
    <w:rsid w:val="0081751A"/>
    <w:rsid w:val="00817AB1"/>
    <w:rsid w:val="00817BCD"/>
    <w:rsid w:val="00817FB7"/>
    <w:rsid w:val="008200EC"/>
    <w:rsid w:val="008201C4"/>
    <w:rsid w:val="008205D3"/>
    <w:rsid w:val="00820608"/>
    <w:rsid w:val="00820738"/>
    <w:rsid w:val="00820810"/>
    <w:rsid w:val="00820E0F"/>
    <w:rsid w:val="00820EC0"/>
    <w:rsid w:val="00820ED8"/>
    <w:rsid w:val="00820F49"/>
    <w:rsid w:val="00821180"/>
    <w:rsid w:val="008211A7"/>
    <w:rsid w:val="00821232"/>
    <w:rsid w:val="00821396"/>
    <w:rsid w:val="008213EA"/>
    <w:rsid w:val="00821515"/>
    <w:rsid w:val="0082156A"/>
    <w:rsid w:val="0082161E"/>
    <w:rsid w:val="00821B18"/>
    <w:rsid w:val="00821BB3"/>
    <w:rsid w:val="00821DA6"/>
    <w:rsid w:val="00821F95"/>
    <w:rsid w:val="00822030"/>
    <w:rsid w:val="00822036"/>
    <w:rsid w:val="008220B1"/>
    <w:rsid w:val="0082210B"/>
    <w:rsid w:val="00822210"/>
    <w:rsid w:val="008222F7"/>
    <w:rsid w:val="00822597"/>
    <w:rsid w:val="008226B3"/>
    <w:rsid w:val="00822754"/>
    <w:rsid w:val="008227F6"/>
    <w:rsid w:val="00822AE3"/>
    <w:rsid w:val="00822D4E"/>
    <w:rsid w:val="00823239"/>
    <w:rsid w:val="0082374F"/>
    <w:rsid w:val="00823771"/>
    <w:rsid w:val="00823810"/>
    <w:rsid w:val="00823AF3"/>
    <w:rsid w:val="00823C63"/>
    <w:rsid w:val="00823E5F"/>
    <w:rsid w:val="00823EA8"/>
    <w:rsid w:val="0082410A"/>
    <w:rsid w:val="008247A0"/>
    <w:rsid w:val="00824801"/>
    <w:rsid w:val="0082486C"/>
    <w:rsid w:val="00824C77"/>
    <w:rsid w:val="00824D80"/>
    <w:rsid w:val="00825411"/>
    <w:rsid w:val="008255A1"/>
    <w:rsid w:val="00825BAF"/>
    <w:rsid w:val="00825E95"/>
    <w:rsid w:val="008262D3"/>
    <w:rsid w:val="00826412"/>
    <w:rsid w:val="0082664D"/>
    <w:rsid w:val="008266CA"/>
    <w:rsid w:val="00826714"/>
    <w:rsid w:val="00826907"/>
    <w:rsid w:val="00826918"/>
    <w:rsid w:val="00826DC4"/>
    <w:rsid w:val="00826E2A"/>
    <w:rsid w:val="00826F56"/>
    <w:rsid w:val="00827198"/>
    <w:rsid w:val="00827322"/>
    <w:rsid w:val="008273BE"/>
    <w:rsid w:val="008274D9"/>
    <w:rsid w:val="00827664"/>
    <w:rsid w:val="008277CE"/>
    <w:rsid w:val="00827B6B"/>
    <w:rsid w:val="00827E36"/>
    <w:rsid w:val="0083008E"/>
    <w:rsid w:val="0083011C"/>
    <w:rsid w:val="00830199"/>
    <w:rsid w:val="00830246"/>
    <w:rsid w:val="008302E8"/>
    <w:rsid w:val="008306A8"/>
    <w:rsid w:val="00830AF4"/>
    <w:rsid w:val="00830E56"/>
    <w:rsid w:val="0083157C"/>
    <w:rsid w:val="00831A3A"/>
    <w:rsid w:val="00831A56"/>
    <w:rsid w:val="00831B3C"/>
    <w:rsid w:val="00831BF6"/>
    <w:rsid w:val="00832438"/>
    <w:rsid w:val="00832439"/>
    <w:rsid w:val="0083288E"/>
    <w:rsid w:val="00832A6C"/>
    <w:rsid w:val="00832DD9"/>
    <w:rsid w:val="008334F7"/>
    <w:rsid w:val="00833E26"/>
    <w:rsid w:val="00834096"/>
    <w:rsid w:val="008340A9"/>
    <w:rsid w:val="008341B1"/>
    <w:rsid w:val="008343FA"/>
    <w:rsid w:val="0083445E"/>
    <w:rsid w:val="00834553"/>
    <w:rsid w:val="0083469A"/>
    <w:rsid w:val="00834803"/>
    <w:rsid w:val="008348D9"/>
    <w:rsid w:val="00834B03"/>
    <w:rsid w:val="00834C12"/>
    <w:rsid w:val="00834C15"/>
    <w:rsid w:val="00834C7A"/>
    <w:rsid w:val="00834D2D"/>
    <w:rsid w:val="00834FA3"/>
    <w:rsid w:val="00835250"/>
    <w:rsid w:val="008353FF"/>
    <w:rsid w:val="008359DB"/>
    <w:rsid w:val="00835E5A"/>
    <w:rsid w:val="008366EF"/>
    <w:rsid w:val="00836791"/>
    <w:rsid w:val="0083698D"/>
    <w:rsid w:val="00836C5A"/>
    <w:rsid w:val="00836C73"/>
    <w:rsid w:val="00836C80"/>
    <w:rsid w:val="00837006"/>
    <w:rsid w:val="00837219"/>
    <w:rsid w:val="00837364"/>
    <w:rsid w:val="008375C9"/>
    <w:rsid w:val="00837CBA"/>
    <w:rsid w:val="00840192"/>
    <w:rsid w:val="0084026F"/>
    <w:rsid w:val="0084053E"/>
    <w:rsid w:val="00840588"/>
    <w:rsid w:val="008408D9"/>
    <w:rsid w:val="00840964"/>
    <w:rsid w:val="00840AA3"/>
    <w:rsid w:val="00840DC5"/>
    <w:rsid w:val="00840F51"/>
    <w:rsid w:val="00841084"/>
    <w:rsid w:val="00841261"/>
    <w:rsid w:val="0084126C"/>
    <w:rsid w:val="008412A2"/>
    <w:rsid w:val="008413FF"/>
    <w:rsid w:val="0084170F"/>
    <w:rsid w:val="008417FF"/>
    <w:rsid w:val="00841861"/>
    <w:rsid w:val="00841D04"/>
    <w:rsid w:val="00841EFA"/>
    <w:rsid w:val="008422F2"/>
    <w:rsid w:val="008423AB"/>
    <w:rsid w:val="008427B8"/>
    <w:rsid w:val="00842866"/>
    <w:rsid w:val="008429BE"/>
    <w:rsid w:val="00842A90"/>
    <w:rsid w:val="00842EDF"/>
    <w:rsid w:val="00842F68"/>
    <w:rsid w:val="0084307E"/>
    <w:rsid w:val="00843102"/>
    <w:rsid w:val="008431D3"/>
    <w:rsid w:val="00843336"/>
    <w:rsid w:val="00843BB4"/>
    <w:rsid w:val="00843C93"/>
    <w:rsid w:val="00843DFB"/>
    <w:rsid w:val="00844171"/>
    <w:rsid w:val="00844293"/>
    <w:rsid w:val="008442F6"/>
    <w:rsid w:val="008444CE"/>
    <w:rsid w:val="008445F5"/>
    <w:rsid w:val="008446C2"/>
    <w:rsid w:val="00844828"/>
    <w:rsid w:val="00844AC9"/>
    <w:rsid w:val="00844ACE"/>
    <w:rsid w:val="00844CC0"/>
    <w:rsid w:val="00844EA0"/>
    <w:rsid w:val="00844FB7"/>
    <w:rsid w:val="008452CC"/>
    <w:rsid w:val="008454F4"/>
    <w:rsid w:val="008459C9"/>
    <w:rsid w:val="00845A1D"/>
    <w:rsid w:val="00845BDE"/>
    <w:rsid w:val="00845FD7"/>
    <w:rsid w:val="00846148"/>
    <w:rsid w:val="0084619D"/>
    <w:rsid w:val="00846294"/>
    <w:rsid w:val="008462F1"/>
    <w:rsid w:val="008463D3"/>
    <w:rsid w:val="0084651C"/>
    <w:rsid w:val="00846600"/>
    <w:rsid w:val="0084666B"/>
    <w:rsid w:val="0084684B"/>
    <w:rsid w:val="0084685E"/>
    <w:rsid w:val="008468B4"/>
    <w:rsid w:val="00846920"/>
    <w:rsid w:val="00846986"/>
    <w:rsid w:val="00846B43"/>
    <w:rsid w:val="00846C0A"/>
    <w:rsid w:val="00846C8C"/>
    <w:rsid w:val="00846D6E"/>
    <w:rsid w:val="00846E55"/>
    <w:rsid w:val="00846F0E"/>
    <w:rsid w:val="00846F8A"/>
    <w:rsid w:val="00847112"/>
    <w:rsid w:val="008471A8"/>
    <w:rsid w:val="008475DF"/>
    <w:rsid w:val="008476AB"/>
    <w:rsid w:val="008476BB"/>
    <w:rsid w:val="008476DB"/>
    <w:rsid w:val="008477BC"/>
    <w:rsid w:val="008478D9"/>
    <w:rsid w:val="00847BF9"/>
    <w:rsid w:val="00847E60"/>
    <w:rsid w:val="00847F2B"/>
    <w:rsid w:val="00850384"/>
    <w:rsid w:val="00850496"/>
    <w:rsid w:val="008504F9"/>
    <w:rsid w:val="00850996"/>
    <w:rsid w:val="008509A8"/>
    <w:rsid w:val="008509CC"/>
    <w:rsid w:val="00850A3B"/>
    <w:rsid w:val="00850B88"/>
    <w:rsid w:val="00850F12"/>
    <w:rsid w:val="00850F3F"/>
    <w:rsid w:val="00850F90"/>
    <w:rsid w:val="00851381"/>
    <w:rsid w:val="008515C0"/>
    <w:rsid w:val="00851748"/>
    <w:rsid w:val="00851845"/>
    <w:rsid w:val="0085192B"/>
    <w:rsid w:val="008519DE"/>
    <w:rsid w:val="00851A3F"/>
    <w:rsid w:val="00851AF4"/>
    <w:rsid w:val="00851E4A"/>
    <w:rsid w:val="00851E7B"/>
    <w:rsid w:val="00851E8F"/>
    <w:rsid w:val="00851F27"/>
    <w:rsid w:val="00851F51"/>
    <w:rsid w:val="00852002"/>
    <w:rsid w:val="0085203C"/>
    <w:rsid w:val="0085231E"/>
    <w:rsid w:val="00852404"/>
    <w:rsid w:val="00852491"/>
    <w:rsid w:val="00852530"/>
    <w:rsid w:val="00852E08"/>
    <w:rsid w:val="00852F49"/>
    <w:rsid w:val="00853192"/>
    <w:rsid w:val="008533C5"/>
    <w:rsid w:val="008536A4"/>
    <w:rsid w:val="00853ABA"/>
    <w:rsid w:val="00853B93"/>
    <w:rsid w:val="00853BCE"/>
    <w:rsid w:val="00854183"/>
    <w:rsid w:val="00854263"/>
    <w:rsid w:val="00854332"/>
    <w:rsid w:val="008544F3"/>
    <w:rsid w:val="00854586"/>
    <w:rsid w:val="00854702"/>
    <w:rsid w:val="0085477A"/>
    <w:rsid w:val="008547A0"/>
    <w:rsid w:val="00854983"/>
    <w:rsid w:val="00854DA6"/>
    <w:rsid w:val="00854F9B"/>
    <w:rsid w:val="0085516F"/>
    <w:rsid w:val="008551B3"/>
    <w:rsid w:val="008556E6"/>
    <w:rsid w:val="0085573B"/>
    <w:rsid w:val="0085574C"/>
    <w:rsid w:val="00855A10"/>
    <w:rsid w:val="00855A1C"/>
    <w:rsid w:val="00855A6B"/>
    <w:rsid w:val="00855B08"/>
    <w:rsid w:val="00855C28"/>
    <w:rsid w:val="00855D14"/>
    <w:rsid w:val="00855DF3"/>
    <w:rsid w:val="00855F96"/>
    <w:rsid w:val="0085601E"/>
    <w:rsid w:val="0085609C"/>
    <w:rsid w:val="0085614E"/>
    <w:rsid w:val="0085642C"/>
    <w:rsid w:val="00856563"/>
    <w:rsid w:val="008565D4"/>
    <w:rsid w:val="00856764"/>
    <w:rsid w:val="00856A4C"/>
    <w:rsid w:val="00856ADA"/>
    <w:rsid w:val="00856B7F"/>
    <w:rsid w:val="00856C19"/>
    <w:rsid w:val="00856C84"/>
    <w:rsid w:val="00856DC3"/>
    <w:rsid w:val="00856FDD"/>
    <w:rsid w:val="00857092"/>
    <w:rsid w:val="0085733F"/>
    <w:rsid w:val="0085748E"/>
    <w:rsid w:val="00857753"/>
    <w:rsid w:val="0085776A"/>
    <w:rsid w:val="00857A18"/>
    <w:rsid w:val="00857A1A"/>
    <w:rsid w:val="00857AD0"/>
    <w:rsid w:val="00857BE8"/>
    <w:rsid w:val="00857D19"/>
    <w:rsid w:val="00857D66"/>
    <w:rsid w:val="00857DB9"/>
    <w:rsid w:val="00857F8A"/>
    <w:rsid w:val="00860225"/>
    <w:rsid w:val="00860278"/>
    <w:rsid w:val="00860283"/>
    <w:rsid w:val="00860322"/>
    <w:rsid w:val="0086071D"/>
    <w:rsid w:val="00860A2E"/>
    <w:rsid w:val="00860AB8"/>
    <w:rsid w:val="00860D4F"/>
    <w:rsid w:val="00860F5F"/>
    <w:rsid w:val="0086105D"/>
    <w:rsid w:val="008611D5"/>
    <w:rsid w:val="00861347"/>
    <w:rsid w:val="00861542"/>
    <w:rsid w:val="008615B5"/>
    <w:rsid w:val="008615FD"/>
    <w:rsid w:val="0086161C"/>
    <w:rsid w:val="00861817"/>
    <w:rsid w:val="00861843"/>
    <w:rsid w:val="00861ABF"/>
    <w:rsid w:val="00861FE1"/>
    <w:rsid w:val="00862189"/>
    <w:rsid w:val="00862361"/>
    <w:rsid w:val="00862778"/>
    <w:rsid w:val="00862CF7"/>
    <w:rsid w:val="00862DC3"/>
    <w:rsid w:val="00862FD3"/>
    <w:rsid w:val="00863160"/>
    <w:rsid w:val="0086332A"/>
    <w:rsid w:val="00863644"/>
    <w:rsid w:val="0086368B"/>
    <w:rsid w:val="00863B7E"/>
    <w:rsid w:val="00863BA9"/>
    <w:rsid w:val="00863BDD"/>
    <w:rsid w:val="00863EC2"/>
    <w:rsid w:val="00863EDC"/>
    <w:rsid w:val="00863F25"/>
    <w:rsid w:val="008640FF"/>
    <w:rsid w:val="008643BF"/>
    <w:rsid w:val="00864641"/>
    <w:rsid w:val="00864755"/>
    <w:rsid w:val="008649E9"/>
    <w:rsid w:val="00864A02"/>
    <w:rsid w:val="00864C52"/>
    <w:rsid w:val="00864D0C"/>
    <w:rsid w:val="00864E6F"/>
    <w:rsid w:val="00864FAB"/>
    <w:rsid w:val="00865016"/>
    <w:rsid w:val="0086511C"/>
    <w:rsid w:val="008652D7"/>
    <w:rsid w:val="00865422"/>
    <w:rsid w:val="00865A57"/>
    <w:rsid w:val="00865D76"/>
    <w:rsid w:val="00865DA5"/>
    <w:rsid w:val="00865E79"/>
    <w:rsid w:val="008660D8"/>
    <w:rsid w:val="0086632E"/>
    <w:rsid w:val="008665C3"/>
    <w:rsid w:val="0086661D"/>
    <w:rsid w:val="00866717"/>
    <w:rsid w:val="00866917"/>
    <w:rsid w:val="00866BC5"/>
    <w:rsid w:val="00866E4A"/>
    <w:rsid w:val="00866ED5"/>
    <w:rsid w:val="0086707A"/>
    <w:rsid w:val="00867272"/>
    <w:rsid w:val="008673DC"/>
    <w:rsid w:val="008675FB"/>
    <w:rsid w:val="00867623"/>
    <w:rsid w:val="008676D0"/>
    <w:rsid w:val="00867934"/>
    <w:rsid w:val="008679AA"/>
    <w:rsid w:val="00867A30"/>
    <w:rsid w:val="00867B70"/>
    <w:rsid w:val="008700C8"/>
    <w:rsid w:val="008702C8"/>
    <w:rsid w:val="008703E4"/>
    <w:rsid w:val="00870481"/>
    <w:rsid w:val="00870AAA"/>
    <w:rsid w:val="00870C87"/>
    <w:rsid w:val="008714AD"/>
    <w:rsid w:val="008714C2"/>
    <w:rsid w:val="00871520"/>
    <w:rsid w:val="00871871"/>
    <w:rsid w:val="00871BA0"/>
    <w:rsid w:val="00871D9F"/>
    <w:rsid w:val="00871FB2"/>
    <w:rsid w:val="008722AE"/>
    <w:rsid w:val="00872389"/>
    <w:rsid w:val="00872677"/>
    <w:rsid w:val="00872840"/>
    <w:rsid w:val="00872857"/>
    <w:rsid w:val="008728E0"/>
    <w:rsid w:val="00872B1F"/>
    <w:rsid w:val="00872ED7"/>
    <w:rsid w:val="00872EF9"/>
    <w:rsid w:val="008734AA"/>
    <w:rsid w:val="0087379E"/>
    <w:rsid w:val="0087395A"/>
    <w:rsid w:val="00873A07"/>
    <w:rsid w:val="00873A45"/>
    <w:rsid w:val="00873CE3"/>
    <w:rsid w:val="00873F88"/>
    <w:rsid w:val="008741EE"/>
    <w:rsid w:val="00874337"/>
    <w:rsid w:val="008743A5"/>
    <w:rsid w:val="00874547"/>
    <w:rsid w:val="008745D9"/>
    <w:rsid w:val="00874732"/>
    <w:rsid w:val="008747D1"/>
    <w:rsid w:val="0087495E"/>
    <w:rsid w:val="00874A91"/>
    <w:rsid w:val="00874B27"/>
    <w:rsid w:val="00874DD3"/>
    <w:rsid w:val="00874E4F"/>
    <w:rsid w:val="00875009"/>
    <w:rsid w:val="008752C8"/>
    <w:rsid w:val="00875832"/>
    <w:rsid w:val="00875983"/>
    <w:rsid w:val="00875A34"/>
    <w:rsid w:val="00875D2C"/>
    <w:rsid w:val="008760D5"/>
    <w:rsid w:val="00876283"/>
    <w:rsid w:val="0087644C"/>
    <w:rsid w:val="00876470"/>
    <w:rsid w:val="00876732"/>
    <w:rsid w:val="00876B82"/>
    <w:rsid w:val="00876C4D"/>
    <w:rsid w:val="00876F52"/>
    <w:rsid w:val="00877045"/>
    <w:rsid w:val="00877088"/>
    <w:rsid w:val="00877546"/>
    <w:rsid w:val="00877586"/>
    <w:rsid w:val="00877741"/>
    <w:rsid w:val="0087797F"/>
    <w:rsid w:val="00877985"/>
    <w:rsid w:val="00877A68"/>
    <w:rsid w:val="00877C2F"/>
    <w:rsid w:val="00877D49"/>
    <w:rsid w:val="0088028E"/>
    <w:rsid w:val="00880319"/>
    <w:rsid w:val="008807B3"/>
    <w:rsid w:val="00880A47"/>
    <w:rsid w:val="00880CBD"/>
    <w:rsid w:val="00880D67"/>
    <w:rsid w:val="00880DA6"/>
    <w:rsid w:val="00880FDC"/>
    <w:rsid w:val="008814A3"/>
    <w:rsid w:val="008815DF"/>
    <w:rsid w:val="00881A2C"/>
    <w:rsid w:val="00881C0D"/>
    <w:rsid w:val="00881C74"/>
    <w:rsid w:val="00881D22"/>
    <w:rsid w:val="00881D29"/>
    <w:rsid w:val="00881F96"/>
    <w:rsid w:val="00882359"/>
    <w:rsid w:val="008823A1"/>
    <w:rsid w:val="00882450"/>
    <w:rsid w:val="0088247C"/>
    <w:rsid w:val="00882488"/>
    <w:rsid w:val="008824F0"/>
    <w:rsid w:val="0088252C"/>
    <w:rsid w:val="0088253A"/>
    <w:rsid w:val="00882832"/>
    <w:rsid w:val="00882986"/>
    <w:rsid w:val="008829DE"/>
    <w:rsid w:val="00882A87"/>
    <w:rsid w:val="00882F2B"/>
    <w:rsid w:val="008830F9"/>
    <w:rsid w:val="0088312A"/>
    <w:rsid w:val="008836A8"/>
    <w:rsid w:val="008839C8"/>
    <w:rsid w:val="00883AD9"/>
    <w:rsid w:val="00883CE4"/>
    <w:rsid w:val="00883F9C"/>
    <w:rsid w:val="00884031"/>
    <w:rsid w:val="008848C6"/>
    <w:rsid w:val="008849D4"/>
    <w:rsid w:val="00884A7A"/>
    <w:rsid w:val="00884AB8"/>
    <w:rsid w:val="00884BD9"/>
    <w:rsid w:val="00884CBA"/>
    <w:rsid w:val="00884EC3"/>
    <w:rsid w:val="00884FE3"/>
    <w:rsid w:val="00885040"/>
    <w:rsid w:val="00885055"/>
    <w:rsid w:val="008853C7"/>
    <w:rsid w:val="00885752"/>
    <w:rsid w:val="00885804"/>
    <w:rsid w:val="00885856"/>
    <w:rsid w:val="0088587F"/>
    <w:rsid w:val="00885BA8"/>
    <w:rsid w:val="00885E27"/>
    <w:rsid w:val="00885ED4"/>
    <w:rsid w:val="0088613C"/>
    <w:rsid w:val="008861B9"/>
    <w:rsid w:val="0088642E"/>
    <w:rsid w:val="008864B9"/>
    <w:rsid w:val="00886573"/>
    <w:rsid w:val="008868A1"/>
    <w:rsid w:val="00886B1B"/>
    <w:rsid w:val="00886C53"/>
    <w:rsid w:val="00886C5A"/>
    <w:rsid w:val="00886C87"/>
    <w:rsid w:val="00886F3C"/>
    <w:rsid w:val="00887047"/>
    <w:rsid w:val="008872B5"/>
    <w:rsid w:val="00887499"/>
    <w:rsid w:val="008874E8"/>
    <w:rsid w:val="00887556"/>
    <w:rsid w:val="008875EA"/>
    <w:rsid w:val="00887D5A"/>
    <w:rsid w:val="00887FD4"/>
    <w:rsid w:val="008902E2"/>
    <w:rsid w:val="0089034C"/>
    <w:rsid w:val="0089086B"/>
    <w:rsid w:val="00890A3D"/>
    <w:rsid w:val="00890A59"/>
    <w:rsid w:val="00890BF9"/>
    <w:rsid w:val="00890E40"/>
    <w:rsid w:val="00890F04"/>
    <w:rsid w:val="00890F9D"/>
    <w:rsid w:val="00890FBC"/>
    <w:rsid w:val="0089100A"/>
    <w:rsid w:val="0089119D"/>
    <w:rsid w:val="008911D6"/>
    <w:rsid w:val="00891277"/>
    <w:rsid w:val="0089169C"/>
    <w:rsid w:val="008916D4"/>
    <w:rsid w:val="00891781"/>
    <w:rsid w:val="00891B75"/>
    <w:rsid w:val="00892164"/>
    <w:rsid w:val="008923BB"/>
    <w:rsid w:val="008928DC"/>
    <w:rsid w:val="0089294B"/>
    <w:rsid w:val="00892C5D"/>
    <w:rsid w:val="00892D57"/>
    <w:rsid w:val="00892DCC"/>
    <w:rsid w:val="0089307E"/>
    <w:rsid w:val="00893488"/>
    <w:rsid w:val="00893638"/>
    <w:rsid w:val="008937DE"/>
    <w:rsid w:val="00893880"/>
    <w:rsid w:val="00893B50"/>
    <w:rsid w:val="00893F54"/>
    <w:rsid w:val="00894207"/>
    <w:rsid w:val="00894231"/>
    <w:rsid w:val="00894298"/>
    <w:rsid w:val="00894527"/>
    <w:rsid w:val="00894692"/>
    <w:rsid w:val="00894762"/>
    <w:rsid w:val="008947C1"/>
    <w:rsid w:val="008949B3"/>
    <w:rsid w:val="00894AB2"/>
    <w:rsid w:val="00894AF8"/>
    <w:rsid w:val="00895159"/>
    <w:rsid w:val="00895665"/>
    <w:rsid w:val="00895804"/>
    <w:rsid w:val="0089584B"/>
    <w:rsid w:val="00895A79"/>
    <w:rsid w:val="00895B54"/>
    <w:rsid w:val="00895D26"/>
    <w:rsid w:val="00896285"/>
    <w:rsid w:val="008962CF"/>
    <w:rsid w:val="00896494"/>
    <w:rsid w:val="008964A9"/>
    <w:rsid w:val="008964D9"/>
    <w:rsid w:val="00896849"/>
    <w:rsid w:val="00896CDE"/>
    <w:rsid w:val="00897051"/>
    <w:rsid w:val="0089778C"/>
    <w:rsid w:val="008979D9"/>
    <w:rsid w:val="00897B88"/>
    <w:rsid w:val="00897BED"/>
    <w:rsid w:val="008A01A2"/>
    <w:rsid w:val="008A028B"/>
    <w:rsid w:val="008A0580"/>
    <w:rsid w:val="008A0604"/>
    <w:rsid w:val="008A0711"/>
    <w:rsid w:val="008A09AA"/>
    <w:rsid w:val="008A0D10"/>
    <w:rsid w:val="008A0EF6"/>
    <w:rsid w:val="008A106A"/>
    <w:rsid w:val="008A1087"/>
    <w:rsid w:val="008A11C6"/>
    <w:rsid w:val="008A1980"/>
    <w:rsid w:val="008A19ED"/>
    <w:rsid w:val="008A1A25"/>
    <w:rsid w:val="008A1C0A"/>
    <w:rsid w:val="008A1E2E"/>
    <w:rsid w:val="008A203B"/>
    <w:rsid w:val="008A206F"/>
    <w:rsid w:val="008A21F5"/>
    <w:rsid w:val="008A26A9"/>
    <w:rsid w:val="008A27D0"/>
    <w:rsid w:val="008A28AF"/>
    <w:rsid w:val="008A299A"/>
    <w:rsid w:val="008A2D4B"/>
    <w:rsid w:val="008A3185"/>
    <w:rsid w:val="008A3346"/>
    <w:rsid w:val="008A34F6"/>
    <w:rsid w:val="008A39DA"/>
    <w:rsid w:val="008A3C01"/>
    <w:rsid w:val="008A3E80"/>
    <w:rsid w:val="008A42E3"/>
    <w:rsid w:val="008A4418"/>
    <w:rsid w:val="008A4690"/>
    <w:rsid w:val="008A4713"/>
    <w:rsid w:val="008A4737"/>
    <w:rsid w:val="008A4738"/>
    <w:rsid w:val="008A4844"/>
    <w:rsid w:val="008A48BB"/>
    <w:rsid w:val="008A4904"/>
    <w:rsid w:val="008A4958"/>
    <w:rsid w:val="008A4A5E"/>
    <w:rsid w:val="008A4CAC"/>
    <w:rsid w:val="008A4CCC"/>
    <w:rsid w:val="008A5295"/>
    <w:rsid w:val="008A55F1"/>
    <w:rsid w:val="008A566C"/>
    <w:rsid w:val="008A57AD"/>
    <w:rsid w:val="008A57ED"/>
    <w:rsid w:val="008A5867"/>
    <w:rsid w:val="008A5915"/>
    <w:rsid w:val="008A5A29"/>
    <w:rsid w:val="008A5B41"/>
    <w:rsid w:val="008A5BC8"/>
    <w:rsid w:val="008A5D7E"/>
    <w:rsid w:val="008A5E3A"/>
    <w:rsid w:val="008A5E3E"/>
    <w:rsid w:val="008A5EDC"/>
    <w:rsid w:val="008A5EFC"/>
    <w:rsid w:val="008A5F3D"/>
    <w:rsid w:val="008A5FB7"/>
    <w:rsid w:val="008A6566"/>
    <w:rsid w:val="008A69C0"/>
    <w:rsid w:val="008A6A51"/>
    <w:rsid w:val="008A70AB"/>
    <w:rsid w:val="008A7211"/>
    <w:rsid w:val="008A72B0"/>
    <w:rsid w:val="008A7339"/>
    <w:rsid w:val="008A7359"/>
    <w:rsid w:val="008A7BB0"/>
    <w:rsid w:val="008A7D8C"/>
    <w:rsid w:val="008B0055"/>
    <w:rsid w:val="008B0204"/>
    <w:rsid w:val="008B04DD"/>
    <w:rsid w:val="008B05C9"/>
    <w:rsid w:val="008B064E"/>
    <w:rsid w:val="008B06BB"/>
    <w:rsid w:val="008B0725"/>
    <w:rsid w:val="008B084C"/>
    <w:rsid w:val="008B0953"/>
    <w:rsid w:val="008B0CAC"/>
    <w:rsid w:val="008B0CE3"/>
    <w:rsid w:val="008B0D26"/>
    <w:rsid w:val="008B1351"/>
    <w:rsid w:val="008B136D"/>
    <w:rsid w:val="008B1407"/>
    <w:rsid w:val="008B15B5"/>
    <w:rsid w:val="008B15D6"/>
    <w:rsid w:val="008B166F"/>
    <w:rsid w:val="008B1790"/>
    <w:rsid w:val="008B1941"/>
    <w:rsid w:val="008B1970"/>
    <w:rsid w:val="008B19D9"/>
    <w:rsid w:val="008B1A45"/>
    <w:rsid w:val="008B1C4A"/>
    <w:rsid w:val="008B1C78"/>
    <w:rsid w:val="008B1E1F"/>
    <w:rsid w:val="008B1ED4"/>
    <w:rsid w:val="008B1FD2"/>
    <w:rsid w:val="008B2A1C"/>
    <w:rsid w:val="008B2AA4"/>
    <w:rsid w:val="008B2AB8"/>
    <w:rsid w:val="008B2B48"/>
    <w:rsid w:val="008B2D64"/>
    <w:rsid w:val="008B3152"/>
    <w:rsid w:val="008B34CE"/>
    <w:rsid w:val="008B36A8"/>
    <w:rsid w:val="008B37A0"/>
    <w:rsid w:val="008B38EC"/>
    <w:rsid w:val="008B3AFA"/>
    <w:rsid w:val="008B3FD1"/>
    <w:rsid w:val="008B42EC"/>
    <w:rsid w:val="008B43B6"/>
    <w:rsid w:val="008B4402"/>
    <w:rsid w:val="008B4499"/>
    <w:rsid w:val="008B48F5"/>
    <w:rsid w:val="008B4BA7"/>
    <w:rsid w:val="008B4C30"/>
    <w:rsid w:val="008B4C5F"/>
    <w:rsid w:val="008B4EBF"/>
    <w:rsid w:val="008B4ED5"/>
    <w:rsid w:val="008B4EF0"/>
    <w:rsid w:val="008B4F43"/>
    <w:rsid w:val="008B4F77"/>
    <w:rsid w:val="008B5470"/>
    <w:rsid w:val="008B554D"/>
    <w:rsid w:val="008B55E1"/>
    <w:rsid w:val="008B55E7"/>
    <w:rsid w:val="008B5679"/>
    <w:rsid w:val="008B5762"/>
    <w:rsid w:val="008B57AC"/>
    <w:rsid w:val="008B57B4"/>
    <w:rsid w:val="008B58ED"/>
    <w:rsid w:val="008B59E4"/>
    <w:rsid w:val="008B5ADF"/>
    <w:rsid w:val="008B618B"/>
    <w:rsid w:val="008B63C2"/>
    <w:rsid w:val="008B6510"/>
    <w:rsid w:val="008B6B5F"/>
    <w:rsid w:val="008B6BE4"/>
    <w:rsid w:val="008B6CF0"/>
    <w:rsid w:val="008B6D8A"/>
    <w:rsid w:val="008B6F41"/>
    <w:rsid w:val="008B7132"/>
    <w:rsid w:val="008B71E5"/>
    <w:rsid w:val="008B7208"/>
    <w:rsid w:val="008B7212"/>
    <w:rsid w:val="008B72CE"/>
    <w:rsid w:val="008B7439"/>
    <w:rsid w:val="008B7540"/>
    <w:rsid w:val="008B7615"/>
    <w:rsid w:val="008B76BC"/>
    <w:rsid w:val="008B77A0"/>
    <w:rsid w:val="008B786A"/>
    <w:rsid w:val="008B7884"/>
    <w:rsid w:val="008B78C4"/>
    <w:rsid w:val="008B79B2"/>
    <w:rsid w:val="008B7E6A"/>
    <w:rsid w:val="008C01AD"/>
    <w:rsid w:val="008C0312"/>
    <w:rsid w:val="008C076C"/>
    <w:rsid w:val="008C09D9"/>
    <w:rsid w:val="008C0AE1"/>
    <w:rsid w:val="008C0AE3"/>
    <w:rsid w:val="008C0BE3"/>
    <w:rsid w:val="008C0C8E"/>
    <w:rsid w:val="008C0E20"/>
    <w:rsid w:val="008C0E2E"/>
    <w:rsid w:val="008C10BA"/>
    <w:rsid w:val="008C1263"/>
    <w:rsid w:val="008C144A"/>
    <w:rsid w:val="008C15DF"/>
    <w:rsid w:val="008C1629"/>
    <w:rsid w:val="008C16FC"/>
    <w:rsid w:val="008C1775"/>
    <w:rsid w:val="008C194E"/>
    <w:rsid w:val="008C1BA8"/>
    <w:rsid w:val="008C1F30"/>
    <w:rsid w:val="008C2109"/>
    <w:rsid w:val="008C22D8"/>
    <w:rsid w:val="008C22D9"/>
    <w:rsid w:val="008C23E5"/>
    <w:rsid w:val="008C2568"/>
    <w:rsid w:val="008C26AB"/>
    <w:rsid w:val="008C2BE9"/>
    <w:rsid w:val="008C2CE5"/>
    <w:rsid w:val="008C2E31"/>
    <w:rsid w:val="008C2E81"/>
    <w:rsid w:val="008C2F97"/>
    <w:rsid w:val="008C3013"/>
    <w:rsid w:val="008C3066"/>
    <w:rsid w:val="008C31EB"/>
    <w:rsid w:val="008C38E6"/>
    <w:rsid w:val="008C397B"/>
    <w:rsid w:val="008C39B5"/>
    <w:rsid w:val="008C3B48"/>
    <w:rsid w:val="008C3B60"/>
    <w:rsid w:val="008C3C30"/>
    <w:rsid w:val="008C4350"/>
    <w:rsid w:val="008C453D"/>
    <w:rsid w:val="008C4577"/>
    <w:rsid w:val="008C46FB"/>
    <w:rsid w:val="008C4AF7"/>
    <w:rsid w:val="008C4FD5"/>
    <w:rsid w:val="008C517A"/>
    <w:rsid w:val="008C5319"/>
    <w:rsid w:val="008C53D7"/>
    <w:rsid w:val="008C5488"/>
    <w:rsid w:val="008C5557"/>
    <w:rsid w:val="008C55AC"/>
    <w:rsid w:val="008C582A"/>
    <w:rsid w:val="008C5A6F"/>
    <w:rsid w:val="008C5B2C"/>
    <w:rsid w:val="008C5B8D"/>
    <w:rsid w:val="008C5CEF"/>
    <w:rsid w:val="008C5D5F"/>
    <w:rsid w:val="008C6038"/>
    <w:rsid w:val="008C6327"/>
    <w:rsid w:val="008C63A5"/>
    <w:rsid w:val="008C6910"/>
    <w:rsid w:val="008C69CA"/>
    <w:rsid w:val="008C6BFD"/>
    <w:rsid w:val="008C6C28"/>
    <w:rsid w:val="008C6DF6"/>
    <w:rsid w:val="008C6FE2"/>
    <w:rsid w:val="008C705D"/>
    <w:rsid w:val="008C7276"/>
    <w:rsid w:val="008C72C9"/>
    <w:rsid w:val="008C737B"/>
    <w:rsid w:val="008C76B5"/>
    <w:rsid w:val="008C776D"/>
    <w:rsid w:val="008C7AE7"/>
    <w:rsid w:val="008C7B3D"/>
    <w:rsid w:val="008C7B9B"/>
    <w:rsid w:val="008C7BA6"/>
    <w:rsid w:val="008C7CB2"/>
    <w:rsid w:val="008C7F4C"/>
    <w:rsid w:val="008C7F73"/>
    <w:rsid w:val="008D013F"/>
    <w:rsid w:val="008D09D2"/>
    <w:rsid w:val="008D0F19"/>
    <w:rsid w:val="008D10BF"/>
    <w:rsid w:val="008D15B9"/>
    <w:rsid w:val="008D1A63"/>
    <w:rsid w:val="008D1F38"/>
    <w:rsid w:val="008D2014"/>
    <w:rsid w:val="008D2074"/>
    <w:rsid w:val="008D2142"/>
    <w:rsid w:val="008D217C"/>
    <w:rsid w:val="008D23AC"/>
    <w:rsid w:val="008D25C9"/>
    <w:rsid w:val="008D25DF"/>
    <w:rsid w:val="008D25F2"/>
    <w:rsid w:val="008D2899"/>
    <w:rsid w:val="008D28DF"/>
    <w:rsid w:val="008D2905"/>
    <w:rsid w:val="008D2A4E"/>
    <w:rsid w:val="008D2AB3"/>
    <w:rsid w:val="008D2AD9"/>
    <w:rsid w:val="008D2BBF"/>
    <w:rsid w:val="008D2D6E"/>
    <w:rsid w:val="008D2DCC"/>
    <w:rsid w:val="008D2E84"/>
    <w:rsid w:val="008D2EB8"/>
    <w:rsid w:val="008D2F48"/>
    <w:rsid w:val="008D2FC5"/>
    <w:rsid w:val="008D307E"/>
    <w:rsid w:val="008D3357"/>
    <w:rsid w:val="008D34F9"/>
    <w:rsid w:val="008D3566"/>
    <w:rsid w:val="008D3900"/>
    <w:rsid w:val="008D394E"/>
    <w:rsid w:val="008D39E1"/>
    <w:rsid w:val="008D3A38"/>
    <w:rsid w:val="008D3AAA"/>
    <w:rsid w:val="008D3BA8"/>
    <w:rsid w:val="008D3F05"/>
    <w:rsid w:val="008D3F92"/>
    <w:rsid w:val="008D412B"/>
    <w:rsid w:val="008D4278"/>
    <w:rsid w:val="008D4370"/>
    <w:rsid w:val="008D44A8"/>
    <w:rsid w:val="008D4550"/>
    <w:rsid w:val="008D4555"/>
    <w:rsid w:val="008D45D5"/>
    <w:rsid w:val="008D48B0"/>
    <w:rsid w:val="008D4C29"/>
    <w:rsid w:val="008D513A"/>
    <w:rsid w:val="008D529C"/>
    <w:rsid w:val="008D572D"/>
    <w:rsid w:val="008D59E1"/>
    <w:rsid w:val="008D5A75"/>
    <w:rsid w:val="008D5BA4"/>
    <w:rsid w:val="008D5C04"/>
    <w:rsid w:val="008D5E16"/>
    <w:rsid w:val="008D5E65"/>
    <w:rsid w:val="008D6082"/>
    <w:rsid w:val="008D60F1"/>
    <w:rsid w:val="008D6639"/>
    <w:rsid w:val="008D6734"/>
    <w:rsid w:val="008D67C7"/>
    <w:rsid w:val="008D6849"/>
    <w:rsid w:val="008D6C05"/>
    <w:rsid w:val="008D6E76"/>
    <w:rsid w:val="008D7655"/>
    <w:rsid w:val="008D7803"/>
    <w:rsid w:val="008D789E"/>
    <w:rsid w:val="008D7AD0"/>
    <w:rsid w:val="008D7CF5"/>
    <w:rsid w:val="008D7D2C"/>
    <w:rsid w:val="008D7E46"/>
    <w:rsid w:val="008E025E"/>
    <w:rsid w:val="008E02DE"/>
    <w:rsid w:val="008E05E9"/>
    <w:rsid w:val="008E064D"/>
    <w:rsid w:val="008E082F"/>
    <w:rsid w:val="008E0952"/>
    <w:rsid w:val="008E0972"/>
    <w:rsid w:val="008E099F"/>
    <w:rsid w:val="008E0F48"/>
    <w:rsid w:val="008E12E2"/>
    <w:rsid w:val="008E1498"/>
    <w:rsid w:val="008E1580"/>
    <w:rsid w:val="008E1871"/>
    <w:rsid w:val="008E1A53"/>
    <w:rsid w:val="008E1C7C"/>
    <w:rsid w:val="008E1D34"/>
    <w:rsid w:val="008E253E"/>
    <w:rsid w:val="008E271C"/>
    <w:rsid w:val="008E276A"/>
    <w:rsid w:val="008E2824"/>
    <w:rsid w:val="008E2A61"/>
    <w:rsid w:val="008E2C39"/>
    <w:rsid w:val="008E3016"/>
    <w:rsid w:val="008E32A9"/>
    <w:rsid w:val="008E33AF"/>
    <w:rsid w:val="008E347C"/>
    <w:rsid w:val="008E34FB"/>
    <w:rsid w:val="008E356C"/>
    <w:rsid w:val="008E37FB"/>
    <w:rsid w:val="008E44AC"/>
    <w:rsid w:val="008E44FE"/>
    <w:rsid w:val="008E4AD7"/>
    <w:rsid w:val="008E4B53"/>
    <w:rsid w:val="008E4CD9"/>
    <w:rsid w:val="008E4D19"/>
    <w:rsid w:val="008E4D29"/>
    <w:rsid w:val="008E4D3F"/>
    <w:rsid w:val="008E4E82"/>
    <w:rsid w:val="008E4FFC"/>
    <w:rsid w:val="008E500E"/>
    <w:rsid w:val="008E5121"/>
    <w:rsid w:val="008E532A"/>
    <w:rsid w:val="008E534C"/>
    <w:rsid w:val="008E5619"/>
    <w:rsid w:val="008E59FA"/>
    <w:rsid w:val="008E5BC6"/>
    <w:rsid w:val="008E5F7E"/>
    <w:rsid w:val="008E5F82"/>
    <w:rsid w:val="008E5FFA"/>
    <w:rsid w:val="008E620C"/>
    <w:rsid w:val="008E62D8"/>
    <w:rsid w:val="008E64D8"/>
    <w:rsid w:val="008E66E1"/>
    <w:rsid w:val="008E6745"/>
    <w:rsid w:val="008E6890"/>
    <w:rsid w:val="008E6DC1"/>
    <w:rsid w:val="008E70A2"/>
    <w:rsid w:val="008E71B8"/>
    <w:rsid w:val="008E7292"/>
    <w:rsid w:val="008E72E6"/>
    <w:rsid w:val="008E7479"/>
    <w:rsid w:val="008E76A0"/>
    <w:rsid w:val="008E76AB"/>
    <w:rsid w:val="008E781C"/>
    <w:rsid w:val="008E786A"/>
    <w:rsid w:val="008E7981"/>
    <w:rsid w:val="008E7C02"/>
    <w:rsid w:val="008E7C0D"/>
    <w:rsid w:val="008E7C2B"/>
    <w:rsid w:val="008F0084"/>
    <w:rsid w:val="008F00C8"/>
    <w:rsid w:val="008F01B4"/>
    <w:rsid w:val="008F01C3"/>
    <w:rsid w:val="008F0234"/>
    <w:rsid w:val="008F036C"/>
    <w:rsid w:val="008F03B6"/>
    <w:rsid w:val="008F04D7"/>
    <w:rsid w:val="008F0502"/>
    <w:rsid w:val="008F05C8"/>
    <w:rsid w:val="008F078B"/>
    <w:rsid w:val="008F09EE"/>
    <w:rsid w:val="008F0AC5"/>
    <w:rsid w:val="008F0B69"/>
    <w:rsid w:val="008F1006"/>
    <w:rsid w:val="008F12F6"/>
    <w:rsid w:val="008F12FD"/>
    <w:rsid w:val="008F1437"/>
    <w:rsid w:val="008F1857"/>
    <w:rsid w:val="008F18C1"/>
    <w:rsid w:val="008F19CE"/>
    <w:rsid w:val="008F1A02"/>
    <w:rsid w:val="008F1BFB"/>
    <w:rsid w:val="008F1E30"/>
    <w:rsid w:val="008F242F"/>
    <w:rsid w:val="008F2559"/>
    <w:rsid w:val="008F25AE"/>
    <w:rsid w:val="008F2872"/>
    <w:rsid w:val="008F2D39"/>
    <w:rsid w:val="008F2E23"/>
    <w:rsid w:val="008F2F2F"/>
    <w:rsid w:val="008F314B"/>
    <w:rsid w:val="008F338F"/>
    <w:rsid w:val="008F3570"/>
    <w:rsid w:val="008F3629"/>
    <w:rsid w:val="008F37FE"/>
    <w:rsid w:val="008F3981"/>
    <w:rsid w:val="008F3BDA"/>
    <w:rsid w:val="008F3C23"/>
    <w:rsid w:val="008F402C"/>
    <w:rsid w:val="008F447C"/>
    <w:rsid w:val="008F4558"/>
    <w:rsid w:val="008F46F1"/>
    <w:rsid w:val="008F478A"/>
    <w:rsid w:val="008F4838"/>
    <w:rsid w:val="008F4B48"/>
    <w:rsid w:val="008F4BD2"/>
    <w:rsid w:val="008F4F3A"/>
    <w:rsid w:val="008F4F7E"/>
    <w:rsid w:val="008F4FF0"/>
    <w:rsid w:val="008F52AC"/>
    <w:rsid w:val="008F576D"/>
    <w:rsid w:val="008F58FA"/>
    <w:rsid w:val="008F5E23"/>
    <w:rsid w:val="008F5EB8"/>
    <w:rsid w:val="008F5ECA"/>
    <w:rsid w:val="008F610C"/>
    <w:rsid w:val="008F6166"/>
    <w:rsid w:val="008F6341"/>
    <w:rsid w:val="008F6392"/>
    <w:rsid w:val="008F652D"/>
    <w:rsid w:val="008F6A38"/>
    <w:rsid w:val="008F6DB9"/>
    <w:rsid w:val="008F6ECA"/>
    <w:rsid w:val="008F6F82"/>
    <w:rsid w:val="008F6FF4"/>
    <w:rsid w:val="008F74FF"/>
    <w:rsid w:val="008F750E"/>
    <w:rsid w:val="008F780E"/>
    <w:rsid w:val="008F7869"/>
    <w:rsid w:val="008F78E5"/>
    <w:rsid w:val="008F7B11"/>
    <w:rsid w:val="008F7BE1"/>
    <w:rsid w:val="00900223"/>
    <w:rsid w:val="00900365"/>
    <w:rsid w:val="0090079E"/>
    <w:rsid w:val="00900DE5"/>
    <w:rsid w:val="00900FC1"/>
    <w:rsid w:val="009010CA"/>
    <w:rsid w:val="009010D2"/>
    <w:rsid w:val="00901322"/>
    <w:rsid w:val="00901382"/>
    <w:rsid w:val="009018B9"/>
    <w:rsid w:val="00901C3B"/>
    <w:rsid w:val="00901CEB"/>
    <w:rsid w:val="0090251C"/>
    <w:rsid w:val="00902676"/>
    <w:rsid w:val="00902728"/>
    <w:rsid w:val="00902962"/>
    <w:rsid w:val="00902AF7"/>
    <w:rsid w:val="00902ECF"/>
    <w:rsid w:val="0090301D"/>
    <w:rsid w:val="0090302F"/>
    <w:rsid w:val="009037EA"/>
    <w:rsid w:val="00903815"/>
    <w:rsid w:val="009039C0"/>
    <w:rsid w:val="00903ACB"/>
    <w:rsid w:val="00903B65"/>
    <w:rsid w:val="00903BDB"/>
    <w:rsid w:val="00903F09"/>
    <w:rsid w:val="009041E3"/>
    <w:rsid w:val="009042AB"/>
    <w:rsid w:val="009042EF"/>
    <w:rsid w:val="00904831"/>
    <w:rsid w:val="0090499F"/>
    <w:rsid w:val="00904CA1"/>
    <w:rsid w:val="00904D2B"/>
    <w:rsid w:val="00904F2F"/>
    <w:rsid w:val="009051A0"/>
    <w:rsid w:val="00905300"/>
    <w:rsid w:val="0090537A"/>
    <w:rsid w:val="00905653"/>
    <w:rsid w:val="00905775"/>
    <w:rsid w:val="00905EB0"/>
    <w:rsid w:val="00905ED8"/>
    <w:rsid w:val="00906155"/>
    <w:rsid w:val="00906477"/>
    <w:rsid w:val="00906478"/>
    <w:rsid w:val="009064E8"/>
    <w:rsid w:val="00906513"/>
    <w:rsid w:val="009065F0"/>
    <w:rsid w:val="00906AA7"/>
    <w:rsid w:val="00906D6B"/>
    <w:rsid w:val="00906F73"/>
    <w:rsid w:val="009077F0"/>
    <w:rsid w:val="00907803"/>
    <w:rsid w:val="00907897"/>
    <w:rsid w:val="009078CE"/>
    <w:rsid w:val="009078DB"/>
    <w:rsid w:val="00907905"/>
    <w:rsid w:val="0090790D"/>
    <w:rsid w:val="00907A49"/>
    <w:rsid w:val="00907B91"/>
    <w:rsid w:val="00907C03"/>
    <w:rsid w:val="009101AE"/>
    <w:rsid w:val="009102A2"/>
    <w:rsid w:val="0091032D"/>
    <w:rsid w:val="00910782"/>
    <w:rsid w:val="009109DD"/>
    <w:rsid w:val="00910A50"/>
    <w:rsid w:val="00910C5A"/>
    <w:rsid w:val="00910E90"/>
    <w:rsid w:val="00911093"/>
    <w:rsid w:val="0091145F"/>
    <w:rsid w:val="009117F7"/>
    <w:rsid w:val="00911874"/>
    <w:rsid w:val="009118F3"/>
    <w:rsid w:val="0091196C"/>
    <w:rsid w:val="00911A31"/>
    <w:rsid w:val="00911D02"/>
    <w:rsid w:val="00911DA5"/>
    <w:rsid w:val="00911EB9"/>
    <w:rsid w:val="00912032"/>
    <w:rsid w:val="0091253C"/>
    <w:rsid w:val="00912575"/>
    <w:rsid w:val="009125B3"/>
    <w:rsid w:val="009128C5"/>
    <w:rsid w:val="00912D1C"/>
    <w:rsid w:val="00912D30"/>
    <w:rsid w:val="00912DB2"/>
    <w:rsid w:val="00912DFC"/>
    <w:rsid w:val="00912E8B"/>
    <w:rsid w:val="00912FEE"/>
    <w:rsid w:val="009131F5"/>
    <w:rsid w:val="00913497"/>
    <w:rsid w:val="00913829"/>
    <w:rsid w:val="009138BB"/>
    <w:rsid w:val="00913A90"/>
    <w:rsid w:val="00913B39"/>
    <w:rsid w:val="00913B42"/>
    <w:rsid w:val="00913CC8"/>
    <w:rsid w:val="00913F1F"/>
    <w:rsid w:val="009141D6"/>
    <w:rsid w:val="00914313"/>
    <w:rsid w:val="0091472B"/>
    <w:rsid w:val="00914743"/>
    <w:rsid w:val="00914789"/>
    <w:rsid w:val="00914916"/>
    <w:rsid w:val="00914960"/>
    <w:rsid w:val="00914F65"/>
    <w:rsid w:val="00914FC6"/>
    <w:rsid w:val="00915134"/>
    <w:rsid w:val="009157EF"/>
    <w:rsid w:val="0091581F"/>
    <w:rsid w:val="009158A8"/>
    <w:rsid w:val="009158E6"/>
    <w:rsid w:val="00915961"/>
    <w:rsid w:val="00915964"/>
    <w:rsid w:val="00915B86"/>
    <w:rsid w:val="00915DDC"/>
    <w:rsid w:val="00915DEC"/>
    <w:rsid w:val="00915EC7"/>
    <w:rsid w:val="00915EE5"/>
    <w:rsid w:val="00916296"/>
    <w:rsid w:val="00916394"/>
    <w:rsid w:val="00916616"/>
    <w:rsid w:val="009167E6"/>
    <w:rsid w:val="00916857"/>
    <w:rsid w:val="00916885"/>
    <w:rsid w:val="00916A94"/>
    <w:rsid w:val="00916DA3"/>
    <w:rsid w:val="00916FBE"/>
    <w:rsid w:val="00917027"/>
    <w:rsid w:val="00917243"/>
    <w:rsid w:val="009173B6"/>
    <w:rsid w:val="00917464"/>
    <w:rsid w:val="0091764E"/>
    <w:rsid w:val="00917708"/>
    <w:rsid w:val="00917AE3"/>
    <w:rsid w:val="00917AFA"/>
    <w:rsid w:val="00917B1B"/>
    <w:rsid w:val="00917CE1"/>
    <w:rsid w:val="009200CC"/>
    <w:rsid w:val="009200E4"/>
    <w:rsid w:val="009202EE"/>
    <w:rsid w:val="00920536"/>
    <w:rsid w:val="0092056F"/>
    <w:rsid w:val="00920A27"/>
    <w:rsid w:val="00920B81"/>
    <w:rsid w:val="00920B93"/>
    <w:rsid w:val="00920D03"/>
    <w:rsid w:val="00920DF6"/>
    <w:rsid w:val="00920F56"/>
    <w:rsid w:val="00920FE1"/>
    <w:rsid w:val="00921217"/>
    <w:rsid w:val="009212FB"/>
    <w:rsid w:val="00921488"/>
    <w:rsid w:val="0092149E"/>
    <w:rsid w:val="009217B7"/>
    <w:rsid w:val="009217D2"/>
    <w:rsid w:val="009219F5"/>
    <w:rsid w:val="00921C3A"/>
    <w:rsid w:val="00921CFD"/>
    <w:rsid w:val="00921E6F"/>
    <w:rsid w:val="00922272"/>
    <w:rsid w:val="009225CF"/>
    <w:rsid w:val="009226E6"/>
    <w:rsid w:val="00922900"/>
    <w:rsid w:val="00922D52"/>
    <w:rsid w:val="00922DA1"/>
    <w:rsid w:val="009230F6"/>
    <w:rsid w:val="009230F9"/>
    <w:rsid w:val="00923109"/>
    <w:rsid w:val="00923284"/>
    <w:rsid w:val="0092340D"/>
    <w:rsid w:val="00923589"/>
    <w:rsid w:val="009238D8"/>
    <w:rsid w:val="00923AB3"/>
    <w:rsid w:val="009240D5"/>
    <w:rsid w:val="00924470"/>
    <w:rsid w:val="00924596"/>
    <w:rsid w:val="00924853"/>
    <w:rsid w:val="00924C17"/>
    <w:rsid w:val="00924EAE"/>
    <w:rsid w:val="00924EFB"/>
    <w:rsid w:val="00924F56"/>
    <w:rsid w:val="00925430"/>
    <w:rsid w:val="00925624"/>
    <w:rsid w:val="00925D66"/>
    <w:rsid w:val="00925E60"/>
    <w:rsid w:val="00925FD9"/>
    <w:rsid w:val="0092617D"/>
    <w:rsid w:val="009265B0"/>
    <w:rsid w:val="00926668"/>
    <w:rsid w:val="009266FB"/>
    <w:rsid w:val="0092680D"/>
    <w:rsid w:val="00926969"/>
    <w:rsid w:val="009269D0"/>
    <w:rsid w:val="00926B19"/>
    <w:rsid w:val="00926B23"/>
    <w:rsid w:val="00926B50"/>
    <w:rsid w:val="00926B9C"/>
    <w:rsid w:val="009270DE"/>
    <w:rsid w:val="00927399"/>
    <w:rsid w:val="009277DE"/>
    <w:rsid w:val="00927B6B"/>
    <w:rsid w:val="00927BA2"/>
    <w:rsid w:val="00927DE5"/>
    <w:rsid w:val="009300B9"/>
    <w:rsid w:val="0093028E"/>
    <w:rsid w:val="0093035B"/>
    <w:rsid w:val="009303A4"/>
    <w:rsid w:val="00930592"/>
    <w:rsid w:val="00930622"/>
    <w:rsid w:val="009306C7"/>
    <w:rsid w:val="0093078C"/>
    <w:rsid w:val="00930839"/>
    <w:rsid w:val="00930A35"/>
    <w:rsid w:val="00930AE3"/>
    <w:rsid w:val="00930BEC"/>
    <w:rsid w:val="00930D3D"/>
    <w:rsid w:val="00930E82"/>
    <w:rsid w:val="00930EAF"/>
    <w:rsid w:val="00930F90"/>
    <w:rsid w:val="00931067"/>
    <w:rsid w:val="00931416"/>
    <w:rsid w:val="00931428"/>
    <w:rsid w:val="0093144E"/>
    <w:rsid w:val="00931951"/>
    <w:rsid w:val="0093198D"/>
    <w:rsid w:val="00931AB3"/>
    <w:rsid w:val="00931C78"/>
    <w:rsid w:val="00931D1A"/>
    <w:rsid w:val="00931DD2"/>
    <w:rsid w:val="00932040"/>
    <w:rsid w:val="00932256"/>
    <w:rsid w:val="00932577"/>
    <w:rsid w:val="009327F1"/>
    <w:rsid w:val="00932A40"/>
    <w:rsid w:val="00932B4D"/>
    <w:rsid w:val="00932B91"/>
    <w:rsid w:val="00932CFD"/>
    <w:rsid w:val="009332DE"/>
    <w:rsid w:val="009332FB"/>
    <w:rsid w:val="0093365B"/>
    <w:rsid w:val="00933707"/>
    <w:rsid w:val="00933740"/>
    <w:rsid w:val="00933957"/>
    <w:rsid w:val="00933CF1"/>
    <w:rsid w:val="00933F90"/>
    <w:rsid w:val="009340AE"/>
    <w:rsid w:val="009344F7"/>
    <w:rsid w:val="009345D3"/>
    <w:rsid w:val="00934846"/>
    <w:rsid w:val="009349E1"/>
    <w:rsid w:val="00934B24"/>
    <w:rsid w:val="00934C1F"/>
    <w:rsid w:val="00934CEA"/>
    <w:rsid w:val="00934E0C"/>
    <w:rsid w:val="00934EFD"/>
    <w:rsid w:val="00935009"/>
    <w:rsid w:val="009352A9"/>
    <w:rsid w:val="009353A1"/>
    <w:rsid w:val="00935410"/>
    <w:rsid w:val="00935601"/>
    <w:rsid w:val="0093567A"/>
    <w:rsid w:val="00935951"/>
    <w:rsid w:val="00935B24"/>
    <w:rsid w:val="00935C9D"/>
    <w:rsid w:val="00935E07"/>
    <w:rsid w:val="00935EFA"/>
    <w:rsid w:val="00935F9E"/>
    <w:rsid w:val="0093628E"/>
    <w:rsid w:val="009362C4"/>
    <w:rsid w:val="00936331"/>
    <w:rsid w:val="0093651C"/>
    <w:rsid w:val="009366EB"/>
    <w:rsid w:val="00936B91"/>
    <w:rsid w:val="00936C47"/>
    <w:rsid w:val="00936C83"/>
    <w:rsid w:val="00936DCF"/>
    <w:rsid w:val="00937141"/>
    <w:rsid w:val="00937216"/>
    <w:rsid w:val="009373DA"/>
    <w:rsid w:val="009374AF"/>
    <w:rsid w:val="009375BA"/>
    <w:rsid w:val="00937706"/>
    <w:rsid w:val="00937A14"/>
    <w:rsid w:val="00937D33"/>
    <w:rsid w:val="00937E29"/>
    <w:rsid w:val="00937F37"/>
    <w:rsid w:val="00937FDD"/>
    <w:rsid w:val="00940016"/>
    <w:rsid w:val="00940887"/>
    <w:rsid w:val="0094091F"/>
    <w:rsid w:val="00940E6F"/>
    <w:rsid w:val="00940ED1"/>
    <w:rsid w:val="0094110E"/>
    <w:rsid w:val="0094112D"/>
    <w:rsid w:val="009413AA"/>
    <w:rsid w:val="00941428"/>
    <w:rsid w:val="009414BF"/>
    <w:rsid w:val="00941607"/>
    <w:rsid w:val="00941670"/>
    <w:rsid w:val="00941819"/>
    <w:rsid w:val="00941868"/>
    <w:rsid w:val="00941940"/>
    <w:rsid w:val="00941AA5"/>
    <w:rsid w:val="00941AD0"/>
    <w:rsid w:val="00941DD3"/>
    <w:rsid w:val="00941E77"/>
    <w:rsid w:val="00941F3A"/>
    <w:rsid w:val="009420B7"/>
    <w:rsid w:val="009420BB"/>
    <w:rsid w:val="009425FB"/>
    <w:rsid w:val="00942703"/>
    <w:rsid w:val="0094273F"/>
    <w:rsid w:val="00942A26"/>
    <w:rsid w:val="00942AFA"/>
    <w:rsid w:val="00942C95"/>
    <w:rsid w:val="00942C9F"/>
    <w:rsid w:val="00942D72"/>
    <w:rsid w:val="00942EE4"/>
    <w:rsid w:val="00942F45"/>
    <w:rsid w:val="00942F84"/>
    <w:rsid w:val="009430B8"/>
    <w:rsid w:val="009430C4"/>
    <w:rsid w:val="00943176"/>
    <w:rsid w:val="0094355D"/>
    <w:rsid w:val="00943758"/>
    <w:rsid w:val="00943AD0"/>
    <w:rsid w:val="00943B45"/>
    <w:rsid w:val="00943D66"/>
    <w:rsid w:val="00943DD9"/>
    <w:rsid w:val="00943F76"/>
    <w:rsid w:val="009442EE"/>
    <w:rsid w:val="00944351"/>
    <w:rsid w:val="00944454"/>
    <w:rsid w:val="0094474A"/>
    <w:rsid w:val="009448CD"/>
    <w:rsid w:val="009449A0"/>
    <w:rsid w:val="00944B3E"/>
    <w:rsid w:val="00944DF2"/>
    <w:rsid w:val="00944DF6"/>
    <w:rsid w:val="00944EEA"/>
    <w:rsid w:val="00944F6D"/>
    <w:rsid w:val="0094566A"/>
    <w:rsid w:val="00945801"/>
    <w:rsid w:val="0094595F"/>
    <w:rsid w:val="00945BA0"/>
    <w:rsid w:val="00945E15"/>
    <w:rsid w:val="00946371"/>
    <w:rsid w:val="00946467"/>
    <w:rsid w:val="00946669"/>
    <w:rsid w:val="00946776"/>
    <w:rsid w:val="00946D4C"/>
    <w:rsid w:val="00947270"/>
    <w:rsid w:val="009472F9"/>
    <w:rsid w:val="0094786A"/>
    <w:rsid w:val="00947B25"/>
    <w:rsid w:val="00947E98"/>
    <w:rsid w:val="00947F3C"/>
    <w:rsid w:val="00947F4C"/>
    <w:rsid w:val="00950013"/>
    <w:rsid w:val="009500C7"/>
    <w:rsid w:val="009500DA"/>
    <w:rsid w:val="009501D0"/>
    <w:rsid w:val="009501D9"/>
    <w:rsid w:val="00950246"/>
    <w:rsid w:val="0095025E"/>
    <w:rsid w:val="009504E7"/>
    <w:rsid w:val="00950518"/>
    <w:rsid w:val="00950598"/>
    <w:rsid w:val="0095082C"/>
    <w:rsid w:val="00950831"/>
    <w:rsid w:val="0095117F"/>
    <w:rsid w:val="009511BB"/>
    <w:rsid w:val="009511CF"/>
    <w:rsid w:val="009511E7"/>
    <w:rsid w:val="009517CE"/>
    <w:rsid w:val="009518A0"/>
    <w:rsid w:val="0095195A"/>
    <w:rsid w:val="00951A66"/>
    <w:rsid w:val="00951B27"/>
    <w:rsid w:val="00951B2C"/>
    <w:rsid w:val="00951C2B"/>
    <w:rsid w:val="00951D10"/>
    <w:rsid w:val="009523B1"/>
    <w:rsid w:val="0095271A"/>
    <w:rsid w:val="0095277A"/>
    <w:rsid w:val="009527A1"/>
    <w:rsid w:val="009528BB"/>
    <w:rsid w:val="00952955"/>
    <w:rsid w:val="00952B30"/>
    <w:rsid w:val="00952B59"/>
    <w:rsid w:val="00952B97"/>
    <w:rsid w:val="00952C68"/>
    <w:rsid w:val="00952D4A"/>
    <w:rsid w:val="00952FC6"/>
    <w:rsid w:val="009532B7"/>
    <w:rsid w:val="009532DF"/>
    <w:rsid w:val="009533BE"/>
    <w:rsid w:val="0095391E"/>
    <w:rsid w:val="00953D7C"/>
    <w:rsid w:val="00953E62"/>
    <w:rsid w:val="00953F99"/>
    <w:rsid w:val="0095405E"/>
    <w:rsid w:val="00954279"/>
    <w:rsid w:val="00954334"/>
    <w:rsid w:val="009544B3"/>
    <w:rsid w:val="00954588"/>
    <w:rsid w:val="0095489E"/>
    <w:rsid w:val="0095494F"/>
    <w:rsid w:val="00954B2A"/>
    <w:rsid w:val="00954B30"/>
    <w:rsid w:val="00954F3A"/>
    <w:rsid w:val="00955388"/>
    <w:rsid w:val="009554DC"/>
    <w:rsid w:val="00955513"/>
    <w:rsid w:val="0095563D"/>
    <w:rsid w:val="00955781"/>
    <w:rsid w:val="00955943"/>
    <w:rsid w:val="00955C2E"/>
    <w:rsid w:val="00955F37"/>
    <w:rsid w:val="00956107"/>
    <w:rsid w:val="009564D5"/>
    <w:rsid w:val="00956580"/>
    <w:rsid w:val="0095691C"/>
    <w:rsid w:val="00956A0E"/>
    <w:rsid w:val="00956D48"/>
    <w:rsid w:val="00956F2A"/>
    <w:rsid w:val="00956F2E"/>
    <w:rsid w:val="00956FCF"/>
    <w:rsid w:val="00956FF6"/>
    <w:rsid w:val="00957324"/>
    <w:rsid w:val="009576C7"/>
    <w:rsid w:val="009579BB"/>
    <w:rsid w:val="009579DB"/>
    <w:rsid w:val="00957AB5"/>
    <w:rsid w:val="00957B98"/>
    <w:rsid w:val="00957C5F"/>
    <w:rsid w:val="00957C8B"/>
    <w:rsid w:val="00957E22"/>
    <w:rsid w:val="00957E39"/>
    <w:rsid w:val="00960266"/>
    <w:rsid w:val="00960285"/>
    <w:rsid w:val="00960364"/>
    <w:rsid w:val="009607CA"/>
    <w:rsid w:val="009607FF"/>
    <w:rsid w:val="00960812"/>
    <w:rsid w:val="009608C9"/>
    <w:rsid w:val="00960B6F"/>
    <w:rsid w:val="00960FD5"/>
    <w:rsid w:val="0096124A"/>
    <w:rsid w:val="00961607"/>
    <w:rsid w:val="009618BE"/>
    <w:rsid w:val="0096191F"/>
    <w:rsid w:val="00961B99"/>
    <w:rsid w:val="00961D08"/>
    <w:rsid w:val="00961D0B"/>
    <w:rsid w:val="00961F4E"/>
    <w:rsid w:val="00962345"/>
    <w:rsid w:val="00962639"/>
    <w:rsid w:val="00962756"/>
    <w:rsid w:val="0096295D"/>
    <w:rsid w:val="00962BF0"/>
    <w:rsid w:val="00962D43"/>
    <w:rsid w:val="00962F88"/>
    <w:rsid w:val="0096319D"/>
    <w:rsid w:val="00963216"/>
    <w:rsid w:val="009633A7"/>
    <w:rsid w:val="0096348B"/>
    <w:rsid w:val="009635F4"/>
    <w:rsid w:val="00963A35"/>
    <w:rsid w:val="00963C45"/>
    <w:rsid w:val="00963C76"/>
    <w:rsid w:val="00963DBD"/>
    <w:rsid w:val="00963FBF"/>
    <w:rsid w:val="0096407A"/>
    <w:rsid w:val="0096421C"/>
    <w:rsid w:val="009642E3"/>
    <w:rsid w:val="0096439C"/>
    <w:rsid w:val="0096443F"/>
    <w:rsid w:val="00964590"/>
    <w:rsid w:val="009646B1"/>
    <w:rsid w:val="0096492D"/>
    <w:rsid w:val="0096492F"/>
    <w:rsid w:val="00964BB0"/>
    <w:rsid w:val="00964C50"/>
    <w:rsid w:val="00964D7C"/>
    <w:rsid w:val="009650B3"/>
    <w:rsid w:val="0096536C"/>
    <w:rsid w:val="00965466"/>
    <w:rsid w:val="009656D1"/>
    <w:rsid w:val="009658FE"/>
    <w:rsid w:val="00965D5A"/>
    <w:rsid w:val="00965E28"/>
    <w:rsid w:val="00965E5F"/>
    <w:rsid w:val="00965E6D"/>
    <w:rsid w:val="00965F20"/>
    <w:rsid w:val="00966038"/>
    <w:rsid w:val="009666B8"/>
    <w:rsid w:val="009668BD"/>
    <w:rsid w:val="00966BF3"/>
    <w:rsid w:val="00966D5B"/>
    <w:rsid w:val="00966E3C"/>
    <w:rsid w:val="00966F9F"/>
    <w:rsid w:val="009670CE"/>
    <w:rsid w:val="009671FD"/>
    <w:rsid w:val="009671FF"/>
    <w:rsid w:val="0096723F"/>
    <w:rsid w:val="0096732E"/>
    <w:rsid w:val="00967472"/>
    <w:rsid w:val="00967486"/>
    <w:rsid w:val="00967794"/>
    <w:rsid w:val="009677EF"/>
    <w:rsid w:val="009677F9"/>
    <w:rsid w:val="00967826"/>
    <w:rsid w:val="00967A11"/>
    <w:rsid w:val="00967AB7"/>
    <w:rsid w:val="00967B04"/>
    <w:rsid w:val="00967BD3"/>
    <w:rsid w:val="00967CBC"/>
    <w:rsid w:val="00967DA0"/>
    <w:rsid w:val="00970061"/>
    <w:rsid w:val="009707C5"/>
    <w:rsid w:val="009708CE"/>
    <w:rsid w:val="0097095B"/>
    <w:rsid w:val="00970A66"/>
    <w:rsid w:val="00970EB4"/>
    <w:rsid w:val="00970ED2"/>
    <w:rsid w:val="00970EF4"/>
    <w:rsid w:val="00970F61"/>
    <w:rsid w:val="00970FEE"/>
    <w:rsid w:val="00971011"/>
    <w:rsid w:val="009710C0"/>
    <w:rsid w:val="00971501"/>
    <w:rsid w:val="00971525"/>
    <w:rsid w:val="009715C0"/>
    <w:rsid w:val="00971B50"/>
    <w:rsid w:val="00971C19"/>
    <w:rsid w:val="00971CC1"/>
    <w:rsid w:val="00971D89"/>
    <w:rsid w:val="00971F2E"/>
    <w:rsid w:val="00972073"/>
    <w:rsid w:val="00972401"/>
    <w:rsid w:val="00972408"/>
    <w:rsid w:val="00972413"/>
    <w:rsid w:val="00972655"/>
    <w:rsid w:val="009728F4"/>
    <w:rsid w:val="009729DD"/>
    <w:rsid w:val="00972B3A"/>
    <w:rsid w:val="00972B81"/>
    <w:rsid w:val="00972D3C"/>
    <w:rsid w:val="00972DB4"/>
    <w:rsid w:val="00972FC4"/>
    <w:rsid w:val="00973238"/>
    <w:rsid w:val="00973257"/>
    <w:rsid w:val="00973432"/>
    <w:rsid w:val="0097357E"/>
    <w:rsid w:val="00973678"/>
    <w:rsid w:val="009736AC"/>
    <w:rsid w:val="009737FA"/>
    <w:rsid w:val="009738EF"/>
    <w:rsid w:val="00973BB2"/>
    <w:rsid w:val="00973C2B"/>
    <w:rsid w:val="00973D63"/>
    <w:rsid w:val="00974242"/>
    <w:rsid w:val="00974429"/>
    <w:rsid w:val="00974435"/>
    <w:rsid w:val="00974A85"/>
    <w:rsid w:val="00974D46"/>
    <w:rsid w:val="00974D5E"/>
    <w:rsid w:val="00974EC7"/>
    <w:rsid w:val="00974F55"/>
    <w:rsid w:val="00975014"/>
    <w:rsid w:val="00975111"/>
    <w:rsid w:val="00975753"/>
    <w:rsid w:val="00976017"/>
    <w:rsid w:val="009761C8"/>
    <w:rsid w:val="00976204"/>
    <w:rsid w:val="00976340"/>
    <w:rsid w:val="00976958"/>
    <w:rsid w:val="0097698E"/>
    <w:rsid w:val="009769F4"/>
    <w:rsid w:val="00976C37"/>
    <w:rsid w:val="00977073"/>
    <w:rsid w:val="00977454"/>
    <w:rsid w:val="009774F0"/>
    <w:rsid w:val="00977571"/>
    <w:rsid w:val="00977832"/>
    <w:rsid w:val="00977843"/>
    <w:rsid w:val="00977B80"/>
    <w:rsid w:val="00977E30"/>
    <w:rsid w:val="009808FD"/>
    <w:rsid w:val="00980B2F"/>
    <w:rsid w:val="00980D18"/>
    <w:rsid w:val="00980E9E"/>
    <w:rsid w:val="00980F6E"/>
    <w:rsid w:val="00981718"/>
    <w:rsid w:val="0098190D"/>
    <w:rsid w:val="00981919"/>
    <w:rsid w:val="00981D8B"/>
    <w:rsid w:val="00981DDB"/>
    <w:rsid w:val="00981F72"/>
    <w:rsid w:val="00981F86"/>
    <w:rsid w:val="00982458"/>
    <w:rsid w:val="00982809"/>
    <w:rsid w:val="00982C50"/>
    <w:rsid w:val="00982CED"/>
    <w:rsid w:val="009830BA"/>
    <w:rsid w:val="009830C6"/>
    <w:rsid w:val="009830FD"/>
    <w:rsid w:val="00983404"/>
    <w:rsid w:val="0098361F"/>
    <w:rsid w:val="009837A7"/>
    <w:rsid w:val="0098389B"/>
    <w:rsid w:val="009838B6"/>
    <w:rsid w:val="00983910"/>
    <w:rsid w:val="00983974"/>
    <w:rsid w:val="00983999"/>
    <w:rsid w:val="00983A50"/>
    <w:rsid w:val="00983CCB"/>
    <w:rsid w:val="00983FD9"/>
    <w:rsid w:val="00984118"/>
    <w:rsid w:val="00984393"/>
    <w:rsid w:val="00984430"/>
    <w:rsid w:val="0098458B"/>
    <w:rsid w:val="009845F7"/>
    <w:rsid w:val="00984799"/>
    <w:rsid w:val="00984992"/>
    <w:rsid w:val="00984999"/>
    <w:rsid w:val="00984B48"/>
    <w:rsid w:val="00984B82"/>
    <w:rsid w:val="00984BB0"/>
    <w:rsid w:val="00984C3D"/>
    <w:rsid w:val="00984E47"/>
    <w:rsid w:val="00985187"/>
    <w:rsid w:val="009852E8"/>
    <w:rsid w:val="0098550A"/>
    <w:rsid w:val="00985560"/>
    <w:rsid w:val="009856A6"/>
    <w:rsid w:val="00985834"/>
    <w:rsid w:val="00985926"/>
    <w:rsid w:val="0098597A"/>
    <w:rsid w:val="00985998"/>
    <w:rsid w:val="009864DD"/>
    <w:rsid w:val="0098656C"/>
    <w:rsid w:val="009867A0"/>
    <w:rsid w:val="00986812"/>
    <w:rsid w:val="00986827"/>
    <w:rsid w:val="00986E50"/>
    <w:rsid w:val="00986E54"/>
    <w:rsid w:val="009870D7"/>
    <w:rsid w:val="0098725B"/>
    <w:rsid w:val="009875AC"/>
    <w:rsid w:val="00987864"/>
    <w:rsid w:val="00987B52"/>
    <w:rsid w:val="00987BAF"/>
    <w:rsid w:val="0099002F"/>
    <w:rsid w:val="009900FD"/>
    <w:rsid w:val="00990209"/>
    <w:rsid w:val="009902BA"/>
    <w:rsid w:val="0099031A"/>
    <w:rsid w:val="0099033A"/>
    <w:rsid w:val="009906B8"/>
    <w:rsid w:val="009908E3"/>
    <w:rsid w:val="009909CF"/>
    <w:rsid w:val="00990AB9"/>
    <w:rsid w:val="00990B67"/>
    <w:rsid w:val="00990EBE"/>
    <w:rsid w:val="00990F13"/>
    <w:rsid w:val="00990F54"/>
    <w:rsid w:val="00991017"/>
    <w:rsid w:val="00991534"/>
    <w:rsid w:val="00991678"/>
    <w:rsid w:val="00991954"/>
    <w:rsid w:val="00991989"/>
    <w:rsid w:val="00991BAE"/>
    <w:rsid w:val="00991C4D"/>
    <w:rsid w:val="00991DE1"/>
    <w:rsid w:val="00991E19"/>
    <w:rsid w:val="0099241E"/>
    <w:rsid w:val="0099246C"/>
    <w:rsid w:val="0099270A"/>
    <w:rsid w:val="00992CE2"/>
    <w:rsid w:val="00992DF5"/>
    <w:rsid w:val="009930F3"/>
    <w:rsid w:val="009931E2"/>
    <w:rsid w:val="009932F7"/>
    <w:rsid w:val="00993437"/>
    <w:rsid w:val="009936E9"/>
    <w:rsid w:val="009937B7"/>
    <w:rsid w:val="00993A4B"/>
    <w:rsid w:val="00993A97"/>
    <w:rsid w:val="00993D27"/>
    <w:rsid w:val="00993E68"/>
    <w:rsid w:val="009947DB"/>
    <w:rsid w:val="009950E8"/>
    <w:rsid w:val="00995311"/>
    <w:rsid w:val="00995549"/>
    <w:rsid w:val="009956AC"/>
    <w:rsid w:val="00995AD5"/>
    <w:rsid w:val="00995C75"/>
    <w:rsid w:val="00995C90"/>
    <w:rsid w:val="00995CD9"/>
    <w:rsid w:val="00995D41"/>
    <w:rsid w:val="00995DD9"/>
    <w:rsid w:val="00995FAE"/>
    <w:rsid w:val="00996035"/>
    <w:rsid w:val="009963D4"/>
    <w:rsid w:val="00996447"/>
    <w:rsid w:val="009964EC"/>
    <w:rsid w:val="009965D2"/>
    <w:rsid w:val="009966ED"/>
    <w:rsid w:val="009966F3"/>
    <w:rsid w:val="00996786"/>
    <w:rsid w:val="0099681D"/>
    <w:rsid w:val="00996B93"/>
    <w:rsid w:val="00996E7B"/>
    <w:rsid w:val="00997075"/>
    <w:rsid w:val="00997130"/>
    <w:rsid w:val="009974EE"/>
    <w:rsid w:val="00997617"/>
    <w:rsid w:val="00997757"/>
    <w:rsid w:val="009979DB"/>
    <w:rsid w:val="00997A89"/>
    <w:rsid w:val="00997C04"/>
    <w:rsid w:val="00997C23"/>
    <w:rsid w:val="009A009D"/>
    <w:rsid w:val="009A00E5"/>
    <w:rsid w:val="009A01E4"/>
    <w:rsid w:val="009A02CB"/>
    <w:rsid w:val="009A0455"/>
    <w:rsid w:val="009A051C"/>
    <w:rsid w:val="009A063F"/>
    <w:rsid w:val="009A07A6"/>
    <w:rsid w:val="009A07C3"/>
    <w:rsid w:val="009A0881"/>
    <w:rsid w:val="009A095E"/>
    <w:rsid w:val="009A0A3F"/>
    <w:rsid w:val="009A0DF5"/>
    <w:rsid w:val="009A1161"/>
    <w:rsid w:val="009A1180"/>
    <w:rsid w:val="009A129E"/>
    <w:rsid w:val="009A160E"/>
    <w:rsid w:val="009A1800"/>
    <w:rsid w:val="009A1CA0"/>
    <w:rsid w:val="009A1DD9"/>
    <w:rsid w:val="009A2015"/>
    <w:rsid w:val="009A2372"/>
    <w:rsid w:val="009A23C9"/>
    <w:rsid w:val="009A2430"/>
    <w:rsid w:val="009A287A"/>
    <w:rsid w:val="009A29DE"/>
    <w:rsid w:val="009A2A21"/>
    <w:rsid w:val="009A2AB2"/>
    <w:rsid w:val="009A2B5C"/>
    <w:rsid w:val="009A2B89"/>
    <w:rsid w:val="009A2BEE"/>
    <w:rsid w:val="009A2E15"/>
    <w:rsid w:val="009A2FBA"/>
    <w:rsid w:val="009A30E3"/>
    <w:rsid w:val="009A31C9"/>
    <w:rsid w:val="009A3317"/>
    <w:rsid w:val="009A332E"/>
    <w:rsid w:val="009A36F3"/>
    <w:rsid w:val="009A370D"/>
    <w:rsid w:val="009A38B1"/>
    <w:rsid w:val="009A3B76"/>
    <w:rsid w:val="009A3DA2"/>
    <w:rsid w:val="009A3DBD"/>
    <w:rsid w:val="009A3F2E"/>
    <w:rsid w:val="009A3F70"/>
    <w:rsid w:val="009A3F9E"/>
    <w:rsid w:val="009A4140"/>
    <w:rsid w:val="009A4240"/>
    <w:rsid w:val="009A42F1"/>
    <w:rsid w:val="009A431B"/>
    <w:rsid w:val="009A47CD"/>
    <w:rsid w:val="009A4ABA"/>
    <w:rsid w:val="009A4AEB"/>
    <w:rsid w:val="009A4B70"/>
    <w:rsid w:val="009A4CEA"/>
    <w:rsid w:val="009A4E5D"/>
    <w:rsid w:val="009A4EE0"/>
    <w:rsid w:val="009A4FEB"/>
    <w:rsid w:val="009A5020"/>
    <w:rsid w:val="009A5520"/>
    <w:rsid w:val="009A5584"/>
    <w:rsid w:val="009A56F5"/>
    <w:rsid w:val="009A5CC1"/>
    <w:rsid w:val="009A614F"/>
    <w:rsid w:val="009A62E5"/>
    <w:rsid w:val="009A6327"/>
    <w:rsid w:val="009A647D"/>
    <w:rsid w:val="009A6615"/>
    <w:rsid w:val="009A666A"/>
    <w:rsid w:val="009A6792"/>
    <w:rsid w:val="009A69EA"/>
    <w:rsid w:val="009A6C82"/>
    <w:rsid w:val="009A6E73"/>
    <w:rsid w:val="009A6E97"/>
    <w:rsid w:val="009A6F31"/>
    <w:rsid w:val="009A70AF"/>
    <w:rsid w:val="009A72A1"/>
    <w:rsid w:val="009A7341"/>
    <w:rsid w:val="009A740F"/>
    <w:rsid w:val="009A760C"/>
    <w:rsid w:val="009A7884"/>
    <w:rsid w:val="009A78E8"/>
    <w:rsid w:val="009A79BD"/>
    <w:rsid w:val="009A7BB6"/>
    <w:rsid w:val="009A7CBA"/>
    <w:rsid w:val="009A7D2F"/>
    <w:rsid w:val="009A7E46"/>
    <w:rsid w:val="009A7F4A"/>
    <w:rsid w:val="009B00A8"/>
    <w:rsid w:val="009B04F1"/>
    <w:rsid w:val="009B07A5"/>
    <w:rsid w:val="009B08B5"/>
    <w:rsid w:val="009B0B9A"/>
    <w:rsid w:val="009B0BDC"/>
    <w:rsid w:val="009B10D7"/>
    <w:rsid w:val="009B12D5"/>
    <w:rsid w:val="009B1412"/>
    <w:rsid w:val="009B186D"/>
    <w:rsid w:val="009B1930"/>
    <w:rsid w:val="009B19A2"/>
    <w:rsid w:val="009B1EAE"/>
    <w:rsid w:val="009B1FFD"/>
    <w:rsid w:val="009B224B"/>
    <w:rsid w:val="009B23ED"/>
    <w:rsid w:val="009B2404"/>
    <w:rsid w:val="009B2AAB"/>
    <w:rsid w:val="009B2DA1"/>
    <w:rsid w:val="009B2F2C"/>
    <w:rsid w:val="009B2FEC"/>
    <w:rsid w:val="009B30B4"/>
    <w:rsid w:val="009B3206"/>
    <w:rsid w:val="009B332B"/>
    <w:rsid w:val="009B333E"/>
    <w:rsid w:val="009B3475"/>
    <w:rsid w:val="009B349D"/>
    <w:rsid w:val="009B3BD6"/>
    <w:rsid w:val="009B3D9F"/>
    <w:rsid w:val="009B3E9A"/>
    <w:rsid w:val="009B405B"/>
    <w:rsid w:val="009B41A3"/>
    <w:rsid w:val="009B4A90"/>
    <w:rsid w:val="009B4D08"/>
    <w:rsid w:val="009B4E8C"/>
    <w:rsid w:val="009B4EC0"/>
    <w:rsid w:val="009B5075"/>
    <w:rsid w:val="009B530D"/>
    <w:rsid w:val="009B5436"/>
    <w:rsid w:val="009B556A"/>
    <w:rsid w:val="009B5706"/>
    <w:rsid w:val="009B58C1"/>
    <w:rsid w:val="009B5B10"/>
    <w:rsid w:val="009B5F47"/>
    <w:rsid w:val="009B632B"/>
    <w:rsid w:val="009B6444"/>
    <w:rsid w:val="009B6B55"/>
    <w:rsid w:val="009B6B89"/>
    <w:rsid w:val="009B6C94"/>
    <w:rsid w:val="009B6E3C"/>
    <w:rsid w:val="009B75A8"/>
    <w:rsid w:val="009B7871"/>
    <w:rsid w:val="009B78C0"/>
    <w:rsid w:val="009B7B0A"/>
    <w:rsid w:val="009B7C17"/>
    <w:rsid w:val="009C0196"/>
    <w:rsid w:val="009C0399"/>
    <w:rsid w:val="009C047C"/>
    <w:rsid w:val="009C05FF"/>
    <w:rsid w:val="009C06D0"/>
    <w:rsid w:val="009C0713"/>
    <w:rsid w:val="009C0A73"/>
    <w:rsid w:val="009C0B96"/>
    <w:rsid w:val="009C0BFE"/>
    <w:rsid w:val="009C0C76"/>
    <w:rsid w:val="009C0E6B"/>
    <w:rsid w:val="009C0E8E"/>
    <w:rsid w:val="009C1039"/>
    <w:rsid w:val="009C1106"/>
    <w:rsid w:val="009C135F"/>
    <w:rsid w:val="009C168F"/>
    <w:rsid w:val="009C16AA"/>
    <w:rsid w:val="009C1845"/>
    <w:rsid w:val="009C18EA"/>
    <w:rsid w:val="009C1D07"/>
    <w:rsid w:val="009C1EA6"/>
    <w:rsid w:val="009C247B"/>
    <w:rsid w:val="009C2AA5"/>
    <w:rsid w:val="009C2E45"/>
    <w:rsid w:val="009C2F02"/>
    <w:rsid w:val="009C2F40"/>
    <w:rsid w:val="009C3117"/>
    <w:rsid w:val="009C3330"/>
    <w:rsid w:val="009C369E"/>
    <w:rsid w:val="009C37DD"/>
    <w:rsid w:val="009C392F"/>
    <w:rsid w:val="009C3960"/>
    <w:rsid w:val="009C3A25"/>
    <w:rsid w:val="009C3C65"/>
    <w:rsid w:val="009C3E29"/>
    <w:rsid w:val="009C3E78"/>
    <w:rsid w:val="009C3F8E"/>
    <w:rsid w:val="009C3FA0"/>
    <w:rsid w:val="009C3FF5"/>
    <w:rsid w:val="009C4359"/>
    <w:rsid w:val="009C47D4"/>
    <w:rsid w:val="009C47DB"/>
    <w:rsid w:val="009C481E"/>
    <w:rsid w:val="009C4A4E"/>
    <w:rsid w:val="009C4C68"/>
    <w:rsid w:val="009C4F7F"/>
    <w:rsid w:val="009C5054"/>
    <w:rsid w:val="009C5A3C"/>
    <w:rsid w:val="009C5CE0"/>
    <w:rsid w:val="009C5CE2"/>
    <w:rsid w:val="009C5DC9"/>
    <w:rsid w:val="009C5F91"/>
    <w:rsid w:val="009C61A0"/>
    <w:rsid w:val="009C62A5"/>
    <w:rsid w:val="009C62AD"/>
    <w:rsid w:val="009C6361"/>
    <w:rsid w:val="009C63AC"/>
    <w:rsid w:val="009C6678"/>
    <w:rsid w:val="009C6958"/>
    <w:rsid w:val="009C6C65"/>
    <w:rsid w:val="009C6D70"/>
    <w:rsid w:val="009C6D9D"/>
    <w:rsid w:val="009C6E1A"/>
    <w:rsid w:val="009C6E5A"/>
    <w:rsid w:val="009C7107"/>
    <w:rsid w:val="009C7179"/>
    <w:rsid w:val="009C71A5"/>
    <w:rsid w:val="009C72F2"/>
    <w:rsid w:val="009C734E"/>
    <w:rsid w:val="009C742B"/>
    <w:rsid w:val="009C745C"/>
    <w:rsid w:val="009C74C4"/>
    <w:rsid w:val="009C76EE"/>
    <w:rsid w:val="009C78BD"/>
    <w:rsid w:val="009C790C"/>
    <w:rsid w:val="009C7A9E"/>
    <w:rsid w:val="009C7C1E"/>
    <w:rsid w:val="009C7D90"/>
    <w:rsid w:val="009C7E06"/>
    <w:rsid w:val="009D0084"/>
    <w:rsid w:val="009D0253"/>
    <w:rsid w:val="009D026D"/>
    <w:rsid w:val="009D0289"/>
    <w:rsid w:val="009D03FE"/>
    <w:rsid w:val="009D07D8"/>
    <w:rsid w:val="009D097C"/>
    <w:rsid w:val="009D0E2C"/>
    <w:rsid w:val="009D0E7B"/>
    <w:rsid w:val="009D0ED8"/>
    <w:rsid w:val="009D1090"/>
    <w:rsid w:val="009D1154"/>
    <w:rsid w:val="009D12D2"/>
    <w:rsid w:val="009D1329"/>
    <w:rsid w:val="009D13C7"/>
    <w:rsid w:val="009D13CF"/>
    <w:rsid w:val="009D1401"/>
    <w:rsid w:val="009D157B"/>
    <w:rsid w:val="009D1775"/>
    <w:rsid w:val="009D1856"/>
    <w:rsid w:val="009D19FB"/>
    <w:rsid w:val="009D1D5E"/>
    <w:rsid w:val="009D1D85"/>
    <w:rsid w:val="009D1DC5"/>
    <w:rsid w:val="009D2490"/>
    <w:rsid w:val="009D2B70"/>
    <w:rsid w:val="009D2B84"/>
    <w:rsid w:val="009D2C1A"/>
    <w:rsid w:val="009D2DA4"/>
    <w:rsid w:val="009D2EE2"/>
    <w:rsid w:val="009D32F2"/>
    <w:rsid w:val="009D3656"/>
    <w:rsid w:val="009D37F2"/>
    <w:rsid w:val="009D3830"/>
    <w:rsid w:val="009D39B2"/>
    <w:rsid w:val="009D3B31"/>
    <w:rsid w:val="009D3D94"/>
    <w:rsid w:val="009D3D9E"/>
    <w:rsid w:val="009D3F3D"/>
    <w:rsid w:val="009D3F92"/>
    <w:rsid w:val="009D4095"/>
    <w:rsid w:val="009D436B"/>
    <w:rsid w:val="009D438B"/>
    <w:rsid w:val="009D438F"/>
    <w:rsid w:val="009D4399"/>
    <w:rsid w:val="009D43E3"/>
    <w:rsid w:val="009D4762"/>
    <w:rsid w:val="009D4A56"/>
    <w:rsid w:val="009D4B01"/>
    <w:rsid w:val="009D4C57"/>
    <w:rsid w:val="009D4CF4"/>
    <w:rsid w:val="009D4E9D"/>
    <w:rsid w:val="009D522D"/>
    <w:rsid w:val="009D53F5"/>
    <w:rsid w:val="009D53F8"/>
    <w:rsid w:val="009D55C7"/>
    <w:rsid w:val="009D55F0"/>
    <w:rsid w:val="009D5C2A"/>
    <w:rsid w:val="009D65DA"/>
    <w:rsid w:val="009D6748"/>
    <w:rsid w:val="009D6856"/>
    <w:rsid w:val="009D6877"/>
    <w:rsid w:val="009D6B75"/>
    <w:rsid w:val="009D6E54"/>
    <w:rsid w:val="009D72EC"/>
    <w:rsid w:val="009D76DD"/>
    <w:rsid w:val="009D77DD"/>
    <w:rsid w:val="009D77E3"/>
    <w:rsid w:val="009D77EF"/>
    <w:rsid w:val="009D781A"/>
    <w:rsid w:val="009D783F"/>
    <w:rsid w:val="009D78C5"/>
    <w:rsid w:val="009D7D00"/>
    <w:rsid w:val="009D7D8C"/>
    <w:rsid w:val="009D7DEF"/>
    <w:rsid w:val="009D7E38"/>
    <w:rsid w:val="009E0044"/>
    <w:rsid w:val="009E073D"/>
    <w:rsid w:val="009E0892"/>
    <w:rsid w:val="009E0DE2"/>
    <w:rsid w:val="009E1298"/>
    <w:rsid w:val="009E12C6"/>
    <w:rsid w:val="009E13C2"/>
    <w:rsid w:val="009E157F"/>
    <w:rsid w:val="009E1791"/>
    <w:rsid w:val="009E1AB0"/>
    <w:rsid w:val="009E1B43"/>
    <w:rsid w:val="009E1BFB"/>
    <w:rsid w:val="009E1F56"/>
    <w:rsid w:val="009E2515"/>
    <w:rsid w:val="009E265E"/>
    <w:rsid w:val="009E28A4"/>
    <w:rsid w:val="009E2C1E"/>
    <w:rsid w:val="009E2E70"/>
    <w:rsid w:val="009E2F23"/>
    <w:rsid w:val="009E2F86"/>
    <w:rsid w:val="009E2FA6"/>
    <w:rsid w:val="009E2FC2"/>
    <w:rsid w:val="009E2FDE"/>
    <w:rsid w:val="009E3025"/>
    <w:rsid w:val="009E302F"/>
    <w:rsid w:val="009E3073"/>
    <w:rsid w:val="009E3238"/>
    <w:rsid w:val="009E3A15"/>
    <w:rsid w:val="009E3A6B"/>
    <w:rsid w:val="009E3AFA"/>
    <w:rsid w:val="009E3BB7"/>
    <w:rsid w:val="009E3CF7"/>
    <w:rsid w:val="009E3D2B"/>
    <w:rsid w:val="009E40CA"/>
    <w:rsid w:val="009E41B8"/>
    <w:rsid w:val="009E4278"/>
    <w:rsid w:val="009E4315"/>
    <w:rsid w:val="009E43B7"/>
    <w:rsid w:val="009E4423"/>
    <w:rsid w:val="009E46EF"/>
    <w:rsid w:val="009E4780"/>
    <w:rsid w:val="009E492A"/>
    <w:rsid w:val="009E4B49"/>
    <w:rsid w:val="009E4BFE"/>
    <w:rsid w:val="009E4C9A"/>
    <w:rsid w:val="009E4EBD"/>
    <w:rsid w:val="009E4F24"/>
    <w:rsid w:val="009E524C"/>
    <w:rsid w:val="009E5554"/>
    <w:rsid w:val="009E5567"/>
    <w:rsid w:val="009E56AD"/>
    <w:rsid w:val="009E56F0"/>
    <w:rsid w:val="009E5796"/>
    <w:rsid w:val="009E59B7"/>
    <w:rsid w:val="009E5B0C"/>
    <w:rsid w:val="009E5E0C"/>
    <w:rsid w:val="009E5E2B"/>
    <w:rsid w:val="009E5F2C"/>
    <w:rsid w:val="009E5FE3"/>
    <w:rsid w:val="009E617D"/>
    <w:rsid w:val="009E619C"/>
    <w:rsid w:val="009E62D9"/>
    <w:rsid w:val="009E65ED"/>
    <w:rsid w:val="009E68A6"/>
    <w:rsid w:val="009E68D2"/>
    <w:rsid w:val="009E6E0C"/>
    <w:rsid w:val="009E6EF1"/>
    <w:rsid w:val="009E7094"/>
    <w:rsid w:val="009E7155"/>
    <w:rsid w:val="009E722E"/>
    <w:rsid w:val="009E7395"/>
    <w:rsid w:val="009E747F"/>
    <w:rsid w:val="009E748E"/>
    <w:rsid w:val="009E77A5"/>
    <w:rsid w:val="009E7B06"/>
    <w:rsid w:val="009E7BC2"/>
    <w:rsid w:val="009E7FA8"/>
    <w:rsid w:val="009F0015"/>
    <w:rsid w:val="009F0312"/>
    <w:rsid w:val="009F0514"/>
    <w:rsid w:val="009F05BD"/>
    <w:rsid w:val="009F0643"/>
    <w:rsid w:val="009F0687"/>
    <w:rsid w:val="009F07E3"/>
    <w:rsid w:val="009F0831"/>
    <w:rsid w:val="009F0D79"/>
    <w:rsid w:val="009F0F01"/>
    <w:rsid w:val="009F0F52"/>
    <w:rsid w:val="009F0FB5"/>
    <w:rsid w:val="009F0FE6"/>
    <w:rsid w:val="009F12AB"/>
    <w:rsid w:val="009F14B9"/>
    <w:rsid w:val="009F16BE"/>
    <w:rsid w:val="009F17A5"/>
    <w:rsid w:val="009F1D0A"/>
    <w:rsid w:val="009F1D10"/>
    <w:rsid w:val="009F22C5"/>
    <w:rsid w:val="009F231E"/>
    <w:rsid w:val="009F26F6"/>
    <w:rsid w:val="009F2D6D"/>
    <w:rsid w:val="009F328F"/>
    <w:rsid w:val="009F32B9"/>
    <w:rsid w:val="009F348F"/>
    <w:rsid w:val="009F3539"/>
    <w:rsid w:val="009F3800"/>
    <w:rsid w:val="009F3810"/>
    <w:rsid w:val="009F3820"/>
    <w:rsid w:val="009F3ABF"/>
    <w:rsid w:val="009F3AE9"/>
    <w:rsid w:val="009F4417"/>
    <w:rsid w:val="009F44D5"/>
    <w:rsid w:val="009F4665"/>
    <w:rsid w:val="009F46FD"/>
    <w:rsid w:val="009F4B4D"/>
    <w:rsid w:val="009F4C3D"/>
    <w:rsid w:val="009F4CCA"/>
    <w:rsid w:val="009F4E4E"/>
    <w:rsid w:val="009F4FD6"/>
    <w:rsid w:val="009F503E"/>
    <w:rsid w:val="009F5130"/>
    <w:rsid w:val="009F5277"/>
    <w:rsid w:val="009F557F"/>
    <w:rsid w:val="009F56A9"/>
    <w:rsid w:val="009F56F0"/>
    <w:rsid w:val="009F5954"/>
    <w:rsid w:val="009F5A8E"/>
    <w:rsid w:val="009F5C35"/>
    <w:rsid w:val="009F5FCA"/>
    <w:rsid w:val="009F63D2"/>
    <w:rsid w:val="009F6679"/>
    <w:rsid w:val="009F6955"/>
    <w:rsid w:val="009F6BCB"/>
    <w:rsid w:val="009F6E41"/>
    <w:rsid w:val="009F6ECB"/>
    <w:rsid w:val="009F6F9B"/>
    <w:rsid w:val="009F7068"/>
    <w:rsid w:val="009F7397"/>
    <w:rsid w:val="009F7488"/>
    <w:rsid w:val="009F74FF"/>
    <w:rsid w:val="009F7568"/>
    <w:rsid w:val="009F797B"/>
    <w:rsid w:val="009F7D66"/>
    <w:rsid w:val="009F7E60"/>
    <w:rsid w:val="009F7E8D"/>
    <w:rsid w:val="009F7E92"/>
    <w:rsid w:val="00A00095"/>
    <w:rsid w:val="00A000E3"/>
    <w:rsid w:val="00A00111"/>
    <w:rsid w:val="00A00364"/>
    <w:rsid w:val="00A004EA"/>
    <w:rsid w:val="00A006A7"/>
    <w:rsid w:val="00A00A88"/>
    <w:rsid w:val="00A00B22"/>
    <w:rsid w:val="00A00BB9"/>
    <w:rsid w:val="00A00DE8"/>
    <w:rsid w:val="00A00F1E"/>
    <w:rsid w:val="00A00FE8"/>
    <w:rsid w:val="00A010A5"/>
    <w:rsid w:val="00A01133"/>
    <w:rsid w:val="00A01261"/>
    <w:rsid w:val="00A01BF6"/>
    <w:rsid w:val="00A01D2D"/>
    <w:rsid w:val="00A02669"/>
    <w:rsid w:val="00A02878"/>
    <w:rsid w:val="00A02F25"/>
    <w:rsid w:val="00A034C1"/>
    <w:rsid w:val="00A035BE"/>
    <w:rsid w:val="00A0360E"/>
    <w:rsid w:val="00A038BE"/>
    <w:rsid w:val="00A03928"/>
    <w:rsid w:val="00A03981"/>
    <w:rsid w:val="00A03FFC"/>
    <w:rsid w:val="00A04313"/>
    <w:rsid w:val="00A048FD"/>
    <w:rsid w:val="00A04AC6"/>
    <w:rsid w:val="00A04B0E"/>
    <w:rsid w:val="00A04D7E"/>
    <w:rsid w:val="00A04F66"/>
    <w:rsid w:val="00A05318"/>
    <w:rsid w:val="00A0571E"/>
    <w:rsid w:val="00A0572C"/>
    <w:rsid w:val="00A057E5"/>
    <w:rsid w:val="00A060FA"/>
    <w:rsid w:val="00A0621D"/>
    <w:rsid w:val="00A063A2"/>
    <w:rsid w:val="00A0667A"/>
    <w:rsid w:val="00A068AE"/>
    <w:rsid w:val="00A0695C"/>
    <w:rsid w:val="00A06B29"/>
    <w:rsid w:val="00A06B70"/>
    <w:rsid w:val="00A06B86"/>
    <w:rsid w:val="00A06BD1"/>
    <w:rsid w:val="00A06CBD"/>
    <w:rsid w:val="00A06DFA"/>
    <w:rsid w:val="00A06E94"/>
    <w:rsid w:val="00A06EDC"/>
    <w:rsid w:val="00A06FB2"/>
    <w:rsid w:val="00A07087"/>
    <w:rsid w:val="00A071E1"/>
    <w:rsid w:val="00A0727F"/>
    <w:rsid w:val="00A0781E"/>
    <w:rsid w:val="00A078E1"/>
    <w:rsid w:val="00A1010E"/>
    <w:rsid w:val="00A103FB"/>
    <w:rsid w:val="00A10699"/>
    <w:rsid w:val="00A107F4"/>
    <w:rsid w:val="00A1092A"/>
    <w:rsid w:val="00A10936"/>
    <w:rsid w:val="00A10ADA"/>
    <w:rsid w:val="00A10B00"/>
    <w:rsid w:val="00A10D00"/>
    <w:rsid w:val="00A10DC5"/>
    <w:rsid w:val="00A11203"/>
    <w:rsid w:val="00A11222"/>
    <w:rsid w:val="00A1136E"/>
    <w:rsid w:val="00A11838"/>
    <w:rsid w:val="00A11969"/>
    <w:rsid w:val="00A11980"/>
    <w:rsid w:val="00A11A53"/>
    <w:rsid w:val="00A11C0C"/>
    <w:rsid w:val="00A11E0C"/>
    <w:rsid w:val="00A12428"/>
    <w:rsid w:val="00A12723"/>
    <w:rsid w:val="00A129C1"/>
    <w:rsid w:val="00A12A2E"/>
    <w:rsid w:val="00A12B59"/>
    <w:rsid w:val="00A12B60"/>
    <w:rsid w:val="00A12C9B"/>
    <w:rsid w:val="00A12D88"/>
    <w:rsid w:val="00A134DA"/>
    <w:rsid w:val="00A1393B"/>
    <w:rsid w:val="00A13965"/>
    <w:rsid w:val="00A139BE"/>
    <w:rsid w:val="00A13F01"/>
    <w:rsid w:val="00A13F2A"/>
    <w:rsid w:val="00A14066"/>
    <w:rsid w:val="00A14512"/>
    <w:rsid w:val="00A146A8"/>
    <w:rsid w:val="00A14748"/>
    <w:rsid w:val="00A14856"/>
    <w:rsid w:val="00A149D7"/>
    <w:rsid w:val="00A14AFD"/>
    <w:rsid w:val="00A14E56"/>
    <w:rsid w:val="00A1507B"/>
    <w:rsid w:val="00A15121"/>
    <w:rsid w:val="00A1517A"/>
    <w:rsid w:val="00A151C5"/>
    <w:rsid w:val="00A152FC"/>
    <w:rsid w:val="00A1544F"/>
    <w:rsid w:val="00A155C6"/>
    <w:rsid w:val="00A158E0"/>
    <w:rsid w:val="00A15A30"/>
    <w:rsid w:val="00A15B59"/>
    <w:rsid w:val="00A15E45"/>
    <w:rsid w:val="00A16159"/>
    <w:rsid w:val="00A161AB"/>
    <w:rsid w:val="00A16246"/>
    <w:rsid w:val="00A16299"/>
    <w:rsid w:val="00A16613"/>
    <w:rsid w:val="00A16710"/>
    <w:rsid w:val="00A1684E"/>
    <w:rsid w:val="00A168E8"/>
    <w:rsid w:val="00A16A2D"/>
    <w:rsid w:val="00A16E6F"/>
    <w:rsid w:val="00A16EAF"/>
    <w:rsid w:val="00A16F07"/>
    <w:rsid w:val="00A16FF4"/>
    <w:rsid w:val="00A170C7"/>
    <w:rsid w:val="00A171B7"/>
    <w:rsid w:val="00A17344"/>
    <w:rsid w:val="00A1771F"/>
    <w:rsid w:val="00A17813"/>
    <w:rsid w:val="00A178EC"/>
    <w:rsid w:val="00A178FD"/>
    <w:rsid w:val="00A17B50"/>
    <w:rsid w:val="00A17FFD"/>
    <w:rsid w:val="00A200D7"/>
    <w:rsid w:val="00A2011D"/>
    <w:rsid w:val="00A20B5B"/>
    <w:rsid w:val="00A20BF3"/>
    <w:rsid w:val="00A20C87"/>
    <w:rsid w:val="00A20CB8"/>
    <w:rsid w:val="00A20F1F"/>
    <w:rsid w:val="00A21390"/>
    <w:rsid w:val="00A21520"/>
    <w:rsid w:val="00A216FE"/>
    <w:rsid w:val="00A21787"/>
    <w:rsid w:val="00A2184E"/>
    <w:rsid w:val="00A219A0"/>
    <w:rsid w:val="00A219DA"/>
    <w:rsid w:val="00A21AFA"/>
    <w:rsid w:val="00A21B48"/>
    <w:rsid w:val="00A21D72"/>
    <w:rsid w:val="00A224AB"/>
    <w:rsid w:val="00A228DA"/>
    <w:rsid w:val="00A22B24"/>
    <w:rsid w:val="00A22DBA"/>
    <w:rsid w:val="00A23061"/>
    <w:rsid w:val="00A23165"/>
    <w:rsid w:val="00A23338"/>
    <w:rsid w:val="00A2340D"/>
    <w:rsid w:val="00A23786"/>
    <w:rsid w:val="00A2394B"/>
    <w:rsid w:val="00A23D18"/>
    <w:rsid w:val="00A23E0A"/>
    <w:rsid w:val="00A23E60"/>
    <w:rsid w:val="00A240A0"/>
    <w:rsid w:val="00A24250"/>
    <w:rsid w:val="00A24472"/>
    <w:rsid w:val="00A24622"/>
    <w:rsid w:val="00A24761"/>
    <w:rsid w:val="00A24976"/>
    <w:rsid w:val="00A24A0B"/>
    <w:rsid w:val="00A24A7D"/>
    <w:rsid w:val="00A24C5E"/>
    <w:rsid w:val="00A24D39"/>
    <w:rsid w:val="00A24D85"/>
    <w:rsid w:val="00A24E2D"/>
    <w:rsid w:val="00A2516D"/>
    <w:rsid w:val="00A25249"/>
    <w:rsid w:val="00A25562"/>
    <w:rsid w:val="00A25584"/>
    <w:rsid w:val="00A259E2"/>
    <w:rsid w:val="00A25A71"/>
    <w:rsid w:val="00A25BE6"/>
    <w:rsid w:val="00A25CD2"/>
    <w:rsid w:val="00A25EB3"/>
    <w:rsid w:val="00A2601E"/>
    <w:rsid w:val="00A26036"/>
    <w:rsid w:val="00A263C8"/>
    <w:rsid w:val="00A2657E"/>
    <w:rsid w:val="00A2666F"/>
    <w:rsid w:val="00A267DC"/>
    <w:rsid w:val="00A26910"/>
    <w:rsid w:val="00A26A58"/>
    <w:rsid w:val="00A26DCD"/>
    <w:rsid w:val="00A26F33"/>
    <w:rsid w:val="00A2731F"/>
    <w:rsid w:val="00A2744D"/>
    <w:rsid w:val="00A27541"/>
    <w:rsid w:val="00A2781C"/>
    <w:rsid w:val="00A27CC2"/>
    <w:rsid w:val="00A30289"/>
    <w:rsid w:val="00A302D6"/>
    <w:rsid w:val="00A3057C"/>
    <w:rsid w:val="00A306E3"/>
    <w:rsid w:val="00A30891"/>
    <w:rsid w:val="00A309A8"/>
    <w:rsid w:val="00A309BE"/>
    <w:rsid w:val="00A30A0A"/>
    <w:rsid w:val="00A30C65"/>
    <w:rsid w:val="00A31073"/>
    <w:rsid w:val="00A31140"/>
    <w:rsid w:val="00A3147A"/>
    <w:rsid w:val="00A31733"/>
    <w:rsid w:val="00A318DD"/>
    <w:rsid w:val="00A319B3"/>
    <w:rsid w:val="00A319F2"/>
    <w:rsid w:val="00A31D52"/>
    <w:rsid w:val="00A31D9D"/>
    <w:rsid w:val="00A31E06"/>
    <w:rsid w:val="00A32008"/>
    <w:rsid w:val="00A320EE"/>
    <w:rsid w:val="00A321E0"/>
    <w:rsid w:val="00A321E5"/>
    <w:rsid w:val="00A32355"/>
    <w:rsid w:val="00A3256B"/>
    <w:rsid w:val="00A32662"/>
    <w:rsid w:val="00A326B4"/>
    <w:rsid w:val="00A329E6"/>
    <w:rsid w:val="00A32A56"/>
    <w:rsid w:val="00A32C9D"/>
    <w:rsid w:val="00A32D68"/>
    <w:rsid w:val="00A32DF7"/>
    <w:rsid w:val="00A330CC"/>
    <w:rsid w:val="00A33277"/>
    <w:rsid w:val="00A33324"/>
    <w:rsid w:val="00A335DE"/>
    <w:rsid w:val="00A33706"/>
    <w:rsid w:val="00A3382E"/>
    <w:rsid w:val="00A3399E"/>
    <w:rsid w:val="00A33C9B"/>
    <w:rsid w:val="00A33D67"/>
    <w:rsid w:val="00A33E3F"/>
    <w:rsid w:val="00A33E97"/>
    <w:rsid w:val="00A33F32"/>
    <w:rsid w:val="00A34084"/>
    <w:rsid w:val="00A3453C"/>
    <w:rsid w:val="00A348A4"/>
    <w:rsid w:val="00A34968"/>
    <w:rsid w:val="00A34A58"/>
    <w:rsid w:val="00A34BAD"/>
    <w:rsid w:val="00A3513F"/>
    <w:rsid w:val="00A35243"/>
    <w:rsid w:val="00A35273"/>
    <w:rsid w:val="00A356A5"/>
    <w:rsid w:val="00A356D2"/>
    <w:rsid w:val="00A356F4"/>
    <w:rsid w:val="00A3582F"/>
    <w:rsid w:val="00A35DCA"/>
    <w:rsid w:val="00A36291"/>
    <w:rsid w:val="00A3674C"/>
    <w:rsid w:val="00A36C05"/>
    <w:rsid w:val="00A36F47"/>
    <w:rsid w:val="00A371C5"/>
    <w:rsid w:val="00A3734D"/>
    <w:rsid w:val="00A373BF"/>
    <w:rsid w:val="00A3757E"/>
    <w:rsid w:val="00A3769A"/>
    <w:rsid w:val="00A376AC"/>
    <w:rsid w:val="00A376BD"/>
    <w:rsid w:val="00A37796"/>
    <w:rsid w:val="00A37CE8"/>
    <w:rsid w:val="00A37CF1"/>
    <w:rsid w:val="00A4010A"/>
    <w:rsid w:val="00A40205"/>
    <w:rsid w:val="00A4051F"/>
    <w:rsid w:val="00A407CF"/>
    <w:rsid w:val="00A408E5"/>
    <w:rsid w:val="00A40B51"/>
    <w:rsid w:val="00A40B59"/>
    <w:rsid w:val="00A40B9B"/>
    <w:rsid w:val="00A40FC6"/>
    <w:rsid w:val="00A41656"/>
    <w:rsid w:val="00A41718"/>
    <w:rsid w:val="00A417A3"/>
    <w:rsid w:val="00A41B25"/>
    <w:rsid w:val="00A41B40"/>
    <w:rsid w:val="00A41E2B"/>
    <w:rsid w:val="00A41FFA"/>
    <w:rsid w:val="00A42080"/>
    <w:rsid w:val="00A420C1"/>
    <w:rsid w:val="00A4219A"/>
    <w:rsid w:val="00A421EB"/>
    <w:rsid w:val="00A42491"/>
    <w:rsid w:val="00A42660"/>
    <w:rsid w:val="00A42975"/>
    <w:rsid w:val="00A42DB3"/>
    <w:rsid w:val="00A43130"/>
    <w:rsid w:val="00A43190"/>
    <w:rsid w:val="00A432FF"/>
    <w:rsid w:val="00A43498"/>
    <w:rsid w:val="00A43514"/>
    <w:rsid w:val="00A436B7"/>
    <w:rsid w:val="00A4373E"/>
    <w:rsid w:val="00A43A43"/>
    <w:rsid w:val="00A43C53"/>
    <w:rsid w:val="00A43E89"/>
    <w:rsid w:val="00A43F50"/>
    <w:rsid w:val="00A441CB"/>
    <w:rsid w:val="00A44843"/>
    <w:rsid w:val="00A44868"/>
    <w:rsid w:val="00A44985"/>
    <w:rsid w:val="00A449AB"/>
    <w:rsid w:val="00A44B59"/>
    <w:rsid w:val="00A44D25"/>
    <w:rsid w:val="00A44DCC"/>
    <w:rsid w:val="00A44FE1"/>
    <w:rsid w:val="00A45360"/>
    <w:rsid w:val="00A45484"/>
    <w:rsid w:val="00A4558A"/>
    <w:rsid w:val="00A456AA"/>
    <w:rsid w:val="00A45A1D"/>
    <w:rsid w:val="00A45C52"/>
    <w:rsid w:val="00A45CB6"/>
    <w:rsid w:val="00A45CB9"/>
    <w:rsid w:val="00A45FFC"/>
    <w:rsid w:val="00A462F4"/>
    <w:rsid w:val="00A46835"/>
    <w:rsid w:val="00A468BA"/>
    <w:rsid w:val="00A468C0"/>
    <w:rsid w:val="00A46CF1"/>
    <w:rsid w:val="00A46EE0"/>
    <w:rsid w:val="00A4706F"/>
    <w:rsid w:val="00A473E9"/>
    <w:rsid w:val="00A47450"/>
    <w:rsid w:val="00A4755E"/>
    <w:rsid w:val="00A476D8"/>
    <w:rsid w:val="00A47B07"/>
    <w:rsid w:val="00A47DD5"/>
    <w:rsid w:val="00A50716"/>
    <w:rsid w:val="00A508DA"/>
    <w:rsid w:val="00A50A22"/>
    <w:rsid w:val="00A50ACD"/>
    <w:rsid w:val="00A50B57"/>
    <w:rsid w:val="00A50CA8"/>
    <w:rsid w:val="00A50E23"/>
    <w:rsid w:val="00A50FF1"/>
    <w:rsid w:val="00A5122B"/>
    <w:rsid w:val="00A51274"/>
    <w:rsid w:val="00A512DF"/>
    <w:rsid w:val="00A515C0"/>
    <w:rsid w:val="00A51645"/>
    <w:rsid w:val="00A516E1"/>
    <w:rsid w:val="00A5174B"/>
    <w:rsid w:val="00A51A96"/>
    <w:rsid w:val="00A51ABE"/>
    <w:rsid w:val="00A51CFD"/>
    <w:rsid w:val="00A51DAD"/>
    <w:rsid w:val="00A51F67"/>
    <w:rsid w:val="00A520B9"/>
    <w:rsid w:val="00A520CD"/>
    <w:rsid w:val="00A520ED"/>
    <w:rsid w:val="00A522C2"/>
    <w:rsid w:val="00A523AB"/>
    <w:rsid w:val="00A52616"/>
    <w:rsid w:val="00A52BBD"/>
    <w:rsid w:val="00A52BCC"/>
    <w:rsid w:val="00A52E8E"/>
    <w:rsid w:val="00A52EA9"/>
    <w:rsid w:val="00A52F85"/>
    <w:rsid w:val="00A52FBF"/>
    <w:rsid w:val="00A5326D"/>
    <w:rsid w:val="00A534E8"/>
    <w:rsid w:val="00A5368A"/>
    <w:rsid w:val="00A536EC"/>
    <w:rsid w:val="00A53711"/>
    <w:rsid w:val="00A5376C"/>
    <w:rsid w:val="00A5389F"/>
    <w:rsid w:val="00A53CE6"/>
    <w:rsid w:val="00A53D8F"/>
    <w:rsid w:val="00A53DCC"/>
    <w:rsid w:val="00A540D9"/>
    <w:rsid w:val="00A5414C"/>
    <w:rsid w:val="00A5428F"/>
    <w:rsid w:val="00A54301"/>
    <w:rsid w:val="00A54695"/>
    <w:rsid w:val="00A548BD"/>
    <w:rsid w:val="00A549DE"/>
    <w:rsid w:val="00A54AB1"/>
    <w:rsid w:val="00A54BBC"/>
    <w:rsid w:val="00A54CCC"/>
    <w:rsid w:val="00A555BC"/>
    <w:rsid w:val="00A556C4"/>
    <w:rsid w:val="00A55A3A"/>
    <w:rsid w:val="00A55E6A"/>
    <w:rsid w:val="00A55F04"/>
    <w:rsid w:val="00A55FBF"/>
    <w:rsid w:val="00A560CA"/>
    <w:rsid w:val="00A563B1"/>
    <w:rsid w:val="00A5657C"/>
    <w:rsid w:val="00A56948"/>
    <w:rsid w:val="00A56966"/>
    <w:rsid w:val="00A56BB0"/>
    <w:rsid w:val="00A56C24"/>
    <w:rsid w:val="00A56C27"/>
    <w:rsid w:val="00A56EB6"/>
    <w:rsid w:val="00A57469"/>
    <w:rsid w:val="00A57767"/>
    <w:rsid w:val="00A5776C"/>
    <w:rsid w:val="00A579DD"/>
    <w:rsid w:val="00A579F6"/>
    <w:rsid w:val="00A57BF8"/>
    <w:rsid w:val="00A57C05"/>
    <w:rsid w:val="00A57E09"/>
    <w:rsid w:val="00A57F36"/>
    <w:rsid w:val="00A605FF"/>
    <w:rsid w:val="00A60858"/>
    <w:rsid w:val="00A60AA7"/>
    <w:rsid w:val="00A60B66"/>
    <w:rsid w:val="00A60D0B"/>
    <w:rsid w:val="00A60D22"/>
    <w:rsid w:val="00A60D28"/>
    <w:rsid w:val="00A61162"/>
    <w:rsid w:val="00A6165A"/>
    <w:rsid w:val="00A61EF3"/>
    <w:rsid w:val="00A61F69"/>
    <w:rsid w:val="00A622F6"/>
    <w:rsid w:val="00A62504"/>
    <w:rsid w:val="00A6264A"/>
    <w:rsid w:val="00A627B7"/>
    <w:rsid w:val="00A62D72"/>
    <w:rsid w:val="00A63027"/>
    <w:rsid w:val="00A637F4"/>
    <w:rsid w:val="00A637F8"/>
    <w:rsid w:val="00A6388A"/>
    <w:rsid w:val="00A63906"/>
    <w:rsid w:val="00A63B03"/>
    <w:rsid w:val="00A63BB5"/>
    <w:rsid w:val="00A63C63"/>
    <w:rsid w:val="00A63D31"/>
    <w:rsid w:val="00A63F1F"/>
    <w:rsid w:val="00A63F6B"/>
    <w:rsid w:val="00A6405A"/>
    <w:rsid w:val="00A640E3"/>
    <w:rsid w:val="00A64346"/>
    <w:rsid w:val="00A64373"/>
    <w:rsid w:val="00A6438D"/>
    <w:rsid w:val="00A6454C"/>
    <w:rsid w:val="00A64745"/>
    <w:rsid w:val="00A64929"/>
    <w:rsid w:val="00A64AA3"/>
    <w:rsid w:val="00A64E44"/>
    <w:rsid w:val="00A64F7D"/>
    <w:rsid w:val="00A6500C"/>
    <w:rsid w:val="00A65061"/>
    <w:rsid w:val="00A6532B"/>
    <w:rsid w:val="00A65503"/>
    <w:rsid w:val="00A65785"/>
    <w:rsid w:val="00A65BD3"/>
    <w:rsid w:val="00A65BDE"/>
    <w:rsid w:val="00A65CD1"/>
    <w:rsid w:val="00A65DC4"/>
    <w:rsid w:val="00A66369"/>
    <w:rsid w:val="00A663BA"/>
    <w:rsid w:val="00A6650B"/>
    <w:rsid w:val="00A6656F"/>
    <w:rsid w:val="00A668FA"/>
    <w:rsid w:val="00A66B47"/>
    <w:rsid w:val="00A66DCE"/>
    <w:rsid w:val="00A66E02"/>
    <w:rsid w:val="00A66E55"/>
    <w:rsid w:val="00A66FA5"/>
    <w:rsid w:val="00A67201"/>
    <w:rsid w:val="00A6723E"/>
    <w:rsid w:val="00A673EF"/>
    <w:rsid w:val="00A67539"/>
    <w:rsid w:val="00A67A3A"/>
    <w:rsid w:val="00A67BC9"/>
    <w:rsid w:val="00A67DD1"/>
    <w:rsid w:val="00A7023F"/>
    <w:rsid w:val="00A70296"/>
    <w:rsid w:val="00A70459"/>
    <w:rsid w:val="00A70562"/>
    <w:rsid w:val="00A706A9"/>
    <w:rsid w:val="00A706CA"/>
    <w:rsid w:val="00A7083D"/>
    <w:rsid w:val="00A70853"/>
    <w:rsid w:val="00A708FA"/>
    <w:rsid w:val="00A70B41"/>
    <w:rsid w:val="00A711BC"/>
    <w:rsid w:val="00A713D3"/>
    <w:rsid w:val="00A713DB"/>
    <w:rsid w:val="00A71908"/>
    <w:rsid w:val="00A7193D"/>
    <w:rsid w:val="00A71AEC"/>
    <w:rsid w:val="00A720F0"/>
    <w:rsid w:val="00A72232"/>
    <w:rsid w:val="00A72253"/>
    <w:rsid w:val="00A72296"/>
    <w:rsid w:val="00A7240B"/>
    <w:rsid w:val="00A7243E"/>
    <w:rsid w:val="00A72881"/>
    <w:rsid w:val="00A729D1"/>
    <w:rsid w:val="00A72BF4"/>
    <w:rsid w:val="00A72DC4"/>
    <w:rsid w:val="00A72EAB"/>
    <w:rsid w:val="00A730BA"/>
    <w:rsid w:val="00A73384"/>
    <w:rsid w:val="00A73538"/>
    <w:rsid w:val="00A73542"/>
    <w:rsid w:val="00A73732"/>
    <w:rsid w:val="00A73751"/>
    <w:rsid w:val="00A737AB"/>
    <w:rsid w:val="00A73AD5"/>
    <w:rsid w:val="00A73C6F"/>
    <w:rsid w:val="00A73EEE"/>
    <w:rsid w:val="00A7407D"/>
    <w:rsid w:val="00A74264"/>
    <w:rsid w:val="00A7429C"/>
    <w:rsid w:val="00A7432D"/>
    <w:rsid w:val="00A74583"/>
    <w:rsid w:val="00A746AF"/>
    <w:rsid w:val="00A74857"/>
    <w:rsid w:val="00A74871"/>
    <w:rsid w:val="00A748AB"/>
    <w:rsid w:val="00A74A6C"/>
    <w:rsid w:val="00A74CAA"/>
    <w:rsid w:val="00A74DF4"/>
    <w:rsid w:val="00A74EEC"/>
    <w:rsid w:val="00A74FEB"/>
    <w:rsid w:val="00A74FFD"/>
    <w:rsid w:val="00A752F8"/>
    <w:rsid w:val="00A7545A"/>
    <w:rsid w:val="00A755A2"/>
    <w:rsid w:val="00A755BB"/>
    <w:rsid w:val="00A755BC"/>
    <w:rsid w:val="00A755EE"/>
    <w:rsid w:val="00A75628"/>
    <w:rsid w:val="00A756DC"/>
    <w:rsid w:val="00A75896"/>
    <w:rsid w:val="00A75A32"/>
    <w:rsid w:val="00A75C18"/>
    <w:rsid w:val="00A75DEC"/>
    <w:rsid w:val="00A75F30"/>
    <w:rsid w:val="00A76178"/>
    <w:rsid w:val="00A765AF"/>
    <w:rsid w:val="00A7664C"/>
    <w:rsid w:val="00A76A4B"/>
    <w:rsid w:val="00A76E45"/>
    <w:rsid w:val="00A76EA1"/>
    <w:rsid w:val="00A774AD"/>
    <w:rsid w:val="00A774ED"/>
    <w:rsid w:val="00A77DAF"/>
    <w:rsid w:val="00A80090"/>
    <w:rsid w:val="00A800AC"/>
    <w:rsid w:val="00A800B1"/>
    <w:rsid w:val="00A801EA"/>
    <w:rsid w:val="00A8039B"/>
    <w:rsid w:val="00A8087F"/>
    <w:rsid w:val="00A80917"/>
    <w:rsid w:val="00A80A96"/>
    <w:rsid w:val="00A80ABB"/>
    <w:rsid w:val="00A80BD8"/>
    <w:rsid w:val="00A80F62"/>
    <w:rsid w:val="00A81033"/>
    <w:rsid w:val="00A811D8"/>
    <w:rsid w:val="00A8184A"/>
    <w:rsid w:val="00A818A4"/>
    <w:rsid w:val="00A81DAB"/>
    <w:rsid w:val="00A81DC9"/>
    <w:rsid w:val="00A8216E"/>
    <w:rsid w:val="00A823E6"/>
    <w:rsid w:val="00A823EC"/>
    <w:rsid w:val="00A8253A"/>
    <w:rsid w:val="00A825DC"/>
    <w:rsid w:val="00A826BF"/>
    <w:rsid w:val="00A82705"/>
    <w:rsid w:val="00A828B5"/>
    <w:rsid w:val="00A82A8D"/>
    <w:rsid w:val="00A82AAB"/>
    <w:rsid w:val="00A82B3A"/>
    <w:rsid w:val="00A82B64"/>
    <w:rsid w:val="00A82B8F"/>
    <w:rsid w:val="00A82F08"/>
    <w:rsid w:val="00A83446"/>
    <w:rsid w:val="00A8370A"/>
    <w:rsid w:val="00A83C37"/>
    <w:rsid w:val="00A83DDF"/>
    <w:rsid w:val="00A84253"/>
    <w:rsid w:val="00A8446C"/>
    <w:rsid w:val="00A8454E"/>
    <w:rsid w:val="00A845AB"/>
    <w:rsid w:val="00A84646"/>
    <w:rsid w:val="00A84704"/>
    <w:rsid w:val="00A8497B"/>
    <w:rsid w:val="00A84D49"/>
    <w:rsid w:val="00A85532"/>
    <w:rsid w:val="00A8570A"/>
    <w:rsid w:val="00A8584A"/>
    <w:rsid w:val="00A85940"/>
    <w:rsid w:val="00A85943"/>
    <w:rsid w:val="00A8595A"/>
    <w:rsid w:val="00A859D5"/>
    <w:rsid w:val="00A85B6A"/>
    <w:rsid w:val="00A85CC4"/>
    <w:rsid w:val="00A85E5D"/>
    <w:rsid w:val="00A85EE3"/>
    <w:rsid w:val="00A85F2F"/>
    <w:rsid w:val="00A863F9"/>
    <w:rsid w:val="00A86427"/>
    <w:rsid w:val="00A86858"/>
    <w:rsid w:val="00A868BF"/>
    <w:rsid w:val="00A86924"/>
    <w:rsid w:val="00A86AED"/>
    <w:rsid w:val="00A86B78"/>
    <w:rsid w:val="00A87285"/>
    <w:rsid w:val="00A8732F"/>
    <w:rsid w:val="00A8744A"/>
    <w:rsid w:val="00A874F7"/>
    <w:rsid w:val="00A87562"/>
    <w:rsid w:val="00A8759D"/>
    <w:rsid w:val="00A877C1"/>
    <w:rsid w:val="00A877CE"/>
    <w:rsid w:val="00A87F0F"/>
    <w:rsid w:val="00A90276"/>
    <w:rsid w:val="00A903C4"/>
    <w:rsid w:val="00A907BC"/>
    <w:rsid w:val="00A907E6"/>
    <w:rsid w:val="00A90924"/>
    <w:rsid w:val="00A9094A"/>
    <w:rsid w:val="00A90A51"/>
    <w:rsid w:val="00A90C65"/>
    <w:rsid w:val="00A9118C"/>
    <w:rsid w:val="00A9125F"/>
    <w:rsid w:val="00A9156F"/>
    <w:rsid w:val="00A915ED"/>
    <w:rsid w:val="00A916DC"/>
    <w:rsid w:val="00A9177D"/>
    <w:rsid w:val="00A91AA7"/>
    <w:rsid w:val="00A91B2C"/>
    <w:rsid w:val="00A91F45"/>
    <w:rsid w:val="00A91FF1"/>
    <w:rsid w:val="00A92339"/>
    <w:rsid w:val="00A9249D"/>
    <w:rsid w:val="00A92748"/>
    <w:rsid w:val="00A928EA"/>
    <w:rsid w:val="00A92934"/>
    <w:rsid w:val="00A92A3B"/>
    <w:rsid w:val="00A92AC5"/>
    <w:rsid w:val="00A92B19"/>
    <w:rsid w:val="00A92C91"/>
    <w:rsid w:val="00A92CD0"/>
    <w:rsid w:val="00A930EF"/>
    <w:rsid w:val="00A93286"/>
    <w:rsid w:val="00A9381F"/>
    <w:rsid w:val="00A9383B"/>
    <w:rsid w:val="00A93A71"/>
    <w:rsid w:val="00A93AB5"/>
    <w:rsid w:val="00A93F47"/>
    <w:rsid w:val="00A940E1"/>
    <w:rsid w:val="00A941EB"/>
    <w:rsid w:val="00A94383"/>
    <w:rsid w:val="00A94442"/>
    <w:rsid w:val="00A9445D"/>
    <w:rsid w:val="00A944C0"/>
    <w:rsid w:val="00A945F4"/>
    <w:rsid w:val="00A948CA"/>
    <w:rsid w:val="00A94B6A"/>
    <w:rsid w:val="00A94C2A"/>
    <w:rsid w:val="00A94F17"/>
    <w:rsid w:val="00A95667"/>
    <w:rsid w:val="00A95C6C"/>
    <w:rsid w:val="00A95D06"/>
    <w:rsid w:val="00A95D2B"/>
    <w:rsid w:val="00A960F1"/>
    <w:rsid w:val="00A96238"/>
    <w:rsid w:val="00A9626A"/>
    <w:rsid w:val="00A964F9"/>
    <w:rsid w:val="00A9682B"/>
    <w:rsid w:val="00A96902"/>
    <w:rsid w:val="00A96910"/>
    <w:rsid w:val="00A96A26"/>
    <w:rsid w:val="00A96BB6"/>
    <w:rsid w:val="00A96D71"/>
    <w:rsid w:val="00A97066"/>
    <w:rsid w:val="00A97230"/>
    <w:rsid w:val="00A97397"/>
    <w:rsid w:val="00A973FB"/>
    <w:rsid w:val="00A975D2"/>
    <w:rsid w:val="00A9782D"/>
    <w:rsid w:val="00A97A6C"/>
    <w:rsid w:val="00A97C52"/>
    <w:rsid w:val="00A97C70"/>
    <w:rsid w:val="00A97E83"/>
    <w:rsid w:val="00A97F87"/>
    <w:rsid w:val="00AA0288"/>
    <w:rsid w:val="00AA028D"/>
    <w:rsid w:val="00AA0338"/>
    <w:rsid w:val="00AA0507"/>
    <w:rsid w:val="00AA0BDE"/>
    <w:rsid w:val="00AA0D33"/>
    <w:rsid w:val="00AA133B"/>
    <w:rsid w:val="00AA13F5"/>
    <w:rsid w:val="00AA1408"/>
    <w:rsid w:val="00AA1521"/>
    <w:rsid w:val="00AA16A3"/>
    <w:rsid w:val="00AA1792"/>
    <w:rsid w:val="00AA191A"/>
    <w:rsid w:val="00AA1D5F"/>
    <w:rsid w:val="00AA1E33"/>
    <w:rsid w:val="00AA2183"/>
    <w:rsid w:val="00AA225B"/>
    <w:rsid w:val="00AA287C"/>
    <w:rsid w:val="00AA2B84"/>
    <w:rsid w:val="00AA31CD"/>
    <w:rsid w:val="00AA33EA"/>
    <w:rsid w:val="00AA3734"/>
    <w:rsid w:val="00AA3957"/>
    <w:rsid w:val="00AA3BB2"/>
    <w:rsid w:val="00AA3BD5"/>
    <w:rsid w:val="00AA3C30"/>
    <w:rsid w:val="00AA3C76"/>
    <w:rsid w:val="00AA3C95"/>
    <w:rsid w:val="00AA3FAE"/>
    <w:rsid w:val="00AA3FB4"/>
    <w:rsid w:val="00AA406F"/>
    <w:rsid w:val="00AA43B1"/>
    <w:rsid w:val="00AA453D"/>
    <w:rsid w:val="00AA47B2"/>
    <w:rsid w:val="00AA47CF"/>
    <w:rsid w:val="00AA47D0"/>
    <w:rsid w:val="00AA4845"/>
    <w:rsid w:val="00AA4A53"/>
    <w:rsid w:val="00AA4ABC"/>
    <w:rsid w:val="00AA4B23"/>
    <w:rsid w:val="00AA4B81"/>
    <w:rsid w:val="00AA4EC0"/>
    <w:rsid w:val="00AA4ED1"/>
    <w:rsid w:val="00AA50AC"/>
    <w:rsid w:val="00AA5101"/>
    <w:rsid w:val="00AA51C0"/>
    <w:rsid w:val="00AA5456"/>
    <w:rsid w:val="00AA5B67"/>
    <w:rsid w:val="00AA5D73"/>
    <w:rsid w:val="00AA5D92"/>
    <w:rsid w:val="00AA5DA0"/>
    <w:rsid w:val="00AA5EB0"/>
    <w:rsid w:val="00AA5FC1"/>
    <w:rsid w:val="00AA61E0"/>
    <w:rsid w:val="00AA6370"/>
    <w:rsid w:val="00AA6676"/>
    <w:rsid w:val="00AA6744"/>
    <w:rsid w:val="00AA67C2"/>
    <w:rsid w:val="00AA690C"/>
    <w:rsid w:val="00AA6B35"/>
    <w:rsid w:val="00AA70B6"/>
    <w:rsid w:val="00AA71EA"/>
    <w:rsid w:val="00AA71F9"/>
    <w:rsid w:val="00AA7233"/>
    <w:rsid w:val="00AA750D"/>
    <w:rsid w:val="00AA76A5"/>
    <w:rsid w:val="00AA7BCC"/>
    <w:rsid w:val="00AA7D3B"/>
    <w:rsid w:val="00AB0092"/>
    <w:rsid w:val="00AB0203"/>
    <w:rsid w:val="00AB0236"/>
    <w:rsid w:val="00AB0573"/>
    <w:rsid w:val="00AB06CC"/>
    <w:rsid w:val="00AB07C9"/>
    <w:rsid w:val="00AB0A9A"/>
    <w:rsid w:val="00AB0AFB"/>
    <w:rsid w:val="00AB0BC1"/>
    <w:rsid w:val="00AB0D1E"/>
    <w:rsid w:val="00AB0D7E"/>
    <w:rsid w:val="00AB1453"/>
    <w:rsid w:val="00AB14A1"/>
    <w:rsid w:val="00AB1709"/>
    <w:rsid w:val="00AB18B5"/>
    <w:rsid w:val="00AB1EE8"/>
    <w:rsid w:val="00AB1F44"/>
    <w:rsid w:val="00AB2048"/>
    <w:rsid w:val="00AB2281"/>
    <w:rsid w:val="00AB253A"/>
    <w:rsid w:val="00AB268E"/>
    <w:rsid w:val="00AB2898"/>
    <w:rsid w:val="00AB2DA6"/>
    <w:rsid w:val="00AB31F5"/>
    <w:rsid w:val="00AB360B"/>
    <w:rsid w:val="00AB3682"/>
    <w:rsid w:val="00AB3840"/>
    <w:rsid w:val="00AB3B79"/>
    <w:rsid w:val="00AB3C0A"/>
    <w:rsid w:val="00AB3F67"/>
    <w:rsid w:val="00AB40DD"/>
    <w:rsid w:val="00AB4169"/>
    <w:rsid w:val="00AB4287"/>
    <w:rsid w:val="00AB42BF"/>
    <w:rsid w:val="00AB43AD"/>
    <w:rsid w:val="00AB44A3"/>
    <w:rsid w:val="00AB4681"/>
    <w:rsid w:val="00AB475A"/>
    <w:rsid w:val="00AB496D"/>
    <w:rsid w:val="00AB4978"/>
    <w:rsid w:val="00AB498D"/>
    <w:rsid w:val="00AB4A50"/>
    <w:rsid w:val="00AB4BBB"/>
    <w:rsid w:val="00AB4BF7"/>
    <w:rsid w:val="00AB4D15"/>
    <w:rsid w:val="00AB4F8B"/>
    <w:rsid w:val="00AB5250"/>
    <w:rsid w:val="00AB52EE"/>
    <w:rsid w:val="00AB53CC"/>
    <w:rsid w:val="00AB54E8"/>
    <w:rsid w:val="00AB5521"/>
    <w:rsid w:val="00AB5569"/>
    <w:rsid w:val="00AB5689"/>
    <w:rsid w:val="00AB57F2"/>
    <w:rsid w:val="00AB5874"/>
    <w:rsid w:val="00AB5B1D"/>
    <w:rsid w:val="00AB5C1D"/>
    <w:rsid w:val="00AB5DEA"/>
    <w:rsid w:val="00AB5E0D"/>
    <w:rsid w:val="00AB5E65"/>
    <w:rsid w:val="00AB61FC"/>
    <w:rsid w:val="00AB6353"/>
    <w:rsid w:val="00AB6785"/>
    <w:rsid w:val="00AB68A8"/>
    <w:rsid w:val="00AB6A6E"/>
    <w:rsid w:val="00AB6C13"/>
    <w:rsid w:val="00AB6C38"/>
    <w:rsid w:val="00AB6CBE"/>
    <w:rsid w:val="00AB6DAA"/>
    <w:rsid w:val="00AB6F7D"/>
    <w:rsid w:val="00AB7087"/>
    <w:rsid w:val="00AB714E"/>
    <w:rsid w:val="00AB74F3"/>
    <w:rsid w:val="00AB75D5"/>
    <w:rsid w:val="00AB76BE"/>
    <w:rsid w:val="00AB7A1C"/>
    <w:rsid w:val="00AB7C97"/>
    <w:rsid w:val="00AB7DD1"/>
    <w:rsid w:val="00AB7E97"/>
    <w:rsid w:val="00AB7F90"/>
    <w:rsid w:val="00AC039B"/>
    <w:rsid w:val="00AC0441"/>
    <w:rsid w:val="00AC05C7"/>
    <w:rsid w:val="00AC0694"/>
    <w:rsid w:val="00AC0840"/>
    <w:rsid w:val="00AC0868"/>
    <w:rsid w:val="00AC0BA6"/>
    <w:rsid w:val="00AC0E11"/>
    <w:rsid w:val="00AC1132"/>
    <w:rsid w:val="00AC15B4"/>
    <w:rsid w:val="00AC1C32"/>
    <w:rsid w:val="00AC202D"/>
    <w:rsid w:val="00AC252C"/>
    <w:rsid w:val="00AC2874"/>
    <w:rsid w:val="00AC28CD"/>
    <w:rsid w:val="00AC28D4"/>
    <w:rsid w:val="00AC28FA"/>
    <w:rsid w:val="00AC2C93"/>
    <w:rsid w:val="00AC2FF5"/>
    <w:rsid w:val="00AC3109"/>
    <w:rsid w:val="00AC3439"/>
    <w:rsid w:val="00AC3483"/>
    <w:rsid w:val="00AC3A8B"/>
    <w:rsid w:val="00AC3B42"/>
    <w:rsid w:val="00AC3B99"/>
    <w:rsid w:val="00AC3C18"/>
    <w:rsid w:val="00AC3CCC"/>
    <w:rsid w:val="00AC3ED0"/>
    <w:rsid w:val="00AC3EFF"/>
    <w:rsid w:val="00AC3F8B"/>
    <w:rsid w:val="00AC41C7"/>
    <w:rsid w:val="00AC4220"/>
    <w:rsid w:val="00AC4264"/>
    <w:rsid w:val="00AC4340"/>
    <w:rsid w:val="00AC4516"/>
    <w:rsid w:val="00AC4912"/>
    <w:rsid w:val="00AC4D42"/>
    <w:rsid w:val="00AC4D83"/>
    <w:rsid w:val="00AC4EF2"/>
    <w:rsid w:val="00AC4F27"/>
    <w:rsid w:val="00AC4F6D"/>
    <w:rsid w:val="00AC5250"/>
    <w:rsid w:val="00AC54D0"/>
    <w:rsid w:val="00AC563A"/>
    <w:rsid w:val="00AC57E1"/>
    <w:rsid w:val="00AC5B15"/>
    <w:rsid w:val="00AC5BF7"/>
    <w:rsid w:val="00AC5BF9"/>
    <w:rsid w:val="00AC5C61"/>
    <w:rsid w:val="00AC5CA0"/>
    <w:rsid w:val="00AC61AD"/>
    <w:rsid w:val="00AC63EF"/>
    <w:rsid w:val="00AC6423"/>
    <w:rsid w:val="00AC660E"/>
    <w:rsid w:val="00AC696A"/>
    <w:rsid w:val="00AC6E30"/>
    <w:rsid w:val="00AC70D5"/>
    <w:rsid w:val="00AC746F"/>
    <w:rsid w:val="00AC76E9"/>
    <w:rsid w:val="00AC7CD5"/>
    <w:rsid w:val="00AC7EB4"/>
    <w:rsid w:val="00AC7F33"/>
    <w:rsid w:val="00AC7FCE"/>
    <w:rsid w:val="00AD0BD5"/>
    <w:rsid w:val="00AD0C92"/>
    <w:rsid w:val="00AD10B9"/>
    <w:rsid w:val="00AD10DB"/>
    <w:rsid w:val="00AD15D5"/>
    <w:rsid w:val="00AD1C2F"/>
    <w:rsid w:val="00AD204C"/>
    <w:rsid w:val="00AD258A"/>
    <w:rsid w:val="00AD2610"/>
    <w:rsid w:val="00AD282D"/>
    <w:rsid w:val="00AD28BC"/>
    <w:rsid w:val="00AD2BC2"/>
    <w:rsid w:val="00AD2CD8"/>
    <w:rsid w:val="00AD3069"/>
    <w:rsid w:val="00AD31EE"/>
    <w:rsid w:val="00AD3253"/>
    <w:rsid w:val="00AD34EF"/>
    <w:rsid w:val="00AD36B3"/>
    <w:rsid w:val="00AD377E"/>
    <w:rsid w:val="00AD3F88"/>
    <w:rsid w:val="00AD4126"/>
    <w:rsid w:val="00AD4150"/>
    <w:rsid w:val="00AD43A8"/>
    <w:rsid w:val="00AD4517"/>
    <w:rsid w:val="00AD45DD"/>
    <w:rsid w:val="00AD497A"/>
    <w:rsid w:val="00AD4A29"/>
    <w:rsid w:val="00AD4A64"/>
    <w:rsid w:val="00AD4B15"/>
    <w:rsid w:val="00AD4C08"/>
    <w:rsid w:val="00AD4E82"/>
    <w:rsid w:val="00AD5316"/>
    <w:rsid w:val="00AD53BC"/>
    <w:rsid w:val="00AD5772"/>
    <w:rsid w:val="00AD5C25"/>
    <w:rsid w:val="00AD5C2F"/>
    <w:rsid w:val="00AD5E1A"/>
    <w:rsid w:val="00AD5EE0"/>
    <w:rsid w:val="00AD6055"/>
    <w:rsid w:val="00AD6079"/>
    <w:rsid w:val="00AD6156"/>
    <w:rsid w:val="00AD6482"/>
    <w:rsid w:val="00AD68F2"/>
    <w:rsid w:val="00AD6CB4"/>
    <w:rsid w:val="00AD6DBB"/>
    <w:rsid w:val="00AD6F35"/>
    <w:rsid w:val="00AD724D"/>
    <w:rsid w:val="00AD74DA"/>
    <w:rsid w:val="00AD773C"/>
    <w:rsid w:val="00AD77F5"/>
    <w:rsid w:val="00AD7882"/>
    <w:rsid w:val="00AD790E"/>
    <w:rsid w:val="00AD7C50"/>
    <w:rsid w:val="00AD7DE9"/>
    <w:rsid w:val="00AD7F55"/>
    <w:rsid w:val="00AE010D"/>
    <w:rsid w:val="00AE02B7"/>
    <w:rsid w:val="00AE03B6"/>
    <w:rsid w:val="00AE0567"/>
    <w:rsid w:val="00AE064C"/>
    <w:rsid w:val="00AE0A36"/>
    <w:rsid w:val="00AE0CA2"/>
    <w:rsid w:val="00AE10DD"/>
    <w:rsid w:val="00AE1351"/>
    <w:rsid w:val="00AE1637"/>
    <w:rsid w:val="00AE17C6"/>
    <w:rsid w:val="00AE1A0B"/>
    <w:rsid w:val="00AE1E32"/>
    <w:rsid w:val="00AE1EA2"/>
    <w:rsid w:val="00AE2148"/>
    <w:rsid w:val="00AE2304"/>
    <w:rsid w:val="00AE2595"/>
    <w:rsid w:val="00AE2CA8"/>
    <w:rsid w:val="00AE2D7B"/>
    <w:rsid w:val="00AE2D9F"/>
    <w:rsid w:val="00AE2DA0"/>
    <w:rsid w:val="00AE2FD8"/>
    <w:rsid w:val="00AE3046"/>
    <w:rsid w:val="00AE33A6"/>
    <w:rsid w:val="00AE33D4"/>
    <w:rsid w:val="00AE3483"/>
    <w:rsid w:val="00AE36F6"/>
    <w:rsid w:val="00AE37B2"/>
    <w:rsid w:val="00AE3983"/>
    <w:rsid w:val="00AE3DD9"/>
    <w:rsid w:val="00AE3E73"/>
    <w:rsid w:val="00AE402D"/>
    <w:rsid w:val="00AE42F5"/>
    <w:rsid w:val="00AE45F9"/>
    <w:rsid w:val="00AE46F1"/>
    <w:rsid w:val="00AE4D10"/>
    <w:rsid w:val="00AE5059"/>
    <w:rsid w:val="00AE52B0"/>
    <w:rsid w:val="00AE5851"/>
    <w:rsid w:val="00AE5BF3"/>
    <w:rsid w:val="00AE5CC5"/>
    <w:rsid w:val="00AE60AB"/>
    <w:rsid w:val="00AE621D"/>
    <w:rsid w:val="00AE63CD"/>
    <w:rsid w:val="00AE675B"/>
    <w:rsid w:val="00AE6A53"/>
    <w:rsid w:val="00AE6CE2"/>
    <w:rsid w:val="00AE6D54"/>
    <w:rsid w:val="00AE6EBA"/>
    <w:rsid w:val="00AE6FCF"/>
    <w:rsid w:val="00AE7016"/>
    <w:rsid w:val="00AE7061"/>
    <w:rsid w:val="00AE717A"/>
    <w:rsid w:val="00AE71D1"/>
    <w:rsid w:val="00AE7583"/>
    <w:rsid w:val="00AE75D1"/>
    <w:rsid w:val="00AE75D7"/>
    <w:rsid w:val="00AE761A"/>
    <w:rsid w:val="00AE783C"/>
    <w:rsid w:val="00AE7908"/>
    <w:rsid w:val="00AE7998"/>
    <w:rsid w:val="00AE7BF8"/>
    <w:rsid w:val="00AF003E"/>
    <w:rsid w:val="00AF009E"/>
    <w:rsid w:val="00AF01E8"/>
    <w:rsid w:val="00AF064E"/>
    <w:rsid w:val="00AF07B4"/>
    <w:rsid w:val="00AF0940"/>
    <w:rsid w:val="00AF0A7F"/>
    <w:rsid w:val="00AF0FA4"/>
    <w:rsid w:val="00AF12C1"/>
    <w:rsid w:val="00AF15A6"/>
    <w:rsid w:val="00AF1657"/>
    <w:rsid w:val="00AF16E9"/>
    <w:rsid w:val="00AF1837"/>
    <w:rsid w:val="00AF1941"/>
    <w:rsid w:val="00AF1F28"/>
    <w:rsid w:val="00AF1F2E"/>
    <w:rsid w:val="00AF20B9"/>
    <w:rsid w:val="00AF210C"/>
    <w:rsid w:val="00AF21B2"/>
    <w:rsid w:val="00AF21F6"/>
    <w:rsid w:val="00AF2357"/>
    <w:rsid w:val="00AF292F"/>
    <w:rsid w:val="00AF2994"/>
    <w:rsid w:val="00AF2C21"/>
    <w:rsid w:val="00AF2C73"/>
    <w:rsid w:val="00AF2D1E"/>
    <w:rsid w:val="00AF2E63"/>
    <w:rsid w:val="00AF2E7F"/>
    <w:rsid w:val="00AF2F44"/>
    <w:rsid w:val="00AF2F7F"/>
    <w:rsid w:val="00AF3150"/>
    <w:rsid w:val="00AF328C"/>
    <w:rsid w:val="00AF32B6"/>
    <w:rsid w:val="00AF32BE"/>
    <w:rsid w:val="00AF368F"/>
    <w:rsid w:val="00AF3CDC"/>
    <w:rsid w:val="00AF3D03"/>
    <w:rsid w:val="00AF3E8C"/>
    <w:rsid w:val="00AF405B"/>
    <w:rsid w:val="00AF44BE"/>
    <w:rsid w:val="00AF4638"/>
    <w:rsid w:val="00AF46A7"/>
    <w:rsid w:val="00AF46C6"/>
    <w:rsid w:val="00AF47E2"/>
    <w:rsid w:val="00AF487B"/>
    <w:rsid w:val="00AF4B5E"/>
    <w:rsid w:val="00AF4C6E"/>
    <w:rsid w:val="00AF4D9A"/>
    <w:rsid w:val="00AF4FB0"/>
    <w:rsid w:val="00AF4FCE"/>
    <w:rsid w:val="00AF5096"/>
    <w:rsid w:val="00AF50A5"/>
    <w:rsid w:val="00AF50ED"/>
    <w:rsid w:val="00AF5248"/>
    <w:rsid w:val="00AF534D"/>
    <w:rsid w:val="00AF552D"/>
    <w:rsid w:val="00AF568A"/>
    <w:rsid w:val="00AF578D"/>
    <w:rsid w:val="00AF5947"/>
    <w:rsid w:val="00AF5B1A"/>
    <w:rsid w:val="00AF5BC6"/>
    <w:rsid w:val="00AF5D13"/>
    <w:rsid w:val="00AF6208"/>
    <w:rsid w:val="00AF691F"/>
    <w:rsid w:val="00AF6BA6"/>
    <w:rsid w:val="00AF6BCB"/>
    <w:rsid w:val="00AF6E34"/>
    <w:rsid w:val="00AF6FE2"/>
    <w:rsid w:val="00AF7217"/>
    <w:rsid w:val="00AF7251"/>
    <w:rsid w:val="00AF761C"/>
    <w:rsid w:val="00AF7652"/>
    <w:rsid w:val="00AF76C2"/>
    <w:rsid w:val="00AF772E"/>
    <w:rsid w:val="00AF77C2"/>
    <w:rsid w:val="00AF7A27"/>
    <w:rsid w:val="00AF7A32"/>
    <w:rsid w:val="00AF7AE2"/>
    <w:rsid w:val="00AF7AEA"/>
    <w:rsid w:val="00AF7B25"/>
    <w:rsid w:val="00AF7CAE"/>
    <w:rsid w:val="00B0003C"/>
    <w:rsid w:val="00B00050"/>
    <w:rsid w:val="00B0012D"/>
    <w:rsid w:val="00B00624"/>
    <w:rsid w:val="00B006F1"/>
    <w:rsid w:val="00B00983"/>
    <w:rsid w:val="00B009EA"/>
    <w:rsid w:val="00B00F21"/>
    <w:rsid w:val="00B01222"/>
    <w:rsid w:val="00B0128D"/>
    <w:rsid w:val="00B012F6"/>
    <w:rsid w:val="00B01907"/>
    <w:rsid w:val="00B01925"/>
    <w:rsid w:val="00B01B9F"/>
    <w:rsid w:val="00B01FCE"/>
    <w:rsid w:val="00B022AD"/>
    <w:rsid w:val="00B02440"/>
    <w:rsid w:val="00B0250B"/>
    <w:rsid w:val="00B026F4"/>
    <w:rsid w:val="00B0278B"/>
    <w:rsid w:val="00B02810"/>
    <w:rsid w:val="00B0286F"/>
    <w:rsid w:val="00B028F5"/>
    <w:rsid w:val="00B02AD0"/>
    <w:rsid w:val="00B02ADE"/>
    <w:rsid w:val="00B02B3C"/>
    <w:rsid w:val="00B02C55"/>
    <w:rsid w:val="00B02D17"/>
    <w:rsid w:val="00B030E2"/>
    <w:rsid w:val="00B034E0"/>
    <w:rsid w:val="00B03565"/>
    <w:rsid w:val="00B03876"/>
    <w:rsid w:val="00B0408F"/>
    <w:rsid w:val="00B04220"/>
    <w:rsid w:val="00B043C6"/>
    <w:rsid w:val="00B0455C"/>
    <w:rsid w:val="00B04679"/>
    <w:rsid w:val="00B046D6"/>
    <w:rsid w:val="00B04705"/>
    <w:rsid w:val="00B04809"/>
    <w:rsid w:val="00B04866"/>
    <w:rsid w:val="00B04C59"/>
    <w:rsid w:val="00B04E2B"/>
    <w:rsid w:val="00B04EAB"/>
    <w:rsid w:val="00B04ED8"/>
    <w:rsid w:val="00B05272"/>
    <w:rsid w:val="00B05499"/>
    <w:rsid w:val="00B054E8"/>
    <w:rsid w:val="00B05598"/>
    <w:rsid w:val="00B055A2"/>
    <w:rsid w:val="00B05709"/>
    <w:rsid w:val="00B05A55"/>
    <w:rsid w:val="00B05B82"/>
    <w:rsid w:val="00B06123"/>
    <w:rsid w:val="00B06507"/>
    <w:rsid w:val="00B06817"/>
    <w:rsid w:val="00B06966"/>
    <w:rsid w:val="00B06C64"/>
    <w:rsid w:val="00B06FE6"/>
    <w:rsid w:val="00B06FFA"/>
    <w:rsid w:val="00B071F8"/>
    <w:rsid w:val="00B0756B"/>
    <w:rsid w:val="00B075B2"/>
    <w:rsid w:val="00B076FF"/>
    <w:rsid w:val="00B0774C"/>
    <w:rsid w:val="00B07817"/>
    <w:rsid w:val="00B07BAC"/>
    <w:rsid w:val="00B07DEC"/>
    <w:rsid w:val="00B07E5C"/>
    <w:rsid w:val="00B07EEF"/>
    <w:rsid w:val="00B07F56"/>
    <w:rsid w:val="00B1014D"/>
    <w:rsid w:val="00B10405"/>
    <w:rsid w:val="00B104E1"/>
    <w:rsid w:val="00B10631"/>
    <w:rsid w:val="00B1072D"/>
    <w:rsid w:val="00B1077E"/>
    <w:rsid w:val="00B108FF"/>
    <w:rsid w:val="00B10A71"/>
    <w:rsid w:val="00B10BA4"/>
    <w:rsid w:val="00B10D06"/>
    <w:rsid w:val="00B10DDC"/>
    <w:rsid w:val="00B1168B"/>
    <w:rsid w:val="00B1181F"/>
    <w:rsid w:val="00B118F3"/>
    <w:rsid w:val="00B1191C"/>
    <w:rsid w:val="00B119A9"/>
    <w:rsid w:val="00B11A9E"/>
    <w:rsid w:val="00B11D02"/>
    <w:rsid w:val="00B11D66"/>
    <w:rsid w:val="00B11DA2"/>
    <w:rsid w:val="00B11E58"/>
    <w:rsid w:val="00B120DA"/>
    <w:rsid w:val="00B120F7"/>
    <w:rsid w:val="00B121D3"/>
    <w:rsid w:val="00B1247E"/>
    <w:rsid w:val="00B1250D"/>
    <w:rsid w:val="00B125D0"/>
    <w:rsid w:val="00B126F8"/>
    <w:rsid w:val="00B127E9"/>
    <w:rsid w:val="00B12944"/>
    <w:rsid w:val="00B12C3D"/>
    <w:rsid w:val="00B12C93"/>
    <w:rsid w:val="00B12D76"/>
    <w:rsid w:val="00B12DDA"/>
    <w:rsid w:val="00B12E1D"/>
    <w:rsid w:val="00B12EC2"/>
    <w:rsid w:val="00B12F90"/>
    <w:rsid w:val="00B13039"/>
    <w:rsid w:val="00B13440"/>
    <w:rsid w:val="00B13857"/>
    <w:rsid w:val="00B1386A"/>
    <w:rsid w:val="00B139EE"/>
    <w:rsid w:val="00B13BD3"/>
    <w:rsid w:val="00B1425A"/>
    <w:rsid w:val="00B14978"/>
    <w:rsid w:val="00B14DCB"/>
    <w:rsid w:val="00B150E5"/>
    <w:rsid w:val="00B15125"/>
    <w:rsid w:val="00B151F1"/>
    <w:rsid w:val="00B15331"/>
    <w:rsid w:val="00B1554B"/>
    <w:rsid w:val="00B15B68"/>
    <w:rsid w:val="00B15BB2"/>
    <w:rsid w:val="00B15F16"/>
    <w:rsid w:val="00B1606B"/>
    <w:rsid w:val="00B16161"/>
    <w:rsid w:val="00B16174"/>
    <w:rsid w:val="00B16A00"/>
    <w:rsid w:val="00B16BF6"/>
    <w:rsid w:val="00B16EBF"/>
    <w:rsid w:val="00B16FF7"/>
    <w:rsid w:val="00B17175"/>
    <w:rsid w:val="00B176D0"/>
    <w:rsid w:val="00B1771C"/>
    <w:rsid w:val="00B1783D"/>
    <w:rsid w:val="00B178BF"/>
    <w:rsid w:val="00B17A15"/>
    <w:rsid w:val="00B17A87"/>
    <w:rsid w:val="00B17BC6"/>
    <w:rsid w:val="00B17BDE"/>
    <w:rsid w:val="00B17E33"/>
    <w:rsid w:val="00B17EB3"/>
    <w:rsid w:val="00B17F7B"/>
    <w:rsid w:val="00B2003E"/>
    <w:rsid w:val="00B200A5"/>
    <w:rsid w:val="00B2015F"/>
    <w:rsid w:val="00B201B2"/>
    <w:rsid w:val="00B202B3"/>
    <w:rsid w:val="00B20430"/>
    <w:rsid w:val="00B205B6"/>
    <w:rsid w:val="00B20A5D"/>
    <w:rsid w:val="00B20D20"/>
    <w:rsid w:val="00B20E47"/>
    <w:rsid w:val="00B20E4A"/>
    <w:rsid w:val="00B21001"/>
    <w:rsid w:val="00B212A7"/>
    <w:rsid w:val="00B2135E"/>
    <w:rsid w:val="00B2168C"/>
    <w:rsid w:val="00B21700"/>
    <w:rsid w:val="00B21757"/>
    <w:rsid w:val="00B2187F"/>
    <w:rsid w:val="00B219CB"/>
    <w:rsid w:val="00B21E21"/>
    <w:rsid w:val="00B21EAD"/>
    <w:rsid w:val="00B21FBC"/>
    <w:rsid w:val="00B22119"/>
    <w:rsid w:val="00B222FD"/>
    <w:rsid w:val="00B22437"/>
    <w:rsid w:val="00B225B5"/>
    <w:rsid w:val="00B22616"/>
    <w:rsid w:val="00B2261F"/>
    <w:rsid w:val="00B227E1"/>
    <w:rsid w:val="00B2292D"/>
    <w:rsid w:val="00B22A61"/>
    <w:rsid w:val="00B22A9A"/>
    <w:rsid w:val="00B22FFA"/>
    <w:rsid w:val="00B23253"/>
    <w:rsid w:val="00B23359"/>
    <w:rsid w:val="00B23458"/>
    <w:rsid w:val="00B235D1"/>
    <w:rsid w:val="00B23664"/>
    <w:rsid w:val="00B236D7"/>
    <w:rsid w:val="00B23851"/>
    <w:rsid w:val="00B23868"/>
    <w:rsid w:val="00B23896"/>
    <w:rsid w:val="00B23A87"/>
    <w:rsid w:val="00B23B84"/>
    <w:rsid w:val="00B23BE3"/>
    <w:rsid w:val="00B24021"/>
    <w:rsid w:val="00B240A7"/>
    <w:rsid w:val="00B2413F"/>
    <w:rsid w:val="00B241C9"/>
    <w:rsid w:val="00B242F1"/>
    <w:rsid w:val="00B244D2"/>
    <w:rsid w:val="00B2473D"/>
    <w:rsid w:val="00B24B03"/>
    <w:rsid w:val="00B24BE2"/>
    <w:rsid w:val="00B24CD5"/>
    <w:rsid w:val="00B24DAD"/>
    <w:rsid w:val="00B24EAD"/>
    <w:rsid w:val="00B24F6B"/>
    <w:rsid w:val="00B2500C"/>
    <w:rsid w:val="00B250E7"/>
    <w:rsid w:val="00B25201"/>
    <w:rsid w:val="00B2545C"/>
    <w:rsid w:val="00B2548A"/>
    <w:rsid w:val="00B2549F"/>
    <w:rsid w:val="00B2572C"/>
    <w:rsid w:val="00B258D0"/>
    <w:rsid w:val="00B25939"/>
    <w:rsid w:val="00B2593A"/>
    <w:rsid w:val="00B25C9A"/>
    <w:rsid w:val="00B25FBC"/>
    <w:rsid w:val="00B263E6"/>
    <w:rsid w:val="00B2654F"/>
    <w:rsid w:val="00B26633"/>
    <w:rsid w:val="00B266AA"/>
    <w:rsid w:val="00B2686E"/>
    <w:rsid w:val="00B268AF"/>
    <w:rsid w:val="00B268BB"/>
    <w:rsid w:val="00B26D2D"/>
    <w:rsid w:val="00B26D55"/>
    <w:rsid w:val="00B26D71"/>
    <w:rsid w:val="00B26E3C"/>
    <w:rsid w:val="00B26F15"/>
    <w:rsid w:val="00B273A5"/>
    <w:rsid w:val="00B2763D"/>
    <w:rsid w:val="00B27839"/>
    <w:rsid w:val="00B27886"/>
    <w:rsid w:val="00B27960"/>
    <w:rsid w:val="00B27DC9"/>
    <w:rsid w:val="00B301AC"/>
    <w:rsid w:val="00B30437"/>
    <w:rsid w:val="00B304A8"/>
    <w:rsid w:val="00B305C0"/>
    <w:rsid w:val="00B30B88"/>
    <w:rsid w:val="00B30F24"/>
    <w:rsid w:val="00B30FF7"/>
    <w:rsid w:val="00B3123A"/>
    <w:rsid w:val="00B3124A"/>
    <w:rsid w:val="00B31506"/>
    <w:rsid w:val="00B31731"/>
    <w:rsid w:val="00B31732"/>
    <w:rsid w:val="00B317C7"/>
    <w:rsid w:val="00B3197E"/>
    <w:rsid w:val="00B31B16"/>
    <w:rsid w:val="00B31C5F"/>
    <w:rsid w:val="00B31C7B"/>
    <w:rsid w:val="00B31F82"/>
    <w:rsid w:val="00B31FC2"/>
    <w:rsid w:val="00B32384"/>
    <w:rsid w:val="00B3238D"/>
    <w:rsid w:val="00B325F4"/>
    <w:rsid w:val="00B326F4"/>
    <w:rsid w:val="00B32842"/>
    <w:rsid w:val="00B32992"/>
    <w:rsid w:val="00B32A3F"/>
    <w:rsid w:val="00B32B3A"/>
    <w:rsid w:val="00B32C81"/>
    <w:rsid w:val="00B32DB1"/>
    <w:rsid w:val="00B33072"/>
    <w:rsid w:val="00B3332C"/>
    <w:rsid w:val="00B33C77"/>
    <w:rsid w:val="00B33CF4"/>
    <w:rsid w:val="00B33D8B"/>
    <w:rsid w:val="00B33E40"/>
    <w:rsid w:val="00B34261"/>
    <w:rsid w:val="00B3451B"/>
    <w:rsid w:val="00B34538"/>
    <w:rsid w:val="00B3473C"/>
    <w:rsid w:val="00B34CD3"/>
    <w:rsid w:val="00B34DB2"/>
    <w:rsid w:val="00B350BA"/>
    <w:rsid w:val="00B35149"/>
    <w:rsid w:val="00B35BAB"/>
    <w:rsid w:val="00B35E14"/>
    <w:rsid w:val="00B35EC2"/>
    <w:rsid w:val="00B35F88"/>
    <w:rsid w:val="00B360D4"/>
    <w:rsid w:val="00B3614B"/>
    <w:rsid w:val="00B36568"/>
    <w:rsid w:val="00B36780"/>
    <w:rsid w:val="00B36979"/>
    <w:rsid w:val="00B36A04"/>
    <w:rsid w:val="00B36DC4"/>
    <w:rsid w:val="00B3709B"/>
    <w:rsid w:val="00B3717F"/>
    <w:rsid w:val="00B3724C"/>
    <w:rsid w:val="00B37360"/>
    <w:rsid w:val="00B37AD7"/>
    <w:rsid w:val="00B37BFF"/>
    <w:rsid w:val="00B4000B"/>
    <w:rsid w:val="00B40022"/>
    <w:rsid w:val="00B40214"/>
    <w:rsid w:val="00B4045B"/>
    <w:rsid w:val="00B40775"/>
    <w:rsid w:val="00B407B0"/>
    <w:rsid w:val="00B40D99"/>
    <w:rsid w:val="00B41186"/>
    <w:rsid w:val="00B412D2"/>
    <w:rsid w:val="00B4133C"/>
    <w:rsid w:val="00B413BD"/>
    <w:rsid w:val="00B41B24"/>
    <w:rsid w:val="00B42105"/>
    <w:rsid w:val="00B42773"/>
    <w:rsid w:val="00B42AC5"/>
    <w:rsid w:val="00B42E97"/>
    <w:rsid w:val="00B42F71"/>
    <w:rsid w:val="00B42F77"/>
    <w:rsid w:val="00B42FC0"/>
    <w:rsid w:val="00B430B3"/>
    <w:rsid w:val="00B431B5"/>
    <w:rsid w:val="00B433CF"/>
    <w:rsid w:val="00B43878"/>
    <w:rsid w:val="00B4398D"/>
    <w:rsid w:val="00B43A67"/>
    <w:rsid w:val="00B43C4F"/>
    <w:rsid w:val="00B43CD7"/>
    <w:rsid w:val="00B43DBF"/>
    <w:rsid w:val="00B43FD0"/>
    <w:rsid w:val="00B444DF"/>
    <w:rsid w:val="00B448FB"/>
    <w:rsid w:val="00B449C4"/>
    <w:rsid w:val="00B44B48"/>
    <w:rsid w:val="00B44DBB"/>
    <w:rsid w:val="00B45094"/>
    <w:rsid w:val="00B45229"/>
    <w:rsid w:val="00B453D9"/>
    <w:rsid w:val="00B45509"/>
    <w:rsid w:val="00B45BCB"/>
    <w:rsid w:val="00B45CFE"/>
    <w:rsid w:val="00B45F84"/>
    <w:rsid w:val="00B460C7"/>
    <w:rsid w:val="00B463DE"/>
    <w:rsid w:val="00B4681D"/>
    <w:rsid w:val="00B46853"/>
    <w:rsid w:val="00B46911"/>
    <w:rsid w:val="00B46972"/>
    <w:rsid w:val="00B46A79"/>
    <w:rsid w:val="00B46BD0"/>
    <w:rsid w:val="00B46C0A"/>
    <w:rsid w:val="00B46E66"/>
    <w:rsid w:val="00B47103"/>
    <w:rsid w:val="00B472A1"/>
    <w:rsid w:val="00B472B4"/>
    <w:rsid w:val="00B4742D"/>
    <w:rsid w:val="00B477E8"/>
    <w:rsid w:val="00B47BDE"/>
    <w:rsid w:val="00B47FAF"/>
    <w:rsid w:val="00B50046"/>
    <w:rsid w:val="00B5006E"/>
    <w:rsid w:val="00B502B0"/>
    <w:rsid w:val="00B50B83"/>
    <w:rsid w:val="00B50CC3"/>
    <w:rsid w:val="00B50D82"/>
    <w:rsid w:val="00B50DC1"/>
    <w:rsid w:val="00B50F52"/>
    <w:rsid w:val="00B50F5E"/>
    <w:rsid w:val="00B51315"/>
    <w:rsid w:val="00B51505"/>
    <w:rsid w:val="00B51B14"/>
    <w:rsid w:val="00B51DD5"/>
    <w:rsid w:val="00B51E8D"/>
    <w:rsid w:val="00B523A8"/>
    <w:rsid w:val="00B52498"/>
    <w:rsid w:val="00B524A3"/>
    <w:rsid w:val="00B52718"/>
    <w:rsid w:val="00B5284B"/>
    <w:rsid w:val="00B52B76"/>
    <w:rsid w:val="00B52F73"/>
    <w:rsid w:val="00B52F80"/>
    <w:rsid w:val="00B53121"/>
    <w:rsid w:val="00B5328A"/>
    <w:rsid w:val="00B532A3"/>
    <w:rsid w:val="00B5338D"/>
    <w:rsid w:val="00B53462"/>
    <w:rsid w:val="00B53499"/>
    <w:rsid w:val="00B53768"/>
    <w:rsid w:val="00B537B8"/>
    <w:rsid w:val="00B538E6"/>
    <w:rsid w:val="00B5391C"/>
    <w:rsid w:val="00B53996"/>
    <w:rsid w:val="00B53A45"/>
    <w:rsid w:val="00B5400C"/>
    <w:rsid w:val="00B540C5"/>
    <w:rsid w:val="00B54352"/>
    <w:rsid w:val="00B548E4"/>
    <w:rsid w:val="00B549C8"/>
    <w:rsid w:val="00B54B51"/>
    <w:rsid w:val="00B54BAA"/>
    <w:rsid w:val="00B54BC6"/>
    <w:rsid w:val="00B54CD7"/>
    <w:rsid w:val="00B54EAA"/>
    <w:rsid w:val="00B54EE7"/>
    <w:rsid w:val="00B5507E"/>
    <w:rsid w:val="00B5553E"/>
    <w:rsid w:val="00B55636"/>
    <w:rsid w:val="00B5573F"/>
    <w:rsid w:val="00B557E0"/>
    <w:rsid w:val="00B5581C"/>
    <w:rsid w:val="00B558F2"/>
    <w:rsid w:val="00B55CB5"/>
    <w:rsid w:val="00B55CCE"/>
    <w:rsid w:val="00B55F21"/>
    <w:rsid w:val="00B55FA1"/>
    <w:rsid w:val="00B567A7"/>
    <w:rsid w:val="00B56828"/>
    <w:rsid w:val="00B56BEE"/>
    <w:rsid w:val="00B56EEB"/>
    <w:rsid w:val="00B5720C"/>
    <w:rsid w:val="00B572A4"/>
    <w:rsid w:val="00B57329"/>
    <w:rsid w:val="00B5747A"/>
    <w:rsid w:val="00B57566"/>
    <w:rsid w:val="00B57825"/>
    <w:rsid w:val="00B579A2"/>
    <w:rsid w:val="00B57A7B"/>
    <w:rsid w:val="00B57D41"/>
    <w:rsid w:val="00B57E79"/>
    <w:rsid w:val="00B57FD6"/>
    <w:rsid w:val="00B601BB"/>
    <w:rsid w:val="00B601D4"/>
    <w:rsid w:val="00B6056F"/>
    <w:rsid w:val="00B605DA"/>
    <w:rsid w:val="00B60695"/>
    <w:rsid w:val="00B606B9"/>
    <w:rsid w:val="00B60839"/>
    <w:rsid w:val="00B60848"/>
    <w:rsid w:val="00B60A03"/>
    <w:rsid w:val="00B60A17"/>
    <w:rsid w:val="00B60A30"/>
    <w:rsid w:val="00B60B48"/>
    <w:rsid w:val="00B610E3"/>
    <w:rsid w:val="00B61105"/>
    <w:rsid w:val="00B61176"/>
    <w:rsid w:val="00B61381"/>
    <w:rsid w:val="00B6185D"/>
    <w:rsid w:val="00B61C43"/>
    <w:rsid w:val="00B6205B"/>
    <w:rsid w:val="00B62221"/>
    <w:rsid w:val="00B62431"/>
    <w:rsid w:val="00B626DD"/>
    <w:rsid w:val="00B627BF"/>
    <w:rsid w:val="00B62A48"/>
    <w:rsid w:val="00B62BC4"/>
    <w:rsid w:val="00B62F26"/>
    <w:rsid w:val="00B6343E"/>
    <w:rsid w:val="00B634B1"/>
    <w:rsid w:val="00B63615"/>
    <w:rsid w:val="00B63819"/>
    <w:rsid w:val="00B63B2B"/>
    <w:rsid w:val="00B63C26"/>
    <w:rsid w:val="00B63E14"/>
    <w:rsid w:val="00B63E2C"/>
    <w:rsid w:val="00B63E37"/>
    <w:rsid w:val="00B63FC9"/>
    <w:rsid w:val="00B640B8"/>
    <w:rsid w:val="00B643AE"/>
    <w:rsid w:val="00B645CD"/>
    <w:rsid w:val="00B64971"/>
    <w:rsid w:val="00B64B52"/>
    <w:rsid w:val="00B651CF"/>
    <w:rsid w:val="00B6525A"/>
    <w:rsid w:val="00B6592C"/>
    <w:rsid w:val="00B659D9"/>
    <w:rsid w:val="00B65ACF"/>
    <w:rsid w:val="00B65BDE"/>
    <w:rsid w:val="00B65CDD"/>
    <w:rsid w:val="00B65FE0"/>
    <w:rsid w:val="00B6607B"/>
    <w:rsid w:val="00B66124"/>
    <w:rsid w:val="00B66154"/>
    <w:rsid w:val="00B66316"/>
    <w:rsid w:val="00B66353"/>
    <w:rsid w:val="00B6640E"/>
    <w:rsid w:val="00B6654F"/>
    <w:rsid w:val="00B66746"/>
    <w:rsid w:val="00B6680D"/>
    <w:rsid w:val="00B66915"/>
    <w:rsid w:val="00B66CC2"/>
    <w:rsid w:val="00B66CE8"/>
    <w:rsid w:val="00B66CF9"/>
    <w:rsid w:val="00B670A5"/>
    <w:rsid w:val="00B67231"/>
    <w:rsid w:val="00B672FE"/>
    <w:rsid w:val="00B67338"/>
    <w:rsid w:val="00B6744E"/>
    <w:rsid w:val="00B6751F"/>
    <w:rsid w:val="00B678C1"/>
    <w:rsid w:val="00B678DB"/>
    <w:rsid w:val="00B67AD9"/>
    <w:rsid w:val="00B67C28"/>
    <w:rsid w:val="00B67FA8"/>
    <w:rsid w:val="00B70062"/>
    <w:rsid w:val="00B70325"/>
    <w:rsid w:val="00B703E3"/>
    <w:rsid w:val="00B703E4"/>
    <w:rsid w:val="00B7064F"/>
    <w:rsid w:val="00B708B1"/>
    <w:rsid w:val="00B70AA8"/>
    <w:rsid w:val="00B70D33"/>
    <w:rsid w:val="00B70F97"/>
    <w:rsid w:val="00B711B8"/>
    <w:rsid w:val="00B71413"/>
    <w:rsid w:val="00B7155C"/>
    <w:rsid w:val="00B71701"/>
    <w:rsid w:val="00B7190D"/>
    <w:rsid w:val="00B71B69"/>
    <w:rsid w:val="00B7207B"/>
    <w:rsid w:val="00B7244B"/>
    <w:rsid w:val="00B7255C"/>
    <w:rsid w:val="00B725DC"/>
    <w:rsid w:val="00B7276A"/>
    <w:rsid w:val="00B727B7"/>
    <w:rsid w:val="00B729CC"/>
    <w:rsid w:val="00B72D8F"/>
    <w:rsid w:val="00B72DA0"/>
    <w:rsid w:val="00B72EA5"/>
    <w:rsid w:val="00B72EE2"/>
    <w:rsid w:val="00B7338E"/>
    <w:rsid w:val="00B7372E"/>
    <w:rsid w:val="00B73874"/>
    <w:rsid w:val="00B73A65"/>
    <w:rsid w:val="00B73FE3"/>
    <w:rsid w:val="00B74245"/>
    <w:rsid w:val="00B74617"/>
    <w:rsid w:val="00B74C10"/>
    <w:rsid w:val="00B74E26"/>
    <w:rsid w:val="00B74F84"/>
    <w:rsid w:val="00B74FAF"/>
    <w:rsid w:val="00B755A1"/>
    <w:rsid w:val="00B756E2"/>
    <w:rsid w:val="00B75DB4"/>
    <w:rsid w:val="00B75FE7"/>
    <w:rsid w:val="00B7606E"/>
    <w:rsid w:val="00B7615E"/>
    <w:rsid w:val="00B7619D"/>
    <w:rsid w:val="00B76206"/>
    <w:rsid w:val="00B76901"/>
    <w:rsid w:val="00B76F2D"/>
    <w:rsid w:val="00B7732E"/>
    <w:rsid w:val="00B7741B"/>
    <w:rsid w:val="00B77536"/>
    <w:rsid w:val="00B7763A"/>
    <w:rsid w:val="00B776FD"/>
    <w:rsid w:val="00B778E3"/>
    <w:rsid w:val="00B77944"/>
    <w:rsid w:val="00B77AB5"/>
    <w:rsid w:val="00B77ACE"/>
    <w:rsid w:val="00B77B2B"/>
    <w:rsid w:val="00B77E3B"/>
    <w:rsid w:val="00B77F6F"/>
    <w:rsid w:val="00B80242"/>
    <w:rsid w:val="00B8028B"/>
    <w:rsid w:val="00B804E3"/>
    <w:rsid w:val="00B804EE"/>
    <w:rsid w:val="00B80686"/>
    <w:rsid w:val="00B8084C"/>
    <w:rsid w:val="00B8086A"/>
    <w:rsid w:val="00B808F7"/>
    <w:rsid w:val="00B80ADE"/>
    <w:rsid w:val="00B80DD4"/>
    <w:rsid w:val="00B80F9F"/>
    <w:rsid w:val="00B811FB"/>
    <w:rsid w:val="00B814FE"/>
    <w:rsid w:val="00B816A4"/>
    <w:rsid w:val="00B818CC"/>
    <w:rsid w:val="00B81979"/>
    <w:rsid w:val="00B81E00"/>
    <w:rsid w:val="00B81E79"/>
    <w:rsid w:val="00B82056"/>
    <w:rsid w:val="00B822E7"/>
    <w:rsid w:val="00B825EA"/>
    <w:rsid w:val="00B826C9"/>
    <w:rsid w:val="00B82BB2"/>
    <w:rsid w:val="00B82BD4"/>
    <w:rsid w:val="00B82CA9"/>
    <w:rsid w:val="00B82CC5"/>
    <w:rsid w:val="00B82F04"/>
    <w:rsid w:val="00B83008"/>
    <w:rsid w:val="00B83089"/>
    <w:rsid w:val="00B83149"/>
    <w:rsid w:val="00B83179"/>
    <w:rsid w:val="00B833AA"/>
    <w:rsid w:val="00B83AD7"/>
    <w:rsid w:val="00B83C1E"/>
    <w:rsid w:val="00B83DFC"/>
    <w:rsid w:val="00B83E39"/>
    <w:rsid w:val="00B83EC8"/>
    <w:rsid w:val="00B8426D"/>
    <w:rsid w:val="00B846CB"/>
    <w:rsid w:val="00B8492D"/>
    <w:rsid w:val="00B84B7B"/>
    <w:rsid w:val="00B84E76"/>
    <w:rsid w:val="00B852A6"/>
    <w:rsid w:val="00B85433"/>
    <w:rsid w:val="00B85851"/>
    <w:rsid w:val="00B858C8"/>
    <w:rsid w:val="00B85A03"/>
    <w:rsid w:val="00B85B16"/>
    <w:rsid w:val="00B8630B"/>
    <w:rsid w:val="00B8634D"/>
    <w:rsid w:val="00B86419"/>
    <w:rsid w:val="00B86431"/>
    <w:rsid w:val="00B865A3"/>
    <w:rsid w:val="00B865B5"/>
    <w:rsid w:val="00B86805"/>
    <w:rsid w:val="00B8686E"/>
    <w:rsid w:val="00B868ED"/>
    <w:rsid w:val="00B86969"/>
    <w:rsid w:val="00B8696A"/>
    <w:rsid w:val="00B86B02"/>
    <w:rsid w:val="00B86BAE"/>
    <w:rsid w:val="00B86FFE"/>
    <w:rsid w:val="00B873AD"/>
    <w:rsid w:val="00B87458"/>
    <w:rsid w:val="00B87480"/>
    <w:rsid w:val="00B8751D"/>
    <w:rsid w:val="00B8787F"/>
    <w:rsid w:val="00B87934"/>
    <w:rsid w:val="00B87A0A"/>
    <w:rsid w:val="00B87A73"/>
    <w:rsid w:val="00B87B67"/>
    <w:rsid w:val="00B87CE0"/>
    <w:rsid w:val="00B90029"/>
    <w:rsid w:val="00B90340"/>
    <w:rsid w:val="00B90463"/>
    <w:rsid w:val="00B90875"/>
    <w:rsid w:val="00B90AE7"/>
    <w:rsid w:val="00B90C1A"/>
    <w:rsid w:val="00B90C58"/>
    <w:rsid w:val="00B90EDE"/>
    <w:rsid w:val="00B90F73"/>
    <w:rsid w:val="00B91023"/>
    <w:rsid w:val="00B910B4"/>
    <w:rsid w:val="00B910C9"/>
    <w:rsid w:val="00B9150C"/>
    <w:rsid w:val="00B91660"/>
    <w:rsid w:val="00B91776"/>
    <w:rsid w:val="00B91A3D"/>
    <w:rsid w:val="00B91B29"/>
    <w:rsid w:val="00B91D8C"/>
    <w:rsid w:val="00B91F4E"/>
    <w:rsid w:val="00B92367"/>
    <w:rsid w:val="00B923F0"/>
    <w:rsid w:val="00B9248F"/>
    <w:rsid w:val="00B924B0"/>
    <w:rsid w:val="00B9260C"/>
    <w:rsid w:val="00B92728"/>
    <w:rsid w:val="00B92A87"/>
    <w:rsid w:val="00B92B57"/>
    <w:rsid w:val="00B92D61"/>
    <w:rsid w:val="00B92E13"/>
    <w:rsid w:val="00B92E1C"/>
    <w:rsid w:val="00B9304B"/>
    <w:rsid w:val="00B9306E"/>
    <w:rsid w:val="00B934F2"/>
    <w:rsid w:val="00B93552"/>
    <w:rsid w:val="00B93627"/>
    <w:rsid w:val="00B937F5"/>
    <w:rsid w:val="00B9387D"/>
    <w:rsid w:val="00B939B2"/>
    <w:rsid w:val="00B939BC"/>
    <w:rsid w:val="00B93BA1"/>
    <w:rsid w:val="00B93D43"/>
    <w:rsid w:val="00B93E4A"/>
    <w:rsid w:val="00B93EE4"/>
    <w:rsid w:val="00B941C8"/>
    <w:rsid w:val="00B944BE"/>
    <w:rsid w:val="00B94550"/>
    <w:rsid w:val="00B945BE"/>
    <w:rsid w:val="00B94679"/>
    <w:rsid w:val="00B94709"/>
    <w:rsid w:val="00B947A1"/>
    <w:rsid w:val="00B9488B"/>
    <w:rsid w:val="00B94A70"/>
    <w:rsid w:val="00B94B1D"/>
    <w:rsid w:val="00B94F6B"/>
    <w:rsid w:val="00B95001"/>
    <w:rsid w:val="00B95548"/>
    <w:rsid w:val="00B9562B"/>
    <w:rsid w:val="00B95D1B"/>
    <w:rsid w:val="00B95F8C"/>
    <w:rsid w:val="00B961B5"/>
    <w:rsid w:val="00B9631F"/>
    <w:rsid w:val="00B9637B"/>
    <w:rsid w:val="00B963D9"/>
    <w:rsid w:val="00B96538"/>
    <w:rsid w:val="00B967A1"/>
    <w:rsid w:val="00B968A5"/>
    <w:rsid w:val="00B968EE"/>
    <w:rsid w:val="00B96929"/>
    <w:rsid w:val="00B96CCC"/>
    <w:rsid w:val="00B96EB0"/>
    <w:rsid w:val="00B96EBC"/>
    <w:rsid w:val="00B96F8A"/>
    <w:rsid w:val="00B9707F"/>
    <w:rsid w:val="00B97257"/>
    <w:rsid w:val="00B9728C"/>
    <w:rsid w:val="00B9739D"/>
    <w:rsid w:val="00B974AC"/>
    <w:rsid w:val="00B9756A"/>
    <w:rsid w:val="00B975FF"/>
    <w:rsid w:val="00B9760C"/>
    <w:rsid w:val="00B9772A"/>
    <w:rsid w:val="00B97AD5"/>
    <w:rsid w:val="00B97AEE"/>
    <w:rsid w:val="00B97BD1"/>
    <w:rsid w:val="00B97F79"/>
    <w:rsid w:val="00BA001B"/>
    <w:rsid w:val="00BA002E"/>
    <w:rsid w:val="00BA0091"/>
    <w:rsid w:val="00BA014F"/>
    <w:rsid w:val="00BA050A"/>
    <w:rsid w:val="00BA0698"/>
    <w:rsid w:val="00BA0844"/>
    <w:rsid w:val="00BA08CB"/>
    <w:rsid w:val="00BA08EC"/>
    <w:rsid w:val="00BA0938"/>
    <w:rsid w:val="00BA0ADD"/>
    <w:rsid w:val="00BA0CFC"/>
    <w:rsid w:val="00BA0D8A"/>
    <w:rsid w:val="00BA0F07"/>
    <w:rsid w:val="00BA0FFF"/>
    <w:rsid w:val="00BA1290"/>
    <w:rsid w:val="00BA12D6"/>
    <w:rsid w:val="00BA1341"/>
    <w:rsid w:val="00BA134E"/>
    <w:rsid w:val="00BA153F"/>
    <w:rsid w:val="00BA189A"/>
    <w:rsid w:val="00BA18B6"/>
    <w:rsid w:val="00BA1BA0"/>
    <w:rsid w:val="00BA1CAC"/>
    <w:rsid w:val="00BA1FAE"/>
    <w:rsid w:val="00BA2113"/>
    <w:rsid w:val="00BA257E"/>
    <w:rsid w:val="00BA2580"/>
    <w:rsid w:val="00BA26B6"/>
    <w:rsid w:val="00BA26D0"/>
    <w:rsid w:val="00BA2807"/>
    <w:rsid w:val="00BA28CB"/>
    <w:rsid w:val="00BA2902"/>
    <w:rsid w:val="00BA2A1B"/>
    <w:rsid w:val="00BA2B92"/>
    <w:rsid w:val="00BA2DE9"/>
    <w:rsid w:val="00BA2F70"/>
    <w:rsid w:val="00BA2FB4"/>
    <w:rsid w:val="00BA34F3"/>
    <w:rsid w:val="00BA365F"/>
    <w:rsid w:val="00BA37D0"/>
    <w:rsid w:val="00BA3D04"/>
    <w:rsid w:val="00BA40F6"/>
    <w:rsid w:val="00BA445A"/>
    <w:rsid w:val="00BA4545"/>
    <w:rsid w:val="00BA4546"/>
    <w:rsid w:val="00BA45AD"/>
    <w:rsid w:val="00BA4649"/>
    <w:rsid w:val="00BA4669"/>
    <w:rsid w:val="00BA4697"/>
    <w:rsid w:val="00BA4741"/>
    <w:rsid w:val="00BA48CB"/>
    <w:rsid w:val="00BA49AD"/>
    <w:rsid w:val="00BA4C5E"/>
    <w:rsid w:val="00BA50AA"/>
    <w:rsid w:val="00BA511D"/>
    <w:rsid w:val="00BA529A"/>
    <w:rsid w:val="00BA5501"/>
    <w:rsid w:val="00BA5769"/>
    <w:rsid w:val="00BA58A3"/>
    <w:rsid w:val="00BA5A67"/>
    <w:rsid w:val="00BA5B28"/>
    <w:rsid w:val="00BA5FBB"/>
    <w:rsid w:val="00BA5FBC"/>
    <w:rsid w:val="00BA62F5"/>
    <w:rsid w:val="00BA6536"/>
    <w:rsid w:val="00BA6571"/>
    <w:rsid w:val="00BA67DD"/>
    <w:rsid w:val="00BA6888"/>
    <w:rsid w:val="00BA68DE"/>
    <w:rsid w:val="00BA68F2"/>
    <w:rsid w:val="00BA6B80"/>
    <w:rsid w:val="00BA6DD2"/>
    <w:rsid w:val="00BA6FB5"/>
    <w:rsid w:val="00BA70A1"/>
    <w:rsid w:val="00BA73B9"/>
    <w:rsid w:val="00BA7418"/>
    <w:rsid w:val="00BA75E8"/>
    <w:rsid w:val="00BA7635"/>
    <w:rsid w:val="00BA7697"/>
    <w:rsid w:val="00BA77A9"/>
    <w:rsid w:val="00BA780B"/>
    <w:rsid w:val="00BA7A68"/>
    <w:rsid w:val="00BA7BA0"/>
    <w:rsid w:val="00BA7D55"/>
    <w:rsid w:val="00BA7E0C"/>
    <w:rsid w:val="00BA7EEF"/>
    <w:rsid w:val="00BA7EFE"/>
    <w:rsid w:val="00BB0164"/>
    <w:rsid w:val="00BB049B"/>
    <w:rsid w:val="00BB069B"/>
    <w:rsid w:val="00BB07EF"/>
    <w:rsid w:val="00BB0C6F"/>
    <w:rsid w:val="00BB0F3F"/>
    <w:rsid w:val="00BB11C6"/>
    <w:rsid w:val="00BB159D"/>
    <w:rsid w:val="00BB17A0"/>
    <w:rsid w:val="00BB198D"/>
    <w:rsid w:val="00BB198F"/>
    <w:rsid w:val="00BB1B43"/>
    <w:rsid w:val="00BB1C19"/>
    <w:rsid w:val="00BB1D6A"/>
    <w:rsid w:val="00BB1FCA"/>
    <w:rsid w:val="00BB1FD7"/>
    <w:rsid w:val="00BB20A8"/>
    <w:rsid w:val="00BB2125"/>
    <w:rsid w:val="00BB23B1"/>
    <w:rsid w:val="00BB2416"/>
    <w:rsid w:val="00BB24FB"/>
    <w:rsid w:val="00BB267A"/>
    <w:rsid w:val="00BB27E1"/>
    <w:rsid w:val="00BB2904"/>
    <w:rsid w:val="00BB2BE3"/>
    <w:rsid w:val="00BB2C53"/>
    <w:rsid w:val="00BB2D00"/>
    <w:rsid w:val="00BB2E9C"/>
    <w:rsid w:val="00BB2EBA"/>
    <w:rsid w:val="00BB3201"/>
    <w:rsid w:val="00BB3686"/>
    <w:rsid w:val="00BB3AFD"/>
    <w:rsid w:val="00BB3E2C"/>
    <w:rsid w:val="00BB4136"/>
    <w:rsid w:val="00BB42EF"/>
    <w:rsid w:val="00BB43B7"/>
    <w:rsid w:val="00BB43ED"/>
    <w:rsid w:val="00BB44E1"/>
    <w:rsid w:val="00BB489D"/>
    <w:rsid w:val="00BB48F6"/>
    <w:rsid w:val="00BB4D0A"/>
    <w:rsid w:val="00BB4EA2"/>
    <w:rsid w:val="00BB4EBD"/>
    <w:rsid w:val="00BB500A"/>
    <w:rsid w:val="00BB5023"/>
    <w:rsid w:val="00BB5265"/>
    <w:rsid w:val="00BB535C"/>
    <w:rsid w:val="00BB5535"/>
    <w:rsid w:val="00BB55DB"/>
    <w:rsid w:val="00BB585A"/>
    <w:rsid w:val="00BB5BCB"/>
    <w:rsid w:val="00BB5BED"/>
    <w:rsid w:val="00BB5DA5"/>
    <w:rsid w:val="00BB5DEB"/>
    <w:rsid w:val="00BB5F8E"/>
    <w:rsid w:val="00BB62FD"/>
    <w:rsid w:val="00BB6397"/>
    <w:rsid w:val="00BB67C5"/>
    <w:rsid w:val="00BB68DC"/>
    <w:rsid w:val="00BB68F1"/>
    <w:rsid w:val="00BB727E"/>
    <w:rsid w:val="00BB75A4"/>
    <w:rsid w:val="00BB785F"/>
    <w:rsid w:val="00BB7C4A"/>
    <w:rsid w:val="00BC0083"/>
    <w:rsid w:val="00BC01A4"/>
    <w:rsid w:val="00BC0207"/>
    <w:rsid w:val="00BC0379"/>
    <w:rsid w:val="00BC0887"/>
    <w:rsid w:val="00BC08AE"/>
    <w:rsid w:val="00BC0A17"/>
    <w:rsid w:val="00BC0B7C"/>
    <w:rsid w:val="00BC0BD1"/>
    <w:rsid w:val="00BC0F83"/>
    <w:rsid w:val="00BC1178"/>
    <w:rsid w:val="00BC11B4"/>
    <w:rsid w:val="00BC11C9"/>
    <w:rsid w:val="00BC12E5"/>
    <w:rsid w:val="00BC18C7"/>
    <w:rsid w:val="00BC19BD"/>
    <w:rsid w:val="00BC1F7C"/>
    <w:rsid w:val="00BC20BA"/>
    <w:rsid w:val="00BC2176"/>
    <w:rsid w:val="00BC2186"/>
    <w:rsid w:val="00BC2187"/>
    <w:rsid w:val="00BC23CC"/>
    <w:rsid w:val="00BC2490"/>
    <w:rsid w:val="00BC2577"/>
    <w:rsid w:val="00BC260B"/>
    <w:rsid w:val="00BC275E"/>
    <w:rsid w:val="00BC28BB"/>
    <w:rsid w:val="00BC2B76"/>
    <w:rsid w:val="00BC2CEE"/>
    <w:rsid w:val="00BC2E1D"/>
    <w:rsid w:val="00BC323B"/>
    <w:rsid w:val="00BC33D2"/>
    <w:rsid w:val="00BC37D0"/>
    <w:rsid w:val="00BC393E"/>
    <w:rsid w:val="00BC3980"/>
    <w:rsid w:val="00BC3B73"/>
    <w:rsid w:val="00BC3B77"/>
    <w:rsid w:val="00BC3BCE"/>
    <w:rsid w:val="00BC3C54"/>
    <w:rsid w:val="00BC3D27"/>
    <w:rsid w:val="00BC3DF0"/>
    <w:rsid w:val="00BC40BD"/>
    <w:rsid w:val="00BC41F3"/>
    <w:rsid w:val="00BC425C"/>
    <w:rsid w:val="00BC42E3"/>
    <w:rsid w:val="00BC43AF"/>
    <w:rsid w:val="00BC44A4"/>
    <w:rsid w:val="00BC46E6"/>
    <w:rsid w:val="00BC4728"/>
    <w:rsid w:val="00BC477F"/>
    <w:rsid w:val="00BC4A43"/>
    <w:rsid w:val="00BC58B5"/>
    <w:rsid w:val="00BC5AE9"/>
    <w:rsid w:val="00BC5C9C"/>
    <w:rsid w:val="00BC5D3C"/>
    <w:rsid w:val="00BC6288"/>
    <w:rsid w:val="00BC65D6"/>
    <w:rsid w:val="00BC6645"/>
    <w:rsid w:val="00BC664F"/>
    <w:rsid w:val="00BC666B"/>
    <w:rsid w:val="00BC6720"/>
    <w:rsid w:val="00BC686B"/>
    <w:rsid w:val="00BC6AB9"/>
    <w:rsid w:val="00BC6DC8"/>
    <w:rsid w:val="00BC7079"/>
    <w:rsid w:val="00BC7099"/>
    <w:rsid w:val="00BC75C1"/>
    <w:rsid w:val="00BC7628"/>
    <w:rsid w:val="00BC764F"/>
    <w:rsid w:val="00BC768D"/>
    <w:rsid w:val="00BC7797"/>
    <w:rsid w:val="00BC77C7"/>
    <w:rsid w:val="00BC7805"/>
    <w:rsid w:val="00BC7D92"/>
    <w:rsid w:val="00BD0254"/>
    <w:rsid w:val="00BD02C8"/>
    <w:rsid w:val="00BD02FC"/>
    <w:rsid w:val="00BD03C8"/>
    <w:rsid w:val="00BD07BE"/>
    <w:rsid w:val="00BD084E"/>
    <w:rsid w:val="00BD0AC4"/>
    <w:rsid w:val="00BD0B2C"/>
    <w:rsid w:val="00BD1293"/>
    <w:rsid w:val="00BD135E"/>
    <w:rsid w:val="00BD1370"/>
    <w:rsid w:val="00BD13DC"/>
    <w:rsid w:val="00BD13F9"/>
    <w:rsid w:val="00BD1430"/>
    <w:rsid w:val="00BD1440"/>
    <w:rsid w:val="00BD169C"/>
    <w:rsid w:val="00BD1B5E"/>
    <w:rsid w:val="00BD2063"/>
    <w:rsid w:val="00BD2128"/>
    <w:rsid w:val="00BD22E8"/>
    <w:rsid w:val="00BD2A05"/>
    <w:rsid w:val="00BD2DDA"/>
    <w:rsid w:val="00BD2E2A"/>
    <w:rsid w:val="00BD2F0E"/>
    <w:rsid w:val="00BD2FAE"/>
    <w:rsid w:val="00BD30FA"/>
    <w:rsid w:val="00BD3327"/>
    <w:rsid w:val="00BD3483"/>
    <w:rsid w:val="00BD3697"/>
    <w:rsid w:val="00BD379C"/>
    <w:rsid w:val="00BD3A5C"/>
    <w:rsid w:val="00BD3AE5"/>
    <w:rsid w:val="00BD3C04"/>
    <w:rsid w:val="00BD3F81"/>
    <w:rsid w:val="00BD40A0"/>
    <w:rsid w:val="00BD4AFA"/>
    <w:rsid w:val="00BD4B27"/>
    <w:rsid w:val="00BD4C48"/>
    <w:rsid w:val="00BD4C4B"/>
    <w:rsid w:val="00BD4C91"/>
    <w:rsid w:val="00BD4D1B"/>
    <w:rsid w:val="00BD5369"/>
    <w:rsid w:val="00BD56EB"/>
    <w:rsid w:val="00BD5718"/>
    <w:rsid w:val="00BD595A"/>
    <w:rsid w:val="00BD5AB9"/>
    <w:rsid w:val="00BD5E5B"/>
    <w:rsid w:val="00BD5F02"/>
    <w:rsid w:val="00BD617D"/>
    <w:rsid w:val="00BD6425"/>
    <w:rsid w:val="00BD64BC"/>
    <w:rsid w:val="00BD6994"/>
    <w:rsid w:val="00BD6B2F"/>
    <w:rsid w:val="00BD6EB0"/>
    <w:rsid w:val="00BD7334"/>
    <w:rsid w:val="00BD76C3"/>
    <w:rsid w:val="00BD76EA"/>
    <w:rsid w:val="00BD7808"/>
    <w:rsid w:val="00BD7838"/>
    <w:rsid w:val="00BD7958"/>
    <w:rsid w:val="00BD79BE"/>
    <w:rsid w:val="00BD7A15"/>
    <w:rsid w:val="00BD7A56"/>
    <w:rsid w:val="00BD7A8A"/>
    <w:rsid w:val="00BD7DC1"/>
    <w:rsid w:val="00BE01BD"/>
    <w:rsid w:val="00BE0259"/>
    <w:rsid w:val="00BE027C"/>
    <w:rsid w:val="00BE028B"/>
    <w:rsid w:val="00BE07BC"/>
    <w:rsid w:val="00BE0948"/>
    <w:rsid w:val="00BE0AD7"/>
    <w:rsid w:val="00BE0F23"/>
    <w:rsid w:val="00BE0F6A"/>
    <w:rsid w:val="00BE1084"/>
    <w:rsid w:val="00BE1144"/>
    <w:rsid w:val="00BE13E6"/>
    <w:rsid w:val="00BE14EE"/>
    <w:rsid w:val="00BE1550"/>
    <w:rsid w:val="00BE15FE"/>
    <w:rsid w:val="00BE16DB"/>
    <w:rsid w:val="00BE1742"/>
    <w:rsid w:val="00BE1813"/>
    <w:rsid w:val="00BE1918"/>
    <w:rsid w:val="00BE193C"/>
    <w:rsid w:val="00BE1C15"/>
    <w:rsid w:val="00BE1C2F"/>
    <w:rsid w:val="00BE1C7B"/>
    <w:rsid w:val="00BE1DEA"/>
    <w:rsid w:val="00BE1E3C"/>
    <w:rsid w:val="00BE1E9C"/>
    <w:rsid w:val="00BE1F10"/>
    <w:rsid w:val="00BE2087"/>
    <w:rsid w:val="00BE2386"/>
    <w:rsid w:val="00BE2697"/>
    <w:rsid w:val="00BE2723"/>
    <w:rsid w:val="00BE288A"/>
    <w:rsid w:val="00BE28A2"/>
    <w:rsid w:val="00BE2953"/>
    <w:rsid w:val="00BE2CFE"/>
    <w:rsid w:val="00BE2D71"/>
    <w:rsid w:val="00BE2E8C"/>
    <w:rsid w:val="00BE2FA3"/>
    <w:rsid w:val="00BE3648"/>
    <w:rsid w:val="00BE3B03"/>
    <w:rsid w:val="00BE3B07"/>
    <w:rsid w:val="00BE3BBD"/>
    <w:rsid w:val="00BE43BC"/>
    <w:rsid w:val="00BE4609"/>
    <w:rsid w:val="00BE46B6"/>
    <w:rsid w:val="00BE4A45"/>
    <w:rsid w:val="00BE4ABD"/>
    <w:rsid w:val="00BE4B9D"/>
    <w:rsid w:val="00BE5128"/>
    <w:rsid w:val="00BE54D4"/>
    <w:rsid w:val="00BE554E"/>
    <w:rsid w:val="00BE55AD"/>
    <w:rsid w:val="00BE58BF"/>
    <w:rsid w:val="00BE5BDE"/>
    <w:rsid w:val="00BE5DE7"/>
    <w:rsid w:val="00BE5EBD"/>
    <w:rsid w:val="00BE60D7"/>
    <w:rsid w:val="00BE6182"/>
    <w:rsid w:val="00BE627C"/>
    <w:rsid w:val="00BE6299"/>
    <w:rsid w:val="00BE62CA"/>
    <w:rsid w:val="00BE639E"/>
    <w:rsid w:val="00BE6762"/>
    <w:rsid w:val="00BE6880"/>
    <w:rsid w:val="00BE6A79"/>
    <w:rsid w:val="00BE6C1D"/>
    <w:rsid w:val="00BE6C5C"/>
    <w:rsid w:val="00BE70AF"/>
    <w:rsid w:val="00BE70CC"/>
    <w:rsid w:val="00BE7422"/>
    <w:rsid w:val="00BE75E8"/>
    <w:rsid w:val="00BE772C"/>
    <w:rsid w:val="00BE7E9D"/>
    <w:rsid w:val="00BE7F79"/>
    <w:rsid w:val="00BF03D7"/>
    <w:rsid w:val="00BF0672"/>
    <w:rsid w:val="00BF07C5"/>
    <w:rsid w:val="00BF095A"/>
    <w:rsid w:val="00BF0A02"/>
    <w:rsid w:val="00BF0DE4"/>
    <w:rsid w:val="00BF0E9E"/>
    <w:rsid w:val="00BF116E"/>
    <w:rsid w:val="00BF17FD"/>
    <w:rsid w:val="00BF185B"/>
    <w:rsid w:val="00BF19D5"/>
    <w:rsid w:val="00BF1AFB"/>
    <w:rsid w:val="00BF1EF5"/>
    <w:rsid w:val="00BF1F5F"/>
    <w:rsid w:val="00BF26E8"/>
    <w:rsid w:val="00BF2937"/>
    <w:rsid w:val="00BF2AE7"/>
    <w:rsid w:val="00BF2BA4"/>
    <w:rsid w:val="00BF2BAB"/>
    <w:rsid w:val="00BF2D7F"/>
    <w:rsid w:val="00BF2D90"/>
    <w:rsid w:val="00BF2DC7"/>
    <w:rsid w:val="00BF2F33"/>
    <w:rsid w:val="00BF2F6E"/>
    <w:rsid w:val="00BF310C"/>
    <w:rsid w:val="00BF31E0"/>
    <w:rsid w:val="00BF323E"/>
    <w:rsid w:val="00BF3734"/>
    <w:rsid w:val="00BF3A78"/>
    <w:rsid w:val="00BF3BBA"/>
    <w:rsid w:val="00BF3DC0"/>
    <w:rsid w:val="00BF3EB5"/>
    <w:rsid w:val="00BF3EFA"/>
    <w:rsid w:val="00BF4738"/>
    <w:rsid w:val="00BF4797"/>
    <w:rsid w:val="00BF4995"/>
    <w:rsid w:val="00BF4CFB"/>
    <w:rsid w:val="00BF4EC5"/>
    <w:rsid w:val="00BF50AA"/>
    <w:rsid w:val="00BF53F0"/>
    <w:rsid w:val="00BF566C"/>
    <w:rsid w:val="00BF591E"/>
    <w:rsid w:val="00BF5FA1"/>
    <w:rsid w:val="00BF6052"/>
    <w:rsid w:val="00BF6208"/>
    <w:rsid w:val="00BF630C"/>
    <w:rsid w:val="00BF638F"/>
    <w:rsid w:val="00BF6597"/>
    <w:rsid w:val="00BF66EE"/>
    <w:rsid w:val="00BF6808"/>
    <w:rsid w:val="00BF6B3B"/>
    <w:rsid w:val="00BF6EB4"/>
    <w:rsid w:val="00BF6F9F"/>
    <w:rsid w:val="00BF6FF8"/>
    <w:rsid w:val="00BF7299"/>
    <w:rsid w:val="00BF7705"/>
    <w:rsid w:val="00BF782B"/>
    <w:rsid w:val="00BF79A5"/>
    <w:rsid w:val="00BF7A0F"/>
    <w:rsid w:val="00BF7A20"/>
    <w:rsid w:val="00BF7CA4"/>
    <w:rsid w:val="00BF7DE6"/>
    <w:rsid w:val="00BF7E73"/>
    <w:rsid w:val="00C0003C"/>
    <w:rsid w:val="00C0012D"/>
    <w:rsid w:val="00C0019D"/>
    <w:rsid w:val="00C003D7"/>
    <w:rsid w:val="00C004C6"/>
    <w:rsid w:val="00C00554"/>
    <w:rsid w:val="00C006E0"/>
    <w:rsid w:val="00C00795"/>
    <w:rsid w:val="00C00A0D"/>
    <w:rsid w:val="00C00AF2"/>
    <w:rsid w:val="00C00B99"/>
    <w:rsid w:val="00C00BFE"/>
    <w:rsid w:val="00C00F50"/>
    <w:rsid w:val="00C00F78"/>
    <w:rsid w:val="00C01292"/>
    <w:rsid w:val="00C013B4"/>
    <w:rsid w:val="00C01560"/>
    <w:rsid w:val="00C016CA"/>
    <w:rsid w:val="00C01709"/>
    <w:rsid w:val="00C017D3"/>
    <w:rsid w:val="00C01A59"/>
    <w:rsid w:val="00C01ACB"/>
    <w:rsid w:val="00C01DFD"/>
    <w:rsid w:val="00C01E4F"/>
    <w:rsid w:val="00C01E59"/>
    <w:rsid w:val="00C0224D"/>
    <w:rsid w:val="00C0238B"/>
    <w:rsid w:val="00C023AE"/>
    <w:rsid w:val="00C0269A"/>
    <w:rsid w:val="00C02786"/>
    <w:rsid w:val="00C02924"/>
    <w:rsid w:val="00C029A2"/>
    <w:rsid w:val="00C02CAE"/>
    <w:rsid w:val="00C02D50"/>
    <w:rsid w:val="00C02FF6"/>
    <w:rsid w:val="00C03790"/>
    <w:rsid w:val="00C03982"/>
    <w:rsid w:val="00C03B2C"/>
    <w:rsid w:val="00C03DA0"/>
    <w:rsid w:val="00C03F63"/>
    <w:rsid w:val="00C041F1"/>
    <w:rsid w:val="00C0450D"/>
    <w:rsid w:val="00C0455E"/>
    <w:rsid w:val="00C047FB"/>
    <w:rsid w:val="00C04A23"/>
    <w:rsid w:val="00C04D98"/>
    <w:rsid w:val="00C04DF3"/>
    <w:rsid w:val="00C04E44"/>
    <w:rsid w:val="00C050F9"/>
    <w:rsid w:val="00C05566"/>
    <w:rsid w:val="00C05586"/>
    <w:rsid w:val="00C057B1"/>
    <w:rsid w:val="00C05867"/>
    <w:rsid w:val="00C05A65"/>
    <w:rsid w:val="00C05F54"/>
    <w:rsid w:val="00C05FEA"/>
    <w:rsid w:val="00C062B9"/>
    <w:rsid w:val="00C062E6"/>
    <w:rsid w:val="00C063C1"/>
    <w:rsid w:val="00C0640F"/>
    <w:rsid w:val="00C067B8"/>
    <w:rsid w:val="00C06A78"/>
    <w:rsid w:val="00C06B94"/>
    <w:rsid w:val="00C06C92"/>
    <w:rsid w:val="00C0709B"/>
    <w:rsid w:val="00C07175"/>
    <w:rsid w:val="00C0720A"/>
    <w:rsid w:val="00C07442"/>
    <w:rsid w:val="00C0783C"/>
    <w:rsid w:val="00C07A96"/>
    <w:rsid w:val="00C07D81"/>
    <w:rsid w:val="00C07D9E"/>
    <w:rsid w:val="00C101B3"/>
    <w:rsid w:val="00C1021C"/>
    <w:rsid w:val="00C10292"/>
    <w:rsid w:val="00C10294"/>
    <w:rsid w:val="00C1043D"/>
    <w:rsid w:val="00C10758"/>
    <w:rsid w:val="00C10790"/>
    <w:rsid w:val="00C108E1"/>
    <w:rsid w:val="00C109D5"/>
    <w:rsid w:val="00C10C89"/>
    <w:rsid w:val="00C10DAD"/>
    <w:rsid w:val="00C10DF3"/>
    <w:rsid w:val="00C1111E"/>
    <w:rsid w:val="00C113EC"/>
    <w:rsid w:val="00C1154C"/>
    <w:rsid w:val="00C11906"/>
    <w:rsid w:val="00C119CE"/>
    <w:rsid w:val="00C11CA1"/>
    <w:rsid w:val="00C11E60"/>
    <w:rsid w:val="00C11EF1"/>
    <w:rsid w:val="00C12620"/>
    <w:rsid w:val="00C12724"/>
    <w:rsid w:val="00C12D87"/>
    <w:rsid w:val="00C1320B"/>
    <w:rsid w:val="00C133AD"/>
    <w:rsid w:val="00C1345C"/>
    <w:rsid w:val="00C135E5"/>
    <w:rsid w:val="00C136FF"/>
    <w:rsid w:val="00C13878"/>
    <w:rsid w:val="00C13DEA"/>
    <w:rsid w:val="00C13FE9"/>
    <w:rsid w:val="00C1410C"/>
    <w:rsid w:val="00C1413D"/>
    <w:rsid w:val="00C145B0"/>
    <w:rsid w:val="00C146D6"/>
    <w:rsid w:val="00C14831"/>
    <w:rsid w:val="00C1490C"/>
    <w:rsid w:val="00C149FE"/>
    <w:rsid w:val="00C14A18"/>
    <w:rsid w:val="00C14C0C"/>
    <w:rsid w:val="00C14CD3"/>
    <w:rsid w:val="00C14CD4"/>
    <w:rsid w:val="00C14D9A"/>
    <w:rsid w:val="00C14EB2"/>
    <w:rsid w:val="00C14FCE"/>
    <w:rsid w:val="00C15081"/>
    <w:rsid w:val="00C151F3"/>
    <w:rsid w:val="00C154DF"/>
    <w:rsid w:val="00C154F7"/>
    <w:rsid w:val="00C155B4"/>
    <w:rsid w:val="00C155F5"/>
    <w:rsid w:val="00C1570D"/>
    <w:rsid w:val="00C1580A"/>
    <w:rsid w:val="00C15930"/>
    <w:rsid w:val="00C15931"/>
    <w:rsid w:val="00C15A4E"/>
    <w:rsid w:val="00C15BD5"/>
    <w:rsid w:val="00C15C00"/>
    <w:rsid w:val="00C15C3B"/>
    <w:rsid w:val="00C15CF3"/>
    <w:rsid w:val="00C15ED0"/>
    <w:rsid w:val="00C16254"/>
    <w:rsid w:val="00C16798"/>
    <w:rsid w:val="00C16828"/>
    <w:rsid w:val="00C16925"/>
    <w:rsid w:val="00C16978"/>
    <w:rsid w:val="00C16A86"/>
    <w:rsid w:val="00C16B46"/>
    <w:rsid w:val="00C16D6E"/>
    <w:rsid w:val="00C17497"/>
    <w:rsid w:val="00C17A71"/>
    <w:rsid w:val="00C17B32"/>
    <w:rsid w:val="00C17D09"/>
    <w:rsid w:val="00C17DB5"/>
    <w:rsid w:val="00C17E32"/>
    <w:rsid w:val="00C200DE"/>
    <w:rsid w:val="00C201A7"/>
    <w:rsid w:val="00C20323"/>
    <w:rsid w:val="00C203E5"/>
    <w:rsid w:val="00C205BC"/>
    <w:rsid w:val="00C20A42"/>
    <w:rsid w:val="00C20ACA"/>
    <w:rsid w:val="00C20BB2"/>
    <w:rsid w:val="00C20C12"/>
    <w:rsid w:val="00C20E23"/>
    <w:rsid w:val="00C20F44"/>
    <w:rsid w:val="00C21194"/>
    <w:rsid w:val="00C21225"/>
    <w:rsid w:val="00C21251"/>
    <w:rsid w:val="00C2130A"/>
    <w:rsid w:val="00C21618"/>
    <w:rsid w:val="00C2177A"/>
    <w:rsid w:val="00C21D55"/>
    <w:rsid w:val="00C21F23"/>
    <w:rsid w:val="00C22035"/>
    <w:rsid w:val="00C220D0"/>
    <w:rsid w:val="00C223EF"/>
    <w:rsid w:val="00C229F8"/>
    <w:rsid w:val="00C22BBF"/>
    <w:rsid w:val="00C22E0F"/>
    <w:rsid w:val="00C2309D"/>
    <w:rsid w:val="00C23147"/>
    <w:rsid w:val="00C233F2"/>
    <w:rsid w:val="00C234CC"/>
    <w:rsid w:val="00C235D4"/>
    <w:rsid w:val="00C2398F"/>
    <w:rsid w:val="00C23D48"/>
    <w:rsid w:val="00C245D4"/>
    <w:rsid w:val="00C247AF"/>
    <w:rsid w:val="00C24986"/>
    <w:rsid w:val="00C24AA9"/>
    <w:rsid w:val="00C24B99"/>
    <w:rsid w:val="00C24D93"/>
    <w:rsid w:val="00C24DAC"/>
    <w:rsid w:val="00C253A6"/>
    <w:rsid w:val="00C25465"/>
    <w:rsid w:val="00C25729"/>
    <w:rsid w:val="00C2596D"/>
    <w:rsid w:val="00C25998"/>
    <w:rsid w:val="00C25B5A"/>
    <w:rsid w:val="00C25C2D"/>
    <w:rsid w:val="00C25CDC"/>
    <w:rsid w:val="00C25D86"/>
    <w:rsid w:val="00C25DCD"/>
    <w:rsid w:val="00C25FA2"/>
    <w:rsid w:val="00C25FD7"/>
    <w:rsid w:val="00C260E5"/>
    <w:rsid w:val="00C265BC"/>
    <w:rsid w:val="00C2690C"/>
    <w:rsid w:val="00C26956"/>
    <w:rsid w:val="00C269F0"/>
    <w:rsid w:val="00C26A97"/>
    <w:rsid w:val="00C26C3D"/>
    <w:rsid w:val="00C26ECA"/>
    <w:rsid w:val="00C26FAC"/>
    <w:rsid w:val="00C27244"/>
    <w:rsid w:val="00C272FD"/>
    <w:rsid w:val="00C27A11"/>
    <w:rsid w:val="00C27A19"/>
    <w:rsid w:val="00C30053"/>
    <w:rsid w:val="00C30325"/>
    <w:rsid w:val="00C303A7"/>
    <w:rsid w:val="00C306D6"/>
    <w:rsid w:val="00C30B2C"/>
    <w:rsid w:val="00C30E03"/>
    <w:rsid w:val="00C30F85"/>
    <w:rsid w:val="00C30F8B"/>
    <w:rsid w:val="00C30FA1"/>
    <w:rsid w:val="00C310DB"/>
    <w:rsid w:val="00C3118D"/>
    <w:rsid w:val="00C31244"/>
    <w:rsid w:val="00C312F3"/>
    <w:rsid w:val="00C317A9"/>
    <w:rsid w:val="00C319E3"/>
    <w:rsid w:val="00C31FC8"/>
    <w:rsid w:val="00C321A6"/>
    <w:rsid w:val="00C322F4"/>
    <w:rsid w:val="00C323B7"/>
    <w:rsid w:val="00C32661"/>
    <w:rsid w:val="00C32B9A"/>
    <w:rsid w:val="00C32BFA"/>
    <w:rsid w:val="00C32E9D"/>
    <w:rsid w:val="00C33153"/>
    <w:rsid w:val="00C33345"/>
    <w:rsid w:val="00C3339D"/>
    <w:rsid w:val="00C33407"/>
    <w:rsid w:val="00C334FC"/>
    <w:rsid w:val="00C335D1"/>
    <w:rsid w:val="00C3383E"/>
    <w:rsid w:val="00C338C0"/>
    <w:rsid w:val="00C338E1"/>
    <w:rsid w:val="00C33A5C"/>
    <w:rsid w:val="00C33B81"/>
    <w:rsid w:val="00C33C99"/>
    <w:rsid w:val="00C33D7E"/>
    <w:rsid w:val="00C33D86"/>
    <w:rsid w:val="00C33FC9"/>
    <w:rsid w:val="00C34199"/>
    <w:rsid w:val="00C344FD"/>
    <w:rsid w:val="00C3461A"/>
    <w:rsid w:val="00C348EF"/>
    <w:rsid w:val="00C34A22"/>
    <w:rsid w:val="00C34A83"/>
    <w:rsid w:val="00C34CAE"/>
    <w:rsid w:val="00C34F54"/>
    <w:rsid w:val="00C3501E"/>
    <w:rsid w:val="00C35152"/>
    <w:rsid w:val="00C3535E"/>
    <w:rsid w:val="00C35467"/>
    <w:rsid w:val="00C3551B"/>
    <w:rsid w:val="00C3581E"/>
    <w:rsid w:val="00C35AD5"/>
    <w:rsid w:val="00C35B24"/>
    <w:rsid w:val="00C36027"/>
    <w:rsid w:val="00C36037"/>
    <w:rsid w:val="00C360DD"/>
    <w:rsid w:val="00C3640E"/>
    <w:rsid w:val="00C36654"/>
    <w:rsid w:val="00C3674B"/>
    <w:rsid w:val="00C3692D"/>
    <w:rsid w:val="00C36AE7"/>
    <w:rsid w:val="00C36D01"/>
    <w:rsid w:val="00C36DF7"/>
    <w:rsid w:val="00C3708D"/>
    <w:rsid w:val="00C370F7"/>
    <w:rsid w:val="00C37283"/>
    <w:rsid w:val="00C372ED"/>
    <w:rsid w:val="00C37637"/>
    <w:rsid w:val="00C37638"/>
    <w:rsid w:val="00C37717"/>
    <w:rsid w:val="00C37776"/>
    <w:rsid w:val="00C377F9"/>
    <w:rsid w:val="00C37917"/>
    <w:rsid w:val="00C379C0"/>
    <w:rsid w:val="00C37EC8"/>
    <w:rsid w:val="00C37EE6"/>
    <w:rsid w:val="00C40173"/>
    <w:rsid w:val="00C402D4"/>
    <w:rsid w:val="00C40816"/>
    <w:rsid w:val="00C40962"/>
    <w:rsid w:val="00C40F49"/>
    <w:rsid w:val="00C4120D"/>
    <w:rsid w:val="00C4154F"/>
    <w:rsid w:val="00C41566"/>
    <w:rsid w:val="00C4166F"/>
    <w:rsid w:val="00C41A04"/>
    <w:rsid w:val="00C41DD7"/>
    <w:rsid w:val="00C41DF0"/>
    <w:rsid w:val="00C41F93"/>
    <w:rsid w:val="00C42100"/>
    <w:rsid w:val="00C423B8"/>
    <w:rsid w:val="00C423BF"/>
    <w:rsid w:val="00C4263C"/>
    <w:rsid w:val="00C4269B"/>
    <w:rsid w:val="00C429B5"/>
    <w:rsid w:val="00C42D6F"/>
    <w:rsid w:val="00C42DF1"/>
    <w:rsid w:val="00C42ED6"/>
    <w:rsid w:val="00C42FBE"/>
    <w:rsid w:val="00C43036"/>
    <w:rsid w:val="00C430F3"/>
    <w:rsid w:val="00C43374"/>
    <w:rsid w:val="00C4377C"/>
    <w:rsid w:val="00C43D1A"/>
    <w:rsid w:val="00C43E1C"/>
    <w:rsid w:val="00C43F70"/>
    <w:rsid w:val="00C441B6"/>
    <w:rsid w:val="00C444B0"/>
    <w:rsid w:val="00C4451F"/>
    <w:rsid w:val="00C445F6"/>
    <w:rsid w:val="00C44670"/>
    <w:rsid w:val="00C44776"/>
    <w:rsid w:val="00C447A6"/>
    <w:rsid w:val="00C44B01"/>
    <w:rsid w:val="00C44C7F"/>
    <w:rsid w:val="00C44DF5"/>
    <w:rsid w:val="00C45212"/>
    <w:rsid w:val="00C4539B"/>
    <w:rsid w:val="00C45566"/>
    <w:rsid w:val="00C45C82"/>
    <w:rsid w:val="00C45CF8"/>
    <w:rsid w:val="00C45FCC"/>
    <w:rsid w:val="00C463A8"/>
    <w:rsid w:val="00C46466"/>
    <w:rsid w:val="00C46721"/>
    <w:rsid w:val="00C46975"/>
    <w:rsid w:val="00C46B2F"/>
    <w:rsid w:val="00C46B9B"/>
    <w:rsid w:val="00C46D73"/>
    <w:rsid w:val="00C4701E"/>
    <w:rsid w:val="00C470BD"/>
    <w:rsid w:val="00C47154"/>
    <w:rsid w:val="00C4738A"/>
    <w:rsid w:val="00C475CF"/>
    <w:rsid w:val="00C47881"/>
    <w:rsid w:val="00C47898"/>
    <w:rsid w:val="00C47A9C"/>
    <w:rsid w:val="00C47AB2"/>
    <w:rsid w:val="00C47ABD"/>
    <w:rsid w:val="00C47BF8"/>
    <w:rsid w:val="00C47E89"/>
    <w:rsid w:val="00C47F17"/>
    <w:rsid w:val="00C47F75"/>
    <w:rsid w:val="00C50454"/>
    <w:rsid w:val="00C5055A"/>
    <w:rsid w:val="00C505E7"/>
    <w:rsid w:val="00C508C5"/>
    <w:rsid w:val="00C50920"/>
    <w:rsid w:val="00C50A07"/>
    <w:rsid w:val="00C50CBC"/>
    <w:rsid w:val="00C50DB5"/>
    <w:rsid w:val="00C50F3E"/>
    <w:rsid w:val="00C51056"/>
    <w:rsid w:val="00C510A3"/>
    <w:rsid w:val="00C511AE"/>
    <w:rsid w:val="00C5123F"/>
    <w:rsid w:val="00C513A6"/>
    <w:rsid w:val="00C51458"/>
    <w:rsid w:val="00C516B1"/>
    <w:rsid w:val="00C51866"/>
    <w:rsid w:val="00C51BC2"/>
    <w:rsid w:val="00C51F9D"/>
    <w:rsid w:val="00C52131"/>
    <w:rsid w:val="00C5228D"/>
    <w:rsid w:val="00C525BA"/>
    <w:rsid w:val="00C5289C"/>
    <w:rsid w:val="00C52B85"/>
    <w:rsid w:val="00C52B8E"/>
    <w:rsid w:val="00C52BDB"/>
    <w:rsid w:val="00C52F7A"/>
    <w:rsid w:val="00C52FB7"/>
    <w:rsid w:val="00C53019"/>
    <w:rsid w:val="00C533C7"/>
    <w:rsid w:val="00C53434"/>
    <w:rsid w:val="00C53744"/>
    <w:rsid w:val="00C53818"/>
    <w:rsid w:val="00C53B7C"/>
    <w:rsid w:val="00C53BF9"/>
    <w:rsid w:val="00C53CBC"/>
    <w:rsid w:val="00C54059"/>
    <w:rsid w:val="00C540AF"/>
    <w:rsid w:val="00C540BE"/>
    <w:rsid w:val="00C54289"/>
    <w:rsid w:val="00C54405"/>
    <w:rsid w:val="00C5448B"/>
    <w:rsid w:val="00C5463B"/>
    <w:rsid w:val="00C5472B"/>
    <w:rsid w:val="00C54881"/>
    <w:rsid w:val="00C54C75"/>
    <w:rsid w:val="00C54EAD"/>
    <w:rsid w:val="00C551C3"/>
    <w:rsid w:val="00C5594E"/>
    <w:rsid w:val="00C55AB8"/>
    <w:rsid w:val="00C55AF5"/>
    <w:rsid w:val="00C55B00"/>
    <w:rsid w:val="00C55C3F"/>
    <w:rsid w:val="00C55CDE"/>
    <w:rsid w:val="00C562B8"/>
    <w:rsid w:val="00C562C0"/>
    <w:rsid w:val="00C56425"/>
    <w:rsid w:val="00C56434"/>
    <w:rsid w:val="00C564CE"/>
    <w:rsid w:val="00C5664B"/>
    <w:rsid w:val="00C567A0"/>
    <w:rsid w:val="00C567DE"/>
    <w:rsid w:val="00C5689C"/>
    <w:rsid w:val="00C568B1"/>
    <w:rsid w:val="00C56960"/>
    <w:rsid w:val="00C56A70"/>
    <w:rsid w:val="00C56AB2"/>
    <w:rsid w:val="00C57390"/>
    <w:rsid w:val="00C573C4"/>
    <w:rsid w:val="00C57418"/>
    <w:rsid w:val="00C5761B"/>
    <w:rsid w:val="00C57D21"/>
    <w:rsid w:val="00C57E30"/>
    <w:rsid w:val="00C60059"/>
    <w:rsid w:val="00C600C4"/>
    <w:rsid w:val="00C6023A"/>
    <w:rsid w:val="00C6029A"/>
    <w:rsid w:val="00C60527"/>
    <w:rsid w:val="00C6072B"/>
    <w:rsid w:val="00C608BD"/>
    <w:rsid w:val="00C60C49"/>
    <w:rsid w:val="00C60CC3"/>
    <w:rsid w:val="00C60FAB"/>
    <w:rsid w:val="00C61115"/>
    <w:rsid w:val="00C61166"/>
    <w:rsid w:val="00C614E6"/>
    <w:rsid w:val="00C61858"/>
    <w:rsid w:val="00C61C88"/>
    <w:rsid w:val="00C61CFF"/>
    <w:rsid w:val="00C61FF2"/>
    <w:rsid w:val="00C6223A"/>
    <w:rsid w:val="00C62278"/>
    <w:rsid w:val="00C62424"/>
    <w:rsid w:val="00C62486"/>
    <w:rsid w:val="00C62526"/>
    <w:rsid w:val="00C62611"/>
    <w:rsid w:val="00C62C04"/>
    <w:rsid w:val="00C62D68"/>
    <w:rsid w:val="00C62E05"/>
    <w:rsid w:val="00C62E9F"/>
    <w:rsid w:val="00C63134"/>
    <w:rsid w:val="00C6332B"/>
    <w:rsid w:val="00C6352F"/>
    <w:rsid w:val="00C63977"/>
    <w:rsid w:val="00C63990"/>
    <w:rsid w:val="00C63B40"/>
    <w:rsid w:val="00C63CFD"/>
    <w:rsid w:val="00C63E07"/>
    <w:rsid w:val="00C63F53"/>
    <w:rsid w:val="00C6431E"/>
    <w:rsid w:val="00C64925"/>
    <w:rsid w:val="00C6494E"/>
    <w:rsid w:val="00C64B59"/>
    <w:rsid w:val="00C64C22"/>
    <w:rsid w:val="00C64D4B"/>
    <w:rsid w:val="00C64D93"/>
    <w:rsid w:val="00C64FBB"/>
    <w:rsid w:val="00C64FF6"/>
    <w:rsid w:val="00C65058"/>
    <w:rsid w:val="00C6558E"/>
    <w:rsid w:val="00C656EA"/>
    <w:rsid w:val="00C65793"/>
    <w:rsid w:val="00C65D62"/>
    <w:rsid w:val="00C65F08"/>
    <w:rsid w:val="00C65F12"/>
    <w:rsid w:val="00C66017"/>
    <w:rsid w:val="00C66125"/>
    <w:rsid w:val="00C66450"/>
    <w:rsid w:val="00C664AF"/>
    <w:rsid w:val="00C66797"/>
    <w:rsid w:val="00C66B16"/>
    <w:rsid w:val="00C66C21"/>
    <w:rsid w:val="00C66C6A"/>
    <w:rsid w:val="00C674AA"/>
    <w:rsid w:val="00C674AB"/>
    <w:rsid w:val="00C67702"/>
    <w:rsid w:val="00C6772E"/>
    <w:rsid w:val="00C677BF"/>
    <w:rsid w:val="00C67954"/>
    <w:rsid w:val="00C67BA8"/>
    <w:rsid w:val="00C67E97"/>
    <w:rsid w:val="00C70116"/>
    <w:rsid w:val="00C7012B"/>
    <w:rsid w:val="00C70492"/>
    <w:rsid w:val="00C707A7"/>
    <w:rsid w:val="00C7086E"/>
    <w:rsid w:val="00C708A3"/>
    <w:rsid w:val="00C70965"/>
    <w:rsid w:val="00C70EB8"/>
    <w:rsid w:val="00C710F5"/>
    <w:rsid w:val="00C7125C"/>
    <w:rsid w:val="00C7136E"/>
    <w:rsid w:val="00C71747"/>
    <w:rsid w:val="00C71867"/>
    <w:rsid w:val="00C7189A"/>
    <w:rsid w:val="00C71900"/>
    <w:rsid w:val="00C71C27"/>
    <w:rsid w:val="00C71CF6"/>
    <w:rsid w:val="00C71DE1"/>
    <w:rsid w:val="00C72101"/>
    <w:rsid w:val="00C7227F"/>
    <w:rsid w:val="00C724A3"/>
    <w:rsid w:val="00C7251D"/>
    <w:rsid w:val="00C725D0"/>
    <w:rsid w:val="00C72607"/>
    <w:rsid w:val="00C72760"/>
    <w:rsid w:val="00C72C61"/>
    <w:rsid w:val="00C72CF1"/>
    <w:rsid w:val="00C73477"/>
    <w:rsid w:val="00C738E4"/>
    <w:rsid w:val="00C73BD1"/>
    <w:rsid w:val="00C73E11"/>
    <w:rsid w:val="00C73EF9"/>
    <w:rsid w:val="00C73FC7"/>
    <w:rsid w:val="00C741B4"/>
    <w:rsid w:val="00C74432"/>
    <w:rsid w:val="00C746F7"/>
    <w:rsid w:val="00C74728"/>
    <w:rsid w:val="00C74A0B"/>
    <w:rsid w:val="00C74B2F"/>
    <w:rsid w:val="00C74D4B"/>
    <w:rsid w:val="00C74EB2"/>
    <w:rsid w:val="00C74F84"/>
    <w:rsid w:val="00C7521B"/>
    <w:rsid w:val="00C754B6"/>
    <w:rsid w:val="00C757FD"/>
    <w:rsid w:val="00C759FE"/>
    <w:rsid w:val="00C75A00"/>
    <w:rsid w:val="00C75D4B"/>
    <w:rsid w:val="00C75E79"/>
    <w:rsid w:val="00C76466"/>
    <w:rsid w:val="00C76B2F"/>
    <w:rsid w:val="00C76B6A"/>
    <w:rsid w:val="00C76C33"/>
    <w:rsid w:val="00C76C8A"/>
    <w:rsid w:val="00C76CCF"/>
    <w:rsid w:val="00C77110"/>
    <w:rsid w:val="00C771DE"/>
    <w:rsid w:val="00C77211"/>
    <w:rsid w:val="00C772BD"/>
    <w:rsid w:val="00C778A9"/>
    <w:rsid w:val="00C77967"/>
    <w:rsid w:val="00C77AB3"/>
    <w:rsid w:val="00C77EF3"/>
    <w:rsid w:val="00C77FEC"/>
    <w:rsid w:val="00C8018F"/>
    <w:rsid w:val="00C80239"/>
    <w:rsid w:val="00C80705"/>
    <w:rsid w:val="00C8070A"/>
    <w:rsid w:val="00C80B37"/>
    <w:rsid w:val="00C80D56"/>
    <w:rsid w:val="00C80DD5"/>
    <w:rsid w:val="00C80E8C"/>
    <w:rsid w:val="00C81062"/>
    <w:rsid w:val="00C81132"/>
    <w:rsid w:val="00C816CF"/>
    <w:rsid w:val="00C818F0"/>
    <w:rsid w:val="00C81D8F"/>
    <w:rsid w:val="00C82394"/>
    <w:rsid w:val="00C827EE"/>
    <w:rsid w:val="00C828DD"/>
    <w:rsid w:val="00C829D7"/>
    <w:rsid w:val="00C82B02"/>
    <w:rsid w:val="00C82BB7"/>
    <w:rsid w:val="00C82E36"/>
    <w:rsid w:val="00C83331"/>
    <w:rsid w:val="00C83372"/>
    <w:rsid w:val="00C83538"/>
    <w:rsid w:val="00C83976"/>
    <w:rsid w:val="00C83ED0"/>
    <w:rsid w:val="00C841E3"/>
    <w:rsid w:val="00C84352"/>
    <w:rsid w:val="00C843B2"/>
    <w:rsid w:val="00C84454"/>
    <w:rsid w:val="00C844BF"/>
    <w:rsid w:val="00C846F2"/>
    <w:rsid w:val="00C84EF3"/>
    <w:rsid w:val="00C85218"/>
    <w:rsid w:val="00C85371"/>
    <w:rsid w:val="00C85418"/>
    <w:rsid w:val="00C85445"/>
    <w:rsid w:val="00C85708"/>
    <w:rsid w:val="00C858BA"/>
    <w:rsid w:val="00C85C60"/>
    <w:rsid w:val="00C8608D"/>
    <w:rsid w:val="00C8627F"/>
    <w:rsid w:val="00C86456"/>
    <w:rsid w:val="00C86AB2"/>
    <w:rsid w:val="00C870A9"/>
    <w:rsid w:val="00C870B6"/>
    <w:rsid w:val="00C87145"/>
    <w:rsid w:val="00C871D2"/>
    <w:rsid w:val="00C87350"/>
    <w:rsid w:val="00C875DB"/>
    <w:rsid w:val="00C87773"/>
    <w:rsid w:val="00C8799C"/>
    <w:rsid w:val="00C87C6B"/>
    <w:rsid w:val="00C90193"/>
    <w:rsid w:val="00C902B1"/>
    <w:rsid w:val="00C907F4"/>
    <w:rsid w:val="00C909B7"/>
    <w:rsid w:val="00C90A59"/>
    <w:rsid w:val="00C90B94"/>
    <w:rsid w:val="00C90C39"/>
    <w:rsid w:val="00C90E51"/>
    <w:rsid w:val="00C9106A"/>
    <w:rsid w:val="00C9116E"/>
    <w:rsid w:val="00C9187E"/>
    <w:rsid w:val="00C91A6C"/>
    <w:rsid w:val="00C91F1B"/>
    <w:rsid w:val="00C91FF6"/>
    <w:rsid w:val="00C92220"/>
    <w:rsid w:val="00C922B4"/>
    <w:rsid w:val="00C92383"/>
    <w:rsid w:val="00C92405"/>
    <w:rsid w:val="00C9257E"/>
    <w:rsid w:val="00C92582"/>
    <w:rsid w:val="00C9298F"/>
    <w:rsid w:val="00C93132"/>
    <w:rsid w:val="00C931E1"/>
    <w:rsid w:val="00C9332E"/>
    <w:rsid w:val="00C93478"/>
    <w:rsid w:val="00C93763"/>
    <w:rsid w:val="00C937FB"/>
    <w:rsid w:val="00C93828"/>
    <w:rsid w:val="00C93B53"/>
    <w:rsid w:val="00C93C2D"/>
    <w:rsid w:val="00C93C4D"/>
    <w:rsid w:val="00C93C88"/>
    <w:rsid w:val="00C93CEF"/>
    <w:rsid w:val="00C93CF6"/>
    <w:rsid w:val="00C93E9B"/>
    <w:rsid w:val="00C93F9D"/>
    <w:rsid w:val="00C94206"/>
    <w:rsid w:val="00C9425C"/>
    <w:rsid w:val="00C94446"/>
    <w:rsid w:val="00C9449E"/>
    <w:rsid w:val="00C944F6"/>
    <w:rsid w:val="00C94781"/>
    <w:rsid w:val="00C947EE"/>
    <w:rsid w:val="00C949C9"/>
    <w:rsid w:val="00C94A60"/>
    <w:rsid w:val="00C94A63"/>
    <w:rsid w:val="00C94D2D"/>
    <w:rsid w:val="00C957C0"/>
    <w:rsid w:val="00C95999"/>
    <w:rsid w:val="00C959DC"/>
    <w:rsid w:val="00C959E6"/>
    <w:rsid w:val="00C95FF0"/>
    <w:rsid w:val="00C96199"/>
    <w:rsid w:val="00C968D7"/>
    <w:rsid w:val="00C96A71"/>
    <w:rsid w:val="00C96BFF"/>
    <w:rsid w:val="00C96C86"/>
    <w:rsid w:val="00C971DC"/>
    <w:rsid w:val="00C971EB"/>
    <w:rsid w:val="00C9722C"/>
    <w:rsid w:val="00C97E5A"/>
    <w:rsid w:val="00C97EAD"/>
    <w:rsid w:val="00CA02D1"/>
    <w:rsid w:val="00CA04FA"/>
    <w:rsid w:val="00CA05DC"/>
    <w:rsid w:val="00CA09BC"/>
    <w:rsid w:val="00CA0A3D"/>
    <w:rsid w:val="00CA0A86"/>
    <w:rsid w:val="00CA0A8B"/>
    <w:rsid w:val="00CA0CFC"/>
    <w:rsid w:val="00CA0E2D"/>
    <w:rsid w:val="00CA0EB4"/>
    <w:rsid w:val="00CA148C"/>
    <w:rsid w:val="00CA14C4"/>
    <w:rsid w:val="00CA18E8"/>
    <w:rsid w:val="00CA1A93"/>
    <w:rsid w:val="00CA1CCD"/>
    <w:rsid w:val="00CA1DBE"/>
    <w:rsid w:val="00CA1E04"/>
    <w:rsid w:val="00CA1F37"/>
    <w:rsid w:val="00CA20B7"/>
    <w:rsid w:val="00CA20BF"/>
    <w:rsid w:val="00CA21F7"/>
    <w:rsid w:val="00CA2908"/>
    <w:rsid w:val="00CA295B"/>
    <w:rsid w:val="00CA2C3A"/>
    <w:rsid w:val="00CA2E68"/>
    <w:rsid w:val="00CA2F5C"/>
    <w:rsid w:val="00CA3344"/>
    <w:rsid w:val="00CA34B2"/>
    <w:rsid w:val="00CA354A"/>
    <w:rsid w:val="00CA3575"/>
    <w:rsid w:val="00CA36EF"/>
    <w:rsid w:val="00CA3805"/>
    <w:rsid w:val="00CA3845"/>
    <w:rsid w:val="00CA3BCB"/>
    <w:rsid w:val="00CA3DEC"/>
    <w:rsid w:val="00CA3F40"/>
    <w:rsid w:val="00CA4325"/>
    <w:rsid w:val="00CA47D9"/>
    <w:rsid w:val="00CA47E7"/>
    <w:rsid w:val="00CA4987"/>
    <w:rsid w:val="00CA4B4D"/>
    <w:rsid w:val="00CA4EC7"/>
    <w:rsid w:val="00CA509A"/>
    <w:rsid w:val="00CA527C"/>
    <w:rsid w:val="00CA5442"/>
    <w:rsid w:val="00CA5570"/>
    <w:rsid w:val="00CA567F"/>
    <w:rsid w:val="00CA56B4"/>
    <w:rsid w:val="00CA5933"/>
    <w:rsid w:val="00CA5952"/>
    <w:rsid w:val="00CA5CB7"/>
    <w:rsid w:val="00CA60F5"/>
    <w:rsid w:val="00CA627D"/>
    <w:rsid w:val="00CA671E"/>
    <w:rsid w:val="00CA6831"/>
    <w:rsid w:val="00CA6866"/>
    <w:rsid w:val="00CA6905"/>
    <w:rsid w:val="00CA6ADE"/>
    <w:rsid w:val="00CA6DD4"/>
    <w:rsid w:val="00CA6E14"/>
    <w:rsid w:val="00CA6E9D"/>
    <w:rsid w:val="00CA70FF"/>
    <w:rsid w:val="00CA72B4"/>
    <w:rsid w:val="00CA7331"/>
    <w:rsid w:val="00CA7486"/>
    <w:rsid w:val="00CB006D"/>
    <w:rsid w:val="00CB00D2"/>
    <w:rsid w:val="00CB0414"/>
    <w:rsid w:val="00CB0432"/>
    <w:rsid w:val="00CB048C"/>
    <w:rsid w:val="00CB05BC"/>
    <w:rsid w:val="00CB0705"/>
    <w:rsid w:val="00CB0874"/>
    <w:rsid w:val="00CB0999"/>
    <w:rsid w:val="00CB0A49"/>
    <w:rsid w:val="00CB0D28"/>
    <w:rsid w:val="00CB0E30"/>
    <w:rsid w:val="00CB0E7F"/>
    <w:rsid w:val="00CB0EAA"/>
    <w:rsid w:val="00CB0F04"/>
    <w:rsid w:val="00CB132A"/>
    <w:rsid w:val="00CB136A"/>
    <w:rsid w:val="00CB1465"/>
    <w:rsid w:val="00CB15D2"/>
    <w:rsid w:val="00CB1820"/>
    <w:rsid w:val="00CB1A10"/>
    <w:rsid w:val="00CB1A40"/>
    <w:rsid w:val="00CB1B2A"/>
    <w:rsid w:val="00CB1B3B"/>
    <w:rsid w:val="00CB1B5C"/>
    <w:rsid w:val="00CB1B5E"/>
    <w:rsid w:val="00CB1E6D"/>
    <w:rsid w:val="00CB1F76"/>
    <w:rsid w:val="00CB1FAD"/>
    <w:rsid w:val="00CB203A"/>
    <w:rsid w:val="00CB234B"/>
    <w:rsid w:val="00CB24ED"/>
    <w:rsid w:val="00CB25F0"/>
    <w:rsid w:val="00CB2736"/>
    <w:rsid w:val="00CB2775"/>
    <w:rsid w:val="00CB2918"/>
    <w:rsid w:val="00CB2A81"/>
    <w:rsid w:val="00CB2B5C"/>
    <w:rsid w:val="00CB2C86"/>
    <w:rsid w:val="00CB2E99"/>
    <w:rsid w:val="00CB2EC7"/>
    <w:rsid w:val="00CB3128"/>
    <w:rsid w:val="00CB3139"/>
    <w:rsid w:val="00CB32DC"/>
    <w:rsid w:val="00CB3587"/>
    <w:rsid w:val="00CB36CB"/>
    <w:rsid w:val="00CB36E4"/>
    <w:rsid w:val="00CB376A"/>
    <w:rsid w:val="00CB388E"/>
    <w:rsid w:val="00CB3922"/>
    <w:rsid w:val="00CB3AE4"/>
    <w:rsid w:val="00CB3B0B"/>
    <w:rsid w:val="00CB3B7D"/>
    <w:rsid w:val="00CB3F05"/>
    <w:rsid w:val="00CB41FD"/>
    <w:rsid w:val="00CB4239"/>
    <w:rsid w:val="00CB42BA"/>
    <w:rsid w:val="00CB49F9"/>
    <w:rsid w:val="00CB4A6E"/>
    <w:rsid w:val="00CB5261"/>
    <w:rsid w:val="00CB5351"/>
    <w:rsid w:val="00CB55E1"/>
    <w:rsid w:val="00CB573D"/>
    <w:rsid w:val="00CB58F6"/>
    <w:rsid w:val="00CB5980"/>
    <w:rsid w:val="00CB59BF"/>
    <w:rsid w:val="00CB5AA5"/>
    <w:rsid w:val="00CB5BD3"/>
    <w:rsid w:val="00CB5F9D"/>
    <w:rsid w:val="00CB607C"/>
    <w:rsid w:val="00CB61F5"/>
    <w:rsid w:val="00CB62A8"/>
    <w:rsid w:val="00CB6BF8"/>
    <w:rsid w:val="00CB6D02"/>
    <w:rsid w:val="00CB6EAA"/>
    <w:rsid w:val="00CB72B9"/>
    <w:rsid w:val="00CB731F"/>
    <w:rsid w:val="00CB7356"/>
    <w:rsid w:val="00CB73CC"/>
    <w:rsid w:val="00CB7474"/>
    <w:rsid w:val="00CB74F9"/>
    <w:rsid w:val="00CB7533"/>
    <w:rsid w:val="00CB772A"/>
    <w:rsid w:val="00CB7867"/>
    <w:rsid w:val="00CB7C5C"/>
    <w:rsid w:val="00CB7C61"/>
    <w:rsid w:val="00CB7CB3"/>
    <w:rsid w:val="00CC008D"/>
    <w:rsid w:val="00CC0439"/>
    <w:rsid w:val="00CC06A5"/>
    <w:rsid w:val="00CC0A1E"/>
    <w:rsid w:val="00CC0A6A"/>
    <w:rsid w:val="00CC0AF9"/>
    <w:rsid w:val="00CC0B3C"/>
    <w:rsid w:val="00CC0CE5"/>
    <w:rsid w:val="00CC0E92"/>
    <w:rsid w:val="00CC1082"/>
    <w:rsid w:val="00CC1212"/>
    <w:rsid w:val="00CC165F"/>
    <w:rsid w:val="00CC1723"/>
    <w:rsid w:val="00CC1965"/>
    <w:rsid w:val="00CC1A52"/>
    <w:rsid w:val="00CC1CD3"/>
    <w:rsid w:val="00CC1E09"/>
    <w:rsid w:val="00CC1F42"/>
    <w:rsid w:val="00CC2481"/>
    <w:rsid w:val="00CC258A"/>
    <w:rsid w:val="00CC272E"/>
    <w:rsid w:val="00CC2925"/>
    <w:rsid w:val="00CC2A22"/>
    <w:rsid w:val="00CC2ABC"/>
    <w:rsid w:val="00CC2E72"/>
    <w:rsid w:val="00CC31CB"/>
    <w:rsid w:val="00CC31DF"/>
    <w:rsid w:val="00CC3610"/>
    <w:rsid w:val="00CC392A"/>
    <w:rsid w:val="00CC3A1C"/>
    <w:rsid w:val="00CC3A83"/>
    <w:rsid w:val="00CC3C35"/>
    <w:rsid w:val="00CC3D5B"/>
    <w:rsid w:val="00CC3F6D"/>
    <w:rsid w:val="00CC401D"/>
    <w:rsid w:val="00CC40F8"/>
    <w:rsid w:val="00CC4118"/>
    <w:rsid w:val="00CC41D9"/>
    <w:rsid w:val="00CC423D"/>
    <w:rsid w:val="00CC42F0"/>
    <w:rsid w:val="00CC42F8"/>
    <w:rsid w:val="00CC42FB"/>
    <w:rsid w:val="00CC43E4"/>
    <w:rsid w:val="00CC4485"/>
    <w:rsid w:val="00CC47E6"/>
    <w:rsid w:val="00CC4ACE"/>
    <w:rsid w:val="00CC4BA3"/>
    <w:rsid w:val="00CC4C9E"/>
    <w:rsid w:val="00CC4CCF"/>
    <w:rsid w:val="00CC4D33"/>
    <w:rsid w:val="00CC4D55"/>
    <w:rsid w:val="00CC4EE0"/>
    <w:rsid w:val="00CC50FB"/>
    <w:rsid w:val="00CC51CF"/>
    <w:rsid w:val="00CC52C1"/>
    <w:rsid w:val="00CC536D"/>
    <w:rsid w:val="00CC537A"/>
    <w:rsid w:val="00CC5502"/>
    <w:rsid w:val="00CC582E"/>
    <w:rsid w:val="00CC5CAC"/>
    <w:rsid w:val="00CC5E24"/>
    <w:rsid w:val="00CC5E86"/>
    <w:rsid w:val="00CC5EA7"/>
    <w:rsid w:val="00CC6274"/>
    <w:rsid w:val="00CC6422"/>
    <w:rsid w:val="00CC64AF"/>
    <w:rsid w:val="00CC65A8"/>
    <w:rsid w:val="00CC671C"/>
    <w:rsid w:val="00CC673C"/>
    <w:rsid w:val="00CC67D6"/>
    <w:rsid w:val="00CC6A0D"/>
    <w:rsid w:val="00CC6B27"/>
    <w:rsid w:val="00CC6B99"/>
    <w:rsid w:val="00CC6BD9"/>
    <w:rsid w:val="00CC6CBC"/>
    <w:rsid w:val="00CC6D78"/>
    <w:rsid w:val="00CC6F49"/>
    <w:rsid w:val="00CC75A1"/>
    <w:rsid w:val="00CC762A"/>
    <w:rsid w:val="00CC7892"/>
    <w:rsid w:val="00CC7923"/>
    <w:rsid w:val="00CC7B00"/>
    <w:rsid w:val="00CC7B81"/>
    <w:rsid w:val="00CC7C85"/>
    <w:rsid w:val="00CC7D00"/>
    <w:rsid w:val="00CC7D26"/>
    <w:rsid w:val="00CC7EBF"/>
    <w:rsid w:val="00CC7EE8"/>
    <w:rsid w:val="00CD028A"/>
    <w:rsid w:val="00CD02A9"/>
    <w:rsid w:val="00CD02CA"/>
    <w:rsid w:val="00CD0326"/>
    <w:rsid w:val="00CD04EE"/>
    <w:rsid w:val="00CD06D2"/>
    <w:rsid w:val="00CD07C4"/>
    <w:rsid w:val="00CD0B04"/>
    <w:rsid w:val="00CD139C"/>
    <w:rsid w:val="00CD16A9"/>
    <w:rsid w:val="00CD1A87"/>
    <w:rsid w:val="00CD1B12"/>
    <w:rsid w:val="00CD1CCD"/>
    <w:rsid w:val="00CD1CED"/>
    <w:rsid w:val="00CD1EB7"/>
    <w:rsid w:val="00CD21E2"/>
    <w:rsid w:val="00CD2614"/>
    <w:rsid w:val="00CD26E2"/>
    <w:rsid w:val="00CD28EC"/>
    <w:rsid w:val="00CD2C69"/>
    <w:rsid w:val="00CD2DE7"/>
    <w:rsid w:val="00CD2E01"/>
    <w:rsid w:val="00CD306F"/>
    <w:rsid w:val="00CD3089"/>
    <w:rsid w:val="00CD316D"/>
    <w:rsid w:val="00CD3172"/>
    <w:rsid w:val="00CD33A0"/>
    <w:rsid w:val="00CD33CF"/>
    <w:rsid w:val="00CD3505"/>
    <w:rsid w:val="00CD355E"/>
    <w:rsid w:val="00CD3621"/>
    <w:rsid w:val="00CD36B8"/>
    <w:rsid w:val="00CD3982"/>
    <w:rsid w:val="00CD4006"/>
    <w:rsid w:val="00CD408D"/>
    <w:rsid w:val="00CD412E"/>
    <w:rsid w:val="00CD4778"/>
    <w:rsid w:val="00CD47AA"/>
    <w:rsid w:val="00CD486F"/>
    <w:rsid w:val="00CD48CE"/>
    <w:rsid w:val="00CD4B96"/>
    <w:rsid w:val="00CD5140"/>
    <w:rsid w:val="00CD528A"/>
    <w:rsid w:val="00CD5753"/>
    <w:rsid w:val="00CD57AD"/>
    <w:rsid w:val="00CD594C"/>
    <w:rsid w:val="00CD59A5"/>
    <w:rsid w:val="00CD5EE5"/>
    <w:rsid w:val="00CD605B"/>
    <w:rsid w:val="00CD6085"/>
    <w:rsid w:val="00CD6088"/>
    <w:rsid w:val="00CD608F"/>
    <w:rsid w:val="00CD62A0"/>
    <w:rsid w:val="00CD62CD"/>
    <w:rsid w:val="00CD6514"/>
    <w:rsid w:val="00CD6A67"/>
    <w:rsid w:val="00CD6BAC"/>
    <w:rsid w:val="00CD6C9A"/>
    <w:rsid w:val="00CD70E4"/>
    <w:rsid w:val="00CD73B8"/>
    <w:rsid w:val="00CD74E1"/>
    <w:rsid w:val="00CD77EC"/>
    <w:rsid w:val="00CD78A8"/>
    <w:rsid w:val="00CD78E6"/>
    <w:rsid w:val="00CD79DC"/>
    <w:rsid w:val="00CD7A5C"/>
    <w:rsid w:val="00CD7AB7"/>
    <w:rsid w:val="00CD7DBB"/>
    <w:rsid w:val="00CD7EB7"/>
    <w:rsid w:val="00CD7FD3"/>
    <w:rsid w:val="00CE0577"/>
    <w:rsid w:val="00CE07DB"/>
    <w:rsid w:val="00CE08B4"/>
    <w:rsid w:val="00CE08F0"/>
    <w:rsid w:val="00CE0AEC"/>
    <w:rsid w:val="00CE0D65"/>
    <w:rsid w:val="00CE1422"/>
    <w:rsid w:val="00CE158F"/>
    <w:rsid w:val="00CE1923"/>
    <w:rsid w:val="00CE1A49"/>
    <w:rsid w:val="00CE1C2F"/>
    <w:rsid w:val="00CE1FBF"/>
    <w:rsid w:val="00CE2314"/>
    <w:rsid w:val="00CE234C"/>
    <w:rsid w:val="00CE24E0"/>
    <w:rsid w:val="00CE25D4"/>
    <w:rsid w:val="00CE2BD1"/>
    <w:rsid w:val="00CE2FBC"/>
    <w:rsid w:val="00CE3165"/>
    <w:rsid w:val="00CE3204"/>
    <w:rsid w:val="00CE358C"/>
    <w:rsid w:val="00CE35DD"/>
    <w:rsid w:val="00CE3868"/>
    <w:rsid w:val="00CE3875"/>
    <w:rsid w:val="00CE390D"/>
    <w:rsid w:val="00CE3C1C"/>
    <w:rsid w:val="00CE3C28"/>
    <w:rsid w:val="00CE40D6"/>
    <w:rsid w:val="00CE4144"/>
    <w:rsid w:val="00CE42AC"/>
    <w:rsid w:val="00CE4352"/>
    <w:rsid w:val="00CE4419"/>
    <w:rsid w:val="00CE4728"/>
    <w:rsid w:val="00CE4AD9"/>
    <w:rsid w:val="00CE4B06"/>
    <w:rsid w:val="00CE4B24"/>
    <w:rsid w:val="00CE56E3"/>
    <w:rsid w:val="00CE5886"/>
    <w:rsid w:val="00CE5AAC"/>
    <w:rsid w:val="00CE5C24"/>
    <w:rsid w:val="00CE5C68"/>
    <w:rsid w:val="00CE5D55"/>
    <w:rsid w:val="00CE5FC8"/>
    <w:rsid w:val="00CE62FC"/>
    <w:rsid w:val="00CE6350"/>
    <w:rsid w:val="00CE6421"/>
    <w:rsid w:val="00CE6475"/>
    <w:rsid w:val="00CE65CE"/>
    <w:rsid w:val="00CE682F"/>
    <w:rsid w:val="00CE685D"/>
    <w:rsid w:val="00CE6934"/>
    <w:rsid w:val="00CE6BAE"/>
    <w:rsid w:val="00CE6C15"/>
    <w:rsid w:val="00CE6C6D"/>
    <w:rsid w:val="00CE6D61"/>
    <w:rsid w:val="00CE6EF8"/>
    <w:rsid w:val="00CE7047"/>
    <w:rsid w:val="00CE7212"/>
    <w:rsid w:val="00CE7288"/>
    <w:rsid w:val="00CE760D"/>
    <w:rsid w:val="00CE7D43"/>
    <w:rsid w:val="00CE7ED6"/>
    <w:rsid w:val="00CF0477"/>
    <w:rsid w:val="00CF08A2"/>
    <w:rsid w:val="00CF0B2E"/>
    <w:rsid w:val="00CF0BBA"/>
    <w:rsid w:val="00CF0CAE"/>
    <w:rsid w:val="00CF1216"/>
    <w:rsid w:val="00CF1669"/>
    <w:rsid w:val="00CF1837"/>
    <w:rsid w:val="00CF18F7"/>
    <w:rsid w:val="00CF1A78"/>
    <w:rsid w:val="00CF1AF2"/>
    <w:rsid w:val="00CF1E03"/>
    <w:rsid w:val="00CF1E66"/>
    <w:rsid w:val="00CF2250"/>
    <w:rsid w:val="00CF2303"/>
    <w:rsid w:val="00CF23C2"/>
    <w:rsid w:val="00CF286E"/>
    <w:rsid w:val="00CF299B"/>
    <w:rsid w:val="00CF2A42"/>
    <w:rsid w:val="00CF2AB2"/>
    <w:rsid w:val="00CF2BBC"/>
    <w:rsid w:val="00CF2CFF"/>
    <w:rsid w:val="00CF2D59"/>
    <w:rsid w:val="00CF2DAC"/>
    <w:rsid w:val="00CF2DC4"/>
    <w:rsid w:val="00CF2E1E"/>
    <w:rsid w:val="00CF3076"/>
    <w:rsid w:val="00CF30E1"/>
    <w:rsid w:val="00CF31C7"/>
    <w:rsid w:val="00CF32AA"/>
    <w:rsid w:val="00CF332F"/>
    <w:rsid w:val="00CF3515"/>
    <w:rsid w:val="00CF3676"/>
    <w:rsid w:val="00CF36A7"/>
    <w:rsid w:val="00CF36BD"/>
    <w:rsid w:val="00CF384C"/>
    <w:rsid w:val="00CF396C"/>
    <w:rsid w:val="00CF39CA"/>
    <w:rsid w:val="00CF3CD1"/>
    <w:rsid w:val="00CF3F55"/>
    <w:rsid w:val="00CF3F9D"/>
    <w:rsid w:val="00CF40C2"/>
    <w:rsid w:val="00CF42CE"/>
    <w:rsid w:val="00CF44C9"/>
    <w:rsid w:val="00CF4542"/>
    <w:rsid w:val="00CF463D"/>
    <w:rsid w:val="00CF48D2"/>
    <w:rsid w:val="00CF49B7"/>
    <w:rsid w:val="00CF4E1F"/>
    <w:rsid w:val="00CF4EEB"/>
    <w:rsid w:val="00CF506D"/>
    <w:rsid w:val="00CF520D"/>
    <w:rsid w:val="00CF5285"/>
    <w:rsid w:val="00CF52C6"/>
    <w:rsid w:val="00CF5458"/>
    <w:rsid w:val="00CF5594"/>
    <w:rsid w:val="00CF55DD"/>
    <w:rsid w:val="00CF5798"/>
    <w:rsid w:val="00CF5965"/>
    <w:rsid w:val="00CF5A54"/>
    <w:rsid w:val="00CF5A7A"/>
    <w:rsid w:val="00CF5FFA"/>
    <w:rsid w:val="00CF6759"/>
    <w:rsid w:val="00CF6A5E"/>
    <w:rsid w:val="00CF73FC"/>
    <w:rsid w:val="00CF7478"/>
    <w:rsid w:val="00CF754D"/>
    <w:rsid w:val="00CF78CD"/>
    <w:rsid w:val="00CF7960"/>
    <w:rsid w:val="00CF7B3F"/>
    <w:rsid w:val="00CF7BE4"/>
    <w:rsid w:val="00CF7DE2"/>
    <w:rsid w:val="00CF7F88"/>
    <w:rsid w:val="00D00311"/>
    <w:rsid w:val="00D0049B"/>
    <w:rsid w:val="00D00597"/>
    <w:rsid w:val="00D00976"/>
    <w:rsid w:val="00D00C81"/>
    <w:rsid w:val="00D00E66"/>
    <w:rsid w:val="00D01398"/>
    <w:rsid w:val="00D016D8"/>
    <w:rsid w:val="00D01A06"/>
    <w:rsid w:val="00D01D3D"/>
    <w:rsid w:val="00D01F7C"/>
    <w:rsid w:val="00D01FA2"/>
    <w:rsid w:val="00D0200E"/>
    <w:rsid w:val="00D02033"/>
    <w:rsid w:val="00D02308"/>
    <w:rsid w:val="00D02515"/>
    <w:rsid w:val="00D027A7"/>
    <w:rsid w:val="00D0292E"/>
    <w:rsid w:val="00D02ACA"/>
    <w:rsid w:val="00D02AD0"/>
    <w:rsid w:val="00D02BCD"/>
    <w:rsid w:val="00D02D96"/>
    <w:rsid w:val="00D02E80"/>
    <w:rsid w:val="00D0317A"/>
    <w:rsid w:val="00D032DD"/>
    <w:rsid w:val="00D03362"/>
    <w:rsid w:val="00D03390"/>
    <w:rsid w:val="00D033DE"/>
    <w:rsid w:val="00D034C3"/>
    <w:rsid w:val="00D0371D"/>
    <w:rsid w:val="00D0372B"/>
    <w:rsid w:val="00D037E7"/>
    <w:rsid w:val="00D03A48"/>
    <w:rsid w:val="00D03C24"/>
    <w:rsid w:val="00D042DB"/>
    <w:rsid w:val="00D042E7"/>
    <w:rsid w:val="00D045A2"/>
    <w:rsid w:val="00D045C1"/>
    <w:rsid w:val="00D0472F"/>
    <w:rsid w:val="00D04875"/>
    <w:rsid w:val="00D048BF"/>
    <w:rsid w:val="00D04C33"/>
    <w:rsid w:val="00D04DF3"/>
    <w:rsid w:val="00D04E92"/>
    <w:rsid w:val="00D04EFC"/>
    <w:rsid w:val="00D04FA9"/>
    <w:rsid w:val="00D050E1"/>
    <w:rsid w:val="00D050FF"/>
    <w:rsid w:val="00D0525B"/>
    <w:rsid w:val="00D05278"/>
    <w:rsid w:val="00D05324"/>
    <w:rsid w:val="00D0532B"/>
    <w:rsid w:val="00D0543F"/>
    <w:rsid w:val="00D05726"/>
    <w:rsid w:val="00D0578D"/>
    <w:rsid w:val="00D058ED"/>
    <w:rsid w:val="00D059E4"/>
    <w:rsid w:val="00D05A31"/>
    <w:rsid w:val="00D05B8A"/>
    <w:rsid w:val="00D05C63"/>
    <w:rsid w:val="00D05D3C"/>
    <w:rsid w:val="00D05DD1"/>
    <w:rsid w:val="00D05EDE"/>
    <w:rsid w:val="00D06112"/>
    <w:rsid w:val="00D0615D"/>
    <w:rsid w:val="00D06291"/>
    <w:rsid w:val="00D062B8"/>
    <w:rsid w:val="00D06510"/>
    <w:rsid w:val="00D066BD"/>
    <w:rsid w:val="00D06729"/>
    <w:rsid w:val="00D06819"/>
    <w:rsid w:val="00D07104"/>
    <w:rsid w:val="00D0717D"/>
    <w:rsid w:val="00D07277"/>
    <w:rsid w:val="00D072AF"/>
    <w:rsid w:val="00D074B9"/>
    <w:rsid w:val="00D0771E"/>
    <w:rsid w:val="00D07841"/>
    <w:rsid w:val="00D07A49"/>
    <w:rsid w:val="00D07A94"/>
    <w:rsid w:val="00D07B1E"/>
    <w:rsid w:val="00D07B6A"/>
    <w:rsid w:val="00D07B99"/>
    <w:rsid w:val="00D07D84"/>
    <w:rsid w:val="00D1034D"/>
    <w:rsid w:val="00D104A5"/>
    <w:rsid w:val="00D104A7"/>
    <w:rsid w:val="00D104CB"/>
    <w:rsid w:val="00D10548"/>
    <w:rsid w:val="00D107C0"/>
    <w:rsid w:val="00D1080E"/>
    <w:rsid w:val="00D10912"/>
    <w:rsid w:val="00D10975"/>
    <w:rsid w:val="00D10ADD"/>
    <w:rsid w:val="00D10C24"/>
    <w:rsid w:val="00D10D1A"/>
    <w:rsid w:val="00D10E5E"/>
    <w:rsid w:val="00D11252"/>
    <w:rsid w:val="00D112E1"/>
    <w:rsid w:val="00D11323"/>
    <w:rsid w:val="00D116F6"/>
    <w:rsid w:val="00D117A4"/>
    <w:rsid w:val="00D118F3"/>
    <w:rsid w:val="00D119E3"/>
    <w:rsid w:val="00D11B24"/>
    <w:rsid w:val="00D11C29"/>
    <w:rsid w:val="00D11C74"/>
    <w:rsid w:val="00D11D5D"/>
    <w:rsid w:val="00D11E7F"/>
    <w:rsid w:val="00D1201F"/>
    <w:rsid w:val="00D121FD"/>
    <w:rsid w:val="00D12243"/>
    <w:rsid w:val="00D12299"/>
    <w:rsid w:val="00D122A8"/>
    <w:rsid w:val="00D12336"/>
    <w:rsid w:val="00D12475"/>
    <w:rsid w:val="00D12494"/>
    <w:rsid w:val="00D124D7"/>
    <w:rsid w:val="00D1268C"/>
    <w:rsid w:val="00D12A31"/>
    <w:rsid w:val="00D12E98"/>
    <w:rsid w:val="00D12F25"/>
    <w:rsid w:val="00D1306F"/>
    <w:rsid w:val="00D1320F"/>
    <w:rsid w:val="00D132CB"/>
    <w:rsid w:val="00D132EA"/>
    <w:rsid w:val="00D1346B"/>
    <w:rsid w:val="00D1350A"/>
    <w:rsid w:val="00D1352D"/>
    <w:rsid w:val="00D13903"/>
    <w:rsid w:val="00D139DC"/>
    <w:rsid w:val="00D13A62"/>
    <w:rsid w:val="00D13B97"/>
    <w:rsid w:val="00D13BAF"/>
    <w:rsid w:val="00D14167"/>
    <w:rsid w:val="00D1418C"/>
    <w:rsid w:val="00D1448A"/>
    <w:rsid w:val="00D145D2"/>
    <w:rsid w:val="00D1473B"/>
    <w:rsid w:val="00D149A6"/>
    <w:rsid w:val="00D14A71"/>
    <w:rsid w:val="00D14B60"/>
    <w:rsid w:val="00D14C4D"/>
    <w:rsid w:val="00D15044"/>
    <w:rsid w:val="00D153BF"/>
    <w:rsid w:val="00D15939"/>
    <w:rsid w:val="00D15A2E"/>
    <w:rsid w:val="00D15A94"/>
    <w:rsid w:val="00D15BCB"/>
    <w:rsid w:val="00D15CDD"/>
    <w:rsid w:val="00D15E21"/>
    <w:rsid w:val="00D15F7F"/>
    <w:rsid w:val="00D1645B"/>
    <w:rsid w:val="00D164F1"/>
    <w:rsid w:val="00D1692F"/>
    <w:rsid w:val="00D16C84"/>
    <w:rsid w:val="00D16E07"/>
    <w:rsid w:val="00D16E19"/>
    <w:rsid w:val="00D16E89"/>
    <w:rsid w:val="00D17065"/>
    <w:rsid w:val="00D17154"/>
    <w:rsid w:val="00D174DF"/>
    <w:rsid w:val="00D17709"/>
    <w:rsid w:val="00D178FD"/>
    <w:rsid w:val="00D17B8D"/>
    <w:rsid w:val="00D201E3"/>
    <w:rsid w:val="00D20439"/>
    <w:rsid w:val="00D20719"/>
    <w:rsid w:val="00D20943"/>
    <w:rsid w:val="00D20949"/>
    <w:rsid w:val="00D209EE"/>
    <w:rsid w:val="00D20B72"/>
    <w:rsid w:val="00D21008"/>
    <w:rsid w:val="00D211FC"/>
    <w:rsid w:val="00D2121A"/>
    <w:rsid w:val="00D21477"/>
    <w:rsid w:val="00D216D1"/>
    <w:rsid w:val="00D21700"/>
    <w:rsid w:val="00D21B4B"/>
    <w:rsid w:val="00D21E3A"/>
    <w:rsid w:val="00D221C1"/>
    <w:rsid w:val="00D222EA"/>
    <w:rsid w:val="00D2236E"/>
    <w:rsid w:val="00D2247D"/>
    <w:rsid w:val="00D22679"/>
    <w:rsid w:val="00D2289C"/>
    <w:rsid w:val="00D228D6"/>
    <w:rsid w:val="00D22CB8"/>
    <w:rsid w:val="00D22DDD"/>
    <w:rsid w:val="00D22E2A"/>
    <w:rsid w:val="00D23088"/>
    <w:rsid w:val="00D2315E"/>
    <w:rsid w:val="00D2330C"/>
    <w:rsid w:val="00D23607"/>
    <w:rsid w:val="00D239B6"/>
    <w:rsid w:val="00D239C4"/>
    <w:rsid w:val="00D23B6C"/>
    <w:rsid w:val="00D23D40"/>
    <w:rsid w:val="00D23D96"/>
    <w:rsid w:val="00D23F40"/>
    <w:rsid w:val="00D2401B"/>
    <w:rsid w:val="00D240E3"/>
    <w:rsid w:val="00D24192"/>
    <w:rsid w:val="00D2456F"/>
    <w:rsid w:val="00D2466D"/>
    <w:rsid w:val="00D24740"/>
    <w:rsid w:val="00D24C0F"/>
    <w:rsid w:val="00D24C21"/>
    <w:rsid w:val="00D25218"/>
    <w:rsid w:val="00D25670"/>
    <w:rsid w:val="00D258A0"/>
    <w:rsid w:val="00D25A56"/>
    <w:rsid w:val="00D25D75"/>
    <w:rsid w:val="00D25EC2"/>
    <w:rsid w:val="00D25F3C"/>
    <w:rsid w:val="00D25F6C"/>
    <w:rsid w:val="00D2613B"/>
    <w:rsid w:val="00D26497"/>
    <w:rsid w:val="00D268F3"/>
    <w:rsid w:val="00D26C7C"/>
    <w:rsid w:val="00D26C81"/>
    <w:rsid w:val="00D26D3E"/>
    <w:rsid w:val="00D272F1"/>
    <w:rsid w:val="00D276FA"/>
    <w:rsid w:val="00D2793B"/>
    <w:rsid w:val="00D27A41"/>
    <w:rsid w:val="00D27AC0"/>
    <w:rsid w:val="00D27BCB"/>
    <w:rsid w:val="00D27C9E"/>
    <w:rsid w:val="00D27CF8"/>
    <w:rsid w:val="00D27DD9"/>
    <w:rsid w:val="00D27DDC"/>
    <w:rsid w:val="00D3000F"/>
    <w:rsid w:val="00D30195"/>
    <w:rsid w:val="00D30556"/>
    <w:rsid w:val="00D3078C"/>
    <w:rsid w:val="00D307B1"/>
    <w:rsid w:val="00D309B8"/>
    <w:rsid w:val="00D30A53"/>
    <w:rsid w:val="00D30C7F"/>
    <w:rsid w:val="00D31461"/>
    <w:rsid w:val="00D314C4"/>
    <w:rsid w:val="00D3167A"/>
    <w:rsid w:val="00D31715"/>
    <w:rsid w:val="00D317EE"/>
    <w:rsid w:val="00D31A5A"/>
    <w:rsid w:val="00D32020"/>
    <w:rsid w:val="00D32106"/>
    <w:rsid w:val="00D324DB"/>
    <w:rsid w:val="00D32611"/>
    <w:rsid w:val="00D32FD9"/>
    <w:rsid w:val="00D330F8"/>
    <w:rsid w:val="00D33293"/>
    <w:rsid w:val="00D3355D"/>
    <w:rsid w:val="00D335BC"/>
    <w:rsid w:val="00D338FC"/>
    <w:rsid w:val="00D33A43"/>
    <w:rsid w:val="00D33DBF"/>
    <w:rsid w:val="00D33E4B"/>
    <w:rsid w:val="00D3405B"/>
    <w:rsid w:val="00D340BF"/>
    <w:rsid w:val="00D342B6"/>
    <w:rsid w:val="00D34327"/>
    <w:rsid w:val="00D34483"/>
    <w:rsid w:val="00D3494C"/>
    <w:rsid w:val="00D34AEC"/>
    <w:rsid w:val="00D35037"/>
    <w:rsid w:val="00D35196"/>
    <w:rsid w:val="00D3576B"/>
    <w:rsid w:val="00D357F4"/>
    <w:rsid w:val="00D35860"/>
    <w:rsid w:val="00D35C08"/>
    <w:rsid w:val="00D36058"/>
    <w:rsid w:val="00D360CE"/>
    <w:rsid w:val="00D36146"/>
    <w:rsid w:val="00D36329"/>
    <w:rsid w:val="00D363A5"/>
    <w:rsid w:val="00D36538"/>
    <w:rsid w:val="00D366D6"/>
    <w:rsid w:val="00D36997"/>
    <w:rsid w:val="00D36A95"/>
    <w:rsid w:val="00D36AB3"/>
    <w:rsid w:val="00D36CA7"/>
    <w:rsid w:val="00D36D3C"/>
    <w:rsid w:val="00D36DB2"/>
    <w:rsid w:val="00D36F38"/>
    <w:rsid w:val="00D36FCA"/>
    <w:rsid w:val="00D37010"/>
    <w:rsid w:val="00D370E5"/>
    <w:rsid w:val="00D3711A"/>
    <w:rsid w:val="00D37262"/>
    <w:rsid w:val="00D3734C"/>
    <w:rsid w:val="00D375FF"/>
    <w:rsid w:val="00D376A3"/>
    <w:rsid w:val="00D37829"/>
    <w:rsid w:val="00D37C07"/>
    <w:rsid w:val="00D4038D"/>
    <w:rsid w:val="00D403BD"/>
    <w:rsid w:val="00D405CA"/>
    <w:rsid w:val="00D40687"/>
    <w:rsid w:val="00D407E6"/>
    <w:rsid w:val="00D41464"/>
    <w:rsid w:val="00D41758"/>
    <w:rsid w:val="00D41A69"/>
    <w:rsid w:val="00D41B5A"/>
    <w:rsid w:val="00D41C34"/>
    <w:rsid w:val="00D41E85"/>
    <w:rsid w:val="00D42062"/>
    <w:rsid w:val="00D42220"/>
    <w:rsid w:val="00D42235"/>
    <w:rsid w:val="00D4261D"/>
    <w:rsid w:val="00D42713"/>
    <w:rsid w:val="00D42846"/>
    <w:rsid w:val="00D42A1B"/>
    <w:rsid w:val="00D42A35"/>
    <w:rsid w:val="00D42BC1"/>
    <w:rsid w:val="00D42D17"/>
    <w:rsid w:val="00D42E03"/>
    <w:rsid w:val="00D42EBF"/>
    <w:rsid w:val="00D4320E"/>
    <w:rsid w:val="00D4322B"/>
    <w:rsid w:val="00D432B2"/>
    <w:rsid w:val="00D43334"/>
    <w:rsid w:val="00D4352E"/>
    <w:rsid w:val="00D43BDB"/>
    <w:rsid w:val="00D43E6E"/>
    <w:rsid w:val="00D43F29"/>
    <w:rsid w:val="00D441B1"/>
    <w:rsid w:val="00D441E8"/>
    <w:rsid w:val="00D44641"/>
    <w:rsid w:val="00D44C54"/>
    <w:rsid w:val="00D44CDE"/>
    <w:rsid w:val="00D44D34"/>
    <w:rsid w:val="00D4532D"/>
    <w:rsid w:val="00D45955"/>
    <w:rsid w:val="00D45A0E"/>
    <w:rsid w:val="00D45C52"/>
    <w:rsid w:val="00D45D34"/>
    <w:rsid w:val="00D45FD2"/>
    <w:rsid w:val="00D4603A"/>
    <w:rsid w:val="00D461FB"/>
    <w:rsid w:val="00D461FC"/>
    <w:rsid w:val="00D46386"/>
    <w:rsid w:val="00D46A2D"/>
    <w:rsid w:val="00D46A9D"/>
    <w:rsid w:val="00D46D1D"/>
    <w:rsid w:val="00D46E9B"/>
    <w:rsid w:val="00D470B8"/>
    <w:rsid w:val="00D4713C"/>
    <w:rsid w:val="00D471D1"/>
    <w:rsid w:val="00D47320"/>
    <w:rsid w:val="00D47A20"/>
    <w:rsid w:val="00D47B2A"/>
    <w:rsid w:val="00D47C57"/>
    <w:rsid w:val="00D47F55"/>
    <w:rsid w:val="00D47F83"/>
    <w:rsid w:val="00D47FFB"/>
    <w:rsid w:val="00D5003E"/>
    <w:rsid w:val="00D50147"/>
    <w:rsid w:val="00D501E3"/>
    <w:rsid w:val="00D50BF5"/>
    <w:rsid w:val="00D50C01"/>
    <w:rsid w:val="00D50FDB"/>
    <w:rsid w:val="00D5115E"/>
    <w:rsid w:val="00D5119C"/>
    <w:rsid w:val="00D512E8"/>
    <w:rsid w:val="00D514FD"/>
    <w:rsid w:val="00D5173F"/>
    <w:rsid w:val="00D5174A"/>
    <w:rsid w:val="00D51981"/>
    <w:rsid w:val="00D51EDF"/>
    <w:rsid w:val="00D520A8"/>
    <w:rsid w:val="00D527B0"/>
    <w:rsid w:val="00D52A39"/>
    <w:rsid w:val="00D52ADE"/>
    <w:rsid w:val="00D52B3E"/>
    <w:rsid w:val="00D52D3A"/>
    <w:rsid w:val="00D530A8"/>
    <w:rsid w:val="00D530F9"/>
    <w:rsid w:val="00D53321"/>
    <w:rsid w:val="00D533EB"/>
    <w:rsid w:val="00D53447"/>
    <w:rsid w:val="00D5345E"/>
    <w:rsid w:val="00D53774"/>
    <w:rsid w:val="00D53886"/>
    <w:rsid w:val="00D538C2"/>
    <w:rsid w:val="00D538E9"/>
    <w:rsid w:val="00D5391B"/>
    <w:rsid w:val="00D53A73"/>
    <w:rsid w:val="00D53AFC"/>
    <w:rsid w:val="00D53BC2"/>
    <w:rsid w:val="00D53CF5"/>
    <w:rsid w:val="00D53F42"/>
    <w:rsid w:val="00D542B8"/>
    <w:rsid w:val="00D5435D"/>
    <w:rsid w:val="00D546F6"/>
    <w:rsid w:val="00D54846"/>
    <w:rsid w:val="00D54900"/>
    <w:rsid w:val="00D54932"/>
    <w:rsid w:val="00D54A36"/>
    <w:rsid w:val="00D54BC7"/>
    <w:rsid w:val="00D54E61"/>
    <w:rsid w:val="00D550E6"/>
    <w:rsid w:val="00D55363"/>
    <w:rsid w:val="00D55528"/>
    <w:rsid w:val="00D55647"/>
    <w:rsid w:val="00D558B5"/>
    <w:rsid w:val="00D55B82"/>
    <w:rsid w:val="00D55BE0"/>
    <w:rsid w:val="00D55C1A"/>
    <w:rsid w:val="00D560C0"/>
    <w:rsid w:val="00D5629D"/>
    <w:rsid w:val="00D5630E"/>
    <w:rsid w:val="00D5649D"/>
    <w:rsid w:val="00D56503"/>
    <w:rsid w:val="00D5674B"/>
    <w:rsid w:val="00D569F4"/>
    <w:rsid w:val="00D56CCC"/>
    <w:rsid w:val="00D56D8E"/>
    <w:rsid w:val="00D56DEF"/>
    <w:rsid w:val="00D56E3B"/>
    <w:rsid w:val="00D56E63"/>
    <w:rsid w:val="00D56F0D"/>
    <w:rsid w:val="00D56F81"/>
    <w:rsid w:val="00D570B1"/>
    <w:rsid w:val="00D573A8"/>
    <w:rsid w:val="00D5743B"/>
    <w:rsid w:val="00D57581"/>
    <w:rsid w:val="00D5766C"/>
    <w:rsid w:val="00D57775"/>
    <w:rsid w:val="00D577E1"/>
    <w:rsid w:val="00D57859"/>
    <w:rsid w:val="00D57B57"/>
    <w:rsid w:val="00D57DD3"/>
    <w:rsid w:val="00D6024A"/>
    <w:rsid w:val="00D603A8"/>
    <w:rsid w:val="00D603E7"/>
    <w:rsid w:val="00D60592"/>
    <w:rsid w:val="00D60CFC"/>
    <w:rsid w:val="00D60EBC"/>
    <w:rsid w:val="00D60F3A"/>
    <w:rsid w:val="00D610AA"/>
    <w:rsid w:val="00D610D2"/>
    <w:rsid w:val="00D61325"/>
    <w:rsid w:val="00D6135B"/>
    <w:rsid w:val="00D6170C"/>
    <w:rsid w:val="00D61715"/>
    <w:rsid w:val="00D61A3A"/>
    <w:rsid w:val="00D61A53"/>
    <w:rsid w:val="00D61C9D"/>
    <w:rsid w:val="00D61E06"/>
    <w:rsid w:val="00D61E56"/>
    <w:rsid w:val="00D61F8A"/>
    <w:rsid w:val="00D62221"/>
    <w:rsid w:val="00D622F3"/>
    <w:rsid w:val="00D6247B"/>
    <w:rsid w:val="00D624FC"/>
    <w:rsid w:val="00D625C0"/>
    <w:rsid w:val="00D62721"/>
    <w:rsid w:val="00D6294D"/>
    <w:rsid w:val="00D62A9E"/>
    <w:rsid w:val="00D62AF6"/>
    <w:rsid w:val="00D63370"/>
    <w:rsid w:val="00D6339B"/>
    <w:rsid w:val="00D634BD"/>
    <w:rsid w:val="00D6355E"/>
    <w:rsid w:val="00D638EA"/>
    <w:rsid w:val="00D63A45"/>
    <w:rsid w:val="00D63B3A"/>
    <w:rsid w:val="00D63FE5"/>
    <w:rsid w:val="00D643AA"/>
    <w:rsid w:val="00D64E54"/>
    <w:rsid w:val="00D651B1"/>
    <w:rsid w:val="00D651C0"/>
    <w:rsid w:val="00D65350"/>
    <w:rsid w:val="00D655E7"/>
    <w:rsid w:val="00D657D2"/>
    <w:rsid w:val="00D65A5D"/>
    <w:rsid w:val="00D65A7F"/>
    <w:rsid w:val="00D65B3F"/>
    <w:rsid w:val="00D65E54"/>
    <w:rsid w:val="00D65EE8"/>
    <w:rsid w:val="00D66018"/>
    <w:rsid w:val="00D6604D"/>
    <w:rsid w:val="00D6641A"/>
    <w:rsid w:val="00D665E3"/>
    <w:rsid w:val="00D66602"/>
    <w:rsid w:val="00D666E6"/>
    <w:rsid w:val="00D6699D"/>
    <w:rsid w:val="00D66A55"/>
    <w:rsid w:val="00D66AAC"/>
    <w:rsid w:val="00D66B16"/>
    <w:rsid w:val="00D66B60"/>
    <w:rsid w:val="00D66B63"/>
    <w:rsid w:val="00D66C1F"/>
    <w:rsid w:val="00D66C61"/>
    <w:rsid w:val="00D66CB4"/>
    <w:rsid w:val="00D66DCA"/>
    <w:rsid w:val="00D66E75"/>
    <w:rsid w:val="00D66FBF"/>
    <w:rsid w:val="00D673CA"/>
    <w:rsid w:val="00D67701"/>
    <w:rsid w:val="00D677B5"/>
    <w:rsid w:val="00D67816"/>
    <w:rsid w:val="00D679A2"/>
    <w:rsid w:val="00D679BD"/>
    <w:rsid w:val="00D67A82"/>
    <w:rsid w:val="00D67B9E"/>
    <w:rsid w:val="00D67CF5"/>
    <w:rsid w:val="00D67F8C"/>
    <w:rsid w:val="00D700F9"/>
    <w:rsid w:val="00D7042F"/>
    <w:rsid w:val="00D70431"/>
    <w:rsid w:val="00D705A2"/>
    <w:rsid w:val="00D707A4"/>
    <w:rsid w:val="00D707E4"/>
    <w:rsid w:val="00D70FB4"/>
    <w:rsid w:val="00D7111C"/>
    <w:rsid w:val="00D71167"/>
    <w:rsid w:val="00D712BB"/>
    <w:rsid w:val="00D71553"/>
    <w:rsid w:val="00D716F4"/>
    <w:rsid w:val="00D71860"/>
    <w:rsid w:val="00D71B15"/>
    <w:rsid w:val="00D71B1F"/>
    <w:rsid w:val="00D71B5A"/>
    <w:rsid w:val="00D71EAF"/>
    <w:rsid w:val="00D72201"/>
    <w:rsid w:val="00D7229F"/>
    <w:rsid w:val="00D7230B"/>
    <w:rsid w:val="00D725A3"/>
    <w:rsid w:val="00D72812"/>
    <w:rsid w:val="00D728EC"/>
    <w:rsid w:val="00D72D75"/>
    <w:rsid w:val="00D72F29"/>
    <w:rsid w:val="00D72F98"/>
    <w:rsid w:val="00D7307F"/>
    <w:rsid w:val="00D73358"/>
    <w:rsid w:val="00D73642"/>
    <w:rsid w:val="00D73C08"/>
    <w:rsid w:val="00D73DB0"/>
    <w:rsid w:val="00D73FA7"/>
    <w:rsid w:val="00D7410B"/>
    <w:rsid w:val="00D7426A"/>
    <w:rsid w:val="00D74277"/>
    <w:rsid w:val="00D74319"/>
    <w:rsid w:val="00D7434A"/>
    <w:rsid w:val="00D744D7"/>
    <w:rsid w:val="00D744F5"/>
    <w:rsid w:val="00D74810"/>
    <w:rsid w:val="00D74DC9"/>
    <w:rsid w:val="00D74F3C"/>
    <w:rsid w:val="00D74FA9"/>
    <w:rsid w:val="00D75116"/>
    <w:rsid w:val="00D75331"/>
    <w:rsid w:val="00D75380"/>
    <w:rsid w:val="00D75392"/>
    <w:rsid w:val="00D7559B"/>
    <w:rsid w:val="00D75867"/>
    <w:rsid w:val="00D758CF"/>
    <w:rsid w:val="00D759D2"/>
    <w:rsid w:val="00D75AA1"/>
    <w:rsid w:val="00D75AA9"/>
    <w:rsid w:val="00D75D18"/>
    <w:rsid w:val="00D75D44"/>
    <w:rsid w:val="00D75D4E"/>
    <w:rsid w:val="00D75E18"/>
    <w:rsid w:val="00D75E64"/>
    <w:rsid w:val="00D75FA9"/>
    <w:rsid w:val="00D7665B"/>
    <w:rsid w:val="00D766E7"/>
    <w:rsid w:val="00D768A3"/>
    <w:rsid w:val="00D768EF"/>
    <w:rsid w:val="00D768F6"/>
    <w:rsid w:val="00D770F6"/>
    <w:rsid w:val="00D7727C"/>
    <w:rsid w:val="00D7750C"/>
    <w:rsid w:val="00D77714"/>
    <w:rsid w:val="00D777D2"/>
    <w:rsid w:val="00D77A32"/>
    <w:rsid w:val="00D77AE9"/>
    <w:rsid w:val="00D77B21"/>
    <w:rsid w:val="00D77B41"/>
    <w:rsid w:val="00D77D2E"/>
    <w:rsid w:val="00D77DD4"/>
    <w:rsid w:val="00D77E08"/>
    <w:rsid w:val="00D802D3"/>
    <w:rsid w:val="00D80448"/>
    <w:rsid w:val="00D805C4"/>
    <w:rsid w:val="00D80955"/>
    <w:rsid w:val="00D80B30"/>
    <w:rsid w:val="00D80BB8"/>
    <w:rsid w:val="00D80BE4"/>
    <w:rsid w:val="00D80CD4"/>
    <w:rsid w:val="00D81016"/>
    <w:rsid w:val="00D8128A"/>
    <w:rsid w:val="00D8129E"/>
    <w:rsid w:val="00D81379"/>
    <w:rsid w:val="00D81507"/>
    <w:rsid w:val="00D8161C"/>
    <w:rsid w:val="00D816CB"/>
    <w:rsid w:val="00D816D9"/>
    <w:rsid w:val="00D8173C"/>
    <w:rsid w:val="00D818EA"/>
    <w:rsid w:val="00D819D8"/>
    <w:rsid w:val="00D81AB8"/>
    <w:rsid w:val="00D81B34"/>
    <w:rsid w:val="00D81E4B"/>
    <w:rsid w:val="00D81EDE"/>
    <w:rsid w:val="00D8200B"/>
    <w:rsid w:val="00D82078"/>
    <w:rsid w:val="00D82419"/>
    <w:rsid w:val="00D82448"/>
    <w:rsid w:val="00D828EC"/>
    <w:rsid w:val="00D8297B"/>
    <w:rsid w:val="00D82A9C"/>
    <w:rsid w:val="00D82CF8"/>
    <w:rsid w:val="00D82DD4"/>
    <w:rsid w:val="00D82E95"/>
    <w:rsid w:val="00D82FF1"/>
    <w:rsid w:val="00D83039"/>
    <w:rsid w:val="00D83306"/>
    <w:rsid w:val="00D83634"/>
    <w:rsid w:val="00D83A44"/>
    <w:rsid w:val="00D83B96"/>
    <w:rsid w:val="00D83E95"/>
    <w:rsid w:val="00D83FF1"/>
    <w:rsid w:val="00D84154"/>
    <w:rsid w:val="00D8459F"/>
    <w:rsid w:val="00D84610"/>
    <w:rsid w:val="00D84633"/>
    <w:rsid w:val="00D84B2A"/>
    <w:rsid w:val="00D84B53"/>
    <w:rsid w:val="00D84C74"/>
    <w:rsid w:val="00D84D85"/>
    <w:rsid w:val="00D84DF4"/>
    <w:rsid w:val="00D85268"/>
    <w:rsid w:val="00D853C1"/>
    <w:rsid w:val="00D85423"/>
    <w:rsid w:val="00D855E4"/>
    <w:rsid w:val="00D85887"/>
    <w:rsid w:val="00D85ACE"/>
    <w:rsid w:val="00D85C15"/>
    <w:rsid w:val="00D85EA5"/>
    <w:rsid w:val="00D85F29"/>
    <w:rsid w:val="00D86250"/>
    <w:rsid w:val="00D862AE"/>
    <w:rsid w:val="00D8654A"/>
    <w:rsid w:val="00D865B5"/>
    <w:rsid w:val="00D8664A"/>
    <w:rsid w:val="00D86654"/>
    <w:rsid w:val="00D86886"/>
    <w:rsid w:val="00D869B3"/>
    <w:rsid w:val="00D86B95"/>
    <w:rsid w:val="00D86DCC"/>
    <w:rsid w:val="00D86E8D"/>
    <w:rsid w:val="00D86EE3"/>
    <w:rsid w:val="00D86F24"/>
    <w:rsid w:val="00D86F47"/>
    <w:rsid w:val="00D86F4E"/>
    <w:rsid w:val="00D87009"/>
    <w:rsid w:val="00D87071"/>
    <w:rsid w:val="00D871C2"/>
    <w:rsid w:val="00D872D0"/>
    <w:rsid w:val="00D874A1"/>
    <w:rsid w:val="00D8788A"/>
    <w:rsid w:val="00D8788C"/>
    <w:rsid w:val="00D878B0"/>
    <w:rsid w:val="00D87B21"/>
    <w:rsid w:val="00D87E2D"/>
    <w:rsid w:val="00D87F3B"/>
    <w:rsid w:val="00D900A2"/>
    <w:rsid w:val="00D900E4"/>
    <w:rsid w:val="00D901C0"/>
    <w:rsid w:val="00D90331"/>
    <w:rsid w:val="00D904BA"/>
    <w:rsid w:val="00D9051D"/>
    <w:rsid w:val="00D9071C"/>
    <w:rsid w:val="00D90897"/>
    <w:rsid w:val="00D90B06"/>
    <w:rsid w:val="00D90E27"/>
    <w:rsid w:val="00D90EEF"/>
    <w:rsid w:val="00D90F30"/>
    <w:rsid w:val="00D90F80"/>
    <w:rsid w:val="00D910D2"/>
    <w:rsid w:val="00D91628"/>
    <w:rsid w:val="00D91AC4"/>
    <w:rsid w:val="00D91B66"/>
    <w:rsid w:val="00D91F0F"/>
    <w:rsid w:val="00D92034"/>
    <w:rsid w:val="00D92088"/>
    <w:rsid w:val="00D92114"/>
    <w:rsid w:val="00D92364"/>
    <w:rsid w:val="00D925E8"/>
    <w:rsid w:val="00D926D6"/>
    <w:rsid w:val="00D928CE"/>
    <w:rsid w:val="00D929E2"/>
    <w:rsid w:val="00D92ABA"/>
    <w:rsid w:val="00D930B1"/>
    <w:rsid w:val="00D9336D"/>
    <w:rsid w:val="00D93478"/>
    <w:rsid w:val="00D935D0"/>
    <w:rsid w:val="00D93650"/>
    <w:rsid w:val="00D93660"/>
    <w:rsid w:val="00D937A5"/>
    <w:rsid w:val="00D93895"/>
    <w:rsid w:val="00D93B1C"/>
    <w:rsid w:val="00D93C30"/>
    <w:rsid w:val="00D93F9A"/>
    <w:rsid w:val="00D940D4"/>
    <w:rsid w:val="00D94173"/>
    <w:rsid w:val="00D9418E"/>
    <w:rsid w:val="00D9420B"/>
    <w:rsid w:val="00D942B8"/>
    <w:rsid w:val="00D94CA7"/>
    <w:rsid w:val="00D94D60"/>
    <w:rsid w:val="00D94E36"/>
    <w:rsid w:val="00D95045"/>
    <w:rsid w:val="00D950C2"/>
    <w:rsid w:val="00D951B6"/>
    <w:rsid w:val="00D95244"/>
    <w:rsid w:val="00D95253"/>
    <w:rsid w:val="00D952D6"/>
    <w:rsid w:val="00D95628"/>
    <w:rsid w:val="00D9573D"/>
    <w:rsid w:val="00D95846"/>
    <w:rsid w:val="00D95A95"/>
    <w:rsid w:val="00D95C41"/>
    <w:rsid w:val="00D95C52"/>
    <w:rsid w:val="00D95DD5"/>
    <w:rsid w:val="00D95E00"/>
    <w:rsid w:val="00D964CA"/>
    <w:rsid w:val="00D964FB"/>
    <w:rsid w:val="00D967DB"/>
    <w:rsid w:val="00D96A5B"/>
    <w:rsid w:val="00D96B9B"/>
    <w:rsid w:val="00D96CA3"/>
    <w:rsid w:val="00D96D54"/>
    <w:rsid w:val="00D96E1D"/>
    <w:rsid w:val="00D96E6F"/>
    <w:rsid w:val="00D96EB1"/>
    <w:rsid w:val="00D97087"/>
    <w:rsid w:val="00D97190"/>
    <w:rsid w:val="00D9721D"/>
    <w:rsid w:val="00D97395"/>
    <w:rsid w:val="00D973B5"/>
    <w:rsid w:val="00D97640"/>
    <w:rsid w:val="00D979D3"/>
    <w:rsid w:val="00D97BC1"/>
    <w:rsid w:val="00D97C7A"/>
    <w:rsid w:val="00D97E51"/>
    <w:rsid w:val="00DA011C"/>
    <w:rsid w:val="00DA04E2"/>
    <w:rsid w:val="00DA065D"/>
    <w:rsid w:val="00DA075D"/>
    <w:rsid w:val="00DA0CDF"/>
    <w:rsid w:val="00DA0F70"/>
    <w:rsid w:val="00DA1021"/>
    <w:rsid w:val="00DA1356"/>
    <w:rsid w:val="00DA1870"/>
    <w:rsid w:val="00DA192A"/>
    <w:rsid w:val="00DA1932"/>
    <w:rsid w:val="00DA21FE"/>
    <w:rsid w:val="00DA22A2"/>
    <w:rsid w:val="00DA2562"/>
    <w:rsid w:val="00DA2828"/>
    <w:rsid w:val="00DA28BD"/>
    <w:rsid w:val="00DA2A07"/>
    <w:rsid w:val="00DA2D05"/>
    <w:rsid w:val="00DA2E2A"/>
    <w:rsid w:val="00DA2FC9"/>
    <w:rsid w:val="00DA3A78"/>
    <w:rsid w:val="00DA3D0D"/>
    <w:rsid w:val="00DA42F0"/>
    <w:rsid w:val="00DA42F6"/>
    <w:rsid w:val="00DA436E"/>
    <w:rsid w:val="00DA4383"/>
    <w:rsid w:val="00DA4410"/>
    <w:rsid w:val="00DA4540"/>
    <w:rsid w:val="00DA46AE"/>
    <w:rsid w:val="00DA493A"/>
    <w:rsid w:val="00DA49CF"/>
    <w:rsid w:val="00DA4A18"/>
    <w:rsid w:val="00DA4D06"/>
    <w:rsid w:val="00DA4D27"/>
    <w:rsid w:val="00DA531C"/>
    <w:rsid w:val="00DA5878"/>
    <w:rsid w:val="00DA5A6E"/>
    <w:rsid w:val="00DA5C0D"/>
    <w:rsid w:val="00DA5C7F"/>
    <w:rsid w:val="00DA5DFF"/>
    <w:rsid w:val="00DA5EE7"/>
    <w:rsid w:val="00DA6173"/>
    <w:rsid w:val="00DA67A6"/>
    <w:rsid w:val="00DA67CA"/>
    <w:rsid w:val="00DA67CE"/>
    <w:rsid w:val="00DA68BB"/>
    <w:rsid w:val="00DA68C6"/>
    <w:rsid w:val="00DA6D63"/>
    <w:rsid w:val="00DA6FF0"/>
    <w:rsid w:val="00DA6FF4"/>
    <w:rsid w:val="00DA70A6"/>
    <w:rsid w:val="00DA724A"/>
    <w:rsid w:val="00DA7303"/>
    <w:rsid w:val="00DA7329"/>
    <w:rsid w:val="00DA74DF"/>
    <w:rsid w:val="00DA7505"/>
    <w:rsid w:val="00DA79DF"/>
    <w:rsid w:val="00DA79E4"/>
    <w:rsid w:val="00DA7CCC"/>
    <w:rsid w:val="00DB0149"/>
    <w:rsid w:val="00DB02B0"/>
    <w:rsid w:val="00DB0308"/>
    <w:rsid w:val="00DB0403"/>
    <w:rsid w:val="00DB097A"/>
    <w:rsid w:val="00DB0B1A"/>
    <w:rsid w:val="00DB0C44"/>
    <w:rsid w:val="00DB11B4"/>
    <w:rsid w:val="00DB11D2"/>
    <w:rsid w:val="00DB13EF"/>
    <w:rsid w:val="00DB140C"/>
    <w:rsid w:val="00DB1727"/>
    <w:rsid w:val="00DB1935"/>
    <w:rsid w:val="00DB1C4E"/>
    <w:rsid w:val="00DB1C8C"/>
    <w:rsid w:val="00DB1E73"/>
    <w:rsid w:val="00DB1EAE"/>
    <w:rsid w:val="00DB2254"/>
    <w:rsid w:val="00DB2256"/>
    <w:rsid w:val="00DB243D"/>
    <w:rsid w:val="00DB2488"/>
    <w:rsid w:val="00DB2515"/>
    <w:rsid w:val="00DB29CF"/>
    <w:rsid w:val="00DB29DC"/>
    <w:rsid w:val="00DB29F3"/>
    <w:rsid w:val="00DB2A0E"/>
    <w:rsid w:val="00DB2D08"/>
    <w:rsid w:val="00DB2D9E"/>
    <w:rsid w:val="00DB2F8A"/>
    <w:rsid w:val="00DB2FE8"/>
    <w:rsid w:val="00DB331F"/>
    <w:rsid w:val="00DB338D"/>
    <w:rsid w:val="00DB33A2"/>
    <w:rsid w:val="00DB348E"/>
    <w:rsid w:val="00DB3615"/>
    <w:rsid w:val="00DB36A4"/>
    <w:rsid w:val="00DB3745"/>
    <w:rsid w:val="00DB37A0"/>
    <w:rsid w:val="00DB3823"/>
    <w:rsid w:val="00DB3C53"/>
    <w:rsid w:val="00DB3E66"/>
    <w:rsid w:val="00DB400E"/>
    <w:rsid w:val="00DB43F3"/>
    <w:rsid w:val="00DB4619"/>
    <w:rsid w:val="00DB474C"/>
    <w:rsid w:val="00DB4921"/>
    <w:rsid w:val="00DB49A1"/>
    <w:rsid w:val="00DB4A0F"/>
    <w:rsid w:val="00DB4DFC"/>
    <w:rsid w:val="00DB4FE7"/>
    <w:rsid w:val="00DB514C"/>
    <w:rsid w:val="00DB521A"/>
    <w:rsid w:val="00DB55D4"/>
    <w:rsid w:val="00DB5615"/>
    <w:rsid w:val="00DB56F4"/>
    <w:rsid w:val="00DB598C"/>
    <w:rsid w:val="00DB5BF2"/>
    <w:rsid w:val="00DB5C38"/>
    <w:rsid w:val="00DB61E0"/>
    <w:rsid w:val="00DB6609"/>
    <w:rsid w:val="00DB6642"/>
    <w:rsid w:val="00DB66FE"/>
    <w:rsid w:val="00DB6767"/>
    <w:rsid w:val="00DB6862"/>
    <w:rsid w:val="00DB6A5E"/>
    <w:rsid w:val="00DB6ADF"/>
    <w:rsid w:val="00DB6E46"/>
    <w:rsid w:val="00DB6F42"/>
    <w:rsid w:val="00DB6FBA"/>
    <w:rsid w:val="00DB70BD"/>
    <w:rsid w:val="00DB72F5"/>
    <w:rsid w:val="00DB7361"/>
    <w:rsid w:val="00DB7804"/>
    <w:rsid w:val="00DB78B6"/>
    <w:rsid w:val="00DB7BFA"/>
    <w:rsid w:val="00DB7EBE"/>
    <w:rsid w:val="00DC000F"/>
    <w:rsid w:val="00DC0042"/>
    <w:rsid w:val="00DC04A6"/>
    <w:rsid w:val="00DC05A9"/>
    <w:rsid w:val="00DC0601"/>
    <w:rsid w:val="00DC068A"/>
    <w:rsid w:val="00DC0D19"/>
    <w:rsid w:val="00DC0F9B"/>
    <w:rsid w:val="00DC1096"/>
    <w:rsid w:val="00DC10D8"/>
    <w:rsid w:val="00DC12E9"/>
    <w:rsid w:val="00DC13B2"/>
    <w:rsid w:val="00DC13D9"/>
    <w:rsid w:val="00DC1427"/>
    <w:rsid w:val="00DC14C5"/>
    <w:rsid w:val="00DC168C"/>
    <w:rsid w:val="00DC19CA"/>
    <w:rsid w:val="00DC1A83"/>
    <w:rsid w:val="00DC1A93"/>
    <w:rsid w:val="00DC1D37"/>
    <w:rsid w:val="00DC1EC4"/>
    <w:rsid w:val="00DC1F7F"/>
    <w:rsid w:val="00DC20BB"/>
    <w:rsid w:val="00DC2241"/>
    <w:rsid w:val="00DC228B"/>
    <w:rsid w:val="00DC24CB"/>
    <w:rsid w:val="00DC2746"/>
    <w:rsid w:val="00DC29BF"/>
    <w:rsid w:val="00DC2C83"/>
    <w:rsid w:val="00DC339C"/>
    <w:rsid w:val="00DC350B"/>
    <w:rsid w:val="00DC37A6"/>
    <w:rsid w:val="00DC38FE"/>
    <w:rsid w:val="00DC3D3B"/>
    <w:rsid w:val="00DC3D69"/>
    <w:rsid w:val="00DC3DE6"/>
    <w:rsid w:val="00DC411F"/>
    <w:rsid w:val="00DC4A06"/>
    <w:rsid w:val="00DC4F10"/>
    <w:rsid w:val="00DC4FDC"/>
    <w:rsid w:val="00DC5457"/>
    <w:rsid w:val="00DC5819"/>
    <w:rsid w:val="00DC59AA"/>
    <w:rsid w:val="00DC5DA9"/>
    <w:rsid w:val="00DC5F76"/>
    <w:rsid w:val="00DC5FBF"/>
    <w:rsid w:val="00DC60B0"/>
    <w:rsid w:val="00DC66CA"/>
    <w:rsid w:val="00DC683A"/>
    <w:rsid w:val="00DC69EB"/>
    <w:rsid w:val="00DC6AAF"/>
    <w:rsid w:val="00DC6D4D"/>
    <w:rsid w:val="00DC6F97"/>
    <w:rsid w:val="00DC6FA2"/>
    <w:rsid w:val="00DC71BC"/>
    <w:rsid w:val="00DC7341"/>
    <w:rsid w:val="00DC7370"/>
    <w:rsid w:val="00DC7A72"/>
    <w:rsid w:val="00DC7FA5"/>
    <w:rsid w:val="00DD024A"/>
    <w:rsid w:val="00DD025B"/>
    <w:rsid w:val="00DD0459"/>
    <w:rsid w:val="00DD04E4"/>
    <w:rsid w:val="00DD0584"/>
    <w:rsid w:val="00DD0660"/>
    <w:rsid w:val="00DD0750"/>
    <w:rsid w:val="00DD0A13"/>
    <w:rsid w:val="00DD0B22"/>
    <w:rsid w:val="00DD0B95"/>
    <w:rsid w:val="00DD0E71"/>
    <w:rsid w:val="00DD0EC1"/>
    <w:rsid w:val="00DD11F3"/>
    <w:rsid w:val="00DD13B2"/>
    <w:rsid w:val="00DD13F5"/>
    <w:rsid w:val="00DD15EC"/>
    <w:rsid w:val="00DD1DE5"/>
    <w:rsid w:val="00DD1F74"/>
    <w:rsid w:val="00DD2131"/>
    <w:rsid w:val="00DD22F9"/>
    <w:rsid w:val="00DD2545"/>
    <w:rsid w:val="00DD2616"/>
    <w:rsid w:val="00DD281F"/>
    <w:rsid w:val="00DD2853"/>
    <w:rsid w:val="00DD2A6E"/>
    <w:rsid w:val="00DD2B64"/>
    <w:rsid w:val="00DD2CF5"/>
    <w:rsid w:val="00DD2D1E"/>
    <w:rsid w:val="00DD3004"/>
    <w:rsid w:val="00DD30AA"/>
    <w:rsid w:val="00DD38F3"/>
    <w:rsid w:val="00DD3984"/>
    <w:rsid w:val="00DD3E85"/>
    <w:rsid w:val="00DD3F36"/>
    <w:rsid w:val="00DD433F"/>
    <w:rsid w:val="00DD4581"/>
    <w:rsid w:val="00DD464B"/>
    <w:rsid w:val="00DD4A43"/>
    <w:rsid w:val="00DD4ADB"/>
    <w:rsid w:val="00DD4BCC"/>
    <w:rsid w:val="00DD4C09"/>
    <w:rsid w:val="00DD4D31"/>
    <w:rsid w:val="00DD4D7D"/>
    <w:rsid w:val="00DD4E70"/>
    <w:rsid w:val="00DD4E84"/>
    <w:rsid w:val="00DD50FB"/>
    <w:rsid w:val="00DD511F"/>
    <w:rsid w:val="00DD5238"/>
    <w:rsid w:val="00DD530B"/>
    <w:rsid w:val="00DD54D4"/>
    <w:rsid w:val="00DD5524"/>
    <w:rsid w:val="00DD5647"/>
    <w:rsid w:val="00DD56BF"/>
    <w:rsid w:val="00DD56FD"/>
    <w:rsid w:val="00DD5763"/>
    <w:rsid w:val="00DD5841"/>
    <w:rsid w:val="00DD587C"/>
    <w:rsid w:val="00DD594E"/>
    <w:rsid w:val="00DD595B"/>
    <w:rsid w:val="00DD5C9A"/>
    <w:rsid w:val="00DD5D0F"/>
    <w:rsid w:val="00DD5D96"/>
    <w:rsid w:val="00DD5DA3"/>
    <w:rsid w:val="00DD5DEA"/>
    <w:rsid w:val="00DD5DFA"/>
    <w:rsid w:val="00DD5E58"/>
    <w:rsid w:val="00DD5F74"/>
    <w:rsid w:val="00DD5FB8"/>
    <w:rsid w:val="00DD625F"/>
    <w:rsid w:val="00DD63D3"/>
    <w:rsid w:val="00DD668E"/>
    <w:rsid w:val="00DD6795"/>
    <w:rsid w:val="00DD695F"/>
    <w:rsid w:val="00DD698F"/>
    <w:rsid w:val="00DD6BC0"/>
    <w:rsid w:val="00DD6D79"/>
    <w:rsid w:val="00DD6EEA"/>
    <w:rsid w:val="00DD6F0D"/>
    <w:rsid w:val="00DD6F48"/>
    <w:rsid w:val="00DD70F4"/>
    <w:rsid w:val="00DD7141"/>
    <w:rsid w:val="00DD75C6"/>
    <w:rsid w:val="00DD78C8"/>
    <w:rsid w:val="00DD79B8"/>
    <w:rsid w:val="00DD79CA"/>
    <w:rsid w:val="00DE00E3"/>
    <w:rsid w:val="00DE0228"/>
    <w:rsid w:val="00DE02A3"/>
    <w:rsid w:val="00DE02DD"/>
    <w:rsid w:val="00DE05BF"/>
    <w:rsid w:val="00DE067F"/>
    <w:rsid w:val="00DE09F8"/>
    <w:rsid w:val="00DE0F0F"/>
    <w:rsid w:val="00DE0FEA"/>
    <w:rsid w:val="00DE14CA"/>
    <w:rsid w:val="00DE14E9"/>
    <w:rsid w:val="00DE1611"/>
    <w:rsid w:val="00DE1631"/>
    <w:rsid w:val="00DE1659"/>
    <w:rsid w:val="00DE1690"/>
    <w:rsid w:val="00DE1846"/>
    <w:rsid w:val="00DE1DF9"/>
    <w:rsid w:val="00DE1F96"/>
    <w:rsid w:val="00DE21C1"/>
    <w:rsid w:val="00DE2261"/>
    <w:rsid w:val="00DE2565"/>
    <w:rsid w:val="00DE27D4"/>
    <w:rsid w:val="00DE3384"/>
    <w:rsid w:val="00DE3419"/>
    <w:rsid w:val="00DE3429"/>
    <w:rsid w:val="00DE3633"/>
    <w:rsid w:val="00DE3808"/>
    <w:rsid w:val="00DE388B"/>
    <w:rsid w:val="00DE391D"/>
    <w:rsid w:val="00DE394E"/>
    <w:rsid w:val="00DE39C1"/>
    <w:rsid w:val="00DE3A57"/>
    <w:rsid w:val="00DE3C4F"/>
    <w:rsid w:val="00DE3DDC"/>
    <w:rsid w:val="00DE3E15"/>
    <w:rsid w:val="00DE3E51"/>
    <w:rsid w:val="00DE3EB3"/>
    <w:rsid w:val="00DE3ECF"/>
    <w:rsid w:val="00DE4441"/>
    <w:rsid w:val="00DE4467"/>
    <w:rsid w:val="00DE4779"/>
    <w:rsid w:val="00DE4B20"/>
    <w:rsid w:val="00DE4D26"/>
    <w:rsid w:val="00DE54AA"/>
    <w:rsid w:val="00DE5AEA"/>
    <w:rsid w:val="00DE5B9B"/>
    <w:rsid w:val="00DE5BE1"/>
    <w:rsid w:val="00DE5F14"/>
    <w:rsid w:val="00DE5F50"/>
    <w:rsid w:val="00DE6042"/>
    <w:rsid w:val="00DE6097"/>
    <w:rsid w:val="00DE6249"/>
    <w:rsid w:val="00DE631B"/>
    <w:rsid w:val="00DE65C7"/>
    <w:rsid w:val="00DE665D"/>
    <w:rsid w:val="00DE68E6"/>
    <w:rsid w:val="00DE6C72"/>
    <w:rsid w:val="00DE6F08"/>
    <w:rsid w:val="00DE7386"/>
    <w:rsid w:val="00DE73D0"/>
    <w:rsid w:val="00DE770E"/>
    <w:rsid w:val="00DE7911"/>
    <w:rsid w:val="00DE7941"/>
    <w:rsid w:val="00DE7C93"/>
    <w:rsid w:val="00DE7D51"/>
    <w:rsid w:val="00DE7E2A"/>
    <w:rsid w:val="00DF005F"/>
    <w:rsid w:val="00DF00CE"/>
    <w:rsid w:val="00DF014B"/>
    <w:rsid w:val="00DF019C"/>
    <w:rsid w:val="00DF01F0"/>
    <w:rsid w:val="00DF0332"/>
    <w:rsid w:val="00DF0632"/>
    <w:rsid w:val="00DF09D5"/>
    <w:rsid w:val="00DF0ACE"/>
    <w:rsid w:val="00DF0B35"/>
    <w:rsid w:val="00DF0BFC"/>
    <w:rsid w:val="00DF0C3B"/>
    <w:rsid w:val="00DF0E63"/>
    <w:rsid w:val="00DF1055"/>
    <w:rsid w:val="00DF121F"/>
    <w:rsid w:val="00DF12AD"/>
    <w:rsid w:val="00DF15AD"/>
    <w:rsid w:val="00DF1837"/>
    <w:rsid w:val="00DF187D"/>
    <w:rsid w:val="00DF1B6A"/>
    <w:rsid w:val="00DF1B92"/>
    <w:rsid w:val="00DF1D75"/>
    <w:rsid w:val="00DF1D76"/>
    <w:rsid w:val="00DF1DE3"/>
    <w:rsid w:val="00DF1F3A"/>
    <w:rsid w:val="00DF1F4F"/>
    <w:rsid w:val="00DF1F94"/>
    <w:rsid w:val="00DF215E"/>
    <w:rsid w:val="00DF2172"/>
    <w:rsid w:val="00DF2278"/>
    <w:rsid w:val="00DF2701"/>
    <w:rsid w:val="00DF270B"/>
    <w:rsid w:val="00DF2954"/>
    <w:rsid w:val="00DF305C"/>
    <w:rsid w:val="00DF3071"/>
    <w:rsid w:val="00DF30F7"/>
    <w:rsid w:val="00DF3170"/>
    <w:rsid w:val="00DF3287"/>
    <w:rsid w:val="00DF3484"/>
    <w:rsid w:val="00DF360E"/>
    <w:rsid w:val="00DF38BF"/>
    <w:rsid w:val="00DF3A9A"/>
    <w:rsid w:val="00DF40AE"/>
    <w:rsid w:val="00DF4371"/>
    <w:rsid w:val="00DF48B9"/>
    <w:rsid w:val="00DF49FE"/>
    <w:rsid w:val="00DF4B0A"/>
    <w:rsid w:val="00DF4B4E"/>
    <w:rsid w:val="00DF4B71"/>
    <w:rsid w:val="00DF4FFC"/>
    <w:rsid w:val="00DF5054"/>
    <w:rsid w:val="00DF534A"/>
    <w:rsid w:val="00DF5467"/>
    <w:rsid w:val="00DF5491"/>
    <w:rsid w:val="00DF56A4"/>
    <w:rsid w:val="00DF5815"/>
    <w:rsid w:val="00DF5914"/>
    <w:rsid w:val="00DF59AE"/>
    <w:rsid w:val="00DF5BAA"/>
    <w:rsid w:val="00DF5CB8"/>
    <w:rsid w:val="00DF5E18"/>
    <w:rsid w:val="00DF60BE"/>
    <w:rsid w:val="00DF6121"/>
    <w:rsid w:val="00DF6194"/>
    <w:rsid w:val="00DF61F5"/>
    <w:rsid w:val="00DF632C"/>
    <w:rsid w:val="00DF64B5"/>
    <w:rsid w:val="00DF65F4"/>
    <w:rsid w:val="00DF6994"/>
    <w:rsid w:val="00DF6A54"/>
    <w:rsid w:val="00DF6B11"/>
    <w:rsid w:val="00DF6FEA"/>
    <w:rsid w:val="00DF721C"/>
    <w:rsid w:val="00DF73EC"/>
    <w:rsid w:val="00DF73F8"/>
    <w:rsid w:val="00DF74DD"/>
    <w:rsid w:val="00DF7703"/>
    <w:rsid w:val="00DF7ABC"/>
    <w:rsid w:val="00DF7B5A"/>
    <w:rsid w:val="00DF7D6F"/>
    <w:rsid w:val="00E000A7"/>
    <w:rsid w:val="00E006AE"/>
    <w:rsid w:val="00E0084B"/>
    <w:rsid w:val="00E009BB"/>
    <w:rsid w:val="00E00ACF"/>
    <w:rsid w:val="00E00B1F"/>
    <w:rsid w:val="00E00E9C"/>
    <w:rsid w:val="00E00FCB"/>
    <w:rsid w:val="00E011A9"/>
    <w:rsid w:val="00E016A6"/>
    <w:rsid w:val="00E01CF5"/>
    <w:rsid w:val="00E01E34"/>
    <w:rsid w:val="00E01ED8"/>
    <w:rsid w:val="00E01FEE"/>
    <w:rsid w:val="00E020D5"/>
    <w:rsid w:val="00E02116"/>
    <w:rsid w:val="00E0279E"/>
    <w:rsid w:val="00E02A22"/>
    <w:rsid w:val="00E02EBA"/>
    <w:rsid w:val="00E02FA6"/>
    <w:rsid w:val="00E02FD4"/>
    <w:rsid w:val="00E0319F"/>
    <w:rsid w:val="00E032C4"/>
    <w:rsid w:val="00E03523"/>
    <w:rsid w:val="00E0364E"/>
    <w:rsid w:val="00E036C8"/>
    <w:rsid w:val="00E043F8"/>
    <w:rsid w:val="00E0469C"/>
    <w:rsid w:val="00E04888"/>
    <w:rsid w:val="00E04965"/>
    <w:rsid w:val="00E04985"/>
    <w:rsid w:val="00E04990"/>
    <w:rsid w:val="00E04A78"/>
    <w:rsid w:val="00E04BAA"/>
    <w:rsid w:val="00E04EF0"/>
    <w:rsid w:val="00E051D7"/>
    <w:rsid w:val="00E052C3"/>
    <w:rsid w:val="00E05373"/>
    <w:rsid w:val="00E05646"/>
    <w:rsid w:val="00E058EA"/>
    <w:rsid w:val="00E05ACB"/>
    <w:rsid w:val="00E05B37"/>
    <w:rsid w:val="00E05D24"/>
    <w:rsid w:val="00E05E54"/>
    <w:rsid w:val="00E05E7E"/>
    <w:rsid w:val="00E06250"/>
    <w:rsid w:val="00E065F0"/>
    <w:rsid w:val="00E06609"/>
    <w:rsid w:val="00E066DA"/>
    <w:rsid w:val="00E066FA"/>
    <w:rsid w:val="00E06774"/>
    <w:rsid w:val="00E06C13"/>
    <w:rsid w:val="00E06CC8"/>
    <w:rsid w:val="00E06E27"/>
    <w:rsid w:val="00E0702A"/>
    <w:rsid w:val="00E07257"/>
    <w:rsid w:val="00E07345"/>
    <w:rsid w:val="00E07721"/>
    <w:rsid w:val="00E07F53"/>
    <w:rsid w:val="00E10223"/>
    <w:rsid w:val="00E10399"/>
    <w:rsid w:val="00E10450"/>
    <w:rsid w:val="00E10827"/>
    <w:rsid w:val="00E10DFD"/>
    <w:rsid w:val="00E11054"/>
    <w:rsid w:val="00E1125C"/>
    <w:rsid w:val="00E1134E"/>
    <w:rsid w:val="00E11416"/>
    <w:rsid w:val="00E1142D"/>
    <w:rsid w:val="00E114DC"/>
    <w:rsid w:val="00E11503"/>
    <w:rsid w:val="00E11565"/>
    <w:rsid w:val="00E11705"/>
    <w:rsid w:val="00E11C61"/>
    <w:rsid w:val="00E11DF5"/>
    <w:rsid w:val="00E11EC2"/>
    <w:rsid w:val="00E11ED4"/>
    <w:rsid w:val="00E1213D"/>
    <w:rsid w:val="00E12786"/>
    <w:rsid w:val="00E12B66"/>
    <w:rsid w:val="00E12BC9"/>
    <w:rsid w:val="00E12DD9"/>
    <w:rsid w:val="00E12E61"/>
    <w:rsid w:val="00E12F43"/>
    <w:rsid w:val="00E1314A"/>
    <w:rsid w:val="00E1318B"/>
    <w:rsid w:val="00E13265"/>
    <w:rsid w:val="00E13406"/>
    <w:rsid w:val="00E135C4"/>
    <w:rsid w:val="00E137E1"/>
    <w:rsid w:val="00E1399B"/>
    <w:rsid w:val="00E139E3"/>
    <w:rsid w:val="00E13A54"/>
    <w:rsid w:val="00E13C4A"/>
    <w:rsid w:val="00E13D5F"/>
    <w:rsid w:val="00E1414B"/>
    <w:rsid w:val="00E144B2"/>
    <w:rsid w:val="00E1456B"/>
    <w:rsid w:val="00E14585"/>
    <w:rsid w:val="00E147B9"/>
    <w:rsid w:val="00E1480D"/>
    <w:rsid w:val="00E14935"/>
    <w:rsid w:val="00E14944"/>
    <w:rsid w:val="00E149E0"/>
    <w:rsid w:val="00E14A54"/>
    <w:rsid w:val="00E14A66"/>
    <w:rsid w:val="00E14B50"/>
    <w:rsid w:val="00E14B91"/>
    <w:rsid w:val="00E14B98"/>
    <w:rsid w:val="00E14CD0"/>
    <w:rsid w:val="00E14F2B"/>
    <w:rsid w:val="00E14F89"/>
    <w:rsid w:val="00E152C3"/>
    <w:rsid w:val="00E1548B"/>
    <w:rsid w:val="00E1550D"/>
    <w:rsid w:val="00E15816"/>
    <w:rsid w:val="00E15971"/>
    <w:rsid w:val="00E15A16"/>
    <w:rsid w:val="00E15A2D"/>
    <w:rsid w:val="00E15BB4"/>
    <w:rsid w:val="00E15D1B"/>
    <w:rsid w:val="00E15D3B"/>
    <w:rsid w:val="00E161D0"/>
    <w:rsid w:val="00E161EC"/>
    <w:rsid w:val="00E1630F"/>
    <w:rsid w:val="00E16368"/>
    <w:rsid w:val="00E1636D"/>
    <w:rsid w:val="00E16422"/>
    <w:rsid w:val="00E16754"/>
    <w:rsid w:val="00E16B19"/>
    <w:rsid w:val="00E16B9E"/>
    <w:rsid w:val="00E16C7B"/>
    <w:rsid w:val="00E16D40"/>
    <w:rsid w:val="00E16D4D"/>
    <w:rsid w:val="00E16DA0"/>
    <w:rsid w:val="00E16E41"/>
    <w:rsid w:val="00E16E98"/>
    <w:rsid w:val="00E16FEC"/>
    <w:rsid w:val="00E16FFD"/>
    <w:rsid w:val="00E174E3"/>
    <w:rsid w:val="00E17801"/>
    <w:rsid w:val="00E17916"/>
    <w:rsid w:val="00E17A0C"/>
    <w:rsid w:val="00E17A54"/>
    <w:rsid w:val="00E17AE0"/>
    <w:rsid w:val="00E2046A"/>
    <w:rsid w:val="00E205ED"/>
    <w:rsid w:val="00E20723"/>
    <w:rsid w:val="00E2078A"/>
    <w:rsid w:val="00E20966"/>
    <w:rsid w:val="00E20A1F"/>
    <w:rsid w:val="00E20A9E"/>
    <w:rsid w:val="00E20BFA"/>
    <w:rsid w:val="00E20D37"/>
    <w:rsid w:val="00E216F5"/>
    <w:rsid w:val="00E21A8A"/>
    <w:rsid w:val="00E21CF4"/>
    <w:rsid w:val="00E21E1F"/>
    <w:rsid w:val="00E228EA"/>
    <w:rsid w:val="00E22995"/>
    <w:rsid w:val="00E22DBF"/>
    <w:rsid w:val="00E22EB8"/>
    <w:rsid w:val="00E22F17"/>
    <w:rsid w:val="00E23202"/>
    <w:rsid w:val="00E23245"/>
    <w:rsid w:val="00E234F9"/>
    <w:rsid w:val="00E2353E"/>
    <w:rsid w:val="00E236F9"/>
    <w:rsid w:val="00E2397C"/>
    <w:rsid w:val="00E23B3A"/>
    <w:rsid w:val="00E23B46"/>
    <w:rsid w:val="00E23CFE"/>
    <w:rsid w:val="00E23D2C"/>
    <w:rsid w:val="00E23F22"/>
    <w:rsid w:val="00E24197"/>
    <w:rsid w:val="00E2441B"/>
    <w:rsid w:val="00E2476E"/>
    <w:rsid w:val="00E248D9"/>
    <w:rsid w:val="00E24A77"/>
    <w:rsid w:val="00E24B88"/>
    <w:rsid w:val="00E24C5C"/>
    <w:rsid w:val="00E24EFD"/>
    <w:rsid w:val="00E24FF7"/>
    <w:rsid w:val="00E251E4"/>
    <w:rsid w:val="00E254A8"/>
    <w:rsid w:val="00E2561A"/>
    <w:rsid w:val="00E256B1"/>
    <w:rsid w:val="00E25760"/>
    <w:rsid w:val="00E25933"/>
    <w:rsid w:val="00E25972"/>
    <w:rsid w:val="00E25C11"/>
    <w:rsid w:val="00E25CC6"/>
    <w:rsid w:val="00E25E9C"/>
    <w:rsid w:val="00E2609C"/>
    <w:rsid w:val="00E26390"/>
    <w:rsid w:val="00E26398"/>
    <w:rsid w:val="00E263B9"/>
    <w:rsid w:val="00E263F3"/>
    <w:rsid w:val="00E26539"/>
    <w:rsid w:val="00E26920"/>
    <w:rsid w:val="00E26C28"/>
    <w:rsid w:val="00E26DD6"/>
    <w:rsid w:val="00E26E53"/>
    <w:rsid w:val="00E26FAA"/>
    <w:rsid w:val="00E27153"/>
    <w:rsid w:val="00E271DC"/>
    <w:rsid w:val="00E2720F"/>
    <w:rsid w:val="00E27341"/>
    <w:rsid w:val="00E27344"/>
    <w:rsid w:val="00E27528"/>
    <w:rsid w:val="00E276AF"/>
    <w:rsid w:val="00E2781E"/>
    <w:rsid w:val="00E27AC8"/>
    <w:rsid w:val="00E27BE5"/>
    <w:rsid w:val="00E27CA9"/>
    <w:rsid w:val="00E27E0E"/>
    <w:rsid w:val="00E3010A"/>
    <w:rsid w:val="00E3016C"/>
    <w:rsid w:val="00E30491"/>
    <w:rsid w:val="00E3083B"/>
    <w:rsid w:val="00E30C51"/>
    <w:rsid w:val="00E31136"/>
    <w:rsid w:val="00E312AB"/>
    <w:rsid w:val="00E317AF"/>
    <w:rsid w:val="00E31A6F"/>
    <w:rsid w:val="00E31CC0"/>
    <w:rsid w:val="00E31F69"/>
    <w:rsid w:val="00E31FAE"/>
    <w:rsid w:val="00E3220C"/>
    <w:rsid w:val="00E3237B"/>
    <w:rsid w:val="00E3255B"/>
    <w:rsid w:val="00E327A9"/>
    <w:rsid w:val="00E328E4"/>
    <w:rsid w:val="00E32907"/>
    <w:rsid w:val="00E32998"/>
    <w:rsid w:val="00E32B4F"/>
    <w:rsid w:val="00E3311B"/>
    <w:rsid w:val="00E3319C"/>
    <w:rsid w:val="00E33531"/>
    <w:rsid w:val="00E33559"/>
    <w:rsid w:val="00E335B5"/>
    <w:rsid w:val="00E33C0C"/>
    <w:rsid w:val="00E33E92"/>
    <w:rsid w:val="00E33F49"/>
    <w:rsid w:val="00E33F58"/>
    <w:rsid w:val="00E33FF1"/>
    <w:rsid w:val="00E34573"/>
    <w:rsid w:val="00E34606"/>
    <w:rsid w:val="00E346AB"/>
    <w:rsid w:val="00E34705"/>
    <w:rsid w:val="00E34720"/>
    <w:rsid w:val="00E34A87"/>
    <w:rsid w:val="00E34B19"/>
    <w:rsid w:val="00E34B27"/>
    <w:rsid w:val="00E34D6F"/>
    <w:rsid w:val="00E34D94"/>
    <w:rsid w:val="00E34DE5"/>
    <w:rsid w:val="00E34E10"/>
    <w:rsid w:val="00E34FF2"/>
    <w:rsid w:val="00E352E2"/>
    <w:rsid w:val="00E353D0"/>
    <w:rsid w:val="00E35489"/>
    <w:rsid w:val="00E354E9"/>
    <w:rsid w:val="00E35590"/>
    <w:rsid w:val="00E359E0"/>
    <w:rsid w:val="00E35B0A"/>
    <w:rsid w:val="00E35B6C"/>
    <w:rsid w:val="00E35BD0"/>
    <w:rsid w:val="00E35DA9"/>
    <w:rsid w:val="00E36074"/>
    <w:rsid w:val="00E360AE"/>
    <w:rsid w:val="00E36119"/>
    <w:rsid w:val="00E3619D"/>
    <w:rsid w:val="00E366F4"/>
    <w:rsid w:val="00E36876"/>
    <w:rsid w:val="00E36A51"/>
    <w:rsid w:val="00E36C3E"/>
    <w:rsid w:val="00E36CF9"/>
    <w:rsid w:val="00E36D04"/>
    <w:rsid w:val="00E36EF9"/>
    <w:rsid w:val="00E36F40"/>
    <w:rsid w:val="00E3715A"/>
    <w:rsid w:val="00E37342"/>
    <w:rsid w:val="00E37485"/>
    <w:rsid w:val="00E3769F"/>
    <w:rsid w:val="00E3781C"/>
    <w:rsid w:val="00E37C32"/>
    <w:rsid w:val="00E37F68"/>
    <w:rsid w:val="00E4008F"/>
    <w:rsid w:val="00E400F9"/>
    <w:rsid w:val="00E403EF"/>
    <w:rsid w:val="00E404A8"/>
    <w:rsid w:val="00E4072D"/>
    <w:rsid w:val="00E4078F"/>
    <w:rsid w:val="00E407A2"/>
    <w:rsid w:val="00E407B2"/>
    <w:rsid w:val="00E4080F"/>
    <w:rsid w:val="00E40AED"/>
    <w:rsid w:val="00E40D3B"/>
    <w:rsid w:val="00E40DEE"/>
    <w:rsid w:val="00E410CB"/>
    <w:rsid w:val="00E410E2"/>
    <w:rsid w:val="00E415CF"/>
    <w:rsid w:val="00E41652"/>
    <w:rsid w:val="00E416DA"/>
    <w:rsid w:val="00E4183F"/>
    <w:rsid w:val="00E418B0"/>
    <w:rsid w:val="00E41998"/>
    <w:rsid w:val="00E41A1E"/>
    <w:rsid w:val="00E41A74"/>
    <w:rsid w:val="00E41A86"/>
    <w:rsid w:val="00E41B33"/>
    <w:rsid w:val="00E41F03"/>
    <w:rsid w:val="00E42110"/>
    <w:rsid w:val="00E421FE"/>
    <w:rsid w:val="00E4252A"/>
    <w:rsid w:val="00E4272F"/>
    <w:rsid w:val="00E42AD9"/>
    <w:rsid w:val="00E4322B"/>
    <w:rsid w:val="00E43289"/>
    <w:rsid w:val="00E437AE"/>
    <w:rsid w:val="00E43866"/>
    <w:rsid w:val="00E43A05"/>
    <w:rsid w:val="00E43AB3"/>
    <w:rsid w:val="00E43C49"/>
    <w:rsid w:val="00E43C63"/>
    <w:rsid w:val="00E44086"/>
    <w:rsid w:val="00E440CC"/>
    <w:rsid w:val="00E440D5"/>
    <w:rsid w:val="00E441F9"/>
    <w:rsid w:val="00E443A1"/>
    <w:rsid w:val="00E4442D"/>
    <w:rsid w:val="00E445D9"/>
    <w:rsid w:val="00E446B0"/>
    <w:rsid w:val="00E4476E"/>
    <w:rsid w:val="00E44BAE"/>
    <w:rsid w:val="00E44DA3"/>
    <w:rsid w:val="00E44F72"/>
    <w:rsid w:val="00E44FD2"/>
    <w:rsid w:val="00E45047"/>
    <w:rsid w:val="00E45049"/>
    <w:rsid w:val="00E45291"/>
    <w:rsid w:val="00E45292"/>
    <w:rsid w:val="00E4538B"/>
    <w:rsid w:val="00E45511"/>
    <w:rsid w:val="00E45830"/>
    <w:rsid w:val="00E458EE"/>
    <w:rsid w:val="00E458FF"/>
    <w:rsid w:val="00E45D3A"/>
    <w:rsid w:val="00E45FC0"/>
    <w:rsid w:val="00E4608A"/>
    <w:rsid w:val="00E46237"/>
    <w:rsid w:val="00E46544"/>
    <w:rsid w:val="00E46656"/>
    <w:rsid w:val="00E466AE"/>
    <w:rsid w:val="00E4670E"/>
    <w:rsid w:val="00E4686B"/>
    <w:rsid w:val="00E46AA6"/>
    <w:rsid w:val="00E46BA0"/>
    <w:rsid w:val="00E47073"/>
    <w:rsid w:val="00E471E7"/>
    <w:rsid w:val="00E474BF"/>
    <w:rsid w:val="00E47C63"/>
    <w:rsid w:val="00E47D73"/>
    <w:rsid w:val="00E47EB4"/>
    <w:rsid w:val="00E47F75"/>
    <w:rsid w:val="00E50240"/>
    <w:rsid w:val="00E50362"/>
    <w:rsid w:val="00E50428"/>
    <w:rsid w:val="00E504C6"/>
    <w:rsid w:val="00E50949"/>
    <w:rsid w:val="00E50952"/>
    <w:rsid w:val="00E50A7B"/>
    <w:rsid w:val="00E50C6C"/>
    <w:rsid w:val="00E50D32"/>
    <w:rsid w:val="00E50DCA"/>
    <w:rsid w:val="00E50FFA"/>
    <w:rsid w:val="00E51052"/>
    <w:rsid w:val="00E5132A"/>
    <w:rsid w:val="00E513E0"/>
    <w:rsid w:val="00E51412"/>
    <w:rsid w:val="00E51669"/>
    <w:rsid w:val="00E5180D"/>
    <w:rsid w:val="00E51880"/>
    <w:rsid w:val="00E5199F"/>
    <w:rsid w:val="00E519F4"/>
    <w:rsid w:val="00E52203"/>
    <w:rsid w:val="00E522D0"/>
    <w:rsid w:val="00E52435"/>
    <w:rsid w:val="00E52546"/>
    <w:rsid w:val="00E527E6"/>
    <w:rsid w:val="00E5285D"/>
    <w:rsid w:val="00E528E2"/>
    <w:rsid w:val="00E52A26"/>
    <w:rsid w:val="00E52A52"/>
    <w:rsid w:val="00E52E08"/>
    <w:rsid w:val="00E52FA8"/>
    <w:rsid w:val="00E53153"/>
    <w:rsid w:val="00E5344B"/>
    <w:rsid w:val="00E53665"/>
    <w:rsid w:val="00E5375F"/>
    <w:rsid w:val="00E53907"/>
    <w:rsid w:val="00E5396C"/>
    <w:rsid w:val="00E53AF9"/>
    <w:rsid w:val="00E53C04"/>
    <w:rsid w:val="00E53DAC"/>
    <w:rsid w:val="00E53F58"/>
    <w:rsid w:val="00E53FD2"/>
    <w:rsid w:val="00E546BE"/>
    <w:rsid w:val="00E546CE"/>
    <w:rsid w:val="00E54AE2"/>
    <w:rsid w:val="00E54B65"/>
    <w:rsid w:val="00E54CE2"/>
    <w:rsid w:val="00E54E40"/>
    <w:rsid w:val="00E54FE3"/>
    <w:rsid w:val="00E550D4"/>
    <w:rsid w:val="00E5512D"/>
    <w:rsid w:val="00E552BA"/>
    <w:rsid w:val="00E555D9"/>
    <w:rsid w:val="00E556A3"/>
    <w:rsid w:val="00E5584D"/>
    <w:rsid w:val="00E55A1F"/>
    <w:rsid w:val="00E55AE4"/>
    <w:rsid w:val="00E55BDD"/>
    <w:rsid w:val="00E55BFF"/>
    <w:rsid w:val="00E55FCF"/>
    <w:rsid w:val="00E5658F"/>
    <w:rsid w:val="00E566EB"/>
    <w:rsid w:val="00E5677F"/>
    <w:rsid w:val="00E56791"/>
    <w:rsid w:val="00E569E5"/>
    <w:rsid w:val="00E56D32"/>
    <w:rsid w:val="00E56F0A"/>
    <w:rsid w:val="00E56F71"/>
    <w:rsid w:val="00E57062"/>
    <w:rsid w:val="00E570D1"/>
    <w:rsid w:val="00E571DE"/>
    <w:rsid w:val="00E5733A"/>
    <w:rsid w:val="00E57409"/>
    <w:rsid w:val="00E57C4C"/>
    <w:rsid w:val="00E57E36"/>
    <w:rsid w:val="00E57F26"/>
    <w:rsid w:val="00E603DB"/>
    <w:rsid w:val="00E60803"/>
    <w:rsid w:val="00E60C34"/>
    <w:rsid w:val="00E60C75"/>
    <w:rsid w:val="00E60DC0"/>
    <w:rsid w:val="00E60E7E"/>
    <w:rsid w:val="00E60EB1"/>
    <w:rsid w:val="00E61039"/>
    <w:rsid w:val="00E610C1"/>
    <w:rsid w:val="00E61174"/>
    <w:rsid w:val="00E61503"/>
    <w:rsid w:val="00E616A4"/>
    <w:rsid w:val="00E617C9"/>
    <w:rsid w:val="00E61927"/>
    <w:rsid w:val="00E61A28"/>
    <w:rsid w:val="00E62018"/>
    <w:rsid w:val="00E62069"/>
    <w:rsid w:val="00E623CA"/>
    <w:rsid w:val="00E624D3"/>
    <w:rsid w:val="00E625F5"/>
    <w:rsid w:val="00E627F9"/>
    <w:rsid w:val="00E62AD6"/>
    <w:rsid w:val="00E62C05"/>
    <w:rsid w:val="00E62C6A"/>
    <w:rsid w:val="00E6321B"/>
    <w:rsid w:val="00E6340F"/>
    <w:rsid w:val="00E639F7"/>
    <w:rsid w:val="00E63EDA"/>
    <w:rsid w:val="00E63F09"/>
    <w:rsid w:val="00E6403B"/>
    <w:rsid w:val="00E640B8"/>
    <w:rsid w:val="00E641D7"/>
    <w:rsid w:val="00E64776"/>
    <w:rsid w:val="00E64B50"/>
    <w:rsid w:val="00E64CBC"/>
    <w:rsid w:val="00E64DF6"/>
    <w:rsid w:val="00E64E40"/>
    <w:rsid w:val="00E64EA5"/>
    <w:rsid w:val="00E64F2F"/>
    <w:rsid w:val="00E65023"/>
    <w:rsid w:val="00E65150"/>
    <w:rsid w:val="00E65179"/>
    <w:rsid w:val="00E6531B"/>
    <w:rsid w:val="00E6534D"/>
    <w:rsid w:val="00E65445"/>
    <w:rsid w:val="00E65619"/>
    <w:rsid w:val="00E657B7"/>
    <w:rsid w:val="00E6594A"/>
    <w:rsid w:val="00E65A4D"/>
    <w:rsid w:val="00E66148"/>
    <w:rsid w:val="00E66BBD"/>
    <w:rsid w:val="00E66D91"/>
    <w:rsid w:val="00E66DC5"/>
    <w:rsid w:val="00E66E0F"/>
    <w:rsid w:val="00E66E85"/>
    <w:rsid w:val="00E67005"/>
    <w:rsid w:val="00E67336"/>
    <w:rsid w:val="00E67499"/>
    <w:rsid w:val="00E67772"/>
    <w:rsid w:val="00E67BE7"/>
    <w:rsid w:val="00E67C1C"/>
    <w:rsid w:val="00E67CBC"/>
    <w:rsid w:val="00E67E0B"/>
    <w:rsid w:val="00E7003B"/>
    <w:rsid w:val="00E701B2"/>
    <w:rsid w:val="00E704C7"/>
    <w:rsid w:val="00E70871"/>
    <w:rsid w:val="00E7088D"/>
    <w:rsid w:val="00E70A14"/>
    <w:rsid w:val="00E71192"/>
    <w:rsid w:val="00E711B0"/>
    <w:rsid w:val="00E712BE"/>
    <w:rsid w:val="00E71597"/>
    <w:rsid w:val="00E71DF1"/>
    <w:rsid w:val="00E71E5E"/>
    <w:rsid w:val="00E71EDF"/>
    <w:rsid w:val="00E71F26"/>
    <w:rsid w:val="00E71F4A"/>
    <w:rsid w:val="00E722F4"/>
    <w:rsid w:val="00E72313"/>
    <w:rsid w:val="00E72430"/>
    <w:rsid w:val="00E7259D"/>
    <w:rsid w:val="00E72EDA"/>
    <w:rsid w:val="00E72F88"/>
    <w:rsid w:val="00E733B3"/>
    <w:rsid w:val="00E733E4"/>
    <w:rsid w:val="00E737C2"/>
    <w:rsid w:val="00E737F8"/>
    <w:rsid w:val="00E7380A"/>
    <w:rsid w:val="00E73906"/>
    <w:rsid w:val="00E7403F"/>
    <w:rsid w:val="00E7416F"/>
    <w:rsid w:val="00E7457E"/>
    <w:rsid w:val="00E7460F"/>
    <w:rsid w:val="00E74AF0"/>
    <w:rsid w:val="00E74B79"/>
    <w:rsid w:val="00E74C45"/>
    <w:rsid w:val="00E74D40"/>
    <w:rsid w:val="00E75223"/>
    <w:rsid w:val="00E75349"/>
    <w:rsid w:val="00E7539D"/>
    <w:rsid w:val="00E755AD"/>
    <w:rsid w:val="00E756AC"/>
    <w:rsid w:val="00E75791"/>
    <w:rsid w:val="00E7597C"/>
    <w:rsid w:val="00E75EDD"/>
    <w:rsid w:val="00E76161"/>
    <w:rsid w:val="00E765BA"/>
    <w:rsid w:val="00E765BE"/>
    <w:rsid w:val="00E765EF"/>
    <w:rsid w:val="00E7665A"/>
    <w:rsid w:val="00E76702"/>
    <w:rsid w:val="00E76859"/>
    <w:rsid w:val="00E76993"/>
    <w:rsid w:val="00E76EF8"/>
    <w:rsid w:val="00E77032"/>
    <w:rsid w:val="00E77335"/>
    <w:rsid w:val="00E7766C"/>
    <w:rsid w:val="00E776D6"/>
    <w:rsid w:val="00E77718"/>
    <w:rsid w:val="00E7780F"/>
    <w:rsid w:val="00E779DA"/>
    <w:rsid w:val="00E77A19"/>
    <w:rsid w:val="00E77B73"/>
    <w:rsid w:val="00E77CEB"/>
    <w:rsid w:val="00E77D06"/>
    <w:rsid w:val="00E77FE2"/>
    <w:rsid w:val="00E80153"/>
    <w:rsid w:val="00E80268"/>
    <w:rsid w:val="00E8089B"/>
    <w:rsid w:val="00E808D8"/>
    <w:rsid w:val="00E808EC"/>
    <w:rsid w:val="00E811C9"/>
    <w:rsid w:val="00E81358"/>
    <w:rsid w:val="00E8157A"/>
    <w:rsid w:val="00E8190F"/>
    <w:rsid w:val="00E82015"/>
    <w:rsid w:val="00E82365"/>
    <w:rsid w:val="00E82637"/>
    <w:rsid w:val="00E82B34"/>
    <w:rsid w:val="00E82C99"/>
    <w:rsid w:val="00E82F5A"/>
    <w:rsid w:val="00E8330D"/>
    <w:rsid w:val="00E83413"/>
    <w:rsid w:val="00E834BE"/>
    <w:rsid w:val="00E835FD"/>
    <w:rsid w:val="00E836DE"/>
    <w:rsid w:val="00E838CC"/>
    <w:rsid w:val="00E83CE9"/>
    <w:rsid w:val="00E83DB6"/>
    <w:rsid w:val="00E83F4F"/>
    <w:rsid w:val="00E83F69"/>
    <w:rsid w:val="00E8415D"/>
    <w:rsid w:val="00E841BF"/>
    <w:rsid w:val="00E84588"/>
    <w:rsid w:val="00E845AC"/>
    <w:rsid w:val="00E847FA"/>
    <w:rsid w:val="00E84945"/>
    <w:rsid w:val="00E849A7"/>
    <w:rsid w:val="00E84DC5"/>
    <w:rsid w:val="00E8504F"/>
    <w:rsid w:val="00E850EE"/>
    <w:rsid w:val="00E852BB"/>
    <w:rsid w:val="00E854A1"/>
    <w:rsid w:val="00E855A0"/>
    <w:rsid w:val="00E855E6"/>
    <w:rsid w:val="00E85BD9"/>
    <w:rsid w:val="00E85D92"/>
    <w:rsid w:val="00E85E5A"/>
    <w:rsid w:val="00E85E72"/>
    <w:rsid w:val="00E85F89"/>
    <w:rsid w:val="00E86018"/>
    <w:rsid w:val="00E86170"/>
    <w:rsid w:val="00E86178"/>
    <w:rsid w:val="00E86189"/>
    <w:rsid w:val="00E861E5"/>
    <w:rsid w:val="00E86200"/>
    <w:rsid w:val="00E8645B"/>
    <w:rsid w:val="00E86621"/>
    <w:rsid w:val="00E86804"/>
    <w:rsid w:val="00E869F7"/>
    <w:rsid w:val="00E86B4A"/>
    <w:rsid w:val="00E86CCA"/>
    <w:rsid w:val="00E86D54"/>
    <w:rsid w:val="00E86E32"/>
    <w:rsid w:val="00E86E44"/>
    <w:rsid w:val="00E8703A"/>
    <w:rsid w:val="00E87127"/>
    <w:rsid w:val="00E871C2"/>
    <w:rsid w:val="00E87485"/>
    <w:rsid w:val="00E87757"/>
    <w:rsid w:val="00E8789B"/>
    <w:rsid w:val="00E87A7E"/>
    <w:rsid w:val="00E87B6C"/>
    <w:rsid w:val="00E87C6F"/>
    <w:rsid w:val="00E87D1B"/>
    <w:rsid w:val="00E87E75"/>
    <w:rsid w:val="00E906F8"/>
    <w:rsid w:val="00E90713"/>
    <w:rsid w:val="00E90719"/>
    <w:rsid w:val="00E90A0A"/>
    <w:rsid w:val="00E90B4B"/>
    <w:rsid w:val="00E90BA1"/>
    <w:rsid w:val="00E90CAA"/>
    <w:rsid w:val="00E90E5F"/>
    <w:rsid w:val="00E91086"/>
    <w:rsid w:val="00E910DA"/>
    <w:rsid w:val="00E91330"/>
    <w:rsid w:val="00E91511"/>
    <w:rsid w:val="00E915B1"/>
    <w:rsid w:val="00E91682"/>
    <w:rsid w:val="00E91CF0"/>
    <w:rsid w:val="00E91DD9"/>
    <w:rsid w:val="00E91EAB"/>
    <w:rsid w:val="00E921BA"/>
    <w:rsid w:val="00E92296"/>
    <w:rsid w:val="00E9239E"/>
    <w:rsid w:val="00E923C0"/>
    <w:rsid w:val="00E9264B"/>
    <w:rsid w:val="00E929EE"/>
    <w:rsid w:val="00E92A52"/>
    <w:rsid w:val="00E92DE6"/>
    <w:rsid w:val="00E93078"/>
    <w:rsid w:val="00E93803"/>
    <w:rsid w:val="00E93825"/>
    <w:rsid w:val="00E93B6F"/>
    <w:rsid w:val="00E93F2E"/>
    <w:rsid w:val="00E94192"/>
    <w:rsid w:val="00E9429A"/>
    <w:rsid w:val="00E943C9"/>
    <w:rsid w:val="00E9462B"/>
    <w:rsid w:val="00E94788"/>
    <w:rsid w:val="00E94836"/>
    <w:rsid w:val="00E94B8A"/>
    <w:rsid w:val="00E94D40"/>
    <w:rsid w:val="00E95321"/>
    <w:rsid w:val="00E95323"/>
    <w:rsid w:val="00E95447"/>
    <w:rsid w:val="00E955DF"/>
    <w:rsid w:val="00E95C29"/>
    <w:rsid w:val="00E95C7D"/>
    <w:rsid w:val="00E95E85"/>
    <w:rsid w:val="00E95F7D"/>
    <w:rsid w:val="00E96139"/>
    <w:rsid w:val="00E96198"/>
    <w:rsid w:val="00E962A9"/>
    <w:rsid w:val="00E96348"/>
    <w:rsid w:val="00E9643E"/>
    <w:rsid w:val="00E96493"/>
    <w:rsid w:val="00E96621"/>
    <w:rsid w:val="00E966B7"/>
    <w:rsid w:val="00E967C5"/>
    <w:rsid w:val="00E967D7"/>
    <w:rsid w:val="00E9711C"/>
    <w:rsid w:val="00E972FC"/>
    <w:rsid w:val="00E9740B"/>
    <w:rsid w:val="00E97529"/>
    <w:rsid w:val="00E97578"/>
    <w:rsid w:val="00E975F8"/>
    <w:rsid w:val="00E97614"/>
    <w:rsid w:val="00E977A0"/>
    <w:rsid w:val="00E97AA6"/>
    <w:rsid w:val="00E97AAE"/>
    <w:rsid w:val="00E97BD7"/>
    <w:rsid w:val="00EA00D3"/>
    <w:rsid w:val="00EA0184"/>
    <w:rsid w:val="00EA04F7"/>
    <w:rsid w:val="00EA0522"/>
    <w:rsid w:val="00EA067F"/>
    <w:rsid w:val="00EA07DE"/>
    <w:rsid w:val="00EA0AB3"/>
    <w:rsid w:val="00EA0C65"/>
    <w:rsid w:val="00EA0CB3"/>
    <w:rsid w:val="00EA0E26"/>
    <w:rsid w:val="00EA0EC0"/>
    <w:rsid w:val="00EA1064"/>
    <w:rsid w:val="00EA152D"/>
    <w:rsid w:val="00EA1905"/>
    <w:rsid w:val="00EA19CB"/>
    <w:rsid w:val="00EA1BC7"/>
    <w:rsid w:val="00EA201A"/>
    <w:rsid w:val="00EA2166"/>
    <w:rsid w:val="00EA22C6"/>
    <w:rsid w:val="00EA236E"/>
    <w:rsid w:val="00EA2500"/>
    <w:rsid w:val="00EA2611"/>
    <w:rsid w:val="00EA2A8E"/>
    <w:rsid w:val="00EA2B68"/>
    <w:rsid w:val="00EA2C46"/>
    <w:rsid w:val="00EA2DFF"/>
    <w:rsid w:val="00EA2F71"/>
    <w:rsid w:val="00EA3171"/>
    <w:rsid w:val="00EA3408"/>
    <w:rsid w:val="00EA3410"/>
    <w:rsid w:val="00EA3524"/>
    <w:rsid w:val="00EA370F"/>
    <w:rsid w:val="00EA3855"/>
    <w:rsid w:val="00EA3B9C"/>
    <w:rsid w:val="00EA3D78"/>
    <w:rsid w:val="00EA3E88"/>
    <w:rsid w:val="00EA4045"/>
    <w:rsid w:val="00EA413A"/>
    <w:rsid w:val="00EA4394"/>
    <w:rsid w:val="00EA454E"/>
    <w:rsid w:val="00EA4632"/>
    <w:rsid w:val="00EA480D"/>
    <w:rsid w:val="00EA4C2B"/>
    <w:rsid w:val="00EA4D62"/>
    <w:rsid w:val="00EA4E10"/>
    <w:rsid w:val="00EA4E4B"/>
    <w:rsid w:val="00EA4F3D"/>
    <w:rsid w:val="00EA5050"/>
    <w:rsid w:val="00EA521C"/>
    <w:rsid w:val="00EA5404"/>
    <w:rsid w:val="00EA549B"/>
    <w:rsid w:val="00EA55B0"/>
    <w:rsid w:val="00EA58E4"/>
    <w:rsid w:val="00EA5BCD"/>
    <w:rsid w:val="00EA5DF6"/>
    <w:rsid w:val="00EA5EA8"/>
    <w:rsid w:val="00EA5F7D"/>
    <w:rsid w:val="00EA60EF"/>
    <w:rsid w:val="00EA61E3"/>
    <w:rsid w:val="00EA61E9"/>
    <w:rsid w:val="00EA63C2"/>
    <w:rsid w:val="00EA63C6"/>
    <w:rsid w:val="00EA695E"/>
    <w:rsid w:val="00EA6B32"/>
    <w:rsid w:val="00EA6D03"/>
    <w:rsid w:val="00EA7394"/>
    <w:rsid w:val="00EA7B21"/>
    <w:rsid w:val="00EA7B86"/>
    <w:rsid w:val="00EA7E52"/>
    <w:rsid w:val="00EA7E8C"/>
    <w:rsid w:val="00EA7E99"/>
    <w:rsid w:val="00EB02C2"/>
    <w:rsid w:val="00EB03D7"/>
    <w:rsid w:val="00EB0448"/>
    <w:rsid w:val="00EB096B"/>
    <w:rsid w:val="00EB0988"/>
    <w:rsid w:val="00EB0BE2"/>
    <w:rsid w:val="00EB0CC0"/>
    <w:rsid w:val="00EB0FFA"/>
    <w:rsid w:val="00EB108D"/>
    <w:rsid w:val="00EB1226"/>
    <w:rsid w:val="00EB1366"/>
    <w:rsid w:val="00EB140B"/>
    <w:rsid w:val="00EB1553"/>
    <w:rsid w:val="00EB1564"/>
    <w:rsid w:val="00EB17D1"/>
    <w:rsid w:val="00EB1AC4"/>
    <w:rsid w:val="00EB1D44"/>
    <w:rsid w:val="00EB1E90"/>
    <w:rsid w:val="00EB1EB8"/>
    <w:rsid w:val="00EB1F66"/>
    <w:rsid w:val="00EB1FE8"/>
    <w:rsid w:val="00EB2008"/>
    <w:rsid w:val="00EB23AE"/>
    <w:rsid w:val="00EB2824"/>
    <w:rsid w:val="00EB286A"/>
    <w:rsid w:val="00EB2899"/>
    <w:rsid w:val="00EB28B3"/>
    <w:rsid w:val="00EB2ABB"/>
    <w:rsid w:val="00EB2F17"/>
    <w:rsid w:val="00EB30F4"/>
    <w:rsid w:val="00EB3616"/>
    <w:rsid w:val="00EB3AD2"/>
    <w:rsid w:val="00EB3B3D"/>
    <w:rsid w:val="00EB3C09"/>
    <w:rsid w:val="00EB3CD3"/>
    <w:rsid w:val="00EB3FE4"/>
    <w:rsid w:val="00EB4131"/>
    <w:rsid w:val="00EB4161"/>
    <w:rsid w:val="00EB48E1"/>
    <w:rsid w:val="00EB4EC4"/>
    <w:rsid w:val="00EB53AC"/>
    <w:rsid w:val="00EB56D7"/>
    <w:rsid w:val="00EB59F0"/>
    <w:rsid w:val="00EB5AE2"/>
    <w:rsid w:val="00EB5F00"/>
    <w:rsid w:val="00EB60FD"/>
    <w:rsid w:val="00EB61E6"/>
    <w:rsid w:val="00EB6200"/>
    <w:rsid w:val="00EB6202"/>
    <w:rsid w:val="00EB657B"/>
    <w:rsid w:val="00EB6819"/>
    <w:rsid w:val="00EB6841"/>
    <w:rsid w:val="00EB68E7"/>
    <w:rsid w:val="00EB6950"/>
    <w:rsid w:val="00EB6C76"/>
    <w:rsid w:val="00EB6CAC"/>
    <w:rsid w:val="00EB6E97"/>
    <w:rsid w:val="00EB6FE1"/>
    <w:rsid w:val="00EB7029"/>
    <w:rsid w:val="00EB7374"/>
    <w:rsid w:val="00EB73E0"/>
    <w:rsid w:val="00EB76DB"/>
    <w:rsid w:val="00EB7AEC"/>
    <w:rsid w:val="00EB7C60"/>
    <w:rsid w:val="00EB7D31"/>
    <w:rsid w:val="00EC02C1"/>
    <w:rsid w:val="00EC08A8"/>
    <w:rsid w:val="00EC09FF"/>
    <w:rsid w:val="00EC0C96"/>
    <w:rsid w:val="00EC0CCD"/>
    <w:rsid w:val="00EC0D8C"/>
    <w:rsid w:val="00EC101B"/>
    <w:rsid w:val="00EC121E"/>
    <w:rsid w:val="00EC12E4"/>
    <w:rsid w:val="00EC1D4C"/>
    <w:rsid w:val="00EC2259"/>
    <w:rsid w:val="00EC2464"/>
    <w:rsid w:val="00EC24F4"/>
    <w:rsid w:val="00EC24F5"/>
    <w:rsid w:val="00EC251C"/>
    <w:rsid w:val="00EC2622"/>
    <w:rsid w:val="00EC2647"/>
    <w:rsid w:val="00EC2656"/>
    <w:rsid w:val="00EC2CAE"/>
    <w:rsid w:val="00EC33A6"/>
    <w:rsid w:val="00EC3461"/>
    <w:rsid w:val="00EC34E0"/>
    <w:rsid w:val="00EC3B50"/>
    <w:rsid w:val="00EC3F5A"/>
    <w:rsid w:val="00EC4151"/>
    <w:rsid w:val="00EC41D0"/>
    <w:rsid w:val="00EC425C"/>
    <w:rsid w:val="00EC43E3"/>
    <w:rsid w:val="00EC4472"/>
    <w:rsid w:val="00EC465C"/>
    <w:rsid w:val="00EC4876"/>
    <w:rsid w:val="00EC49B7"/>
    <w:rsid w:val="00EC4A2A"/>
    <w:rsid w:val="00EC4B1B"/>
    <w:rsid w:val="00EC4D08"/>
    <w:rsid w:val="00EC4D86"/>
    <w:rsid w:val="00EC50AE"/>
    <w:rsid w:val="00EC52BE"/>
    <w:rsid w:val="00EC54CD"/>
    <w:rsid w:val="00EC5570"/>
    <w:rsid w:val="00EC57DC"/>
    <w:rsid w:val="00EC5819"/>
    <w:rsid w:val="00EC58C0"/>
    <w:rsid w:val="00EC596F"/>
    <w:rsid w:val="00EC5C72"/>
    <w:rsid w:val="00EC601A"/>
    <w:rsid w:val="00EC6195"/>
    <w:rsid w:val="00EC6318"/>
    <w:rsid w:val="00EC6396"/>
    <w:rsid w:val="00EC64BF"/>
    <w:rsid w:val="00EC66A9"/>
    <w:rsid w:val="00EC67A1"/>
    <w:rsid w:val="00EC6973"/>
    <w:rsid w:val="00EC6A71"/>
    <w:rsid w:val="00EC6BFD"/>
    <w:rsid w:val="00EC70F9"/>
    <w:rsid w:val="00EC7185"/>
    <w:rsid w:val="00EC770F"/>
    <w:rsid w:val="00EC7B06"/>
    <w:rsid w:val="00EC7EE0"/>
    <w:rsid w:val="00EC7FA6"/>
    <w:rsid w:val="00ED001D"/>
    <w:rsid w:val="00ED0061"/>
    <w:rsid w:val="00ED016A"/>
    <w:rsid w:val="00ED0702"/>
    <w:rsid w:val="00ED073B"/>
    <w:rsid w:val="00ED07C3"/>
    <w:rsid w:val="00ED082B"/>
    <w:rsid w:val="00ED0884"/>
    <w:rsid w:val="00ED0989"/>
    <w:rsid w:val="00ED0C51"/>
    <w:rsid w:val="00ED0C61"/>
    <w:rsid w:val="00ED1324"/>
    <w:rsid w:val="00ED1563"/>
    <w:rsid w:val="00ED1778"/>
    <w:rsid w:val="00ED1918"/>
    <w:rsid w:val="00ED1B25"/>
    <w:rsid w:val="00ED1CC3"/>
    <w:rsid w:val="00ED1E4D"/>
    <w:rsid w:val="00ED1FD2"/>
    <w:rsid w:val="00ED2188"/>
    <w:rsid w:val="00ED231D"/>
    <w:rsid w:val="00ED2596"/>
    <w:rsid w:val="00ED25EA"/>
    <w:rsid w:val="00ED2673"/>
    <w:rsid w:val="00ED28E6"/>
    <w:rsid w:val="00ED29BA"/>
    <w:rsid w:val="00ED2A69"/>
    <w:rsid w:val="00ED2A79"/>
    <w:rsid w:val="00ED2E46"/>
    <w:rsid w:val="00ED2F25"/>
    <w:rsid w:val="00ED2FB8"/>
    <w:rsid w:val="00ED3719"/>
    <w:rsid w:val="00ED3902"/>
    <w:rsid w:val="00ED3A67"/>
    <w:rsid w:val="00ED3BFA"/>
    <w:rsid w:val="00ED3E84"/>
    <w:rsid w:val="00ED3ECD"/>
    <w:rsid w:val="00ED4069"/>
    <w:rsid w:val="00ED4191"/>
    <w:rsid w:val="00ED439A"/>
    <w:rsid w:val="00ED443C"/>
    <w:rsid w:val="00ED468A"/>
    <w:rsid w:val="00ED4826"/>
    <w:rsid w:val="00ED4844"/>
    <w:rsid w:val="00ED4D66"/>
    <w:rsid w:val="00ED4DBE"/>
    <w:rsid w:val="00ED4FA1"/>
    <w:rsid w:val="00ED4FEF"/>
    <w:rsid w:val="00ED5612"/>
    <w:rsid w:val="00ED574B"/>
    <w:rsid w:val="00ED57A7"/>
    <w:rsid w:val="00ED5DAB"/>
    <w:rsid w:val="00ED5E53"/>
    <w:rsid w:val="00ED5F9F"/>
    <w:rsid w:val="00ED60B4"/>
    <w:rsid w:val="00ED6134"/>
    <w:rsid w:val="00ED6213"/>
    <w:rsid w:val="00ED62D8"/>
    <w:rsid w:val="00ED6380"/>
    <w:rsid w:val="00ED647F"/>
    <w:rsid w:val="00ED6776"/>
    <w:rsid w:val="00ED693C"/>
    <w:rsid w:val="00ED697E"/>
    <w:rsid w:val="00ED6AFC"/>
    <w:rsid w:val="00ED6C4A"/>
    <w:rsid w:val="00ED6D14"/>
    <w:rsid w:val="00ED72D4"/>
    <w:rsid w:val="00ED75BC"/>
    <w:rsid w:val="00ED7756"/>
    <w:rsid w:val="00ED77C9"/>
    <w:rsid w:val="00ED7911"/>
    <w:rsid w:val="00ED7949"/>
    <w:rsid w:val="00ED7BA0"/>
    <w:rsid w:val="00ED7C26"/>
    <w:rsid w:val="00ED7CDD"/>
    <w:rsid w:val="00ED7D47"/>
    <w:rsid w:val="00ED7DD0"/>
    <w:rsid w:val="00EE00B1"/>
    <w:rsid w:val="00EE02FF"/>
    <w:rsid w:val="00EE044D"/>
    <w:rsid w:val="00EE0A0D"/>
    <w:rsid w:val="00EE0B16"/>
    <w:rsid w:val="00EE126C"/>
    <w:rsid w:val="00EE1607"/>
    <w:rsid w:val="00EE19E8"/>
    <w:rsid w:val="00EE1A9C"/>
    <w:rsid w:val="00EE1B24"/>
    <w:rsid w:val="00EE1C01"/>
    <w:rsid w:val="00EE1C1D"/>
    <w:rsid w:val="00EE1E5A"/>
    <w:rsid w:val="00EE204A"/>
    <w:rsid w:val="00EE2356"/>
    <w:rsid w:val="00EE238B"/>
    <w:rsid w:val="00EE26E4"/>
    <w:rsid w:val="00EE282B"/>
    <w:rsid w:val="00EE29E7"/>
    <w:rsid w:val="00EE2AAF"/>
    <w:rsid w:val="00EE2AE6"/>
    <w:rsid w:val="00EE2B16"/>
    <w:rsid w:val="00EE2BC5"/>
    <w:rsid w:val="00EE2D56"/>
    <w:rsid w:val="00EE2F19"/>
    <w:rsid w:val="00EE30EA"/>
    <w:rsid w:val="00EE34D6"/>
    <w:rsid w:val="00EE3831"/>
    <w:rsid w:val="00EE3853"/>
    <w:rsid w:val="00EE3881"/>
    <w:rsid w:val="00EE3C10"/>
    <w:rsid w:val="00EE3CC9"/>
    <w:rsid w:val="00EE3DB3"/>
    <w:rsid w:val="00EE3EC4"/>
    <w:rsid w:val="00EE3F8D"/>
    <w:rsid w:val="00EE3FC2"/>
    <w:rsid w:val="00EE3FDC"/>
    <w:rsid w:val="00EE3FFD"/>
    <w:rsid w:val="00EE4953"/>
    <w:rsid w:val="00EE4E2B"/>
    <w:rsid w:val="00EE4EFB"/>
    <w:rsid w:val="00EE4FFD"/>
    <w:rsid w:val="00EE5189"/>
    <w:rsid w:val="00EE54D3"/>
    <w:rsid w:val="00EE556B"/>
    <w:rsid w:val="00EE5603"/>
    <w:rsid w:val="00EE5691"/>
    <w:rsid w:val="00EE56C0"/>
    <w:rsid w:val="00EE5748"/>
    <w:rsid w:val="00EE57A2"/>
    <w:rsid w:val="00EE5AA6"/>
    <w:rsid w:val="00EE5B68"/>
    <w:rsid w:val="00EE5D50"/>
    <w:rsid w:val="00EE5E79"/>
    <w:rsid w:val="00EE5F3A"/>
    <w:rsid w:val="00EE6012"/>
    <w:rsid w:val="00EE60D2"/>
    <w:rsid w:val="00EE617E"/>
    <w:rsid w:val="00EE6868"/>
    <w:rsid w:val="00EE6FCF"/>
    <w:rsid w:val="00EE7082"/>
    <w:rsid w:val="00EE7754"/>
    <w:rsid w:val="00EE78C9"/>
    <w:rsid w:val="00EE7939"/>
    <w:rsid w:val="00EE7B04"/>
    <w:rsid w:val="00EE7C1D"/>
    <w:rsid w:val="00EE7E48"/>
    <w:rsid w:val="00EE7F1C"/>
    <w:rsid w:val="00EF037F"/>
    <w:rsid w:val="00EF039D"/>
    <w:rsid w:val="00EF04CA"/>
    <w:rsid w:val="00EF06AF"/>
    <w:rsid w:val="00EF06F4"/>
    <w:rsid w:val="00EF0FF6"/>
    <w:rsid w:val="00EF102C"/>
    <w:rsid w:val="00EF11FF"/>
    <w:rsid w:val="00EF12AB"/>
    <w:rsid w:val="00EF1734"/>
    <w:rsid w:val="00EF1D05"/>
    <w:rsid w:val="00EF1E20"/>
    <w:rsid w:val="00EF1ED8"/>
    <w:rsid w:val="00EF215E"/>
    <w:rsid w:val="00EF21A1"/>
    <w:rsid w:val="00EF21D9"/>
    <w:rsid w:val="00EF26C7"/>
    <w:rsid w:val="00EF29DC"/>
    <w:rsid w:val="00EF2E08"/>
    <w:rsid w:val="00EF2E74"/>
    <w:rsid w:val="00EF2EC2"/>
    <w:rsid w:val="00EF3000"/>
    <w:rsid w:val="00EF31A2"/>
    <w:rsid w:val="00EF32CF"/>
    <w:rsid w:val="00EF332E"/>
    <w:rsid w:val="00EF3835"/>
    <w:rsid w:val="00EF38FC"/>
    <w:rsid w:val="00EF3A5C"/>
    <w:rsid w:val="00EF3B2C"/>
    <w:rsid w:val="00EF3B4F"/>
    <w:rsid w:val="00EF3F33"/>
    <w:rsid w:val="00EF40F0"/>
    <w:rsid w:val="00EF41A5"/>
    <w:rsid w:val="00EF43CC"/>
    <w:rsid w:val="00EF444B"/>
    <w:rsid w:val="00EF490A"/>
    <w:rsid w:val="00EF49D9"/>
    <w:rsid w:val="00EF4C06"/>
    <w:rsid w:val="00EF4C6D"/>
    <w:rsid w:val="00EF4D52"/>
    <w:rsid w:val="00EF5226"/>
    <w:rsid w:val="00EF539E"/>
    <w:rsid w:val="00EF5449"/>
    <w:rsid w:val="00EF55CE"/>
    <w:rsid w:val="00EF56AD"/>
    <w:rsid w:val="00EF5BB6"/>
    <w:rsid w:val="00EF5D7B"/>
    <w:rsid w:val="00EF5ECA"/>
    <w:rsid w:val="00EF60D8"/>
    <w:rsid w:val="00EF6288"/>
    <w:rsid w:val="00EF636E"/>
    <w:rsid w:val="00EF64F7"/>
    <w:rsid w:val="00EF675B"/>
    <w:rsid w:val="00EF67D7"/>
    <w:rsid w:val="00EF68F5"/>
    <w:rsid w:val="00EF6933"/>
    <w:rsid w:val="00EF6B03"/>
    <w:rsid w:val="00EF6D26"/>
    <w:rsid w:val="00EF6ED6"/>
    <w:rsid w:val="00EF6FEE"/>
    <w:rsid w:val="00EF718B"/>
    <w:rsid w:val="00EF71C2"/>
    <w:rsid w:val="00EF74A6"/>
    <w:rsid w:val="00EF761B"/>
    <w:rsid w:val="00EF769E"/>
    <w:rsid w:val="00EF7824"/>
    <w:rsid w:val="00EF7AF6"/>
    <w:rsid w:val="00EF7B6E"/>
    <w:rsid w:val="00F00040"/>
    <w:rsid w:val="00F0012D"/>
    <w:rsid w:val="00F00280"/>
    <w:rsid w:val="00F00398"/>
    <w:rsid w:val="00F0079D"/>
    <w:rsid w:val="00F007AC"/>
    <w:rsid w:val="00F0087D"/>
    <w:rsid w:val="00F009C0"/>
    <w:rsid w:val="00F00C4D"/>
    <w:rsid w:val="00F00D14"/>
    <w:rsid w:val="00F00D64"/>
    <w:rsid w:val="00F00E4E"/>
    <w:rsid w:val="00F011B7"/>
    <w:rsid w:val="00F012EB"/>
    <w:rsid w:val="00F0179E"/>
    <w:rsid w:val="00F01C8C"/>
    <w:rsid w:val="00F01DD2"/>
    <w:rsid w:val="00F01E0D"/>
    <w:rsid w:val="00F01F38"/>
    <w:rsid w:val="00F02183"/>
    <w:rsid w:val="00F027BC"/>
    <w:rsid w:val="00F029F5"/>
    <w:rsid w:val="00F02D71"/>
    <w:rsid w:val="00F02DF3"/>
    <w:rsid w:val="00F03077"/>
    <w:rsid w:val="00F0308E"/>
    <w:rsid w:val="00F03282"/>
    <w:rsid w:val="00F032A7"/>
    <w:rsid w:val="00F0330F"/>
    <w:rsid w:val="00F03387"/>
    <w:rsid w:val="00F03446"/>
    <w:rsid w:val="00F0371A"/>
    <w:rsid w:val="00F037BE"/>
    <w:rsid w:val="00F03828"/>
    <w:rsid w:val="00F03864"/>
    <w:rsid w:val="00F03ADD"/>
    <w:rsid w:val="00F03B6F"/>
    <w:rsid w:val="00F03BC9"/>
    <w:rsid w:val="00F03F11"/>
    <w:rsid w:val="00F03F41"/>
    <w:rsid w:val="00F03FF7"/>
    <w:rsid w:val="00F041C7"/>
    <w:rsid w:val="00F0426A"/>
    <w:rsid w:val="00F042A2"/>
    <w:rsid w:val="00F0433F"/>
    <w:rsid w:val="00F043E7"/>
    <w:rsid w:val="00F044B8"/>
    <w:rsid w:val="00F044D2"/>
    <w:rsid w:val="00F047F6"/>
    <w:rsid w:val="00F04EAF"/>
    <w:rsid w:val="00F04F45"/>
    <w:rsid w:val="00F04F95"/>
    <w:rsid w:val="00F050F7"/>
    <w:rsid w:val="00F0529D"/>
    <w:rsid w:val="00F05547"/>
    <w:rsid w:val="00F05638"/>
    <w:rsid w:val="00F0567D"/>
    <w:rsid w:val="00F056B4"/>
    <w:rsid w:val="00F057A4"/>
    <w:rsid w:val="00F05894"/>
    <w:rsid w:val="00F05D12"/>
    <w:rsid w:val="00F06022"/>
    <w:rsid w:val="00F0625A"/>
    <w:rsid w:val="00F06273"/>
    <w:rsid w:val="00F062DD"/>
    <w:rsid w:val="00F064A2"/>
    <w:rsid w:val="00F06587"/>
    <w:rsid w:val="00F065D1"/>
    <w:rsid w:val="00F0671B"/>
    <w:rsid w:val="00F06797"/>
    <w:rsid w:val="00F06B02"/>
    <w:rsid w:val="00F06C45"/>
    <w:rsid w:val="00F07009"/>
    <w:rsid w:val="00F07105"/>
    <w:rsid w:val="00F07311"/>
    <w:rsid w:val="00F07590"/>
    <w:rsid w:val="00F079CA"/>
    <w:rsid w:val="00F07B8B"/>
    <w:rsid w:val="00F07D78"/>
    <w:rsid w:val="00F07EE9"/>
    <w:rsid w:val="00F102ED"/>
    <w:rsid w:val="00F1033B"/>
    <w:rsid w:val="00F1060E"/>
    <w:rsid w:val="00F10CDD"/>
    <w:rsid w:val="00F1106E"/>
    <w:rsid w:val="00F11205"/>
    <w:rsid w:val="00F11301"/>
    <w:rsid w:val="00F1138D"/>
    <w:rsid w:val="00F11508"/>
    <w:rsid w:val="00F115AE"/>
    <w:rsid w:val="00F1163A"/>
    <w:rsid w:val="00F11705"/>
    <w:rsid w:val="00F11855"/>
    <w:rsid w:val="00F118C0"/>
    <w:rsid w:val="00F11C8E"/>
    <w:rsid w:val="00F11D2F"/>
    <w:rsid w:val="00F1205A"/>
    <w:rsid w:val="00F1215F"/>
    <w:rsid w:val="00F1261B"/>
    <w:rsid w:val="00F127B1"/>
    <w:rsid w:val="00F12802"/>
    <w:rsid w:val="00F12C64"/>
    <w:rsid w:val="00F134A0"/>
    <w:rsid w:val="00F13639"/>
    <w:rsid w:val="00F136B1"/>
    <w:rsid w:val="00F13813"/>
    <w:rsid w:val="00F13B26"/>
    <w:rsid w:val="00F13C03"/>
    <w:rsid w:val="00F13C6C"/>
    <w:rsid w:val="00F13CE5"/>
    <w:rsid w:val="00F13D3A"/>
    <w:rsid w:val="00F14031"/>
    <w:rsid w:val="00F148C5"/>
    <w:rsid w:val="00F14DD4"/>
    <w:rsid w:val="00F1538F"/>
    <w:rsid w:val="00F153A7"/>
    <w:rsid w:val="00F1548D"/>
    <w:rsid w:val="00F15584"/>
    <w:rsid w:val="00F1572E"/>
    <w:rsid w:val="00F159B4"/>
    <w:rsid w:val="00F15C4A"/>
    <w:rsid w:val="00F16010"/>
    <w:rsid w:val="00F162A5"/>
    <w:rsid w:val="00F162B7"/>
    <w:rsid w:val="00F1668D"/>
    <w:rsid w:val="00F167A5"/>
    <w:rsid w:val="00F168B9"/>
    <w:rsid w:val="00F16A7A"/>
    <w:rsid w:val="00F16BC0"/>
    <w:rsid w:val="00F16E4B"/>
    <w:rsid w:val="00F16F36"/>
    <w:rsid w:val="00F172A5"/>
    <w:rsid w:val="00F17339"/>
    <w:rsid w:val="00F1733B"/>
    <w:rsid w:val="00F17360"/>
    <w:rsid w:val="00F173C5"/>
    <w:rsid w:val="00F17485"/>
    <w:rsid w:val="00F17530"/>
    <w:rsid w:val="00F17962"/>
    <w:rsid w:val="00F179E1"/>
    <w:rsid w:val="00F17F4A"/>
    <w:rsid w:val="00F17F6C"/>
    <w:rsid w:val="00F20476"/>
    <w:rsid w:val="00F204FC"/>
    <w:rsid w:val="00F20522"/>
    <w:rsid w:val="00F20524"/>
    <w:rsid w:val="00F20C3B"/>
    <w:rsid w:val="00F20CFE"/>
    <w:rsid w:val="00F20FE6"/>
    <w:rsid w:val="00F2104A"/>
    <w:rsid w:val="00F2106A"/>
    <w:rsid w:val="00F210F2"/>
    <w:rsid w:val="00F2176F"/>
    <w:rsid w:val="00F21A59"/>
    <w:rsid w:val="00F21B21"/>
    <w:rsid w:val="00F21D6D"/>
    <w:rsid w:val="00F21D8F"/>
    <w:rsid w:val="00F21F9B"/>
    <w:rsid w:val="00F22012"/>
    <w:rsid w:val="00F220BB"/>
    <w:rsid w:val="00F220E7"/>
    <w:rsid w:val="00F222DA"/>
    <w:rsid w:val="00F226EC"/>
    <w:rsid w:val="00F227C3"/>
    <w:rsid w:val="00F22859"/>
    <w:rsid w:val="00F228C6"/>
    <w:rsid w:val="00F229AB"/>
    <w:rsid w:val="00F22B8F"/>
    <w:rsid w:val="00F22DC5"/>
    <w:rsid w:val="00F22F10"/>
    <w:rsid w:val="00F22FC2"/>
    <w:rsid w:val="00F2301C"/>
    <w:rsid w:val="00F23095"/>
    <w:rsid w:val="00F23173"/>
    <w:rsid w:val="00F23216"/>
    <w:rsid w:val="00F2355E"/>
    <w:rsid w:val="00F23662"/>
    <w:rsid w:val="00F239A0"/>
    <w:rsid w:val="00F23A71"/>
    <w:rsid w:val="00F23BBE"/>
    <w:rsid w:val="00F23CC8"/>
    <w:rsid w:val="00F23E74"/>
    <w:rsid w:val="00F23ED2"/>
    <w:rsid w:val="00F23EEF"/>
    <w:rsid w:val="00F23FB4"/>
    <w:rsid w:val="00F240CB"/>
    <w:rsid w:val="00F24173"/>
    <w:rsid w:val="00F241FA"/>
    <w:rsid w:val="00F243C5"/>
    <w:rsid w:val="00F24608"/>
    <w:rsid w:val="00F246A3"/>
    <w:rsid w:val="00F24A22"/>
    <w:rsid w:val="00F24A67"/>
    <w:rsid w:val="00F24B6B"/>
    <w:rsid w:val="00F24C5A"/>
    <w:rsid w:val="00F24C89"/>
    <w:rsid w:val="00F24DC2"/>
    <w:rsid w:val="00F24ECF"/>
    <w:rsid w:val="00F24EDF"/>
    <w:rsid w:val="00F25295"/>
    <w:rsid w:val="00F252BF"/>
    <w:rsid w:val="00F2548A"/>
    <w:rsid w:val="00F255D4"/>
    <w:rsid w:val="00F2577C"/>
    <w:rsid w:val="00F25E0E"/>
    <w:rsid w:val="00F25EA2"/>
    <w:rsid w:val="00F263F2"/>
    <w:rsid w:val="00F26497"/>
    <w:rsid w:val="00F2666C"/>
    <w:rsid w:val="00F26678"/>
    <w:rsid w:val="00F266BD"/>
    <w:rsid w:val="00F26876"/>
    <w:rsid w:val="00F26997"/>
    <w:rsid w:val="00F26A65"/>
    <w:rsid w:val="00F26AEE"/>
    <w:rsid w:val="00F26B53"/>
    <w:rsid w:val="00F26BF0"/>
    <w:rsid w:val="00F26C46"/>
    <w:rsid w:val="00F26E21"/>
    <w:rsid w:val="00F2702C"/>
    <w:rsid w:val="00F27042"/>
    <w:rsid w:val="00F27448"/>
    <w:rsid w:val="00F27873"/>
    <w:rsid w:val="00F279D3"/>
    <w:rsid w:val="00F27A75"/>
    <w:rsid w:val="00F27DB0"/>
    <w:rsid w:val="00F27F4B"/>
    <w:rsid w:val="00F27FF0"/>
    <w:rsid w:val="00F300CF"/>
    <w:rsid w:val="00F302F5"/>
    <w:rsid w:val="00F306EF"/>
    <w:rsid w:val="00F3088E"/>
    <w:rsid w:val="00F30967"/>
    <w:rsid w:val="00F30A5B"/>
    <w:rsid w:val="00F30AAC"/>
    <w:rsid w:val="00F30B26"/>
    <w:rsid w:val="00F30BE8"/>
    <w:rsid w:val="00F31067"/>
    <w:rsid w:val="00F31167"/>
    <w:rsid w:val="00F31312"/>
    <w:rsid w:val="00F315C5"/>
    <w:rsid w:val="00F31946"/>
    <w:rsid w:val="00F319D1"/>
    <w:rsid w:val="00F31C99"/>
    <w:rsid w:val="00F323AA"/>
    <w:rsid w:val="00F32464"/>
    <w:rsid w:val="00F325D3"/>
    <w:rsid w:val="00F32998"/>
    <w:rsid w:val="00F32C36"/>
    <w:rsid w:val="00F32E0D"/>
    <w:rsid w:val="00F3305B"/>
    <w:rsid w:val="00F33258"/>
    <w:rsid w:val="00F334E6"/>
    <w:rsid w:val="00F33AB4"/>
    <w:rsid w:val="00F33ADF"/>
    <w:rsid w:val="00F33CE8"/>
    <w:rsid w:val="00F33D8B"/>
    <w:rsid w:val="00F3400D"/>
    <w:rsid w:val="00F3414C"/>
    <w:rsid w:val="00F3429C"/>
    <w:rsid w:val="00F3435D"/>
    <w:rsid w:val="00F34668"/>
    <w:rsid w:val="00F34E1E"/>
    <w:rsid w:val="00F3503B"/>
    <w:rsid w:val="00F35045"/>
    <w:rsid w:val="00F350E9"/>
    <w:rsid w:val="00F351FF"/>
    <w:rsid w:val="00F35343"/>
    <w:rsid w:val="00F353A3"/>
    <w:rsid w:val="00F355D0"/>
    <w:rsid w:val="00F355E5"/>
    <w:rsid w:val="00F357A8"/>
    <w:rsid w:val="00F358B9"/>
    <w:rsid w:val="00F359BD"/>
    <w:rsid w:val="00F35A56"/>
    <w:rsid w:val="00F35A7D"/>
    <w:rsid w:val="00F35AF3"/>
    <w:rsid w:val="00F35AFF"/>
    <w:rsid w:val="00F35DB4"/>
    <w:rsid w:val="00F361A8"/>
    <w:rsid w:val="00F365DE"/>
    <w:rsid w:val="00F36667"/>
    <w:rsid w:val="00F3670D"/>
    <w:rsid w:val="00F369F6"/>
    <w:rsid w:val="00F36A2C"/>
    <w:rsid w:val="00F36C48"/>
    <w:rsid w:val="00F36E79"/>
    <w:rsid w:val="00F36EA8"/>
    <w:rsid w:val="00F36FE7"/>
    <w:rsid w:val="00F3753D"/>
    <w:rsid w:val="00F37746"/>
    <w:rsid w:val="00F37F3A"/>
    <w:rsid w:val="00F37FD7"/>
    <w:rsid w:val="00F400E4"/>
    <w:rsid w:val="00F4026C"/>
    <w:rsid w:val="00F402BE"/>
    <w:rsid w:val="00F403FB"/>
    <w:rsid w:val="00F4057B"/>
    <w:rsid w:val="00F407B0"/>
    <w:rsid w:val="00F409EF"/>
    <w:rsid w:val="00F40AC4"/>
    <w:rsid w:val="00F40B33"/>
    <w:rsid w:val="00F40D18"/>
    <w:rsid w:val="00F40D39"/>
    <w:rsid w:val="00F40D49"/>
    <w:rsid w:val="00F40F2D"/>
    <w:rsid w:val="00F40FB8"/>
    <w:rsid w:val="00F41430"/>
    <w:rsid w:val="00F41696"/>
    <w:rsid w:val="00F41900"/>
    <w:rsid w:val="00F41B14"/>
    <w:rsid w:val="00F41CAF"/>
    <w:rsid w:val="00F41F9D"/>
    <w:rsid w:val="00F41FFB"/>
    <w:rsid w:val="00F420C7"/>
    <w:rsid w:val="00F42233"/>
    <w:rsid w:val="00F422B7"/>
    <w:rsid w:val="00F42327"/>
    <w:rsid w:val="00F4250F"/>
    <w:rsid w:val="00F42648"/>
    <w:rsid w:val="00F42857"/>
    <w:rsid w:val="00F42B87"/>
    <w:rsid w:val="00F42C62"/>
    <w:rsid w:val="00F42FE6"/>
    <w:rsid w:val="00F42FEB"/>
    <w:rsid w:val="00F43180"/>
    <w:rsid w:val="00F431F1"/>
    <w:rsid w:val="00F43465"/>
    <w:rsid w:val="00F437A6"/>
    <w:rsid w:val="00F43810"/>
    <w:rsid w:val="00F43AC8"/>
    <w:rsid w:val="00F43B9E"/>
    <w:rsid w:val="00F43D3F"/>
    <w:rsid w:val="00F43D4C"/>
    <w:rsid w:val="00F44046"/>
    <w:rsid w:val="00F44160"/>
    <w:rsid w:val="00F44224"/>
    <w:rsid w:val="00F44242"/>
    <w:rsid w:val="00F443FE"/>
    <w:rsid w:val="00F445BD"/>
    <w:rsid w:val="00F44600"/>
    <w:rsid w:val="00F44785"/>
    <w:rsid w:val="00F447D1"/>
    <w:rsid w:val="00F44A5F"/>
    <w:rsid w:val="00F44A97"/>
    <w:rsid w:val="00F45BB4"/>
    <w:rsid w:val="00F45C1A"/>
    <w:rsid w:val="00F45D70"/>
    <w:rsid w:val="00F45D98"/>
    <w:rsid w:val="00F45ECB"/>
    <w:rsid w:val="00F45EE1"/>
    <w:rsid w:val="00F45F3B"/>
    <w:rsid w:val="00F46107"/>
    <w:rsid w:val="00F46191"/>
    <w:rsid w:val="00F46428"/>
    <w:rsid w:val="00F468C4"/>
    <w:rsid w:val="00F46941"/>
    <w:rsid w:val="00F46AD9"/>
    <w:rsid w:val="00F46C00"/>
    <w:rsid w:val="00F46C0E"/>
    <w:rsid w:val="00F46D28"/>
    <w:rsid w:val="00F46DC2"/>
    <w:rsid w:val="00F46E51"/>
    <w:rsid w:val="00F47107"/>
    <w:rsid w:val="00F47172"/>
    <w:rsid w:val="00F47371"/>
    <w:rsid w:val="00F4739E"/>
    <w:rsid w:val="00F4743A"/>
    <w:rsid w:val="00F477AC"/>
    <w:rsid w:val="00F479EC"/>
    <w:rsid w:val="00F47B75"/>
    <w:rsid w:val="00F47F87"/>
    <w:rsid w:val="00F5042A"/>
    <w:rsid w:val="00F50712"/>
    <w:rsid w:val="00F507B0"/>
    <w:rsid w:val="00F508A0"/>
    <w:rsid w:val="00F50B2D"/>
    <w:rsid w:val="00F50CE7"/>
    <w:rsid w:val="00F50F55"/>
    <w:rsid w:val="00F50F7A"/>
    <w:rsid w:val="00F5138D"/>
    <w:rsid w:val="00F514CD"/>
    <w:rsid w:val="00F51570"/>
    <w:rsid w:val="00F516C5"/>
    <w:rsid w:val="00F51B16"/>
    <w:rsid w:val="00F51C78"/>
    <w:rsid w:val="00F521B7"/>
    <w:rsid w:val="00F52499"/>
    <w:rsid w:val="00F52787"/>
    <w:rsid w:val="00F5282E"/>
    <w:rsid w:val="00F5285F"/>
    <w:rsid w:val="00F52999"/>
    <w:rsid w:val="00F529E8"/>
    <w:rsid w:val="00F52BE1"/>
    <w:rsid w:val="00F52DA5"/>
    <w:rsid w:val="00F52E97"/>
    <w:rsid w:val="00F52ECD"/>
    <w:rsid w:val="00F52F3C"/>
    <w:rsid w:val="00F5302F"/>
    <w:rsid w:val="00F531AF"/>
    <w:rsid w:val="00F5348A"/>
    <w:rsid w:val="00F535EC"/>
    <w:rsid w:val="00F5361C"/>
    <w:rsid w:val="00F5374A"/>
    <w:rsid w:val="00F5374D"/>
    <w:rsid w:val="00F53841"/>
    <w:rsid w:val="00F53996"/>
    <w:rsid w:val="00F53A99"/>
    <w:rsid w:val="00F53CEC"/>
    <w:rsid w:val="00F54131"/>
    <w:rsid w:val="00F54305"/>
    <w:rsid w:val="00F54325"/>
    <w:rsid w:val="00F5461E"/>
    <w:rsid w:val="00F54705"/>
    <w:rsid w:val="00F54754"/>
    <w:rsid w:val="00F54832"/>
    <w:rsid w:val="00F54896"/>
    <w:rsid w:val="00F548FC"/>
    <w:rsid w:val="00F54990"/>
    <w:rsid w:val="00F54A73"/>
    <w:rsid w:val="00F54CCC"/>
    <w:rsid w:val="00F54E83"/>
    <w:rsid w:val="00F54EF7"/>
    <w:rsid w:val="00F54FF4"/>
    <w:rsid w:val="00F5512C"/>
    <w:rsid w:val="00F5543B"/>
    <w:rsid w:val="00F55459"/>
    <w:rsid w:val="00F55580"/>
    <w:rsid w:val="00F55734"/>
    <w:rsid w:val="00F55BCE"/>
    <w:rsid w:val="00F55FD4"/>
    <w:rsid w:val="00F5604B"/>
    <w:rsid w:val="00F562AF"/>
    <w:rsid w:val="00F564D6"/>
    <w:rsid w:val="00F56595"/>
    <w:rsid w:val="00F565B9"/>
    <w:rsid w:val="00F56685"/>
    <w:rsid w:val="00F56698"/>
    <w:rsid w:val="00F56703"/>
    <w:rsid w:val="00F56789"/>
    <w:rsid w:val="00F567CE"/>
    <w:rsid w:val="00F568AF"/>
    <w:rsid w:val="00F568EF"/>
    <w:rsid w:val="00F56A6B"/>
    <w:rsid w:val="00F56CE4"/>
    <w:rsid w:val="00F571B7"/>
    <w:rsid w:val="00F572DA"/>
    <w:rsid w:val="00F57606"/>
    <w:rsid w:val="00F57668"/>
    <w:rsid w:val="00F5772C"/>
    <w:rsid w:val="00F57ACE"/>
    <w:rsid w:val="00F57D81"/>
    <w:rsid w:val="00F57DFC"/>
    <w:rsid w:val="00F57EF4"/>
    <w:rsid w:val="00F60045"/>
    <w:rsid w:val="00F602C5"/>
    <w:rsid w:val="00F602C7"/>
    <w:rsid w:val="00F60395"/>
    <w:rsid w:val="00F604A6"/>
    <w:rsid w:val="00F606C7"/>
    <w:rsid w:val="00F60826"/>
    <w:rsid w:val="00F6087D"/>
    <w:rsid w:val="00F608A4"/>
    <w:rsid w:val="00F60A84"/>
    <w:rsid w:val="00F60D7A"/>
    <w:rsid w:val="00F60E68"/>
    <w:rsid w:val="00F60EFB"/>
    <w:rsid w:val="00F60F5C"/>
    <w:rsid w:val="00F60F88"/>
    <w:rsid w:val="00F61285"/>
    <w:rsid w:val="00F61309"/>
    <w:rsid w:val="00F61494"/>
    <w:rsid w:val="00F6178B"/>
    <w:rsid w:val="00F61826"/>
    <w:rsid w:val="00F61CF2"/>
    <w:rsid w:val="00F61EAB"/>
    <w:rsid w:val="00F61EE6"/>
    <w:rsid w:val="00F620E2"/>
    <w:rsid w:val="00F628D2"/>
    <w:rsid w:val="00F62CAE"/>
    <w:rsid w:val="00F62CF4"/>
    <w:rsid w:val="00F62DF1"/>
    <w:rsid w:val="00F6315E"/>
    <w:rsid w:val="00F633FB"/>
    <w:rsid w:val="00F635E8"/>
    <w:rsid w:val="00F6360A"/>
    <w:rsid w:val="00F6366D"/>
    <w:rsid w:val="00F639E9"/>
    <w:rsid w:val="00F63A7F"/>
    <w:rsid w:val="00F63AB6"/>
    <w:rsid w:val="00F63D44"/>
    <w:rsid w:val="00F63F56"/>
    <w:rsid w:val="00F642DD"/>
    <w:rsid w:val="00F643DD"/>
    <w:rsid w:val="00F643E8"/>
    <w:rsid w:val="00F6467C"/>
    <w:rsid w:val="00F6478D"/>
    <w:rsid w:val="00F64897"/>
    <w:rsid w:val="00F64A4A"/>
    <w:rsid w:val="00F64D08"/>
    <w:rsid w:val="00F64D43"/>
    <w:rsid w:val="00F64D8B"/>
    <w:rsid w:val="00F64FC8"/>
    <w:rsid w:val="00F6501B"/>
    <w:rsid w:val="00F65166"/>
    <w:rsid w:val="00F65356"/>
    <w:rsid w:val="00F657CB"/>
    <w:rsid w:val="00F657EE"/>
    <w:rsid w:val="00F659A4"/>
    <w:rsid w:val="00F659EC"/>
    <w:rsid w:val="00F65B34"/>
    <w:rsid w:val="00F65FBA"/>
    <w:rsid w:val="00F664B4"/>
    <w:rsid w:val="00F66654"/>
    <w:rsid w:val="00F6669D"/>
    <w:rsid w:val="00F66727"/>
    <w:rsid w:val="00F668F4"/>
    <w:rsid w:val="00F669DD"/>
    <w:rsid w:val="00F66AF3"/>
    <w:rsid w:val="00F66B0B"/>
    <w:rsid w:val="00F66C51"/>
    <w:rsid w:val="00F66D42"/>
    <w:rsid w:val="00F67137"/>
    <w:rsid w:val="00F6730F"/>
    <w:rsid w:val="00F67639"/>
    <w:rsid w:val="00F67778"/>
    <w:rsid w:val="00F6796A"/>
    <w:rsid w:val="00F7009A"/>
    <w:rsid w:val="00F7009D"/>
    <w:rsid w:val="00F7034B"/>
    <w:rsid w:val="00F70717"/>
    <w:rsid w:val="00F70736"/>
    <w:rsid w:val="00F70A91"/>
    <w:rsid w:val="00F70AA5"/>
    <w:rsid w:val="00F70C14"/>
    <w:rsid w:val="00F70C51"/>
    <w:rsid w:val="00F70F00"/>
    <w:rsid w:val="00F71457"/>
    <w:rsid w:val="00F715C0"/>
    <w:rsid w:val="00F71623"/>
    <w:rsid w:val="00F71644"/>
    <w:rsid w:val="00F71908"/>
    <w:rsid w:val="00F71AD7"/>
    <w:rsid w:val="00F71B1B"/>
    <w:rsid w:val="00F71BD0"/>
    <w:rsid w:val="00F71BE7"/>
    <w:rsid w:val="00F71E62"/>
    <w:rsid w:val="00F71F49"/>
    <w:rsid w:val="00F72388"/>
    <w:rsid w:val="00F723D0"/>
    <w:rsid w:val="00F72569"/>
    <w:rsid w:val="00F72663"/>
    <w:rsid w:val="00F726A4"/>
    <w:rsid w:val="00F7277B"/>
    <w:rsid w:val="00F728FD"/>
    <w:rsid w:val="00F72AEB"/>
    <w:rsid w:val="00F72BBC"/>
    <w:rsid w:val="00F72D84"/>
    <w:rsid w:val="00F72F4F"/>
    <w:rsid w:val="00F731E9"/>
    <w:rsid w:val="00F732D3"/>
    <w:rsid w:val="00F73568"/>
    <w:rsid w:val="00F73762"/>
    <w:rsid w:val="00F7381D"/>
    <w:rsid w:val="00F738BF"/>
    <w:rsid w:val="00F73940"/>
    <w:rsid w:val="00F739DC"/>
    <w:rsid w:val="00F73AD1"/>
    <w:rsid w:val="00F73B43"/>
    <w:rsid w:val="00F73BD2"/>
    <w:rsid w:val="00F73C71"/>
    <w:rsid w:val="00F73D03"/>
    <w:rsid w:val="00F73D72"/>
    <w:rsid w:val="00F7409C"/>
    <w:rsid w:val="00F74109"/>
    <w:rsid w:val="00F741E5"/>
    <w:rsid w:val="00F744BE"/>
    <w:rsid w:val="00F74705"/>
    <w:rsid w:val="00F74848"/>
    <w:rsid w:val="00F748BE"/>
    <w:rsid w:val="00F74997"/>
    <w:rsid w:val="00F74A25"/>
    <w:rsid w:val="00F74B39"/>
    <w:rsid w:val="00F74DEB"/>
    <w:rsid w:val="00F74EBF"/>
    <w:rsid w:val="00F74F44"/>
    <w:rsid w:val="00F75509"/>
    <w:rsid w:val="00F75570"/>
    <w:rsid w:val="00F75582"/>
    <w:rsid w:val="00F7577B"/>
    <w:rsid w:val="00F75A6B"/>
    <w:rsid w:val="00F75C43"/>
    <w:rsid w:val="00F75CDB"/>
    <w:rsid w:val="00F75D96"/>
    <w:rsid w:val="00F75F3F"/>
    <w:rsid w:val="00F762DB"/>
    <w:rsid w:val="00F76348"/>
    <w:rsid w:val="00F76372"/>
    <w:rsid w:val="00F763BF"/>
    <w:rsid w:val="00F764A6"/>
    <w:rsid w:val="00F76581"/>
    <w:rsid w:val="00F76A64"/>
    <w:rsid w:val="00F76B3A"/>
    <w:rsid w:val="00F76E4C"/>
    <w:rsid w:val="00F771F1"/>
    <w:rsid w:val="00F774CD"/>
    <w:rsid w:val="00F779B1"/>
    <w:rsid w:val="00F77A22"/>
    <w:rsid w:val="00F77C4A"/>
    <w:rsid w:val="00F77D9E"/>
    <w:rsid w:val="00F77DD8"/>
    <w:rsid w:val="00F77E93"/>
    <w:rsid w:val="00F801FD"/>
    <w:rsid w:val="00F8034D"/>
    <w:rsid w:val="00F80475"/>
    <w:rsid w:val="00F806DC"/>
    <w:rsid w:val="00F8089A"/>
    <w:rsid w:val="00F80A46"/>
    <w:rsid w:val="00F80AD6"/>
    <w:rsid w:val="00F80EF2"/>
    <w:rsid w:val="00F80FB7"/>
    <w:rsid w:val="00F81079"/>
    <w:rsid w:val="00F81184"/>
    <w:rsid w:val="00F8156E"/>
    <w:rsid w:val="00F815A6"/>
    <w:rsid w:val="00F817A5"/>
    <w:rsid w:val="00F81863"/>
    <w:rsid w:val="00F818A6"/>
    <w:rsid w:val="00F819D4"/>
    <w:rsid w:val="00F82251"/>
    <w:rsid w:val="00F822CA"/>
    <w:rsid w:val="00F822CD"/>
    <w:rsid w:val="00F8260F"/>
    <w:rsid w:val="00F827D1"/>
    <w:rsid w:val="00F82834"/>
    <w:rsid w:val="00F82E77"/>
    <w:rsid w:val="00F83597"/>
    <w:rsid w:val="00F83710"/>
    <w:rsid w:val="00F83865"/>
    <w:rsid w:val="00F839D6"/>
    <w:rsid w:val="00F83C45"/>
    <w:rsid w:val="00F83D40"/>
    <w:rsid w:val="00F83D7E"/>
    <w:rsid w:val="00F83F14"/>
    <w:rsid w:val="00F84270"/>
    <w:rsid w:val="00F84860"/>
    <w:rsid w:val="00F84A5D"/>
    <w:rsid w:val="00F84B7D"/>
    <w:rsid w:val="00F851CF"/>
    <w:rsid w:val="00F854CA"/>
    <w:rsid w:val="00F855DA"/>
    <w:rsid w:val="00F856B3"/>
    <w:rsid w:val="00F8580A"/>
    <w:rsid w:val="00F85AEC"/>
    <w:rsid w:val="00F85ECA"/>
    <w:rsid w:val="00F86331"/>
    <w:rsid w:val="00F86347"/>
    <w:rsid w:val="00F863FA"/>
    <w:rsid w:val="00F86821"/>
    <w:rsid w:val="00F86904"/>
    <w:rsid w:val="00F86A4B"/>
    <w:rsid w:val="00F86D46"/>
    <w:rsid w:val="00F86D62"/>
    <w:rsid w:val="00F86EF4"/>
    <w:rsid w:val="00F8704A"/>
    <w:rsid w:val="00F87208"/>
    <w:rsid w:val="00F8797A"/>
    <w:rsid w:val="00F87A04"/>
    <w:rsid w:val="00F87AEE"/>
    <w:rsid w:val="00F87E30"/>
    <w:rsid w:val="00F90033"/>
    <w:rsid w:val="00F90212"/>
    <w:rsid w:val="00F9030B"/>
    <w:rsid w:val="00F90409"/>
    <w:rsid w:val="00F90415"/>
    <w:rsid w:val="00F9064A"/>
    <w:rsid w:val="00F90818"/>
    <w:rsid w:val="00F90CCB"/>
    <w:rsid w:val="00F90CE0"/>
    <w:rsid w:val="00F90F1D"/>
    <w:rsid w:val="00F9158C"/>
    <w:rsid w:val="00F918AE"/>
    <w:rsid w:val="00F918E4"/>
    <w:rsid w:val="00F9193D"/>
    <w:rsid w:val="00F91ACF"/>
    <w:rsid w:val="00F91B7B"/>
    <w:rsid w:val="00F91CA7"/>
    <w:rsid w:val="00F91D35"/>
    <w:rsid w:val="00F91E11"/>
    <w:rsid w:val="00F91E48"/>
    <w:rsid w:val="00F92088"/>
    <w:rsid w:val="00F92123"/>
    <w:rsid w:val="00F928EA"/>
    <w:rsid w:val="00F92B45"/>
    <w:rsid w:val="00F92B4E"/>
    <w:rsid w:val="00F92BAC"/>
    <w:rsid w:val="00F92F77"/>
    <w:rsid w:val="00F93011"/>
    <w:rsid w:val="00F93049"/>
    <w:rsid w:val="00F93266"/>
    <w:rsid w:val="00F933C3"/>
    <w:rsid w:val="00F93552"/>
    <w:rsid w:val="00F9374D"/>
    <w:rsid w:val="00F9379D"/>
    <w:rsid w:val="00F93E9C"/>
    <w:rsid w:val="00F93EC5"/>
    <w:rsid w:val="00F940F4"/>
    <w:rsid w:val="00F941FF"/>
    <w:rsid w:val="00F942A3"/>
    <w:rsid w:val="00F94401"/>
    <w:rsid w:val="00F94406"/>
    <w:rsid w:val="00F944CC"/>
    <w:rsid w:val="00F94688"/>
    <w:rsid w:val="00F94A13"/>
    <w:rsid w:val="00F94B8E"/>
    <w:rsid w:val="00F94C24"/>
    <w:rsid w:val="00F94F3C"/>
    <w:rsid w:val="00F951EB"/>
    <w:rsid w:val="00F953FA"/>
    <w:rsid w:val="00F95616"/>
    <w:rsid w:val="00F956CB"/>
    <w:rsid w:val="00F95966"/>
    <w:rsid w:val="00F95B16"/>
    <w:rsid w:val="00F95C09"/>
    <w:rsid w:val="00F95EFC"/>
    <w:rsid w:val="00F960F9"/>
    <w:rsid w:val="00F96545"/>
    <w:rsid w:val="00F966A8"/>
    <w:rsid w:val="00F969C2"/>
    <w:rsid w:val="00F96A1A"/>
    <w:rsid w:val="00F96A32"/>
    <w:rsid w:val="00F96BAC"/>
    <w:rsid w:val="00F96E5E"/>
    <w:rsid w:val="00F9711E"/>
    <w:rsid w:val="00F97A7E"/>
    <w:rsid w:val="00F97ABF"/>
    <w:rsid w:val="00F97B7E"/>
    <w:rsid w:val="00F97BB9"/>
    <w:rsid w:val="00FA04AC"/>
    <w:rsid w:val="00FA0543"/>
    <w:rsid w:val="00FA0677"/>
    <w:rsid w:val="00FA0822"/>
    <w:rsid w:val="00FA0933"/>
    <w:rsid w:val="00FA09A7"/>
    <w:rsid w:val="00FA0B62"/>
    <w:rsid w:val="00FA0B7F"/>
    <w:rsid w:val="00FA102E"/>
    <w:rsid w:val="00FA1122"/>
    <w:rsid w:val="00FA128E"/>
    <w:rsid w:val="00FA143C"/>
    <w:rsid w:val="00FA14B6"/>
    <w:rsid w:val="00FA15A0"/>
    <w:rsid w:val="00FA1716"/>
    <w:rsid w:val="00FA175C"/>
    <w:rsid w:val="00FA182D"/>
    <w:rsid w:val="00FA1A4B"/>
    <w:rsid w:val="00FA1B17"/>
    <w:rsid w:val="00FA1C6E"/>
    <w:rsid w:val="00FA1D94"/>
    <w:rsid w:val="00FA1FB8"/>
    <w:rsid w:val="00FA2066"/>
    <w:rsid w:val="00FA2178"/>
    <w:rsid w:val="00FA23E7"/>
    <w:rsid w:val="00FA2639"/>
    <w:rsid w:val="00FA2CBC"/>
    <w:rsid w:val="00FA2D65"/>
    <w:rsid w:val="00FA2FF0"/>
    <w:rsid w:val="00FA3355"/>
    <w:rsid w:val="00FA33AC"/>
    <w:rsid w:val="00FA35F9"/>
    <w:rsid w:val="00FA36B8"/>
    <w:rsid w:val="00FA3714"/>
    <w:rsid w:val="00FA399A"/>
    <w:rsid w:val="00FA3E99"/>
    <w:rsid w:val="00FA3F59"/>
    <w:rsid w:val="00FA3FF4"/>
    <w:rsid w:val="00FA423C"/>
    <w:rsid w:val="00FA42BB"/>
    <w:rsid w:val="00FA42F9"/>
    <w:rsid w:val="00FA4519"/>
    <w:rsid w:val="00FA453B"/>
    <w:rsid w:val="00FA4626"/>
    <w:rsid w:val="00FA4798"/>
    <w:rsid w:val="00FA4D9C"/>
    <w:rsid w:val="00FA4E99"/>
    <w:rsid w:val="00FA4F7B"/>
    <w:rsid w:val="00FA50AF"/>
    <w:rsid w:val="00FA5283"/>
    <w:rsid w:val="00FA5516"/>
    <w:rsid w:val="00FA5578"/>
    <w:rsid w:val="00FA561A"/>
    <w:rsid w:val="00FA5693"/>
    <w:rsid w:val="00FA57EF"/>
    <w:rsid w:val="00FA5A66"/>
    <w:rsid w:val="00FA5AF6"/>
    <w:rsid w:val="00FA5B01"/>
    <w:rsid w:val="00FA5C8F"/>
    <w:rsid w:val="00FA5E84"/>
    <w:rsid w:val="00FA6473"/>
    <w:rsid w:val="00FA6529"/>
    <w:rsid w:val="00FA6683"/>
    <w:rsid w:val="00FA6981"/>
    <w:rsid w:val="00FA6A46"/>
    <w:rsid w:val="00FA6AB9"/>
    <w:rsid w:val="00FA6BCF"/>
    <w:rsid w:val="00FA6D71"/>
    <w:rsid w:val="00FA6DB7"/>
    <w:rsid w:val="00FA6F5E"/>
    <w:rsid w:val="00FA70E9"/>
    <w:rsid w:val="00FA74E1"/>
    <w:rsid w:val="00FA7642"/>
    <w:rsid w:val="00FA76BD"/>
    <w:rsid w:val="00FA76D4"/>
    <w:rsid w:val="00FA77E9"/>
    <w:rsid w:val="00FA7833"/>
    <w:rsid w:val="00FA783A"/>
    <w:rsid w:val="00FA79EF"/>
    <w:rsid w:val="00FA7B80"/>
    <w:rsid w:val="00FA7FAF"/>
    <w:rsid w:val="00FB018A"/>
    <w:rsid w:val="00FB033E"/>
    <w:rsid w:val="00FB05DA"/>
    <w:rsid w:val="00FB0684"/>
    <w:rsid w:val="00FB0E2A"/>
    <w:rsid w:val="00FB0FE2"/>
    <w:rsid w:val="00FB11EA"/>
    <w:rsid w:val="00FB1344"/>
    <w:rsid w:val="00FB158E"/>
    <w:rsid w:val="00FB16B1"/>
    <w:rsid w:val="00FB17EB"/>
    <w:rsid w:val="00FB184A"/>
    <w:rsid w:val="00FB1969"/>
    <w:rsid w:val="00FB1A3E"/>
    <w:rsid w:val="00FB1A71"/>
    <w:rsid w:val="00FB1A92"/>
    <w:rsid w:val="00FB1C16"/>
    <w:rsid w:val="00FB1DAC"/>
    <w:rsid w:val="00FB216D"/>
    <w:rsid w:val="00FB22C9"/>
    <w:rsid w:val="00FB23D8"/>
    <w:rsid w:val="00FB2891"/>
    <w:rsid w:val="00FB2B8A"/>
    <w:rsid w:val="00FB2BCD"/>
    <w:rsid w:val="00FB2D96"/>
    <w:rsid w:val="00FB30E8"/>
    <w:rsid w:val="00FB33AB"/>
    <w:rsid w:val="00FB3734"/>
    <w:rsid w:val="00FB37DF"/>
    <w:rsid w:val="00FB3BFE"/>
    <w:rsid w:val="00FB3C38"/>
    <w:rsid w:val="00FB3D4F"/>
    <w:rsid w:val="00FB3E3B"/>
    <w:rsid w:val="00FB46B1"/>
    <w:rsid w:val="00FB473B"/>
    <w:rsid w:val="00FB47F0"/>
    <w:rsid w:val="00FB4880"/>
    <w:rsid w:val="00FB4BC6"/>
    <w:rsid w:val="00FB4E1F"/>
    <w:rsid w:val="00FB4E67"/>
    <w:rsid w:val="00FB4F7B"/>
    <w:rsid w:val="00FB5146"/>
    <w:rsid w:val="00FB519E"/>
    <w:rsid w:val="00FB52ED"/>
    <w:rsid w:val="00FB5357"/>
    <w:rsid w:val="00FB5441"/>
    <w:rsid w:val="00FB5572"/>
    <w:rsid w:val="00FB55FB"/>
    <w:rsid w:val="00FB5698"/>
    <w:rsid w:val="00FB569D"/>
    <w:rsid w:val="00FB56C1"/>
    <w:rsid w:val="00FB5715"/>
    <w:rsid w:val="00FB5898"/>
    <w:rsid w:val="00FB5A0C"/>
    <w:rsid w:val="00FB5A7A"/>
    <w:rsid w:val="00FB5B30"/>
    <w:rsid w:val="00FB5D75"/>
    <w:rsid w:val="00FB62CF"/>
    <w:rsid w:val="00FB648D"/>
    <w:rsid w:val="00FB6664"/>
    <w:rsid w:val="00FB6729"/>
    <w:rsid w:val="00FB67D7"/>
    <w:rsid w:val="00FB7141"/>
    <w:rsid w:val="00FB7260"/>
    <w:rsid w:val="00FB7628"/>
    <w:rsid w:val="00FB7688"/>
    <w:rsid w:val="00FB772C"/>
    <w:rsid w:val="00FB779C"/>
    <w:rsid w:val="00FB7C28"/>
    <w:rsid w:val="00FB7F58"/>
    <w:rsid w:val="00FC01F7"/>
    <w:rsid w:val="00FC0218"/>
    <w:rsid w:val="00FC0271"/>
    <w:rsid w:val="00FC05B9"/>
    <w:rsid w:val="00FC05F9"/>
    <w:rsid w:val="00FC07EE"/>
    <w:rsid w:val="00FC094D"/>
    <w:rsid w:val="00FC0B8E"/>
    <w:rsid w:val="00FC0BD1"/>
    <w:rsid w:val="00FC0EB9"/>
    <w:rsid w:val="00FC110D"/>
    <w:rsid w:val="00FC1259"/>
    <w:rsid w:val="00FC1491"/>
    <w:rsid w:val="00FC14D5"/>
    <w:rsid w:val="00FC156B"/>
    <w:rsid w:val="00FC15BF"/>
    <w:rsid w:val="00FC1890"/>
    <w:rsid w:val="00FC1A06"/>
    <w:rsid w:val="00FC1BBE"/>
    <w:rsid w:val="00FC1C55"/>
    <w:rsid w:val="00FC1D23"/>
    <w:rsid w:val="00FC1D8E"/>
    <w:rsid w:val="00FC1DD9"/>
    <w:rsid w:val="00FC1E66"/>
    <w:rsid w:val="00FC1F96"/>
    <w:rsid w:val="00FC2323"/>
    <w:rsid w:val="00FC27B3"/>
    <w:rsid w:val="00FC2838"/>
    <w:rsid w:val="00FC2982"/>
    <w:rsid w:val="00FC2C37"/>
    <w:rsid w:val="00FC348A"/>
    <w:rsid w:val="00FC35C8"/>
    <w:rsid w:val="00FC387D"/>
    <w:rsid w:val="00FC39FD"/>
    <w:rsid w:val="00FC3B95"/>
    <w:rsid w:val="00FC3C1C"/>
    <w:rsid w:val="00FC3E6D"/>
    <w:rsid w:val="00FC3F7E"/>
    <w:rsid w:val="00FC3FEB"/>
    <w:rsid w:val="00FC42D0"/>
    <w:rsid w:val="00FC43BF"/>
    <w:rsid w:val="00FC466F"/>
    <w:rsid w:val="00FC475F"/>
    <w:rsid w:val="00FC479E"/>
    <w:rsid w:val="00FC4834"/>
    <w:rsid w:val="00FC4A34"/>
    <w:rsid w:val="00FC4A48"/>
    <w:rsid w:val="00FC4F56"/>
    <w:rsid w:val="00FC510F"/>
    <w:rsid w:val="00FC521B"/>
    <w:rsid w:val="00FC5564"/>
    <w:rsid w:val="00FC5630"/>
    <w:rsid w:val="00FC563F"/>
    <w:rsid w:val="00FC57A8"/>
    <w:rsid w:val="00FC5ADE"/>
    <w:rsid w:val="00FC5BEE"/>
    <w:rsid w:val="00FC608F"/>
    <w:rsid w:val="00FC60EA"/>
    <w:rsid w:val="00FC6123"/>
    <w:rsid w:val="00FC6246"/>
    <w:rsid w:val="00FC6255"/>
    <w:rsid w:val="00FC62C1"/>
    <w:rsid w:val="00FC63A3"/>
    <w:rsid w:val="00FC64BB"/>
    <w:rsid w:val="00FC66DB"/>
    <w:rsid w:val="00FC6B14"/>
    <w:rsid w:val="00FC6D05"/>
    <w:rsid w:val="00FC702D"/>
    <w:rsid w:val="00FC7054"/>
    <w:rsid w:val="00FC72F0"/>
    <w:rsid w:val="00FC757D"/>
    <w:rsid w:val="00FC75A4"/>
    <w:rsid w:val="00FC7754"/>
    <w:rsid w:val="00FC78D0"/>
    <w:rsid w:val="00FC7946"/>
    <w:rsid w:val="00FC7965"/>
    <w:rsid w:val="00FC7CBB"/>
    <w:rsid w:val="00FC7CC6"/>
    <w:rsid w:val="00FD01F7"/>
    <w:rsid w:val="00FD0217"/>
    <w:rsid w:val="00FD06FE"/>
    <w:rsid w:val="00FD0728"/>
    <w:rsid w:val="00FD078E"/>
    <w:rsid w:val="00FD0C6C"/>
    <w:rsid w:val="00FD0CC7"/>
    <w:rsid w:val="00FD0DE9"/>
    <w:rsid w:val="00FD0E67"/>
    <w:rsid w:val="00FD0EA6"/>
    <w:rsid w:val="00FD1118"/>
    <w:rsid w:val="00FD11F1"/>
    <w:rsid w:val="00FD127E"/>
    <w:rsid w:val="00FD1286"/>
    <w:rsid w:val="00FD1404"/>
    <w:rsid w:val="00FD1507"/>
    <w:rsid w:val="00FD1601"/>
    <w:rsid w:val="00FD1701"/>
    <w:rsid w:val="00FD1A2E"/>
    <w:rsid w:val="00FD1A7C"/>
    <w:rsid w:val="00FD1ABA"/>
    <w:rsid w:val="00FD1CA8"/>
    <w:rsid w:val="00FD1F38"/>
    <w:rsid w:val="00FD210A"/>
    <w:rsid w:val="00FD21B0"/>
    <w:rsid w:val="00FD25EA"/>
    <w:rsid w:val="00FD2708"/>
    <w:rsid w:val="00FD2725"/>
    <w:rsid w:val="00FD2A17"/>
    <w:rsid w:val="00FD307C"/>
    <w:rsid w:val="00FD30C2"/>
    <w:rsid w:val="00FD31AE"/>
    <w:rsid w:val="00FD32A7"/>
    <w:rsid w:val="00FD339F"/>
    <w:rsid w:val="00FD362A"/>
    <w:rsid w:val="00FD38BC"/>
    <w:rsid w:val="00FD38F3"/>
    <w:rsid w:val="00FD3AB8"/>
    <w:rsid w:val="00FD4103"/>
    <w:rsid w:val="00FD410F"/>
    <w:rsid w:val="00FD438A"/>
    <w:rsid w:val="00FD4499"/>
    <w:rsid w:val="00FD45C5"/>
    <w:rsid w:val="00FD45E4"/>
    <w:rsid w:val="00FD478B"/>
    <w:rsid w:val="00FD4972"/>
    <w:rsid w:val="00FD49B5"/>
    <w:rsid w:val="00FD4A07"/>
    <w:rsid w:val="00FD4BAE"/>
    <w:rsid w:val="00FD4D11"/>
    <w:rsid w:val="00FD5284"/>
    <w:rsid w:val="00FD535A"/>
    <w:rsid w:val="00FD55BC"/>
    <w:rsid w:val="00FD561E"/>
    <w:rsid w:val="00FD5A41"/>
    <w:rsid w:val="00FD5A5C"/>
    <w:rsid w:val="00FD5D12"/>
    <w:rsid w:val="00FD5E96"/>
    <w:rsid w:val="00FD5F49"/>
    <w:rsid w:val="00FD60C1"/>
    <w:rsid w:val="00FD6113"/>
    <w:rsid w:val="00FD6342"/>
    <w:rsid w:val="00FD66E0"/>
    <w:rsid w:val="00FD66F3"/>
    <w:rsid w:val="00FD699E"/>
    <w:rsid w:val="00FD6A95"/>
    <w:rsid w:val="00FD6C20"/>
    <w:rsid w:val="00FD6E4B"/>
    <w:rsid w:val="00FD724B"/>
    <w:rsid w:val="00FD743E"/>
    <w:rsid w:val="00FD7483"/>
    <w:rsid w:val="00FD76E7"/>
    <w:rsid w:val="00FD7848"/>
    <w:rsid w:val="00FD79CE"/>
    <w:rsid w:val="00FD7A4B"/>
    <w:rsid w:val="00FD7C9F"/>
    <w:rsid w:val="00FD7DC1"/>
    <w:rsid w:val="00FE0095"/>
    <w:rsid w:val="00FE0130"/>
    <w:rsid w:val="00FE021D"/>
    <w:rsid w:val="00FE02F1"/>
    <w:rsid w:val="00FE0A2A"/>
    <w:rsid w:val="00FE0B67"/>
    <w:rsid w:val="00FE0C0F"/>
    <w:rsid w:val="00FE0C40"/>
    <w:rsid w:val="00FE0D1F"/>
    <w:rsid w:val="00FE0E6F"/>
    <w:rsid w:val="00FE0F6B"/>
    <w:rsid w:val="00FE1887"/>
    <w:rsid w:val="00FE18BA"/>
    <w:rsid w:val="00FE1B01"/>
    <w:rsid w:val="00FE1B54"/>
    <w:rsid w:val="00FE1D22"/>
    <w:rsid w:val="00FE1D81"/>
    <w:rsid w:val="00FE2263"/>
    <w:rsid w:val="00FE2480"/>
    <w:rsid w:val="00FE26BD"/>
    <w:rsid w:val="00FE2871"/>
    <w:rsid w:val="00FE2895"/>
    <w:rsid w:val="00FE2A6C"/>
    <w:rsid w:val="00FE2B78"/>
    <w:rsid w:val="00FE30E5"/>
    <w:rsid w:val="00FE3102"/>
    <w:rsid w:val="00FE31A7"/>
    <w:rsid w:val="00FE32E6"/>
    <w:rsid w:val="00FE3318"/>
    <w:rsid w:val="00FE34B9"/>
    <w:rsid w:val="00FE36C9"/>
    <w:rsid w:val="00FE37A7"/>
    <w:rsid w:val="00FE3862"/>
    <w:rsid w:val="00FE3A2A"/>
    <w:rsid w:val="00FE3B1E"/>
    <w:rsid w:val="00FE3C12"/>
    <w:rsid w:val="00FE3D2E"/>
    <w:rsid w:val="00FE3DB2"/>
    <w:rsid w:val="00FE3E32"/>
    <w:rsid w:val="00FE3F22"/>
    <w:rsid w:val="00FE3F2A"/>
    <w:rsid w:val="00FE4388"/>
    <w:rsid w:val="00FE45D0"/>
    <w:rsid w:val="00FE4831"/>
    <w:rsid w:val="00FE4C09"/>
    <w:rsid w:val="00FE4D79"/>
    <w:rsid w:val="00FE5336"/>
    <w:rsid w:val="00FE540B"/>
    <w:rsid w:val="00FE5495"/>
    <w:rsid w:val="00FE5634"/>
    <w:rsid w:val="00FE569E"/>
    <w:rsid w:val="00FE5D23"/>
    <w:rsid w:val="00FE5DAC"/>
    <w:rsid w:val="00FE5E3A"/>
    <w:rsid w:val="00FE6121"/>
    <w:rsid w:val="00FE638C"/>
    <w:rsid w:val="00FE69C1"/>
    <w:rsid w:val="00FE6ABB"/>
    <w:rsid w:val="00FE6D1C"/>
    <w:rsid w:val="00FE6ED4"/>
    <w:rsid w:val="00FE7504"/>
    <w:rsid w:val="00FE77D8"/>
    <w:rsid w:val="00FE782F"/>
    <w:rsid w:val="00FE7A0C"/>
    <w:rsid w:val="00FE7A9B"/>
    <w:rsid w:val="00FE7B12"/>
    <w:rsid w:val="00FE7DC0"/>
    <w:rsid w:val="00FE7E1F"/>
    <w:rsid w:val="00FE7EF1"/>
    <w:rsid w:val="00FE7FDD"/>
    <w:rsid w:val="00FF00A9"/>
    <w:rsid w:val="00FF01A2"/>
    <w:rsid w:val="00FF01F7"/>
    <w:rsid w:val="00FF0529"/>
    <w:rsid w:val="00FF0DFF"/>
    <w:rsid w:val="00FF112E"/>
    <w:rsid w:val="00FF15F4"/>
    <w:rsid w:val="00FF16F5"/>
    <w:rsid w:val="00FF184D"/>
    <w:rsid w:val="00FF18CE"/>
    <w:rsid w:val="00FF18E7"/>
    <w:rsid w:val="00FF1911"/>
    <w:rsid w:val="00FF1FAE"/>
    <w:rsid w:val="00FF20CE"/>
    <w:rsid w:val="00FF24E3"/>
    <w:rsid w:val="00FF2A97"/>
    <w:rsid w:val="00FF2C52"/>
    <w:rsid w:val="00FF31A1"/>
    <w:rsid w:val="00FF3203"/>
    <w:rsid w:val="00FF3586"/>
    <w:rsid w:val="00FF3910"/>
    <w:rsid w:val="00FF3CDA"/>
    <w:rsid w:val="00FF3D88"/>
    <w:rsid w:val="00FF3DE0"/>
    <w:rsid w:val="00FF3F42"/>
    <w:rsid w:val="00FF4042"/>
    <w:rsid w:val="00FF40BF"/>
    <w:rsid w:val="00FF4108"/>
    <w:rsid w:val="00FF4661"/>
    <w:rsid w:val="00FF4C82"/>
    <w:rsid w:val="00FF4ECC"/>
    <w:rsid w:val="00FF4F0F"/>
    <w:rsid w:val="00FF4F7D"/>
    <w:rsid w:val="00FF4FDA"/>
    <w:rsid w:val="00FF5541"/>
    <w:rsid w:val="00FF57A8"/>
    <w:rsid w:val="00FF5993"/>
    <w:rsid w:val="00FF5BE6"/>
    <w:rsid w:val="00FF5C62"/>
    <w:rsid w:val="00FF5F3E"/>
    <w:rsid w:val="00FF607A"/>
    <w:rsid w:val="00FF608C"/>
    <w:rsid w:val="00FF611F"/>
    <w:rsid w:val="00FF63EE"/>
    <w:rsid w:val="00FF6414"/>
    <w:rsid w:val="00FF6504"/>
    <w:rsid w:val="00FF655A"/>
    <w:rsid w:val="00FF6595"/>
    <w:rsid w:val="00FF6694"/>
    <w:rsid w:val="00FF66AA"/>
    <w:rsid w:val="00FF6790"/>
    <w:rsid w:val="00FF685B"/>
    <w:rsid w:val="00FF6950"/>
    <w:rsid w:val="00FF6A0C"/>
    <w:rsid w:val="00FF6CD3"/>
    <w:rsid w:val="00FF6CFF"/>
    <w:rsid w:val="00FF6DB2"/>
    <w:rsid w:val="00FF70A5"/>
    <w:rsid w:val="00FF714A"/>
    <w:rsid w:val="00FF71D5"/>
    <w:rsid w:val="00FF722D"/>
    <w:rsid w:val="00FF7297"/>
    <w:rsid w:val="00FF72A3"/>
    <w:rsid w:val="00FF75E1"/>
    <w:rsid w:val="00FF7652"/>
    <w:rsid w:val="00FF7709"/>
    <w:rsid w:val="00FF7A56"/>
    <w:rsid w:val="00FF7B02"/>
    <w:rsid w:val="00FF7D33"/>
    <w:rsid w:val="0134E1D2"/>
    <w:rsid w:val="0141A503"/>
    <w:rsid w:val="017C29A6"/>
    <w:rsid w:val="02B232F2"/>
    <w:rsid w:val="03041359"/>
    <w:rsid w:val="0317EA43"/>
    <w:rsid w:val="0355B40A"/>
    <w:rsid w:val="03673A3B"/>
    <w:rsid w:val="043B60CF"/>
    <w:rsid w:val="04634839"/>
    <w:rsid w:val="046D09F1"/>
    <w:rsid w:val="048BAE83"/>
    <w:rsid w:val="04C3E429"/>
    <w:rsid w:val="04DFF1C0"/>
    <w:rsid w:val="04E35203"/>
    <w:rsid w:val="04FD8C20"/>
    <w:rsid w:val="05251A72"/>
    <w:rsid w:val="0589FFB6"/>
    <w:rsid w:val="058B21F4"/>
    <w:rsid w:val="05954DC9"/>
    <w:rsid w:val="05B4C71C"/>
    <w:rsid w:val="0657A505"/>
    <w:rsid w:val="06795000"/>
    <w:rsid w:val="07311E2A"/>
    <w:rsid w:val="07821D56"/>
    <w:rsid w:val="0854BAED"/>
    <w:rsid w:val="0888A83B"/>
    <w:rsid w:val="08B657F1"/>
    <w:rsid w:val="08C6FE79"/>
    <w:rsid w:val="0966F85C"/>
    <w:rsid w:val="0A7215E4"/>
    <w:rsid w:val="0AC7292B"/>
    <w:rsid w:val="0BB491AB"/>
    <w:rsid w:val="0BE22734"/>
    <w:rsid w:val="0C0BD6E8"/>
    <w:rsid w:val="0CD4ED0D"/>
    <w:rsid w:val="0CE95F8A"/>
    <w:rsid w:val="0D02E7A9"/>
    <w:rsid w:val="0D629B0D"/>
    <w:rsid w:val="0D87D7DE"/>
    <w:rsid w:val="0D98D0BD"/>
    <w:rsid w:val="0E185E35"/>
    <w:rsid w:val="0E9907A1"/>
    <w:rsid w:val="0ECBB708"/>
    <w:rsid w:val="0F1EA510"/>
    <w:rsid w:val="0F4F39FA"/>
    <w:rsid w:val="0F538147"/>
    <w:rsid w:val="0F6BEBFB"/>
    <w:rsid w:val="0FC1BE9C"/>
    <w:rsid w:val="115AF9AB"/>
    <w:rsid w:val="116F78C6"/>
    <w:rsid w:val="1192C203"/>
    <w:rsid w:val="11F468DB"/>
    <w:rsid w:val="127D31A2"/>
    <w:rsid w:val="12A27C8E"/>
    <w:rsid w:val="13235E12"/>
    <w:rsid w:val="1327CF85"/>
    <w:rsid w:val="13BD4343"/>
    <w:rsid w:val="13C0CDCA"/>
    <w:rsid w:val="1448BE98"/>
    <w:rsid w:val="145EEACA"/>
    <w:rsid w:val="17675227"/>
    <w:rsid w:val="17700D74"/>
    <w:rsid w:val="178C9B9E"/>
    <w:rsid w:val="1875D6BD"/>
    <w:rsid w:val="18D697DE"/>
    <w:rsid w:val="192555D3"/>
    <w:rsid w:val="1AD8FB2B"/>
    <w:rsid w:val="1B08AA90"/>
    <w:rsid w:val="1B8222C4"/>
    <w:rsid w:val="1C33FCBA"/>
    <w:rsid w:val="1CE37D0A"/>
    <w:rsid w:val="1E479663"/>
    <w:rsid w:val="1E4BBA7F"/>
    <w:rsid w:val="1E90E313"/>
    <w:rsid w:val="1ED662D9"/>
    <w:rsid w:val="1ED6644B"/>
    <w:rsid w:val="1EE373DD"/>
    <w:rsid w:val="1FE7B27C"/>
    <w:rsid w:val="2012B311"/>
    <w:rsid w:val="20439D41"/>
    <w:rsid w:val="219216F3"/>
    <w:rsid w:val="22541DF4"/>
    <w:rsid w:val="22F36BED"/>
    <w:rsid w:val="232D0D9C"/>
    <w:rsid w:val="23C523D1"/>
    <w:rsid w:val="246E697E"/>
    <w:rsid w:val="24E76F77"/>
    <w:rsid w:val="25ACEFB6"/>
    <w:rsid w:val="25ADD865"/>
    <w:rsid w:val="25C97049"/>
    <w:rsid w:val="25D065CD"/>
    <w:rsid w:val="25D7769A"/>
    <w:rsid w:val="2675B74B"/>
    <w:rsid w:val="26A193F2"/>
    <w:rsid w:val="27035D25"/>
    <w:rsid w:val="276B0A99"/>
    <w:rsid w:val="27B288CE"/>
    <w:rsid w:val="2892AE3B"/>
    <w:rsid w:val="290732BB"/>
    <w:rsid w:val="2956BB0C"/>
    <w:rsid w:val="29D6F3C6"/>
    <w:rsid w:val="2B6941A4"/>
    <w:rsid w:val="2BD3E3EB"/>
    <w:rsid w:val="2BF915D0"/>
    <w:rsid w:val="2C6035DE"/>
    <w:rsid w:val="2DDC5135"/>
    <w:rsid w:val="2E66A404"/>
    <w:rsid w:val="2F017A5E"/>
    <w:rsid w:val="30006BAB"/>
    <w:rsid w:val="3091496E"/>
    <w:rsid w:val="30BD6AE5"/>
    <w:rsid w:val="3121B8EA"/>
    <w:rsid w:val="312EAE8C"/>
    <w:rsid w:val="321D062D"/>
    <w:rsid w:val="32A61CBE"/>
    <w:rsid w:val="3337E52F"/>
    <w:rsid w:val="339CC5D7"/>
    <w:rsid w:val="33DEB695"/>
    <w:rsid w:val="33E7715C"/>
    <w:rsid w:val="345C1950"/>
    <w:rsid w:val="3482D6B5"/>
    <w:rsid w:val="34CE5721"/>
    <w:rsid w:val="3532A8C2"/>
    <w:rsid w:val="365A3FE4"/>
    <w:rsid w:val="36824918"/>
    <w:rsid w:val="3722ADAC"/>
    <w:rsid w:val="372CE559"/>
    <w:rsid w:val="37A78BC6"/>
    <w:rsid w:val="387ACF07"/>
    <w:rsid w:val="38A186D9"/>
    <w:rsid w:val="38A2D9A9"/>
    <w:rsid w:val="38D5260A"/>
    <w:rsid w:val="396BA5D7"/>
    <w:rsid w:val="3A1A1D91"/>
    <w:rsid w:val="3A3B473F"/>
    <w:rsid w:val="3A3F3361"/>
    <w:rsid w:val="3ACDE60D"/>
    <w:rsid w:val="3B8F2E40"/>
    <w:rsid w:val="3BD3F9A5"/>
    <w:rsid w:val="3C0ABAB4"/>
    <w:rsid w:val="3CD11141"/>
    <w:rsid w:val="3D1FB6F1"/>
    <w:rsid w:val="3D327024"/>
    <w:rsid w:val="3D5B23FA"/>
    <w:rsid w:val="3DCA056A"/>
    <w:rsid w:val="3E9D9653"/>
    <w:rsid w:val="3F1D0058"/>
    <w:rsid w:val="3F95DED0"/>
    <w:rsid w:val="3FCDDD71"/>
    <w:rsid w:val="3FCE37AD"/>
    <w:rsid w:val="3FE14D78"/>
    <w:rsid w:val="40230F68"/>
    <w:rsid w:val="403CC51E"/>
    <w:rsid w:val="40773E61"/>
    <w:rsid w:val="421A3CAD"/>
    <w:rsid w:val="421DDF8C"/>
    <w:rsid w:val="427A8A3F"/>
    <w:rsid w:val="4282DF3E"/>
    <w:rsid w:val="44ADA897"/>
    <w:rsid w:val="44CA3B63"/>
    <w:rsid w:val="44E3DE5F"/>
    <w:rsid w:val="4518A176"/>
    <w:rsid w:val="46237254"/>
    <w:rsid w:val="4738ED9B"/>
    <w:rsid w:val="475B282B"/>
    <w:rsid w:val="4760E841"/>
    <w:rsid w:val="47EFCD38"/>
    <w:rsid w:val="4913EDFC"/>
    <w:rsid w:val="49402B3B"/>
    <w:rsid w:val="4A1C537A"/>
    <w:rsid w:val="4ACBB525"/>
    <w:rsid w:val="4B5A4235"/>
    <w:rsid w:val="4BB26E23"/>
    <w:rsid w:val="4C463A4F"/>
    <w:rsid w:val="4CE92DEA"/>
    <w:rsid w:val="4D4D293D"/>
    <w:rsid w:val="4DAAFD2F"/>
    <w:rsid w:val="4DAC7631"/>
    <w:rsid w:val="4DDB52EC"/>
    <w:rsid w:val="4E2C2287"/>
    <w:rsid w:val="4E724106"/>
    <w:rsid w:val="4F7A195E"/>
    <w:rsid w:val="4FE165F2"/>
    <w:rsid w:val="50EFDFB6"/>
    <w:rsid w:val="5103D465"/>
    <w:rsid w:val="510D61AF"/>
    <w:rsid w:val="51F43CEC"/>
    <w:rsid w:val="52C2439E"/>
    <w:rsid w:val="5342CD23"/>
    <w:rsid w:val="534874B0"/>
    <w:rsid w:val="5389E8F5"/>
    <w:rsid w:val="5604AEEF"/>
    <w:rsid w:val="560C510C"/>
    <w:rsid w:val="560C70F3"/>
    <w:rsid w:val="563FC286"/>
    <w:rsid w:val="56785DA4"/>
    <w:rsid w:val="568B349C"/>
    <w:rsid w:val="570189E5"/>
    <w:rsid w:val="5801EA51"/>
    <w:rsid w:val="584ADC8E"/>
    <w:rsid w:val="59A46123"/>
    <w:rsid w:val="59CEE552"/>
    <w:rsid w:val="59ECABC6"/>
    <w:rsid w:val="5A96DAE7"/>
    <w:rsid w:val="5C0C862C"/>
    <w:rsid w:val="5C1CEF1D"/>
    <w:rsid w:val="5CEE94E1"/>
    <w:rsid w:val="5DFF3214"/>
    <w:rsid w:val="5E54BB75"/>
    <w:rsid w:val="5F057352"/>
    <w:rsid w:val="5F1231D5"/>
    <w:rsid w:val="5F2F9AA4"/>
    <w:rsid w:val="5F5708A0"/>
    <w:rsid w:val="60D8BEF6"/>
    <w:rsid w:val="60EE6699"/>
    <w:rsid w:val="6169235C"/>
    <w:rsid w:val="61A01A2D"/>
    <w:rsid w:val="61EBD0C1"/>
    <w:rsid w:val="625B9D22"/>
    <w:rsid w:val="63F85142"/>
    <w:rsid w:val="642D0533"/>
    <w:rsid w:val="64782AB6"/>
    <w:rsid w:val="655F0D42"/>
    <w:rsid w:val="667CF101"/>
    <w:rsid w:val="66AF7CAD"/>
    <w:rsid w:val="67F4AACF"/>
    <w:rsid w:val="682C9984"/>
    <w:rsid w:val="68C5C65F"/>
    <w:rsid w:val="68E2B380"/>
    <w:rsid w:val="691F922E"/>
    <w:rsid w:val="69569B18"/>
    <w:rsid w:val="69CD8B98"/>
    <w:rsid w:val="69FB20F8"/>
    <w:rsid w:val="6A2B770B"/>
    <w:rsid w:val="6A6E7180"/>
    <w:rsid w:val="6A930045"/>
    <w:rsid w:val="6B28B6DF"/>
    <w:rsid w:val="6B8A3F56"/>
    <w:rsid w:val="6BDA3C92"/>
    <w:rsid w:val="6C138F9C"/>
    <w:rsid w:val="6CE22A82"/>
    <w:rsid w:val="6D5FC393"/>
    <w:rsid w:val="6D74B137"/>
    <w:rsid w:val="6D7A8119"/>
    <w:rsid w:val="6D882DA4"/>
    <w:rsid w:val="6DDDD738"/>
    <w:rsid w:val="6E4644D7"/>
    <w:rsid w:val="6E4E51D7"/>
    <w:rsid w:val="6E5E0B73"/>
    <w:rsid w:val="6E9E0EAD"/>
    <w:rsid w:val="6EBD755A"/>
    <w:rsid w:val="6F014C6A"/>
    <w:rsid w:val="6F4FEB40"/>
    <w:rsid w:val="707B3946"/>
    <w:rsid w:val="70A31832"/>
    <w:rsid w:val="70EC8B5A"/>
    <w:rsid w:val="7150E0FD"/>
    <w:rsid w:val="71C54FF9"/>
    <w:rsid w:val="71FFA7DD"/>
    <w:rsid w:val="72036BA7"/>
    <w:rsid w:val="727B3451"/>
    <w:rsid w:val="7293AF3A"/>
    <w:rsid w:val="7374D758"/>
    <w:rsid w:val="7410B9DA"/>
    <w:rsid w:val="74F64E98"/>
    <w:rsid w:val="763567FD"/>
    <w:rsid w:val="767D5BCD"/>
    <w:rsid w:val="768868C8"/>
    <w:rsid w:val="76F51D33"/>
    <w:rsid w:val="770C4F3E"/>
    <w:rsid w:val="771C63D1"/>
    <w:rsid w:val="77357BDA"/>
    <w:rsid w:val="774615CE"/>
    <w:rsid w:val="77565737"/>
    <w:rsid w:val="776057B9"/>
    <w:rsid w:val="77708711"/>
    <w:rsid w:val="77A80AAE"/>
    <w:rsid w:val="77E3B527"/>
    <w:rsid w:val="77F1C321"/>
    <w:rsid w:val="77FC021A"/>
    <w:rsid w:val="78BD03EC"/>
    <w:rsid w:val="7912ACEF"/>
    <w:rsid w:val="7922D879"/>
    <w:rsid w:val="792CEA74"/>
    <w:rsid w:val="795D1820"/>
    <w:rsid w:val="7BA94AF8"/>
    <w:rsid w:val="7BBA2E01"/>
    <w:rsid w:val="7C7410D7"/>
    <w:rsid w:val="7CBD8320"/>
    <w:rsid w:val="7D5F585D"/>
    <w:rsid w:val="7D9DDD1D"/>
    <w:rsid w:val="7EBB21B9"/>
    <w:rsid w:val="7ED9C9B2"/>
    <w:rsid w:val="7EE34064"/>
    <w:rsid w:val="7EF409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897B38"/>
  <w15:docId w15:val="{64824362-15A6-4E3C-B9C6-3AD1EFC4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B19"/>
    <w:pPr>
      <w:spacing w:before="120" w:after="0"/>
    </w:pPr>
    <w:rPr>
      <w:sz w:val="21"/>
    </w:rPr>
  </w:style>
  <w:style w:type="paragraph" w:styleId="Heading1">
    <w:name w:val="heading 1"/>
    <w:basedOn w:val="Normal"/>
    <w:next w:val="Normal"/>
    <w:link w:val="Heading1Char"/>
    <w:uiPriority w:val="9"/>
    <w:qFormat/>
    <w:rsid w:val="00026400"/>
    <w:pPr>
      <w:keepNext/>
      <w:keepLines/>
      <w:pageBreakBefore/>
      <w:numPr>
        <w:numId w:val="7"/>
      </w:numPr>
      <w:pBdr>
        <w:bottom w:val="single" w:sz="4" w:space="1" w:color="1A5D9B" w:themeColor="accent1"/>
      </w:pBdr>
      <w:spacing w:before="360" w:after="240"/>
      <w:ind w:left="431" w:hanging="431"/>
      <w:contextualSpacing/>
      <w:outlineLvl w:val="0"/>
    </w:pPr>
    <w:rPr>
      <w:rFonts w:asciiTheme="majorHAnsi" w:eastAsiaTheme="majorEastAsia" w:hAnsiTheme="majorHAnsi" w:cstheme="majorBidi"/>
      <w:b/>
      <w:bCs/>
      <w:color w:val="1A5D9B" w:themeColor="accent1"/>
      <w:sz w:val="34"/>
      <w:szCs w:val="28"/>
    </w:rPr>
  </w:style>
  <w:style w:type="paragraph" w:styleId="Heading2">
    <w:name w:val="heading 2"/>
    <w:aliases w:val="h2,2 headline,h,Level 2,2m,Head 2,Head 21,Head 22,Clause 1,Level 2 Head,H2,proj2,proj21,proj22,proj23,proj24,proj25,proj26,proj27,proj28,proj29,proj210,proj211,proj212,proj221,proj231,proj241,proj251,proj261,proj271,proj281,proj291,proj2101"/>
    <w:basedOn w:val="Normal"/>
    <w:next w:val="Normal"/>
    <w:link w:val="Heading2Char"/>
    <w:uiPriority w:val="9"/>
    <w:unhideWhenUsed/>
    <w:qFormat/>
    <w:rsid w:val="002E77A1"/>
    <w:pPr>
      <w:keepNext/>
      <w:keepLines/>
      <w:numPr>
        <w:ilvl w:val="1"/>
        <w:numId w:val="7"/>
      </w:numPr>
      <w:spacing w:before="240" w:after="120"/>
      <w:ind w:left="567"/>
      <w:outlineLvl w:val="1"/>
    </w:pPr>
    <w:rPr>
      <w:rFonts w:asciiTheme="majorHAnsi" w:eastAsiaTheme="majorEastAsia" w:hAnsiTheme="majorHAnsi" w:cstheme="majorBidi"/>
      <w:bCs/>
      <w:color w:val="1A5D9B" w:themeColor="accent1"/>
      <w:sz w:val="24"/>
      <w:szCs w:val="24"/>
    </w:rPr>
  </w:style>
  <w:style w:type="paragraph" w:styleId="Heading3">
    <w:name w:val="heading 3"/>
    <w:aliases w:val="Numbered Heading,3 bullet,b,2,Head 3,DOD Heading 3,Level 3 Head,proj3,proj31,proj32,proj33,proj34,proj35,proj36,proj37,proj38,proj39,proj310,proj311,proj312,proj321,proj331,proj341,proj351,proj361,proj371,proj381,proj391,proj3101,proj3111,h3"/>
    <w:basedOn w:val="Normal"/>
    <w:next w:val="Normal"/>
    <w:link w:val="Heading3Char"/>
    <w:uiPriority w:val="9"/>
    <w:unhideWhenUsed/>
    <w:qFormat/>
    <w:rsid w:val="008A55F1"/>
    <w:pPr>
      <w:keepNext/>
      <w:keepLines/>
      <w:numPr>
        <w:ilvl w:val="2"/>
        <w:numId w:val="7"/>
      </w:numPr>
      <w:spacing w:before="200" w:line="271" w:lineRule="auto"/>
      <w:outlineLvl w:val="2"/>
    </w:pPr>
    <w:rPr>
      <w:rFonts w:asciiTheme="majorHAnsi" w:eastAsiaTheme="majorEastAsia" w:hAnsiTheme="majorHAnsi" w:cstheme="majorBidi"/>
      <w:bCs/>
      <w:color w:val="1A5D9B" w:themeColor="accent1"/>
    </w:rPr>
  </w:style>
  <w:style w:type="paragraph" w:styleId="Heading4">
    <w:name w:val="heading 4"/>
    <w:aliases w:val="Sub-head within body"/>
    <w:basedOn w:val="Normal"/>
    <w:next w:val="Normal"/>
    <w:link w:val="Heading4Char"/>
    <w:uiPriority w:val="9"/>
    <w:unhideWhenUsed/>
    <w:qFormat/>
    <w:rsid w:val="00442D70"/>
    <w:pPr>
      <w:spacing w:before="200"/>
      <w:outlineLvl w:val="3"/>
    </w:pPr>
    <w:rPr>
      <w:rFonts w:asciiTheme="majorHAnsi" w:eastAsiaTheme="majorEastAsia" w:hAnsiTheme="majorHAnsi" w:cstheme="majorBidi"/>
      <w:b/>
      <w:bCs/>
      <w:i/>
      <w:iCs/>
    </w:rPr>
  </w:style>
  <w:style w:type="paragraph" w:styleId="Heading5">
    <w:name w:val="heading 5"/>
    <w:aliases w:val="Heading within sub-heading"/>
    <w:basedOn w:val="Normal"/>
    <w:next w:val="Normal"/>
    <w:link w:val="Heading5Char"/>
    <w:uiPriority w:val="9"/>
    <w:unhideWhenUsed/>
    <w:qFormat/>
    <w:rsid w:val="00BE75E8"/>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E75E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E75E8"/>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E75E8"/>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E75E8"/>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List Paragraph1,Recommendation,List Paragraph11,L,bullet point list,Bullet point,NFP GP Bulleted List,List Paragraph - bullets,1 heading,Bulleted Para,Bullet points,Content descriptions,Bullet Point,NAST Quote,FooterText"/>
    <w:basedOn w:val="Normal"/>
    <w:link w:val="ListParagraphChar"/>
    <w:uiPriority w:val="34"/>
    <w:qFormat/>
    <w:rsid w:val="00BE75E8"/>
    <w:pPr>
      <w:ind w:left="720"/>
      <w:contextualSpacing/>
    </w:pPr>
  </w:style>
  <w:style w:type="character" w:customStyle="1" w:styleId="Heading1Char">
    <w:name w:val="Heading 1 Char"/>
    <w:basedOn w:val="DefaultParagraphFont"/>
    <w:link w:val="Heading1"/>
    <w:uiPriority w:val="9"/>
    <w:rsid w:val="00026400"/>
    <w:rPr>
      <w:rFonts w:asciiTheme="majorHAnsi" w:eastAsiaTheme="majorEastAsia" w:hAnsiTheme="majorHAnsi" w:cstheme="majorBidi"/>
      <w:b/>
      <w:bCs/>
      <w:color w:val="1A5D9B" w:themeColor="accent1"/>
      <w:sz w:val="34"/>
      <w:szCs w:val="28"/>
    </w:rPr>
  </w:style>
  <w:style w:type="character" w:customStyle="1" w:styleId="Heading2Char">
    <w:name w:val="Heading 2 Char"/>
    <w:aliases w:val="h2 Char,2 headline Char,h Char,Level 2 Char,2m Char,Head 2 Char,Head 21 Char,Head 22 Char,Clause 1 Char,Level 2 Head Char,H2 Char,proj2 Char,proj21 Char,proj22 Char,proj23 Char,proj24 Char,proj25 Char,proj26 Char,proj27 Char,proj28 Char"/>
    <w:basedOn w:val="DefaultParagraphFont"/>
    <w:link w:val="Heading2"/>
    <w:uiPriority w:val="9"/>
    <w:rsid w:val="002E77A1"/>
    <w:rPr>
      <w:rFonts w:asciiTheme="majorHAnsi" w:eastAsiaTheme="majorEastAsia" w:hAnsiTheme="majorHAnsi" w:cstheme="majorBidi"/>
      <w:bCs/>
      <w:color w:val="1A5D9B" w:themeColor="accent1"/>
      <w:sz w:val="24"/>
      <w:szCs w:val="24"/>
    </w:rPr>
  </w:style>
  <w:style w:type="character" w:customStyle="1" w:styleId="Heading3Char">
    <w:name w:val="Heading 3 Char"/>
    <w:aliases w:val="Numbered Heading Char,3 bullet Char,b Char,2 Char,Head 3 Char,DOD Heading 3 Char,Level 3 Head Char,proj3 Char,proj31 Char,proj32 Char,proj33 Char,proj34 Char,proj35 Char,proj36 Char,proj37 Char,proj38 Char,proj39 Char,proj310 Char,h3 Char"/>
    <w:basedOn w:val="DefaultParagraphFont"/>
    <w:link w:val="Heading3"/>
    <w:uiPriority w:val="9"/>
    <w:rsid w:val="008A55F1"/>
    <w:rPr>
      <w:rFonts w:asciiTheme="majorHAnsi" w:eastAsiaTheme="majorEastAsia" w:hAnsiTheme="majorHAnsi" w:cstheme="majorBidi"/>
      <w:bCs/>
      <w:color w:val="1A5D9B" w:themeColor="accent1"/>
      <w:sz w:val="21"/>
    </w:rPr>
  </w:style>
  <w:style w:type="character" w:customStyle="1" w:styleId="Heading4Char">
    <w:name w:val="Heading 4 Char"/>
    <w:aliases w:val="Sub-head within body Char"/>
    <w:basedOn w:val="DefaultParagraphFont"/>
    <w:link w:val="Heading4"/>
    <w:uiPriority w:val="9"/>
    <w:rsid w:val="00442D70"/>
    <w:rPr>
      <w:rFonts w:asciiTheme="majorHAnsi" w:eastAsiaTheme="majorEastAsia" w:hAnsiTheme="majorHAnsi" w:cstheme="majorBidi"/>
      <w:b/>
      <w:bCs/>
      <w:i/>
      <w:iCs/>
    </w:rPr>
  </w:style>
  <w:style w:type="character" w:customStyle="1" w:styleId="Heading5Char">
    <w:name w:val="Heading 5 Char"/>
    <w:aliases w:val="Heading within sub-heading Char"/>
    <w:basedOn w:val="DefaultParagraphFont"/>
    <w:link w:val="Heading5"/>
    <w:uiPriority w:val="9"/>
    <w:rsid w:val="00BE75E8"/>
    <w:rPr>
      <w:rFonts w:asciiTheme="majorHAnsi" w:eastAsiaTheme="majorEastAsia" w:hAnsiTheme="majorHAnsi" w:cstheme="majorBidi"/>
      <w:b/>
      <w:bCs/>
      <w:color w:val="7F7F7F" w:themeColor="text1" w:themeTint="80"/>
      <w:sz w:val="21"/>
    </w:rPr>
  </w:style>
  <w:style w:type="character" w:customStyle="1" w:styleId="Heading6Char">
    <w:name w:val="Heading 6 Char"/>
    <w:basedOn w:val="DefaultParagraphFont"/>
    <w:link w:val="Heading6"/>
    <w:uiPriority w:val="9"/>
    <w:rsid w:val="00BE75E8"/>
    <w:rPr>
      <w:rFonts w:asciiTheme="majorHAnsi" w:eastAsiaTheme="majorEastAsia" w:hAnsiTheme="majorHAnsi" w:cstheme="majorBidi"/>
      <w:b/>
      <w:bCs/>
      <w:i/>
      <w:iCs/>
      <w:color w:val="7F7F7F" w:themeColor="text1" w:themeTint="80"/>
      <w:sz w:val="21"/>
    </w:rPr>
  </w:style>
  <w:style w:type="character" w:customStyle="1" w:styleId="Heading7Char">
    <w:name w:val="Heading 7 Char"/>
    <w:basedOn w:val="DefaultParagraphFont"/>
    <w:link w:val="Heading7"/>
    <w:uiPriority w:val="9"/>
    <w:rsid w:val="00BE75E8"/>
    <w:rPr>
      <w:rFonts w:asciiTheme="majorHAnsi" w:eastAsiaTheme="majorEastAsia" w:hAnsiTheme="majorHAnsi" w:cstheme="majorBidi"/>
      <w:i/>
      <w:iCs/>
      <w:sz w:val="21"/>
    </w:rPr>
  </w:style>
  <w:style w:type="character" w:customStyle="1" w:styleId="Heading8Char">
    <w:name w:val="Heading 8 Char"/>
    <w:basedOn w:val="DefaultParagraphFont"/>
    <w:link w:val="Heading8"/>
    <w:uiPriority w:val="9"/>
    <w:rsid w:val="00BE75E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E75E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E75E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E75E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BE75E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E75E8"/>
    <w:rPr>
      <w:rFonts w:asciiTheme="majorHAnsi" w:eastAsiaTheme="majorEastAsia" w:hAnsiTheme="majorHAnsi" w:cstheme="majorBidi"/>
      <w:i/>
      <w:iCs/>
      <w:spacing w:val="13"/>
      <w:sz w:val="24"/>
      <w:szCs w:val="24"/>
    </w:rPr>
  </w:style>
  <w:style w:type="character" w:styleId="Strong">
    <w:name w:val="Strong"/>
    <w:uiPriority w:val="22"/>
    <w:qFormat/>
    <w:rsid w:val="00BE75E8"/>
    <w:rPr>
      <w:b/>
      <w:bCs/>
    </w:rPr>
  </w:style>
  <w:style w:type="character" w:styleId="Emphasis">
    <w:name w:val="Emphasis"/>
    <w:uiPriority w:val="20"/>
    <w:qFormat/>
    <w:rsid w:val="00BE75E8"/>
    <w:rPr>
      <w:b/>
      <w:bCs/>
      <w:i/>
      <w:iCs/>
      <w:spacing w:val="10"/>
      <w:bdr w:val="none" w:sz="0" w:space="0" w:color="auto"/>
      <w:shd w:val="clear" w:color="auto" w:fill="auto"/>
    </w:rPr>
  </w:style>
  <w:style w:type="paragraph" w:styleId="NoSpacing">
    <w:name w:val="No Spacing"/>
    <w:link w:val="NoSpacingChar"/>
    <w:uiPriority w:val="1"/>
    <w:qFormat/>
    <w:rsid w:val="00071F9B"/>
    <w:pPr>
      <w:spacing w:after="0" w:line="240" w:lineRule="auto"/>
    </w:pPr>
    <w:rPr>
      <w:sz w:val="21"/>
    </w:rPr>
  </w:style>
  <w:style w:type="paragraph" w:styleId="Quote">
    <w:name w:val="Quote"/>
    <w:basedOn w:val="Normal"/>
    <w:next w:val="Normal"/>
    <w:link w:val="QuoteChar"/>
    <w:uiPriority w:val="29"/>
    <w:qFormat/>
    <w:rsid w:val="000D0A5B"/>
    <w:pPr>
      <w:spacing w:before="200"/>
      <w:ind w:left="360" w:right="360"/>
    </w:pPr>
    <w:rPr>
      <w:i/>
      <w:iCs/>
      <w:color w:val="1A5D9B" w:themeColor="accent1"/>
      <w:sz w:val="19"/>
    </w:rPr>
  </w:style>
  <w:style w:type="character" w:customStyle="1" w:styleId="QuoteChar">
    <w:name w:val="Quote Char"/>
    <w:basedOn w:val="DefaultParagraphFont"/>
    <w:link w:val="Quote"/>
    <w:uiPriority w:val="29"/>
    <w:rsid w:val="000D0A5B"/>
    <w:rPr>
      <w:i/>
      <w:iCs/>
      <w:color w:val="1A5D9B" w:themeColor="accent1"/>
      <w:sz w:val="19"/>
    </w:rPr>
  </w:style>
  <w:style w:type="paragraph" w:styleId="IntenseQuote">
    <w:name w:val="Intense Quote"/>
    <w:basedOn w:val="Normal"/>
    <w:next w:val="Normal"/>
    <w:link w:val="IntenseQuoteChar"/>
    <w:uiPriority w:val="30"/>
    <w:qFormat/>
    <w:rsid w:val="00BE75E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E75E8"/>
    <w:rPr>
      <w:b/>
      <w:bCs/>
      <w:i/>
      <w:iCs/>
    </w:rPr>
  </w:style>
  <w:style w:type="character" w:styleId="SubtleEmphasis">
    <w:name w:val="Subtle Emphasis"/>
    <w:uiPriority w:val="19"/>
    <w:rsid w:val="00BE75E8"/>
    <w:rPr>
      <w:i/>
      <w:iCs/>
    </w:rPr>
  </w:style>
  <w:style w:type="character" w:styleId="IntenseEmphasis">
    <w:name w:val="Intense Emphasis"/>
    <w:uiPriority w:val="21"/>
    <w:rsid w:val="00BE75E8"/>
    <w:rPr>
      <w:b/>
      <w:bCs/>
    </w:rPr>
  </w:style>
  <w:style w:type="character" w:styleId="SubtleReference">
    <w:name w:val="Subtle Reference"/>
    <w:uiPriority w:val="31"/>
    <w:rsid w:val="00BE75E8"/>
    <w:rPr>
      <w:smallCaps/>
    </w:rPr>
  </w:style>
  <w:style w:type="character" w:styleId="IntenseReference">
    <w:name w:val="Intense Reference"/>
    <w:uiPriority w:val="32"/>
    <w:rsid w:val="00BE75E8"/>
    <w:rPr>
      <w:smallCaps/>
      <w:spacing w:val="5"/>
      <w:u w:val="single"/>
    </w:rPr>
  </w:style>
  <w:style w:type="character" w:styleId="BookTitle">
    <w:name w:val="Book Title"/>
    <w:uiPriority w:val="33"/>
    <w:qFormat/>
    <w:rsid w:val="00BE75E8"/>
    <w:rPr>
      <w:i/>
      <w:iCs/>
      <w:smallCaps/>
      <w:spacing w:val="5"/>
    </w:rPr>
  </w:style>
  <w:style w:type="paragraph" w:styleId="TOCHeading">
    <w:name w:val="TOC Heading"/>
    <w:basedOn w:val="Heading1"/>
    <w:next w:val="Normal"/>
    <w:uiPriority w:val="39"/>
    <w:unhideWhenUsed/>
    <w:qFormat/>
    <w:rsid w:val="009A38B1"/>
    <w:pPr>
      <w:numPr>
        <w:numId w:val="0"/>
      </w:numPr>
      <w:jc w:val="center"/>
      <w:outlineLvl w:val="9"/>
    </w:pPr>
    <w:rPr>
      <w:rFonts w:asciiTheme="minorHAnsi" w:eastAsiaTheme="minorHAnsi" w:hAnsiTheme="minorHAnsi" w:cstheme="minorBidi"/>
      <w:sz w:val="28"/>
      <w:lang w:bidi="en-US"/>
    </w:rPr>
  </w:style>
  <w:style w:type="paragraph" w:styleId="Header">
    <w:name w:val="header"/>
    <w:basedOn w:val="Normal"/>
    <w:link w:val="HeaderChar"/>
    <w:uiPriority w:val="99"/>
    <w:unhideWhenUsed/>
    <w:rsid w:val="00C64FBB"/>
    <w:pPr>
      <w:tabs>
        <w:tab w:val="center" w:pos="4513"/>
        <w:tab w:val="right" w:pos="9026"/>
      </w:tabs>
    </w:pPr>
  </w:style>
  <w:style w:type="character" w:customStyle="1" w:styleId="HeaderChar">
    <w:name w:val="Header Char"/>
    <w:basedOn w:val="DefaultParagraphFont"/>
    <w:link w:val="Header"/>
    <w:uiPriority w:val="99"/>
    <w:rsid w:val="00C64FBB"/>
  </w:style>
  <w:style w:type="paragraph" w:styleId="Footer">
    <w:name w:val="footer"/>
    <w:basedOn w:val="FootnoteText"/>
    <w:link w:val="FooterChar"/>
    <w:uiPriority w:val="99"/>
    <w:unhideWhenUsed/>
    <w:rsid w:val="002929B4"/>
    <w:pPr>
      <w:jc w:val="left"/>
    </w:pPr>
  </w:style>
  <w:style w:type="character" w:customStyle="1" w:styleId="FooterChar">
    <w:name w:val="Footer Char"/>
    <w:basedOn w:val="DefaultParagraphFont"/>
    <w:link w:val="Footer"/>
    <w:uiPriority w:val="99"/>
    <w:rsid w:val="002929B4"/>
    <w:rPr>
      <w:rFonts w:ascii="Arial" w:eastAsia="Arial" w:hAnsi="Arial" w:cs="Times New Roman"/>
      <w:sz w:val="18"/>
    </w:rPr>
  </w:style>
  <w:style w:type="paragraph" w:styleId="BalloonText">
    <w:name w:val="Balloon Text"/>
    <w:basedOn w:val="Normal"/>
    <w:link w:val="BalloonTextChar"/>
    <w:uiPriority w:val="99"/>
    <w:semiHidden/>
    <w:unhideWhenUsed/>
    <w:rsid w:val="00C64FBB"/>
    <w:rPr>
      <w:rFonts w:ascii="Tahoma" w:hAnsi="Tahoma" w:cs="Tahoma"/>
      <w:sz w:val="16"/>
      <w:szCs w:val="16"/>
    </w:rPr>
  </w:style>
  <w:style w:type="character" w:customStyle="1" w:styleId="BalloonTextChar">
    <w:name w:val="Balloon Text Char"/>
    <w:basedOn w:val="DefaultParagraphFont"/>
    <w:link w:val="BalloonText"/>
    <w:uiPriority w:val="99"/>
    <w:semiHidden/>
    <w:rsid w:val="00C64FBB"/>
    <w:rPr>
      <w:rFonts w:ascii="Tahoma" w:hAnsi="Tahoma" w:cs="Tahoma"/>
      <w:sz w:val="16"/>
      <w:szCs w:val="16"/>
    </w:rPr>
  </w:style>
  <w:style w:type="character" w:styleId="Hyperlink">
    <w:name w:val="Hyperlink"/>
    <w:uiPriority w:val="99"/>
    <w:rsid w:val="00614945"/>
  </w:style>
  <w:style w:type="paragraph" w:customStyle="1" w:styleId="AcknowledgementsSub-head">
    <w:name w:val="Acknowledgements Sub-head"/>
    <w:basedOn w:val="Normal"/>
    <w:link w:val="AcknowledgementsSub-headChar"/>
    <w:qFormat/>
    <w:rsid w:val="00D54BC7"/>
    <w:pPr>
      <w:spacing w:after="120"/>
      <w:contextualSpacing/>
    </w:pPr>
    <w:rPr>
      <w:rFonts w:ascii="Arial" w:eastAsia="Arial" w:hAnsi="Arial" w:cs="Times New Roman"/>
      <w:b/>
      <w:color w:val="242852" w:themeColor="text2"/>
    </w:rPr>
  </w:style>
  <w:style w:type="character" w:customStyle="1" w:styleId="AcknowledgementsSub-headChar">
    <w:name w:val="Acknowledgements Sub-head Char"/>
    <w:link w:val="AcknowledgementsSub-head"/>
    <w:rsid w:val="00D54BC7"/>
    <w:rPr>
      <w:rFonts w:ascii="Arial" w:eastAsia="Arial" w:hAnsi="Arial" w:cs="Times New Roman"/>
      <w:b/>
      <w:color w:val="242852" w:themeColor="text2"/>
      <w:sz w:val="21"/>
    </w:rPr>
  </w:style>
  <w:style w:type="paragraph" w:customStyle="1" w:styleId="Body-text">
    <w:name w:val="Body-text"/>
    <w:basedOn w:val="BodyText"/>
    <w:autoRedefine/>
    <w:rsid w:val="00550484"/>
    <w:rPr>
      <w:rFonts w:ascii="Arial" w:eastAsia="Arial" w:hAnsi="Arial" w:cs="Times New Roman"/>
    </w:rPr>
  </w:style>
  <w:style w:type="paragraph" w:customStyle="1" w:styleId="AcknowledgementsHeading">
    <w:name w:val="Acknowledgements Heading"/>
    <w:basedOn w:val="Normal"/>
    <w:link w:val="AcknowledgementsHeadingChar"/>
    <w:qFormat/>
    <w:rsid w:val="00453D8E"/>
    <w:pPr>
      <w:keepNext/>
      <w:keepLines/>
      <w:spacing w:after="120"/>
      <w:outlineLvl w:val="4"/>
    </w:pPr>
    <w:rPr>
      <w:rFonts w:ascii="Arial" w:eastAsia="Times New Roman" w:hAnsi="Arial" w:cs="Arial"/>
      <w:b/>
      <w:color w:val="242852" w:themeColor="text2"/>
      <w:sz w:val="28"/>
      <w:szCs w:val="28"/>
      <w:lang w:val="en-US"/>
    </w:rPr>
  </w:style>
  <w:style w:type="character" w:customStyle="1" w:styleId="AcknowledgementsHeadingChar">
    <w:name w:val="Acknowledgements Heading Char"/>
    <w:basedOn w:val="DefaultParagraphFont"/>
    <w:link w:val="AcknowledgementsHeading"/>
    <w:rsid w:val="00453D8E"/>
    <w:rPr>
      <w:rFonts w:ascii="Arial" w:eastAsia="Times New Roman" w:hAnsi="Arial" w:cs="Arial"/>
      <w:b/>
      <w:color w:val="242852" w:themeColor="text2"/>
      <w:sz w:val="28"/>
      <w:szCs w:val="28"/>
      <w:lang w:val="en-US"/>
    </w:rPr>
  </w:style>
  <w:style w:type="paragraph" w:styleId="BodyText">
    <w:name w:val="Body Text"/>
    <w:aliases w:val=" Carattere,Carattere"/>
    <w:basedOn w:val="Normal"/>
    <w:link w:val="BodyTextChar"/>
    <w:unhideWhenUsed/>
    <w:qFormat/>
    <w:rsid w:val="00550484"/>
    <w:pPr>
      <w:spacing w:after="120"/>
    </w:pPr>
  </w:style>
  <w:style w:type="character" w:customStyle="1" w:styleId="BodyTextChar">
    <w:name w:val="Body Text Char"/>
    <w:aliases w:val=" Carattere Char,Carattere Char"/>
    <w:basedOn w:val="DefaultParagraphFont"/>
    <w:link w:val="BodyText"/>
    <w:rsid w:val="00550484"/>
  </w:style>
  <w:style w:type="paragraph" w:customStyle="1" w:styleId="ListNormal">
    <w:name w:val="List: Normal"/>
    <w:basedOn w:val="ListParagraph"/>
    <w:link w:val="ListNormalChar"/>
    <w:qFormat/>
    <w:rsid w:val="000F4BE5"/>
    <w:pPr>
      <w:numPr>
        <w:numId w:val="2"/>
      </w:numPr>
    </w:pPr>
  </w:style>
  <w:style w:type="paragraph" w:customStyle="1" w:styleId="Tablenote">
    <w:name w:val="Table note"/>
    <w:basedOn w:val="Normal"/>
    <w:next w:val="Normal"/>
    <w:link w:val="TablenoteChar"/>
    <w:qFormat/>
    <w:rsid w:val="006D6014"/>
    <w:pPr>
      <w:spacing w:after="120"/>
      <w:contextualSpacing/>
    </w:pPr>
    <w:rPr>
      <w:i/>
      <w:noProof/>
      <w:sz w:val="18"/>
      <w:szCs w:val="18"/>
    </w:rPr>
  </w:style>
  <w:style w:type="table" w:styleId="TableGrid">
    <w:name w:val="Table Grid"/>
    <w:basedOn w:val="TableNormal"/>
    <w:uiPriority w:val="39"/>
    <w:rsid w:val="00A33E97"/>
    <w:pPr>
      <w:spacing w:after="0" w:line="240" w:lineRule="auto"/>
    </w:pPr>
    <w:tblPr>
      <w:tblBorders>
        <w:top w:val="single" w:sz="4" w:space="0" w:color="242852" w:themeColor="text2"/>
        <w:left w:val="single" w:sz="4" w:space="0" w:color="242852" w:themeColor="text2"/>
        <w:bottom w:val="single" w:sz="4" w:space="0" w:color="242852" w:themeColor="text2"/>
        <w:right w:val="single" w:sz="4" w:space="0" w:color="242852" w:themeColor="text2"/>
        <w:insideH w:val="single" w:sz="4" w:space="0" w:color="242852" w:themeColor="text2"/>
        <w:insideV w:val="single" w:sz="4" w:space="0" w:color="242852" w:themeColor="text2"/>
      </w:tblBorders>
    </w:tblPr>
    <w:tcPr>
      <w:shd w:val="clear" w:color="auto" w:fill="FFFFFF" w:themeFill="background1"/>
    </w:tcPr>
    <w:tblStylePr w:type="firstRow">
      <w:tblPr/>
      <w:tcPr>
        <w:shd w:val="clear" w:color="auto" w:fill="242852" w:themeFill="text2"/>
      </w:tcPr>
    </w:tblStylePr>
  </w:style>
  <w:style w:type="paragraph" w:customStyle="1" w:styleId="Reference">
    <w:name w:val="Reference"/>
    <w:basedOn w:val="Normal"/>
    <w:link w:val="ReferenceChar"/>
    <w:qFormat/>
    <w:rsid w:val="00EA1BC7"/>
    <w:pPr>
      <w:ind w:left="567" w:hanging="567"/>
    </w:pPr>
  </w:style>
  <w:style w:type="paragraph" w:styleId="Caption">
    <w:name w:val="caption"/>
    <w:basedOn w:val="Normal"/>
    <w:next w:val="Normal"/>
    <w:link w:val="CaptionChar"/>
    <w:uiPriority w:val="35"/>
    <w:unhideWhenUsed/>
    <w:qFormat/>
    <w:rsid w:val="00D54BC7"/>
    <w:pPr>
      <w:keepNext/>
      <w:keepLines/>
      <w:spacing w:before="240" w:after="60" w:line="240" w:lineRule="auto"/>
      <w:contextualSpacing/>
    </w:pPr>
    <w:rPr>
      <w:b/>
      <w:iCs/>
      <w:color w:val="242852" w:themeColor="text2"/>
      <w:sz w:val="18"/>
      <w:szCs w:val="18"/>
    </w:rPr>
  </w:style>
  <w:style w:type="paragraph" w:customStyle="1" w:styleId="Appendix">
    <w:name w:val="Appendix"/>
    <w:basedOn w:val="Heading1"/>
    <w:link w:val="AppendixChar"/>
    <w:qFormat/>
    <w:rsid w:val="00423777"/>
    <w:pPr>
      <w:numPr>
        <w:numId w:val="30"/>
      </w:numPr>
      <w:ind w:left="284" w:hanging="284"/>
    </w:pPr>
    <w:rPr>
      <w:b w:val="0"/>
      <w:bCs w:val="0"/>
    </w:rPr>
  </w:style>
  <w:style w:type="character" w:customStyle="1" w:styleId="ReferenceChar">
    <w:name w:val="Reference Char"/>
    <w:basedOn w:val="DefaultParagraphFont"/>
    <w:link w:val="Reference"/>
    <w:rsid w:val="00EA1BC7"/>
    <w:rPr>
      <w:sz w:val="21"/>
    </w:rPr>
  </w:style>
  <w:style w:type="paragraph" w:customStyle="1" w:styleId="Publishingpage">
    <w:name w:val="Publishing page"/>
    <w:basedOn w:val="Normal"/>
    <w:link w:val="PublishingpageChar"/>
    <w:qFormat/>
    <w:rsid w:val="00383929"/>
    <w:pPr>
      <w:spacing w:before="0"/>
    </w:pPr>
  </w:style>
  <w:style w:type="character" w:customStyle="1" w:styleId="AppendixChar">
    <w:name w:val="Appendix Char"/>
    <w:basedOn w:val="Heading1Char"/>
    <w:link w:val="Appendix"/>
    <w:rsid w:val="00423777"/>
    <w:rPr>
      <w:rFonts w:asciiTheme="majorHAnsi" w:eastAsiaTheme="majorEastAsia" w:hAnsiTheme="majorHAnsi" w:cstheme="majorBidi"/>
      <w:b w:val="0"/>
      <w:bCs w:val="0"/>
      <w:color w:val="1A5D9B" w:themeColor="accent1"/>
      <w:sz w:val="34"/>
      <w:szCs w:val="28"/>
    </w:rPr>
  </w:style>
  <w:style w:type="paragraph" w:styleId="TOC1">
    <w:name w:val="toc 1"/>
    <w:basedOn w:val="Normal"/>
    <w:next w:val="Normal"/>
    <w:autoRedefine/>
    <w:uiPriority w:val="39"/>
    <w:unhideWhenUsed/>
    <w:qFormat/>
    <w:rsid w:val="00383929"/>
    <w:pPr>
      <w:spacing w:after="120"/>
    </w:pPr>
    <w:rPr>
      <w:rFonts w:cstheme="minorHAnsi"/>
      <w:b/>
      <w:bCs/>
      <w:caps/>
      <w:sz w:val="20"/>
      <w:szCs w:val="20"/>
    </w:rPr>
  </w:style>
  <w:style w:type="character" w:customStyle="1" w:styleId="PublishingpageChar">
    <w:name w:val="Publishing page Char"/>
    <w:basedOn w:val="DefaultParagraphFont"/>
    <w:link w:val="Publishingpage"/>
    <w:rsid w:val="00383929"/>
    <w:rPr>
      <w:sz w:val="21"/>
    </w:rPr>
  </w:style>
  <w:style w:type="paragraph" w:styleId="TOC2">
    <w:name w:val="toc 2"/>
    <w:basedOn w:val="Normal"/>
    <w:next w:val="Normal"/>
    <w:autoRedefine/>
    <w:uiPriority w:val="39"/>
    <w:unhideWhenUsed/>
    <w:qFormat/>
    <w:rsid w:val="00383929"/>
    <w:pPr>
      <w:spacing w:before="0"/>
      <w:ind w:left="210"/>
    </w:pPr>
    <w:rPr>
      <w:rFonts w:cstheme="minorHAnsi"/>
      <w:smallCaps/>
      <w:sz w:val="20"/>
      <w:szCs w:val="20"/>
    </w:rPr>
  </w:style>
  <w:style w:type="paragraph" w:styleId="TOC3">
    <w:name w:val="toc 3"/>
    <w:aliases w:val="Contents"/>
    <w:basedOn w:val="Normal"/>
    <w:next w:val="Normal"/>
    <w:autoRedefine/>
    <w:uiPriority w:val="39"/>
    <w:unhideWhenUsed/>
    <w:qFormat/>
    <w:rsid w:val="00383929"/>
    <w:pPr>
      <w:spacing w:before="0"/>
      <w:ind w:left="420"/>
    </w:pPr>
    <w:rPr>
      <w:rFonts w:cstheme="minorHAnsi"/>
      <w:i/>
      <w:iCs/>
      <w:sz w:val="20"/>
      <w:szCs w:val="20"/>
    </w:rPr>
  </w:style>
  <w:style w:type="paragraph" w:customStyle="1" w:styleId="ExecutiveSummaryheading">
    <w:name w:val="Executive Summary heading"/>
    <w:basedOn w:val="Heading1"/>
    <w:link w:val="ExecutiveSummaryheadingChar"/>
    <w:qFormat/>
    <w:rsid w:val="00A30891"/>
  </w:style>
  <w:style w:type="character" w:customStyle="1" w:styleId="ExecutiveSummaryheadingChar">
    <w:name w:val="Executive Summary heading Char"/>
    <w:basedOn w:val="Heading1Char"/>
    <w:link w:val="ExecutiveSummaryheading"/>
    <w:rsid w:val="00A30891"/>
    <w:rPr>
      <w:rFonts w:asciiTheme="majorHAnsi" w:eastAsiaTheme="majorEastAsia" w:hAnsiTheme="majorHAnsi" w:cstheme="majorBidi"/>
      <w:b/>
      <w:bCs/>
      <w:color w:val="1A5D9B" w:themeColor="accent1"/>
      <w:sz w:val="34"/>
      <w:szCs w:val="28"/>
    </w:rPr>
  </w:style>
  <w:style w:type="paragraph" w:customStyle="1" w:styleId="BlockQuote">
    <w:name w:val="Block Quote"/>
    <w:basedOn w:val="BodyText"/>
    <w:next w:val="BodyText"/>
    <w:rsid w:val="00C64FF6"/>
    <w:pPr>
      <w:spacing w:before="0"/>
      <w:ind w:left="851" w:right="851"/>
      <w:jc w:val="both"/>
    </w:pPr>
    <w:rPr>
      <w:rFonts w:ascii="Arial" w:eastAsia="Arial" w:hAnsi="Arial" w:cs="Times New Roman"/>
      <w:lang w:val="x-none"/>
    </w:rPr>
  </w:style>
  <w:style w:type="paragraph" w:customStyle="1" w:styleId="BodyText1">
    <w:name w:val="Body Text1"/>
    <w:basedOn w:val="BodyText"/>
    <w:link w:val="BodytextChar0"/>
    <w:autoRedefine/>
    <w:rsid w:val="00C64FF6"/>
    <w:pPr>
      <w:spacing w:before="0"/>
    </w:pPr>
    <w:rPr>
      <w:rFonts w:ascii="Arial" w:eastAsia="Arial" w:hAnsi="Arial" w:cs="Times New Roman"/>
    </w:rPr>
  </w:style>
  <w:style w:type="character" w:styleId="FollowedHyperlink">
    <w:name w:val="FollowedHyperlink"/>
    <w:uiPriority w:val="99"/>
    <w:semiHidden/>
    <w:rsid w:val="00C64FF6"/>
    <w:rPr>
      <w:color w:val="800080"/>
      <w:u w:val="single"/>
    </w:rPr>
  </w:style>
  <w:style w:type="character" w:styleId="FootnoteReference">
    <w:name w:val="footnote reference"/>
    <w:uiPriority w:val="99"/>
    <w:rsid w:val="00C64FF6"/>
    <w:rPr>
      <w:vertAlign w:val="superscript"/>
    </w:rPr>
  </w:style>
  <w:style w:type="paragraph" w:styleId="FootnoteText">
    <w:name w:val="footnote text"/>
    <w:aliases w:val="Table/Chart Ref"/>
    <w:basedOn w:val="Normal"/>
    <w:link w:val="FootnoteTextChar"/>
    <w:uiPriority w:val="99"/>
    <w:qFormat/>
    <w:rsid w:val="00DE770E"/>
    <w:pPr>
      <w:spacing w:before="0" w:line="240" w:lineRule="auto"/>
      <w:ind w:left="284" w:hanging="284"/>
      <w:contextualSpacing/>
      <w:jc w:val="both"/>
    </w:pPr>
    <w:rPr>
      <w:rFonts w:ascii="Arial" w:eastAsia="Arial" w:hAnsi="Arial" w:cs="Times New Roman"/>
      <w:sz w:val="18"/>
    </w:rPr>
  </w:style>
  <w:style w:type="character" w:customStyle="1" w:styleId="FootnoteTextChar">
    <w:name w:val="Footnote Text Char"/>
    <w:aliases w:val="Table/Chart Ref Char"/>
    <w:basedOn w:val="DefaultParagraphFont"/>
    <w:link w:val="FootnoteText"/>
    <w:uiPriority w:val="99"/>
    <w:rsid w:val="00DE770E"/>
    <w:rPr>
      <w:rFonts w:ascii="Arial" w:eastAsia="Arial" w:hAnsi="Arial" w:cs="Times New Roman"/>
      <w:sz w:val="18"/>
    </w:rPr>
  </w:style>
  <w:style w:type="paragraph" w:customStyle="1" w:styleId="Heading0">
    <w:name w:val="Heading 0"/>
    <w:basedOn w:val="Normal"/>
    <w:rsid w:val="00C64FF6"/>
    <w:pPr>
      <w:spacing w:before="0" w:after="120"/>
    </w:pPr>
    <w:rPr>
      <w:rFonts w:ascii="Arial" w:eastAsia="Arial" w:hAnsi="Arial" w:cs="Times New Roman"/>
      <w:b/>
      <w:sz w:val="32"/>
    </w:rPr>
  </w:style>
  <w:style w:type="paragraph" w:styleId="ListBullet">
    <w:name w:val="List Bullet"/>
    <w:basedOn w:val="BodyText"/>
    <w:semiHidden/>
    <w:rsid w:val="00C64FF6"/>
    <w:pPr>
      <w:numPr>
        <w:numId w:val="3"/>
      </w:numPr>
      <w:spacing w:before="0"/>
      <w:jc w:val="both"/>
    </w:pPr>
    <w:rPr>
      <w:rFonts w:ascii="Arial" w:eastAsia="Arial" w:hAnsi="Arial" w:cs="Times New Roman"/>
      <w:lang w:val="x-none"/>
    </w:rPr>
  </w:style>
  <w:style w:type="paragraph" w:styleId="ListNumber">
    <w:name w:val="List Number"/>
    <w:basedOn w:val="BodyText"/>
    <w:semiHidden/>
    <w:rsid w:val="00C64FF6"/>
    <w:pPr>
      <w:numPr>
        <w:numId w:val="4"/>
      </w:numPr>
      <w:spacing w:before="0"/>
      <w:ind w:left="357" w:hanging="357"/>
      <w:jc w:val="both"/>
    </w:pPr>
    <w:rPr>
      <w:rFonts w:ascii="Arial" w:eastAsia="Arial" w:hAnsi="Arial" w:cs="Times New Roman"/>
      <w:lang w:val="x-none"/>
    </w:rPr>
  </w:style>
  <w:style w:type="paragraph" w:customStyle="1" w:styleId="Plain">
    <w:name w:val="Plain"/>
    <w:basedOn w:val="Normal"/>
    <w:rsid w:val="00C64FF6"/>
    <w:pPr>
      <w:suppressAutoHyphens/>
      <w:spacing w:before="0"/>
    </w:pPr>
    <w:rPr>
      <w:rFonts w:ascii="Arial" w:eastAsia="Arial" w:hAnsi="Arial" w:cs="Times New Roman"/>
    </w:rPr>
  </w:style>
  <w:style w:type="paragraph" w:customStyle="1" w:styleId="ReferenceList">
    <w:name w:val="Reference List"/>
    <w:basedOn w:val="Normal"/>
    <w:rsid w:val="00C64FF6"/>
    <w:pPr>
      <w:suppressAutoHyphens/>
      <w:spacing w:before="0"/>
      <w:ind w:left="720" w:hanging="720"/>
      <w:jc w:val="both"/>
    </w:pPr>
    <w:rPr>
      <w:rFonts w:ascii="Arial" w:eastAsia="Arial" w:hAnsi="Arial" w:cs="Times New Roman"/>
    </w:rPr>
  </w:style>
  <w:style w:type="paragraph" w:customStyle="1" w:styleId="TableHeading">
    <w:name w:val="Table Heading"/>
    <w:basedOn w:val="Caption"/>
    <w:next w:val="BodyText"/>
    <w:rsid w:val="00C64FF6"/>
    <w:pPr>
      <w:spacing w:after="120" w:line="276" w:lineRule="auto"/>
      <w:outlineLvl w:val="4"/>
    </w:pPr>
    <w:rPr>
      <w:rFonts w:ascii="Arial" w:eastAsia="Arial" w:hAnsi="Arial" w:cs="Times New Roman"/>
      <w:iCs w:val="0"/>
      <w:color w:val="000000"/>
      <w:sz w:val="21"/>
      <w:szCs w:val="22"/>
      <w:lang w:val="x-none"/>
      <w14:textFill>
        <w14:solidFill>
          <w14:srgbClr w14:val="000000">
            <w14:lumMod w14:val="50000"/>
            <w14:lumOff w14:val="50000"/>
          </w14:srgbClr>
        </w14:solidFill>
      </w14:textFill>
    </w:rPr>
  </w:style>
  <w:style w:type="paragraph" w:customStyle="1" w:styleId="TableNotes">
    <w:name w:val="Table Notes"/>
    <w:basedOn w:val="Normal"/>
    <w:rsid w:val="00C64FF6"/>
    <w:pPr>
      <w:spacing w:before="0"/>
      <w:jc w:val="both"/>
    </w:pPr>
    <w:rPr>
      <w:rFonts w:ascii="Arial" w:eastAsia="Arial" w:hAnsi="Arial" w:cs="Times New Roman"/>
      <w:sz w:val="20"/>
    </w:rPr>
  </w:style>
  <w:style w:type="paragraph" w:customStyle="1" w:styleId="TableNotesNumbered">
    <w:name w:val="Table Notes Numbered"/>
    <w:basedOn w:val="Normal"/>
    <w:rsid w:val="00C64FF6"/>
    <w:pPr>
      <w:numPr>
        <w:numId w:val="5"/>
      </w:numPr>
      <w:spacing w:before="0"/>
      <w:ind w:left="714" w:hanging="357"/>
      <w:jc w:val="both"/>
    </w:pPr>
    <w:rPr>
      <w:rFonts w:ascii="Arial" w:eastAsia="Arial" w:hAnsi="Arial" w:cs="Times New Roman"/>
      <w:sz w:val="20"/>
    </w:rPr>
  </w:style>
  <w:style w:type="paragraph" w:styleId="TableofFigures">
    <w:name w:val="table of figures"/>
    <w:basedOn w:val="TOC2"/>
    <w:next w:val="Normal"/>
    <w:uiPriority w:val="99"/>
    <w:rsid w:val="00E14A54"/>
    <w:pPr>
      <w:keepLines/>
      <w:tabs>
        <w:tab w:val="left" w:pos="567"/>
        <w:tab w:val="right" w:leader="dot" w:pos="8931"/>
      </w:tabs>
      <w:ind w:left="567" w:right="96" w:hanging="567"/>
    </w:pPr>
    <w:rPr>
      <w:rFonts w:ascii="Arial" w:eastAsia="Arial" w:hAnsi="Arial" w:cs="Times New Roman"/>
      <w:noProof/>
      <w:sz w:val="22"/>
    </w:rPr>
  </w:style>
  <w:style w:type="paragraph" w:customStyle="1" w:styleId="TableText10">
    <w:name w:val="Table Text 10"/>
    <w:basedOn w:val="TableHeading"/>
    <w:rsid w:val="00C64FF6"/>
    <w:pPr>
      <w:spacing w:after="0"/>
    </w:pPr>
    <w:rPr>
      <w:b w:val="0"/>
      <w:sz w:val="20"/>
    </w:rPr>
  </w:style>
  <w:style w:type="paragraph" w:customStyle="1" w:styleId="TableText12">
    <w:name w:val="Table Text 12"/>
    <w:basedOn w:val="TableText10"/>
    <w:rsid w:val="00C64FF6"/>
    <w:rPr>
      <w:sz w:val="24"/>
    </w:rPr>
  </w:style>
  <w:style w:type="paragraph" w:styleId="TOC4">
    <w:name w:val="toc 4"/>
    <w:basedOn w:val="Normal"/>
    <w:next w:val="Normal"/>
    <w:autoRedefine/>
    <w:semiHidden/>
    <w:rsid w:val="00C64FF6"/>
    <w:pPr>
      <w:spacing w:before="0"/>
      <w:ind w:left="630"/>
    </w:pPr>
    <w:rPr>
      <w:rFonts w:cstheme="minorHAnsi"/>
      <w:sz w:val="18"/>
      <w:szCs w:val="18"/>
    </w:rPr>
  </w:style>
  <w:style w:type="paragraph" w:customStyle="1" w:styleId="FigureHeading">
    <w:name w:val="Figure Heading"/>
    <w:basedOn w:val="Caption"/>
    <w:next w:val="BodyText"/>
    <w:link w:val="FigureHeadingChar"/>
    <w:rsid w:val="00C64FF6"/>
    <w:pPr>
      <w:spacing w:after="120" w:line="276" w:lineRule="auto"/>
      <w:outlineLvl w:val="4"/>
    </w:pPr>
    <w:rPr>
      <w:rFonts w:ascii="Arial" w:eastAsia="Arial" w:hAnsi="Arial" w:cs="Times New Roman"/>
      <w:b w:val="0"/>
      <w:iCs w:val="0"/>
      <w:color w:val="000000"/>
      <w:sz w:val="21"/>
      <w:szCs w:val="22"/>
      <w:lang w:val="x-none"/>
      <w14:textFill>
        <w14:solidFill>
          <w14:srgbClr w14:val="000000">
            <w14:lumMod w14:val="50000"/>
            <w14:lumOff w14:val="50000"/>
          </w14:srgbClr>
        </w14:solidFill>
      </w14:textFill>
    </w:rPr>
  </w:style>
  <w:style w:type="paragraph" w:styleId="BodyText2">
    <w:name w:val="Body Text 2"/>
    <w:basedOn w:val="Normal"/>
    <w:link w:val="BodyText2Char"/>
    <w:semiHidden/>
    <w:rsid w:val="00C64FF6"/>
    <w:pPr>
      <w:spacing w:before="0" w:after="120" w:line="480" w:lineRule="auto"/>
    </w:pPr>
    <w:rPr>
      <w:rFonts w:ascii="Arial" w:eastAsia="Arial" w:hAnsi="Arial" w:cs="Times New Roman"/>
    </w:rPr>
  </w:style>
  <w:style w:type="character" w:customStyle="1" w:styleId="BodyText2Char">
    <w:name w:val="Body Text 2 Char"/>
    <w:basedOn w:val="DefaultParagraphFont"/>
    <w:link w:val="BodyText2"/>
    <w:semiHidden/>
    <w:rsid w:val="00C64FF6"/>
    <w:rPr>
      <w:rFonts w:ascii="Arial" w:eastAsia="Arial" w:hAnsi="Arial" w:cs="Times New Roman"/>
      <w:sz w:val="21"/>
    </w:rPr>
  </w:style>
  <w:style w:type="paragraph" w:customStyle="1" w:styleId="Figureheading0">
    <w:name w:val="Figure heading"/>
    <w:basedOn w:val="FigureHeading"/>
    <w:link w:val="FigureheadingChar0"/>
    <w:rsid w:val="00C64FF6"/>
    <w:rPr>
      <w:b/>
    </w:rPr>
  </w:style>
  <w:style w:type="character" w:customStyle="1" w:styleId="BodytextChar0">
    <w:name w:val="Body text Char"/>
    <w:link w:val="BodyText1"/>
    <w:rsid w:val="00C64FF6"/>
    <w:rPr>
      <w:rFonts w:ascii="Arial" w:eastAsia="Arial" w:hAnsi="Arial" w:cs="Times New Roman"/>
      <w:sz w:val="21"/>
    </w:rPr>
  </w:style>
  <w:style w:type="paragraph" w:customStyle="1" w:styleId="ColorfulList-Accent11">
    <w:name w:val="Colorful List - Accent 11"/>
    <w:basedOn w:val="Normal"/>
    <w:uiPriority w:val="34"/>
    <w:rsid w:val="00C64FF6"/>
    <w:pPr>
      <w:spacing w:before="0" w:after="120"/>
      <w:ind w:left="720"/>
    </w:pPr>
    <w:rPr>
      <w:rFonts w:ascii="Arial" w:eastAsia="Arial" w:hAnsi="Arial" w:cs="Times New Roman"/>
    </w:rPr>
  </w:style>
  <w:style w:type="character" w:customStyle="1" w:styleId="CaptionChar">
    <w:name w:val="Caption Char"/>
    <w:link w:val="Caption"/>
    <w:uiPriority w:val="35"/>
    <w:rsid w:val="00D54BC7"/>
    <w:rPr>
      <w:b/>
      <w:iCs/>
      <w:color w:val="242852" w:themeColor="text2"/>
      <w:sz w:val="18"/>
      <w:szCs w:val="18"/>
    </w:rPr>
  </w:style>
  <w:style w:type="character" w:customStyle="1" w:styleId="FigureHeadingChar">
    <w:name w:val="Figure Heading Char"/>
    <w:link w:val="FigureHeading"/>
    <w:rsid w:val="00C64FF6"/>
    <w:rPr>
      <w:rFonts w:ascii="Arial" w:eastAsia="Arial" w:hAnsi="Arial" w:cs="Times New Roman"/>
      <w:sz w:val="21"/>
      <w:lang w:val="x-none"/>
    </w:rPr>
  </w:style>
  <w:style w:type="character" w:customStyle="1" w:styleId="FigureheadingChar0">
    <w:name w:val="Figure heading Char"/>
    <w:link w:val="Figureheading0"/>
    <w:rsid w:val="00C64FF6"/>
    <w:rPr>
      <w:rFonts w:ascii="Arial" w:eastAsia="Arial" w:hAnsi="Arial" w:cs="Times New Roman"/>
      <w:b/>
      <w:sz w:val="21"/>
      <w:lang w:val="x-none"/>
    </w:rPr>
  </w:style>
  <w:style w:type="paragraph" w:customStyle="1" w:styleId="ColorfulGrid-Accent11">
    <w:name w:val="Colorful Grid - Accent 11"/>
    <w:basedOn w:val="Normal"/>
    <w:next w:val="Normal"/>
    <w:link w:val="ColorfulGrid-Accent1Char"/>
    <w:uiPriority w:val="29"/>
    <w:rsid w:val="00C64FF6"/>
    <w:pPr>
      <w:spacing w:before="0" w:after="120"/>
    </w:pPr>
    <w:rPr>
      <w:rFonts w:ascii="Arial" w:eastAsia="Arial" w:hAnsi="Arial" w:cs="Times New Roman"/>
      <w:i/>
      <w:iCs/>
      <w:color w:val="000000"/>
      <w:lang w:val="x-none"/>
    </w:rPr>
  </w:style>
  <w:style w:type="character" w:customStyle="1" w:styleId="ColorfulGrid-Accent1Char">
    <w:name w:val="Colorful Grid - Accent 1 Char"/>
    <w:link w:val="ColorfulGrid-Accent11"/>
    <w:uiPriority w:val="29"/>
    <w:rsid w:val="00C64FF6"/>
    <w:rPr>
      <w:rFonts w:ascii="Arial" w:eastAsia="Arial" w:hAnsi="Arial" w:cs="Times New Roman"/>
      <w:i/>
      <w:iCs/>
      <w:color w:val="000000"/>
      <w:sz w:val="21"/>
      <w:lang w:val="x-none"/>
    </w:rPr>
  </w:style>
  <w:style w:type="character" w:customStyle="1" w:styleId="TablePlainTextChar">
    <w:name w:val="Table: Plain Text Char"/>
    <w:link w:val="TablePlainText"/>
    <w:locked/>
    <w:rsid w:val="00C64FF6"/>
    <w:rPr>
      <w:rFonts w:ascii="Arial" w:hAnsi="Arial" w:cs="Arial"/>
    </w:rPr>
  </w:style>
  <w:style w:type="paragraph" w:customStyle="1" w:styleId="TablePlainText">
    <w:name w:val="Table: Plain Text"/>
    <w:basedOn w:val="Normal"/>
    <w:link w:val="TablePlainTextChar"/>
    <w:rsid w:val="00C64FF6"/>
    <w:pPr>
      <w:spacing w:after="120"/>
    </w:pPr>
    <w:rPr>
      <w:rFonts w:ascii="Arial" w:hAnsi="Arial" w:cs="Arial"/>
      <w:sz w:val="22"/>
    </w:rPr>
  </w:style>
  <w:style w:type="paragraph" w:customStyle="1" w:styleId="TableNumberLevel1">
    <w:name w:val="Table: Number Level 1"/>
    <w:basedOn w:val="Normal"/>
    <w:rsid w:val="00C64FF6"/>
    <w:pPr>
      <w:numPr>
        <w:numId w:val="6"/>
      </w:numPr>
      <w:spacing w:before="60" w:after="60" w:line="240" w:lineRule="atLeast"/>
    </w:pPr>
    <w:rPr>
      <w:rFonts w:ascii="Arial" w:eastAsia="Calibri" w:hAnsi="Arial" w:cs="Arial"/>
      <w:sz w:val="20"/>
      <w:lang w:val="en-US"/>
    </w:rPr>
  </w:style>
  <w:style w:type="paragraph" w:customStyle="1" w:styleId="TableNumberLevel2">
    <w:name w:val="Table: Number Level 2"/>
    <w:basedOn w:val="Normal"/>
    <w:rsid w:val="00C64FF6"/>
    <w:pPr>
      <w:numPr>
        <w:ilvl w:val="1"/>
        <w:numId w:val="6"/>
      </w:numPr>
      <w:spacing w:before="60" w:after="60" w:line="240" w:lineRule="atLeast"/>
      <w:ind w:left="425" w:firstLine="0"/>
    </w:pPr>
    <w:rPr>
      <w:rFonts w:ascii="Arial" w:eastAsia="Calibri" w:hAnsi="Arial" w:cs="Arial"/>
      <w:sz w:val="20"/>
      <w:lang w:val="en-US"/>
    </w:rPr>
  </w:style>
  <w:style w:type="paragraph" w:customStyle="1" w:styleId="TableNumberLevel3">
    <w:name w:val="Table: Number Level 3"/>
    <w:basedOn w:val="Normal"/>
    <w:rsid w:val="00C64FF6"/>
    <w:pPr>
      <w:numPr>
        <w:ilvl w:val="2"/>
        <w:numId w:val="6"/>
      </w:numPr>
      <w:spacing w:before="60" w:after="60" w:line="240" w:lineRule="atLeast"/>
      <w:ind w:left="850" w:firstLine="0"/>
    </w:pPr>
    <w:rPr>
      <w:rFonts w:ascii="Arial" w:eastAsia="Calibri" w:hAnsi="Arial" w:cs="Arial"/>
      <w:sz w:val="20"/>
      <w:lang w:val="en-US"/>
    </w:rPr>
  </w:style>
  <w:style w:type="paragraph" w:customStyle="1" w:styleId="TableNumberLevel4">
    <w:name w:val="Table: Number Level 4"/>
    <w:basedOn w:val="Normal"/>
    <w:rsid w:val="00C64FF6"/>
    <w:pPr>
      <w:numPr>
        <w:ilvl w:val="3"/>
        <w:numId w:val="6"/>
      </w:numPr>
      <w:spacing w:before="0" w:after="60" w:line="240" w:lineRule="atLeast"/>
      <w:ind w:left="1276" w:firstLine="0"/>
    </w:pPr>
    <w:rPr>
      <w:rFonts w:ascii="Arial" w:eastAsia="Calibri" w:hAnsi="Arial" w:cs="Arial"/>
      <w:sz w:val="20"/>
      <w:lang w:val="en-US"/>
    </w:rPr>
  </w:style>
  <w:style w:type="paragraph" w:customStyle="1" w:styleId="TableNumberLevel5">
    <w:name w:val="Table: Number Level 5"/>
    <w:basedOn w:val="Normal"/>
    <w:rsid w:val="00C64FF6"/>
    <w:pPr>
      <w:numPr>
        <w:ilvl w:val="4"/>
        <w:numId w:val="6"/>
      </w:numPr>
      <w:spacing w:before="0" w:after="60" w:line="240" w:lineRule="atLeast"/>
      <w:ind w:left="1701" w:firstLine="0"/>
    </w:pPr>
    <w:rPr>
      <w:rFonts w:ascii="Arial" w:eastAsia="Calibri" w:hAnsi="Arial" w:cs="Arial"/>
      <w:sz w:val="20"/>
      <w:lang w:val="en-US"/>
    </w:rPr>
  </w:style>
  <w:style w:type="paragraph" w:customStyle="1" w:styleId="TableNumberLevel6">
    <w:name w:val="Table: Number Level 6"/>
    <w:basedOn w:val="Normal"/>
    <w:rsid w:val="00C64FF6"/>
    <w:pPr>
      <w:numPr>
        <w:ilvl w:val="5"/>
        <w:numId w:val="6"/>
      </w:numPr>
      <w:spacing w:before="0" w:after="60" w:line="240" w:lineRule="atLeast"/>
      <w:ind w:left="2126" w:firstLine="0"/>
    </w:pPr>
    <w:rPr>
      <w:rFonts w:ascii="Arial" w:eastAsia="Calibri" w:hAnsi="Arial" w:cs="Arial"/>
      <w:sz w:val="20"/>
      <w:lang w:val="en-US"/>
    </w:rPr>
  </w:style>
  <w:style w:type="paragraph" w:customStyle="1" w:styleId="TableNumberLevel7">
    <w:name w:val="Table: Number Level 7"/>
    <w:basedOn w:val="Normal"/>
    <w:rsid w:val="00C64FF6"/>
    <w:pPr>
      <w:numPr>
        <w:ilvl w:val="6"/>
        <w:numId w:val="6"/>
      </w:numPr>
      <w:spacing w:before="0" w:after="60" w:line="240" w:lineRule="atLeast"/>
      <w:ind w:left="2551" w:firstLine="0"/>
    </w:pPr>
    <w:rPr>
      <w:rFonts w:ascii="Arial" w:eastAsia="Calibri" w:hAnsi="Arial" w:cs="Arial"/>
      <w:sz w:val="20"/>
      <w:lang w:val="en-US"/>
    </w:rPr>
  </w:style>
  <w:style w:type="paragraph" w:customStyle="1" w:styleId="TableNumberLevel8">
    <w:name w:val="Table: Number Level 8"/>
    <w:basedOn w:val="Normal"/>
    <w:rsid w:val="00C64FF6"/>
    <w:pPr>
      <w:numPr>
        <w:ilvl w:val="7"/>
        <w:numId w:val="6"/>
      </w:numPr>
      <w:spacing w:before="0" w:after="60" w:line="240" w:lineRule="atLeast"/>
      <w:ind w:left="2976" w:firstLine="0"/>
    </w:pPr>
    <w:rPr>
      <w:rFonts w:ascii="Arial" w:eastAsia="Calibri" w:hAnsi="Arial" w:cs="Arial"/>
      <w:sz w:val="20"/>
      <w:lang w:val="en-US"/>
    </w:rPr>
  </w:style>
  <w:style w:type="paragraph" w:customStyle="1" w:styleId="TableNumberLevel9">
    <w:name w:val="Table: Number Level 9"/>
    <w:basedOn w:val="Normal"/>
    <w:rsid w:val="00C64FF6"/>
    <w:pPr>
      <w:numPr>
        <w:ilvl w:val="8"/>
        <w:numId w:val="6"/>
      </w:numPr>
      <w:spacing w:before="0" w:after="60" w:line="240" w:lineRule="atLeast"/>
      <w:ind w:left="3402" w:firstLine="0"/>
    </w:pPr>
    <w:rPr>
      <w:rFonts w:ascii="Arial" w:eastAsia="Calibri" w:hAnsi="Arial" w:cs="Arial"/>
      <w:sz w:val="20"/>
      <w:lang w:val="en-US"/>
    </w:rPr>
  </w:style>
  <w:style w:type="paragraph" w:styleId="NormalWeb">
    <w:name w:val="Normal (Web)"/>
    <w:basedOn w:val="Normal"/>
    <w:uiPriority w:val="99"/>
    <w:unhideWhenUsed/>
    <w:rsid w:val="00C64FF6"/>
    <w:pPr>
      <w:spacing w:before="100" w:beforeAutospacing="1" w:after="100" w:afterAutospacing="1"/>
    </w:pPr>
    <w:rPr>
      <w:rFonts w:ascii="Arial" w:eastAsia="Arial" w:hAnsi="Arial" w:cs="Times New Roman"/>
      <w:szCs w:val="24"/>
      <w:lang w:eastAsia="en-AU"/>
    </w:rPr>
  </w:style>
  <w:style w:type="character" w:styleId="CommentReference">
    <w:name w:val="annotation reference"/>
    <w:uiPriority w:val="99"/>
    <w:semiHidden/>
    <w:unhideWhenUsed/>
    <w:rsid w:val="00C64FF6"/>
    <w:rPr>
      <w:sz w:val="16"/>
      <w:szCs w:val="16"/>
    </w:rPr>
  </w:style>
  <w:style w:type="paragraph" w:styleId="CommentText">
    <w:name w:val="annotation text"/>
    <w:basedOn w:val="Normal"/>
    <w:link w:val="CommentTextChar"/>
    <w:uiPriority w:val="99"/>
    <w:unhideWhenUsed/>
    <w:rsid w:val="00C64FF6"/>
    <w:pPr>
      <w:spacing w:before="0" w:after="120"/>
    </w:pPr>
    <w:rPr>
      <w:rFonts w:ascii="Arial" w:eastAsia="Arial" w:hAnsi="Arial" w:cs="Times New Roman"/>
      <w:sz w:val="20"/>
      <w:lang w:val="x-none"/>
    </w:rPr>
  </w:style>
  <w:style w:type="character" w:customStyle="1" w:styleId="CommentTextChar">
    <w:name w:val="Comment Text Char"/>
    <w:basedOn w:val="DefaultParagraphFont"/>
    <w:link w:val="CommentText"/>
    <w:uiPriority w:val="99"/>
    <w:rsid w:val="00C64FF6"/>
    <w:rPr>
      <w:rFonts w:ascii="Arial" w:eastAsia="Arial" w:hAnsi="Arial" w:cs="Times New Roman"/>
      <w:sz w:val="20"/>
      <w:lang w:val="x-none"/>
    </w:rPr>
  </w:style>
  <w:style w:type="paragraph" w:styleId="CommentSubject">
    <w:name w:val="annotation subject"/>
    <w:basedOn w:val="CommentText"/>
    <w:next w:val="CommentText"/>
    <w:link w:val="CommentSubjectChar"/>
    <w:uiPriority w:val="99"/>
    <w:semiHidden/>
    <w:unhideWhenUsed/>
    <w:rsid w:val="00C64FF6"/>
    <w:rPr>
      <w:b/>
      <w:bCs/>
    </w:rPr>
  </w:style>
  <w:style w:type="character" w:customStyle="1" w:styleId="CommentSubjectChar">
    <w:name w:val="Comment Subject Char"/>
    <w:basedOn w:val="CommentTextChar"/>
    <w:link w:val="CommentSubject"/>
    <w:uiPriority w:val="99"/>
    <w:semiHidden/>
    <w:rsid w:val="00C64FF6"/>
    <w:rPr>
      <w:rFonts w:ascii="Arial" w:eastAsia="Arial" w:hAnsi="Arial" w:cs="Times New Roman"/>
      <w:b/>
      <w:bCs/>
      <w:sz w:val="20"/>
      <w:lang w:val="x-none"/>
    </w:rPr>
  </w:style>
  <w:style w:type="character" w:customStyle="1" w:styleId="MediumGrid2-Accent2Char">
    <w:name w:val="Medium Grid 2 - Accent 2 Char"/>
    <w:link w:val="MediumGrid2-Accent2"/>
    <w:uiPriority w:val="29"/>
    <w:rsid w:val="00C64FF6"/>
    <w:rPr>
      <w:i/>
      <w:iCs/>
      <w:color w:val="000000"/>
      <w:sz w:val="24"/>
      <w:lang w:eastAsia="en-US"/>
    </w:rPr>
  </w:style>
  <w:style w:type="character" w:customStyle="1" w:styleId="ColorfulGrid-Accent1Char1">
    <w:name w:val="Colorful Grid - Accent 1 Char1"/>
    <w:link w:val="ColorfulGrid-Accent1"/>
    <w:uiPriority w:val="29"/>
    <w:rsid w:val="00C64FF6"/>
    <w:rPr>
      <w:rFonts w:ascii="Arial" w:eastAsia="Arial" w:hAnsi="Arial" w:cs="Arial"/>
      <w:i/>
      <w:iCs/>
      <w:sz w:val="22"/>
      <w:szCs w:val="22"/>
      <w:lang w:eastAsia="en-US"/>
    </w:rPr>
  </w:style>
  <w:style w:type="character" w:customStyle="1" w:styleId="LightShading-Accent2Char">
    <w:name w:val="Light Shading - Accent 2 Char"/>
    <w:link w:val="LightShading-Accent2"/>
    <w:uiPriority w:val="30"/>
    <w:rsid w:val="00C64FF6"/>
    <w:rPr>
      <w:rFonts w:ascii="Arial" w:eastAsia="Arial" w:hAnsi="Arial" w:cs="Arial"/>
      <w:b/>
      <w:bCs/>
      <w:i/>
      <w:iCs/>
      <w:sz w:val="22"/>
      <w:szCs w:val="22"/>
      <w:lang w:eastAsia="en-US"/>
    </w:rPr>
  </w:style>
  <w:style w:type="table" w:styleId="MediumGrid2-Accent2">
    <w:name w:val="Medium Grid 2 Accent 2"/>
    <w:basedOn w:val="TableNormal"/>
    <w:link w:val="MediumGrid2-Accent2Char"/>
    <w:uiPriority w:val="29"/>
    <w:rsid w:val="00C64FF6"/>
    <w:pPr>
      <w:spacing w:after="0" w:line="240" w:lineRule="auto"/>
    </w:pPr>
    <w:rPr>
      <w:i/>
      <w:iCs/>
      <w:color w:val="000000"/>
      <w:sz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1">
    <w:name w:val="Colorful Grid Accent 1"/>
    <w:basedOn w:val="TableNormal"/>
    <w:link w:val="ColorfulGrid-Accent1Char1"/>
    <w:uiPriority w:val="29"/>
    <w:rsid w:val="00C64FF6"/>
    <w:pPr>
      <w:spacing w:after="0" w:line="240" w:lineRule="auto"/>
    </w:pPr>
    <w:rPr>
      <w:rFonts w:ascii="Arial" w:eastAsia="Arial" w:hAnsi="Arial" w:cs="Arial"/>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C64FF6"/>
    <w:pPr>
      <w:spacing w:after="0" w:line="240" w:lineRule="auto"/>
    </w:pPr>
    <w:rPr>
      <w:rFonts w:ascii="Arial" w:eastAsia="Arial" w:hAnsi="Arial" w:cs="Arial"/>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odyText3">
    <w:name w:val="Body Text 3"/>
    <w:basedOn w:val="Normal"/>
    <w:link w:val="BodyText3Char"/>
    <w:uiPriority w:val="99"/>
    <w:semiHidden/>
    <w:unhideWhenUsed/>
    <w:rsid w:val="00C64FF6"/>
    <w:pPr>
      <w:spacing w:before="0" w:after="120"/>
    </w:pPr>
    <w:rPr>
      <w:rFonts w:ascii="Arial" w:eastAsia="Arial" w:hAnsi="Arial" w:cs="Times New Roman"/>
      <w:sz w:val="16"/>
      <w:szCs w:val="16"/>
    </w:rPr>
  </w:style>
  <w:style w:type="character" w:customStyle="1" w:styleId="BodyText3Char">
    <w:name w:val="Body Text 3 Char"/>
    <w:basedOn w:val="DefaultParagraphFont"/>
    <w:link w:val="BodyText3"/>
    <w:uiPriority w:val="99"/>
    <w:semiHidden/>
    <w:rsid w:val="00C64FF6"/>
    <w:rPr>
      <w:rFonts w:ascii="Arial" w:eastAsia="Arial" w:hAnsi="Arial" w:cs="Times New Roman"/>
      <w:sz w:val="16"/>
      <w:szCs w:val="16"/>
    </w:rPr>
  </w:style>
  <w:style w:type="character" w:styleId="HTMLCite">
    <w:name w:val="HTML Cite"/>
    <w:uiPriority w:val="99"/>
    <w:semiHidden/>
    <w:unhideWhenUsed/>
    <w:rsid w:val="00C64FF6"/>
    <w:rPr>
      <w:i/>
      <w:iCs/>
    </w:rPr>
  </w:style>
  <w:style w:type="paragraph" w:customStyle="1" w:styleId="Sub-headAcknowledgementspage">
    <w:name w:val="Sub-head Acknowledgements page"/>
    <w:basedOn w:val="BodyText"/>
    <w:rsid w:val="00C64FF6"/>
    <w:pPr>
      <w:spacing w:before="0"/>
      <w:jc w:val="both"/>
    </w:pPr>
    <w:rPr>
      <w:rFonts w:ascii="Arial" w:eastAsia="Arial" w:hAnsi="Arial" w:cs="Times New Roman"/>
      <w:lang w:val="x-none"/>
    </w:rPr>
  </w:style>
  <w:style w:type="paragraph" w:customStyle="1" w:styleId="SectionHeadings">
    <w:name w:val="Section Headings"/>
    <w:basedOn w:val="Heading3"/>
    <w:link w:val="SectionHeadingsChar"/>
    <w:rsid w:val="00C64FF6"/>
    <w:pPr>
      <w:numPr>
        <w:numId w:val="0"/>
      </w:numPr>
      <w:spacing w:after="240"/>
      <w:ind w:left="720" w:hanging="720"/>
      <w:jc w:val="both"/>
    </w:pPr>
    <w:rPr>
      <w:rFonts w:ascii="Arial" w:eastAsia="Arial" w:hAnsi="Arial" w:cs="Times New Roman"/>
      <w:i/>
      <w:color w:val="EB6E08"/>
      <w:lang w:val="x-none"/>
    </w:rPr>
  </w:style>
  <w:style w:type="paragraph" w:customStyle="1" w:styleId="References">
    <w:name w:val="References"/>
    <w:basedOn w:val="Normal"/>
    <w:link w:val="ReferencesChar"/>
    <w:qFormat/>
    <w:rsid w:val="00F1106E"/>
    <w:pPr>
      <w:spacing w:before="0" w:after="120"/>
      <w:ind w:left="709" w:hanging="709"/>
    </w:pPr>
    <w:rPr>
      <w:rFonts w:ascii="Arial" w:eastAsia="Arial" w:hAnsi="Arial" w:cs="Arial"/>
      <w:noProof/>
      <w:sz w:val="20"/>
    </w:rPr>
  </w:style>
  <w:style w:type="character" w:customStyle="1" w:styleId="SectionHeadingsChar">
    <w:name w:val="Section Headings Char"/>
    <w:link w:val="SectionHeadings"/>
    <w:rsid w:val="00C64FF6"/>
    <w:rPr>
      <w:rFonts w:ascii="Arial" w:eastAsia="Arial" w:hAnsi="Arial" w:cs="Times New Roman"/>
      <w:bCs/>
      <w:i/>
      <w:color w:val="EB6E08"/>
      <w:sz w:val="21"/>
      <w:lang w:val="x-none"/>
    </w:rPr>
  </w:style>
  <w:style w:type="paragraph" w:customStyle="1" w:styleId="Right-handsidetable">
    <w:name w:val="Right-hand side table"/>
    <w:basedOn w:val="Normal"/>
    <w:link w:val="Right-handsidetableChar"/>
    <w:rsid w:val="00C64FF6"/>
    <w:pPr>
      <w:spacing w:before="0" w:after="120"/>
      <w:jc w:val="center"/>
    </w:pPr>
    <w:rPr>
      <w:rFonts w:ascii="Arial" w:eastAsia="Arial" w:hAnsi="Arial" w:cs="Arial"/>
      <w:sz w:val="22"/>
    </w:rPr>
  </w:style>
  <w:style w:type="character" w:customStyle="1" w:styleId="ReferencesChar">
    <w:name w:val="References Char"/>
    <w:link w:val="References"/>
    <w:rsid w:val="00F1106E"/>
    <w:rPr>
      <w:rFonts w:ascii="Arial" w:eastAsia="Arial" w:hAnsi="Arial" w:cs="Arial"/>
      <w:noProof/>
      <w:sz w:val="20"/>
    </w:rPr>
  </w:style>
  <w:style w:type="paragraph" w:customStyle="1" w:styleId="Dotpoints">
    <w:name w:val="Dot points"/>
    <w:basedOn w:val="Normal"/>
    <w:link w:val="DotpointsChar"/>
    <w:qFormat/>
    <w:rsid w:val="009A38B1"/>
    <w:pPr>
      <w:numPr>
        <w:numId w:val="9"/>
      </w:numPr>
      <w:spacing w:before="60" w:after="120"/>
      <w:ind w:left="714" w:hanging="357"/>
      <w:contextualSpacing/>
    </w:pPr>
    <w:rPr>
      <w:rFonts w:ascii="Arial" w:eastAsia="Arial" w:hAnsi="Arial" w:cs="Times New Roman"/>
    </w:rPr>
  </w:style>
  <w:style w:type="character" w:customStyle="1" w:styleId="Right-handsidetableChar">
    <w:name w:val="Right-hand side table Char"/>
    <w:link w:val="Right-handsidetable"/>
    <w:rsid w:val="00C64FF6"/>
    <w:rPr>
      <w:rFonts w:ascii="Arial" w:eastAsia="Arial" w:hAnsi="Arial" w:cs="Arial"/>
    </w:rPr>
  </w:style>
  <w:style w:type="paragraph" w:customStyle="1" w:styleId="TitlePageHeading">
    <w:name w:val="Title Page Heading"/>
    <w:basedOn w:val="Normal"/>
    <w:link w:val="TitlePageHeadingChar"/>
    <w:qFormat/>
    <w:rsid w:val="00C64FF6"/>
    <w:pPr>
      <w:spacing w:before="0" w:after="120"/>
    </w:pPr>
    <w:rPr>
      <w:rFonts w:ascii="Arial" w:eastAsia="Arial" w:hAnsi="Arial" w:cs="Arial"/>
      <w:b/>
      <w:sz w:val="40"/>
      <w:szCs w:val="48"/>
    </w:rPr>
  </w:style>
  <w:style w:type="character" w:customStyle="1" w:styleId="DotpointsChar">
    <w:name w:val="Dot points Char"/>
    <w:basedOn w:val="BodytextChar0"/>
    <w:link w:val="Dotpoints"/>
    <w:rsid w:val="009A38B1"/>
    <w:rPr>
      <w:rFonts w:ascii="Arial" w:eastAsia="Arial" w:hAnsi="Arial" w:cs="Times New Roman"/>
      <w:sz w:val="21"/>
    </w:rPr>
  </w:style>
  <w:style w:type="paragraph" w:customStyle="1" w:styleId="TitlePageSub-heading">
    <w:name w:val="Title Page Sub-heading"/>
    <w:basedOn w:val="Normal"/>
    <w:link w:val="TitlePageSub-headingChar"/>
    <w:qFormat/>
    <w:rsid w:val="00C64FF6"/>
    <w:pPr>
      <w:spacing w:before="0" w:after="120"/>
    </w:pPr>
    <w:rPr>
      <w:rFonts w:ascii="Arial" w:eastAsia="Arial" w:hAnsi="Arial" w:cs="Arial"/>
    </w:rPr>
  </w:style>
  <w:style w:type="character" w:customStyle="1" w:styleId="TitlePageHeadingChar">
    <w:name w:val="Title Page Heading Char"/>
    <w:link w:val="TitlePageHeading"/>
    <w:rsid w:val="00C64FF6"/>
    <w:rPr>
      <w:rFonts w:ascii="Arial" w:eastAsia="Arial" w:hAnsi="Arial" w:cs="Arial"/>
      <w:b/>
      <w:sz w:val="40"/>
      <w:szCs w:val="48"/>
    </w:rPr>
  </w:style>
  <w:style w:type="character" w:customStyle="1" w:styleId="TitlePageSub-headingChar">
    <w:name w:val="Title Page Sub-heading Char"/>
    <w:link w:val="TitlePageSub-heading"/>
    <w:rsid w:val="00C64FF6"/>
    <w:rPr>
      <w:rFonts w:ascii="Arial" w:eastAsia="Arial" w:hAnsi="Arial" w:cs="Arial"/>
      <w:sz w:val="21"/>
    </w:rPr>
  </w:style>
  <w:style w:type="paragraph" w:customStyle="1" w:styleId="NumberedHeadings">
    <w:name w:val="Numbered Headings"/>
    <w:basedOn w:val="Heading3"/>
    <w:link w:val="NumberedHeadingsChar"/>
    <w:rsid w:val="00C64FF6"/>
    <w:pPr>
      <w:numPr>
        <w:numId w:val="0"/>
      </w:numPr>
      <w:spacing w:after="240"/>
      <w:ind w:left="720" w:hanging="720"/>
      <w:jc w:val="both"/>
    </w:pPr>
    <w:rPr>
      <w:rFonts w:ascii="Arial" w:eastAsia="Arial" w:hAnsi="Arial" w:cs="Times New Roman"/>
      <w:i/>
      <w:color w:val="EB6E08"/>
    </w:rPr>
  </w:style>
  <w:style w:type="character" w:customStyle="1" w:styleId="NumberedHeadingsChar">
    <w:name w:val="Numbered Headings Char"/>
    <w:link w:val="NumberedHeadings"/>
    <w:rsid w:val="00C64FF6"/>
    <w:rPr>
      <w:rFonts w:ascii="Arial" w:eastAsia="Arial" w:hAnsi="Arial" w:cs="Times New Roman"/>
      <w:bCs/>
      <w:i/>
      <w:color w:val="EB6E08"/>
      <w:sz w:val="21"/>
    </w:rPr>
  </w:style>
  <w:style w:type="paragraph" w:customStyle="1" w:styleId="SectionHeading">
    <w:name w:val="Section Heading"/>
    <w:basedOn w:val="ListParagraph"/>
    <w:link w:val="SectionHeadingChar"/>
    <w:rsid w:val="00C64FF6"/>
    <w:pPr>
      <w:pBdr>
        <w:bottom w:val="single" w:sz="4" w:space="1" w:color="3232FF" w:themeColor="accent6" w:themeShade="BF"/>
      </w:pBdr>
      <w:spacing w:before="0" w:after="240"/>
      <w:ind w:left="0"/>
    </w:pPr>
    <w:rPr>
      <w:rFonts w:ascii="Arial" w:eastAsia="Calibri" w:hAnsi="Arial" w:cs="Arial"/>
      <w:b/>
      <w:color w:val="3232FF" w:themeColor="accent6" w:themeShade="BF"/>
      <w:sz w:val="34"/>
    </w:rPr>
  </w:style>
  <w:style w:type="character" w:customStyle="1" w:styleId="SectionHeadingChar">
    <w:name w:val="Section Heading Char"/>
    <w:link w:val="SectionHeading"/>
    <w:rsid w:val="00C64FF6"/>
    <w:rPr>
      <w:rFonts w:ascii="Arial" w:eastAsia="Calibri" w:hAnsi="Arial" w:cs="Arial"/>
      <w:b/>
      <w:color w:val="3232FF" w:themeColor="accent6" w:themeShade="BF"/>
      <w:sz w:val="34"/>
    </w:rPr>
  </w:style>
  <w:style w:type="table" w:styleId="LightShading">
    <w:name w:val="Light Shading"/>
    <w:basedOn w:val="TableNormal"/>
    <w:uiPriority w:val="60"/>
    <w:rsid w:val="00C64FF6"/>
    <w:pPr>
      <w:spacing w:after="0" w:line="240" w:lineRule="auto"/>
    </w:pPr>
    <w:rPr>
      <w:rFonts w:ascii="Times New Roman" w:eastAsia="Times New Roman" w:hAnsi="Times New Roman" w:cs="Times New Roman"/>
      <w:color w:val="000000" w:themeColor="text1" w:themeShade="BF"/>
      <w:sz w:val="24"/>
      <w:szCs w:val="24"/>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C64FF6"/>
    <w:pPr>
      <w:spacing w:after="0" w:line="240" w:lineRule="auto"/>
    </w:pPr>
    <w:rPr>
      <w:rFonts w:ascii="Times New Roman" w:eastAsia="Times New Roman" w:hAnsi="Times New Roman" w:cs="Times New Roman"/>
      <w:color w:val="417A84" w:themeColor="accent5" w:themeShade="BF"/>
      <w:sz w:val="24"/>
      <w:szCs w:val="24"/>
      <w:lang w:eastAsia="en-AU"/>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rsid w:val="00C64FF6"/>
    <w:pPr>
      <w:spacing w:after="0" w:line="240" w:lineRule="auto"/>
    </w:pPr>
    <w:rPr>
      <w:rFonts w:ascii="Times New Roman" w:eastAsia="Times New Roman" w:hAnsi="Times New Roman" w:cs="Times New Roman"/>
      <w:color w:val="3232FF" w:themeColor="accent6" w:themeShade="BF"/>
      <w:sz w:val="24"/>
      <w:szCs w:val="24"/>
      <w:lang w:eastAsia="en-AU"/>
    </w:rPr>
    <w:tblPr>
      <w:tblStyleRowBandSize w:val="1"/>
      <w:tblStyleColBandSize w:val="1"/>
      <w:tblBorders>
        <w:top w:val="single" w:sz="8" w:space="0" w:color="9999FF" w:themeColor="accent6"/>
        <w:bottom w:val="single" w:sz="8" w:space="0" w:color="9999FF" w:themeColor="accent6"/>
      </w:tblBorders>
    </w:tblPr>
    <w:tblStylePr w:type="firstRow">
      <w:pPr>
        <w:spacing w:before="0" w:after="0" w:line="240" w:lineRule="auto"/>
      </w:pPr>
      <w:rPr>
        <w:b/>
        <w:bCs/>
      </w:rPr>
      <w:tblPr/>
      <w:tcPr>
        <w:tcBorders>
          <w:top w:val="single" w:sz="8" w:space="0" w:color="9999FF" w:themeColor="accent6"/>
          <w:left w:val="nil"/>
          <w:bottom w:val="single" w:sz="8" w:space="0" w:color="9999FF" w:themeColor="accent6"/>
          <w:right w:val="nil"/>
          <w:insideH w:val="nil"/>
          <w:insideV w:val="nil"/>
        </w:tcBorders>
      </w:tcPr>
    </w:tblStylePr>
    <w:tblStylePr w:type="lastRow">
      <w:pPr>
        <w:spacing w:before="0" w:after="0" w:line="240" w:lineRule="auto"/>
      </w:pPr>
      <w:rPr>
        <w:b/>
        <w:bCs/>
      </w:rPr>
      <w:tblPr/>
      <w:tcPr>
        <w:tcBorders>
          <w:top w:val="single" w:sz="8" w:space="0" w:color="9999FF" w:themeColor="accent6"/>
          <w:left w:val="nil"/>
          <w:bottom w:val="single" w:sz="8" w:space="0" w:color="9999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FF" w:themeFill="accent6" w:themeFillTint="3F"/>
      </w:tcPr>
    </w:tblStylePr>
    <w:tblStylePr w:type="band1Horz">
      <w:tblPr/>
      <w:tcPr>
        <w:tcBorders>
          <w:left w:val="nil"/>
          <w:right w:val="nil"/>
          <w:insideH w:val="nil"/>
          <w:insideV w:val="nil"/>
        </w:tcBorders>
        <w:shd w:val="clear" w:color="auto" w:fill="E5E5FF" w:themeFill="accent6" w:themeFillTint="3F"/>
      </w:tcPr>
    </w:tblStylePr>
  </w:style>
  <w:style w:type="table" w:styleId="LightList">
    <w:name w:val="Light List"/>
    <w:basedOn w:val="TableNormal"/>
    <w:uiPriority w:val="61"/>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C64FF6"/>
    <w:pPr>
      <w:spacing w:after="0" w:line="240" w:lineRule="auto"/>
    </w:pPr>
    <w:rPr>
      <w:rFonts w:ascii="Times New Roman" w:eastAsia="Times New Roman" w:hAnsi="Times New Roman" w:cs="Times New Roman"/>
      <w:color w:val="134573" w:themeColor="accent1" w:themeShade="BF"/>
      <w:sz w:val="24"/>
      <w:szCs w:val="24"/>
      <w:lang w:eastAsia="en-AU"/>
    </w:rPr>
    <w:tblPr>
      <w:tblStyleRowBandSize w:val="1"/>
      <w:tblStyleColBandSize w:val="1"/>
      <w:tblBorders>
        <w:top w:val="single" w:sz="8" w:space="0" w:color="1A5D9B" w:themeColor="accent1"/>
        <w:bottom w:val="single" w:sz="8" w:space="0" w:color="1A5D9B" w:themeColor="accent1"/>
      </w:tblBorders>
    </w:tblPr>
    <w:tblStylePr w:type="firstRow">
      <w:pPr>
        <w:spacing w:before="0" w:after="0" w:line="240" w:lineRule="auto"/>
      </w:pPr>
      <w:rPr>
        <w:b/>
        <w:bCs/>
      </w:rPr>
      <w:tblPr/>
      <w:tcPr>
        <w:tcBorders>
          <w:top w:val="single" w:sz="8" w:space="0" w:color="1A5D9B" w:themeColor="accent1"/>
          <w:left w:val="nil"/>
          <w:bottom w:val="single" w:sz="8" w:space="0" w:color="1A5D9B" w:themeColor="accent1"/>
          <w:right w:val="nil"/>
          <w:insideH w:val="nil"/>
          <w:insideV w:val="nil"/>
        </w:tcBorders>
      </w:tcPr>
    </w:tblStylePr>
    <w:tblStylePr w:type="lastRow">
      <w:pPr>
        <w:spacing w:before="0" w:after="0" w:line="240" w:lineRule="auto"/>
      </w:pPr>
      <w:rPr>
        <w:b/>
        <w:bCs/>
      </w:rPr>
      <w:tblPr/>
      <w:tcPr>
        <w:tcBorders>
          <w:top w:val="single" w:sz="8" w:space="0" w:color="1A5D9B" w:themeColor="accent1"/>
          <w:left w:val="nil"/>
          <w:bottom w:val="single" w:sz="8" w:space="0" w:color="1A5D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7F3" w:themeFill="accent1" w:themeFillTint="3F"/>
      </w:tcPr>
    </w:tblStylePr>
    <w:tblStylePr w:type="band1Horz">
      <w:tblPr/>
      <w:tcPr>
        <w:tcBorders>
          <w:left w:val="nil"/>
          <w:right w:val="nil"/>
          <w:insideH w:val="nil"/>
          <w:insideV w:val="nil"/>
        </w:tcBorders>
        <w:shd w:val="clear" w:color="auto" w:fill="B9D7F3" w:themeFill="accent1" w:themeFillTint="3F"/>
      </w:tcPr>
    </w:tblStylePr>
  </w:style>
  <w:style w:type="table" w:styleId="LightShading-Accent3">
    <w:name w:val="Light Shading Accent 3"/>
    <w:basedOn w:val="TableNormal"/>
    <w:uiPriority w:val="60"/>
    <w:rsid w:val="00C64FF6"/>
    <w:pPr>
      <w:spacing w:after="0" w:line="240" w:lineRule="auto"/>
    </w:pPr>
    <w:rPr>
      <w:rFonts w:ascii="Times New Roman" w:eastAsia="Times New Roman" w:hAnsi="Times New Roman" w:cs="Times New Roman"/>
      <w:color w:val="191A2C" w:themeColor="accent3" w:themeShade="BF"/>
      <w:sz w:val="24"/>
      <w:szCs w:val="24"/>
      <w:lang w:eastAsia="en-AU"/>
    </w:rPr>
    <w:tblPr>
      <w:tblStyleRowBandSize w:val="1"/>
      <w:tblStyleColBandSize w:val="1"/>
      <w:tblBorders>
        <w:top w:val="single" w:sz="8" w:space="0" w:color="22233C" w:themeColor="accent3"/>
        <w:bottom w:val="single" w:sz="8" w:space="0" w:color="22233C" w:themeColor="accent3"/>
      </w:tblBorders>
    </w:tblPr>
    <w:tblStylePr w:type="firstRow">
      <w:pPr>
        <w:spacing w:before="0" w:after="0" w:line="240" w:lineRule="auto"/>
      </w:pPr>
      <w:rPr>
        <w:b/>
        <w:bCs/>
      </w:rPr>
      <w:tblPr/>
      <w:tcPr>
        <w:tcBorders>
          <w:top w:val="single" w:sz="8" w:space="0" w:color="22233C" w:themeColor="accent3"/>
          <w:left w:val="nil"/>
          <w:bottom w:val="single" w:sz="8" w:space="0" w:color="22233C" w:themeColor="accent3"/>
          <w:right w:val="nil"/>
          <w:insideH w:val="nil"/>
          <w:insideV w:val="nil"/>
        </w:tcBorders>
      </w:tcPr>
    </w:tblStylePr>
    <w:tblStylePr w:type="lastRow">
      <w:pPr>
        <w:spacing w:before="0" w:after="0" w:line="240" w:lineRule="auto"/>
      </w:pPr>
      <w:rPr>
        <w:b/>
        <w:bCs/>
      </w:rPr>
      <w:tblPr/>
      <w:tcPr>
        <w:tcBorders>
          <w:top w:val="single" w:sz="8" w:space="0" w:color="22233C" w:themeColor="accent3"/>
          <w:left w:val="nil"/>
          <w:bottom w:val="single" w:sz="8" w:space="0" w:color="2223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BED9" w:themeFill="accent3" w:themeFillTint="3F"/>
      </w:tcPr>
    </w:tblStylePr>
    <w:tblStylePr w:type="band1Horz">
      <w:tblPr/>
      <w:tcPr>
        <w:tcBorders>
          <w:left w:val="nil"/>
          <w:right w:val="nil"/>
          <w:insideH w:val="nil"/>
          <w:insideV w:val="nil"/>
        </w:tcBorders>
        <w:shd w:val="clear" w:color="auto" w:fill="BDBED9" w:themeFill="accent3" w:themeFillTint="3F"/>
      </w:tcPr>
    </w:tblStylePr>
  </w:style>
  <w:style w:type="table" w:styleId="DarkList-Accent6">
    <w:name w:val="Dark List Accent 6"/>
    <w:basedOn w:val="TableNormal"/>
    <w:uiPriority w:val="70"/>
    <w:rsid w:val="00C64FF6"/>
    <w:pPr>
      <w:spacing w:after="0" w:line="240" w:lineRule="auto"/>
    </w:pPr>
    <w:rPr>
      <w:rFonts w:ascii="Times New Roman" w:eastAsia="Times New Roman" w:hAnsi="Times New Roman" w:cs="Times New Roman"/>
      <w:color w:val="FFFFFF" w:themeColor="background1"/>
      <w:sz w:val="24"/>
      <w:szCs w:val="24"/>
      <w:lang w:eastAsia="en-AU"/>
    </w:rPr>
    <w:tblPr>
      <w:tblStyleRowBandSize w:val="1"/>
      <w:tblStyleColBandSize w:val="1"/>
    </w:tblPr>
    <w:tcPr>
      <w:shd w:val="clear" w:color="auto" w:fill="9999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C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232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232FF" w:themeFill="accent6" w:themeFillShade="BF"/>
      </w:tcPr>
    </w:tblStylePr>
    <w:tblStylePr w:type="band1Vert">
      <w:tblPr/>
      <w:tcPr>
        <w:tcBorders>
          <w:top w:val="nil"/>
          <w:left w:val="nil"/>
          <w:bottom w:val="nil"/>
          <w:right w:val="nil"/>
          <w:insideH w:val="nil"/>
          <w:insideV w:val="nil"/>
        </w:tcBorders>
        <w:shd w:val="clear" w:color="auto" w:fill="3232FF" w:themeFill="accent6" w:themeFillShade="BF"/>
      </w:tcPr>
    </w:tblStylePr>
    <w:tblStylePr w:type="band1Horz">
      <w:tblPr/>
      <w:tcPr>
        <w:tcBorders>
          <w:top w:val="nil"/>
          <w:left w:val="nil"/>
          <w:bottom w:val="nil"/>
          <w:right w:val="nil"/>
          <w:insideH w:val="nil"/>
          <w:insideV w:val="nil"/>
        </w:tcBorders>
        <w:shd w:val="clear" w:color="auto" w:fill="3232FF" w:themeFill="accent6" w:themeFillShade="BF"/>
      </w:tcPr>
    </w:tblStylePr>
  </w:style>
  <w:style w:type="table" w:styleId="MediumGrid3-Accent6">
    <w:name w:val="Medium Grid 3 Accent 6"/>
    <w:basedOn w:val="TableNormal"/>
    <w:uiPriority w:val="69"/>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FF" w:themeFill="accent6" w:themeFillTint="7F"/>
      </w:tcPr>
    </w:tblStylePr>
  </w:style>
  <w:style w:type="table" w:styleId="ColorfulShading-Accent1">
    <w:name w:val="Colorful Shading Accent 1"/>
    <w:basedOn w:val="TableNormal"/>
    <w:uiPriority w:val="71"/>
    <w:rsid w:val="00C64FF6"/>
    <w:pPr>
      <w:spacing w:after="0" w:line="240" w:lineRule="auto"/>
    </w:pPr>
    <w:rPr>
      <w:rFonts w:ascii="Times New Roman" w:eastAsia="Times New Roman" w:hAnsi="Times New Roman" w:cs="Times New Roman"/>
      <w:color w:val="000000" w:themeColor="text1"/>
      <w:sz w:val="24"/>
      <w:szCs w:val="24"/>
      <w:lang w:eastAsia="en-AU"/>
    </w:rPr>
    <w:tblPr>
      <w:tblStyleRowBandSize w:val="1"/>
      <w:tblStyleColBandSize w:val="1"/>
      <w:tblBorders>
        <w:top w:val="single" w:sz="24" w:space="0" w:color="FDD969" w:themeColor="accent2"/>
        <w:left w:val="single" w:sz="4" w:space="0" w:color="1A5D9B" w:themeColor="accent1"/>
        <w:bottom w:val="single" w:sz="4" w:space="0" w:color="1A5D9B" w:themeColor="accent1"/>
        <w:right w:val="single" w:sz="4" w:space="0" w:color="1A5D9B" w:themeColor="accent1"/>
        <w:insideH w:val="single" w:sz="4" w:space="0" w:color="FFFFFF" w:themeColor="background1"/>
        <w:insideV w:val="single" w:sz="4" w:space="0" w:color="FFFFFF" w:themeColor="background1"/>
      </w:tblBorders>
    </w:tblPr>
    <w:tcPr>
      <w:shd w:val="clear" w:color="auto" w:fill="E3EFFA" w:themeFill="accent1" w:themeFillTint="19"/>
    </w:tcPr>
    <w:tblStylePr w:type="firstRow">
      <w:rPr>
        <w:b/>
        <w:bCs/>
      </w:rPr>
      <w:tblPr/>
      <w:tcPr>
        <w:tcBorders>
          <w:top w:val="nil"/>
          <w:left w:val="nil"/>
          <w:bottom w:val="single" w:sz="24" w:space="0" w:color="FDD96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375C" w:themeFill="accent1" w:themeFillShade="99"/>
      </w:tcPr>
    </w:tblStylePr>
    <w:tblStylePr w:type="firstCol">
      <w:rPr>
        <w:color w:val="FFFFFF" w:themeColor="background1"/>
      </w:rPr>
      <w:tblPr/>
      <w:tcPr>
        <w:tcBorders>
          <w:top w:val="nil"/>
          <w:left w:val="nil"/>
          <w:bottom w:val="nil"/>
          <w:right w:val="nil"/>
          <w:insideH w:val="single" w:sz="4" w:space="0" w:color="0F375C" w:themeColor="accent1" w:themeShade="99"/>
          <w:insideV w:val="nil"/>
        </w:tcBorders>
        <w:shd w:val="clear" w:color="auto" w:fill="0F37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F375C" w:themeFill="accent1" w:themeFillShade="99"/>
      </w:tcPr>
    </w:tblStylePr>
    <w:tblStylePr w:type="band1Vert">
      <w:tblPr/>
      <w:tcPr>
        <w:shd w:val="clear" w:color="auto" w:fill="8EBEEC" w:themeFill="accent1" w:themeFillTint="66"/>
      </w:tcPr>
    </w:tblStylePr>
    <w:tblStylePr w:type="band1Horz">
      <w:tblPr/>
      <w:tcPr>
        <w:shd w:val="clear" w:color="auto" w:fill="72AFE7" w:themeFill="accent1" w:themeFillTint="7F"/>
      </w:tcPr>
    </w:tblStylePr>
    <w:tblStylePr w:type="neCell">
      <w:rPr>
        <w:color w:val="000000" w:themeColor="text1"/>
      </w:rPr>
    </w:tblStylePr>
    <w:tblStylePr w:type="nwCell">
      <w:rPr>
        <w:color w:val="000000" w:themeColor="text1"/>
      </w:rPr>
    </w:tblStylePr>
  </w:style>
  <w:style w:type="paragraph" w:customStyle="1" w:styleId="Figurecaption">
    <w:name w:val="Figure caption"/>
    <w:basedOn w:val="Normal"/>
    <w:next w:val="Body-text"/>
    <w:link w:val="FigurecaptionChar"/>
    <w:rsid w:val="00C64FF6"/>
    <w:pPr>
      <w:spacing w:before="0" w:after="120"/>
    </w:pPr>
    <w:rPr>
      <w:rFonts w:ascii="Arial" w:eastAsia="Arial" w:hAnsi="Arial" w:cs="Times New Roman"/>
      <w:b/>
      <w:sz w:val="22"/>
    </w:rPr>
  </w:style>
  <w:style w:type="character" w:customStyle="1" w:styleId="FigurecaptionChar">
    <w:name w:val="Figure caption Char"/>
    <w:basedOn w:val="DefaultParagraphFont"/>
    <w:link w:val="Figurecaption"/>
    <w:rsid w:val="00C64FF6"/>
    <w:rPr>
      <w:rFonts w:ascii="Arial" w:eastAsia="Arial" w:hAnsi="Arial" w:cs="Times New Roman"/>
      <w:b/>
    </w:rPr>
  </w:style>
  <w:style w:type="paragraph" w:customStyle="1" w:styleId="Tablecaption">
    <w:name w:val="Table caption"/>
    <w:basedOn w:val="Figurecaption"/>
    <w:link w:val="TablecaptionChar"/>
    <w:qFormat/>
    <w:rsid w:val="00C64FF6"/>
  </w:style>
  <w:style w:type="character" w:customStyle="1" w:styleId="TablenoteChar">
    <w:name w:val="Table note Char"/>
    <w:basedOn w:val="DefaultParagraphFont"/>
    <w:link w:val="Tablenote"/>
    <w:rsid w:val="006D6014"/>
    <w:rPr>
      <w:i/>
      <w:noProof/>
      <w:sz w:val="18"/>
      <w:szCs w:val="18"/>
    </w:rPr>
  </w:style>
  <w:style w:type="character" w:customStyle="1" w:styleId="TablecaptionChar">
    <w:name w:val="Table caption Char"/>
    <w:basedOn w:val="FigurecaptionChar"/>
    <w:link w:val="Tablecaption"/>
    <w:rsid w:val="00C64FF6"/>
    <w:rPr>
      <w:rFonts w:ascii="Arial" w:eastAsia="Arial" w:hAnsi="Arial" w:cs="Times New Roman"/>
      <w:b/>
    </w:rPr>
  </w:style>
  <w:style w:type="paragraph" w:customStyle="1" w:styleId="ContentsHeading">
    <w:name w:val="Contents Heading"/>
    <w:basedOn w:val="SectionHeading"/>
    <w:next w:val="Body-text"/>
    <w:rsid w:val="00C64FF6"/>
    <w:pPr>
      <w:pBdr>
        <w:bottom w:val="none" w:sz="0" w:space="0" w:color="auto"/>
      </w:pBdr>
      <w:ind w:left="794" w:hanging="794"/>
    </w:pPr>
  </w:style>
  <w:style w:type="table" w:customStyle="1" w:styleId="Table">
    <w:name w:val="Table"/>
    <w:basedOn w:val="TableNormal"/>
    <w:uiPriority w:val="99"/>
    <w:rsid w:val="00C64FF6"/>
    <w:pPr>
      <w:spacing w:after="0" w:line="240" w:lineRule="auto"/>
      <w:jc w:val="center"/>
    </w:pPr>
    <w:rPr>
      <w:rFonts w:ascii="Arial" w:eastAsia="Times New Roman" w:hAnsi="Arial" w:cs="Times New Roman"/>
      <w:sz w:val="21"/>
      <w:szCs w:val="24"/>
      <w:lang w:eastAsia="en-AU"/>
    </w:rPr>
    <w:tblPr>
      <w:tblStyleRowBandSize w:val="1"/>
      <w:tblBorders>
        <w:insideH w:val="single" w:sz="4" w:space="0" w:color="FFFFFF" w:themeColor="background1"/>
        <w:insideV w:val="single" w:sz="4" w:space="0" w:color="FFFFFF" w:themeColor="background1"/>
      </w:tblBorders>
    </w:tblPr>
    <w:tcPr>
      <w:shd w:val="clear" w:color="auto" w:fill="3232FF" w:themeFill="accent6" w:themeFillShade="BF"/>
      <w:vAlign w:val="center"/>
    </w:tcPr>
    <w:tblStylePr w:type="firstRow">
      <w:rPr>
        <w:rFonts w:ascii="Arial" w:hAnsi="Arial"/>
        <w:b/>
        <w:color w:val="FFFFFF" w:themeColor="background1"/>
        <w:sz w:val="21"/>
      </w:rPr>
    </w:tblStylePr>
    <w:tblStylePr w:type="firstCol">
      <w:rPr>
        <w:rFonts w:ascii="Arial" w:hAnsi="Arial"/>
        <w:b/>
        <w:color w:val="FFFFFF" w:themeColor="background1"/>
        <w:sz w:val="21"/>
      </w:rPr>
      <w:tblPr/>
      <w:tcPr>
        <w:shd w:val="clear" w:color="auto" w:fill="EB6E08"/>
      </w:tcPr>
    </w:tblStylePr>
    <w:tblStylePr w:type="band1Horz">
      <w:rPr>
        <w:rFonts w:ascii="Arial" w:hAnsi="Arial"/>
        <w:sz w:val="21"/>
      </w:rPr>
      <w:tblPr/>
      <w:tcPr>
        <w:shd w:val="clear" w:color="auto" w:fill="FFFFFF" w:themeFill="background1"/>
      </w:tcPr>
    </w:tblStylePr>
    <w:tblStylePr w:type="band2Horz">
      <w:tblPr/>
      <w:tcPr>
        <w:shd w:val="clear" w:color="auto" w:fill="FFF3B7"/>
      </w:tcPr>
    </w:tblStylePr>
  </w:style>
  <w:style w:type="paragraph" w:styleId="DocumentMap">
    <w:name w:val="Document Map"/>
    <w:basedOn w:val="Normal"/>
    <w:link w:val="DocumentMapChar"/>
    <w:uiPriority w:val="99"/>
    <w:semiHidden/>
    <w:unhideWhenUsed/>
    <w:rsid w:val="00C64FF6"/>
    <w:pPr>
      <w:spacing w:before="0"/>
    </w:pPr>
    <w:rPr>
      <w:rFonts w:ascii="Lucida Grande" w:eastAsia="Arial" w:hAnsi="Lucida Grande" w:cs="Lucida Grande"/>
      <w:szCs w:val="24"/>
    </w:rPr>
  </w:style>
  <w:style w:type="character" w:customStyle="1" w:styleId="DocumentMapChar">
    <w:name w:val="Document Map Char"/>
    <w:basedOn w:val="DefaultParagraphFont"/>
    <w:link w:val="DocumentMap"/>
    <w:uiPriority w:val="99"/>
    <w:semiHidden/>
    <w:rsid w:val="00C64FF6"/>
    <w:rPr>
      <w:rFonts w:ascii="Lucida Grande" w:eastAsia="Arial" w:hAnsi="Lucida Grande" w:cs="Lucida Grande"/>
      <w:sz w:val="21"/>
      <w:szCs w:val="24"/>
    </w:rPr>
  </w:style>
  <w:style w:type="paragraph" w:customStyle="1" w:styleId="ListKeyfindings">
    <w:name w:val="List: Key findings"/>
    <w:basedOn w:val="ListParagraph"/>
    <w:qFormat/>
    <w:rsid w:val="00C64FF6"/>
    <w:pPr>
      <w:numPr>
        <w:numId w:val="8"/>
      </w:numPr>
      <w:spacing w:before="0" w:after="160"/>
      <w:contextualSpacing w:val="0"/>
      <w:jc w:val="both"/>
    </w:pPr>
    <w:rPr>
      <w:rFonts w:eastAsiaTheme="minorEastAsia" w:cstheme="minorHAnsi"/>
      <w:color w:val="5A5A5A" w:themeColor="text1" w:themeTint="A5"/>
      <w:sz w:val="20"/>
      <w:szCs w:val="20"/>
      <w:lang w:bidi="en-US"/>
    </w:rPr>
  </w:style>
  <w:style w:type="character" w:customStyle="1" w:styleId="ListParagraphChar">
    <w:name w:val="List Paragraph Char"/>
    <w:aliases w:val="List Paragraph 1 Char,List Paragraph1 Char,Recommendation Char,List Paragraph11 Char,L Char,bullet point list Char,Bullet point Char,NFP GP Bulleted List Char,List Paragraph - bullets Char,1 heading Char,Bulleted Para Char"/>
    <w:basedOn w:val="DefaultParagraphFont"/>
    <w:link w:val="ListParagraph"/>
    <w:uiPriority w:val="34"/>
    <w:rsid w:val="00C64FF6"/>
    <w:rPr>
      <w:sz w:val="21"/>
    </w:rPr>
  </w:style>
  <w:style w:type="character" w:customStyle="1" w:styleId="ListNormalChar">
    <w:name w:val="List: Normal Char"/>
    <w:basedOn w:val="DefaultParagraphFont"/>
    <w:link w:val="ListNormal"/>
    <w:rsid w:val="00C64FF6"/>
    <w:rPr>
      <w:sz w:val="21"/>
    </w:rPr>
  </w:style>
  <w:style w:type="paragraph" w:customStyle="1" w:styleId="NormalFigure">
    <w:name w:val="Normal: Figure"/>
    <w:basedOn w:val="PlainText"/>
    <w:link w:val="NormalFigureChar"/>
    <w:qFormat/>
    <w:rsid w:val="00C64FF6"/>
    <w:pPr>
      <w:keepNext/>
      <w:keepLines/>
      <w:spacing w:after="120"/>
      <w:jc w:val="both"/>
    </w:pPr>
    <w:rPr>
      <w:rFonts w:asciiTheme="minorHAnsi" w:hAnsiTheme="minorHAnsi" w:cstheme="minorHAnsi"/>
      <w:color w:val="5A5A5A" w:themeColor="text1" w:themeTint="A5"/>
      <w:sz w:val="20"/>
      <w:szCs w:val="20"/>
    </w:rPr>
  </w:style>
  <w:style w:type="character" w:customStyle="1" w:styleId="NormalFigureChar">
    <w:name w:val="Normal: Figure Char"/>
    <w:basedOn w:val="DefaultParagraphFont"/>
    <w:link w:val="NormalFigure"/>
    <w:rsid w:val="00C64FF6"/>
    <w:rPr>
      <w:rFonts w:eastAsia="Arial" w:cstheme="minorHAnsi"/>
      <w:color w:val="5A5A5A" w:themeColor="text1" w:themeTint="A5"/>
      <w:sz w:val="20"/>
      <w:szCs w:val="20"/>
    </w:rPr>
  </w:style>
  <w:style w:type="paragraph" w:styleId="PlainText">
    <w:name w:val="Plain Text"/>
    <w:basedOn w:val="Normal"/>
    <w:link w:val="PlainTextChar"/>
    <w:uiPriority w:val="99"/>
    <w:semiHidden/>
    <w:unhideWhenUsed/>
    <w:rsid w:val="00C64FF6"/>
    <w:pPr>
      <w:spacing w:before="0"/>
    </w:pPr>
    <w:rPr>
      <w:rFonts w:ascii="Courier" w:eastAsia="Arial" w:hAnsi="Courier" w:cs="Times New Roman"/>
      <w:szCs w:val="21"/>
    </w:rPr>
  </w:style>
  <w:style w:type="character" w:customStyle="1" w:styleId="PlainTextChar">
    <w:name w:val="Plain Text Char"/>
    <w:basedOn w:val="DefaultParagraphFont"/>
    <w:link w:val="PlainText"/>
    <w:uiPriority w:val="99"/>
    <w:semiHidden/>
    <w:rsid w:val="00C64FF6"/>
    <w:rPr>
      <w:rFonts w:ascii="Courier" w:eastAsia="Arial" w:hAnsi="Courier" w:cs="Times New Roman"/>
      <w:sz w:val="21"/>
      <w:szCs w:val="21"/>
    </w:rPr>
  </w:style>
  <w:style w:type="paragraph" w:customStyle="1" w:styleId="article-title">
    <w:name w:val="article-title"/>
    <w:basedOn w:val="Normal"/>
    <w:rsid w:val="00C64FF6"/>
    <w:pPr>
      <w:spacing w:before="100" w:beforeAutospacing="1" w:after="100" w:afterAutospacing="1" w:line="240" w:lineRule="auto"/>
    </w:pPr>
    <w:rPr>
      <w:rFonts w:ascii="Times New Roman" w:eastAsia="Times New Roman" w:hAnsi="Times New Roman" w:cs="Times New Roman"/>
      <w:sz w:val="24"/>
      <w:szCs w:val="24"/>
      <w:lang w:val="en-US" w:eastAsia="en-AU"/>
    </w:rPr>
  </w:style>
  <w:style w:type="paragraph" w:customStyle="1" w:styleId="bodytext0">
    <w:name w:val="bodytext"/>
    <w:basedOn w:val="Normal"/>
    <w:rsid w:val="00C64FF6"/>
    <w:pPr>
      <w:spacing w:before="100" w:beforeAutospacing="1" w:after="100" w:afterAutospacing="1" w:line="240" w:lineRule="auto"/>
    </w:pPr>
    <w:rPr>
      <w:rFonts w:ascii="Times New Roman" w:eastAsia="Times New Roman" w:hAnsi="Times New Roman" w:cs="Times New Roman"/>
      <w:sz w:val="24"/>
      <w:szCs w:val="24"/>
      <w:lang w:val="en-US" w:eastAsia="en-AU"/>
    </w:rPr>
  </w:style>
  <w:style w:type="character" w:customStyle="1" w:styleId="bc">
    <w:name w:val="bc"/>
    <w:basedOn w:val="DefaultParagraphFont"/>
    <w:rsid w:val="00C64FF6"/>
  </w:style>
  <w:style w:type="paragraph" w:styleId="EndnoteText">
    <w:name w:val="endnote text"/>
    <w:basedOn w:val="Normal"/>
    <w:link w:val="EndnoteTextChar"/>
    <w:uiPriority w:val="99"/>
    <w:unhideWhenUsed/>
    <w:rsid w:val="00C64FF6"/>
    <w:pPr>
      <w:spacing w:before="0" w:line="240" w:lineRule="auto"/>
    </w:pPr>
    <w:rPr>
      <w:rFonts w:ascii="Times New Roman" w:hAnsi="Times New Roman" w:cs="Times New Roman"/>
      <w:sz w:val="24"/>
      <w:szCs w:val="24"/>
      <w:lang w:val="en-US"/>
    </w:rPr>
  </w:style>
  <w:style w:type="character" w:customStyle="1" w:styleId="EndnoteTextChar">
    <w:name w:val="Endnote Text Char"/>
    <w:basedOn w:val="DefaultParagraphFont"/>
    <w:link w:val="EndnoteText"/>
    <w:uiPriority w:val="99"/>
    <w:rsid w:val="00C64FF6"/>
    <w:rPr>
      <w:rFonts w:ascii="Times New Roman" w:hAnsi="Times New Roman" w:cs="Times New Roman"/>
      <w:sz w:val="24"/>
      <w:szCs w:val="24"/>
      <w:lang w:val="en-US"/>
    </w:rPr>
  </w:style>
  <w:style w:type="character" w:styleId="EndnoteReference">
    <w:name w:val="endnote reference"/>
    <w:basedOn w:val="DefaultParagraphFont"/>
    <w:uiPriority w:val="99"/>
    <w:unhideWhenUsed/>
    <w:rsid w:val="00C64FF6"/>
    <w:rPr>
      <w:vertAlign w:val="superscript"/>
    </w:rPr>
  </w:style>
  <w:style w:type="character" w:customStyle="1" w:styleId="apple-converted-space">
    <w:name w:val="apple-converted-space"/>
    <w:basedOn w:val="DefaultParagraphFont"/>
    <w:rsid w:val="00C64FF6"/>
  </w:style>
  <w:style w:type="paragraph" w:customStyle="1" w:styleId="Pa2">
    <w:name w:val="Pa2"/>
    <w:basedOn w:val="Normal"/>
    <w:next w:val="Normal"/>
    <w:uiPriority w:val="99"/>
    <w:rsid w:val="00C64FF6"/>
    <w:pPr>
      <w:autoSpaceDE w:val="0"/>
      <w:autoSpaceDN w:val="0"/>
      <w:adjustRightInd w:val="0"/>
      <w:spacing w:before="0" w:line="211" w:lineRule="atLeast"/>
    </w:pPr>
    <w:rPr>
      <w:rFonts w:ascii="Helvetica Neue LT" w:hAnsi="Helvetica Neue LT"/>
      <w:sz w:val="24"/>
      <w:szCs w:val="24"/>
    </w:rPr>
  </w:style>
  <w:style w:type="paragraph" w:customStyle="1" w:styleId="Pa9">
    <w:name w:val="Pa9"/>
    <w:basedOn w:val="Normal"/>
    <w:next w:val="Normal"/>
    <w:uiPriority w:val="99"/>
    <w:rsid w:val="00C64FF6"/>
    <w:pPr>
      <w:autoSpaceDE w:val="0"/>
      <w:autoSpaceDN w:val="0"/>
      <w:adjustRightInd w:val="0"/>
      <w:spacing w:before="0" w:line="221" w:lineRule="atLeast"/>
    </w:pPr>
    <w:rPr>
      <w:rFonts w:ascii="Helvetica Neue LT" w:hAnsi="Helvetica Neue LT"/>
      <w:sz w:val="24"/>
      <w:szCs w:val="24"/>
    </w:rPr>
  </w:style>
  <w:style w:type="paragraph" w:customStyle="1" w:styleId="EndNoteBibliographyTitle">
    <w:name w:val="EndNote Bibliography Title"/>
    <w:basedOn w:val="Normal"/>
    <w:link w:val="EndNoteBibliographyTitleChar"/>
    <w:rsid w:val="00C64FF6"/>
    <w:pPr>
      <w:spacing w:before="0" w:line="240" w:lineRule="auto"/>
      <w:jc w:val="center"/>
    </w:pPr>
    <w:rPr>
      <w:rFonts w:ascii="Arial" w:hAnsi="Arial" w:cs="Arial"/>
      <w:sz w:val="20"/>
      <w:szCs w:val="24"/>
      <w:lang w:val="en-US"/>
    </w:rPr>
  </w:style>
  <w:style w:type="paragraph" w:customStyle="1" w:styleId="EndNoteBibliography">
    <w:name w:val="EndNote Bibliography"/>
    <w:basedOn w:val="Normal"/>
    <w:link w:val="EndNoteBibliographyChar"/>
    <w:rsid w:val="00C64FF6"/>
    <w:pPr>
      <w:spacing w:before="0" w:line="240" w:lineRule="auto"/>
    </w:pPr>
    <w:rPr>
      <w:rFonts w:ascii="Arial" w:hAnsi="Arial" w:cs="Arial"/>
      <w:sz w:val="20"/>
      <w:szCs w:val="24"/>
      <w:lang w:val="en-US"/>
    </w:rPr>
  </w:style>
  <w:style w:type="table" w:styleId="LightList-Accent1">
    <w:name w:val="Light List Accent 1"/>
    <w:basedOn w:val="TableNormal"/>
    <w:uiPriority w:val="61"/>
    <w:rsid w:val="00C64FF6"/>
    <w:pPr>
      <w:spacing w:after="0" w:line="240" w:lineRule="auto"/>
    </w:pPr>
    <w:tblPr>
      <w:tblStyleRowBandSize w:val="1"/>
      <w:tblStyleColBandSize w:val="1"/>
      <w:tblBorders>
        <w:top w:val="single" w:sz="8" w:space="0" w:color="1A5D9B" w:themeColor="accent1"/>
        <w:left w:val="single" w:sz="8" w:space="0" w:color="1A5D9B" w:themeColor="accent1"/>
        <w:bottom w:val="single" w:sz="8" w:space="0" w:color="1A5D9B" w:themeColor="accent1"/>
        <w:right w:val="single" w:sz="8" w:space="0" w:color="1A5D9B" w:themeColor="accent1"/>
      </w:tblBorders>
    </w:tblPr>
    <w:tblStylePr w:type="firstRow">
      <w:pPr>
        <w:spacing w:before="0" w:after="0" w:line="240" w:lineRule="auto"/>
      </w:pPr>
      <w:rPr>
        <w:b/>
        <w:bCs/>
        <w:color w:val="FFFFFF" w:themeColor="background1"/>
      </w:rPr>
      <w:tblPr/>
      <w:tcPr>
        <w:shd w:val="clear" w:color="auto" w:fill="1A5D9B" w:themeFill="accent1"/>
      </w:tcPr>
    </w:tblStylePr>
    <w:tblStylePr w:type="lastRow">
      <w:pPr>
        <w:spacing w:before="0" w:after="0" w:line="240" w:lineRule="auto"/>
      </w:pPr>
      <w:rPr>
        <w:b/>
        <w:bCs/>
      </w:rPr>
      <w:tblPr/>
      <w:tcPr>
        <w:tcBorders>
          <w:top w:val="double" w:sz="6" w:space="0" w:color="1A5D9B" w:themeColor="accent1"/>
          <w:left w:val="single" w:sz="8" w:space="0" w:color="1A5D9B" w:themeColor="accent1"/>
          <w:bottom w:val="single" w:sz="8" w:space="0" w:color="1A5D9B" w:themeColor="accent1"/>
          <w:right w:val="single" w:sz="8" w:space="0" w:color="1A5D9B" w:themeColor="accent1"/>
        </w:tcBorders>
      </w:tcPr>
    </w:tblStylePr>
    <w:tblStylePr w:type="firstCol">
      <w:rPr>
        <w:b/>
        <w:bCs/>
      </w:rPr>
    </w:tblStylePr>
    <w:tblStylePr w:type="lastCol">
      <w:rPr>
        <w:b/>
        <w:bCs/>
      </w:rPr>
    </w:tblStylePr>
    <w:tblStylePr w:type="band1Vert">
      <w:tblPr/>
      <w:tcPr>
        <w:tcBorders>
          <w:top w:val="single" w:sz="8" w:space="0" w:color="1A5D9B" w:themeColor="accent1"/>
          <w:left w:val="single" w:sz="8" w:space="0" w:color="1A5D9B" w:themeColor="accent1"/>
          <w:bottom w:val="single" w:sz="8" w:space="0" w:color="1A5D9B" w:themeColor="accent1"/>
          <w:right w:val="single" w:sz="8" w:space="0" w:color="1A5D9B" w:themeColor="accent1"/>
        </w:tcBorders>
      </w:tcPr>
    </w:tblStylePr>
    <w:tblStylePr w:type="band1Horz">
      <w:tblPr/>
      <w:tcPr>
        <w:tcBorders>
          <w:top w:val="single" w:sz="8" w:space="0" w:color="1A5D9B" w:themeColor="accent1"/>
          <w:left w:val="single" w:sz="8" w:space="0" w:color="1A5D9B" w:themeColor="accent1"/>
          <w:bottom w:val="single" w:sz="8" w:space="0" w:color="1A5D9B" w:themeColor="accent1"/>
          <w:right w:val="single" w:sz="8" w:space="0" w:color="1A5D9B" w:themeColor="accent1"/>
        </w:tcBorders>
      </w:tcPr>
    </w:tblStylePr>
  </w:style>
  <w:style w:type="table" w:styleId="GridTable4-Accent6">
    <w:name w:val="Grid Table 4 Accent 6"/>
    <w:basedOn w:val="TableNormal"/>
    <w:uiPriority w:val="49"/>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4" w:space="0" w:color="C1C1FF" w:themeColor="accent6" w:themeTint="99"/>
        <w:left w:val="single" w:sz="4" w:space="0" w:color="C1C1FF" w:themeColor="accent6" w:themeTint="99"/>
        <w:bottom w:val="single" w:sz="4" w:space="0" w:color="C1C1FF" w:themeColor="accent6" w:themeTint="99"/>
        <w:right w:val="single" w:sz="4" w:space="0" w:color="C1C1FF" w:themeColor="accent6" w:themeTint="99"/>
        <w:insideH w:val="single" w:sz="4" w:space="0" w:color="C1C1FF" w:themeColor="accent6" w:themeTint="99"/>
        <w:insideV w:val="single" w:sz="4" w:space="0" w:color="C1C1FF" w:themeColor="accent6" w:themeTint="99"/>
      </w:tblBorders>
    </w:tblPr>
    <w:tblStylePr w:type="firstRow">
      <w:rPr>
        <w:b/>
        <w:bCs/>
        <w:color w:val="FFFFFF" w:themeColor="background1"/>
      </w:rPr>
      <w:tblPr/>
      <w:tcPr>
        <w:tcBorders>
          <w:top w:val="single" w:sz="4" w:space="0" w:color="9999FF" w:themeColor="accent6"/>
          <w:left w:val="single" w:sz="4" w:space="0" w:color="9999FF" w:themeColor="accent6"/>
          <w:bottom w:val="single" w:sz="4" w:space="0" w:color="9999FF" w:themeColor="accent6"/>
          <w:right w:val="single" w:sz="4" w:space="0" w:color="9999FF" w:themeColor="accent6"/>
          <w:insideH w:val="nil"/>
          <w:insideV w:val="nil"/>
        </w:tcBorders>
        <w:shd w:val="clear" w:color="auto" w:fill="9999FF" w:themeFill="accent6"/>
      </w:tcPr>
    </w:tblStylePr>
    <w:tblStylePr w:type="lastRow">
      <w:rPr>
        <w:b/>
        <w:bCs/>
      </w:rPr>
      <w:tblPr/>
      <w:tcPr>
        <w:tcBorders>
          <w:top w:val="double" w:sz="4" w:space="0" w:color="9999FF" w:themeColor="accent6"/>
        </w:tcBorders>
      </w:tcPr>
    </w:tblStylePr>
    <w:tblStylePr w:type="firstCol">
      <w:rPr>
        <w:b/>
        <w:bCs/>
      </w:rPr>
    </w:tblStylePr>
    <w:tblStylePr w:type="lastCol">
      <w:rPr>
        <w:b/>
        <w:bCs/>
      </w:rPr>
    </w:tblStylePr>
    <w:tblStylePr w:type="band1Vert">
      <w:tblPr/>
      <w:tcPr>
        <w:shd w:val="clear" w:color="auto" w:fill="EAEAFF" w:themeFill="accent6" w:themeFillTint="33"/>
      </w:tcPr>
    </w:tblStylePr>
    <w:tblStylePr w:type="band1Horz">
      <w:tblPr/>
      <w:tcPr>
        <w:shd w:val="clear" w:color="auto" w:fill="EAEAFF" w:themeFill="accent6" w:themeFillTint="33"/>
      </w:tcPr>
    </w:tblStylePr>
  </w:style>
  <w:style w:type="character" w:customStyle="1" w:styleId="comment-date">
    <w:name w:val="comment-date"/>
    <w:basedOn w:val="DefaultParagraphFont"/>
    <w:rsid w:val="00C64FF6"/>
  </w:style>
  <w:style w:type="paragraph" w:customStyle="1" w:styleId="TitleAuthorDate">
    <w:name w:val="Title: AuthorDate"/>
    <w:basedOn w:val="Normal"/>
    <w:link w:val="TitleAuthorDateChar"/>
    <w:qFormat/>
    <w:rsid w:val="00E7766C"/>
    <w:pPr>
      <w:widowControl w:val="0"/>
      <w:tabs>
        <w:tab w:val="left" w:pos="200"/>
        <w:tab w:val="left" w:pos="1380"/>
        <w:tab w:val="left" w:pos="2520"/>
      </w:tabs>
      <w:suppressAutoHyphens/>
      <w:autoSpaceDE w:val="0"/>
      <w:autoSpaceDN w:val="0"/>
      <w:adjustRightInd w:val="0"/>
      <w:spacing w:before="0" w:line="280" w:lineRule="atLeast"/>
      <w:textAlignment w:val="baseline"/>
    </w:pPr>
    <w:rPr>
      <w:rFonts w:ascii="Swis721 Lt BT" w:eastAsia="Arial" w:hAnsi="Swis721 Lt BT" w:cs="Arial-BoldMT"/>
      <w:bCs/>
      <w:color w:val="FFFFFF" w:themeColor="background1"/>
      <w:szCs w:val="28"/>
      <w:lang w:val="en-GB"/>
    </w:rPr>
  </w:style>
  <w:style w:type="character" w:customStyle="1" w:styleId="TitleAuthorDateChar">
    <w:name w:val="Title: AuthorDate Char"/>
    <w:basedOn w:val="PlainTextChar"/>
    <w:link w:val="TitleAuthorDate"/>
    <w:rsid w:val="00E7766C"/>
    <w:rPr>
      <w:rFonts w:ascii="Swis721 Lt BT" w:eastAsia="Arial" w:hAnsi="Swis721 Lt BT" w:cs="Arial-BoldMT"/>
      <w:bCs/>
      <w:color w:val="FFFFFF" w:themeColor="background1"/>
      <w:sz w:val="21"/>
      <w:szCs w:val="28"/>
      <w:lang w:val="en-GB"/>
    </w:rPr>
  </w:style>
  <w:style w:type="paragraph" w:styleId="TOC5">
    <w:name w:val="toc 5"/>
    <w:basedOn w:val="Normal"/>
    <w:next w:val="Normal"/>
    <w:autoRedefine/>
    <w:uiPriority w:val="39"/>
    <w:unhideWhenUsed/>
    <w:rsid w:val="00A41B25"/>
    <w:pPr>
      <w:spacing w:before="0"/>
      <w:ind w:left="840"/>
    </w:pPr>
    <w:rPr>
      <w:rFonts w:cstheme="minorHAnsi"/>
      <w:sz w:val="18"/>
      <w:szCs w:val="18"/>
    </w:rPr>
  </w:style>
  <w:style w:type="paragraph" w:styleId="TOC6">
    <w:name w:val="toc 6"/>
    <w:basedOn w:val="Normal"/>
    <w:next w:val="Normal"/>
    <w:autoRedefine/>
    <w:uiPriority w:val="39"/>
    <w:unhideWhenUsed/>
    <w:rsid w:val="00A41B25"/>
    <w:pPr>
      <w:spacing w:before="0"/>
      <w:ind w:left="1050"/>
    </w:pPr>
    <w:rPr>
      <w:rFonts w:cstheme="minorHAnsi"/>
      <w:sz w:val="18"/>
      <w:szCs w:val="18"/>
    </w:rPr>
  </w:style>
  <w:style w:type="paragraph" w:styleId="TOC7">
    <w:name w:val="toc 7"/>
    <w:basedOn w:val="Normal"/>
    <w:next w:val="Normal"/>
    <w:autoRedefine/>
    <w:uiPriority w:val="39"/>
    <w:unhideWhenUsed/>
    <w:rsid w:val="00A41B25"/>
    <w:pPr>
      <w:spacing w:before="0"/>
      <w:ind w:left="1260"/>
    </w:pPr>
    <w:rPr>
      <w:rFonts w:cstheme="minorHAnsi"/>
      <w:sz w:val="18"/>
      <w:szCs w:val="18"/>
    </w:rPr>
  </w:style>
  <w:style w:type="paragraph" w:styleId="TOC8">
    <w:name w:val="toc 8"/>
    <w:basedOn w:val="Normal"/>
    <w:next w:val="Normal"/>
    <w:autoRedefine/>
    <w:uiPriority w:val="39"/>
    <w:unhideWhenUsed/>
    <w:rsid w:val="00A41B25"/>
    <w:pPr>
      <w:spacing w:before="0"/>
      <w:ind w:left="1470"/>
    </w:pPr>
    <w:rPr>
      <w:rFonts w:cstheme="minorHAnsi"/>
      <w:sz w:val="18"/>
      <w:szCs w:val="18"/>
    </w:rPr>
  </w:style>
  <w:style w:type="paragraph" w:styleId="TOC9">
    <w:name w:val="toc 9"/>
    <w:basedOn w:val="Normal"/>
    <w:next w:val="Normal"/>
    <w:autoRedefine/>
    <w:uiPriority w:val="39"/>
    <w:unhideWhenUsed/>
    <w:rsid w:val="00A41B25"/>
    <w:pPr>
      <w:spacing w:before="0"/>
      <w:ind w:left="1680"/>
    </w:pPr>
    <w:rPr>
      <w:rFonts w:cstheme="minorHAnsi"/>
      <w:sz w:val="18"/>
      <w:szCs w:val="18"/>
    </w:rPr>
  </w:style>
  <w:style w:type="table" w:styleId="GridTable4-Accent1">
    <w:name w:val="Grid Table 4 Accent 1"/>
    <w:basedOn w:val="TableNormal"/>
    <w:uiPriority w:val="49"/>
    <w:rsid w:val="009A38B1"/>
    <w:pPr>
      <w:spacing w:after="0" w:line="240" w:lineRule="auto"/>
    </w:pPr>
    <w:tblPr>
      <w:tblStyleRowBandSize w:val="1"/>
      <w:tblStyleColBandSize w:val="1"/>
      <w:tblBorders>
        <w:top w:val="single" w:sz="4" w:space="0" w:color="559EE2" w:themeColor="accent1" w:themeTint="99"/>
        <w:left w:val="single" w:sz="4" w:space="0" w:color="559EE2" w:themeColor="accent1" w:themeTint="99"/>
        <w:bottom w:val="single" w:sz="4" w:space="0" w:color="559EE2" w:themeColor="accent1" w:themeTint="99"/>
        <w:right w:val="single" w:sz="4" w:space="0" w:color="559EE2" w:themeColor="accent1" w:themeTint="99"/>
        <w:insideH w:val="single" w:sz="4" w:space="0" w:color="559EE2" w:themeColor="accent1" w:themeTint="99"/>
        <w:insideV w:val="single" w:sz="4" w:space="0" w:color="559EE2" w:themeColor="accent1" w:themeTint="99"/>
      </w:tblBorders>
    </w:tblPr>
    <w:tblStylePr w:type="firstRow">
      <w:rPr>
        <w:b/>
        <w:bCs/>
        <w:color w:val="FFFFFF" w:themeColor="background1"/>
      </w:rPr>
      <w:tblPr/>
      <w:tcPr>
        <w:tcBorders>
          <w:top w:val="single" w:sz="4" w:space="0" w:color="1A5D9B" w:themeColor="accent1"/>
          <w:left w:val="single" w:sz="4" w:space="0" w:color="1A5D9B" w:themeColor="accent1"/>
          <w:bottom w:val="single" w:sz="4" w:space="0" w:color="1A5D9B" w:themeColor="accent1"/>
          <w:right w:val="single" w:sz="4" w:space="0" w:color="1A5D9B" w:themeColor="accent1"/>
          <w:insideH w:val="nil"/>
          <w:insideV w:val="nil"/>
        </w:tcBorders>
        <w:shd w:val="clear" w:color="auto" w:fill="1A5D9B" w:themeFill="accent1"/>
      </w:tcPr>
    </w:tblStylePr>
    <w:tblStylePr w:type="lastRow">
      <w:rPr>
        <w:b/>
        <w:bCs/>
      </w:rPr>
      <w:tblPr/>
      <w:tcPr>
        <w:tcBorders>
          <w:top w:val="double" w:sz="4" w:space="0" w:color="1A5D9B" w:themeColor="accent1"/>
        </w:tcBorders>
      </w:tcPr>
    </w:tblStylePr>
    <w:tblStylePr w:type="firstCol">
      <w:rPr>
        <w:b/>
        <w:bCs/>
      </w:rPr>
    </w:tblStylePr>
    <w:tblStylePr w:type="lastCol">
      <w:rPr>
        <w:b/>
        <w:bCs/>
      </w:rPr>
    </w:tblStylePr>
    <w:tblStylePr w:type="band1Vert">
      <w:tblPr/>
      <w:tcPr>
        <w:shd w:val="clear" w:color="auto" w:fill="C6DEF5" w:themeFill="accent1" w:themeFillTint="33"/>
      </w:tcPr>
    </w:tblStylePr>
    <w:tblStylePr w:type="band1Horz">
      <w:tblPr/>
      <w:tcPr>
        <w:shd w:val="clear" w:color="auto" w:fill="C6DEF5" w:themeFill="accent1" w:themeFillTint="33"/>
      </w:tcPr>
    </w:tblStylePr>
  </w:style>
  <w:style w:type="table" w:styleId="GridTable4-Accent4">
    <w:name w:val="Grid Table 4 Accent 4"/>
    <w:basedOn w:val="TableNormal"/>
    <w:uiPriority w:val="49"/>
    <w:rsid w:val="009A38B1"/>
    <w:pPr>
      <w:spacing w:after="0" w:line="240" w:lineRule="auto"/>
    </w:pPr>
    <w:tblPr>
      <w:tblStyleRowBandSize w:val="1"/>
      <w:tblStyleColBandSize w:val="1"/>
      <w:tblBorders>
        <w:top w:val="single" w:sz="4" w:space="0" w:color="D0D0D0" w:themeColor="accent4" w:themeTint="99"/>
        <w:left w:val="single" w:sz="4" w:space="0" w:color="D0D0D0" w:themeColor="accent4" w:themeTint="99"/>
        <w:bottom w:val="single" w:sz="4" w:space="0" w:color="D0D0D0" w:themeColor="accent4" w:themeTint="99"/>
        <w:right w:val="single" w:sz="4" w:space="0" w:color="D0D0D0" w:themeColor="accent4" w:themeTint="99"/>
        <w:insideH w:val="single" w:sz="4" w:space="0" w:color="D0D0D0" w:themeColor="accent4" w:themeTint="99"/>
        <w:insideV w:val="single" w:sz="4" w:space="0" w:color="D0D0D0" w:themeColor="accent4" w:themeTint="99"/>
      </w:tblBorders>
    </w:tblPr>
    <w:tblStylePr w:type="firstRow">
      <w:rPr>
        <w:b/>
        <w:bCs/>
        <w:color w:val="FFFFFF" w:themeColor="background1"/>
      </w:rPr>
      <w:tblPr/>
      <w:tcPr>
        <w:tcBorders>
          <w:top w:val="single" w:sz="4" w:space="0" w:color="B2B2B2" w:themeColor="accent4"/>
          <w:left w:val="single" w:sz="4" w:space="0" w:color="B2B2B2" w:themeColor="accent4"/>
          <w:bottom w:val="single" w:sz="4" w:space="0" w:color="B2B2B2" w:themeColor="accent4"/>
          <w:right w:val="single" w:sz="4" w:space="0" w:color="B2B2B2" w:themeColor="accent4"/>
          <w:insideH w:val="nil"/>
          <w:insideV w:val="nil"/>
        </w:tcBorders>
        <w:shd w:val="clear" w:color="auto" w:fill="B2B2B2" w:themeFill="accent4"/>
      </w:tcPr>
    </w:tblStylePr>
    <w:tblStylePr w:type="lastRow">
      <w:rPr>
        <w:b/>
        <w:bCs/>
      </w:rPr>
      <w:tblPr/>
      <w:tcPr>
        <w:tcBorders>
          <w:top w:val="double" w:sz="4" w:space="0" w:color="B2B2B2" w:themeColor="accent4"/>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table" w:styleId="ListTable3-Accent4">
    <w:name w:val="List Table 3 Accent 4"/>
    <w:basedOn w:val="TableNormal"/>
    <w:uiPriority w:val="48"/>
    <w:rsid w:val="0043508F"/>
    <w:pPr>
      <w:spacing w:after="0" w:line="240" w:lineRule="auto"/>
    </w:pPr>
    <w:tblPr>
      <w:tblStyleRowBandSize w:val="1"/>
      <w:tblStyleColBandSize w:val="1"/>
      <w:tblBorders>
        <w:top w:val="single" w:sz="4" w:space="0" w:color="B2B2B2" w:themeColor="accent4"/>
        <w:left w:val="single" w:sz="4" w:space="0" w:color="B2B2B2" w:themeColor="accent4"/>
        <w:bottom w:val="single" w:sz="4" w:space="0" w:color="B2B2B2" w:themeColor="accent4"/>
        <w:right w:val="single" w:sz="4" w:space="0" w:color="B2B2B2" w:themeColor="accent4"/>
      </w:tblBorders>
    </w:tblPr>
    <w:tblStylePr w:type="firstRow">
      <w:rPr>
        <w:b/>
        <w:bCs/>
        <w:color w:val="FFFFFF" w:themeColor="background1"/>
      </w:rPr>
      <w:tblPr/>
      <w:tcPr>
        <w:shd w:val="clear" w:color="auto" w:fill="B2B2B2" w:themeFill="accent4"/>
      </w:tcPr>
    </w:tblStylePr>
    <w:tblStylePr w:type="lastRow">
      <w:rPr>
        <w:b/>
        <w:bCs/>
      </w:rPr>
      <w:tblPr/>
      <w:tcPr>
        <w:tcBorders>
          <w:top w:val="double" w:sz="4" w:space="0" w:color="B2B2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4"/>
          <w:right w:val="single" w:sz="4" w:space="0" w:color="B2B2B2" w:themeColor="accent4"/>
        </w:tcBorders>
      </w:tcPr>
    </w:tblStylePr>
    <w:tblStylePr w:type="band1Horz">
      <w:tblPr/>
      <w:tcPr>
        <w:tcBorders>
          <w:top w:val="single" w:sz="4" w:space="0" w:color="B2B2B2" w:themeColor="accent4"/>
          <w:bottom w:val="single" w:sz="4" w:space="0" w:color="B2B2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4"/>
          <w:left w:val="nil"/>
        </w:tcBorders>
      </w:tcPr>
    </w:tblStylePr>
    <w:tblStylePr w:type="swCell">
      <w:tblPr/>
      <w:tcPr>
        <w:tcBorders>
          <w:top w:val="double" w:sz="4" w:space="0" w:color="B2B2B2" w:themeColor="accent4"/>
          <w:right w:val="nil"/>
        </w:tcBorders>
      </w:tcPr>
    </w:tblStylePr>
  </w:style>
  <w:style w:type="character" w:customStyle="1" w:styleId="EndNoteBibliographyTitleChar">
    <w:name w:val="EndNote Bibliography Title Char"/>
    <w:basedOn w:val="DefaultParagraphFont"/>
    <w:link w:val="EndNoteBibliographyTitle"/>
    <w:rsid w:val="00983999"/>
    <w:rPr>
      <w:rFonts w:ascii="Arial" w:hAnsi="Arial" w:cs="Arial"/>
      <w:sz w:val="20"/>
      <w:szCs w:val="24"/>
      <w:lang w:val="en-US"/>
    </w:rPr>
  </w:style>
  <w:style w:type="paragraph" w:styleId="Revision">
    <w:name w:val="Revision"/>
    <w:hidden/>
    <w:uiPriority w:val="99"/>
    <w:semiHidden/>
    <w:rsid w:val="00C4738A"/>
    <w:pPr>
      <w:spacing w:after="0" w:line="240" w:lineRule="auto"/>
    </w:pPr>
    <w:rPr>
      <w:sz w:val="21"/>
    </w:rPr>
  </w:style>
  <w:style w:type="paragraph" w:customStyle="1" w:styleId="Default">
    <w:name w:val="Default"/>
    <w:rsid w:val="0042771A"/>
    <w:pPr>
      <w:autoSpaceDE w:val="0"/>
      <w:autoSpaceDN w:val="0"/>
      <w:adjustRightInd w:val="0"/>
      <w:spacing w:after="0" w:line="240" w:lineRule="auto"/>
    </w:pPr>
    <w:rPr>
      <w:rFonts w:ascii="Arial Narrow" w:hAnsi="Arial Narrow" w:cs="Arial Narrow"/>
      <w:color w:val="000000"/>
      <w:sz w:val="24"/>
      <w:szCs w:val="24"/>
    </w:rPr>
  </w:style>
  <w:style w:type="character" w:styleId="PlaceholderText">
    <w:name w:val="Placeholder Text"/>
    <w:basedOn w:val="DefaultParagraphFont"/>
    <w:uiPriority w:val="99"/>
    <w:semiHidden/>
    <w:rsid w:val="00C1154C"/>
    <w:rPr>
      <w:color w:val="808080"/>
    </w:rPr>
  </w:style>
  <w:style w:type="character" w:customStyle="1" w:styleId="NoSpacingChar">
    <w:name w:val="No Spacing Char"/>
    <w:basedOn w:val="DefaultParagraphFont"/>
    <w:link w:val="NoSpacing"/>
    <w:uiPriority w:val="1"/>
    <w:rsid w:val="002A33DA"/>
    <w:rPr>
      <w:sz w:val="21"/>
    </w:rPr>
  </w:style>
  <w:style w:type="character" w:customStyle="1" w:styleId="UnresolvedMention1">
    <w:name w:val="Unresolved Mention1"/>
    <w:basedOn w:val="DefaultParagraphFont"/>
    <w:uiPriority w:val="99"/>
    <w:unhideWhenUsed/>
    <w:rsid w:val="00FC7CBB"/>
    <w:rPr>
      <w:color w:val="605E5C"/>
      <w:shd w:val="clear" w:color="auto" w:fill="E1DFDD"/>
    </w:rPr>
  </w:style>
  <w:style w:type="character" w:customStyle="1" w:styleId="EndNoteBibliographyChar">
    <w:name w:val="EndNote Bibliography Char"/>
    <w:basedOn w:val="DefaultParagraphFont"/>
    <w:link w:val="EndNoteBibliography"/>
    <w:rsid w:val="00FC75A4"/>
    <w:rPr>
      <w:rFonts w:ascii="Arial" w:hAnsi="Arial" w:cs="Arial"/>
      <w:sz w:val="20"/>
      <w:szCs w:val="24"/>
      <w:lang w:val="en-US"/>
    </w:rPr>
  </w:style>
  <w:style w:type="table" w:styleId="ListTable3-Accent1">
    <w:name w:val="List Table 3 Accent 1"/>
    <w:basedOn w:val="TableNormal"/>
    <w:uiPriority w:val="48"/>
    <w:rsid w:val="00FC75A4"/>
    <w:pPr>
      <w:spacing w:after="0" w:line="240" w:lineRule="auto"/>
    </w:pPr>
    <w:tblPr>
      <w:tblStyleRowBandSize w:val="1"/>
      <w:tblStyleColBandSize w:val="1"/>
      <w:tblBorders>
        <w:top w:val="single" w:sz="4" w:space="0" w:color="1A5D9B" w:themeColor="accent1"/>
        <w:left w:val="single" w:sz="4" w:space="0" w:color="1A5D9B" w:themeColor="accent1"/>
        <w:bottom w:val="single" w:sz="4" w:space="0" w:color="1A5D9B" w:themeColor="accent1"/>
        <w:right w:val="single" w:sz="4" w:space="0" w:color="1A5D9B" w:themeColor="accent1"/>
      </w:tblBorders>
    </w:tblPr>
    <w:tblStylePr w:type="firstRow">
      <w:rPr>
        <w:b/>
        <w:bCs/>
        <w:color w:val="FFFFFF" w:themeColor="background1"/>
      </w:rPr>
      <w:tblPr/>
      <w:tcPr>
        <w:shd w:val="clear" w:color="auto" w:fill="1A5D9B" w:themeFill="accent1"/>
      </w:tcPr>
    </w:tblStylePr>
    <w:tblStylePr w:type="lastRow">
      <w:rPr>
        <w:b/>
        <w:bCs/>
      </w:rPr>
      <w:tblPr/>
      <w:tcPr>
        <w:tcBorders>
          <w:top w:val="double" w:sz="4" w:space="0" w:color="1A5D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5D9B" w:themeColor="accent1"/>
          <w:right w:val="single" w:sz="4" w:space="0" w:color="1A5D9B" w:themeColor="accent1"/>
        </w:tcBorders>
      </w:tcPr>
    </w:tblStylePr>
    <w:tblStylePr w:type="band1Horz">
      <w:tblPr/>
      <w:tcPr>
        <w:tcBorders>
          <w:top w:val="single" w:sz="4" w:space="0" w:color="1A5D9B" w:themeColor="accent1"/>
          <w:bottom w:val="single" w:sz="4" w:space="0" w:color="1A5D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5D9B" w:themeColor="accent1"/>
          <w:left w:val="nil"/>
        </w:tcBorders>
      </w:tcPr>
    </w:tblStylePr>
    <w:tblStylePr w:type="swCell">
      <w:tblPr/>
      <w:tcPr>
        <w:tcBorders>
          <w:top w:val="double" w:sz="4" w:space="0" w:color="1A5D9B" w:themeColor="accent1"/>
          <w:right w:val="nil"/>
        </w:tcBorders>
      </w:tcPr>
    </w:tblStylePr>
  </w:style>
  <w:style w:type="table" w:styleId="ListTable6Colorful-Accent1">
    <w:name w:val="List Table 6 Colorful Accent 1"/>
    <w:basedOn w:val="TableNormal"/>
    <w:uiPriority w:val="51"/>
    <w:rsid w:val="00DA1932"/>
    <w:pPr>
      <w:spacing w:after="0" w:line="240" w:lineRule="auto"/>
    </w:pPr>
    <w:rPr>
      <w:color w:val="134573" w:themeColor="accent1" w:themeShade="BF"/>
    </w:rPr>
    <w:tblPr>
      <w:tblStyleRowBandSize w:val="1"/>
      <w:tblStyleColBandSize w:val="1"/>
      <w:tblBorders>
        <w:top w:val="single" w:sz="4" w:space="0" w:color="1A5D9B" w:themeColor="accent1"/>
        <w:bottom w:val="single" w:sz="4" w:space="0" w:color="1A5D9B" w:themeColor="accent1"/>
      </w:tblBorders>
    </w:tblPr>
    <w:tblStylePr w:type="firstRow">
      <w:rPr>
        <w:b/>
        <w:bCs/>
      </w:rPr>
      <w:tblPr/>
      <w:tcPr>
        <w:tcBorders>
          <w:bottom w:val="single" w:sz="4" w:space="0" w:color="1A5D9B" w:themeColor="accent1"/>
        </w:tcBorders>
      </w:tcPr>
    </w:tblStylePr>
    <w:tblStylePr w:type="lastRow">
      <w:rPr>
        <w:b/>
        <w:bCs/>
      </w:rPr>
      <w:tblPr/>
      <w:tcPr>
        <w:tcBorders>
          <w:top w:val="double" w:sz="4" w:space="0" w:color="1A5D9B" w:themeColor="accent1"/>
        </w:tcBorders>
      </w:tcPr>
    </w:tblStylePr>
    <w:tblStylePr w:type="firstCol">
      <w:rPr>
        <w:b/>
        <w:bCs/>
      </w:rPr>
    </w:tblStylePr>
    <w:tblStylePr w:type="lastCol">
      <w:rPr>
        <w:b/>
        <w:bCs/>
      </w:rPr>
    </w:tblStylePr>
    <w:tblStylePr w:type="band1Vert">
      <w:tblPr/>
      <w:tcPr>
        <w:shd w:val="clear" w:color="auto" w:fill="C6DEF5" w:themeFill="accent1" w:themeFillTint="33"/>
      </w:tcPr>
    </w:tblStylePr>
    <w:tblStylePr w:type="band1Horz">
      <w:tblPr/>
      <w:tcPr>
        <w:shd w:val="clear" w:color="auto" w:fill="C6DEF5" w:themeFill="accent1" w:themeFillTint="33"/>
      </w:tcPr>
    </w:tblStylePr>
  </w:style>
  <w:style w:type="character" w:customStyle="1" w:styleId="status">
    <w:name w:val="status"/>
    <w:basedOn w:val="DefaultParagraphFont"/>
    <w:rsid w:val="005644EB"/>
  </w:style>
  <w:style w:type="character" w:customStyle="1" w:styleId="red">
    <w:name w:val="red"/>
    <w:basedOn w:val="DefaultParagraphFont"/>
    <w:rsid w:val="005644EB"/>
  </w:style>
  <w:style w:type="table" w:styleId="ListTable4-Accent1">
    <w:name w:val="List Table 4 Accent 1"/>
    <w:basedOn w:val="TableNormal"/>
    <w:uiPriority w:val="49"/>
    <w:rsid w:val="00130260"/>
    <w:pPr>
      <w:spacing w:after="0" w:line="240" w:lineRule="auto"/>
    </w:pPr>
    <w:tblPr>
      <w:tblStyleRowBandSize w:val="1"/>
      <w:tblStyleColBandSize w:val="1"/>
      <w:tblBorders>
        <w:top w:val="single" w:sz="4" w:space="0" w:color="559EE2" w:themeColor="accent1" w:themeTint="99"/>
        <w:left w:val="single" w:sz="4" w:space="0" w:color="559EE2" w:themeColor="accent1" w:themeTint="99"/>
        <w:bottom w:val="single" w:sz="4" w:space="0" w:color="559EE2" w:themeColor="accent1" w:themeTint="99"/>
        <w:right w:val="single" w:sz="4" w:space="0" w:color="559EE2" w:themeColor="accent1" w:themeTint="99"/>
        <w:insideH w:val="single" w:sz="4" w:space="0" w:color="559EE2" w:themeColor="accent1" w:themeTint="99"/>
      </w:tblBorders>
    </w:tblPr>
    <w:tblStylePr w:type="firstRow">
      <w:rPr>
        <w:b/>
        <w:bCs/>
        <w:color w:val="FFFFFF" w:themeColor="background1"/>
      </w:rPr>
      <w:tblPr/>
      <w:tcPr>
        <w:tcBorders>
          <w:top w:val="single" w:sz="4" w:space="0" w:color="1A5D9B" w:themeColor="accent1"/>
          <w:left w:val="single" w:sz="4" w:space="0" w:color="1A5D9B" w:themeColor="accent1"/>
          <w:bottom w:val="single" w:sz="4" w:space="0" w:color="1A5D9B" w:themeColor="accent1"/>
          <w:right w:val="single" w:sz="4" w:space="0" w:color="1A5D9B" w:themeColor="accent1"/>
          <w:insideH w:val="nil"/>
        </w:tcBorders>
        <w:shd w:val="clear" w:color="auto" w:fill="1A5D9B" w:themeFill="accent1"/>
      </w:tcPr>
    </w:tblStylePr>
    <w:tblStylePr w:type="lastRow">
      <w:rPr>
        <w:b/>
        <w:bCs/>
      </w:rPr>
      <w:tblPr/>
      <w:tcPr>
        <w:tcBorders>
          <w:top w:val="double" w:sz="4" w:space="0" w:color="559EE2" w:themeColor="accent1" w:themeTint="99"/>
        </w:tcBorders>
      </w:tcPr>
    </w:tblStylePr>
    <w:tblStylePr w:type="firstCol">
      <w:rPr>
        <w:b/>
        <w:bCs/>
      </w:rPr>
    </w:tblStylePr>
    <w:tblStylePr w:type="lastCol">
      <w:rPr>
        <w:b/>
        <w:bCs/>
      </w:rPr>
    </w:tblStylePr>
    <w:tblStylePr w:type="band1Vert">
      <w:tblPr/>
      <w:tcPr>
        <w:shd w:val="clear" w:color="auto" w:fill="C6DEF5" w:themeFill="accent1" w:themeFillTint="33"/>
      </w:tcPr>
    </w:tblStylePr>
    <w:tblStylePr w:type="band1Horz">
      <w:tblPr/>
      <w:tcPr>
        <w:shd w:val="clear" w:color="auto" w:fill="C6DEF5" w:themeFill="accent1" w:themeFillTint="33"/>
      </w:tcPr>
    </w:tblStylePr>
  </w:style>
  <w:style w:type="table" w:styleId="GridTable6Colorful-Accent1">
    <w:name w:val="Grid Table 6 Colorful Accent 1"/>
    <w:basedOn w:val="TableNormal"/>
    <w:uiPriority w:val="51"/>
    <w:rsid w:val="00CE6350"/>
    <w:pPr>
      <w:spacing w:after="0" w:line="240" w:lineRule="auto"/>
    </w:pPr>
    <w:rPr>
      <w:color w:val="134573" w:themeColor="accent1" w:themeShade="BF"/>
    </w:rPr>
    <w:tblPr>
      <w:tblStyleRowBandSize w:val="1"/>
      <w:tblStyleColBandSize w:val="1"/>
      <w:tblBorders>
        <w:top w:val="single" w:sz="4" w:space="0" w:color="559EE2" w:themeColor="accent1" w:themeTint="99"/>
        <w:left w:val="single" w:sz="4" w:space="0" w:color="559EE2" w:themeColor="accent1" w:themeTint="99"/>
        <w:bottom w:val="single" w:sz="4" w:space="0" w:color="559EE2" w:themeColor="accent1" w:themeTint="99"/>
        <w:right w:val="single" w:sz="4" w:space="0" w:color="559EE2" w:themeColor="accent1" w:themeTint="99"/>
        <w:insideH w:val="single" w:sz="4" w:space="0" w:color="559EE2" w:themeColor="accent1" w:themeTint="99"/>
        <w:insideV w:val="single" w:sz="4" w:space="0" w:color="559EE2" w:themeColor="accent1" w:themeTint="99"/>
      </w:tblBorders>
    </w:tblPr>
    <w:tblStylePr w:type="firstRow">
      <w:rPr>
        <w:b/>
        <w:bCs/>
      </w:rPr>
      <w:tblPr/>
      <w:tcPr>
        <w:tcBorders>
          <w:bottom w:val="single" w:sz="12" w:space="0" w:color="559EE2" w:themeColor="accent1" w:themeTint="99"/>
        </w:tcBorders>
      </w:tcPr>
    </w:tblStylePr>
    <w:tblStylePr w:type="lastRow">
      <w:rPr>
        <w:b/>
        <w:bCs/>
      </w:rPr>
      <w:tblPr/>
      <w:tcPr>
        <w:tcBorders>
          <w:top w:val="double" w:sz="4" w:space="0" w:color="559EE2" w:themeColor="accent1" w:themeTint="99"/>
        </w:tcBorders>
      </w:tcPr>
    </w:tblStylePr>
    <w:tblStylePr w:type="firstCol">
      <w:rPr>
        <w:b/>
        <w:bCs/>
      </w:rPr>
    </w:tblStylePr>
    <w:tblStylePr w:type="lastCol">
      <w:rPr>
        <w:b/>
        <w:bCs/>
      </w:rPr>
    </w:tblStylePr>
    <w:tblStylePr w:type="band1Vert">
      <w:tblPr/>
      <w:tcPr>
        <w:shd w:val="clear" w:color="auto" w:fill="C6DEF5" w:themeFill="accent1" w:themeFillTint="33"/>
      </w:tcPr>
    </w:tblStylePr>
    <w:tblStylePr w:type="band1Horz">
      <w:tblPr/>
      <w:tcPr>
        <w:shd w:val="clear" w:color="auto" w:fill="C6DEF5" w:themeFill="accent1" w:themeFillTint="33"/>
      </w:tcPr>
    </w:tblStylePr>
  </w:style>
  <w:style w:type="table" w:styleId="TableGridLight">
    <w:name w:val="Grid Table Light"/>
    <w:basedOn w:val="TableNormal"/>
    <w:uiPriority w:val="40"/>
    <w:rsid w:val="00937A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8B5470"/>
    <w:rPr>
      <w:color w:val="2B579A"/>
      <w:shd w:val="clear" w:color="auto" w:fill="E1DFDD"/>
    </w:rPr>
  </w:style>
  <w:style w:type="paragraph" w:customStyle="1" w:styleId="FirstParagraph">
    <w:name w:val="First Paragraph"/>
    <w:basedOn w:val="BodyText"/>
    <w:next w:val="BodyText"/>
    <w:qFormat/>
    <w:rsid w:val="00566357"/>
    <w:pPr>
      <w:spacing w:before="180" w:after="180" w:line="240" w:lineRule="auto"/>
    </w:pPr>
    <w:rPr>
      <w:sz w:val="24"/>
      <w:szCs w:val="24"/>
      <w:lang w:val="en-US"/>
    </w:rPr>
  </w:style>
  <w:style w:type="paragraph" w:customStyle="1" w:styleId="Compact">
    <w:name w:val="Compact"/>
    <w:basedOn w:val="BodyText"/>
    <w:qFormat/>
    <w:rsid w:val="00566357"/>
    <w:pPr>
      <w:spacing w:before="36" w:after="36" w:line="240" w:lineRule="auto"/>
    </w:pPr>
    <w:rPr>
      <w:sz w:val="24"/>
      <w:szCs w:val="24"/>
      <w:lang w:val="en-US"/>
    </w:rPr>
  </w:style>
  <w:style w:type="table" w:styleId="ListTable4-Accent4">
    <w:name w:val="List Table 4 Accent 4"/>
    <w:basedOn w:val="TableNormal"/>
    <w:uiPriority w:val="49"/>
    <w:rsid w:val="0089584B"/>
    <w:pPr>
      <w:spacing w:after="0" w:line="240" w:lineRule="auto"/>
    </w:pPr>
    <w:tblPr>
      <w:tblStyleRowBandSize w:val="1"/>
      <w:tblStyleColBandSize w:val="1"/>
      <w:tblBorders>
        <w:top w:val="single" w:sz="4" w:space="0" w:color="D0D0D0" w:themeColor="accent4" w:themeTint="99"/>
        <w:left w:val="single" w:sz="4" w:space="0" w:color="D0D0D0" w:themeColor="accent4" w:themeTint="99"/>
        <w:bottom w:val="single" w:sz="4" w:space="0" w:color="D0D0D0" w:themeColor="accent4" w:themeTint="99"/>
        <w:right w:val="single" w:sz="4" w:space="0" w:color="D0D0D0" w:themeColor="accent4" w:themeTint="99"/>
        <w:insideH w:val="single" w:sz="4" w:space="0" w:color="D0D0D0" w:themeColor="accent4" w:themeTint="99"/>
      </w:tblBorders>
    </w:tblPr>
    <w:tblStylePr w:type="firstRow">
      <w:rPr>
        <w:b/>
        <w:bCs/>
        <w:color w:val="FFFFFF" w:themeColor="background1"/>
      </w:rPr>
      <w:tblPr/>
      <w:tcPr>
        <w:tcBorders>
          <w:top w:val="single" w:sz="4" w:space="0" w:color="B2B2B2" w:themeColor="accent4"/>
          <w:left w:val="single" w:sz="4" w:space="0" w:color="B2B2B2" w:themeColor="accent4"/>
          <w:bottom w:val="single" w:sz="4" w:space="0" w:color="B2B2B2" w:themeColor="accent4"/>
          <w:right w:val="single" w:sz="4" w:space="0" w:color="B2B2B2" w:themeColor="accent4"/>
          <w:insideH w:val="nil"/>
        </w:tcBorders>
        <w:shd w:val="clear" w:color="auto" w:fill="B2B2B2" w:themeFill="accent4"/>
      </w:tcPr>
    </w:tblStylePr>
    <w:tblStylePr w:type="lastRow">
      <w:rPr>
        <w:b/>
        <w:bCs/>
      </w:rPr>
      <w:tblPr/>
      <w:tcPr>
        <w:tcBorders>
          <w:top w:val="double" w:sz="4" w:space="0" w:color="D0D0D0" w:themeColor="accent4" w:themeTint="99"/>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character" w:customStyle="1" w:styleId="UnresolvedMention2">
    <w:name w:val="Unresolved Mention2"/>
    <w:basedOn w:val="DefaultParagraphFont"/>
    <w:uiPriority w:val="99"/>
    <w:unhideWhenUsed/>
    <w:rsid w:val="00BD30FA"/>
    <w:rPr>
      <w:color w:val="605E5C"/>
      <w:shd w:val="clear" w:color="auto" w:fill="E1DFDD"/>
    </w:rPr>
  </w:style>
  <w:style w:type="character" w:customStyle="1" w:styleId="Mention2">
    <w:name w:val="Mention2"/>
    <w:basedOn w:val="DefaultParagraphFont"/>
    <w:uiPriority w:val="99"/>
    <w:unhideWhenUsed/>
    <w:rsid w:val="009B34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9637">
      <w:bodyDiv w:val="1"/>
      <w:marLeft w:val="0"/>
      <w:marRight w:val="0"/>
      <w:marTop w:val="0"/>
      <w:marBottom w:val="0"/>
      <w:divBdr>
        <w:top w:val="none" w:sz="0" w:space="0" w:color="auto"/>
        <w:left w:val="none" w:sz="0" w:space="0" w:color="auto"/>
        <w:bottom w:val="none" w:sz="0" w:space="0" w:color="auto"/>
        <w:right w:val="none" w:sz="0" w:space="0" w:color="auto"/>
      </w:divBdr>
    </w:div>
    <w:div w:id="33773312">
      <w:bodyDiv w:val="1"/>
      <w:marLeft w:val="0"/>
      <w:marRight w:val="0"/>
      <w:marTop w:val="0"/>
      <w:marBottom w:val="0"/>
      <w:divBdr>
        <w:top w:val="none" w:sz="0" w:space="0" w:color="auto"/>
        <w:left w:val="none" w:sz="0" w:space="0" w:color="auto"/>
        <w:bottom w:val="none" w:sz="0" w:space="0" w:color="auto"/>
        <w:right w:val="none" w:sz="0" w:space="0" w:color="auto"/>
      </w:divBdr>
    </w:div>
    <w:div w:id="133447305">
      <w:bodyDiv w:val="1"/>
      <w:marLeft w:val="0"/>
      <w:marRight w:val="0"/>
      <w:marTop w:val="0"/>
      <w:marBottom w:val="0"/>
      <w:divBdr>
        <w:top w:val="none" w:sz="0" w:space="0" w:color="auto"/>
        <w:left w:val="none" w:sz="0" w:space="0" w:color="auto"/>
        <w:bottom w:val="none" w:sz="0" w:space="0" w:color="auto"/>
        <w:right w:val="none" w:sz="0" w:space="0" w:color="auto"/>
      </w:divBdr>
    </w:div>
    <w:div w:id="159270251">
      <w:bodyDiv w:val="1"/>
      <w:marLeft w:val="0"/>
      <w:marRight w:val="0"/>
      <w:marTop w:val="0"/>
      <w:marBottom w:val="0"/>
      <w:divBdr>
        <w:top w:val="none" w:sz="0" w:space="0" w:color="auto"/>
        <w:left w:val="none" w:sz="0" w:space="0" w:color="auto"/>
        <w:bottom w:val="none" w:sz="0" w:space="0" w:color="auto"/>
        <w:right w:val="none" w:sz="0" w:space="0" w:color="auto"/>
      </w:divBdr>
    </w:div>
    <w:div w:id="160508840">
      <w:bodyDiv w:val="1"/>
      <w:marLeft w:val="0"/>
      <w:marRight w:val="0"/>
      <w:marTop w:val="0"/>
      <w:marBottom w:val="0"/>
      <w:divBdr>
        <w:top w:val="none" w:sz="0" w:space="0" w:color="auto"/>
        <w:left w:val="none" w:sz="0" w:space="0" w:color="auto"/>
        <w:bottom w:val="none" w:sz="0" w:space="0" w:color="auto"/>
        <w:right w:val="none" w:sz="0" w:space="0" w:color="auto"/>
      </w:divBdr>
    </w:div>
    <w:div w:id="160896296">
      <w:bodyDiv w:val="1"/>
      <w:marLeft w:val="0"/>
      <w:marRight w:val="0"/>
      <w:marTop w:val="0"/>
      <w:marBottom w:val="0"/>
      <w:divBdr>
        <w:top w:val="none" w:sz="0" w:space="0" w:color="auto"/>
        <w:left w:val="none" w:sz="0" w:space="0" w:color="auto"/>
        <w:bottom w:val="none" w:sz="0" w:space="0" w:color="auto"/>
        <w:right w:val="none" w:sz="0" w:space="0" w:color="auto"/>
      </w:divBdr>
    </w:div>
    <w:div w:id="217404997">
      <w:bodyDiv w:val="1"/>
      <w:marLeft w:val="0"/>
      <w:marRight w:val="0"/>
      <w:marTop w:val="0"/>
      <w:marBottom w:val="0"/>
      <w:divBdr>
        <w:top w:val="none" w:sz="0" w:space="0" w:color="auto"/>
        <w:left w:val="none" w:sz="0" w:space="0" w:color="auto"/>
        <w:bottom w:val="none" w:sz="0" w:space="0" w:color="auto"/>
        <w:right w:val="none" w:sz="0" w:space="0" w:color="auto"/>
      </w:divBdr>
    </w:div>
    <w:div w:id="244923845">
      <w:bodyDiv w:val="1"/>
      <w:marLeft w:val="0"/>
      <w:marRight w:val="0"/>
      <w:marTop w:val="0"/>
      <w:marBottom w:val="0"/>
      <w:divBdr>
        <w:top w:val="none" w:sz="0" w:space="0" w:color="auto"/>
        <w:left w:val="none" w:sz="0" w:space="0" w:color="auto"/>
        <w:bottom w:val="none" w:sz="0" w:space="0" w:color="auto"/>
        <w:right w:val="none" w:sz="0" w:space="0" w:color="auto"/>
      </w:divBdr>
    </w:div>
    <w:div w:id="316804674">
      <w:bodyDiv w:val="1"/>
      <w:marLeft w:val="0"/>
      <w:marRight w:val="0"/>
      <w:marTop w:val="0"/>
      <w:marBottom w:val="0"/>
      <w:divBdr>
        <w:top w:val="none" w:sz="0" w:space="0" w:color="auto"/>
        <w:left w:val="none" w:sz="0" w:space="0" w:color="auto"/>
        <w:bottom w:val="none" w:sz="0" w:space="0" w:color="auto"/>
        <w:right w:val="none" w:sz="0" w:space="0" w:color="auto"/>
      </w:divBdr>
    </w:div>
    <w:div w:id="371617698">
      <w:bodyDiv w:val="1"/>
      <w:marLeft w:val="0"/>
      <w:marRight w:val="0"/>
      <w:marTop w:val="0"/>
      <w:marBottom w:val="0"/>
      <w:divBdr>
        <w:top w:val="none" w:sz="0" w:space="0" w:color="auto"/>
        <w:left w:val="none" w:sz="0" w:space="0" w:color="auto"/>
        <w:bottom w:val="none" w:sz="0" w:space="0" w:color="auto"/>
        <w:right w:val="none" w:sz="0" w:space="0" w:color="auto"/>
      </w:divBdr>
    </w:div>
    <w:div w:id="373817886">
      <w:bodyDiv w:val="1"/>
      <w:marLeft w:val="0"/>
      <w:marRight w:val="0"/>
      <w:marTop w:val="0"/>
      <w:marBottom w:val="0"/>
      <w:divBdr>
        <w:top w:val="none" w:sz="0" w:space="0" w:color="auto"/>
        <w:left w:val="none" w:sz="0" w:space="0" w:color="auto"/>
        <w:bottom w:val="none" w:sz="0" w:space="0" w:color="auto"/>
        <w:right w:val="none" w:sz="0" w:space="0" w:color="auto"/>
      </w:divBdr>
    </w:div>
    <w:div w:id="379407293">
      <w:bodyDiv w:val="1"/>
      <w:marLeft w:val="0"/>
      <w:marRight w:val="0"/>
      <w:marTop w:val="0"/>
      <w:marBottom w:val="0"/>
      <w:divBdr>
        <w:top w:val="none" w:sz="0" w:space="0" w:color="auto"/>
        <w:left w:val="none" w:sz="0" w:space="0" w:color="auto"/>
        <w:bottom w:val="none" w:sz="0" w:space="0" w:color="auto"/>
        <w:right w:val="none" w:sz="0" w:space="0" w:color="auto"/>
      </w:divBdr>
    </w:div>
    <w:div w:id="394159921">
      <w:bodyDiv w:val="1"/>
      <w:marLeft w:val="0"/>
      <w:marRight w:val="0"/>
      <w:marTop w:val="0"/>
      <w:marBottom w:val="0"/>
      <w:divBdr>
        <w:top w:val="none" w:sz="0" w:space="0" w:color="auto"/>
        <w:left w:val="none" w:sz="0" w:space="0" w:color="auto"/>
        <w:bottom w:val="none" w:sz="0" w:space="0" w:color="auto"/>
        <w:right w:val="none" w:sz="0" w:space="0" w:color="auto"/>
      </w:divBdr>
      <w:divsChild>
        <w:div w:id="6520294">
          <w:marLeft w:val="0"/>
          <w:marRight w:val="0"/>
          <w:marTop w:val="0"/>
          <w:marBottom w:val="0"/>
          <w:divBdr>
            <w:top w:val="none" w:sz="0" w:space="0" w:color="auto"/>
            <w:left w:val="none" w:sz="0" w:space="0" w:color="auto"/>
            <w:bottom w:val="none" w:sz="0" w:space="0" w:color="auto"/>
            <w:right w:val="none" w:sz="0" w:space="0" w:color="auto"/>
          </w:divBdr>
        </w:div>
        <w:div w:id="35277912">
          <w:marLeft w:val="0"/>
          <w:marRight w:val="0"/>
          <w:marTop w:val="0"/>
          <w:marBottom w:val="0"/>
          <w:divBdr>
            <w:top w:val="none" w:sz="0" w:space="0" w:color="auto"/>
            <w:left w:val="none" w:sz="0" w:space="0" w:color="auto"/>
            <w:bottom w:val="none" w:sz="0" w:space="0" w:color="auto"/>
            <w:right w:val="none" w:sz="0" w:space="0" w:color="auto"/>
          </w:divBdr>
        </w:div>
        <w:div w:id="45182453">
          <w:marLeft w:val="0"/>
          <w:marRight w:val="0"/>
          <w:marTop w:val="0"/>
          <w:marBottom w:val="0"/>
          <w:divBdr>
            <w:top w:val="none" w:sz="0" w:space="0" w:color="auto"/>
            <w:left w:val="none" w:sz="0" w:space="0" w:color="auto"/>
            <w:bottom w:val="none" w:sz="0" w:space="0" w:color="auto"/>
            <w:right w:val="none" w:sz="0" w:space="0" w:color="auto"/>
          </w:divBdr>
        </w:div>
        <w:div w:id="52433020">
          <w:marLeft w:val="0"/>
          <w:marRight w:val="0"/>
          <w:marTop w:val="0"/>
          <w:marBottom w:val="0"/>
          <w:divBdr>
            <w:top w:val="none" w:sz="0" w:space="0" w:color="auto"/>
            <w:left w:val="none" w:sz="0" w:space="0" w:color="auto"/>
            <w:bottom w:val="none" w:sz="0" w:space="0" w:color="auto"/>
            <w:right w:val="none" w:sz="0" w:space="0" w:color="auto"/>
          </w:divBdr>
        </w:div>
        <w:div w:id="65227841">
          <w:marLeft w:val="0"/>
          <w:marRight w:val="0"/>
          <w:marTop w:val="0"/>
          <w:marBottom w:val="0"/>
          <w:divBdr>
            <w:top w:val="none" w:sz="0" w:space="0" w:color="auto"/>
            <w:left w:val="none" w:sz="0" w:space="0" w:color="auto"/>
            <w:bottom w:val="none" w:sz="0" w:space="0" w:color="auto"/>
            <w:right w:val="none" w:sz="0" w:space="0" w:color="auto"/>
          </w:divBdr>
        </w:div>
        <w:div w:id="73742624">
          <w:marLeft w:val="0"/>
          <w:marRight w:val="0"/>
          <w:marTop w:val="0"/>
          <w:marBottom w:val="0"/>
          <w:divBdr>
            <w:top w:val="none" w:sz="0" w:space="0" w:color="auto"/>
            <w:left w:val="none" w:sz="0" w:space="0" w:color="auto"/>
            <w:bottom w:val="none" w:sz="0" w:space="0" w:color="auto"/>
            <w:right w:val="none" w:sz="0" w:space="0" w:color="auto"/>
          </w:divBdr>
        </w:div>
        <w:div w:id="90519125">
          <w:marLeft w:val="0"/>
          <w:marRight w:val="0"/>
          <w:marTop w:val="0"/>
          <w:marBottom w:val="0"/>
          <w:divBdr>
            <w:top w:val="none" w:sz="0" w:space="0" w:color="auto"/>
            <w:left w:val="none" w:sz="0" w:space="0" w:color="auto"/>
            <w:bottom w:val="none" w:sz="0" w:space="0" w:color="auto"/>
            <w:right w:val="none" w:sz="0" w:space="0" w:color="auto"/>
          </w:divBdr>
        </w:div>
        <w:div w:id="202257216">
          <w:marLeft w:val="0"/>
          <w:marRight w:val="0"/>
          <w:marTop w:val="0"/>
          <w:marBottom w:val="0"/>
          <w:divBdr>
            <w:top w:val="none" w:sz="0" w:space="0" w:color="auto"/>
            <w:left w:val="none" w:sz="0" w:space="0" w:color="auto"/>
            <w:bottom w:val="none" w:sz="0" w:space="0" w:color="auto"/>
            <w:right w:val="none" w:sz="0" w:space="0" w:color="auto"/>
          </w:divBdr>
        </w:div>
        <w:div w:id="229771676">
          <w:marLeft w:val="0"/>
          <w:marRight w:val="0"/>
          <w:marTop w:val="0"/>
          <w:marBottom w:val="0"/>
          <w:divBdr>
            <w:top w:val="none" w:sz="0" w:space="0" w:color="auto"/>
            <w:left w:val="none" w:sz="0" w:space="0" w:color="auto"/>
            <w:bottom w:val="none" w:sz="0" w:space="0" w:color="auto"/>
            <w:right w:val="none" w:sz="0" w:space="0" w:color="auto"/>
          </w:divBdr>
        </w:div>
        <w:div w:id="246619358">
          <w:marLeft w:val="0"/>
          <w:marRight w:val="0"/>
          <w:marTop w:val="0"/>
          <w:marBottom w:val="0"/>
          <w:divBdr>
            <w:top w:val="none" w:sz="0" w:space="0" w:color="auto"/>
            <w:left w:val="none" w:sz="0" w:space="0" w:color="auto"/>
            <w:bottom w:val="none" w:sz="0" w:space="0" w:color="auto"/>
            <w:right w:val="none" w:sz="0" w:space="0" w:color="auto"/>
          </w:divBdr>
        </w:div>
        <w:div w:id="275911461">
          <w:marLeft w:val="0"/>
          <w:marRight w:val="0"/>
          <w:marTop w:val="0"/>
          <w:marBottom w:val="0"/>
          <w:divBdr>
            <w:top w:val="none" w:sz="0" w:space="0" w:color="auto"/>
            <w:left w:val="none" w:sz="0" w:space="0" w:color="auto"/>
            <w:bottom w:val="none" w:sz="0" w:space="0" w:color="auto"/>
            <w:right w:val="none" w:sz="0" w:space="0" w:color="auto"/>
          </w:divBdr>
        </w:div>
        <w:div w:id="301008997">
          <w:marLeft w:val="0"/>
          <w:marRight w:val="0"/>
          <w:marTop w:val="0"/>
          <w:marBottom w:val="0"/>
          <w:divBdr>
            <w:top w:val="none" w:sz="0" w:space="0" w:color="auto"/>
            <w:left w:val="none" w:sz="0" w:space="0" w:color="auto"/>
            <w:bottom w:val="none" w:sz="0" w:space="0" w:color="auto"/>
            <w:right w:val="none" w:sz="0" w:space="0" w:color="auto"/>
          </w:divBdr>
        </w:div>
        <w:div w:id="312568041">
          <w:marLeft w:val="0"/>
          <w:marRight w:val="0"/>
          <w:marTop w:val="0"/>
          <w:marBottom w:val="0"/>
          <w:divBdr>
            <w:top w:val="none" w:sz="0" w:space="0" w:color="auto"/>
            <w:left w:val="none" w:sz="0" w:space="0" w:color="auto"/>
            <w:bottom w:val="none" w:sz="0" w:space="0" w:color="auto"/>
            <w:right w:val="none" w:sz="0" w:space="0" w:color="auto"/>
          </w:divBdr>
        </w:div>
        <w:div w:id="353728611">
          <w:marLeft w:val="0"/>
          <w:marRight w:val="0"/>
          <w:marTop w:val="0"/>
          <w:marBottom w:val="0"/>
          <w:divBdr>
            <w:top w:val="none" w:sz="0" w:space="0" w:color="auto"/>
            <w:left w:val="none" w:sz="0" w:space="0" w:color="auto"/>
            <w:bottom w:val="none" w:sz="0" w:space="0" w:color="auto"/>
            <w:right w:val="none" w:sz="0" w:space="0" w:color="auto"/>
          </w:divBdr>
        </w:div>
        <w:div w:id="358362230">
          <w:marLeft w:val="0"/>
          <w:marRight w:val="0"/>
          <w:marTop w:val="0"/>
          <w:marBottom w:val="0"/>
          <w:divBdr>
            <w:top w:val="none" w:sz="0" w:space="0" w:color="auto"/>
            <w:left w:val="none" w:sz="0" w:space="0" w:color="auto"/>
            <w:bottom w:val="none" w:sz="0" w:space="0" w:color="auto"/>
            <w:right w:val="none" w:sz="0" w:space="0" w:color="auto"/>
          </w:divBdr>
        </w:div>
        <w:div w:id="398597801">
          <w:marLeft w:val="0"/>
          <w:marRight w:val="0"/>
          <w:marTop w:val="0"/>
          <w:marBottom w:val="0"/>
          <w:divBdr>
            <w:top w:val="none" w:sz="0" w:space="0" w:color="auto"/>
            <w:left w:val="none" w:sz="0" w:space="0" w:color="auto"/>
            <w:bottom w:val="none" w:sz="0" w:space="0" w:color="auto"/>
            <w:right w:val="none" w:sz="0" w:space="0" w:color="auto"/>
          </w:divBdr>
        </w:div>
        <w:div w:id="409080306">
          <w:marLeft w:val="0"/>
          <w:marRight w:val="0"/>
          <w:marTop w:val="0"/>
          <w:marBottom w:val="0"/>
          <w:divBdr>
            <w:top w:val="none" w:sz="0" w:space="0" w:color="auto"/>
            <w:left w:val="none" w:sz="0" w:space="0" w:color="auto"/>
            <w:bottom w:val="none" w:sz="0" w:space="0" w:color="auto"/>
            <w:right w:val="none" w:sz="0" w:space="0" w:color="auto"/>
          </w:divBdr>
        </w:div>
        <w:div w:id="426973604">
          <w:marLeft w:val="0"/>
          <w:marRight w:val="0"/>
          <w:marTop w:val="0"/>
          <w:marBottom w:val="0"/>
          <w:divBdr>
            <w:top w:val="none" w:sz="0" w:space="0" w:color="auto"/>
            <w:left w:val="none" w:sz="0" w:space="0" w:color="auto"/>
            <w:bottom w:val="none" w:sz="0" w:space="0" w:color="auto"/>
            <w:right w:val="none" w:sz="0" w:space="0" w:color="auto"/>
          </w:divBdr>
        </w:div>
        <w:div w:id="448282922">
          <w:marLeft w:val="0"/>
          <w:marRight w:val="0"/>
          <w:marTop w:val="0"/>
          <w:marBottom w:val="0"/>
          <w:divBdr>
            <w:top w:val="none" w:sz="0" w:space="0" w:color="auto"/>
            <w:left w:val="none" w:sz="0" w:space="0" w:color="auto"/>
            <w:bottom w:val="none" w:sz="0" w:space="0" w:color="auto"/>
            <w:right w:val="none" w:sz="0" w:space="0" w:color="auto"/>
          </w:divBdr>
        </w:div>
        <w:div w:id="511913804">
          <w:marLeft w:val="0"/>
          <w:marRight w:val="0"/>
          <w:marTop w:val="0"/>
          <w:marBottom w:val="0"/>
          <w:divBdr>
            <w:top w:val="none" w:sz="0" w:space="0" w:color="auto"/>
            <w:left w:val="none" w:sz="0" w:space="0" w:color="auto"/>
            <w:bottom w:val="none" w:sz="0" w:space="0" w:color="auto"/>
            <w:right w:val="none" w:sz="0" w:space="0" w:color="auto"/>
          </w:divBdr>
        </w:div>
        <w:div w:id="564687383">
          <w:marLeft w:val="0"/>
          <w:marRight w:val="0"/>
          <w:marTop w:val="0"/>
          <w:marBottom w:val="0"/>
          <w:divBdr>
            <w:top w:val="none" w:sz="0" w:space="0" w:color="auto"/>
            <w:left w:val="none" w:sz="0" w:space="0" w:color="auto"/>
            <w:bottom w:val="none" w:sz="0" w:space="0" w:color="auto"/>
            <w:right w:val="none" w:sz="0" w:space="0" w:color="auto"/>
          </w:divBdr>
        </w:div>
        <w:div w:id="567306748">
          <w:marLeft w:val="0"/>
          <w:marRight w:val="0"/>
          <w:marTop w:val="0"/>
          <w:marBottom w:val="0"/>
          <w:divBdr>
            <w:top w:val="none" w:sz="0" w:space="0" w:color="auto"/>
            <w:left w:val="none" w:sz="0" w:space="0" w:color="auto"/>
            <w:bottom w:val="none" w:sz="0" w:space="0" w:color="auto"/>
            <w:right w:val="none" w:sz="0" w:space="0" w:color="auto"/>
          </w:divBdr>
        </w:div>
        <w:div w:id="584270817">
          <w:marLeft w:val="0"/>
          <w:marRight w:val="0"/>
          <w:marTop w:val="0"/>
          <w:marBottom w:val="0"/>
          <w:divBdr>
            <w:top w:val="none" w:sz="0" w:space="0" w:color="auto"/>
            <w:left w:val="none" w:sz="0" w:space="0" w:color="auto"/>
            <w:bottom w:val="none" w:sz="0" w:space="0" w:color="auto"/>
            <w:right w:val="none" w:sz="0" w:space="0" w:color="auto"/>
          </w:divBdr>
        </w:div>
        <w:div w:id="589773955">
          <w:marLeft w:val="0"/>
          <w:marRight w:val="0"/>
          <w:marTop w:val="0"/>
          <w:marBottom w:val="0"/>
          <w:divBdr>
            <w:top w:val="none" w:sz="0" w:space="0" w:color="auto"/>
            <w:left w:val="none" w:sz="0" w:space="0" w:color="auto"/>
            <w:bottom w:val="none" w:sz="0" w:space="0" w:color="auto"/>
            <w:right w:val="none" w:sz="0" w:space="0" w:color="auto"/>
          </w:divBdr>
        </w:div>
        <w:div w:id="620264086">
          <w:marLeft w:val="0"/>
          <w:marRight w:val="0"/>
          <w:marTop w:val="0"/>
          <w:marBottom w:val="0"/>
          <w:divBdr>
            <w:top w:val="none" w:sz="0" w:space="0" w:color="auto"/>
            <w:left w:val="none" w:sz="0" w:space="0" w:color="auto"/>
            <w:bottom w:val="none" w:sz="0" w:space="0" w:color="auto"/>
            <w:right w:val="none" w:sz="0" w:space="0" w:color="auto"/>
          </w:divBdr>
        </w:div>
        <w:div w:id="623733592">
          <w:marLeft w:val="0"/>
          <w:marRight w:val="0"/>
          <w:marTop w:val="0"/>
          <w:marBottom w:val="0"/>
          <w:divBdr>
            <w:top w:val="none" w:sz="0" w:space="0" w:color="auto"/>
            <w:left w:val="none" w:sz="0" w:space="0" w:color="auto"/>
            <w:bottom w:val="none" w:sz="0" w:space="0" w:color="auto"/>
            <w:right w:val="none" w:sz="0" w:space="0" w:color="auto"/>
          </w:divBdr>
        </w:div>
        <w:div w:id="663556995">
          <w:marLeft w:val="0"/>
          <w:marRight w:val="0"/>
          <w:marTop w:val="0"/>
          <w:marBottom w:val="0"/>
          <w:divBdr>
            <w:top w:val="none" w:sz="0" w:space="0" w:color="auto"/>
            <w:left w:val="none" w:sz="0" w:space="0" w:color="auto"/>
            <w:bottom w:val="none" w:sz="0" w:space="0" w:color="auto"/>
            <w:right w:val="none" w:sz="0" w:space="0" w:color="auto"/>
          </w:divBdr>
        </w:div>
        <w:div w:id="677780250">
          <w:marLeft w:val="0"/>
          <w:marRight w:val="0"/>
          <w:marTop w:val="0"/>
          <w:marBottom w:val="0"/>
          <w:divBdr>
            <w:top w:val="none" w:sz="0" w:space="0" w:color="auto"/>
            <w:left w:val="none" w:sz="0" w:space="0" w:color="auto"/>
            <w:bottom w:val="none" w:sz="0" w:space="0" w:color="auto"/>
            <w:right w:val="none" w:sz="0" w:space="0" w:color="auto"/>
          </w:divBdr>
        </w:div>
        <w:div w:id="684788548">
          <w:marLeft w:val="0"/>
          <w:marRight w:val="0"/>
          <w:marTop w:val="0"/>
          <w:marBottom w:val="0"/>
          <w:divBdr>
            <w:top w:val="none" w:sz="0" w:space="0" w:color="auto"/>
            <w:left w:val="none" w:sz="0" w:space="0" w:color="auto"/>
            <w:bottom w:val="none" w:sz="0" w:space="0" w:color="auto"/>
            <w:right w:val="none" w:sz="0" w:space="0" w:color="auto"/>
          </w:divBdr>
        </w:div>
        <w:div w:id="688333658">
          <w:marLeft w:val="0"/>
          <w:marRight w:val="0"/>
          <w:marTop w:val="0"/>
          <w:marBottom w:val="0"/>
          <w:divBdr>
            <w:top w:val="none" w:sz="0" w:space="0" w:color="auto"/>
            <w:left w:val="none" w:sz="0" w:space="0" w:color="auto"/>
            <w:bottom w:val="none" w:sz="0" w:space="0" w:color="auto"/>
            <w:right w:val="none" w:sz="0" w:space="0" w:color="auto"/>
          </w:divBdr>
        </w:div>
        <w:div w:id="697435661">
          <w:marLeft w:val="0"/>
          <w:marRight w:val="0"/>
          <w:marTop w:val="0"/>
          <w:marBottom w:val="0"/>
          <w:divBdr>
            <w:top w:val="none" w:sz="0" w:space="0" w:color="auto"/>
            <w:left w:val="none" w:sz="0" w:space="0" w:color="auto"/>
            <w:bottom w:val="none" w:sz="0" w:space="0" w:color="auto"/>
            <w:right w:val="none" w:sz="0" w:space="0" w:color="auto"/>
          </w:divBdr>
        </w:div>
        <w:div w:id="724378664">
          <w:marLeft w:val="0"/>
          <w:marRight w:val="0"/>
          <w:marTop w:val="0"/>
          <w:marBottom w:val="0"/>
          <w:divBdr>
            <w:top w:val="none" w:sz="0" w:space="0" w:color="auto"/>
            <w:left w:val="none" w:sz="0" w:space="0" w:color="auto"/>
            <w:bottom w:val="none" w:sz="0" w:space="0" w:color="auto"/>
            <w:right w:val="none" w:sz="0" w:space="0" w:color="auto"/>
          </w:divBdr>
        </w:div>
        <w:div w:id="765148420">
          <w:marLeft w:val="0"/>
          <w:marRight w:val="0"/>
          <w:marTop w:val="0"/>
          <w:marBottom w:val="0"/>
          <w:divBdr>
            <w:top w:val="none" w:sz="0" w:space="0" w:color="auto"/>
            <w:left w:val="none" w:sz="0" w:space="0" w:color="auto"/>
            <w:bottom w:val="none" w:sz="0" w:space="0" w:color="auto"/>
            <w:right w:val="none" w:sz="0" w:space="0" w:color="auto"/>
          </w:divBdr>
        </w:div>
        <w:div w:id="777915070">
          <w:marLeft w:val="0"/>
          <w:marRight w:val="0"/>
          <w:marTop w:val="0"/>
          <w:marBottom w:val="0"/>
          <w:divBdr>
            <w:top w:val="none" w:sz="0" w:space="0" w:color="auto"/>
            <w:left w:val="none" w:sz="0" w:space="0" w:color="auto"/>
            <w:bottom w:val="none" w:sz="0" w:space="0" w:color="auto"/>
            <w:right w:val="none" w:sz="0" w:space="0" w:color="auto"/>
          </w:divBdr>
        </w:div>
        <w:div w:id="857739630">
          <w:marLeft w:val="0"/>
          <w:marRight w:val="0"/>
          <w:marTop w:val="0"/>
          <w:marBottom w:val="0"/>
          <w:divBdr>
            <w:top w:val="none" w:sz="0" w:space="0" w:color="auto"/>
            <w:left w:val="none" w:sz="0" w:space="0" w:color="auto"/>
            <w:bottom w:val="none" w:sz="0" w:space="0" w:color="auto"/>
            <w:right w:val="none" w:sz="0" w:space="0" w:color="auto"/>
          </w:divBdr>
        </w:div>
        <w:div w:id="899242514">
          <w:marLeft w:val="0"/>
          <w:marRight w:val="0"/>
          <w:marTop w:val="0"/>
          <w:marBottom w:val="0"/>
          <w:divBdr>
            <w:top w:val="none" w:sz="0" w:space="0" w:color="auto"/>
            <w:left w:val="none" w:sz="0" w:space="0" w:color="auto"/>
            <w:bottom w:val="none" w:sz="0" w:space="0" w:color="auto"/>
            <w:right w:val="none" w:sz="0" w:space="0" w:color="auto"/>
          </w:divBdr>
        </w:div>
        <w:div w:id="910965638">
          <w:marLeft w:val="0"/>
          <w:marRight w:val="0"/>
          <w:marTop w:val="0"/>
          <w:marBottom w:val="0"/>
          <w:divBdr>
            <w:top w:val="none" w:sz="0" w:space="0" w:color="auto"/>
            <w:left w:val="none" w:sz="0" w:space="0" w:color="auto"/>
            <w:bottom w:val="none" w:sz="0" w:space="0" w:color="auto"/>
            <w:right w:val="none" w:sz="0" w:space="0" w:color="auto"/>
          </w:divBdr>
        </w:div>
        <w:div w:id="956566364">
          <w:marLeft w:val="0"/>
          <w:marRight w:val="0"/>
          <w:marTop w:val="0"/>
          <w:marBottom w:val="0"/>
          <w:divBdr>
            <w:top w:val="none" w:sz="0" w:space="0" w:color="auto"/>
            <w:left w:val="none" w:sz="0" w:space="0" w:color="auto"/>
            <w:bottom w:val="none" w:sz="0" w:space="0" w:color="auto"/>
            <w:right w:val="none" w:sz="0" w:space="0" w:color="auto"/>
          </w:divBdr>
        </w:div>
        <w:div w:id="963972177">
          <w:marLeft w:val="0"/>
          <w:marRight w:val="0"/>
          <w:marTop w:val="0"/>
          <w:marBottom w:val="0"/>
          <w:divBdr>
            <w:top w:val="none" w:sz="0" w:space="0" w:color="auto"/>
            <w:left w:val="none" w:sz="0" w:space="0" w:color="auto"/>
            <w:bottom w:val="none" w:sz="0" w:space="0" w:color="auto"/>
            <w:right w:val="none" w:sz="0" w:space="0" w:color="auto"/>
          </w:divBdr>
        </w:div>
        <w:div w:id="1043410531">
          <w:marLeft w:val="0"/>
          <w:marRight w:val="0"/>
          <w:marTop w:val="0"/>
          <w:marBottom w:val="0"/>
          <w:divBdr>
            <w:top w:val="none" w:sz="0" w:space="0" w:color="auto"/>
            <w:left w:val="none" w:sz="0" w:space="0" w:color="auto"/>
            <w:bottom w:val="none" w:sz="0" w:space="0" w:color="auto"/>
            <w:right w:val="none" w:sz="0" w:space="0" w:color="auto"/>
          </w:divBdr>
        </w:div>
        <w:div w:id="1058433175">
          <w:marLeft w:val="0"/>
          <w:marRight w:val="0"/>
          <w:marTop w:val="0"/>
          <w:marBottom w:val="0"/>
          <w:divBdr>
            <w:top w:val="none" w:sz="0" w:space="0" w:color="auto"/>
            <w:left w:val="none" w:sz="0" w:space="0" w:color="auto"/>
            <w:bottom w:val="none" w:sz="0" w:space="0" w:color="auto"/>
            <w:right w:val="none" w:sz="0" w:space="0" w:color="auto"/>
          </w:divBdr>
        </w:div>
        <w:div w:id="1063406486">
          <w:marLeft w:val="0"/>
          <w:marRight w:val="0"/>
          <w:marTop w:val="0"/>
          <w:marBottom w:val="0"/>
          <w:divBdr>
            <w:top w:val="none" w:sz="0" w:space="0" w:color="auto"/>
            <w:left w:val="none" w:sz="0" w:space="0" w:color="auto"/>
            <w:bottom w:val="none" w:sz="0" w:space="0" w:color="auto"/>
            <w:right w:val="none" w:sz="0" w:space="0" w:color="auto"/>
          </w:divBdr>
        </w:div>
        <w:div w:id="1067266801">
          <w:marLeft w:val="0"/>
          <w:marRight w:val="0"/>
          <w:marTop w:val="0"/>
          <w:marBottom w:val="0"/>
          <w:divBdr>
            <w:top w:val="none" w:sz="0" w:space="0" w:color="auto"/>
            <w:left w:val="none" w:sz="0" w:space="0" w:color="auto"/>
            <w:bottom w:val="none" w:sz="0" w:space="0" w:color="auto"/>
            <w:right w:val="none" w:sz="0" w:space="0" w:color="auto"/>
          </w:divBdr>
        </w:div>
        <w:div w:id="1071081572">
          <w:marLeft w:val="0"/>
          <w:marRight w:val="0"/>
          <w:marTop w:val="0"/>
          <w:marBottom w:val="0"/>
          <w:divBdr>
            <w:top w:val="none" w:sz="0" w:space="0" w:color="auto"/>
            <w:left w:val="none" w:sz="0" w:space="0" w:color="auto"/>
            <w:bottom w:val="none" w:sz="0" w:space="0" w:color="auto"/>
            <w:right w:val="none" w:sz="0" w:space="0" w:color="auto"/>
          </w:divBdr>
        </w:div>
        <w:div w:id="1073967212">
          <w:marLeft w:val="0"/>
          <w:marRight w:val="0"/>
          <w:marTop w:val="0"/>
          <w:marBottom w:val="0"/>
          <w:divBdr>
            <w:top w:val="none" w:sz="0" w:space="0" w:color="auto"/>
            <w:left w:val="none" w:sz="0" w:space="0" w:color="auto"/>
            <w:bottom w:val="none" w:sz="0" w:space="0" w:color="auto"/>
            <w:right w:val="none" w:sz="0" w:space="0" w:color="auto"/>
          </w:divBdr>
        </w:div>
        <w:div w:id="1081367761">
          <w:marLeft w:val="0"/>
          <w:marRight w:val="0"/>
          <w:marTop w:val="0"/>
          <w:marBottom w:val="0"/>
          <w:divBdr>
            <w:top w:val="none" w:sz="0" w:space="0" w:color="auto"/>
            <w:left w:val="none" w:sz="0" w:space="0" w:color="auto"/>
            <w:bottom w:val="none" w:sz="0" w:space="0" w:color="auto"/>
            <w:right w:val="none" w:sz="0" w:space="0" w:color="auto"/>
          </w:divBdr>
        </w:div>
        <w:div w:id="1087505743">
          <w:marLeft w:val="0"/>
          <w:marRight w:val="0"/>
          <w:marTop w:val="0"/>
          <w:marBottom w:val="0"/>
          <w:divBdr>
            <w:top w:val="none" w:sz="0" w:space="0" w:color="auto"/>
            <w:left w:val="none" w:sz="0" w:space="0" w:color="auto"/>
            <w:bottom w:val="none" w:sz="0" w:space="0" w:color="auto"/>
            <w:right w:val="none" w:sz="0" w:space="0" w:color="auto"/>
          </w:divBdr>
        </w:div>
        <w:div w:id="1109466605">
          <w:marLeft w:val="0"/>
          <w:marRight w:val="0"/>
          <w:marTop w:val="0"/>
          <w:marBottom w:val="0"/>
          <w:divBdr>
            <w:top w:val="none" w:sz="0" w:space="0" w:color="auto"/>
            <w:left w:val="none" w:sz="0" w:space="0" w:color="auto"/>
            <w:bottom w:val="none" w:sz="0" w:space="0" w:color="auto"/>
            <w:right w:val="none" w:sz="0" w:space="0" w:color="auto"/>
          </w:divBdr>
        </w:div>
        <w:div w:id="1147938283">
          <w:marLeft w:val="0"/>
          <w:marRight w:val="0"/>
          <w:marTop w:val="0"/>
          <w:marBottom w:val="0"/>
          <w:divBdr>
            <w:top w:val="none" w:sz="0" w:space="0" w:color="auto"/>
            <w:left w:val="none" w:sz="0" w:space="0" w:color="auto"/>
            <w:bottom w:val="none" w:sz="0" w:space="0" w:color="auto"/>
            <w:right w:val="none" w:sz="0" w:space="0" w:color="auto"/>
          </w:divBdr>
        </w:div>
        <w:div w:id="1222868874">
          <w:marLeft w:val="0"/>
          <w:marRight w:val="0"/>
          <w:marTop w:val="0"/>
          <w:marBottom w:val="0"/>
          <w:divBdr>
            <w:top w:val="none" w:sz="0" w:space="0" w:color="auto"/>
            <w:left w:val="none" w:sz="0" w:space="0" w:color="auto"/>
            <w:bottom w:val="none" w:sz="0" w:space="0" w:color="auto"/>
            <w:right w:val="none" w:sz="0" w:space="0" w:color="auto"/>
          </w:divBdr>
        </w:div>
        <w:div w:id="1244755166">
          <w:marLeft w:val="0"/>
          <w:marRight w:val="0"/>
          <w:marTop w:val="0"/>
          <w:marBottom w:val="0"/>
          <w:divBdr>
            <w:top w:val="none" w:sz="0" w:space="0" w:color="auto"/>
            <w:left w:val="none" w:sz="0" w:space="0" w:color="auto"/>
            <w:bottom w:val="none" w:sz="0" w:space="0" w:color="auto"/>
            <w:right w:val="none" w:sz="0" w:space="0" w:color="auto"/>
          </w:divBdr>
        </w:div>
        <w:div w:id="1325476725">
          <w:marLeft w:val="0"/>
          <w:marRight w:val="0"/>
          <w:marTop w:val="0"/>
          <w:marBottom w:val="0"/>
          <w:divBdr>
            <w:top w:val="none" w:sz="0" w:space="0" w:color="auto"/>
            <w:left w:val="none" w:sz="0" w:space="0" w:color="auto"/>
            <w:bottom w:val="none" w:sz="0" w:space="0" w:color="auto"/>
            <w:right w:val="none" w:sz="0" w:space="0" w:color="auto"/>
          </w:divBdr>
        </w:div>
        <w:div w:id="1357535408">
          <w:marLeft w:val="0"/>
          <w:marRight w:val="0"/>
          <w:marTop w:val="0"/>
          <w:marBottom w:val="0"/>
          <w:divBdr>
            <w:top w:val="none" w:sz="0" w:space="0" w:color="auto"/>
            <w:left w:val="none" w:sz="0" w:space="0" w:color="auto"/>
            <w:bottom w:val="none" w:sz="0" w:space="0" w:color="auto"/>
            <w:right w:val="none" w:sz="0" w:space="0" w:color="auto"/>
          </w:divBdr>
        </w:div>
        <w:div w:id="1440298238">
          <w:marLeft w:val="0"/>
          <w:marRight w:val="0"/>
          <w:marTop w:val="0"/>
          <w:marBottom w:val="0"/>
          <w:divBdr>
            <w:top w:val="none" w:sz="0" w:space="0" w:color="auto"/>
            <w:left w:val="none" w:sz="0" w:space="0" w:color="auto"/>
            <w:bottom w:val="none" w:sz="0" w:space="0" w:color="auto"/>
            <w:right w:val="none" w:sz="0" w:space="0" w:color="auto"/>
          </w:divBdr>
        </w:div>
        <w:div w:id="1480030915">
          <w:marLeft w:val="0"/>
          <w:marRight w:val="0"/>
          <w:marTop w:val="0"/>
          <w:marBottom w:val="0"/>
          <w:divBdr>
            <w:top w:val="none" w:sz="0" w:space="0" w:color="auto"/>
            <w:left w:val="none" w:sz="0" w:space="0" w:color="auto"/>
            <w:bottom w:val="none" w:sz="0" w:space="0" w:color="auto"/>
            <w:right w:val="none" w:sz="0" w:space="0" w:color="auto"/>
          </w:divBdr>
        </w:div>
        <w:div w:id="1552114880">
          <w:marLeft w:val="0"/>
          <w:marRight w:val="0"/>
          <w:marTop w:val="0"/>
          <w:marBottom w:val="0"/>
          <w:divBdr>
            <w:top w:val="none" w:sz="0" w:space="0" w:color="auto"/>
            <w:left w:val="none" w:sz="0" w:space="0" w:color="auto"/>
            <w:bottom w:val="none" w:sz="0" w:space="0" w:color="auto"/>
            <w:right w:val="none" w:sz="0" w:space="0" w:color="auto"/>
          </w:divBdr>
        </w:div>
        <w:div w:id="1561869274">
          <w:marLeft w:val="0"/>
          <w:marRight w:val="0"/>
          <w:marTop w:val="0"/>
          <w:marBottom w:val="0"/>
          <w:divBdr>
            <w:top w:val="none" w:sz="0" w:space="0" w:color="auto"/>
            <w:left w:val="none" w:sz="0" w:space="0" w:color="auto"/>
            <w:bottom w:val="none" w:sz="0" w:space="0" w:color="auto"/>
            <w:right w:val="none" w:sz="0" w:space="0" w:color="auto"/>
          </w:divBdr>
        </w:div>
        <w:div w:id="1572497896">
          <w:marLeft w:val="0"/>
          <w:marRight w:val="0"/>
          <w:marTop w:val="0"/>
          <w:marBottom w:val="0"/>
          <w:divBdr>
            <w:top w:val="none" w:sz="0" w:space="0" w:color="auto"/>
            <w:left w:val="none" w:sz="0" w:space="0" w:color="auto"/>
            <w:bottom w:val="none" w:sz="0" w:space="0" w:color="auto"/>
            <w:right w:val="none" w:sz="0" w:space="0" w:color="auto"/>
          </w:divBdr>
        </w:div>
        <w:div w:id="1659529708">
          <w:marLeft w:val="0"/>
          <w:marRight w:val="0"/>
          <w:marTop w:val="0"/>
          <w:marBottom w:val="0"/>
          <w:divBdr>
            <w:top w:val="none" w:sz="0" w:space="0" w:color="auto"/>
            <w:left w:val="none" w:sz="0" w:space="0" w:color="auto"/>
            <w:bottom w:val="none" w:sz="0" w:space="0" w:color="auto"/>
            <w:right w:val="none" w:sz="0" w:space="0" w:color="auto"/>
          </w:divBdr>
        </w:div>
        <w:div w:id="1686597189">
          <w:marLeft w:val="0"/>
          <w:marRight w:val="0"/>
          <w:marTop w:val="0"/>
          <w:marBottom w:val="0"/>
          <w:divBdr>
            <w:top w:val="none" w:sz="0" w:space="0" w:color="auto"/>
            <w:left w:val="none" w:sz="0" w:space="0" w:color="auto"/>
            <w:bottom w:val="none" w:sz="0" w:space="0" w:color="auto"/>
            <w:right w:val="none" w:sz="0" w:space="0" w:color="auto"/>
          </w:divBdr>
        </w:div>
        <w:div w:id="1691106066">
          <w:marLeft w:val="0"/>
          <w:marRight w:val="0"/>
          <w:marTop w:val="0"/>
          <w:marBottom w:val="0"/>
          <w:divBdr>
            <w:top w:val="none" w:sz="0" w:space="0" w:color="auto"/>
            <w:left w:val="none" w:sz="0" w:space="0" w:color="auto"/>
            <w:bottom w:val="none" w:sz="0" w:space="0" w:color="auto"/>
            <w:right w:val="none" w:sz="0" w:space="0" w:color="auto"/>
          </w:divBdr>
        </w:div>
        <w:div w:id="1718043320">
          <w:marLeft w:val="0"/>
          <w:marRight w:val="0"/>
          <w:marTop w:val="0"/>
          <w:marBottom w:val="0"/>
          <w:divBdr>
            <w:top w:val="none" w:sz="0" w:space="0" w:color="auto"/>
            <w:left w:val="none" w:sz="0" w:space="0" w:color="auto"/>
            <w:bottom w:val="none" w:sz="0" w:space="0" w:color="auto"/>
            <w:right w:val="none" w:sz="0" w:space="0" w:color="auto"/>
          </w:divBdr>
        </w:div>
        <w:div w:id="1770586612">
          <w:marLeft w:val="0"/>
          <w:marRight w:val="0"/>
          <w:marTop w:val="0"/>
          <w:marBottom w:val="0"/>
          <w:divBdr>
            <w:top w:val="none" w:sz="0" w:space="0" w:color="auto"/>
            <w:left w:val="none" w:sz="0" w:space="0" w:color="auto"/>
            <w:bottom w:val="none" w:sz="0" w:space="0" w:color="auto"/>
            <w:right w:val="none" w:sz="0" w:space="0" w:color="auto"/>
          </w:divBdr>
        </w:div>
        <w:div w:id="1776905103">
          <w:marLeft w:val="0"/>
          <w:marRight w:val="0"/>
          <w:marTop w:val="0"/>
          <w:marBottom w:val="0"/>
          <w:divBdr>
            <w:top w:val="none" w:sz="0" w:space="0" w:color="auto"/>
            <w:left w:val="none" w:sz="0" w:space="0" w:color="auto"/>
            <w:bottom w:val="none" w:sz="0" w:space="0" w:color="auto"/>
            <w:right w:val="none" w:sz="0" w:space="0" w:color="auto"/>
          </w:divBdr>
        </w:div>
        <w:div w:id="1789085630">
          <w:marLeft w:val="0"/>
          <w:marRight w:val="0"/>
          <w:marTop w:val="0"/>
          <w:marBottom w:val="0"/>
          <w:divBdr>
            <w:top w:val="none" w:sz="0" w:space="0" w:color="auto"/>
            <w:left w:val="none" w:sz="0" w:space="0" w:color="auto"/>
            <w:bottom w:val="none" w:sz="0" w:space="0" w:color="auto"/>
            <w:right w:val="none" w:sz="0" w:space="0" w:color="auto"/>
          </w:divBdr>
        </w:div>
        <w:div w:id="1792089298">
          <w:marLeft w:val="0"/>
          <w:marRight w:val="0"/>
          <w:marTop w:val="0"/>
          <w:marBottom w:val="0"/>
          <w:divBdr>
            <w:top w:val="none" w:sz="0" w:space="0" w:color="auto"/>
            <w:left w:val="none" w:sz="0" w:space="0" w:color="auto"/>
            <w:bottom w:val="none" w:sz="0" w:space="0" w:color="auto"/>
            <w:right w:val="none" w:sz="0" w:space="0" w:color="auto"/>
          </w:divBdr>
        </w:div>
        <w:div w:id="1826046010">
          <w:marLeft w:val="0"/>
          <w:marRight w:val="0"/>
          <w:marTop w:val="0"/>
          <w:marBottom w:val="0"/>
          <w:divBdr>
            <w:top w:val="none" w:sz="0" w:space="0" w:color="auto"/>
            <w:left w:val="none" w:sz="0" w:space="0" w:color="auto"/>
            <w:bottom w:val="none" w:sz="0" w:space="0" w:color="auto"/>
            <w:right w:val="none" w:sz="0" w:space="0" w:color="auto"/>
          </w:divBdr>
        </w:div>
        <w:div w:id="1852530631">
          <w:marLeft w:val="0"/>
          <w:marRight w:val="0"/>
          <w:marTop w:val="0"/>
          <w:marBottom w:val="0"/>
          <w:divBdr>
            <w:top w:val="none" w:sz="0" w:space="0" w:color="auto"/>
            <w:left w:val="none" w:sz="0" w:space="0" w:color="auto"/>
            <w:bottom w:val="none" w:sz="0" w:space="0" w:color="auto"/>
            <w:right w:val="none" w:sz="0" w:space="0" w:color="auto"/>
          </w:divBdr>
        </w:div>
        <w:div w:id="1880236681">
          <w:marLeft w:val="0"/>
          <w:marRight w:val="0"/>
          <w:marTop w:val="0"/>
          <w:marBottom w:val="0"/>
          <w:divBdr>
            <w:top w:val="none" w:sz="0" w:space="0" w:color="auto"/>
            <w:left w:val="none" w:sz="0" w:space="0" w:color="auto"/>
            <w:bottom w:val="none" w:sz="0" w:space="0" w:color="auto"/>
            <w:right w:val="none" w:sz="0" w:space="0" w:color="auto"/>
          </w:divBdr>
        </w:div>
        <w:div w:id="1986931286">
          <w:marLeft w:val="0"/>
          <w:marRight w:val="0"/>
          <w:marTop w:val="0"/>
          <w:marBottom w:val="0"/>
          <w:divBdr>
            <w:top w:val="none" w:sz="0" w:space="0" w:color="auto"/>
            <w:left w:val="none" w:sz="0" w:space="0" w:color="auto"/>
            <w:bottom w:val="none" w:sz="0" w:space="0" w:color="auto"/>
            <w:right w:val="none" w:sz="0" w:space="0" w:color="auto"/>
          </w:divBdr>
        </w:div>
        <w:div w:id="2003004742">
          <w:marLeft w:val="0"/>
          <w:marRight w:val="0"/>
          <w:marTop w:val="0"/>
          <w:marBottom w:val="0"/>
          <w:divBdr>
            <w:top w:val="none" w:sz="0" w:space="0" w:color="auto"/>
            <w:left w:val="none" w:sz="0" w:space="0" w:color="auto"/>
            <w:bottom w:val="none" w:sz="0" w:space="0" w:color="auto"/>
            <w:right w:val="none" w:sz="0" w:space="0" w:color="auto"/>
          </w:divBdr>
        </w:div>
        <w:div w:id="2068531507">
          <w:marLeft w:val="0"/>
          <w:marRight w:val="0"/>
          <w:marTop w:val="0"/>
          <w:marBottom w:val="0"/>
          <w:divBdr>
            <w:top w:val="none" w:sz="0" w:space="0" w:color="auto"/>
            <w:left w:val="none" w:sz="0" w:space="0" w:color="auto"/>
            <w:bottom w:val="none" w:sz="0" w:space="0" w:color="auto"/>
            <w:right w:val="none" w:sz="0" w:space="0" w:color="auto"/>
          </w:divBdr>
        </w:div>
        <w:div w:id="2077122623">
          <w:marLeft w:val="0"/>
          <w:marRight w:val="0"/>
          <w:marTop w:val="0"/>
          <w:marBottom w:val="0"/>
          <w:divBdr>
            <w:top w:val="none" w:sz="0" w:space="0" w:color="auto"/>
            <w:left w:val="none" w:sz="0" w:space="0" w:color="auto"/>
            <w:bottom w:val="none" w:sz="0" w:space="0" w:color="auto"/>
            <w:right w:val="none" w:sz="0" w:space="0" w:color="auto"/>
          </w:divBdr>
        </w:div>
        <w:div w:id="2096511439">
          <w:marLeft w:val="0"/>
          <w:marRight w:val="0"/>
          <w:marTop w:val="0"/>
          <w:marBottom w:val="0"/>
          <w:divBdr>
            <w:top w:val="none" w:sz="0" w:space="0" w:color="auto"/>
            <w:left w:val="none" w:sz="0" w:space="0" w:color="auto"/>
            <w:bottom w:val="none" w:sz="0" w:space="0" w:color="auto"/>
            <w:right w:val="none" w:sz="0" w:space="0" w:color="auto"/>
          </w:divBdr>
        </w:div>
        <w:div w:id="2107849106">
          <w:marLeft w:val="0"/>
          <w:marRight w:val="0"/>
          <w:marTop w:val="0"/>
          <w:marBottom w:val="0"/>
          <w:divBdr>
            <w:top w:val="none" w:sz="0" w:space="0" w:color="auto"/>
            <w:left w:val="none" w:sz="0" w:space="0" w:color="auto"/>
            <w:bottom w:val="none" w:sz="0" w:space="0" w:color="auto"/>
            <w:right w:val="none" w:sz="0" w:space="0" w:color="auto"/>
          </w:divBdr>
        </w:div>
        <w:div w:id="2107991731">
          <w:marLeft w:val="0"/>
          <w:marRight w:val="0"/>
          <w:marTop w:val="0"/>
          <w:marBottom w:val="0"/>
          <w:divBdr>
            <w:top w:val="none" w:sz="0" w:space="0" w:color="auto"/>
            <w:left w:val="none" w:sz="0" w:space="0" w:color="auto"/>
            <w:bottom w:val="none" w:sz="0" w:space="0" w:color="auto"/>
            <w:right w:val="none" w:sz="0" w:space="0" w:color="auto"/>
          </w:divBdr>
        </w:div>
        <w:div w:id="2126852837">
          <w:marLeft w:val="0"/>
          <w:marRight w:val="0"/>
          <w:marTop w:val="0"/>
          <w:marBottom w:val="0"/>
          <w:divBdr>
            <w:top w:val="none" w:sz="0" w:space="0" w:color="auto"/>
            <w:left w:val="none" w:sz="0" w:space="0" w:color="auto"/>
            <w:bottom w:val="none" w:sz="0" w:space="0" w:color="auto"/>
            <w:right w:val="none" w:sz="0" w:space="0" w:color="auto"/>
          </w:divBdr>
        </w:div>
      </w:divsChild>
    </w:div>
    <w:div w:id="397755157">
      <w:bodyDiv w:val="1"/>
      <w:marLeft w:val="0"/>
      <w:marRight w:val="0"/>
      <w:marTop w:val="0"/>
      <w:marBottom w:val="0"/>
      <w:divBdr>
        <w:top w:val="none" w:sz="0" w:space="0" w:color="auto"/>
        <w:left w:val="none" w:sz="0" w:space="0" w:color="auto"/>
        <w:bottom w:val="none" w:sz="0" w:space="0" w:color="auto"/>
        <w:right w:val="none" w:sz="0" w:space="0" w:color="auto"/>
      </w:divBdr>
    </w:div>
    <w:div w:id="426193170">
      <w:bodyDiv w:val="1"/>
      <w:marLeft w:val="0"/>
      <w:marRight w:val="0"/>
      <w:marTop w:val="0"/>
      <w:marBottom w:val="0"/>
      <w:divBdr>
        <w:top w:val="none" w:sz="0" w:space="0" w:color="auto"/>
        <w:left w:val="none" w:sz="0" w:space="0" w:color="auto"/>
        <w:bottom w:val="none" w:sz="0" w:space="0" w:color="auto"/>
        <w:right w:val="none" w:sz="0" w:space="0" w:color="auto"/>
      </w:divBdr>
    </w:div>
    <w:div w:id="447047386">
      <w:bodyDiv w:val="1"/>
      <w:marLeft w:val="0"/>
      <w:marRight w:val="0"/>
      <w:marTop w:val="0"/>
      <w:marBottom w:val="0"/>
      <w:divBdr>
        <w:top w:val="none" w:sz="0" w:space="0" w:color="auto"/>
        <w:left w:val="none" w:sz="0" w:space="0" w:color="auto"/>
        <w:bottom w:val="none" w:sz="0" w:space="0" w:color="auto"/>
        <w:right w:val="none" w:sz="0" w:space="0" w:color="auto"/>
      </w:divBdr>
    </w:div>
    <w:div w:id="459958363">
      <w:bodyDiv w:val="1"/>
      <w:marLeft w:val="0"/>
      <w:marRight w:val="0"/>
      <w:marTop w:val="0"/>
      <w:marBottom w:val="0"/>
      <w:divBdr>
        <w:top w:val="none" w:sz="0" w:space="0" w:color="auto"/>
        <w:left w:val="none" w:sz="0" w:space="0" w:color="auto"/>
        <w:bottom w:val="none" w:sz="0" w:space="0" w:color="auto"/>
        <w:right w:val="none" w:sz="0" w:space="0" w:color="auto"/>
      </w:divBdr>
    </w:div>
    <w:div w:id="489713262">
      <w:bodyDiv w:val="1"/>
      <w:marLeft w:val="0"/>
      <w:marRight w:val="0"/>
      <w:marTop w:val="0"/>
      <w:marBottom w:val="0"/>
      <w:divBdr>
        <w:top w:val="none" w:sz="0" w:space="0" w:color="auto"/>
        <w:left w:val="none" w:sz="0" w:space="0" w:color="auto"/>
        <w:bottom w:val="none" w:sz="0" w:space="0" w:color="auto"/>
        <w:right w:val="none" w:sz="0" w:space="0" w:color="auto"/>
      </w:divBdr>
    </w:div>
    <w:div w:id="505484543">
      <w:bodyDiv w:val="1"/>
      <w:marLeft w:val="0"/>
      <w:marRight w:val="0"/>
      <w:marTop w:val="0"/>
      <w:marBottom w:val="0"/>
      <w:divBdr>
        <w:top w:val="none" w:sz="0" w:space="0" w:color="auto"/>
        <w:left w:val="none" w:sz="0" w:space="0" w:color="auto"/>
        <w:bottom w:val="none" w:sz="0" w:space="0" w:color="auto"/>
        <w:right w:val="none" w:sz="0" w:space="0" w:color="auto"/>
      </w:divBdr>
    </w:div>
    <w:div w:id="534932305">
      <w:bodyDiv w:val="1"/>
      <w:marLeft w:val="0"/>
      <w:marRight w:val="0"/>
      <w:marTop w:val="0"/>
      <w:marBottom w:val="0"/>
      <w:divBdr>
        <w:top w:val="none" w:sz="0" w:space="0" w:color="auto"/>
        <w:left w:val="none" w:sz="0" w:space="0" w:color="auto"/>
        <w:bottom w:val="none" w:sz="0" w:space="0" w:color="auto"/>
        <w:right w:val="none" w:sz="0" w:space="0" w:color="auto"/>
      </w:divBdr>
      <w:divsChild>
        <w:div w:id="935790298">
          <w:marLeft w:val="0"/>
          <w:marRight w:val="0"/>
          <w:marTop w:val="0"/>
          <w:marBottom w:val="0"/>
          <w:divBdr>
            <w:top w:val="none" w:sz="0" w:space="0" w:color="auto"/>
            <w:left w:val="none" w:sz="0" w:space="0" w:color="auto"/>
            <w:bottom w:val="none" w:sz="0" w:space="0" w:color="auto"/>
            <w:right w:val="none" w:sz="0" w:space="0" w:color="auto"/>
          </w:divBdr>
        </w:div>
        <w:div w:id="1514299726">
          <w:marLeft w:val="0"/>
          <w:marRight w:val="0"/>
          <w:marTop w:val="0"/>
          <w:marBottom w:val="0"/>
          <w:divBdr>
            <w:top w:val="none" w:sz="0" w:space="0" w:color="auto"/>
            <w:left w:val="none" w:sz="0" w:space="0" w:color="auto"/>
            <w:bottom w:val="none" w:sz="0" w:space="0" w:color="auto"/>
            <w:right w:val="none" w:sz="0" w:space="0" w:color="auto"/>
          </w:divBdr>
        </w:div>
      </w:divsChild>
    </w:div>
    <w:div w:id="594485414">
      <w:bodyDiv w:val="1"/>
      <w:marLeft w:val="0"/>
      <w:marRight w:val="0"/>
      <w:marTop w:val="0"/>
      <w:marBottom w:val="0"/>
      <w:divBdr>
        <w:top w:val="none" w:sz="0" w:space="0" w:color="auto"/>
        <w:left w:val="none" w:sz="0" w:space="0" w:color="auto"/>
        <w:bottom w:val="none" w:sz="0" w:space="0" w:color="auto"/>
        <w:right w:val="none" w:sz="0" w:space="0" w:color="auto"/>
      </w:divBdr>
    </w:div>
    <w:div w:id="623463129">
      <w:bodyDiv w:val="1"/>
      <w:marLeft w:val="0"/>
      <w:marRight w:val="0"/>
      <w:marTop w:val="0"/>
      <w:marBottom w:val="0"/>
      <w:divBdr>
        <w:top w:val="none" w:sz="0" w:space="0" w:color="auto"/>
        <w:left w:val="none" w:sz="0" w:space="0" w:color="auto"/>
        <w:bottom w:val="none" w:sz="0" w:space="0" w:color="auto"/>
        <w:right w:val="none" w:sz="0" w:space="0" w:color="auto"/>
      </w:divBdr>
    </w:div>
    <w:div w:id="629747758">
      <w:bodyDiv w:val="1"/>
      <w:marLeft w:val="0"/>
      <w:marRight w:val="0"/>
      <w:marTop w:val="0"/>
      <w:marBottom w:val="0"/>
      <w:divBdr>
        <w:top w:val="none" w:sz="0" w:space="0" w:color="auto"/>
        <w:left w:val="none" w:sz="0" w:space="0" w:color="auto"/>
        <w:bottom w:val="none" w:sz="0" w:space="0" w:color="auto"/>
        <w:right w:val="none" w:sz="0" w:space="0" w:color="auto"/>
      </w:divBdr>
    </w:div>
    <w:div w:id="644357814">
      <w:bodyDiv w:val="1"/>
      <w:marLeft w:val="0"/>
      <w:marRight w:val="0"/>
      <w:marTop w:val="0"/>
      <w:marBottom w:val="0"/>
      <w:divBdr>
        <w:top w:val="none" w:sz="0" w:space="0" w:color="auto"/>
        <w:left w:val="none" w:sz="0" w:space="0" w:color="auto"/>
        <w:bottom w:val="none" w:sz="0" w:space="0" w:color="auto"/>
        <w:right w:val="none" w:sz="0" w:space="0" w:color="auto"/>
      </w:divBdr>
    </w:div>
    <w:div w:id="667053839">
      <w:bodyDiv w:val="1"/>
      <w:marLeft w:val="0"/>
      <w:marRight w:val="0"/>
      <w:marTop w:val="0"/>
      <w:marBottom w:val="0"/>
      <w:divBdr>
        <w:top w:val="none" w:sz="0" w:space="0" w:color="auto"/>
        <w:left w:val="none" w:sz="0" w:space="0" w:color="auto"/>
        <w:bottom w:val="none" w:sz="0" w:space="0" w:color="auto"/>
        <w:right w:val="none" w:sz="0" w:space="0" w:color="auto"/>
      </w:divBdr>
    </w:div>
    <w:div w:id="687557951">
      <w:bodyDiv w:val="1"/>
      <w:marLeft w:val="0"/>
      <w:marRight w:val="0"/>
      <w:marTop w:val="0"/>
      <w:marBottom w:val="0"/>
      <w:divBdr>
        <w:top w:val="none" w:sz="0" w:space="0" w:color="auto"/>
        <w:left w:val="none" w:sz="0" w:space="0" w:color="auto"/>
        <w:bottom w:val="none" w:sz="0" w:space="0" w:color="auto"/>
        <w:right w:val="none" w:sz="0" w:space="0" w:color="auto"/>
      </w:divBdr>
    </w:div>
    <w:div w:id="704793604">
      <w:bodyDiv w:val="1"/>
      <w:marLeft w:val="0"/>
      <w:marRight w:val="0"/>
      <w:marTop w:val="0"/>
      <w:marBottom w:val="0"/>
      <w:divBdr>
        <w:top w:val="none" w:sz="0" w:space="0" w:color="auto"/>
        <w:left w:val="none" w:sz="0" w:space="0" w:color="auto"/>
        <w:bottom w:val="none" w:sz="0" w:space="0" w:color="auto"/>
        <w:right w:val="none" w:sz="0" w:space="0" w:color="auto"/>
      </w:divBdr>
    </w:div>
    <w:div w:id="712802212">
      <w:bodyDiv w:val="1"/>
      <w:marLeft w:val="0"/>
      <w:marRight w:val="0"/>
      <w:marTop w:val="0"/>
      <w:marBottom w:val="0"/>
      <w:divBdr>
        <w:top w:val="none" w:sz="0" w:space="0" w:color="auto"/>
        <w:left w:val="none" w:sz="0" w:space="0" w:color="auto"/>
        <w:bottom w:val="none" w:sz="0" w:space="0" w:color="auto"/>
        <w:right w:val="none" w:sz="0" w:space="0" w:color="auto"/>
      </w:divBdr>
    </w:div>
    <w:div w:id="805657746">
      <w:bodyDiv w:val="1"/>
      <w:marLeft w:val="0"/>
      <w:marRight w:val="0"/>
      <w:marTop w:val="0"/>
      <w:marBottom w:val="0"/>
      <w:divBdr>
        <w:top w:val="none" w:sz="0" w:space="0" w:color="auto"/>
        <w:left w:val="none" w:sz="0" w:space="0" w:color="auto"/>
        <w:bottom w:val="none" w:sz="0" w:space="0" w:color="auto"/>
        <w:right w:val="none" w:sz="0" w:space="0" w:color="auto"/>
      </w:divBdr>
    </w:div>
    <w:div w:id="839005885">
      <w:bodyDiv w:val="1"/>
      <w:marLeft w:val="0"/>
      <w:marRight w:val="0"/>
      <w:marTop w:val="0"/>
      <w:marBottom w:val="0"/>
      <w:divBdr>
        <w:top w:val="none" w:sz="0" w:space="0" w:color="auto"/>
        <w:left w:val="none" w:sz="0" w:space="0" w:color="auto"/>
        <w:bottom w:val="none" w:sz="0" w:space="0" w:color="auto"/>
        <w:right w:val="none" w:sz="0" w:space="0" w:color="auto"/>
      </w:divBdr>
    </w:div>
    <w:div w:id="890846252">
      <w:bodyDiv w:val="1"/>
      <w:marLeft w:val="0"/>
      <w:marRight w:val="0"/>
      <w:marTop w:val="0"/>
      <w:marBottom w:val="0"/>
      <w:divBdr>
        <w:top w:val="none" w:sz="0" w:space="0" w:color="auto"/>
        <w:left w:val="none" w:sz="0" w:space="0" w:color="auto"/>
        <w:bottom w:val="none" w:sz="0" w:space="0" w:color="auto"/>
        <w:right w:val="none" w:sz="0" w:space="0" w:color="auto"/>
      </w:divBdr>
    </w:div>
    <w:div w:id="910700626">
      <w:bodyDiv w:val="1"/>
      <w:marLeft w:val="0"/>
      <w:marRight w:val="0"/>
      <w:marTop w:val="0"/>
      <w:marBottom w:val="0"/>
      <w:divBdr>
        <w:top w:val="none" w:sz="0" w:space="0" w:color="auto"/>
        <w:left w:val="none" w:sz="0" w:space="0" w:color="auto"/>
        <w:bottom w:val="none" w:sz="0" w:space="0" w:color="auto"/>
        <w:right w:val="none" w:sz="0" w:space="0" w:color="auto"/>
      </w:divBdr>
      <w:divsChild>
        <w:div w:id="366418841">
          <w:marLeft w:val="0"/>
          <w:marRight w:val="0"/>
          <w:marTop w:val="0"/>
          <w:marBottom w:val="0"/>
          <w:divBdr>
            <w:top w:val="none" w:sz="0" w:space="0" w:color="auto"/>
            <w:left w:val="none" w:sz="0" w:space="0" w:color="auto"/>
            <w:bottom w:val="none" w:sz="0" w:space="0" w:color="auto"/>
            <w:right w:val="none" w:sz="0" w:space="0" w:color="auto"/>
          </w:divBdr>
        </w:div>
        <w:div w:id="1481269730">
          <w:marLeft w:val="0"/>
          <w:marRight w:val="0"/>
          <w:marTop w:val="0"/>
          <w:marBottom w:val="0"/>
          <w:divBdr>
            <w:top w:val="none" w:sz="0" w:space="0" w:color="auto"/>
            <w:left w:val="none" w:sz="0" w:space="0" w:color="auto"/>
            <w:bottom w:val="none" w:sz="0" w:space="0" w:color="auto"/>
            <w:right w:val="none" w:sz="0" w:space="0" w:color="auto"/>
          </w:divBdr>
        </w:div>
      </w:divsChild>
    </w:div>
    <w:div w:id="915674328">
      <w:bodyDiv w:val="1"/>
      <w:marLeft w:val="0"/>
      <w:marRight w:val="0"/>
      <w:marTop w:val="0"/>
      <w:marBottom w:val="0"/>
      <w:divBdr>
        <w:top w:val="none" w:sz="0" w:space="0" w:color="auto"/>
        <w:left w:val="none" w:sz="0" w:space="0" w:color="auto"/>
        <w:bottom w:val="none" w:sz="0" w:space="0" w:color="auto"/>
        <w:right w:val="none" w:sz="0" w:space="0" w:color="auto"/>
      </w:divBdr>
    </w:div>
    <w:div w:id="940449424">
      <w:bodyDiv w:val="1"/>
      <w:marLeft w:val="0"/>
      <w:marRight w:val="0"/>
      <w:marTop w:val="0"/>
      <w:marBottom w:val="0"/>
      <w:divBdr>
        <w:top w:val="none" w:sz="0" w:space="0" w:color="auto"/>
        <w:left w:val="none" w:sz="0" w:space="0" w:color="auto"/>
        <w:bottom w:val="none" w:sz="0" w:space="0" w:color="auto"/>
        <w:right w:val="none" w:sz="0" w:space="0" w:color="auto"/>
      </w:divBdr>
    </w:div>
    <w:div w:id="986667108">
      <w:bodyDiv w:val="1"/>
      <w:marLeft w:val="0"/>
      <w:marRight w:val="0"/>
      <w:marTop w:val="0"/>
      <w:marBottom w:val="0"/>
      <w:divBdr>
        <w:top w:val="none" w:sz="0" w:space="0" w:color="auto"/>
        <w:left w:val="none" w:sz="0" w:space="0" w:color="auto"/>
        <w:bottom w:val="none" w:sz="0" w:space="0" w:color="auto"/>
        <w:right w:val="none" w:sz="0" w:space="0" w:color="auto"/>
      </w:divBdr>
    </w:div>
    <w:div w:id="1002243487">
      <w:bodyDiv w:val="1"/>
      <w:marLeft w:val="0"/>
      <w:marRight w:val="0"/>
      <w:marTop w:val="0"/>
      <w:marBottom w:val="0"/>
      <w:divBdr>
        <w:top w:val="none" w:sz="0" w:space="0" w:color="auto"/>
        <w:left w:val="none" w:sz="0" w:space="0" w:color="auto"/>
        <w:bottom w:val="none" w:sz="0" w:space="0" w:color="auto"/>
        <w:right w:val="none" w:sz="0" w:space="0" w:color="auto"/>
      </w:divBdr>
    </w:div>
    <w:div w:id="1086850584">
      <w:bodyDiv w:val="1"/>
      <w:marLeft w:val="0"/>
      <w:marRight w:val="0"/>
      <w:marTop w:val="0"/>
      <w:marBottom w:val="0"/>
      <w:divBdr>
        <w:top w:val="none" w:sz="0" w:space="0" w:color="auto"/>
        <w:left w:val="none" w:sz="0" w:space="0" w:color="auto"/>
        <w:bottom w:val="none" w:sz="0" w:space="0" w:color="auto"/>
        <w:right w:val="none" w:sz="0" w:space="0" w:color="auto"/>
      </w:divBdr>
    </w:div>
    <w:div w:id="1107043236">
      <w:bodyDiv w:val="1"/>
      <w:marLeft w:val="0"/>
      <w:marRight w:val="0"/>
      <w:marTop w:val="0"/>
      <w:marBottom w:val="0"/>
      <w:divBdr>
        <w:top w:val="none" w:sz="0" w:space="0" w:color="auto"/>
        <w:left w:val="none" w:sz="0" w:space="0" w:color="auto"/>
        <w:bottom w:val="none" w:sz="0" w:space="0" w:color="auto"/>
        <w:right w:val="none" w:sz="0" w:space="0" w:color="auto"/>
      </w:divBdr>
    </w:div>
    <w:div w:id="1116022027">
      <w:bodyDiv w:val="1"/>
      <w:marLeft w:val="0"/>
      <w:marRight w:val="0"/>
      <w:marTop w:val="0"/>
      <w:marBottom w:val="0"/>
      <w:divBdr>
        <w:top w:val="none" w:sz="0" w:space="0" w:color="auto"/>
        <w:left w:val="none" w:sz="0" w:space="0" w:color="auto"/>
        <w:bottom w:val="none" w:sz="0" w:space="0" w:color="auto"/>
        <w:right w:val="none" w:sz="0" w:space="0" w:color="auto"/>
      </w:divBdr>
    </w:div>
    <w:div w:id="1160343640">
      <w:bodyDiv w:val="1"/>
      <w:marLeft w:val="0"/>
      <w:marRight w:val="0"/>
      <w:marTop w:val="0"/>
      <w:marBottom w:val="0"/>
      <w:divBdr>
        <w:top w:val="none" w:sz="0" w:space="0" w:color="auto"/>
        <w:left w:val="none" w:sz="0" w:space="0" w:color="auto"/>
        <w:bottom w:val="none" w:sz="0" w:space="0" w:color="auto"/>
        <w:right w:val="none" w:sz="0" w:space="0" w:color="auto"/>
      </w:divBdr>
    </w:div>
    <w:div w:id="1163398907">
      <w:bodyDiv w:val="1"/>
      <w:marLeft w:val="0"/>
      <w:marRight w:val="0"/>
      <w:marTop w:val="0"/>
      <w:marBottom w:val="0"/>
      <w:divBdr>
        <w:top w:val="none" w:sz="0" w:space="0" w:color="auto"/>
        <w:left w:val="none" w:sz="0" w:space="0" w:color="auto"/>
        <w:bottom w:val="none" w:sz="0" w:space="0" w:color="auto"/>
        <w:right w:val="none" w:sz="0" w:space="0" w:color="auto"/>
      </w:divBdr>
    </w:div>
    <w:div w:id="1171873078">
      <w:bodyDiv w:val="1"/>
      <w:marLeft w:val="0"/>
      <w:marRight w:val="0"/>
      <w:marTop w:val="0"/>
      <w:marBottom w:val="0"/>
      <w:divBdr>
        <w:top w:val="none" w:sz="0" w:space="0" w:color="auto"/>
        <w:left w:val="none" w:sz="0" w:space="0" w:color="auto"/>
        <w:bottom w:val="none" w:sz="0" w:space="0" w:color="auto"/>
        <w:right w:val="none" w:sz="0" w:space="0" w:color="auto"/>
      </w:divBdr>
    </w:div>
    <w:div w:id="1211695116">
      <w:bodyDiv w:val="1"/>
      <w:marLeft w:val="0"/>
      <w:marRight w:val="0"/>
      <w:marTop w:val="0"/>
      <w:marBottom w:val="0"/>
      <w:divBdr>
        <w:top w:val="none" w:sz="0" w:space="0" w:color="auto"/>
        <w:left w:val="none" w:sz="0" w:space="0" w:color="auto"/>
        <w:bottom w:val="none" w:sz="0" w:space="0" w:color="auto"/>
        <w:right w:val="none" w:sz="0" w:space="0" w:color="auto"/>
      </w:divBdr>
    </w:div>
    <w:div w:id="1222982845">
      <w:bodyDiv w:val="1"/>
      <w:marLeft w:val="0"/>
      <w:marRight w:val="0"/>
      <w:marTop w:val="0"/>
      <w:marBottom w:val="0"/>
      <w:divBdr>
        <w:top w:val="none" w:sz="0" w:space="0" w:color="auto"/>
        <w:left w:val="none" w:sz="0" w:space="0" w:color="auto"/>
        <w:bottom w:val="none" w:sz="0" w:space="0" w:color="auto"/>
        <w:right w:val="none" w:sz="0" w:space="0" w:color="auto"/>
      </w:divBdr>
    </w:div>
    <w:div w:id="1231885305">
      <w:bodyDiv w:val="1"/>
      <w:marLeft w:val="0"/>
      <w:marRight w:val="0"/>
      <w:marTop w:val="0"/>
      <w:marBottom w:val="0"/>
      <w:divBdr>
        <w:top w:val="none" w:sz="0" w:space="0" w:color="auto"/>
        <w:left w:val="none" w:sz="0" w:space="0" w:color="auto"/>
        <w:bottom w:val="none" w:sz="0" w:space="0" w:color="auto"/>
        <w:right w:val="none" w:sz="0" w:space="0" w:color="auto"/>
      </w:divBdr>
    </w:div>
    <w:div w:id="1265959752">
      <w:bodyDiv w:val="1"/>
      <w:marLeft w:val="0"/>
      <w:marRight w:val="0"/>
      <w:marTop w:val="0"/>
      <w:marBottom w:val="0"/>
      <w:divBdr>
        <w:top w:val="none" w:sz="0" w:space="0" w:color="auto"/>
        <w:left w:val="none" w:sz="0" w:space="0" w:color="auto"/>
        <w:bottom w:val="none" w:sz="0" w:space="0" w:color="auto"/>
        <w:right w:val="none" w:sz="0" w:space="0" w:color="auto"/>
      </w:divBdr>
    </w:div>
    <w:div w:id="1320889704">
      <w:bodyDiv w:val="1"/>
      <w:marLeft w:val="0"/>
      <w:marRight w:val="0"/>
      <w:marTop w:val="0"/>
      <w:marBottom w:val="0"/>
      <w:divBdr>
        <w:top w:val="none" w:sz="0" w:space="0" w:color="auto"/>
        <w:left w:val="none" w:sz="0" w:space="0" w:color="auto"/>
        <w:bottom w:val="none" w:sz="0" w:space="0" w:color="auto"/>
        <w:right w:val="none" w:sz="0" w:space="0" w:color="auto"/>
      </w:divBdr>
    </w:div>
    <w:div w:id="1347512782">
      <w:bodyDiv w:val="1"/>
      <w:marLeft w:val="0"/>
      <w:marRight w:val="0"/>
      <w:marTop w:val="0"/>
      <w:marBottom w:val="0"/>
      <w:divBdr>
        <w:top w:val="none" w:sz="0" w:space="0" w:color="auto"/>
        <w:left w:val="none" w:sz="0" w:space="0" w:color="auto"/>
        <w:bottom w:val="none" w:sz="0" w:space="0" w:color="auto"/>
        <w:right w:val="none" w:sz="0" w:space="0" w:color="auto"/>
      </w:divBdr>
    </w:div>
    <w:div w:id="1410542001">
      <w:bodyDiv w:val="1"/>
      <w:marLeft w:val="0"/>
      <w:marRight w:val="0"/>
      <w:marTop w:val="0"/>
      <w:marBottom w:val="0"/>
      <w:divBdr>
        <w:top w:val="none" w:sz="0" w:space="0" w:color="auto"/>
        <w:left w:val="none" w:sz="0" w:space="0" w:color="auto"/>
        <w:bottom w:val="none" w:sz="0" w:space="0" w:color="auto"/>
        <w:right w:val="none" w:sz="0" w:space="0" w:color="auto"/>
      </w:divBdr>
    </w:div>
    <w:div w:id="1412041620">
      <w:bodyDiv w:val="1"/>
      <w:marLeft w:val="0"/>
      <w:marRight w:val="0"/>
      <w:marTop w:val="0"/>
      <w:marBottom w:val="0"/>
      <w:divBdr>
        <w:top w:val="none" w:sz="0" w:space="0" w:color="auto"/>
        <w:left w:val="none" w:sz="0" w:space="0" w:color="auto"/>
        <w:bottom w:val="none" w:sz="0" w:space="0" w:color="auto"/>
        <w:right w:val="none" w:sz="0" w:space="0" w:color="auto"/>
      </w:divBdr>
    </w:div>
    <w:div w:id="1500386589">
      <w:bodyDiv w:val="1"/>
      <w:marLeft w:val="0"/>
      <w:marRight w:val="0"/>
      <w:marTop w:val="0"/>
      <w:marBottom w:val="0"/>
      <w:divBdr>
        <w:top w:val="none" w:sz="0" w:space="0" w:color="auto"/>
        <w:left w:val="none" w:sz="0" w:space="0" w:color="auto"/>
        <w:bottom w:val="none" w:sz="0" w:space="0" w:color="auto"/>
        <w:right w:val="none" w:sz="0" w:space="0" w:color="auto"/>
      </w:divBdr>
    </w:div>
    <w:div w:id="1515850141">
      <w:bodyDiv w:val="1"/>
      <w:marLeft w:val="0"/>
      <w:marRight w:val="0"/>
      <w:marTop w:val="0"/>
      <w:marBottom w:val="0"/>
      <w:divBdr>
        <w:top w:val="none" w:sz="0" w:space="0" w:color="auto"/>
        <w:left w:val="none" w:sz="0" w:space="0" w:color="auto"/>
        <w:bottom w:val="none" w:sz="0" w:space="0" w:color="auto"/>
        <w:right w:val="none" w:sz="0" w:space="0" w:color="auto"/>
      </w:divBdr>
    </w:div>
    <w:div w:id="1525824491">
      <w:bodyDiv w:val="1"/>
      <w:marLeft w:val="0"/>
      <w:marRight w:val="0"/>
      <w:marTop w:val="0"/>
      <w:marBottom w:val="0"/>
      <w:divBdr>
        <w:top w:val="none" w:sz="0" w:space="0" w:color="auto"/>
        <w:left w:val="none" w:sz="0" w:space="0" w:color="auto"/>
        <w:bottom w:val="none" w:sz="0" w:space="0" w:color="auto"/>
        <w:right w:val="none" w:sz="0" w:space="0" w:color="auto"/>
      </w:divBdr>
    </w:div>
    <w:div w:id="1546789551">
      <w:bodyDiv w:val="1"/>
      <w:marLeft w:val="0"/>
      <w:marRight w:val="0"/>
      <w:marTop w:val="0"/>
      <w:marBottom w:val="0"/>
      <w:divBdr>
        <w:top w:val="none" w:sz="0" w:space="0" w:color="auto"/>
        <w:left w:val="none" w:sz="0" w:space="0" w:color="auto"/>
        <w:bottom w:val="none" w:sz="0" w:space="0" w:color="auto"/>
        <w:right w:val="none" w:sz="0" w:space="0" w:color="auto"/>
      </w:divBdr>
    </w:div>
    <w:div w:id="1551645208">
      <w:bodyDiv w:val="1"/>
      <w:marLeft w:val="0"/>
      <w:marRight w:val="0"/>
      <w:marTop w:val="0"/>
      <w:marBottom w:val="0"/>
      <w:divBdr>
        <w:top w:val="none" w:sz="0" w:space="0" w:color="auto"/>
        <w:left w:val="none" w:sz="0" w:space="0" w:color="auto"/>
        <w:bottom w:val="none" w:sz="0" w:space="0" w:color="auto"/>
        <w:right w:val="none" w:sz="0" w:space="0" w:color="auto"/>
      </w:divBdr>
    </w:div>
    <w:div w:id="1577351293">
      <w:bodyDiv w:val="1"/>
      <w:marLeft w:val="0"/>
      <w:marRight w:val="0"/>
      <w:marTop w:val="0"/>
      <w:marBottom w:val="0"/>
      <w:divBdr>
        <w:top w:val="none" w:sz="0" w:space="0" w:color="auto"/>
        <w:left w:val="none" w:sz="0" w:space="0" w:color="auto"/>
        <w:bottom w:val="none" w:sz="0" w:space="0" w:color="auto"/>
        <w:right w:val="none" w:sz="0" w:space="0" w:color="auto"/>
      </w:divBdr>
    </w:div>
    <w:div w:id="1582792422">
      <w:bodyDiv w:val="1"/>
      <w:marLeft w:val="0"/>
      <w:marRight w:val="0"/>
      <w:marTop w:val="0"/>
      <w:marBottom w:val="0"/>
      <w:divBdr>
        <w:top w:val="none" w:sz="0" w:space="0" w:color="auto"/>
        <w:left w:val="none" w:sz="0" w:space="0" w:color="auto"/>
        <w:bottom w:val="none" w:sz="0" w:space="0" w:color="auto"/>
        <w:right w:val="none" w:sz="0" w:space="0" w:color="auto"/>
      </w:divBdr>
    </w:div>
    <w:div w:id="1602293845">
      <w:bodyDiv w:val="1"/>
      <w:marLeft w:val="0"/>
      <w:marRight w:val="0"/>
      <w:marTop w:val="0"/>
      <w:marBottom w:val="0"/>
      <w:divBdr>
        <w:top w:val="none" w:sz="0" w:space="0" w:color="auto"/>
        <w:left w:val="none" w:sz="0" w:space="0" w:color="auto"/>
        <w:bottom w:val="none" w:sz="0" w:space="0" w:color="auto"/>
        <w:right w:val="none" w:sz="0" w:space="0" w:color="auto"/>
      </w:divBdr>
    </w:div>
    <w:div w:id="1669863394">
      <w:bodyDiv w:val="1"/>
      <w:marLeft w:val="0"/>
      <w:marRight w:val="0"/>
      <w:marTop w:val="0"/>
      <w:marBottom w:val="0"/>
      <w:divBdr>
        <w:top w:val="none" w:sz="0" w:space="0" w:color="auto"/>
        <w:left w:val="none" w:sz="0" w:space="0" w:color="auto"/>
        <w:bottom w:val="none" w:sz="0" w:space="0" w:color="auto"/>
        <w:right w:val="none" w:sz="0" w:space="0" w:color="auto"/>
      </w:divBdr>
    </w:div>
    <w:div w:id="1695155071">
      <w:bodyDiv w:val="1"/>
      <w:marLeft w:val="0"/>
      <w:marRight w:val="0"/>
      <w:marTop w:val="0"/>
      <w:marBottom w:val="0"/>
      <w:divBdr>
        <w:top w:val="none" w:sz="0" w:space="0" w:color="auto"/>
        <w:left w:val="none" w:sz="0" w:space="0" w:color="auto"/>
        <w:bottom w:val="none" w:sz="0" w:space="0" w:color="auto"/>
        <w:right w:val="none" w:sz="0" w:space="0" w:color="auto"/>
      </w:divBdr>
    </w:div>
    <w:div w:id="1696300171">
      <w:bodyDiv w:val="1"/>
      <w:marLeft w:val="0"/>
      <w:marRight w:val="0"/>
      <w:marTop w:val="0"/>
      <w:marBottom w:val="0"/>
      <w:divBdr>
        <w:top w:val="none" w:sz="0" w:space="0" w:color="auto"/>
        <w:left w:val="none" w:sz="0" w:space="0" w:color="auto"/>
        <w:bottom w:val="none" w:sz="0" w:space="0" w:color="auto"/>
        <w:right w:val="none" w:sz="0" w:space="0" w:color="auto"/>
      </w:divBdr>
    </w:div>
    <w:div w:id="1698116541">
      <w:bodyDiv w:val="1"/>
      <w:marLeft w:val="0"/>
      <w:marRight w:val="0"/>
      <w:marTop w:val="0"/>
      <w:marBottom w:val="0"/>
      <w:divBdr>
        <w:top w:val="none" w:sz="0" w:space="0" w:color="auto"/>
        <w:left w:val="none" w:sz="0" w:space="0" w:color="auto"/>
        <w:bottom w:val="none" w:sz="0" w:space="0" w:color="auto"/>
        <w:right w:val="none" w:sz="0" w:space="0" w:color="auto"/>
      </w:divBdr>
    </w:div>
    <w:div w:id="1700205524">
      <w:bodyDiv w:val="1"/>
      <w:marLeft w:val="0"/>
      <w:marRight w:val="0"/>
      <w:marTop w:val="0"/>
      <w:marBottom w:val="0"/>
      <w:divBdr>
        <w:top w:val="none" w:sz="0" w:space="0" w:color="auto"/>
        <w:left w:val="none" w:sz="0" w:space="0" w:color="auto"/>
        <w:bottom w:val="none" w:sz="0" w:space="0" w:color="auto"/>
        <w:right w:val="none" w:sz="0" w:space="0" w:color="auto"/>
      </w:divBdr>
    </w:div>
    <w:div w:id="1702046473">
      <w:bodyDiv w:val="1"/>
      <w:marLeft w:val="0"/>
      <w:marRight w:val="0"/>
      <w:marTop w:val="0"/>
      <w:marBottom w:val="0"/>
      <w:divBdr>
        <w:top w:val="none" w:sz="0" w:space="0" w:color="auto"/>
        <w:left w:val="none" w:sz="0" w:space="0" w:color="auto"/>
        <w:bottom w:val="none" w:sz="0" w:space="0" w:color="auto"/>
        <w:right w:val="none" w:sz="0" w:space="0" w:color="auto"/>
      </w:divBdr>
    </w:div>
    <w:div w:id="1713075401">
      <w:bodyDiv w:val="1"/>
      <w:marLeft w:val="0"/>
      <w:marRight w:val="0"/>
      <w:marTop w:val="0"/>
      <w:marBottom w:val="0"/>
      <w:divBdr>
        <w:top w:val="none" w:sz="0" w:space="0" w:color="auto"/>
        <w:left w:val="none" w:sz="0" w:space="0" w:color="auto"/>
        <w:bottom w:val="none" w:sz="0" w:space="0" w:color="auto"/>
        <w:right w:val="none" w:sz="0" w:space="0" w:color="auto"/>
      </w:divBdr>
    </w:div>
    <w:div w:id="1730690736">
      <w:bodyDiv w:val="1"/>
      <w:marLeft w:val="0"/>
      <w:marRight w:val="0"/>
      <w:marTop w:val="0"/>
      <w:marBottom w:val="0"/>
      <w:divBdr>
        <w:top w:val="none" w:sz="0" w:space="0" w:color="auto"/>
        <w:left w:val="none" w:sz="0" w:space="0" w:color="auto"/>
        <w:bottom w:val="none" w:sz="0" w:space="0" w:color="auto"/>
        <w:right w:val="none" w:sz="0" w:space="0" w:color="auto"/>
      </w:divBdr>
    </w:div>
    <w:div w:id="1740133351">
      <w:bodyDiv w:val="1"/>
      <w:marLeft w:val="0"/>
      <w:marRight w:val="0"/>
      <w:marTop w:val="0"/>
      <w:marBottom w:val="0"/>
      <w:divBdr>
        <w:top w:val="none" w:sz="0" w:space="0" w:color="auto"/>
        <w:left w:val="none" w:sz="0" w:space="0" w:color="auto"/>
        <w:bottom w:val="none" w:sz="0" w:space="0" w:color="auto"/>
        <w:right w:val="none" w:sz="0" w:space="0" w:color="auto"/>
      </w:divBdr>
    </w:div>
    <w:div w:id="1761296554">
      <w:bodyDiv w:val="1"/>
      <w:marLeft w:val="0"/>
      <w:marRight w:val="0"/>
      <w:marTop w:val="0"/>
      <w:marBottom w:val="0"/>
      <w:divBdr>
        <w:top w:val="none" w:sz="0" w:space="0" w:color="auto"/>
        <w:left w:val="none" w:sz="0" w:space="0" w:color="auto"/>
        <w:bottom w:val="none" w:sz="0" w:space="0" w:color="auto"/>
        <w:right w:val="none" w:sz="0" w:space="0" w:color="auto"/>
      </w:divBdr>
    </w:div>
    <w:div w:id="1768890288">
      <w:bodyDiv w:val="1"/>
      <w:marLeft w:val="0"/>
      <w:marRight w:val="0"/>
      <w:marTop w:val="0"/>
      <w:marBottom w:val="0"/>
      <w:divBdr>
        <w:top w:val="none" w:sz="0" w:space="0" w:color="auto"/>
        <w:left w:val="none" w:sz="0" w:space="0" w:color="auto"/>
        <w:bottom w:val="none" w:sz="0" w:space="0" w:color="auto"/>
        <w:right w:val="none" w:sz="0" w:space="0" w:color="auto"/>
      </w:divBdr>
    </w:div>
    <w:div w:id="1810513556">
      <w:bodyDiv w:val="1"/>
      <w:marLeft w:val="0"/>
      <w:marRight w:val="0"/>
      <w:marTop w:val="0"/>
      <w:marBottom w:val="0"/>
      <w:divBdr>
        <w:top w:val="none" w:sz="0" w:space="0" w:color="auto"/>
        <w:left w:val="none" w:sz="0" w:space="0" w:color="auto"/>
        <w:bottom w:val="none" w:sz="0" w:space="0" w:color="auto"/>
        <w:right w:val="none" w:sz="0" w:space="0" w:color="auto"/>
      </w:divBdr>
    </w:div>
    <w:div w:id="1875924797">
      <w:bodyDiv w:val="1"/>
      <w:marLeft w:val="0"/>
      <w:marRight w:val="0"/>
      <w:marTop w:val="0"/>
      <w:marBottom w:val="0"/>
      <w:divBdr>
        <w:top w:val="none" w:sz="0" w:space="0" w:color="auto"/>
        <w:left w:val="none" w:sz="0" w:space="0" w:color="auto"/>
        <w:bottom w:val="none" w:sz="0" w:space="0" w:color="auto"/>
        <w:right w:val="none" w:sz="0" w:space="0" w:color="auto"/>
      </w:divBdr>
    </w:div>
    <w:div w:id="1947687223">
      <w:bodyDiv w:val="1"/>
      <w:marLeft w:val="0"/>
      <w:marRight w:val="0"/>
      <w:marTop w:val="0"/>
      <w:marBottom w:val="0"/>
      <w:divBdr>
        <w:top w:val="none" w:sz="0" w:space="0" w:color="auto"/>
        <w:left w:val="none" w:sz="0" w:space="0" w:color="auto"/>
        <w:bottom w:val="none" w:sz="0" w:space="0" w:color="auto"/>
        <w:right w:val="none" w:sz="0" w:space="0" w:color="auto"/>
      </w:divBdr>
    </w:div>
    <w:div w:id="2028868655">
      <w:bodyDiv w:val="1"/>
      <w:marLeft w:val="0"/>
      <w:marRight w:val="0"/>
      <w:marTop w:val="0"/>
      <w:marBottom w:val="0"/>
      <w:divBdr>
        <w:top w:val="none" w:sz="0" w:space="0" w:color="auto"/>
        <w:left w:val="none" w:sz="0" w:space="0" w:color="auto"/>
        <w:bottom w:val="none" w:sz="0" w:space="0" w:color="auto"/>
        <w:right w:val="none" w:sz="0" w:space="0" w:color="auto"/>
      </w:divBdr>
    </w:div>
    <w:div w:id="2063670182">
      <w:bodyDiv w:val="1"/>
      <w:marLeft w:val="0"/>
      <w:marRight w:val="0"/>
      <w:marTop w:val="0"/>
      <w:marBottom w:val="0"/>
      <w:divBdr>
        <w:top w:val="none" w:sz="0" w:space="0" w:color="auto"/>
        <w:left w:val="none" w:sz="0" w:space="0" w:color="auto"/>
        <w:bottom w:val="none" w:sz="0" w:space="0" w:color="auto"/>
        <w:right w:val="none" w:sz="0" w:space="0" w:color="auto"/>
      </w:divBdr>
    </w:div>
    <w:div w:id="2075470572">
      <w:bodyDiv w:val="1"/>
      <w:marLeft w:val="0"/>
      <w:marRight w:val="0"/>
      <w:marTop w:val="0"/>
      <w:marBottom w:val="0"/>
      <w:divBdr>
        <w:top w:val="none" w:sz="0" w:space="0" w:color="auto"/>
        <w:left w:val="none" w:sz="0" w:space="0" w:color="auto"/>
        <w:bottom w:val="none" w:sz="0" w:space="0" w:color="auto"/>
        <w:right w:val="none" w:sz="0" w:space="0" w:color="auto"/>
      </w:divBdr>
    </w:div>
    <w:div w:id="209311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yperlink" Target="https://immi.homeaffairs.gov.au/what-we-do/whm-program" TargetMode="Externa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8" Type="http://schemas.openxmlformats.org/officeDocument/2006/relationships/image" Target="media/image5.jpg"/><Relationship Id="rId84" Type="http://schemas.openxmlformats.org/officeDocument/2006/relationships/chart" Target="charts/chart43.xml"/><Relationship Id="rId89" Type="http://schemas.openxmlformats.org/officeDocument/2006/relationships/chart" Target="charts/chart48.xml"/><Relationship Id="rId112" Type="http://schemas.openxmlformats.org/officeDocument/2006/relationships/hyperlink" Target="https://www.abs.gov.au/ANZSCO" TargetMode="External"/><Relationship Id="rId16" Type="http://schemas.openxmlformats.org/officeDocument/2006/relationships/footer" Target="footer2.xml"/><Relationship Id="rId107" Type="http://schemas.openxmlformats.org/officeDocument/2006/relationships/chart" Target="charts/chart65.xml"/><Relationship Id="rId11" Type="http://schemas.openxmlformats.org/officeDocument/2006/relationships/footnotes" Target="footnotes.xml"/><Relationship Id="rId32" Type="http://schemas.openxmlformats.org/officeDocument/2006/relationships/chart" Target="charts/chart14.xml"/><Relationship Id="rId37" Type="http://schemas.openxmlformats.org/officeDocument/2006/relationships/chart" Target="charts/chart19.xml"/><Relationship Id="rId74" Type="http://schemas.openxmlformats.org/officeDocument/2006/relationships/image" Target="media/image10.jpg"/><Relationship Id="rId79" Type="http://schemas.openxmlformats.org/officeDocument/2006/relationships/chart" Target="charts/chart38.xml"/><Relationship Id="rId102" Type="http://schemas.openxmlformats.org/officeDocument/2006/relationships/chart" Target="charts/chart60.xml"/><Relationship Id="rId123"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chart" Target="charts/chart49.xml"/><Relationship Id="rId95" Type="http://schemas.openxmlformats.org/officeDocument/2006/relationships/chart" Target="charts/chart54.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30.xml"/><Relationship Id="rId64" Type="http://schemas.openxmlformats.org/officeDocument/2006/relationships/image" Target="media/image4.png"/><Relationship Id="rId69" Type="http://schemas.openxmlformats.org/officeDocument/2006/relationships/image" Target="media/image6.jpg"/><Relationship Id="rId113" Type="http://schemas.openxmlformats.org/officeDocument/2006/relationships/hyperlink" Target="https://www.ag.gov.au/industrial-relations/migrant-workers-taskforce" TargetMode="External"/><Relationship Id="rId118" Type="http://schemas.openxmlformats.org/officeDocument/2006/relationships/hyperlink" Target="https://immi.homeaffairs.gov.au/what-we-do/whm-program/latest-news" TargetMode="External"/><Relationship Id="rId80" Type="http://schemas.openxmlformats.org/officeDocument/2006/relationships/chart" Target="charts/chart39.xml"/><Relationship Id="rId85" Type="http://schemas.openxmlformats.org/officeDocument/2006/relationships/chart" Target="charts/chart44.xm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chart" Target="charts/chart15.xml"/><Relationship Id="rId38" Type="http://schemas.openxmlformats.org/officeDocument/2006/relationships/chart" Target="charts/chart20.xml"/><Relationship Id="rId103" Type="http://schemas.openxmlformats.org/officeDocument/2006/relationships/chart" Target="charts/chart61.xml"/><Relationship Id="rId108" Type="http://schemas.openxmlformats.org/officeDocument/2006/relationships/chart" Target="charts/chart66.xml"/><Relationship Id="rId124" Type="http://schemas.openxmlformats.org/officeDocument/2006/relationships/footer" Target="footer5.xml"/><Relationship Id="rId70" Type="http://schemas.openxmlformats.org/officeDocument/2006/relationships/image" Target="media/image7.jpg"/><Relationship Id="rId75" Type="http://schemas.openxmlformats.org/officeDocument/2006/relationships/chart" Target="charts/chart34.xml"/><Relationship Id="rId91" Type="http://schemas.openxmlformats.org/officeDocument/2006/relationships/chart" Target="charts/chart50.xml"/><Relationship Id="rId96"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106" Type="http://schemas.openxmlformats.org/officeDocument/2006/relationships/chart" Target="charts/chart64.xml"/><Relationship Id="rId114" Type="http://schemas.openxmlformats.org/officeDocument/2006/relationships/hyperlink" Target="https://www.abs.gov.au" TargetMode="External"/><Relationship Id="rId119" Type="http://schemas.openxmlformats.org/officeDocument/2006/relationships/hyperlink" Target="https://data.gov.au/data/dataset/visa-working-holiday-maker" TargetMode="External"/><Relationship Id="rId10" Type="http://schemas.openxmlformats.org/officeDocument/2006/relationships/webSettings" Target="webSettings.xml"/><Relationship Id="rId31" Type="http://schemas.openxmlformats.org/officeDocument/2006/relationships/chart" Target="charts/chart13.xml"/><Relationship Id="rId44" Type="http://schemas.openxmlformats.org/officeDocument/2006/relationships/chart" Target="charts/chart26.xml"/><Relationship Id="rId52" Type="http://schemas.microsoft.com/office/2014/relationships/chartEx" Target="charts/chartEx1.xml"/><Relationship Id="rId65" Type="http://schemas.openxmlformats.org/officeDocument/2006/relationships/image" Target="media/image2.jpg"/><Relationship Id="rId73" Type="http://schemas.openxmlformats.org/officeDocument/2006/relationships/image" Target="media/image9.jpg"/><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 Id="rId94" Type="http://schemas.openxmlformats.org/officeDocument/2006/relationships/chart" Target="charts/chart53.xml"/><Relationship Id="rId99" Type="http://schemas.openxmlformats.org/officeDocument/2006/relationships/image" Target="media/image11.png"/><Relationship Id="rId101" Type="http://schemas.openxmlformats.org/officeDocument/2006/relationships/chart" Target="charts/chart59.xml"/><Relationship Id="rId122" Type="http://schemas.openxmlformats.org/officeDocument/2006/relationships/hyperlink" Target="https://minister.homeaffairs.gov.au/davidcoleman/pages/coronavirus-and-temporary-visa-holders.asp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flinders.edu.au/aiti" TargetMode="External"/><Relationship Id="rId18" Type="http://schemas.openxmlformats.org/officeDocument/2006/relationships/header" Target="header1.xml"/><Relationship Id="rId39" Type="http://schemas.openxmlformats.org/officeDocument/2006/relationships/chart" Target="charts/chart21.xml"/><Relationship Id="rId109" Type="http://schemas.openxmlformats.org/officeDocument/2006/relationships/chart" Target="charts/chart67.xml"/><Relationship Id="rId34" Type="http://schemas.openxmlformats.org/officeDocument/2006/relationships/chart" Target="charts/chart16.xml"/><Relationship Id="rId50" Type="http://schemas.openxmlformats.org/officeDocument/2006/relationships/chart" Target="charts/chart32.xml"/><Relationship Id="rId76" Type="http://schemas.openxmlformats.org/officeDocument/2006/relationships/chart" Target="charts/chart35.xml"/><Relationship Id="rId97" Type="http://schemas.openxmlformats.org/officeDocument/2006/relationships/chart" Target="charts/chart56.xml"/><Relationship Id="rId104" Type="http://schemas.openxmlformats.org/officeDocument/2006/relationships/chart" Target="charts/chart62.xml"/><Relationship Id="rId120" Type="http://schemas.openxmlformats.org/officeDocument/2006/relationships/hyperlink" Target="https://www.homeaffairs.gov.au/research-and-statistics/statistics/visa-statistics/visit" TargetMode="External"/><Relationship Id="rId125"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8.jpg"/><Relationship Id="rId92" Type="http://schemas.openxmlformats.org/officeDocument/2006/relationships/chart" Target="charts/chart51.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image" Target="media/image3.jpg"/><Relationship Id="rId87" Type="http://schemas.openxmlformats.org/officeDocument/2006/relationships/chart" Target="charts/chart46.xml"/><Relationship Id="rId110" Type="http://schemas.openxmlformats.org/officeDocument/2006/relationships/chart" Target="charts/chart68.xml"/><Relationship Id="rId115" Type="http://schemas.openxmlformats.org/officeDocument/2006/relationships/hyperlink" Target="https://immi.homeaffairs.gov.au/visas/getting-a-visa/visa-listing/work-holiday-417" TargetMode="External"/><Relationship Id="rId82" Type="http://schemas.openxmlformats.org/officeDocument/2006/relationships/chart" Target="charts/chart41.xml"/><Relationship Id="rId19" Type="http://schemas.openxmlformats.org/officeDocument/2006/relationships/chart" Target="charts/chart1.xml"/><Relationship Id="rId14" Type="http://schemas.openxmlformats.org/officeDocument/2006/relationships/hyperlink" Target="http://www.flinders.edu.au/aiti/" TargetMode="External"/><Relationship Id="rId30" Type="http://schemas.openxmlformats.org/officeDocument/2006/relationships/chart" Target="charts/chart12.xml"/><Relationship Id="rId35" Type="http://schemas.openxmlformats.org/officeDocument/2006/relationships/chart" Target="charts/chart17.xml"/><Relationship Id="rId77" Type="http://schemas.openxmlformats.org/officeDocument/2006/relationships/chart" Target="charts/chart36.xml"/><Relationship Id="rId100" Type="http://schemas.openxmlformats.org/officeDocument/2006/relationships/chart" Target="charts/chart58.xml"/><Relationship Id="rId105" Type="http://schemas.openxmlformats.org/officeDocument/2006/relationships/chart" Target="charts/chart63.xml"/><Relationship Id="rId12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chart" Target="charts/chart33.xml"/><Relationship Id="rId72" Type="http://schemas.openxmlformats.org/officeDocument/2006/relationships/footer" Target="footer4.xml"/><Relationship Id="rId93" Type="http://schemas.openxmlformats.org/officeDocument/2006/relationships/chart" Target="charts/chart52.xml"/><Relationship Id="rId98" Type="http://schemas.openxmlformats.org/officeDocument/2006/relationships/chart" Target="charts/chart57.xml"/><Relationship Id="rId121" Type="http://schemas.openxmlformats.org/officeDocument/2006/relationships/hyperlink" Target="https://www.aph.gov.au/About_Parliament/House_of_Representatives/About_the_House_News/Media_Releases/Review_of_the_Working_Holiday_Maker_Program_and_its_role_in_the_economic_recovery" TargetMode="External"/><Relationship Id="rId3" Type="http://schemas.openxmlformats.org/officeDocument/2006/relationships/customXml" Target="../customXml/item3.xml"/><Relationship Id="rId25" Type="http://schemas.openxmlformats.org/officeDocument/2006/relationships/chart" Target="charts/chart7.xml"/><Relationship Id="rId46" Type="http://schemas.openxmlformats.org/officeDocument/2006/relationships/chart" Target="charts/chart28.xml"/><Relationship Id="rId67" Type="http://schemas.openxmlformats.org/officeDocument/2006/relationships/image" Target="media/image4.jpg"/><Relationship Id="rId116" Type="http://schemas.openxmlformats.org/officeDocument/2006/relationships/hyperlink" Target="https://immi.homeaffairs.gov.au/visas/getting-a-visa/visa-listing/work-holiday-462" TargetMode="External"/><Relationship Id="rId20" Type="http://schemas.openxmlformats.org/officeDocument/2006/relationships/chart" Target="charts/chart2.xml"/><Relationship Id="rId41" Type="http://schemas.openxmlformats.org/officeDocument/2006/relationships/chart" Target="charts/chart23.xml"/><Relationship Id="rId83" Type="http://schemas.openxmlformats.org/officeDocument/2006/relationships/chart" Target="charts/chart42.xml"/><Relationship Id="rId88" Type="http://schemas.openxmlformats.org/officeDocument/2006/relationships/chart" Target="charts/chart47.xml"/><Relationship Id="rId111" Type="http://schemas.openxmlformats.org/officeDocument/2006/relationships/chart" Target="charts/chart69.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3" Type="http://schemas.openxmlformats.org/officeDocument/2006/relationships/hyperlink" Target="https://www.fairwork.gov.au/pay/minimum-wages" TargetMode="External"/><Relationship Id="rId2" Type="http://schemas.openxmlformats.org/officeDocument/2006/relationships/hyperlink" Target="https://www.smartraveller.gov.au/news-and-updates/covid-19-travel-advice-level-changes" TargetMode="External"/><Relationship Id="rId1" Type="http://schemas.openxmlformats.org/officeDocument/2006/relationships/hyperlink" Target="https://www.who.int/emergencies/diseases/novel-coronavirus-2019/interactive-timelin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ABS%20&amp;%20other\WHM%202013-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2%20Jobs%20pay,%20hours,%20week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Austrade%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2%20Jobs%20pay,%20hours,%20week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Updated%20in%20revised%20report\Job%20Durat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2%20Jobs%20pay,%20hours,%20week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2%20Jobs%20pay,%20hours,%20week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isd.ad.flinders.edu.au\Shares\CBGL-AITI\01%20Current%20Projects\Austrade%20WHM%20(450.42973)\7%20Data\3%20Excel%20results\Qx.12%20Jobs%20pay,%20hours,%20week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Austrade%20(all)%20analysi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8%20Total%20Expenditur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8%20Total%20Expenditur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8%20Total%20Expenditur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8%20Total%20Expenditur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20%20Accommodation%20type.xlsx" TargetMode="External"/><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20%20Accommodation%20type.xlsx" TargetMode="External"/><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20%20Accommodation%20type.xlsx" TargetMode="External"/><Relationship Id="rId2" Type="http://schemas.microsoft.com/office/2011/relationships/chartColorStyle" Target="colors37.xml"/><Relationship Id="rId1" Type="http://schemas.microsoft.com/office/2011/relationships/chartStyle" Target="style37.xml"/></Relationships>
</file>

<file path=word/charts/_rels/chart3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21%20Accommodation%20arranged.xlsx" TargetMode="External"/><Relationship Id="rId2" Type="http://schemas.microsoft.com/office/2011/relationships/chartColorStyle" Target="colors38.xml"/><Relationship Id="rId1" Type="http://schemas.microsoft.com/office/2011/relationships/chartStyle" Target="style38.xml"/></Relationships>
</file>

<file path=word/charts/_rels/chart3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4%20On%20the%20job%20training.xlsx" TargetMode="External"/><Relationship Id="rId2" Type="http://schemas.microsoft.com/office/2011/relationships/chartColorStyle" Target="colors39.xml"/><Relationship Id="rId1" Type="http://schemas.microsoft.com/office/2011/relationships/chartStyle" Target="style39.xml"/></Relationships>
</file>

<file path=word/charts/_rels/chart3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6%20Study%20Expenditure.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Austrade%20dat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6%20Study%20Expenditure.xlsx" TargetMode="External"/><Relationship Id="rId2" Type="http://schemas.microsoft.com/office/2011/relationships/chartColorStyle" Target="colors41.xml"/><Relationship Id="rId1" Type="http://schemas.microsoft.com/office/2011/relationships/chartStyle" Target="style41.xml"/></Relationships>
</file>

<file path=word/charts/_rels/chart4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7%20Qualifications.xlsx" TargetMode="External"/><Relationship Id="rId2" Type="http://schemas.microsoft.com/office/2011/relationships/chartColorStyle" Target="colors42.xml"/><Relationship Id="rId1" Type="http://schemas.microsoft.com/office/2011/relationships/chartStyle" Target="style42.xml"/></Relationships>
</file>

<file path=word/charts/_rels/chart4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7%20Qualifications.xlsx" TargetMode="External"/><Relationship Id="rId2" Type="http://schemas.microsoft.com/office/2011/relationships/chartColorStyle" Target="colors43.xml"/><Relationship Id="rId1" Type="http://schemas.microsoft.com/office/2011/relationships/chartStyle" Target="style43.xml"/></Relationships>
</file>

<file path=word/charts/_rels/chart4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x13%20Job%20satisfcation.xlsx" TargetMode="External"/><Relationship Id="rId2" Type="http://schemas.microsoft.com/office/2011/relationships/chartColorStyle" Target="colors44.xml"/><Relationship Id="rId1" Type="http://schemas.microsoft.com/office/2011/relationships/chartStyle" Target="style44.xml"/></Relationships>
</file>

<file path=word/charts/_rels/chart4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13%20Job%20satisfaction.xlsx" TargetMode="External"/><Relationship Id="rId2" Type="http://schemas.microsoft.com/office/2011/relationships/chartColorStyle" Target="colors45.xml"/><Relationship Id="rId1" Type="http://schemas.microsoft.com/office/2011/relationships/chartStyle" Target="style45.xml"/></Relationships>
</file>

<file path=word/charts/_rels/chart4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Updated%20in%20revised%20report\Q13%20Job%20satisfaction.xlsx" TargetMode="External"/><Relationship Id="rId2" Type="http://schemas.microsoft.com/office/2011/relationships/chartColorStyle" Target="colors46.xml"/><Relationship Id="rId1" Type="http://schemas.microsoft.com/office/2011/relationships/chartStyle" Target="style46.xml"/></Relationships>
</file>

<file path=word/charts/_rels/chart4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47.xml"/><Relationship Id="rId1" Type="http://schemas.microsoft.com/office/2011/relationships/chartStyle" Target="style47.xml"/></Relationships>
</file>

<file path=word/charts/_rels/chart4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48.xml"/><Relationship Id="rId1" Type="http://schemas.microsoft.com/office/2011/relationships/chartStyle" Target="style48.xml"/></Relationships>
</file>

<file path=word/charts/_rels/chart4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49.xml"/><Relationship Id="rId1" Type="http://schemas.microsoft.com/office/2011/relationships/chartStyle" Target="style49.xml"/></Relationships>
</file>

<file path=word/charts/_rels/chart4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0.xml"/><Relationship Id="rId1" Type="http://schemas.microsoft.com/office/2011/relationships/chartStyle" Target="style50.xml"/></Relationships>
</file>

<file path=word/charts/_rels/chart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12.9%20Educatio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1.xml"/><Relationship Id="rId1" Type="http://schemas.microsoft.com/office/2011/relationships/chartStyle" Target="style51.xml"/></Relationships>
</file>

<file path=word/charts/_rels/chart5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2.xml"/><Relationship Id="rId1" Type="http://schemas.microsoft.com/office/2011/relationships/chartStyle" Target="style52.xml"/></Relationships>
</file>

<file path=word/charts/_rels/chart5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3.xml"/><Relationship Id="rId1" Type="http://schemas.microsoft.com/office/2011/relationships/chartStyle" Target="style53.xml"/></Relationships>
</file>

<file path=word/charts/_rels/chart5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4.xml"/><Relationship Id="rId1" Type="http://schemas.microsoft.com/office/2011/relationships/chartStyle" Target="style54.xml"/></Relationships>
</file>

<file path=word/charts/_rels/chart5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5.xml"/><Relationship Id="rId1" Type="http://schemas.microsoft.com/office/2011/relationships/chartStyle" Target="style55.xml"/></Relationships>
</file>

<file path=word/charts/_rels/chart5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6.xml"/><Relationship Id="rId1" Type="http://schemas.microsoft.com/office/2011/relationships/chartStyle" Target="style56.xml"/></Relationships>
</file>

<file path=word/charts/_rels/chart5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7.xml"/><Relationship Id="rId1" Type="http://schemas.microsoft.com/office/2011/relationships/chartStyle" Target="style57.xml"/></Relationships>
</file>

<file path=word/charts/_rels/chart5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8.xml"/><Relationship Id="rId1" Type="http://schemas.microsoft.com/office/2011/relationships/chartStyle" Target="style58.xml"/></Relationships>
</file>

<file path=word/charts/_rels/chart5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12%20Visa.xlsx" TargetMode="External"/><Relationship Id="rId2" Type="http://schemas.microsoft.com/office/2011/relationships/chartColorStyle" Target="colors59.xml"/><Relationship Id="rId1" Type="http://schemas.microsoft.com/office/2011/relationships/chartStyle" Target="style59.xml"/></Relationships>
</file>

<file path=word/charts/_rels/chart5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a%20Employer%20data\3%20Employer%20spreadsheets\WHM%20Employer%20survey%20(March%202021).xlsx" TargetMode="External"/><Relationship Id="rId2" Type="http://schemas.microsoft.com/office/2011/relationships/chartColorStyle" Target="colors60.xml"/><Relationship Id="rId1" Type="http://schemas.microsoft.com/office/2011/relationships/chartStyle" Target="style60.xml"/></Relationships>
</file>

<file path=word/charts/_rels/chart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Austrade%20dat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1.xml"/><Relationship Id="rId1" Type="http://schemas.microsoft.com/office/2011/relationships/chartStyle" Target="style61.xml"/></Relationships>
</file>

<file path=word/charts/_rels/chart61.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2.xml"/><Relationship Id="rId1" Type="http://schemas.microsoft.com/office/2011/relationships/chartStyle" Target="style62.xml"/></Relationships>
</file>

<file path=word/charts/_rels/chart62.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3.xml"/><Relationship Id="rId1" Type="http://schemas.microsoft.com/office/2011/relationships/chartStyle" Target="style63.xml"/></Relationships>
</file>

<file path=word/charts/_rels/chart63.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4.xml"/><Relationship Id="rId1" Type="http://schemas.microsoft.com/office/2011/relationships/chartStyle" Target="style64.xml"/></Relationships>
</file>

<file path=word/charts/_rels/chart64.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a%20Employer%20data\3%20Employer%20spreadsheets\WHM%20Employer%20survey%20(March%202021).xlsx" TargetMode="External"/><Relationship Id="rId2" Type="http://schemas.microsoft.com/office/2011/relationships/chartColorStyle" Target="colors65.xml"/><Relationship Id="rId1" Type="http://schemas.microsoft.com/office/2011/relationships/chartStyle" Target="style65.xml"/></Relationships>
</file>

<file path=word/charts/_rels/chart65.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6.xml"/><Relationship Id="rId1" Type="http://schemas.microsoft.com/office/2011/relationships/chartStyle" Target="style66.xml"/></Relationships>
</file>

<file path=word/charts/_rels/chart66.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7.xml"/><Relationship Id="rId1" Type="http://schemas.microsoft.com/office/2011/relationships/chartStyle" Target="style67.xml"/></Relationships>
</file>

<file path=word/charts/_rels/chart6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68.xml"/><Relationship Id="rId1" Type="http://schemas.microsoft.com/office/2011/relationships/chartStyle" Target="style68.xml"/></Relationships>
</file>

<file path=word/charts/_rels/chart6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a%20Employer%20data\3%20Employer%20spreadsheets\WHM%20Employer%20survey%20(March%202021).xlsx" TargetMode="External"/><Relationship Id="rId2" Type="http://schemas.microsoft.com/office/2011/relationships/chartColorStyle" Target="colors69.xml"/><Relationship Id="rId1" Type="http://schemas.microsoft.com/office/2011/relationships/chartStyle" Target="style69.xml"/></Relationships>
</file>

<file path=word/charts/_rels/chart6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a%20Employer%20data\3%20Employer%20spreadsheets\WHM%20Employer%20survey%20(March%202021).xlsx" TargetMode="External"/><Relationship Id="rId2" Type="http://schemas.microsoft.com/office/2011/relationships/chartColorStyle" Target="colors70.xml"/><Relationship Id="rId1" Type="http://schemas.microsoft.com/office/2011/relationships/chartStyle" Target="style70.xml"/></Relationships>
</file>

<file path=word/charts/_rels/chart7.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Austrade%20(survey)%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7%20Data\3%20Excel%20results\Q3.5%20Worked,%20studied%20et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sd.ad.flinders.edu.au\Shares\CBGL-AITI\01%20Current%20Projects\Austrade%20WHM%20(450.42973)\7%20Data\3%20Excel%20results\QX.6%20Jobs%20by%20region%20(new).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S:\CBGL-AITI\01%20Current%20Projects\Austrade%20WHM%20(450.42973)\7%20Data\3%20Excel%20results\Q2.2%20States%20territories%20vis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Type!$A$2:$B$2</c:f>
              <c:strCache>
                <c:ptCount val="2"/>
                <c:pt idx="0">
                  <c:v>417 Working Holiday</c:v>
                </c:pt>
                <c:pt idx="1">
                  <c:v>First</c:v>
                </c:pt>
              </c:strCache>
            </c:strRef>
          </c:tx>
          <c:spPr>
            <a:solidFill>
              <a:schemeClr val="accent1">
                <a:lumMod val="50000"/>
              </a:schemeClr>
            </a:solidFill>
            <a:ln>
              <a:noFill/>
            </a:ln>
            <a:effectLst/>
          </c:spPr>
          <c:invertIfNegative val="0"/>
          <c:cat>
            <c:strRef>
              <c:f>Type!$C$1:$F$1</c:f>
              <c:strCache>
                <c:ptCount val="4"/>
                <c:pt idx="0">
                  <c:v>2017-18</c:v>
                </c:pt>
                <c:pt idx="1">
                  <c:v>2018-19</c:v>
                </c:pt>
                <c:pt idx="2">
                  <c:v>2019-20</c:v>
                </c:pt>
                <c:pt idx="3">
                  <c:v>Jul-Dec 2020</c:v>
                </c:pt>
              </c:strCache>
            </c:strRef>
          </c:cat>
          <c:val>
            <c:numRef>
              <c:f>Type!$C$2:$F$2</c:f>
              <c:numCache>
                <c:formatCode>General</c:formatCode>
                <c:ptCount val="4"/>
                <c:pt idx="0">
                  <c:v>152622</c:v>
                </c:pt>
                <c:pt idx="1">
                  <c:v>142805</c:v>
                </c:pt>
                <c:pt idx="2">
                  <c:v>92282</c:v>
                </c:pt>
                <c:pt idx="3">
                  <c:v>348</c:v>
                </c:pt>
              </c:numCache>
            </c:numRef>
          </c:val>
          <c:extLst>
            <c:ext xmlns:c16="http://schemas.microsoft.com/office/drawing/2014/chart" uri="{C3380CC4-5D6E-409C-BE32-E72D297353CC}">
              <c16:uniqueId val="{00000000-C211-402F-B320-967AB34366C3}"/>
            </c:ext>
          </c:extLst>
        </c:ser>
        <c:ser>
          <c:idx val="1"/>
          <c:order val="1"/>
          <c:tx>
            <c:strRef>
              <c:f>Type!$A$3:$B$3</c:f>
              <c:strCache>
                <c:ptCount val="2"/>
                <c:pt idx="0">
                  <c:v>417 Working Holiday</c:v>
                </c:pt>
                <c:pt idx="1">
                  <c:v>Second</c:v>
                </c:pt>
              </c:strCache>
            </c:strRef>
          </c:tx>
          <c:spPr>
            <a:solidFill>
              <a:schemeClr val="accent1"/>
            </a:solidFill>
            <a:ln>
              <a:noFill/>
            </a:ln>
            <a:effectLst/>
          </c:spPr>
          <c:invertIfNegative val="0"/>
          <c:cat>
            <c:strRef>
              <c:f>Type!$C$1:$F$1</c:f>
              <c:strCache>
                <c:ptCount val="4"/>
                <c:pt idx="0">
                  <c:v>2017-18</c:v>
                </c:pt>
                <c:pt idx="1">
                  <c:v>2018-19</c:v>
                </c:pt>
                <c:pt idx="2">
                  <c:v>2019-20</c:v>
                </c:pt>
                <c:pt idx="3">
                  <c:v>Jul-Dec 2020</c:v>
                </c:pt>
              </c:strCache>
            </c:strRef>
          </c:cat>
          <c:val>
            <c:numRef>
              <c:f>Type!$C$3:$F$3</c:f>
              <c:numCache>
                <c:formatCode>General</c:formatCode>
                <c:ptCount val="4"/>
                <c:pt idx="0">
                  <c:v>32828</c:v>
                </c:pt>
                <c:pt idx="1">
                  <c:v>37418</c:v>
                </c:pt>
                <c:pt idx="2">
                  <c:v>28316</c:v>
                </c:pt>
                <c:pt idx="3">
                  <c:v>12035</c:v>
                </c:pt>
              </c:numCache>
            </c:numRef>
          </c:val>
          <c:extLst>
            <c:ext xmlns:c16="http://schemas.microsoft.com/office/drawing/2014/chart" uri="{C3380CC4-5D6E-409C-BE32-E72D297353CC}">
              <c16:uniqueId val="{00000001-C211-402F-B320-967AB34366C3}"/>
            </c:ext>
          </c:extLst>
        </c:ser>
        <c:ser>
          <c:idx val="2"/>
          <c:order val="2"/>
          <c:tx>
            <c:strRef>
              <c:f>Type!$A$4:$B$4</c:f>
              <c:strCache>
                <c:ptCount val="2"/>
                <c:pt idx="0">
                  <c:v>417 Working Holiday</c:v>
                </c:pt>
                <c:pt idx="1">
                  <c:v>Third</c:v>
                </c:pt>
              </c:strCache>
            </c:strRef>
          </c:tx>
          <c:spPr>
            <a:solidFill>
              <a:schemeClr val="accent1">
                <a:lumMod val="20000"/>
                <a:lumOff val="80000"/>
              </a:schemeClr>
            </a:solidFill>
            <a:ln>
              <a:noFill/>
            </a:ln>
            <a:effectLst/>
          </c:spPr>
          <c:invertIfNegative val="0"/>
          <c:cat>
            <c:strRef>
              <c:f>Type!$C$1:$F$1</c:f>
              <c:strCache>
                <c:ptCount val="4"/>
                <c:pt idx="0">
                  <c:v>2017-18</c:v>
                </c:pt>
                <c:pt idx="1">
                  <c:v>2018-19</c:v>
                </c:pt>
                <c:pt idx="2">
                  <c:v>2019-20</c:v>
                </c:pt>
                <c:pt idx="3">
                  <c:v>Jul-Dec 2020</c:v>
                </c:pt>
              </c:strCache>
            </c:strRef>
          </c:cat>
          <c:val>
            <c:numRef>
              <c:f>Type!$C$4:$F$4</c:f>
              <c:numCache>
                <c:formatCode>General</c:formatCode>
                <c:ptCount val="4"/>
                <c:pt idx="2">
                  <c:v>2075</c:v>
                </c:pt>
                <c:pt idx="3">
                  <c:v>4042</c:v>
                </c:pt>
              </c:numCache>
            </c:numRef>
          </c:val>
          <c:extLst>
            <c:ext xmlns:c16="http://schemas.microsoft.com/office/drawing/2014/chart" uri="{C3380CC4-5D6E-409C-BE32-E72D297353CC}">
              <c16:uniqueId val="{00000002-C211-402F-B320-967AB34366C3}"/>
            </c:ext>
          </c:extLst>
        </c:ser>
        <c:ser>
          <c:idx val="3"/>
          <c:order val="3"/>
          <c:tx>
            <c:strRef>
              <c:f>Type!$A$5:$B$5</c:f>
              <c:strCache>
                <c:ptCount val="2"/>
                <c:pt idx="0">
                  <c:v>462 Work and Holiday</c:v>
                </c:pt>
                <c:pt idx="1">
                  <c:v>First</c:v>
                </c:pt>
              </c:strCache>
            </c:strRef>
          </c:tx>
          <c:spPr>
            <a:solidFill>
              <a:schemeClr val="accent2">
                <a:lumMod val="60000"/>
                <a:lumOff val="40000"/>
              </a:schemeClr>
            </a:solidFill>
            <a:ln>
              <a:noFill/>
            </a:ln>
            <a:effectLst/>
          </c:spPr>
          <c:invertIfNegative val="0"/>
          <c:cat>
            <c:strRef>
              <c:f>Type!$C$1:$F$1</c:f>
              <c:strCache>
                <c:ptCount val="4"/>
                <c:pt idx="0">
                  <c:v>2017-18</c:v>
                </c:pt>
                <c:pt idx="1">
                  <c:v>2018-19</c:v>
                </c:pt>
                <c:pt idx="2">
                  <c:v>2019-20</c:v>
                </c:pt>
                <c:pt idx="3">
                  <c:v>Jul-Dec 2020</c:v>
                </c:pt>
              </c:strCache>
            </c:strRef>
          </c:cat>
          <c:val>
            <c:numRef>
              <c:f>Type!$C$5:$F$5</c:f>
              <c:numCache>
                <c:formatCode>General</c:formatCode>
                <c:ptCount val="4"/>
                <c:pt idx="0">
                  <c:v>21667</c:v>
                </c:pt>
                <c:pt idx="1">
                  <c:v>23012</c:v>
                </c:pt>
                <c:pt idx="2">
                  <c:v>19845</c:v>
                </c:pt>
                <c:pt idx="3">
                  <c:v>83</c:v>
                </c:pt>
              </c:numCache>
            </c:numRef>
          </c:val>
          <c:extLst>
            <c:ext xmlns:c16="http://schemas.microsoft.com/office/drawing/2014/chart" uri="{C3380CC4-5D6E-409C-BE32-E72D297353CC}">
              <c16:uniqueId val="{00000003-C211-402F-B320-967AB34366C3}"/>
            </c:ext>
          </c:extLst>
        </c:ser>
        <c:ser>
          <c:idx val="4"/>
          <c:order val="4"/>
          <c:tx>
            <c:strRef>
              <c:f>Type!$A$6:$B$6</c:f>
              <c:strCache>
                <c:ptCount val="2"/>
                <c:pt idx="0">
                  <c:v>462 Work and Holiday</c:v>
                </c:pt>
                <c:pt idx="1">
                  <c:v>Second</c:v>
                </c:pt>
              </c:strCache>
            </c:strRef>
          </c:tx>
          <c:spPr>
            <a:solidFill>
              <a:schemeClr val="accent2"/>
            </a:solidFill>
            <a:ln>
              <a:noFill/>
            </a:ln>
            <a:effectLst/>
          </c:spPr>
          <c:invertIfNegative val="0"/>
          <c:cat>
            <c:strRef>
              <c:f>Type!$C$1:$F$1</c:f>
              <c:strCache>
                <c:ptCount val="4"/>
                <c:pt idx="0">
                  <c:v>2017-18</c:v>
                </c:pt>
                <c:pt idx="1">
                  <c:v>2018-19</c:v>
                </c:pt>
                <c:pt idx="2">
                  <c:v>2019-20</c:v>
                </c:pt>
                <c:pt idx="3">
                  <c:v>Jul-Dec 2020</c:v>
                </c:pt>
              </c:strCache>
            </c:strRef>
          </c:cat>
          <c:val>
            <c:numRef>
              <c:f>Type!$C$6:$F$6</c:f>
              <c:numCache>
                <c:formatCode>General</c:formatCode>
                <c:ptCount val="4"/>
                <c:pt idx="0">
                  <c:v>3339</c:v>
                </c:pt>
                <c:pt idx="1">
                  <c:v>5801</c:v>
                </c:pt>
                <c:pt idx="2">
                  <c:v>6128</c:v>
                </c:pt>
                <c:pt idx="3">
                  <c:v>3594</c:v>
                </c:pt>
              </c:numCache>
            </c:numRef>
          </c:val>
          <c:extLst>
            <c:ext xmlns:c16="http://schemas.microsoft.com/office/drawing/2014/chart" uri="{C3380CC4-5D6E-409C-BE32-E72D297353CC}">
              <c16:uniqueId val="{00000004-C211-402F-B320-967AB34366C3}"/>
            </c:ext>
          </c:extLst>
        </c:ser>
        <c:ser>
          <c:idx val="5"/>
          <c:order val="5"/>
          <c:tx>
            <c:strRef>
              <c:f>Type!$A$7:$B$7</c:f>
              <c:strCache>
                <c:ptCount val="2"/>
                <c:pt idx="0">
                  <c:v>462 Work and Holiday</c:v>
                </c:pt>
                <c:pt idx="1">
                  <c:v>Third</c:v>
                </c:pt>
              </c:strCache>
            </c:strRef>
          </c:tx>
          <c:spPr>
            <a:solidFill>
              <a:schemeClr val="accent2">
                <a:lumMod val="50000"/>
              </a:schemeClr>
            </a:solidFill>
            <a:ln>
              <a:noFill/>
            </a:ln>
            <a:effectLst/>
          </c:spPr>
          <c:invertIfNegative val="0"/>
          <c:cat>
            <c:strRef>
              <c:f>Type!$C$1:$F$1</c:f>
              <c:strCache>
                <c:ptCount val="4"/>
                <c:pt idx="0">
                  <c:v>2017-18</c:v>
                </c:pt>
                <c:pt idx="1">
                  <c:v>2018-19</c:v>
                </c:pt>
                <c:pt idx="2">
                  <c:v>2019-20</c:v>
                </c:pt>
                <c:pt idx="3">
                  <c:v>Jul-Dec 2020</c:v>
                </c:pt>
              </c:strCache>
            </c:strRef>
          </c:cat>
          <c:val>
            <c:numRef>
              <c:f>Type!$C$7:$F$7</c:f>
              <c:numCache>
                <c:formatCode>General</c:formatCode>
                <c:ptCount val="4"/>
                <c:pt idx="2">
                  <c:v>603</c:v>
                </c:pt>
                <c:pt idx="3">
                  <c:v>837</c:v>
                </c:pt>
              </c:numCache>
            </c:numRef>
          </c:val>
          <c:extLst>
            <c:ext xmlns:c16="http://schemas.microsoft.com/office/drawing/2014/chart" uri="{C3380CC4-5D6E-409C-BE32-E72D297353CC}">
              <c16:uniqueId val="{00000005-C211-402F-B320-967AB34366C3}"/>
            </c:ext>
          </c:extLst>
        </c:ser>
        <c:dLbls>
          <c:showLegendKey val="0"/>
          <c:showVal val="0"/>
          <c:showCatName val="0"/>
          <c:showSerName val="0"/>
          <c:showPercent val="0"/>
          <c:showBubbleSize val="0"/>
        </c:dLbls>
        <c:gapWidth val="60"/>
        <c:overlap val="100"/>
        <c:axId val="370741528"/>
        <c:axId val="370739176"/>
      </c:barChart>
      <c:catAx>
        <c:axId val="37074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9176"/>
        <c:crosses val="autoZero"/>
        <c:auto val="1"/>
        <c:lblAlgn val="ctr"/>
        <c:lblOffset val="100"/>
        <c:noMultiLvlLbl val="0"/>
      </c:catAx>
      <c:valAx>
        <c:axId val="370739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41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0476366611939956E-2"/>
          <c:y val="0.16614143737650774"/>
          <c:w val="0.88242888872216918"/>
          <c:h val="0.74820650929165444"/>
        </c:manualLayout>
      </c:layout>
      <c:barChart>
        <c:barDir val="col"/>
        <c:grouping val="stacked"/>
        <c:varyColors val="0"/>
        <c:ser>
          <c:idx val="0"/>
          <c:order val="0"/>
          <c:tx>
            <c:strRef>
              <c:f>'Pay per hour'!$M$42</c:f>
              <c:strCache>
                <c:ptCount val="1"/>
                <c:pt idx="0">
                  <c:v>Less than $15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hour'!$N$42:$U$42</c:f>
              <c:numCache>
                <c:formatCode>0.0%</c:formatCode>
                <c:ptCount val="8"/>
                <c:pt idx="0">
                  <c:v>0.12946979038224413</c:v>
                </c:pt>
                <c:pt idx="1">
                  <c:v>0.13098174642328564</c:v>
                </c:pt>
                <c:pt idx="2">
                  <c:v>0.15853907365843706</c:v>
                </c:pt>
                <c:pt idx="3">
                  <c:v>0.16912751677852347</c:v>
                </c:pt>
                <c:pt idx="4">
                  <c:v>0.12372505543237251</c:v>
                </c:pt>
                <c:pt idx="5">
                  <c:v>0.13502109704641352</c:v>
                </c:pt>
                <c:pt idx="6">
                  <c:v>5.6105610561056111E-2</c:v>
                </c:pt>
                <c:pt idx="7">
                  <c:v>0.32926829268292684</c:v>
                </c:pt>
              </c:numCache>
            </c:numRef>
          </c:val>
          <c:extLst>
            <c:ext xmlns:c16="http://schemas.microsoft.com/office/drawing/2014/chart" uri="{C3380CC4-5D6E-409C-BE32-E72D297353CC}">
              <c16:uniqueId val="{00000000-6BD5-47DA-AB23-C4CDA9B8C853}"/>
            </c:ext>
          </c:extLst>
        </c:ser>
        <c:ser>
          <c:idx val="1"/>
          <c:order val="1"/>
          <c:tx>
            <c:strRef>
              <c:f>'Pay per hour'!$M$43</c:f>
              <c:strCache>
                <c:ptCount val="1"/>
                <c:pt idx="0">
                  <c:v>$15 to less than $20</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hour'!$N$43:$U$43</c:f>
              <c:numCache>
                <c:formatCode>0.0%</c:formatCode>
                <c:ptCount val="8"/>
                <c:pt idx="0">
                  <c:v>0.19667077681874229</c:v>
                </c:pt>
                <c:pt idx="1">
                  <c:v>0.20621608288110507</c:v>
                </c:pt>
                <c:pt idx="2">
                  <c:v>0.21526219138951233</c:v>
                </c:pt>
                <c:pt idx="3">
                  <c:v>0.2</c:v>
                </c:pt>
                <c:pt idx="4">
                  <c:v>0.17028824833702882</c:v>
                </c:pt>
                <c:pt idx="5">
                  <c:v>0.2109704641350211</c:v>
                </c:pt>
                <c:pt idx="6">
                  <c:v>0.13366336633663367</c:v>
                </c:pt>
                <c:pt idx="7">
                  <c:v>0.10975609756097561</c:v>
                </c:pt>
              </c:numCache>
            </c:numRef>
          </c:val>
          <c:extLst>
            <c:ext xmlns:c16="http://schemas.microsoft.com/office/drawing/2014/chart" uri="{C3380CC4-5D6E-409C-BE32-E72D297353CC}">
              <c16:uniqueId val="{00000001-6BD5-47DA-AB23-C4CDA9B8C853}"/>
            </c:ext>
          </c:extLst>
        </c:ser>
        <c:ser>
          <c:idx val="2"/>
          <c:order val="2"/>
          <c:tx>
            <c:strRef>
              <c:f>'Pay per hour'!$M$44</c:f>
              <c:strCache>
                <c:ptCount val="1"/>
                <c:pt idx="0">
                  <c:v>$20 to less than $25</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hour'!$N$44:$U$44</c:f>
              <c:numCache>
                <c:formatCode>0.0%</c:formatCode>
                <c:ptCount val="8"/>
                <c:pt idx="0">
                  <c:v>0.38429921907110565</c:v>
                </c:pt>
                <c:pt idx="1">
                  <c:v>0.39985199802664034</c:v>
                </c:pt>
                <c:pt idx="2">
                  <c:v>0.47786166088553356</c:v>
                </c:pt>
                <c:pt idx="3">
                  <c:v>0.41476510067114092</c:v>
                </c:pt>
                <c:pt idx="4">
                  <c:v>0.47361419068736144</c:v>
                </c:pt>
                <c:pt idx="5">
                  <c:v>0.54711673699015473</c:v>
                </c:pt>
                <c:pt idx="6">
                  <c:v>0.49669966996699672</c:v>
                </c:pt>
                <c:pt idx="7">
                  <c:v>0.37195121951219512</c:v>
                </c:pt>
              </c:numCache>
            </c:numRef>
          </c:val>
          <c:extLst>
            <c:ext xmlns:c16="http://schemas.microsoft.com/office/drawing/2014/chart" uri="{C3380CC4-5D6E-409C-BE32-E72D297353CC}">
              <c16:uniqueId val="{00000002-6BD5-47DA-AB23-C4CDA9B8C853}"/>
            </c:ext>
          </c:extLst>
        </c:ser>
        <c:ser>
          <c:idx val="3"/>
          <c:order val="3"/>
          <c:tx>
            <c:strRef>
              <c:f>'Pay per hour'!$M$45</c:f>
              <c:strCache>
                <c:ptCount val="1"/>
                <c:pt idx="0">
                  <c:v>$25 to less than $30</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hour'!$N$45:$U$45</c:f>
              <c:numCache>
                <c:formatCode>0.0%</c:formatCode>
                <c:ptCount val="8"/>
                <c:pt idx="0">
                  <c:v>0.20448006576243322</c:v>
                </c:pt>
                <c:pt idx="1">
                  <c:v>0.18450912678835718</c:v>
                </c:pt>
                <c:pt idx="2">
                  <c:v>0.11834319526627218</c:v>
                </c:pt>
                <c:pt idx="3">
                  <c:v>0.16241610738255033</c:v>
                </c:pt>
                <c:pt idx="4">
                  <c:v>0.17250554323725056</c:v>
                </c:pt>
                <c:pt idx="5">
                  <c:v>8.0168776371308023E-2</c:v>
                </c:pt>
                <c:pt idx="6">
                  <c:v>0.25247524752475248</c:v>
                </c:pt>
                <c:pt idx="7">
                  <c:v>0.13414634146341464</c:v>
                </c:pt>
              </c:numCache>
            </c:numRef>
          </c:val>
          <c:extLst>
            <c:ext xmlns:c16="http://schemas.microsoft.com/office/drawing/2014/chart" uri="{C3380CC4-5D6E-409C-BE32-E72D297353CC}">
              <c16:uniqueId val="{00000003-6BD5-47DA-AB23-C4CDA9B8C853}"/>
            </c:ext>
          </c:extLst>
        </c:ser>
        <c:ser>
          <c:idx val="4"/>
          <c:order val="4"/>
          <c:tx>
            <c:strRef>
              <c:f>'Pay per hour'!$M$46</c:f>
              <c:strCache>
                <c:ptCount val="1"/>
                <c:pt idx="0">
                  <c:v>$30 to less than $40</c:v>
                </c:pt>
              </c:strCache>
            </c:strRef>
          </c:tx>
          <c:spPr>
            <a:solidFill>
              <a:schemeClr val="accent2">
                <a:tint val="7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6BD5-47DA-AB23-C4CDA9B8C853}"/>
                </c:ext>
              </c:extLst>
            </c:dLbl>
            <c:dLbl>
              <c:idx val="3"/>
              <c:delete val="1"/>
              <c:extLst>
                <c:ext xmlns:c15="http://schemas.microsoft.com/office/drawing/2012/chart" uri="{CE6537A1-D6FC-4f65-9D91-7224C49458BB}"/>
                <c:ext xmlns:c16="http://schemas.microsoft.com/office/drawing/2014/chart" uri="{C3380CC4-5D6E-409C-BE32-E72D297353CC}">
                  <c16:uniqueId val="{00000007-6BD5-47DA-AB23-C4CDA9B8C853}"/>
                </c:ext>
              </c:extLst>
            </c:dLbl>
            <c:dLbl>
              <c:idx val="4"/>
              <c:delete val="1"/>
              <c:extLst>
                <c:ext xmlns:c15="http://schemas.microsoft.com/office/drawing/2012/chart" uri="{CE6537A1-D6FC-4f65-9D91-7224C49458BB}"/>
                <c:ext xmlns:c16="http://schemas.microsoft.com/office/drawing/2014/chart" uri="{C3380CC4-5D6E-409C-BE32-E72D297353CC}">
                  <c16:uniqueId val="{00000008-6BD5-47DA-AB23-C4CDA9B8C853}"/>
                </c:ext>
              </c:extLst>
            </c:dLbl>
            <c:dLbl>
              <c:idx val="5"/>
              <c:delete val="1"/>
              <c:extLst>
                <c:ext xmlns:c15="http://schemas.microsoft.com/office/drawing/2012/chart" uri="{CE6537A1-D6FC-4f65-9D91-7224C49458BB}"/>
                <c:ext xmlns:c16="http://schemas.microsoft.com/office/drawing/2014/chart" uri="{C3380CC4-5D6E-409C-BE32-E72D297353CC}">
                  <c16:uniqueId val="{00000009-6BD5-47DA-AB23-C4CDA9B8C853}"/>
                </c:ext>
              </c:extLst>
            </c:dLbl>
            <c:dLbl>
              <c:idx val="7"/>
              <c:delete val="1"/>
              <c:extLst>
                <c:ext xmlns:c15="http://schemas.microsoft.com/office/drawing/2012/chart" uri="{CE6537A1-D6FC-4f65-9D91-7224C49458BB}"/>
                <c:ext xmlns:c16="http://schemas.microsoft.com/office/drawing/2014/chart" uri="{C3380CC4-5D6E-409C-BE32-E72D297353CC}">
                  <c16:uniqueId val="{0000000A-6BD5-47DA-AB23-C4CDA9B8C8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hour'!$N$46:$U$46</c:f>
              <c:numCache>
                <c:formatCode>0.0%</c:formatCode>
                <c:ptCount val="8"/>
                <c:pt idx="0">
                  <c:v>6.6789971228935471E-2</c:v>
                </c:pt>
                <c:pt idx="1">
                  <c:v>5.7967439565860882E-2</c:v>
                </c:pt>
                <c:pt idx="2">
                  <c:v>2.2648439094062438E-2</c:v>
                </c:pt>
                <c:pt idx="3">
                  <c:v>4.6979865771812082E-2</c:v>
                </c:pt>
                <c:pt idx="4">
                  <c:v>4.6563192904656318E-2</c:v>
                </c:pt>
                <c:pt idx="5">
                  <c:v>2.2503516174402251E-2</c:v>
                </c:pt>
                <c:pt idx="6">
                  <c:v>5.4455445544554448E-2</c:v>
                </c:pt>
                <c:pt idx="7">
                  <c:v>3.6585365853658541E-2</c:v>
                </c:pt>
              </c:numCache>
            </c:numRef>
          </c:val>
          <c:extLst>
            <c:ext xmlns:c16="http://schemas.microsoft.com/office/drawing/2014/chart" uri="{C3380CC4-5D6E-409C-BE32-E72D297353CC}">
              <c16:uniqueId val="{00000004-6BD5-47DA-AB23-C4CDA9B8C853}"/>
            </c:ext>
          </c:extLst>
        </c:ser>
        <c:ser>
          <c:idx val="5"/>
          <c:order val="5"/>
          <c:tx>
            <c:strRef>
              <c:f>'Pay per hour'!$M$47</c:f>
              <c:strCache>
                <c:ptCount val="1"/>
                <c:pt idx="0">
                  <c:v>$40 and higher</c:v>
                </c:pt>
              </c:strCache>
            </c:strRef>
          </c:tx>
          <c:spPr>
            <a:solidFill>
              <a:schemeClr val="accent2">
                <a:tint val="50000"/>
              </a:schemeClr>
            </a:solidFill>
            <a:ln>
              <a:noFill/>
            </a:ln>
            <a:effectLst/>
          </c:spPr>
          <c:invertIfNegative val="0"/>
          <c:cat>
            <c:strRef>
              <c:f>'Pay per hour'!$N$41:$U$41</c:f>
              <c:strCache>
                <c:ptCount val="8"/>
                <c:pt idx="0">
                  <c:v>NSW (n=4866)</c:v>
                </c:pt>
                <c:pt idx="1">
                  <c:v>VIC (n=4054)</c:v>
                </c:pt>
                <c:pt idx="2">
                  <c:v>Qld (n=4901)</c:v>
                </c:pt>
                <c:pt idx="3">
                  <c:v>SA (n=745)</c:v>
                </c:pt>
                <c:pt idx="4">
                  <c:v>WA (n=2255)</c:v>
                </c:pt>
                <c:pt idx="5">
                  <c:v>Tas (n=711)</c:v>
                </c:pt>
                <c:pt idx="6">
                  <c:v>NT (n=606)</c:v>
                </c:pt>
                <c:pt idx="7">
                  <c:v>ACT (n=164)</c:v>
                </c:pt>
              </c:strCache>
            </c:strRef>
          </c:cat>
          <c:val>
            <c:numRef>
              <c:f>'Pay per hour'!$N$47:$U$47</c:f>
              <c:numCache>
                <c:formatCode>0.0%</c:formatCode>
                <c:ptCount val="8"/>
                <c:pt idx="0">
                  <c:v>1.8290176736539251E-2</c:v>
                </c:pt>
                <c:pt idx="1">
                  <c:v>2.0473606314750863E-2</c:v>
                </c:pt>
                <c:pt idx="2">
                  <c:v>7.3454397061824116E-3</c:v>
                </c:pt>
                <c:pt idx="3">
                  <c:v>6.7114093959731551E-3</c:v>
                </c:pt>
                <c:pt idx="4">
                  <c:v>1.3303769401330379E-2</c:v>
                </c:pt>
                <c:pt idx="5">
                  <c:v>4.2194092827004225E-3</c:v>
                </c:pt>
                <c:pt idx="6">
                  <c:v>6.6006600660066007E-3</c:v>
                </c:pt>
                <c:pt idx="7">
                  <c:v>1.8292682926829271E-2</c:v>
                </c:pt>
              </c:numCache>
            </c:numRef>
          </c:val>
          <c:extLst>
            <c:ext xmlns:c16="http://schemas.microsoft.com/office/drawing/2014/chart" uri="{C3380CC4-5D6E-409C-BE32-E72D297353CC}">
              <c16:uniqueId val="{00000005-6BD5-47DA-AB23-C4CDA9B8C853}"/>
            </c:ext>
          </c:extLst>
        </c:ser>
        <c:dLbls>
          <c:showLegendKey val="0"/>
          <c:showVal val="0"/>
          <c:showCatName val="0"/>
          <c:showSerName val="0"/>
          <c:showPercent val="0"/>
          <c:showBubbleSize val="0"/>
        </c:dLbls>
        <c:gapWidth val="60"/>
        <c:overlap val="100"/>
        <c:axId val="370735648"/>
        <c:axId val="370729376"/>
      </c:barChart>
      <c:catAx>
        <c:axId val="3707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9376"/>
        <c:crosses val="autoZero"/>
        <c:auto val="1"/>
        <c:lblAlgn val="ctr"/>
        <c:lblOffset val="100"/>
        <c:noMultiLvlLbl val="0"/>
      </c:catAx>
      <c:valAx>
        <c:axId val="370729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5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01870711208736E-2"/>
          <c:y val="0.11929094170688341"/>
          <c:w val="0.917824098710462"/>
          <c:h val="0.7731398431546862"/>
        </c:manualLayout>
      </c:layout>
      <c:barChart>
        <c:barDir val="col"/>
        <c:grouping val="clustered"/>
        <c:varyColors val="0"/>
        <c:ser>
          <c:idx val="0"/>
          <c:order val="0"/>
          <c:tx>
            <c:strRef>
              <c:f>'Average pay'!$C$2</c:f>
              <c:strCache>
                <c:ptCount val="1"/>
                <c:pt idx="0">
                  <c:v>Average pay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pay'!$B$3:$B$11</c:f>
              <c:strCache>
                <c:ptCount val="9"/>
                <c:pt idx="0">
                  <c:v>NSW</c:v>
                </c:pt>
                <c:pt idx="1">
                  <c:v>Vic</c:v>
                </c:pt>
                <c:pt idx="2">
                  <c:v>Qld</c:v>
                </c:pt>
                <c:pt idx="3">
                  <c:v>SA</c:v>
                </c:pt>
                <c:pt idx="4">
                  <c:v>WA</c:v>
                </c:pt>
                <c:pt idx="5">
                  <c:v>Tas</c:v>
                </c:pt>
                <c:pt idx="6">
                  <c:v>NT</c:v>
                </c:pt>
                <c:pt idx="7">
                  <c:v>ACT</c:v>
                </c:pt>
                <c:pt idx="8">
                  <c:v>Australia</c:v>
                </c:pt>
              </c:strCache>
            </c:strRef>
          </c:cat>
          <c:val>
            <c:numRef>
              <c:f>'Average pay'!$C$3:$C$11</c:f>
              <c:numCache>
                <c:formatCode>_("$"* #,##0.00_);_("$"* \(#,##0.00\);_("$"* "-"??_);_(@_)</c:formatCode>
                <c:ptCount val="9"/>
                <c:pt idx="0">
                  <c:v>22.84</c:v>
                </c:pt>
                <c:pt idx="1">
                  <c:v>22.6</c:v>
                </c:pt>
                <c:pt idx="2">
                  <c:v>21.03</c:v>
                </c:pt>
                <c:pt idx="3">
                  <c:v>21.45</c:v>
                </c:pt>
                <c:pt idx="4">
                  <c:v>22.5</c:v>
                </c:pt>
                <c:pt idx="5">
                  <c:v>21.4</c:v>
                </c:pt>
                <c:pt idx="6">
                  <c:v>24</c:v>
                </c:pt>
                <c:pt idx="7">
                  <c:v>19.440000000000001</c:v>
                </c:pt>
                <c:pt idx="8">
                  <c:v>22.15</c:v>
                </c:pt>
              </c:numCache>
            </c:numRef>
          </c:val>
          <c:extLst>
            <c:ext xmlns:c16="http://schemas.microsoft.com/office/drawing/2014/chart" uri="{C3380CC4-5D6E-409C-BE32-E72D297353CC}">
              <c16:uniqueId val="{00000000-2C5F-4405-B4E2-5FB5B0B6B05B}"/>
            </c:ext>
          </c:extLst>
        </c:ser>
        <c:dLbls>
          <c:showLegendKey val="0"/>
          <c:showVal val="0"/>
          <c:showCatName val="0"/>
          <c:showSerName val="0"/>
          <c:showPercent val="0"/>
          <c:showBubbleSize val="0"/>
        </c:dLbls>
        <c:gapWidth val="60"/>
        <c:overlap val="-27"/>
        <c:axId val="370736824"/>
        <c:axId val="370727416"/>
      </c:barChart>
      <c:lineChart>
        <c:grouping val="standard"/>
        <c:varyColors val="0"/>
        <c:ser>
          <c:idx val="1"/>
          <c:order val="1"/>
          <c:tx>
            <c:strRef>
              <c:f>'Average pay'!$D$2</c:f>
              <c:strCache>
                <c:ptCount val="1"/>
                <c:pt idx="0">
                  <c:v>Average pay rate &gt; $0/hour</c:v>
                </c:pt>
              </c:strCache>
            </c:strRef>
          </c:tx>
          <c:spPr>
            <a:ln w="28575" cap="rnd">
              <a:noFill/>
              <a:round/>
            </a:ln>
            <a:effectLst/>
          </c:spPr>
          <c:marker>
            <c:symbol val="diamond"/>
            <c:size val="5"/>
            <c:spPr>
              <a:solidFill>
                <a:schemeClr val="accent2">
                  <a:lumMod val="50000"/>
                </a:schemeClr>
              </a:solidFill>
              <a:ln w="9525">
                <a:solidFill>
                  <a:schemeClr val="accent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pay'!$B$3:$B$11</c:f>
              <c:strCache>
                <c:ptCount val="9"/>
                <c:pt idx="0">
                  <c:v>NSW</c:v>
                </c:pt>
                <c:pt idx="1">
                  <c:v>Vic</c:v>
                </c:pt>
                <c:pt idx="2">
                  <c:v>Qld</c:v>
                </c:pt>
                <c:pt idx="3">
                  <c:v>SA</c:v>
                </c:pt>
                <c:pt idx="4">
                  <c:v>WA</c:v>
                </c:pt>
                <c:pt idx="5">
                  <c:v>Tas</c:v>
                </c:pt>
                <c:pt idx="6">
                  <c:v>NT</c:v>
                </c:pt>
                <c:pt idx="7">
                  <c:v>ACT</c:v>
                </c:pt>
                <c:pt idx="8">
                  <c:v>Australia</c:v>
                </c:pt>
              </c:strCache>
            </c:strRef>
          </c:cat>
          <c:val>
            <c:numRef>
              <c:f>'Average pay'!$D$3:$D$11</c:f>
              <c:numCache>
                <c:formatCode>_("$"* #,##0.00_);_("$"* \(#,##0.00\);_("$"* "-"??_);_(@_)</c:formatCode>
                <c:ptCount val="9"/>
                <c:pt idx="0">
                  <c:v>23.29</c:v>
                </c:pt>
                <c:pt idx="1">
                  <c:v>23.04</c:v>
                </c:pt>
                <c:pt idx="2">
                  <c:v>21.63</c:v>
                </c:pt>
                <c:pt idx="3">
                  <c:v>22.29</c:v>
                </c:pt>
                <c:pt idx="4">
                  <c:v>22.92</c:v>
                </c:pt>
                <c:pt idx="5">
                  <c:v>21.96</c:v>
                </c:pt>
                <c:pt idx="6">
                  <c:v>24.24</c:v>
                </c:pt>
                <c:pt idx="7">
                  <c:v>20.440000000000001</c:v>
                </c:pt>
                <c:pt idx="8">
                  <c:v>22.66</c:v>
                </c:pt>
              </c:numCache>
            </c:numRef>
          </c:val>
          <c:smooth val="0"/>
          <c:extLst>
            <c:ext xmlns:c16="http://schemas.microsoft.com/office/drawing/2014/chart" uri="{C3380CC4-5D6E-409C-BE32-E72D297353CC}">
              <c16:uniqueId val="{00000001-2C5F-4405-B4E2-5FB5B0B6B05B}"/>
            </c:ext>
          </c:extLst>
        </c:ser>
        <c:dLbls>
          <c:showLegendKey val="0"/>
          <c:showVal val="0"/>
          <c:showCatName val="0"/>
          <c:showSerName val="0"/>
          <c:showPercent val="0"/>
          <c:showBubbleSize val="0"/>
        </c:dLbls>
        <c:marker val="1"/>
        <c:smooth val="0"/>
        <c:axId val="370736824"/>
        <c:axId val="370727416"/>
      </c:lineChart>
      <c:catAx>
        <c:axId val="37073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7416"/>
        <c:crosses val="autoZero"/>
        <c:auto val="1"/>
        <c:lblAlgn val="ctr"/>
        <c:lblOffset val="100"/>
        <c:noMultiLvlLbl val="0"/>
      </c:catAx>
      <c:valAx>
        <c:axId val="37072741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6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339305555555556"/>
          <c:y val="0.27147376489443242"/>
          <c:w val="0.78263645833333328"/>
          <c:h val="0.55395164100062722"/>
        </c:manualLayout>
      </c:layout>
      <c:barChart>
        <c:barDir val="bar"/>
        <c:grouping val="stacked"/>
        <c:varyColors val="0"/>
        <c:ser>
          <c:idx val="0"/>
          <c:order val="0"/>
          <c:tx>
            <c:strRef>
              <c:f>Gender!$G$18</c:f>
              <c:strCache>
                <c:ptCount val="1"/>
                <c:pt idx="0">
                  <c:v>Less than $15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Gender!$H$17:$I$17</c:f>
              <c:strCache>
                <c:ptCount val="2"/>
                <c:pt idx="0">
                  <c:v>Male (Av. $23.26)</c:v>
                </c:pt>
                <c:pt idx="1">
                  <c:v>Female (Av. $21.44)</c:v>
                </c:pt>
              </c:strCache>
            </c:strRef>
          </c:cat>
          <c:val>
            <c:numRef>
              <c:f>Gender!$H$18:$I$18</c:f>
              <c:numCache>
                <c:formatCode>0.0%</c:formatCode>
                <c:ptCount val="2"/>
                <c:pt idx="0">
                  <c:v>9.1527777777777791E-2</c:v>
                </c:pt>
                <c:pt idx="1">
                  <c:v>0.16825797153666006</c:v>
                </c:pt>
              </c:numCache>
            </c:numRef>
          </c:val>
          <c:extLst>
            <c:ext xmlns:c16="http://schemas.microsoft.com/office/drawing/2014/chart" uri="{C3380CC4-5D6E-409C-BE32-E72D297353CC}">
              <c16:uniqueId val="{00000000-F56F-4790-BF96-8483ECA8A494}"/>
            </c:ext>
          </c:extLst>
        </c:ser>
        <c:ser>
          <c:idx val="1"/>
          <c:order val="1"/>
          <c:tx>
            <c:strRef>
              <c:f>Gender!$G$19</c:f>
              <c:strCache>
                <c:ptCount val="1"/>
                <c:pt idx="0">
                  <c:v>$15 to less than $20</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Gender!$H$17:$I$17</c:f>
              <c:strCache>
                <c:ptCount val="2"/>
                <c:pt idx="0">
                  <c:v>Male (Av. $23.26)</c:v>
                </c:pt>
                <c:pt idx="1">
                  <c:v>Female (Av. $21.44)</c:v>
                </c:pt>
              </c:strCache>
            </c:strRef>
          </c:cat>
          <c:val>
            <c:numRef>
              <c:f>Gender!$H$19:$I$19</c:f>
              <c:numCache>
                <c:formatCode>0.0%</c:formatCode>
                <c:ptCount val="2"/>
                <c:pt idx="0">
                  <c:v>0.18263888888888888</c:v>
                </c:pt>
                <c:pt idx="1">
                  <c:v>0.20852098720951179</c:v>
                </c:pt>
              </c:numCache>
            </c:numRef>
          </c:val>
          <c:extLst>
            <c:ext xmlns:c16="http://schemas.microsoft.com/office/drawing/2014/chart" uri="{C3380CC4-5D6E-409C-BE32-E72D297353CC}">
              <c16:uniqueId val="{00000001-F56F-4790-BF96-8483ECA8A494}"/>
            </c:ext>
          </c:extLst>
        </c:ser>
        <c:ser>
          <c:idx val="2"/>
          <c:order val="2"/>
          <c:tx>
            <c:strRef>
              <c:f>Gender!$G$20</c:f>
              <c:strCache>
                <c:ptCount val="1"/>
                <c:pt idx="0">
                  <c:v>$20 to less than $25</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Gender!$H$17:$I$17</c:f>
              <c:strCache>
                <c:ptCount val="2"/>
                <c:pt idx="0">
                  <c:v>Male (Av. $23.26)</c:v>
                </c:pt>
                <c:pt idx="1">
                  <c:v>Female (Av. $21.44)</c:v>
                </c:pt>
              </c:strCache>
            </c:strRef>
          </c:cat>
          <c:val>
            <c:numRef>
              <c:f>Gender!$H$20:$I$20</c:f>
              <c:numCache>
                <c:formatCode>0.0%</c:formatCode>
                <c:ptCount val="2"/>
                <c:pt idx="0">
                  <c:v>0.46124999999999999</c:v>
                </c:pt>
                <c:pt idx="1">
                  <c:v>0.41794271302468022</c:v>
                </c:pt>
              </c:numCache>
            </c:numRef>
          </c:val>
          <c:extLst>
            <c:ext xmlns:c16="http://schemas.microsoft.com/office/drawing/2014/chart" uri="{C3380CC4-5D6E-409C-BE32-E72D297353CC}">
              <c16:uniqueId val="{00000002-F56F-4790-BF96-8483ECA8A494}"/>
            </c:ext>
          </c:extLst>
        </c:ser>
        <c:ser>
          <c:idx val="3"/>
          <c:order val="3"/>
          <c:tx>
            <c:strRef>
              <c:f>Gender!$G$21</c:f>
              <c:strCache>
                <c:ptCount val="1"/>
                <c:pt idx="0">
                  <c:v>$25 to less than $30</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Gender!$H$17:$I$17</c:f>
              <c:strCache>
                <c:ptCount val="2"/>
                <c:pt idx="0">
                  <c:v>Male (Av. $23.26)</c:v>
                </c:pt>
                <c:pt idx="1">
                  <c:v>Female (Av. $21.44)</c:v>
                </c:pt>
              </c:strCache>
            </c:strRef>
          </c:cat>
          <c:val>
            <c:numRef>
              <c:f>Gender!$H$21:$I$21</c:f>
              <c:numCache>
                <c:formatCode>0.0%</c:formatCode>
                <c:ptCount val="2"/>
                <c:pt idx="0">
                  <c:v>0.18847222222222224</c:v>
                </c:pt>
                <c:pt idx="1">
                  <c:v>0.15384615384615385</c:v>
                </c:pt>
              </c:numCache>
            </c:numRef>
          </c:val>
          <c:extLst>
            <c:ext xmlns:c16="http://schemas.microsoft.com/office/drawing/2014/chart" uri="{C3380CC4-5D6E-409C-BE32-E72D297353CC}">
              <c16:uniqueId val="{00000003-F56F-4790-BF96-8483ECA8A494}"/>
            </c:ext>
          </c:extLst>
        </c:ser>
        <c:ser>
          <c:idx val="4"/>
          <c:order val="4"/>
          <c:tx>
            <c:strRef>
              <c:f>Gender!$G$22</c:f>
              <c:strCache>
                <c:ptCount val="1"/>
                <c:pt idx="0">
                  <c:v>$30 to less than $40</c:v>
                </c:pt>
              </c:strCache>
            </c:strRef>
          </c:tx>
          <c:spPr>
            <a:solidFill>
              <a:schemeClr val="accent2">
                <a:tint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F56F-4790-BF96-8483ECA8A4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Gender!$H$17:$I$17</c:f>
              <c:strCache>
                <c:ptCount val="2"/>
                <c:pt idx="0">
                  <c:v>Male (Av. $23.26)</c:v>
                </c:pt>
                <c:pt idx="1">
                  <c:v>Female (Av. $21.44)</c:v>
                </c:pt>
              </c:strCache>
            </c:strRef>
          </c:cat>
          <c:val>
            <c:numRef>
              <c:f>Gender!$H$22:$I$22</c:f>
              <c:numCache>
                <c:formatCode>0.0%</c:formatCode>
                <c:ptCount val="2"/>
                <c:pt idx="0">
                  <c:v>6.25E-2</c:v>
                </c:pt>
                <c:pt idx="1">
                  <c:v>3.7470725995316159E-2</c:v>
                </c:pt>
              </c:numCache>
            </c:numRef>
          </c:val>
          <c:extLst>
            <c:ext xmlns:c16="http://schemas.microsoft.com/office/drawing/2014/chart" uri="{C3380CC4-5D6E-409C-BE32-E72D297353CC}">
              <c16:uniqueId val="{00000004-F56F-4790-BF96-8483ECA8A494}"/>
            </c:ext>
          </c:extLst>
        </c:ser>
        <c:ser>
          <c:idx val="5"/>
          <c:order val="5"/>
          <c:tx>
            <c:strRef>
              <c:f>Gender!$G$23</c:f>
              <c:strCache>
                <c:ptCount val="1"/>
                <c:pt idx="0">
                  <c:v>$40 and higher</c:v>
                </c:pt>
              </c:strCache>
            </c:strRef>
          </c:tx>
          <c:spPr>
            <a:solidFill>
              <a:schemeClr val="accent2">
                <a:tint val="50000"/>
              </a:schemeClr>
            </a:solidFill>
            <a:ln>
              <a:noFill/>
            </a:ln>
            <a:effectLst/>
          </c:spPr>
          <c:invertIfNegative val="0"/>
          <c:cat>
            <c:strRef>
              <c:f>Gender!$H$17:$I$17</c:f>
              <c:strCache>
                <c:ptCount val="2"/>
                <c:pt idx="0">
                  <c:v>Male (Av. $23.26)</c:v>
                </c:pt>
                <c:pt idx="1">
                  <c:v>Female (Av. $21.44)</c:v>
                </c:pt>
              </c:strCache>
            </c:strRef>
          </c:cat>
          <c:val>
            <c:numRef>
              <c:f>Gender!$H$23:$I$23</c:f>
              <c:numCache>
                <c:formatCode>0.0%</c:formatCode>
                <c:ptCount val="2"/>
                <c:pt idx="0">
                  <c:v>1.361111111111111E-2</c:v>
                </c:pt>
                <c:pt idx="1">
                  <c:v>1.3961448387677898E-2</c:v>
                </c:pt>
              </c:numCache>
            </c:numRef>
          </c:val>
          <c:extLst>
            <c:ext xmlns:c16="http://schemas.microsoft.com/office/drawing/2014/chart" uri="{C3380CC4-5D6E-409C-BE32-E72D297353CC}">
              <c16:uniqueId val="{00000005-F56F-4790-BF96-8483ECA8A494}"/>
            </c:ext>
          </c:extLst>
        </c:ser>
        <c:dLbls>
          <c:showLegendKey val="0"/>
          <c:showVal val="0"/>
          <c:showCatName val="0"/>
          <c:showSerName val="0"/>
          <c:showPercent val="0"/>
          <c:showBubbleSize val="0"/>
        </c:dLbls>
        <c:gapWidth val="60"/>
        <c:overlap val="100"/>
        <c:axId val="370726632"/>
        <c:axId val="380657384"/>
      </c:barChart>
      <c:catAx>
        <c:axId val="370726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7384"/>
        <c:crosses val="autoZero"/>
        <c:auto val="1"/>
        <c:lblAlgn val="ctr"/>
        <c:lblOffset val="100"/>
        <c:noMultiLvlLbl val="0"/>
      </c:catAx>
      <c:valAx>
        <c:axId val="3806573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6632"/>
        <c:crosses val="autoZero"/>
        <c:crossBetween val="between"/>
        <c:majorUnit val="0.1"/>
      </c:valAx>
      <c:spPr>
        <a:noFill/>
        <a:ln>
          <a:noFill/>
        </a:ln>
        <a:effectLst/>
      </c:spPr>
    </c:plotArea>
    <c:legend>
      <c:legendPos val="t"/>
      <c:layout>
        <c:manualLayout>
          <c:xMode val="edge"/>
          <c:yMode val="edge"/>
          <c:x val="0.21109951827703347"/>
          <c:y val="4.247787610619469E-2"/>
          <c:w val="0.69080783249091415"/>
          <c:h val="0.168740854295867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38157309330351"/>
          <c:y val="0.20406145686737456"/>
          <c:w val="0.75107711580368874"/>
          <c:h val="0.65881296595680339"/>
        </c:manualLayout>
      </c:layout>
      <c:barChart>
        <c:barDir val="bar"/>
        <c:grouping val="stacked"/>
        <c:varyColors val="0"/>
        <c:ser>
          <c:idx val="0"/>
          <c:order val="0"/>
          <c:tx>
            <c:strRef>
              <c:f>Age!$I$18</c:f>
              <c:strCache>
                <c:ptCount val="1"/>
                <c:pt idx="0">
                  <c:v>Less than $15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Age!$J$17:$M$17</c:f>
              <c:strCache>
                <c:ptCount val="4"/>
                <c:pt idx="0">
                  <c:v>18-19 years (Av. $17.02)</c:v>
                </c:pt>
                <c:pt idx="1">
                  <c:v>20-24 years (Av. $21.10)</c:v>
                </c:pt>
                <c:pt idx="2">
                  <c:v>25-30 years (Av. $23.11)</c:v>
                </c:pt>
                <c:pt idx="3">
                  <c:v>31+ years (Av. $22.99)</c:v>
                </c:pt>
              </c:strCache>
            </c:strRef>
          </c:cat>
          <c:val>
            <c:numRef>
              <c:f>Age!$J$18:$M$18</c:f>
              <c:numCache>
                <c:formatCode>0.0%</c:formatCode>
                <c:ptCount val="4"/>
                <c:pt idx="0">
                  <c:v>0.38033763654419067</c:v>
                </c:pt>
                <c:pt idx="1">
                  <c:v>0.18020122170319797</c:v>
                </c:pt>
                <c:pt idx="2">
                  <c:v>9.8761672756800645E-2</c:v>
                </c:pt>
                <c:pt idx="3">
                  <c:v>9.2689295039164496E-2</c:v>
                </c:pt>
              </c:numCache>
            </c:numRef>
          </c:val>
          <c:extLst>
            <c:ext xmlns:c16="http://schemas.microsoft.com/office/drawing/2014/chart" uri="{C3380CC4-5D6E-409C-BE32-E72D297353CC}">
              <c16:uniqueId val="{00000000-BBE2-4CCA-A3F7-37D56EB84D11}"/>
            </c:ext>
          </c:extLst>
        </c:ser>
        <c:ser>
          <c:idx val="1"/>
          <c:order val="1"/>
          <c:tx>
            <c:strRef>
              <c:f>Age!$I$19</c:f>
              <c:strCache>
                <c:ptCount val="1"/>
                <c:pt idx="0">
                  <c:v>$15 to less than $20</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Age!$J$17:$M$17</c:f>
              <c:strCache>
                <c:ptCount val="4"/>
                <c:pt idx="0">
                  <c:v>18-19 years (Av. $17.02)</c:v>
                </c:pt>
                <c:pt idx="1">
                  <c:v>20-24 years (Av. $21.10)</c:v>
                </c:pt>
                <c:pt idx="2">
                  <c:v>25-30 years (Av. $23.11)</c:v>
                </c:pt>
                <c:pt idx="3">
                  <c:v>31+ years (Av. $22.99)</c:v>
                </c:pt>
              </c:strCache>
            </c:strRef>
          </c:cat>
          <c:val>
            <c:numRef>
              <c:f>Age!$J$19:$M$19</c:f>
              <c:numCache>
                <c:formatCode>0.0%</c:formatCode>
                <c:ptCount val="4"/>
                <c:pt idx="0">
                  <c:v>0.22740814299900694</c:v>
                </c:pt>
                <c:pt idx="1">
                  <c:v>0.20840819259791593</c:v>
                </c:pt>
                <c:pt idx="2">
                  <c:v>0.18960617133576937</c:v>
                </c:pt>
                <c:pt idx="3">
                  <c:v>0.20561357702349869</c:v>
                </c:pt>
              </c:numCache>
            </c:numRef>
          </c:val>
          <c:extLst>
            <c:ext xmlns:c16="http://schemas.microsoft.com/office/drawing/2014/chart" uri="{C3380CC4-5D6E-409C-BE32-E72D297353CC}">
              <c16:uniqueId val="{00000001-BBE2-4CCA-A3F7-37D56EB84D11}"/>
            </c:ext>
          </c:extLst>
        </c:ser>
        <c:ser>
          <c:idx val="2"/>
          <c:order val="2"/>
          <c:tx>
            <c:strRef>
              <c:f>Age!$I$20</c:f>
              <c:strCache>
                <c:ptCount val="1"/>
                <c:pt idx="0">
                  <c:v>$20 to less than $25</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Age!$J$17:$M$17</c:f>
              <c:strCache>
                <c:ptCount val="4"/>
                <c:pt idx="0">
                  <c:v>18-19 years (Av. $17.02)</c:v>
                </c:pt>
                <c:pt idx="1">
                  <c:v>20-24 years (Av. $21.10)</c:v>
                </c:pt>
                <c:pt idx="2">
                  <c:v>25-30 years (Av. $23.11)</c:v>
                </c:pt>
                <c:pt idx="3">
                  <c:v>31+ years (Av. $22.99)</c:v>
                </c:pt>
              </c:strCache>
            </c:strRef>
          </c:cat>
          <c:val>
            <c:numRef>
              <c:f>Age!$J$20:$M$20</c:f>
              <c:numCache>
                <c:formatCode>0.0%</c:formatCode>
                <c:ptCount val="4"/>
                <c:pt idx="0">
                  <c:v>0.30784508440913605</c:v>
                </c:pt>
                <c:pt idx="1">
                  <c:v>0.40675530003593247</c:v>
                </c:pt>
                <c:pt idx="2">
                  <c:v>0.45950060901339829</c:v>
                </c:pt>
                <c:pt idx="3">
                  <c:v>0.4516971279373368</c:v>
                </c:pt>
              </c:numCache>
            </c:numRef>
          </c:val>
          <c:extLst>
            <c:ext xmlns:c16="http://schemas.microsoft.com/office/drawing/2014/chart" uri="{C3380CC4-5D6E-409C-BE32-E72D297353CC}">
              <c16:uniqueId val="{00000002-BBE2-4CCA-A3F7-37D56EB84D11}"/>
            </c:ext>
          </c:extLst>
        </c:ser>
        <c:ser>
          <c:idx val="3"/>
          <c:order val="3"/>
          <c:tx>
            <c:strRef>
              <c:f>Age!$I$21</c:f>
              <c:strCache>
                <c:ptCount val="1"/>
                <c:pt idx="0">
                  <c:v>$25 to less than $30</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Age!$J$17:$M$17</c:f>
              <c:strCache>
                <c:ptCount val="4"/>
                <c:pt idx="0">
                  <c:v>18-19 years (Av. $17.02)</c:v>
                </c:pt>
                <c:pt idx="1">
                  <c:v>20-24 years (Av. $21.10)</c:v>
                </c:pt>
                <c:pt idx="2">
                  <c:v>25-30 years (Av. $23.11)</c:v>
                </c:pt>
                <c:pt idx="3">
                  <c:v>31+ years (Av. $22.99)</c:v>
                </c:pt>
              </c:strCache>
            </c:strRef>
          </c:cat>
          <c:val>
            <c:numRef>
              <c:f>Age!$J$21:$M$21</c:f>
              <c:numCache>
                <c:formatCode>0.0%</c:formatCode>
                <c:ptCount val="4"/>
                <c:pt idx="0">
                  <c:v>7.4478649453823237E-2</c:v>
                </c:pt>
                <c:pt idx="1">
                  <c:v>0.16457060725835429</c:v>
                </c:pt>
                <c:pt idx="2">
                  <c:v>0.17549736094194071</c:v>
                </c:pt>
                <c:pt idx="3">
                  <c:v>0.17624020887728459</c:v>
                </c:pt>
              </c:numCache>
            </c:numRef>
          </c:val>
          <c:extLst>
            <c:ext xmlns:c16="http://schemas.microsoft.com/office/drawing/2014/chart" uri="{C3380CC4-5D6E-409C-BE32-E72D297353CC}">
              <c16:uniqueId val="{00000003-BBE2-4CCA-A3F7-37D56EB84D11}"/>
            </c:ext>
          </c:extLst>
        </c:ser>
        <c:ser>
          <c:idx val="4"/>
          <c:order val="4"/>
          <c:tx>
            <c:strRef>
              <c:f>Age!$I$22</c:f>
              <c:strCache>
                <c:ptCount val="1"/>
                <c:pt idx="0">
                  <c:v>$30 to less than $40</c:v>
                </c:pt>
              </c:strCache>
            </c:strRef>
          </c:tx>
          <c:spPr>
            <a:solidFill>
              <a:schemeClr val="accent2">
                <a:tint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BBE2-4CCA-A3F7-37D56EB84D11}"/>
                </c:ext>
              </c:extLst>
            </c:dLbl>
            <c:dLbl>
              <c:idx val="1"/>
              <c:delete val="1"/>
              <c:extLst>
                <c:ext xmlns:c15="http://schemas.microsoft.com/office/drawing/2012/chart" uri="{CE6537A1-D6FC-4f65-9D91-7224C49458BB}"/>
                <c:ext xmlns:c16="http://schemas.microsoft.com/office/drawing/2014/chart" uri="{C3380CC4-5D6E-409C-BE32-E72D297353CC}">
                  <c16:uniqueId val="{00000007-BBE2-4CCA-A3F7-37D56EB84D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Age!$J$17:$M$17</c:f>
              <c:strCache>
                <c:ptCount val="4"/>
                <c:pt idx="0">
                  <c:v>18-19 years (Av. $17.02)</c:v>
                </c:pt>
                <c:pt idx="1">
                  <c:v>20-24 years (Av. $21.10)</c:v>
                </c:pt>
                <c:pt idx="2">
                  <c:v>25-30 years (Av. $23.11)</c:v>
                </c:pt>
                <c:pt idx="3">
                  <c:v>31+ years (Av. $22.99)</c:v>
                </c:pt>
              </c:strCache>
            </c:strRef>
          </c:cat>
          <c:val>
            <c:numRef>
              <c:f>Age!$J$22:$M$22</c:f>
              <c:numCache>
                <c:formatCode>0.0%</c:formatCode>
                <c:ptCount val="4"/>
                <c:pt idx="0">
                  <c:v>7.9443892750744784E-3</c:v>
                </c:pt>
                <c:pt idx="1">
                  <c:v>3.4135824649658641E-2</c:v>
                </c:pt>
                <c:pt idx="2">
                  <c:v>5.7754770604953307E-2</c:v>
                </c:pt>
                <c:pt idx="3">
                  <c:v>5.4177545691906012E-2</c:v>
                </c:pt>
              </c:numCache>
            </c:numRef>
          </c:val>
          <c:extLst>
            <c:ext xmlns:c16="http://schemas.microsoft.com/office/drawing/2014/chart" uri="{C3380CC4-5D6E-409C-BE32-E72D297353CC}">
              <c16:uniqueId val="{00000004-BBE2-4CCA-A3F7-37D56EB84D11}"/>
            </c:ext>
          </c:extLst>
        </c:ser>
        <c:ser>
          <c:idx val="5"/>
          <c:order val="5"/>
          <c:tx>
            <c:strRef>
              <c:f>Age!$I$23</c:f>
              <c:strCache>
                <c:ptCount val="1"/>
                <c:pt idx="0">
                  <c:v>$40 and higher</c:v>
                </c:pt>
              </c:strCache>
            </c:strRef>
          </c:tx>
          <c:spPr>
            <a:solidFill>
              <a:schemeClr val="accent2">
                <a:tint val="50000"/>
              </a:schemeClr>
            </a:solidFill>
            <a:ln>
              <a:noFill/>
            </a:ln>
            <a:effectLst/>
          </c:spPr>
          <c:invertIfNegative val="0"/>
          <c:cat>
            <c:strRef>
              <c:f>Age!$J$17:$M$17</c:f>
              <c:strCache>
                <c:ptCount val="4"/>
                <c:pt idx="0">
                  <c:v>18-19 years (Av. $17.02)</c:v>
                </c:pt>
                <c:pt idx="1">
                  <c:v>20-24 years (Av. $21.10)</c:v>
                </c:pt>
                <c:pt idx="2">
                  <c:v>25-30 years (Av. $23.11)</c:v>
                </c:pt>
                <c:pt idx="3">
                  <c:v>31+ years (Av. $22.99)</c:v>
                </c:pt>
              </c:strCache>
            </c:strRef>
          </c:cat>
          <c:val>
            <c:numRef>
              <c:f>Age!$J$23:$M$23</c:f>
              <c:numCache>
                <c:formatCode>0.0%</c:formatCode>
                <c:ptCount val="4"/>
                <c:pt idx="0">
                  <c:v>1.9860973187686196E-3</c:v>
                </c:pt>
                <c:pt idx="1">
                  <c:v>5.9288537549407119E-3</c:v>
                </c:pt>
                <c:pt idx="2">
                  <c:v>1.8879415347137638E-2</c:v>
                </c:pt>
                <c:pt idx="3">
                  <c:v>1.95822454308094E-2</c:v>
                </c:pt>
              </c:numCache>
            </c:numRef>
          </c:val>
          <c:extLst>
            <c:ext xmlns:c16="http://schemas.microsoft.com/office/drawing/2014/chart" uri="{C3380CC4-5D6E-409C-BE32-E72D297353CC}">
              <c16:uniqueId val="{00000005-BBE2-4CCA-A3F7-37D56EB84D11}"/>
            </c:ext>
          </c:extLst>
        </c:ser>
        <c:dLbls>
          <c:showLegendKey val="0"/>
          <c:showVal val="0"/>
          <c:showCatName val="0"/>
          <c:showSerName val="0"/>
          <c:showPercent val="0"/>
          <c:showBubbleSize val="0"/>
        </c:dLbls>
        <c:gapWidth val="60"/>
        <c:overlap val="100"/>
        <c:axId val="380655816"/>
        <c:axId val="380662088"/>
      </c:barChart>
      <c:catAx>
        <c:axId val="380655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2088"/>
        <c:crosses val="autoZero"/>
        <c:auto val="1"/>
        <c:lblAlgn val="ctr"/>
        <c:lblOffset val="100"/>
        <c:noMultiLvlLbl val="0"/>
      </c:catAx>
      <c:valAx>
        <c:axId val="3806620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5816"/>
        <c:crosses val="autoZero"/>
        <c:crossBetween val="between"/>
        <c:majorUnit val="0.1"/>
      </c:valAx>
      <c:spPr>
        <a:noFill/>
        <a:ln>
          <a:noFill/>
        </a:ln>
        <a:effectLst/>
      </c:spPr>
    </c:plotArea>
    <c:legend>
      <c:legendPos val="t"/>
      <c:layout>
        <c:manualLayout>
          <c:xMode val="edge"/>
          <c:yMode val="edge"/>
          <c:x val="0.21553116020036606"/>
          <c:y val="3.5450516986706058E-2"/>
          <c:w val="0.70631857922257835"/>
          <c:h val="0.140825085195222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256284722222223"/>
          <c:y val="0.10289558531746032"/>
          <c:w val="0.6292008817860969"/>
          <c:h val="0.82988219246031747"/>
        </c:manualLayout>
      </c:layout>
      <c:barChart>
        <c:barDir val="bar"/>
        <c:grouping val="stacked"/>
        <c:varyColors val="0"/>
        <c:ser>
          <c:idx val="0"/>
          <c:order val="0"/>
          <c:tx>
            <c:strRef>
              <c:f>Job!$U$30</c:f>
              <c:strCache>
                <c:ptCount val="1"/>
                <c:pt idx="0">
                  <c:v>Less than $15</c:v>
                </c:pt>
              </c:strCache>
            </c:strRef>
          </c:tx>
          <c:spPr>
            <a:solidFill>
              <a:schemeClr val="accent2">
                <a:shade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A56-4C66-AAD2-E1EC7439F30D}"/>
                </c:ext>
              </c:extLst>
            </c:dLbl>
            <c:dLbl>
              <c:idx val="1"/>
              <c:delete val="1"/>
              <c:extLst>
                <c:ext xmlns:c15="http://schemas.microsoft.com/office/drawing/2012/chart" uri="{CE6537A1-D6FC-4f65-9D91-7224C49458BB}"/>
                <c:ext xmlns:c16="http://schemas.microsoft.com/office/drawing/2014/chart" uri="{C3380CC4-5D6E-409C-BE32-E72D297353CC}">
                  <c16:uniqueId val="{0000000B-4A56-4C66-AAD2-E1EC7439F30D}"/>
                </c:ext>
              </c:extLst>
            </c:dLbl>
            <c:dLbl>
              <c:idx val="2"/>
              <c:delete val="1"/>
              <c:extLst>
                <c:ext xmlns:c15="http://schemas.microsoft.com/office/drawing/2012/chart" uri="{CE6537A1-D6FC-4f65-9D91-7224C49458BB}"/>
                <c:ext xmlns:c16="http://schemas.microsoft.com/office/drawing/2014/chart" uri="{C3380CC4-5D6E-409C-BE32-E72D297353CC}">
                  <c16:uniqueId val="{0000000A-4A56-4C66-AAD2-E1EC7439F30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Job!$V$30:$AE$30</c:f>
              <c:numCache>
                <c:formatCode>0.0%</c:formatCode>
                <c:ptCount val="10"/>
                <c:pt idx="0">
                  <c:v>2.6315789473684209E-2</c:v>
                </c:pt>
                <c:pt idx="1">
                  <c:v>1.984732824427481E-2</c:v>
                </c:pt>
                <c:pt idx="2">
                  <c:v>2.9035012809564473E-2</c:v>
                </c:pt>
                <c:pt idx="3">
                  <c:v>5.3204353083434103E-2</c:v>
                </c:pt>
                <c:pt idx="4">
                  <c:v>6.4935064935064929E-2</c:v>
                </c:pt>
                <c:pt idx="5">
                  <c:v>0.13009049773755657</c:v>
                </c:pt>
                <c:pt idx="6">
                  <c:v>0.10412147505422994</c:v>
                </c:pt>
                <c:pt idx="7">
                  <c:v>0.18561001042752867</c:v>
                </c:pt>
                <c:pt idx="8">
                  <c:v>0.20714285714285713</c:v>
                </c:pt>
                <c:pt idx="9">
                  <c:v>0.83157894736842108</c:v>
                </c:pt>
              </c:numCache>
            </c:numRef>
          </c:val>
          <c:extLst>
            <c:ext xmlns:c16="http://schemas.microsoft.com/office/drawing/2014/chart" uri="{C3380CC4-5D6E-409C-BE32-E72D297353CC}">
              <c16:uniqueId val="{00000000-4A56-4C66-AAD2-E1EC7439F30D}"/>
            </c:ext>
          </c:extLst>
        </c:ser>
        <c:ser>
          <c:idx val="1"/>
          <c:order val="1"/>
          <c:tx>
            <c:strRef>
              <c:f>Job!$U$31</c:f>
              <c:strCache>
                <c:ptCount val="1"/>
                <c:pt idx="0">
                  <c:v>$15 to less than $20</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Job!$V$31:$AE$31</c:f>
              <c:numCache>
                <c:formatCode>0.0%</c:formatCode>
                <c:ptCount val="10"/>
                <c:pt idx="0">
                  <c:v>0.12982456140350876</c:v>
                </c:pt>
                <c:pt idx="1">
                  <c:v>9.1603053435114504E-2</c:v>
                </c:pt>
                <c:pt idx="2">
                  <c:v>0.20922288642186165</c:v>
                </c:pt>
                <c:pt idx="3">
                  <c:v>0.20072551390568319</c:v>
                </c:pt>
                <c:pt idx="4">
                  <c:v>0.31416202844774271</c:v>
                </c:pt>
                <c:pt idx="5">
                  <c:v>0.21832579185520362</c:v>
                </c:pt>
                <c:pt idx="6">
                  <c:v>0.39913232104121477</c:v>
                </c:pt>
                <c:pt idx="7">
                  <c:v>0.22940563086548488</c:v>
                </c:pt>
                <c:pt idx="8">
                  <c:v>0.2260204081632653</c:v>
                </c:pt>
                <c:pt idx="9">
                  <c:v>0.10075187969924812</c:v>
                </c:pt>
              </c:numCache>
            </c:numRef>
          </c:val>
          <c:extLst>
            <c:ext xmlns:c16="http://schemas.microsoft.com/office/drawing/2014/chart" uri="{C3380CC4-5D6E-409C-BE32-E72D297353CC}">
              <c16:uniqueId val="{00000001-4A56-4C66-AAD2-E1EC7439F30D}"/>
            </c:ext>
          </c:extLst>
        </c:ser>
        <c:ser>
          <c:idx val="2"/>
          <c:order val="2"/>
          <c:tx>
            <c:strRef>
              <c:f>Job!$U$32</c:f>
              <c:strCache>
                <c:ptCount val="1"/>
                <c:pt idx="0">
                  <c:v>$20 to less than $25</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Job!$V$32:$AE$32</c:f>
              <c:numCache>
                <c:formatCode>0.0%</c:formatCode>
                <c:ptCount val="10"/>
                <c:pt idx="0">
                  <c:v>0.43684210526315792</c:v>
                </c:pt>
                <c:pt idx="1">
                  <c:v>0.63664122137404577</c:v>
                </c:pt>
                <c:pt idx="2">
                  <c:v>0.50555081127241674</c:v>
                </c:pt>
                <c:pt idx="3">
                  <c:v>0.65054413542926237</c:v>
                </c:pt>
                <c:pt idx="4">
                  <c:v>0.47495361781076068</c:v>
                </c:pt>
                <c:pt idx="5">
                  <c:v>0.42081447963800905</c:v>
                </c:pt>
                <c:pt idx="6">
                  <c:v>0.36876355748373102</c:v>
                </c:pt>
                <c:pt idx="7">
                  <c:v>0.47028154327424398</c:v>
                </c:pt>
                <c:pt idx="8">
                  <c:v>0.51811224489795915</c:v>
                </c:pt>
                <c:pt idx="9">
                  <c:v>4.9624060150375938E-2</c:v>
                </c:pt>
              </c:numCache>
            </c:numRef>
          </c:val>
          <c:extLst>
            <c:ext xmlns:c16="http://schemas.microsoft.com/office/drawing/2014/chart" uri="{C3380CC4-5D6E-409C-BE32-E72D297353CC}">
              <c16:uniqueId val="{00000002-4A56-4C66-AAD2-E1EC7439F30D}"/>
            </c:ext>
          </c:extLst>
        </c:ser>
        <c:ser>
          <c:idx val="3"/>
          <c:order val="3"/>
          <c:tx>
            <c:strRef>
              <c:f>Job!$U$33</c:f>
              <c:strCache>
                <c:ptCount val="1"/>
                <c:pt idx="0">
                  <c:v>$25 to less than $30</c:v>
                </c:pt>
              </c:strCache>
            </c:strRef>
          </c:tx>
          <c:spPr>
            <a:solidFill>
              <a:schemeClr val="accent2">
                <a:tint val="90000"/>
              </a:schemeClr>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4A56-4C66-AAD2-E1EC7439F30D}"/>
                </c:ext>
              </c:extLst>
            </c:dLbl>
            <c:dLbl>
              <c:idx val="9"/>
              <c:delete val="1"/>
              <c:extLst>
                <c:ext xmlns:c15="http://schemas.microsoft.com/office/drawing/2012/chart" uri="{CE6537A1-D6FC-4f65-9D91-7224C49458BB}"/>
                <c:ext xmlns:c16="http://schemas.microsoft.com/office/drawing/2014/chart" uri="{C3380CC4-5D6E-409C-BE32-E72D297353CC}">
                  <c16:uniqueId val="{00000004-4A56-4C66-AAD2-E1EC7439F30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Job!$V$33:$AE$33</c:f>
              <c:numCache>
                <c:formatCode>0.0%</c:formatCode>
                <c:ptCount val="10"/>
                <c:pt idx="0">
                  <c:v>0.31754385964912279</c:v>
                </c:pt>
                <c:pt idx="1">
                  <c:v>0.23206106870229007</c:v>
                </c:pt>
                <c:pt idx="2">
                  <c:v>0.24338172502134928</c:v>
                </c:pt>
                <c:pt idx="3">
                  <c:v>9.3107617896009673E-2</c:v>
                </c:pt>
                <c:pt idx="4">
                  <c:v>0.14285714285714285</c:v>
                </c:pt>
                <c:pt idx="5">
                  <c:v>0.19343891402714933</c:v>
                </c:pt>
                <c:pt idx="6">
                  <c:v>0.1193058568329718</c:v>
                </c:pt>
                <c:pt idx="7">
                  <c:v>9.0719499478623566E-2</c:v>
                </c:pt>
                <c:pt idx="8">
                  <c:v>4.1326530612244901E-2</c:v>
                </c:pt>
                <c:pt idx="9">
                  <c:v>1.3533834586466165E-2</c:v>
                </c:pt>
              </c:numCache>
            </c:numRef>
          </c:val>
          <c:extLst>
            <c:ext xmlns:c16="http://schemas.microsoft.com/office/drawing/2014/chart" uri="{C3380CC4-5D6E-409C-BE32-E72D297353CC}">
              <c16:uniqueId val="{00000005-4A56-4C66-AAD2-E1EC7439F30D}"/>
            </c:ext>
          </c:extLst>
        </c:ser>
        <c:ser>
          <c:idx val="4"/>
          <c:order val="4"/>
          <c:tx>
            <c:strRef>
              <c:f>Job!$U$34</c:f>
              <c:strCache>
                <c:ptCount val="1"/>
                <c:pt idx="0">
                  <c:v>$30 to less than $40</c:v>
                </c:pt>
              </c:strCache>
            </c:strRef>
          </c:tx>
          <c:spPr>
            <a:solidFill>
              <a:schemeClr val="accent2">
                <a:tint val="7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56-4C66-AAD2-E1EC7439F30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Job!$V$34:$AE$34</c:f>
              <c:numCache>
                <c:formatCode>0.0%</c:formatCode>
                <c:ptCount val="10"/>
                <c:pt idx="0">
                  <c:v>8.771929824561403E-2</c:v>
                </c:pt>
                <c:pt idx="1">
                  <c:v>1.984732824427481E-2</c:v>
                </c:pt>
                <c:pt idx="2">
                  <c:v>1.1101622544833475E-2</c:v>
                </c:pt>
                <c:pt idx="3">
                  <c:v>2.4183796856106408E-3</c:v>
                </c:pt>
                <c:pt idx="4">
                  <c:v>3.0921459492888066E-3</c:v>
                </c:pt>
                <c:pt idx="5">
                  <c:v>3.3936651583710405E-2</c:v>
                </c:pt>
                <c:pt idx="6">
                  <c:v>8.6767895878524948E-3</c:v>
                </c:pt>
                <c:pt idx="7">
                  <c:v>1.9812304483837331E-2</c:v>
                </c:pt>
                <c:pt idx="8">
                  <c:v>6.8877551020408156E-3</c:v>
                </c:pt>
                <c:pt idx="9">
                  <c:v>1.5037593984962407E-3</c:v>
                </c:pt>
              </c:numCache>
            </c:numRef>
          </c:val>
          <c:extLst>
            <c:ext xmlns:c16="http://schemas.microsoft.com/office/drawing/2014/chart" uri="{C3380CC4-5D6E-409C-BE32-E72D297353CC}">
              <c16:uniqueId val="{00000007-4A56-4C66-AAD2-E1EC7439F30D}"/>
            </c:ext>
          </c:extLst>
        </c:ser>
        <c:ser>
          <c:idx val="5"/>
          <c:order val="5"/>
          <c:tx>
            <c:strRef>
              <c:f>Job!$U$35</c:f>
              <c:strCache>
                <c:ptCount val="1"/>
                <c:pt idx="0">
                  <c:v>$40 and higher</c:v>
                </c:pt>
              </c:strCache>
            </c:strRef>
          </c:tx>
          <c:spPr>
            <a:solidFill>
              <a:schemeClr val="accent2">
                <a:tint val="50000"/>
              </a:schemeClr>
            </a:solidFill>
            <a:ln>
              <a:noFill/>
            </a:ln>
            <a:effectLst/>
          </c:spPr>
          <c:invertIfNegative val="0"/>
          <c:cat>
            <c:strRef>
              <c:f>Job!$V$29:$AE$29</c:f>
              <c:strCache>
                <c:ptCount val="10"/>
                <c:pt idx="0">
                  <c:v>Building labourer (Av. $25.43)</c:v>
                </c:pt>
                <c:pt idx="1">
                  <c:v>Meat, chicken and fish process worker (Av. $23.86)</c:v>
                </c:pt>
                <c:pt idx="2">
                  <c:v>Bar attendant or barista (Av. $23.24)</c:v>
                </c:pt>
                <c:pt idx="3">
                  <c:v>Hand packer (Av. $22.17)</c:v>
                </c:pt>
                <c:pt idx="4">
                  <c:v>Waiter (Av. $21.88)</c:v>
                </c:pt>
                <c:pt idx="5">
                  <c:v>Other hospitality, tourism &amp; sport (Av. $21.83)</c:v>
                </c:pt>
                <c:pt idx="6">
                  <c:v>Kitchen hand (Av. $20.78)</c:v>
                </c:pt>
                <c:pt idx="7">
                  <c:v>Other farm, forestry and garden workers (Av. $20.26)</c:v>
                </c:pt>
                <c:pt idx="8">
                  <c:v>Crop farm worker (Av. $19.82)</c:v>
                </c:pt>
                <c:pt idx="9">
                  <c:v>Nanny or au pair (Av. $11.06)</c:v>
                </c:pt>
              </c:strCache>
            </c:strRef>
          </c:cat>
          <c:val>
            <c:numRef>
              <c:f>Job!$V$35:$AE$35</c:f>
              <c:numCache>
                <c:formatCode>0.0%</c:formatCode>
                <c:ptCount val="10"/>
                <c:pt idx="0">
                  <c:v>1.7543859649122807E-3</c:v>
                </c:pt>
                <c:pt idx="1">
                  <c:v>0</c:v>
                </c:pt>
                <c:pt idx="2">
                  <c:v>1.7079419299743809E-3</c:v>
                </c:pt>
                <c:pt idx="3">
                  <c:v>0</c:v>
                </c:pt>
                <c:pt idx="4">
                  <c:v>0</c:v>
                </c:pt>
                <c:pt idx="5">
                  <c:v>3.3936651583710408E-3</c:v>
                </c:pt>
                <c:pt idx="6">
                  <c:v>0</c:v>
                </c:pt>
                <c:pt idx="7">
                  <c:v>4.1710114702815434E-3</c:v>
                </c:pt>
                <c:pt idx="8">
                  <c:v>5.1020408163265311E-4</c:v>
                </c:pt>
                <c:pt idx="9">
                  <c:v>3.0075187969924814E-3</c:v>
                </c:pt>
              </c:numCache>
            </c:numRef>
          </c:val>
          <c:extLst>
            <c:ext xmlns:c16="http://schemas.microsoft.com/office/drawing/2014/chart" uri="{C3380CC4-5D6E-409C-BE32-E72D297353CC}">
              <c16:uniqueId val="{00000008-4A56-4C66-AAD2-E1EC7439F30D}"/>
            </c:ext>
          </c:extLst>
        </c:ser>
        <c:dLbls>
          <c:showLegendKey val="0"/>
          <c:showVal val="0"/>
          <c:showCatName val="0"/>
          <c:showSerName val="0"/>
          <c:showPercent val="0"/>
          <c:showBubbleSize val="0"/>
        </c:dLbls>
        <c:gapWidth val="60"/>
        <c:overlap val="100"/>
        <c:axId val="380658168"/>
        <c:axId val="380663264"/>
      </c:barChart>
      <c:catAx>
        <c:axId val="38065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3264"/>
        <c:crosses val="autoZero"/>
        <c:auto val="1"/>
        <c:lblAlgn val="ctr"/>
        <c:lblOffset val="100"/>
        <c:noMultiLvlLbl val="0"/>
      </c:catAx>
      <c:valAx>
        <c:axId val="3806632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8168"/>
        <c:crosses val="autoZero"/>
        <c:crossBetween val="between"/>
        <c:majorUnit val="0.1"/>
      </c:valAx>
      <c:spPr>
        <a:noFill/>
        <a:ln>
          <a:noFill/>
        </a:ln>
        <a:effectLst/>
      </c:spPr>
    </c:plotArea>
    <c:legend>
      <c:legendPos val="t"/>
      <c:layout>
        <c:manualLayout>
          <c:xMode val="edge"/>
          <c:yMode val="edge"/>
          <c:x val="0.3262258579499977"/>
          <c:y val="1.8900614269963773E-2"/>
          <c:w val="0.62689629709156336"/>
          <c:h val="9.398218827938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511765148432655"/>
          <c:y val="0.10289558531746032"/>
          <c:w val="0.7666461214485969"/>
          <c:h val="0.82988219246031747"/>
        </c:manualLayout>
      </c:layout>
      <c:barChart>
        <c:barDir val="bar"/>
        <c:grouping val="stacked"/>
        <c:varyColors val="0"/>
        <c:ser>
          <c:idx val="0"/>
          <c:order val="0"/>
          <c:tx>
            <c:strRef>
              <c:f>Citizen!$T$44</c:f>
              <c:strCache>
                <c:ptCount val="1"/>
                <c:pt idx="0">
                  <c:v>Less than $15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Citizen!$U$44:$AD$44</c:f>
              <c:numCache>
                <c:formatCode>0.0%</c:formatCode>
                <c:ptCount val="10"/>
                <c:pt idx="0">
                  <c:v>0.11741038771031456</c:v>
                </c:pt>
                <c:pt idx="1">
                  <c:v>0.12368972746331236</c:v>
                </c:pt>
                <c:pt idx="2">
                  <c:v>0.18829981718464353</c:v>
                </c:pt>
                <c:pt idx="3">
                  <c:v>0.26413206603301653</c:v>
                </c:pt>
                <c:pt idx="4">
                  <c:v>9.5652173913043481E-2</c:v>
                </c:pt>
                <c:pt idx="5">
                  <c:v>0.10076670317634173</c:v>
                </c:pt>
                <c:pt idx="6">
                  <c:v>0.12383177570093458</c:v>
                </c:pt>
                <c:pt idx="7">
                  <c:v>0.11737629459148446</c:v>
                </c:pt>
                <c:pt idx="8">
                  <c:v>0.14932126696832579</c:v>
                </c:pt>
                <c:pt idx="9">
                  <c:v>8.8607594936708861E-2</c:v>
                </c:pt>
              </c:numCache>
            </c:numRef>
          </c:val>
          <c:extLst>
            <c:ext xmlns:c16="http://schemas.microsoft.com/office/drawing/2014/chart" uri="{C3380CC4-5D6E-409C-BE32-E72D297353CC}">
              <c16:uniqueId val="{00000000-17B9-4798-9241-26998892CC43}"/>
            </c:ext>
          </c:extLst>
        </c:ser>
        <c:ser>
          <c:idx val="1"/>
          <c:order val="1"/>
          <c:tx>
            <c:strRef>
              <c:f>Citizen!$T$45</c:f>
              <c:strCache>
                <c:ptCount val="1"/>
                <c:pt idx="0">
                  <c:v>$15 to less than $20</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Citizen!$U$45:$AD$45</c:f>
              <c:numCache>
                <c:formatCode>0.0%</c:formatCode>
                <c:ptCount val="10"/>
                <c:pt idx="0">
                  <c:v>0.13313825896122897</c:v>
                </c:pt>
                <c:pt idx="1">
                  <c:v>0.22431865828092243</c:v>
                </c:pt>
                <c:pt idx="2">
                  <c:v>0.23583180987202926</c:v>
                </c:pt>
                <c:pt idx="3">
                  <c:v>0.17008504252126064</c:v>
                </c:pt>
                <c:pt idx="4">
                  <c:v>0.20559006211180125</c:v>
                </c:pt>
                <c:pt idx="5">
                  <c:v>0.13033953997809419</c:v>
                </c:pt>
                <c:pt idx="6">
                  <c:v>0.13668224299065421</c:v>
                </c:pt>
                <c:pt idx="7">
                  <c:v>0.36939010356731877</c:v>
                </c:pt>
                <c:pt idx="8">
                  <c:v>0.3574660633484163</c:v>
                </c:pt>
                <c:pt idx="9">
                  <c:v>9.3354430379746833E-2</c:v>
                </c:pt>
              </c:numCache>
            </c:numRef>
          </c:val>
          <c:extLst>
            <c:ext xmlns:c16="http://schemas.microsoft.com/office/drawing/2014/chart" uri="{C3380CC4-5D6E-409C-BE32-E72D297353CC}">
              <c16:uniqueId val="{00000001-17B9-4798-9241-26998892CC43}"/>
            </c:ext>
          </c:extLst>
        </c:ser>
        <c:ser>
          <c:idx val="2"/>
          <c:order val="2"/>
          <c:tx>
            <c:strRef>
              <c:f>Citizen!$T$46</c:f>
              <c:strCache>
                <c:ptCount val="1"/>
                <c:pt idx="0">
                  <c:v>$20 to less than $25</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Citizen!$U$46:$AD$46</c:f>
              <c:numCache>
                <c:formatCode>0.0%</c:formatCode>
                <c:ptCount val="10"/>
                <c:pt idx="0">
                  <c:v>0.3427212874908559</c:v>
                </c:pt>
                <c:pt idx="1">
                  <c:v>0.5224318658280922</c:v>
                </c:pt>
                <c:pt idx="2">
                  <c:v>0.41179159049360148</c:v>
                </c:pt>
                <c:pt idx="3">
                  <c:v>0.40070035017508754</c:v>
                </c:pt>
                <c:pt idx="4">
                  <c:v>0.50372670807453412</c:v>
                </c:pt>
                <c:pt idx="5">
                  <c:v>0.42168674698795183</c:v>
                </c:pt>
                <c:pt idx="6">
                  <c:v>0.40070093457943923</c:v>
                </c:pt>
                <c:pt idx="7">
                  <c:v>0.42807825086306101</c:v>
                </c:pt>
                <c:pt idx="8">
                  <c:v>0.39366515837104071</c:v>
                </c:pt>
                <c:pt idx="9">
                  <c:v>0.314873417721519</c:v>
                </c:pt>
              </c:numCache>
            </c:numRef>
          </c:val>
          <c:extLst>
            <c:ext xmlns:c16="http://schemas.microsoft.com/office/drawing/2014/chart" uri="{C3380CC4-5D6E-409C-BE32-E72D297353CC}">
              <c16:uniqueId val="{00000002-17B9-4798-9241-26998892CC43}"/>
            </c:ext>
          </c:extLst>
        </c:ser>
        <c:ser>
          <c:idx val="3"/>
          <c:order val="3"/>
          <c:tx>
            <c:strRef>
              <c:f>Citizen!$T$47</c:f>
              <c:strCache>
                <c:ptCount val="1"/>
                <c:pt idx="0">
                  <c:v>$25 to less than $30</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Citizen!$U$47:$AD$47</c:f>
              <c:numCache>
                <c:formatCode>0.0%</c:formatCode>
                <c:ptCount val="10"/>
                <c:pt idx="0">
                  <c:v>0.26481346013167523</c:v>
                </c:pt>
                <c:pt idx="1">
                  <c:v>0.11614255765199162</c:v>
                </c:pt>
                <c:pt idx="2">
                  <c:v>0.12294332723948811</c:v>
                </c:pt>
                <c:pt idx="3">
                  <c:v>0.13206603301650827</c:v>
                </c:pt>
                <c:pt idx="4">
                  <c:v>0.15900621118012423</c:v>
                </c:pt>
                <c:pt idx="5">
                  <c:v>0.21029572836801752</c:v>
                </c:pt>
                <c:pt idx="6">
                  <c:v>0.25116822429906543</c:v>
                </c:pt>
                <c:pt idx="7">
                  <c:v>7.0195627157652471E-2</c:v>
                </c:pt>
                <c:pt idx="8">
                  <c:v>9.5022624434389136E-2</c:v>
                </c:pt>
                <c:pt idx="9">
                  <c:v>0.310126582278481</c:v>
                </c:pt>
              </c:numCache>
            </c:numRef>
          </c:val>
          <c:extLst>
            <c:ext xmlns:c16="http://schemas.microsoft.com/office/drawing/2014/chart" uri="{C3380CC4-5D6E-409C-BE32-E72D297353CC}">
              <c16:uniqueId val="{00000003-17B9-4798-9241-26998892CC43}"/>
            </c:ext>
          </c:extLst>
        </c:ser>
        <c:ser>
          <c:idx val="4"/>
          <c:order val="4"/>
          <c:tx>
            <c:strRef>
              <c:f>Citizen!$T$48</c:f>
              <c:strCache>
                <c:ptCount val="1"/>
                <c:pt idx="0">
                  <c:v>$30 to less than $40</c:v>
                </c:pt>
              </c:strCache>
            </c:strRef>
          </c:tx>
          <c:spPr>
            <a:solidFill>
              <a:schemeClr val="accent2">
                <a:tint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17B9-4798-9241-26998892CC43}"/>
                </c:ext>
              </c:extLst>
            </c:dLbl>
            <c:dLbl>
              <c:idx val="2"/>
              <c:delete val="1"/>
              <c:extLst>
                <c:ext xmlns:c15="http://schemas.microsoft.com/office/drawing/2012/chart" uri="{CE6537A1-D6FC-4f65-9D91-7224C49458BB}"/>
                <c:ext xmlns:c16="http://schemas.microsoft.com/office/drawing/2014/chart" uri="{C3380CC4-5D6E-409C-BE32-E72D297353CC}">
                  <c16:uniqueId val="{00000005-17B9-4798-9241-26998892CC43}"/>
                </c:ext>
              </c:extLst>
            </c:dLbl>
            <c:dLbl>
              <c:idx val="3"/>
              <c:delete val="1"/>
              <c:extLst>
                <c:ext xmlns:c15="http://schemas.microsoft.com/office/drawing/2012/chart" uri="{CE6537A1-D6FC-4f65-9D91-7224C49458BB}"/>
                <c:ext xmlns:c16="http://schemas.microsoft.com/office/drawing/2014/chart" uri="{C3380CC4-5D6E-409C-BE32-E72D297353CC}">
                  <c16:uniqueId val="{00000006-17B9-4798-9241-26998892CC43}"/>
                </c:ext>
              </c:extLst>
            </c:dLbl>
            <c:dLbl>
              <c:idx val="4"/>
              <c:delete val="1"/>
              <c:extLst>
                <c:ext xmlns:c15="http://schemas.microsoft.com/office/drawing/2012/chart" uri="{CE6537A1-D6FC-4f65-9D91-7224C49458BB}"/>
                <c:ext xmlns:c16="http://schemas.microsoft.com/office/drawing/2014/chart" uri="{C3380CC4-5D6E-409C-BE32-E72D297353CC}">
                  <c16:uniqueId val="{00000007-17B9-4798-9241-26998892CC43}"/>
                </c:ext>
              </c:extLst>
            </c:dLbl>
            <c:dLbl>
              <c:idx val="7"/>
              <c:delete val="1"/>
              <c:extLst>
                <c:ext xmlns:c15="http://schemas.microsoft.com/office/drawing/2012/chart" uri="{CE6537A1-D6FC-4f65-9D91-7224C49458BB}"/>
                <c:ext xmlns:c16="http://schemas.microsoft.com/office/drawing/2014/chart" uri="{C3380CC4-5D6E-409C-BE32-E72D297353CC}">
                  <c16:uniqueId val="{00000008-17B9-4798-9241-26998892CC43}"/>
                </c:ext>
              </c:extLst>
            </c:dLbl>
            <c:dLbl>
              <c:idx val="8"/>
              <c:delete val="1"/>
              <c:extLst>
                <c:ext xmlns:c15="http://schemas.microsoft.com/office/drawing/2012/chart" uri="{CE6537A1-D6FC-4f65-9D91-7224C49458BB}"/>
                <c:ext xmlns:c16="http://schemas.microsoft.com/office/drawing/2014/chart" uri="{C3380CC4-5D6E-409C-BE32-E72D297353CC}">
                  <c16:uniqueId val="{00000009-17B9-4798-9241-26998892CC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Citizen!$U$48:$AD$48</c:f>
              <c:numCache>
                <c:formatCode>0.0%</c:formatCode>
                <c:ptCount val="10"/>
                <c:pt idx="0">
                  <c:v>0.10570592538405267</c:v>
                </c:pt>
                <c:pt idx="1">
                  <c:v>1.3417190775681343E-2</c:v>
                </c:pt>
                <c:pt idx="2">
                  <c:v>3.5648994515539309E-2</c:v>
                </c:pt>
                <c:pt idx="3">
                  <c:v>3.0015007503751877E-2</c:v>
                </c:pt>
                <c:pt idx="4">
                  <c:v>3.2298136645962733E-2</c:v>
                </c:pt>
                <c:pt idx="5">
                  <c:v>8.4337349397590355E-2</c:v>
                </c:pt>
                <c:pt idx="6">
                  <c:v>6.0747663551401862E-2</c:v>
                </c:pt>
                <c:pt idx="7">
                  <c:v>1.4959723820483314E-2</c:v>
                </c:pt>
                <c:pt idx="8">
                  <c:v>4.5248868778280547E-3</c:v>
                </c:pt>
                <c:pt idx="9">
                  <c:v>0.13449367088607594</c:v>
                </c:pt>
              </c:numCache>
            </c:numRef>
          </c:val>
          <c:extLst>
            <c:ext xmlns:c16="http://schemas.microsoft.com/office/drawing/2014/chart" uri="{C3380CC4-5D6E-409C-BE32-E72D297353CC}">
              <c16:uniqueId val="{0000000A-17B9-4798-9241-26998892CC43}"/>
            </c:ext>
          </c:extLst>
        </c:ser>
        <c:ser>
          <c:idx val="5"/>
          <c:order val="5"/>
          <c:tx>
            <c:strRef>
              <c:f>Citizen!$T$49</c:f>
              <c:strCache>
                <c:ptCount val="1"/>
                <c:pt idx="0">
                  <c:v>$40 and higher</c:v>
                </c:pt>
              </c:strCache>
            </c:strRef>
          </c:tx>
          <c:spPr>
            <a:solidFill>
              <a:schemeClr val="accent2">
                <a:tint val="50000"/>
              </a:schemeClr>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B9-4798-9241-26998892CC43}"/>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B9-4798-9241-26998892CC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Citizen!$U$43:$AD$43</c:f>
              <c:strCache>
                <c:ptCount val="10"/>
                <c:pt idx="0">
                  <c:v>UK (Av. $24.41)</c:v>
                </c:pt>
                <c:pt idx="1">
                  <c:v>Taiwan (Av. $21.45)</c:v>
                </c:pt>
                <c:pt idx="2">
                  <c:v>France (Av. $20.60 )</c:v>
                </c:pt>
                <c:pt idx="3">
                  <c:v>Germany (Av. $19.71)</c:v>
                </c:pt>
                <c:pt idx="4">
                  <c:v>Italy (Av. $22.37)</c:v>
                </c:pt>
                <c:pt idx="5">
                  <c:v>Canada (Av. $24.7)</c:v>
                </c:pt>
                <c:pt idx="6">
                  <c:v>USA (Av. $23.23)</c:v>
                </c:pt>
                <c:pt idx="7">
                  <c:v>South Korea (Av. $20.56)</c:v>
                </c:pt>
                <c:pt idx="8">
                  <c:v>Japan (Av. $20.26)</c:v>
                </c:pt>
                <c:pt idx="9">
                  <c:v>Ireland (Av. $26.03)</c:v>
                </c:pt>
              </c:strCache>
            </c:strRef>
          </c:cat>
          <c:val>
            <c:numRef>
              <c:f>Citizen!$U$49:$AD$49</c:f>
              <c:numCache>
                <c:formatCode>0.0%</c:formatCode>
                <c:ptCount val="10"/>
                <c:pt idx="0">
                  <c:v>3.6210680321872718E-2</c:v>
                </c:pt>
                <c:pt idx="1">
                  <c:v>0</c:v>
                </c:pt>
                <c:pt idx="2">
                  <c:v>5.4844606946983544E-3</c:v>
                </c:pt>
                <c:pt idx="3">
                  <c:v>3.0015007503751876E-3</c:v>
                </c:pt>
                <c:pt idx="4">
                  <c:v>3.7267080745341614E-3</c:v>
                </c:pt>
                <c:pt idx="5">
                  <c:v>5.257393209200438E-2</c:v>
                </c:pt>
                <c:pt idx="6">
                  <c:v>2.6869158878504669E-2</c:v>
                </c:pt>
                <c:pt idx="7">
                  <c:v>0</c:v>
                </c:pt>
                <c:pt idx="8">
                  <c:v>0</c:v>
                </c:pt>
                <c:pt idx="9">
                  <c:v>5.8544303797468354E-2</c:v>
                </c:pt>
              </c:numCache>
            </c:numRef>
          </c:val>
          <c:extLst>
            <c:ext xmlns:c16="http://schemas.microsoft.com/office/drawing/2014/chart" uri="{C3380CC4-5D6E-409C-BE32-E72D297353CC}">
              <c16:uniqueId val="{0000000B-17B9-4798-9241-26998892CC43}"/>
            </c:ext>
          </c:extLst>
        </c:ser>
        <c:dLbls>
          <c:showLegendKey val="0"/>
          <c:showVal val="0"/>
          <c:showCatName val="0"/>
          <c:showSerName val="0"/>
          <c:showPercent val="0"/>
          <c:showBubbleSize val="0"/>
        </c:dLbls>
        <c:gapWidth val="60"/>
        <c:overlap val="100"/>
        <c:axId val="380664440"/>
        <c:axId val="380660912"/>
      </c:barChart>
      <c:catAx>
        <c:axId val="380664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0912"/>
        <c:crosses val="autoZero"/>
        <c:auto val="1"/>
        <c:lblAlgn val="ctr"/>
        <c:lblOffset val="100"/>
        <c:noMultiLvlLbl val="0"/>
      </c:catAx>
      <c:valAx>
        <c:axId val="3806609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4440"/>
        <c:crosses val="autoZero"/>
        <c:crossBetween val="between"/>
        <c:majorUnit val="0.1"/>
      </c:valAx>
      <c:spPr>
        <a:noFill/>
        <a:ln>
          <a:noFill/>
        </a:ln>
        <a:effectLst/>
      </c:spPr>
    </c:plotArea>
    <c:legend>
      <c:legendPos val="t"/>
      <c:layout>
        <c:manualLayout>
          <c:xMode val="edge"/>
          <c:yMode val="edge"/>
          <c:x val="0.16509365704357978"/>
          <c:y val="1.8898809523809523E-2"/>
          <c:w val="0.7443574790929649"/>
          <c:h val="9.3973214285714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8219626909052473E-2"/>
          <c:y val="0.17721555607364511"/>
          <c:w val="0.90089274075639869"/>
          <c:h val="0.67504462849859337"/>
        </c:manualLayout>
      </c:layout>
      <c:barChart>
        <c:barDir val="col"/>
        <c:grouping val="stacked"/>
        <c:varyColors val="0"/>
        <c:ser>
          <c:idx val="0"/>
          <c:order val="0"/>
          <c:tx>
            <c:strRef>
              <c:f>'Hours per wk'!$M$19</c:f>
              <c:strCache>
                <c:ptCount val="1"/>
                <c:pt idx="0">
                  <c:v>0 to 10 hrs</c:v>
                </c:pt>
              </c:strCache>
            </c:strRef>
          </c:tx>
          <c:spPr>
            <a:solidFill>
              <a:schemeClr val="accent2">
                <a:shade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FCE-4908-80F6-89F5048FBD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wk'!$N$19:$U$19</c:f>
              <c:numCache>
                <c:formatCode>0.0%</c:formatCode>
                <c:ptCount val="8"/>
                <c:pt idx="0">
                  <c:v>5.9988351776354108E-2</c:v>
                </c:pt>
                <c:pt idx="1">
                  <c:v>4.9091338210998349E-2</c:v>
                </c:pt>
                <c:pt idx="2">
                  <c:v>6.6858237547892718E-2</c:v>
                </c:pt>
                <c:pt idx="3">
                  <c:v>8.1784386617100371E-2</c:v>
                </c:pt>
                <c:pt idx="4">
                  <c:v>6.7396798652064022E-2</c:v>
                </c:pt>
                <c:pt idx="5">
                  <c:v>9.375E-2</c:v>
                </c:pt>
                <c:pt idx="6">
                  <c:v>5.826771653543307E-2</c:v>
                </c:pt>
                <c:pt idx="7">
                  <c:v>6.5573770491803282E-2</c:v>
                </c:pt>
              </c:numCache>
            </c:numRef>
          </c:val>
          <c:extLst>
            <c:ext xmlns:c16="http://schemas.microsoft.com/office/drawing/2014/chart" uri="{C3380CC4-5D6E-409C-BE32-E72D297353CC}">
              <c16:uniqueId val="{00000001-4FCE-4908-80F6-89F5048FBD49}"/>
            </c:ext>
          </c:extLst>
        </c:ser>
        <c:ser>
          <c:idx val="1"/>
          <c:order val="1"/>
          <c:tx>
            <c:strRef>
              <c:f>'Hours per wk'!$M$20</c:f>
              <c:strCache>
                <c:ptCount val="1"/>
                <c:pt idx="0">
                  <c:v>More than 10 to 20 hrs</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wk'!$N$20:$U$20</c:f>
              <c:numCache>
                <c:formatCode>0.0%</c:formatCode>
                <c:ptCount val="8"/>
                <c:pt idx="0">
                  <c:v>8.2119976703552713E-2</c:v>
                </c:pt>
                <c:pt idx="1">
                  <c:v>8.6145857918338453E-2</c:v>
                </c:pt>
                <c:pt idx="2">
                  <c:v>0.11053639846743295</c:v>
                </c:pt>
                <c:pt idx="3">
                  <c:v>8.4262701363073109E-2</c:v>
                </c:pt>
                <c:pt idx="4">
                  <c:v>8.1297388374052232E-2</c:v>
                </c:pt>
                <c:pt idx="5">
                  <c:v>6.25E-2</c:v>
                </c:pt>
                <c:pt idx="6">
                  <c:v>6.7716535433070865E-2</c:v>
                </c:pt>
                <c:pt idx="7">
                  <c:v>8.7431693989071038E-2</c:v>
                </c:pt>
              </c:numCache>
            </c:numRef>
          </c:val>
          <c:extLst>
            <c:ext xmlns:c16="http://schemas.microsoft.com/office/drawing/2014/chart" uri="{C3380CC4-5D6E-409C-BE32-E72D297353CC}">
              <c16:uniqueId val="{00000002-4FCE-4908-80F6-89F5048FBD49}"/>
            </c:ext>
          </c:extLst>
        </c:ser>
        <c:ser>
          <c:idx val="2"/>
          <c:order val="2"/>
          <c:tx>
            <c:strRef>
              <c:f>'Hours per wk'!$M$21</c:f>
              <c:strCache>
                <c:ptCount val="1"/>
                <c:pt idx="0">
                  <c:v>More than 20 to 30 hrs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wk'!$N$21:$U$21</c:f>
              <c:numCache>
                <c:formatCode>0.0%</c:formatCode>
                <c:ptCount val="8"/>
                <c:pt idx="0">
                  <c:v>0.17142302465540671</c:v>
                </c:pt>
                <c:pt idx="1">
                  <c:v>0.19070096766580127</c:v>
                </c:pt>
                <c:pt idx="2">
                  <c:v>0.18908045977011495</c:v>
                </c:pt>
                <c:pt idx="3">
                  <c:v>0.15489467162329615</c:v>
                </c:pt>
                <c:pt idx="4">
                  <c:v>0.17101937657961247</c:v>
                </c:pt>
                <c:pt idx="5">
                  <c:v>0.16576086956521738</c:v>
                </c:pt>
                <c:pt idx="6">
                  <c:v>0.14488188976377953</c:v>
                </c:pt>
                <c:pt idx="7">
                  <c:v>0.15846994535519127</c:v>
                </c:pt>
              </c:numCache>
            </c:numRef>
          </c:val>
          <c:extLst>
            <c:ext xmlns:c16="http://schemas.microsoft.com/office/drawing/2014/chart" uri="{C3380CC4-5D6E-409C-BE32-E72D297353CC}">
              <c16:uniqueId val="{00000003-4FCE-4908-80F6-89F5048FBD49}"/>
            </c:ext>
          </c:extLst>
        </c:ser>
        <c:ser>
          <c:idx val="3"/>
          <c:order val="3"/>
          <c:tx>
            <c:strRef>
              <c:f>'Hours per wk'!$M$22</c:f>
              <c:strCache>
                <c:ptCount val="1"/>
                <c:pt idx="0">
                  <c:v>More than 30 to 40 hrs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wk'!$N$22:$U$22</c:f>
              <c:numCache>
                <c:formatCode>0.0%</c:formatCode>
                <c:ptCount val="8"/>
                <c:pt idx="0">
                  <c:v>0.50669772859638906</c:v>
                </c:pt>
                <c:pt idx="1">
                  <c:v>0.49988199197545435</c:v>
                </c:pt>
                <c:pt idx="2">
                  <c:v>0.42624521072796934</c:v>
                </c:pt>
                <c:pt idx="3">
                  <c:v>0.4399008674101611</c:v>
                </c:pt>
                <c:pt idx="4">
                  <c:v>0.42881213142375735</c:v>
                </c:pt>
                <c:pt idx="5">
                  <c:v>0.48097826086956524</c:v>
                </c:pt>
                <c:pt idx="6">
                  <c:v>0.43307086614173229</c:v>
                </c:pt>
                <c:pt idx="7">
                  <c:v>0.53551912568306015</c:v>
                </c:pt>
              </c:numCache>
            </c:numRef>
          </c:val>
          <c:extLst>
            <c:ext xmlns:c16="http://schemas.microsoft.com/office/drawing/2014/chart" uri="{C3380CC4-5D6E-409C-BE32-E72D297353CC}">
              <c16:uniqueId val="{00000004-4FCE-4908-80F6-89F5048FBD49}"/>
            </c:ext>
          </c:extLst>
        </c:ser>
        <c:ser>
          <c:idx val="4"/>
          <c:order val="4"/>
          <c:tx>
            <c:strRef>
              <c:f>'Hours per wk'!$M$23</c:f>
              <c:strCache>
                <c:ptCount val="1"/>
                <c:pt idx="0">
                  <c:v>More than 40 to 50 hrs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wk'!$N$23:$U$23</c:f>
              <c:numCache>
                <c:formatCode>0.0%</c:formatCode>
                <c:ptCount val="8"/>
                <c:pt idx="0">
                  <c:v>0.11822947000582411</c:v>
                </c:pt>
                <c:pt idx="1">
                  <c:v>0.11470379985839037</c:v>
                </c:pt>
                <c:pt idx="2">
                  <c:v>0.12816091954022987</c:v>
                </c:pt>
                <c:pt idx="3">
                  <c:v>0.13011152416356878</c:v>
                </c:pt>
                <c:pt idx="4">
                  <c:v>0.13732097725358045</c:v>
                </c:pt>
                <c:pt idx="5">
                  <c:v>0.1358695652173913</c:v>
                </c:pt>
                <c:pt idx="6">
                  <c:v>0.15118110236220472</c:v>
                </c:pt>
                <c:pt idx="7">
                  <c:v>0.13114754098360656</c:v>
                </c:pt>
              </c:numCache>
            </c:numRef>
          </c:val>
          <c:extLst>
            <c:ext xmlns:c16="http://schemas.microsoft.com/office/drawing/2014/chart" uri="{C3380CC4-5D6E-409C-BE32-E72D297353CC}">
              <c16:uniqueId val="{00000005-4FCE-4908-80F6-89F5048FBD49}"/>
            </c:ext>
          </c:extLst>
        </c:ser>
        <c:ser>
          <c:idx val="5"/>
          <c:order val="5"/>
          <c:tx>
            <c:strRef>
              <c:f>'Hours per wk'!$M$24</c:f>
              <c:strCache>
                <c:ptCount val="1"/>
                <c:pt idx="0">
                  <c:v>More than 50  hrs</c:v>
                </c:pt>
              </c:strCache>
            </c:strRef>
          </c:tx>
          <c:spPr>
            <a:solidFill>
              <a:schemeClr val="accent2">
                <a:tint val="50000"/>
              </a:schemeClr>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6-4FCE-4908-80F6-89F5048FBD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'Hours per wk'!$N$18:$U$18</c:f>
              <c:strCache>
                <c:ptCount val="8"/>
                <c:pt idx="0">
                  <c:v>NSW (Av. 35.52 hrs)</c:v>
                </c:pt>
                <c:pt idx="1">
                  <c:v>VIC (Av. 35.55 hrs)</c:v>
                </c:pt>
                <c:pt idx="2">
                  <c:v>Qld (Av. 35.08 hrs)</c:v>
                </c:pt>
                <c:pt idx="3">
                  <c:v>SA (Av. 36.47 hrs)</c:v>
                </c:pt>
                <c:pt idx="4">
                  <c:v>WA (Av. 37.35 hrs)</c:v>
                </c:pt>
                <c:pt idx="5">
                  <c:v>Tas (Av. 35.11 hrs)</c:v>
                </c:pt>
                <c:pt idx="6">
                  <c:v>NT (Av. 38.96 hrs)</c:v>
                </c:pt>
                <c:pt idx="7">
                  <c:v>ACT (Av. 34.6 hrs)</c:v>
                </c:pt>
              </c:strCache>
            </c:strRef>
          </c:cat>
          <c:val>
            <c:numRef>
              <c:f>'Hours per wk'!$N$24:$U$24</c:f>
              <c:numCache>
                <c:formatCode>0.0%</c:formatCode>
                <c:ptCount val="8"/>
                <c:pt idx="0">
                  <c:v>6.1541448262473306E-2</c:v>
                </c:pt>
                <c:pt idx="1">
                  <c:v>5.947604437101723E-2</c:v>
                </c:pt>
                <c:pt idx="2">
                  <c:v>7.9118773946360146E-2</c:v>
                </c:pt>
                <c:pt idx="3">
                  <c:v>0.1090458488228005</c:v>
                </c:pt>
                <c:pt idx="4">
                  <c:v>0.11415332771693344</c:v>
                </c:pt>
                <c:pt idx="5">
                  <c:v>6.1141304347826088E-2</c:v>
                </c:pt>
                <c:pt idx="6">
                  <c:v>0.14488188976377953</c:v>
                </c:pt>
                <c:pt idx="7">
                  <c:v>2.185792349726776E-2</c:v>
                </c:pt>
              </c:numCache>
            </c:numRef>
          </c:val>
          <c:extLst>
            <c:ext xmlns:c16="http://schemas.microsoft.com/office/drawing/2014/chart" uri="{C3380CC4-5D6E-409C-BE32-E72D297353CC}">
              <c16:uniqueId val="{00000007-4FCE-4908-80F6-89F5048FBD49}"/>
            </c:ext>
          </c:extLst>
        </c:ser>
        <c:dLbls>
          <c:showLegendKey val="0"/>
          <c:showVal val="0"/>
          <c:showCatName val="0"/>
          <c:showSerName val="0"/>
          <c:showPercent val="0"/>
          <c:showBubbleSize val="0"/>
        </c:dLbls>
        <c:gapWidth val="60"/>
        <c:overlap val="100"/>
        <c:axId val="380658952"/>
        <c:axId val="380656600"/>
      </c:barChart>
      <c:catAx>
        <c:axId val="38065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6600"/>
        <c:crosses val="autoZero"/>
        <c:auto val="1"/>
        <c:lblAlgn val="ctr"/>
        <c:lblOffset val="100"/>
        <c:noMultiLvlLbl val="0"/>
      </c:catAx>
      <c:valAx>
        <c:axId val="380656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8952"/>
        <c:crosses val="autoZero"/>
        <c:crossBetween val="between"/>
        <c:majorUnit val="0.2"/>
      </c:valAx>
      <c:spPr>
        <a:noFill/>
        <a:ln>
          <a:noFill/>
        </a:ln>
        <a:effectLst/>
      </c:spPr>
    </c:plotArea>
    <c:legend>
      <c:legendPos val="t"/>
      <c:layout>
        <c:manualLayout>
          <c:xMode val="edge"/>
          <c:yMode val="edge"/>
          <c:x val="7.997604326304851E-2"/>
          <c:y val="2.5934730927166631E-2"/>
          <c:w val="0.87360478430129118"/>
          <c:h val="0.1289589179567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214479255902894"/>
          <c:y val="0.25223097112860893"/>
          <c:w val="0.84366615429441805"/>
          <c:h val="0.60549081364829394"/>
        </c:manualLayout>
      </c:layout>
      <c:barChart>
        <c:barDir val="bar"/>
        <c:grouping val="stacked"/>
        <c:varyColors val="0"/>
        <c:ser>
          <c:idx val="0"/>
          <c:order val="0"/>
          <c:tx>
            <c:strRef>
              <c:f>'hrs gender'!$G$15</c:f>
              <c:strCache>
                <c:ptCount val="1"/>
                <c:pt idx="0">
                  <c:v>0 to 10 hrs</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gender'!$H$15:$I$15</c:f>
              <c:numCache>
                <c:formatCode>0.0%</c:formatCode>
                <c:ptCount val="2"/>
                <c:pt idx="0">
                  <c:v>5.3545199626118305E-2</c:v>
                </c:pt>
                <c:pt idx="1">
                  <c:v>6.8247005230302013E-2</c:v>
                </c:pt>
              </c:numCache>
            </c:numRef>
          </c:val>
          <c:extLst>
            <c:ext xmlns:c16="http://schemas.microsoft.com/office/drawing/2014/chart" uri="{C3380CC4-5D6E-409C-BE32-E72D297353CC}">
              <c16:uniqueId val="{00000000-6C2B-4C5C-9577-AAF2D512EEBE}"/>
            </c:ext>
          </c:extLst>
        </c:ser>
        <c:ser>
          <c:idx val="1"/>
          <c:order val="1"/>
          <c:tx>
            <c:strRef>
              <c:f>'hrs gender'!$G$16</c:f>
              <c:strCache>
                <c:ptCount val="1"/>
                <c:pt idx="0">
                  <c:v>More than 10 to 20 hrs</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gender'!$H$16:$I$16</c:f>
              <c:numCache>
                <c:formatCode>0.0%</c:formatCode>
                <c:ptCount val="2"/>
                <c:pt idx="0">
                  <c:v>6.7832821471491514E-2</c:v>
                </c:pt>
                <c:pt idx="1">
                  <c:v>0.1031719250885777</c:v>
                </c:pt>
              </c:numCache>
            </c:numRef>
          </c:val>
          <c:extLst>
            <c:ext xmlns:c16="http://schemas.microsoft.com/office/drawing/2014/chart" uri="{C3380CC4-5D6E-409C-BE32-E72D297353CC}">
              <c16:uniqueId val="{00000001-6C2B-4C5C-9577-AAF2D512EEBE}"/>
            </c:ext>
          </c:extLst>
        </c:ser>
        <c:ser>
          <c:idx val="2"/>
          <c:order val="2"/>
          <c:tx>
            <c:strRef>
              <c:f>'hrs gender'!$G$17</c:f>
              <c:strCache>
                <c:ptCount val="1"/>
                <c:pt idx="0">
                  <c:v>More than 20 to 30 hrs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gender'!$H$17:$I$17</c:f>
              <c:numCache>
                <c:formatCode>0.0%</c:formatCode>
                <c:ptCount val="2"/>
                <c:pt idx="0">
                  <c:v>0.1416744558686073</c:v>
                </c:pt>
                <c:pt idx="1">
                  <c:v>0.20170406613801248</c:v>
                </c:pt>
              </c:numCache>
            </c:numRef>
          </c:val>
          <c:extLst>
            <c:ext xmlns:c16="http://schemas.microsoft.com/office/drawing/2014/chart" uri="{C3380CC4-5D6E-409C-BE32-E72D297353CC}">
              <c16:uniqueId val="{00000002-6C2B-4C5C-9577-AAF2D512EEBE}"/>
            </c:ext>
          </c:extLst>
        </c:ser>
        <c:ser>
          <c:idx val="3"/>
          <c:order val="3"/>
          <c:tx>
            <c:strRef>
              <c:f>'hrs gender'!$G$18</c:f>
              <c:strCache>
                <c:ptCount val="1"/>
                <c:pt idx="0">
                  <c:v>More than 30 to 40 hrs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gender'!$H$18:$I$18</c:f>
              <c:numCache>
                <c:formatCode>0.0%</c:formatCode>
                <c:ptCount val="2"/>
                <c:pt idx="0">
                  <c:v>0.47923621311256509</c:v>
                </c:pt>
                <c:pt idx="1">
                  <c:v>0.460941454361397</c:v>
                </c:pt>
              </c:numCache>
            </c:numRef>
          </c:val>
          <c:extLst>
            <c:ext xmlns:c16="http://schemas.microsoft.com/office/drawing/2014/chart" uri="{C3380CC4-5D6E-409C-BE32-E72D297353CC}">
              <c16:uniqueId val="{00000003-6C2B-4C5C-9577-AAF2D512EEBE}"/>
            </c:ext>
          </c:extLst>
        </c:ser>
        <c:ser>
          <c:idx val="4"/>
          <c:order val="4"/>
          <c:tx>
            <c:strRef>
              <c:f>'hrs gender'!$G$19</c:f>
              <c:strCache>
                <c:ptCount val="1"/>
                <c:pt idx="0">
                  <c:v>More than 40 to 50 hrs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gender'!$H$19:$I$19</c:f>
              <c:numCache>
                <c:formatCode>0.0%</c:formatCode>
                <c:ptCount val="2"/>
                <c:pt idx="0">
                  <c:v>0.14941914808385631</c:v>
                </c:pt>
                <c:pt idx="1">
                  <c:v>0.10933018390416736</c:v>
                </c:pt>
              </c:numCache>
            </c:numRef>
          </c:val>
          <c:extLst>
            <c:ext xmlns:c16="http://schemas.microsoft.com/office/drawing/2014/chart" uri="{C3380CC4-5D6E-409C-BE32-E72D297353CC}">
              <c16:uniqueId val="{00000004-6C2B-4C5C-9577-AAF2D512EEBE}"/>
            </c:ext>
          </c:extLst>
        </c:ser>
        <c:ser>
          <c:idx val="5"/>
          <c:order val="5"/>
          <c:tx>
            <c:strRef>
              <c:f>'hrs gender'!$G$20</c:f>
              <c:strCache>
                <c:ptCount val="1"/>
                <c:pt idx="0">
                  <c:v>More than 50  hrs</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gender'!$H$14:$I$14</c:f>
              <c:strCache>
                <c:ptCount val="2"/>
                <c:pt idx="0">
                  <c:v>Male (Av. 38.1 hrs)</c:v>
                </c:pt>
                <c:pt idx="1">
                  <c:v>Female (Av. 34.3 hrs)</c:v>
                </c:pt>
              </c:strCache>
            </c:strRef>
          </c:cat>
          <c:val>
            <c:numRef>
              <c:f>'hrs gender'!$H$20:$I$20</c:f>
              <c:numCache>
                <c:formatCode>0.0%</c:formatCode>
                <c:ptCount val="2"/>
                <c:pt idx="0">
                  <c:v>0.10829216183736146</c:v>
                </c:pt>
                <c:pt idx="1">
                  <c:v>5.6605365277543444E-2</c:v>
                </c:pt>
              </c:numCache>
            </c:numRef>
          </c:val>
          <c:extLst>
            <c:ext xmlns:c16="http://schemas.microsoft.com/office/drawing/2014/chart" uri="{C3380CC4-5D6E-409C-BE32-E72D297353CC}">
              <c16:uniqueId val="{00000005-6C2B-4C5C-9577-AAF2D512EEBE}"/>
            </c:ext>
          </c:extLst>
        </c:ser>
        <c:dLbls>
          <c:showLegendKey val="0"/>
          <c:showVal val="0"/>
          <c:showCatName val="0"/>
          <c:showSerName val="0"/>
          <c:showPercent val="0"/>
          <c:showBubbleSize val="0"/>
        </c:dLbls>
        <c:gapWidth val="60"/>
        <c:overlap val="100"/>
        <c:axId val="380661696"/>
        <c:axId val="380662480"/>
      </c:barChart>
      <c:catAx>
        <c:axId val="38066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2480"/>
        <c:crosses val="autoZero"/>
        <c:auto val="1"/>
        <c:lblAlgn val="ctr"/>
        <c:lblOffset val="100"/>
        <c:noMultiLvlLbl val="0"/>
      </c:catAx>
      <c:valAx>
        <c:axId val="3806624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1696"/>
        <c:crosses val="autoZero"/>
        <c:crossBetween val="between"/>
        <c:majorUnit val="0.1"/>
      </c:valAx>
      <c:spPr>
        <a:noFill/>
        <a:ln>
          <a:noFill/>
        </a:ln>
        <a:effectLst/>
      </c:spPr>
    </c:plotArea>
    <c:legend>
      <c:legendPos val="t"/>
      <c:layout>
        <c:manualLayout>
          <c:xMode val="edge"/>
          <c:yMode val="edge"/>
          <c:x val="7.2048611111111119E-2"/>
          <c:y val="3.5277777777777776E-2"/>
          <c:w val="0.87795138888888891"/>
          <c:h val="0.205052777777777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854938750870184"/>
          <c:y val="0.20156976687877112"/>
          <c:w val="0.74834066415307643"/>
          <c:h val="0.67294883342534217"/>
        </c:manualLayout>
      </c:layout>
      <c:barChart>
        <c:barDir val="bar"/>
        <c:grouping val="stacked"/>
        <c:varyColors val="0"/>
        <c:ser>
          <c:idx val="0"/>
          <c:order val="0"/>
          <c:tx>
            <c:strRef>
              <c:f>'Hrs age'!$I$15</c:f>
              <c:strCache>
                <c:ptCount val="1"/>
                <c:pt idx="0">
                  <c:v>0 to 10 hrs</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age'!$J$15:$M$15</c:f>
              <c:numCache>
                <c:formatCode>0.0%</c:formatCode>
                <c:ptCount val="4"/>
                <c:pt idx="0">
                  <c:v>6.840684068406841E-2</c:v>
                </c:pt>
                <c:pt idx="1">
                  <c:v>6.1807188444743033E-2</c:v>
                </c:pt>
                <c:pt idx="2">
                  <c:v>6.3652241412769262E-2</c:v>
                </c:pt>
                <c:pt idx="3">
                  <c:v>6.3040791100123603E-2</c:v>
                </c:pt>
              </c:numCache>
            </c:numRef>
          </c:val>
          <c:extLst>
            <c:ext xmlns:c16="http://schemas.microsoft.com/office/drawing/2014/chart" uri="{C3380CC4-5D6E-409C-BE32-E72D297353CC}">
              <c16:uniqueId val="{00000000-2393-497D-8412-34D29F434078}"/>
            </c:ext>
          </c:extLst>
        </c:ser>
        <c:ser>
          <c:idx val="1"/>
          <c:order val="1"/>
          <c:tx>
            <c:strRef>
              <c:f>'Hrs age'!$I$16</c:f>
              <c:strCache>
                <c:ptCount val="1"/>
                <c:pt idx="0">
                  <c:v>More than 10 to 20 hrs</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age'!$J$16:$M$16</c:f>
              <c:numCache>
                <c:formatCode>0.0%</c:formatCode>
                <c:ptCount val="4"/>
                <c:pt idx="0">
                  <c:v>0.11701170117011701</c:v>
                </c:pt>
                <c:pt idx="1">
                  <c:v>9.4222371514947931E-2</c:v>
                </c:pt>
                <c:pt idx="2">
                  <c:v>8.4222782844944694E-2</c:v>
                </c:pt>
                <c:pt idx="3">
                  <c:v>8.0964153275648945E-2</c:v>
                </c:pt>
              </c:numCache>
            </c:numRef>
          </c:val>
          <c:extLst>
            <c:ext xmlns:c16="http://schemas.microsoft.com/office/drawing/2014/chart" uri="{C3380CC4-5D6E-409C-BE32-E72D297353CC}">
              <c16:uniqueId val="{00000001-2393-497D-8412-34D29F434078}"/>
            </c:ext>
          </c:extLst>
        </c:ser>
        <c:ser>
          <c:idx val="2"/>
          <c:order val="2"/>
          <c:tx>
            <c:strRef>
              <c:f>'Hrs age'!$I$17</c:f>
              <c:strCache>
                <c:ptCount val="1"/>
                <c:pt idx="0">
                  <c:v>More than 20 to 30 hrs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age'!$J$17:$M$17</c:f>
              <c:numCache>
                <c:formatCode>0.0%</c:formatCode>
                <c:ptCount val="4"/>
                <c:pt idx="0">
                  <c:v>0.25292529252925294</c:v>
                </c:pt>
                <c:pt idx="1">
                  <c:v>0.1854215653342291</c:v>
                </c:pt>
                <c:pt idx="2">
                  <c:v>0.16446730060159132</c:v>
                </c:pt>
                <c:pt idx="3">
                  <c:v>0.19159456118665019</c:v>
                </c:pt>
              </c:numCache>
            </c:numRef>
          </c:val>
          <c:extLst>
            <c:ext xmlns:c16="http://schemas.microsoft.com/office/drawing/2014/chart" uri="{C3380CC4-5D6E-409C-BE32-E72D297353CC}">
              <c16:uniqueId val="{00000002-2393-497D-8412-34D29F434078}"/>
            </c:ext>
          </c:extLst>
        </c:ser>
        <c:ser>
          <c:idx val="3"/>
          <c:order val="3"/>
          <c:tx>
            <c:strRef>
              <c:f>'Hrs age'!$I$18</c:f>
              <c:strCache>
                <c:ptCount val="1"/>
                <c:pt idx="0">
                  <c:v>More than 30 to 40 hrs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age'!$J$18:$M$18</c:f>
              <c:numCache>
                <c:formatCode>0.0%</c:formatCode>
                <c:ptCount val="4"/>
                <c:pt idx="0">
                  <c:v>0.36813681368136814</c:v>
                </c:pt>
                <c:pt idx="1">
                  <c:v>0.44524689284514612</c:v>
                </c:pt>
                <c:pt idx="2">
                  <c:v>0.48796817387929364</c:v>
                </c:pt>
                <c:pt idx="3">
                  <c:v>0.48269468479604449</c:v>
                </c:pt>
              </c:numCache>
            </c:numRef>
          </c:val>
          <c:extLst>
            <c:ext xmlns:c16="http://schemas.microsoft.com/office/drawing/2014/chart" uri="{C3380CC4-5D6E-409C-BE32-E72D297353CC}">
              <c16:uniqueId val="{00000003-2393-497D-8412-34D29F434078}"/>
            </c:ext>
          </c:extLst>
        </c:ser>
        <c:ser>
          <c:idx val="4"/>
          <c:order val="4"/>
          <c:tx>
            <c:strRef>
              <c:f>'Hrs age'!$I$19</c:f>
              <c:strCache>
                <c:ptCount val="1"/>
                <c:pt idx="0">
                  <c:v>More than 40 to 50 hrs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age'!$J$19:$M$19</c:f>
              <c:numCache>
                <c:formatCode>0.0%</c:formatCode>
                <c:ptCount val="4"/>
                <c:pt idx="0">
                  <c:v>0.12601260126012601</c:v>
                </c:pt>
                <c:pt idx="1">
                  <c:v>0.1331877729257642</c:v>
                </c:pt>
                <c:pt idx="2">
                  <c:v>0.12187075490005822</c:v>
                </c:pt>
                <c:pt idx="3">
                  <c:v>0.11928306551297899</c:v>
                </c:pt>
              </c:numCache>
            </c:numRef>
          </c:val>
          <c:extLst>
            <c:ext xmlns:c16="http://schemas.microsoft.com/office/drawing/2014/chart" uri="{C3380CC4-5D6E-409C-BE32-E72D297353CC}">
              <c16:uniqueId val="{00000004-2393-497D-8412-34D29F434078}"/>
            </c:ext>
          </c:extLst>
        </c:ser>
        <c:ser>
          <c:idx val="5"/>
          <c:order val="5"/>
          <c:tx>
            <c:strRef>
              <c:f>'Hrs age'!$I$20</c:f>
              <c:strCache>
                <c:ptCount val="1"/>
                <c:pt idx="0">
                  <c:v>More than 50  hrs</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age'!$J$14:$M$14</c:f>
              <c:strCache>
                <c:ptCount val="4"/>
                <c:pt idx="0">
                  <c:v>Age 18-19 (Av. 34.0 hrs)</c:v>
                </c:pt>
                <c:pt idx="1">
                  <c:v>Age 20-24 (Av. 35.7 hrs)</c:v>
                </c:pt>
                <c:pt idx="2">
                  <c:v>Age 25-30 (Av. 36.0 hrs)</c:v>
                </c:pt>
                <c:pt idx="3">
                  <c:v>Age 31+ (Av. 35.5 hrs)</c:v>
                </c:pt>
              </c:strCache>
            </c:strRef>
          </c:cat>
          <c:val>
            <c:numRef>
              <c:f>'Hrs age'!$J$20:$M$20</c:f>
              <c:numCache>
                <c:formatCode>0.0%</c:formatCode>
                <c:ptCount val="4"/>
                <c:pt idx="0">
                  <c:v>6.7506750675067506E-2</c:v>
                </c:pt>
                <c:pt idx="1">
                  <c:v>8.0114208935169628E-2</c:v>
                </c:pt>
                <c:pt idx="2">
                  <c:v>7.7818746361342908E-2</c:v>
                </c:pt>
                <c:pt idx="3">
                  <c:v>6.2422744128553767E-2</c:v>
                </c:pt>
              </c:numCache>
            </c:numRef>
          </c:val>
          <c:extLst>
            <c:ext xmlns:c16="http://schemas.microsoft.com/office/drawing/2014/chart" uri="{C3380CC4-5D6E-409C-BE32-E72D297353CC}">
              <c16:uniqueId val="{00000005-2393-497D-8412-34D29F434078}"/>
            </c:ext>
          </c:extLst>
        </c:ser>
        <c:dLbls>
          <c:showLegendKey val="0"/>
          <c:showVal val="0"/>
          <c:showCatName val="0"/>
          <c:showSerName val="0"/>
          <c:showPercent val="0"/>
          <c:showBubbleSize val="0"/>
        </c:dLbls>
        <c:gapWidth val="60"/>
        <c:overlap val="100"/>
        <c:axId val="380654640"/>
        <c:axId val="380654248"/>
      </c:barChart>
      <c:catAx>
        <c:axId val="38065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4248"/>
        <c:crosses val="autoZero"/>
        <c:auto val="1"/>
        <c:lblAlgn val="ctr"/>
        <c:lblOffset val="100"/>
        <c:noMultiLvlLbl val="0"/>
      </c:catAx>
      <c:valAx>
        <c:axId val="3806542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4640"/>
        <c:crosses val="autoZero"/>
        <c:crossBetween val="between"/>
        <c:majorUnit val="0.1"/>
      </c:valAx>
      <c:spPr>
        <a:noFill/>
        <a:ln>
          <a:noFill/>
        </a:ln>
        <a:effectLst/>
      </c:spPr>
    </c:plotArea>
    <c:legend>
      <c:legendPos val="t"/>
      <c:layout>
        <c:manualLayout>
          <c:xMode val="edge"/>
          <c:yMode val="edge"/>
          <c:x val="0.19335637554501345"/>
          <c:y val="3.2653061224489799E-2"/>
          <c:w val="0.72850976444252913"/>
          <c:h val="0.162365418608388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1308712712705727"/>
          <c:y val="0.10289558531746032"/>
          <c:w val="0.65380292453472122"/>
          <c:h val="0.82988219246031747"/>
        </c:manualLayout>
      </c:layout>
      <c:barChart>
        <c:barDir val="bar"/>
        <c:grouping val="stacked"/>
        <c:varyColors val="0"/>
        <c:ser>
          <c:idx val="0"/>
          <c:order val="0"/>
          <c:tx>
            <c:strRef>
              <c:f>'Hrs job'!$P$39</c:f>
              <c:strCache>
                <c:ptCount val="1"/>
                <c:pt idx="0">
                  <c:v>0 to 10 hours</c:v>
                </c:pt>
              </c:strCache>
            </c:strRef>
          </c:tx>
          <c:spPr>
            <a:solidFill>
              <a:schemeClr val="accent2">
                <a:shade val="50000"/>
              </a:schemeClr>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8-3AFB-4AC9-BE00-18ACA61F3400}"/>
                </c:ext>
              </c:extLst>
            </c:dLbl>
            <c:dLbl>
              <c:idx val="9"/>
              <c:delete val="1"/>
              <c:extLst>
                <c:ext xmlns:c15="http://schemas.microsoft.com/office/drawing/2012/chart" uri="{CE6537A1-D6FC-4f65-9D91-7224C49458BB}"/>
                <c:ext xmlns:c16="http://schemas.microsoft.com/office/drawing/2014/chart" uri="{C3380CC4-5D6E-409C-BE32-E72D297353CC}">
                  <c16:uniqueId val="{00000007-3AFB-4AC9-BE00-18ACA61F34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job'!$Q$39:$Z$39</c:f>
              <c:numCache>
                <c:formatCode>0.0%</c:formatCode>
                <c:ptCount val="10"/>
                <c:pt idx="0">
                  <c:v>5.0086355785837651E-2</c:v>
                </c:pt>
                <c:pt idx="1">
                  <c:v>7.2046109510086456E-2</c:v>
                </c:pt>
                <c:pt idx="2">
                  <c:v>7.7297034516285848E-2</c:v>
                </c:pt>
                <c:pt idx="3">
                  <c:v>7.564296520423601E-2</c:v>
                </c:pt>
                <c:pt idx="4">
                  <c:v>8.6651053864168617E-2</c:v>
                </c:pt>
                <c:pt idx="5">
                  <c:v>7.301587301587302E-2</c:v>
                </c:pt>
                <c:pt idx="6">
                  <c:v>7.068607068607069E-2</c:v>
                </c:pt>
                <c:pt idx="7">
                  <c:v>4.3189368770764118E-2</c:v>
                </c:pt>
                <c:pt idx="8">
                  <c:v>5.2356020942408377E-2</c:v>
                </c:pt>
                <c:pt idx="9">
                  <c:v>4.9308478653036683E-2</c:v>
                </c:pt>
              </c:numCache>
            </c:numRef>
          </c:val>
          <c:extLst>
            <c:ext xmlns:c16="http://schemas.microsoft.com/office/drawing/2014/chart" uri="{C3380CC4-5D6E-409C-BE32-E72D297353CC}">
              <c16:uniqueId val="{00000000-3AFB-4AC9-BE00-18ACA61F3400}"/>
            </c:ext>
          </c:extLst>
        </c:ser>
        <c:ser>
          <c:idx val="1"/>
          <c:order val="1"/>
          <c:tx>
            <c:strRef>
              <c:f>'Hrs job'!$P$40</c:f>
              <c:strCache>
                <c:ptCount val="1"/>
                <c:pt idx="0">
                  <c:v>More than 10 to 20 hours</c:v>
                </c:pt>
              </c:strCache>
            </c:strRef>
          </c:tx>
          <c:spPr>
            <a:solidFill>
              <a:schemeClr val="accent2">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E-3AFB-4AC9-BE00-18ACA61F3400}"/>
                </c:ext>
              </c:extLst>
            </c:dLbl>
            <c:dLbl>
              <c:idx val="3"/>
              <c:delete val="1"/>
              <c:extLst>
                <c:ext xmlns:c15="http://schemas.microsoft.com/office/drawing/2012/chart" uri="{CE6537A1-D6FC-4f65-9D91-7224C49458BB}"/>
                <c:ext xmlns:c16="http://schemas.microsoft.com/office/drawing/2014/chart" uri="{C3380CC4-5D6E-409C-BE32-E72D297353CC}">
                  <c16:uniqueId val="{0000000F-3AFB-4AC9-BE00-18ACA61F34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job'!$Q$40:$Z$40</c:f>
              <c:numCache>
                <c:formatCode>0.0%</c:formatCode>
                <c:ptCount val="10"/>
                <c:pt idx="0">
                  <c:v>6.3903281519861826E-2</c:v>
                </c:pt>
                <c:pt idx="1">
                  <c:v>4.3227665706051875E-2</c:v>
                </c:pt>
                <c:pt idx="2">
                  <c:v>5.0315994166261549E-2</c:v>
                </c:pt>
                <c:pt idx="3">
                  <c:v>2.2692889561270801E-2</c:v>
                </c:pt>
                <c:pt idx="4">
                  <c:v>5.3864168618266976E-2</c:v>
                </c:pt>
                <c:pt idx="5">
                  <c:v>0.13015873015873017</c:v>
                </c:pt>
                <c:pt idx="6">
                  <c:v>0.16632016632016633</c:v>
                </c:pt>
                <c:pt idx="7">
                  <c:v>0.1461794019933555</c:v>
                </c:pt>
                <c:pt idx="8">
                  <c:v>0.13219895287958114</c:v>
                </c:pt>
                <c:pt idx="9">
                  <c:v>0.18280216476247746</c:v>
                </c:pt>
              </c:numCache>
            </c:numRef>
          </c:val>
          <c:extLst>
            <c:ext xmlns:c16="http://schemas.microsoft.com/office/drawing/2014/chart" uri="{C3380CC4-5D6E-409C-BE32-E72D297353CC}">
              <c16:uniqueId val="{00000001-3AFB-4AC9-BE00-18ACA61F3400}"/>
            </c:ext>
          </c:extLst>
        </c:ser>
        <c:ser>
          <c:idx val="2"/>
          <c:order val="2"/>
          <c:tx>
            <c:strRef>
              <c:f>'Hrs job'!$P$41</c:f>
              <c:strCache>
                <c:ptCount val="1"/>
                <c:pt idx="0">
                  <c:v>More than 20 to 30 hours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job'!$Q$41:$Z$41</c:f>
              <c:numCache>
                <c:formatCode>0.0%</c:formatCode>
                <c:ptCount val="10"/>
                <c:pt idx="0">
                  <c:v>9.8445595854922283E-2</c:v>
                </c:pt>
                <c:pt idx="1">
                  <c:v>9.4140249759846306E-2</c:v>
                </c:pt>
                <c:pt idx="2">
                  <c:v>0.14778804083616917</c:v>
                </c:pt>
                <c:pt idx="3">
                  <c:v>6.9591527987897125E-2</c:v>
                </c:pt>
                <c:pt idx="4">
                  <c:v>0.12412177985948478</c:v>
                </c:pt>
                <c:pt idx="5">
                  <c:v>0.2253968253968254</c:v>
                </c:pt>
                <c:pt idx="6">
                  <c:v>0.21829521829521831</c:v>
                </c:pt>
                <c:pt idx="7">
                  <c:v>0.29485049833887045</c:v>
                </c:pt>
                <c:pt idx="8">
                  <c:v>0.34293193717277487</c:v>
                </c:pt>
                <c:pt idx="9">
                  <c:v>0.32772098616957307</c:v>
                </c:pt>
              </c:numCache>
            </c:numRef>
          </c:val>
          <c:extLst>
            <c:ext xmlns:c16="http://schemas.microsoft.com/office/drawing/2014/chart" uri="{C3380CC4-5D6E-409C-BE32-E72D297353CC}">
              <c16:uniqueId val="{00000002-3AFB-4AC9-BE00-18ACA61F3400}"/>
            </c:ext>
          </c:extLst>
        </c:ser>
        <c:ser>
          <c:idx val="3"/>
          <c:order val="3"/>
          <c:tx>
            <c:strRef>
              <c:f>'Hrs job'!$P$42</c:f>
              <c:strCache>
                <c:ptCount val="1"/>
                <c:pt idx="0">
                  <c:v>More than 30 to 40 hours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job'!$Q$42:$Z$42</c:f>
              <c:numCache>
                <c:formatCode>0.0%</c:formatCode>
                <c:ptCount val="10"/>
                <c:pt idx="0">
                  <c:v>0.46459412780656306</c:v>
                </c:pt>
                <c:pt idx="1">
                  <c:v>0.46589817483189239</c:v>
                </c:pt>
                <c:pt idx="2">
                  <c:v>0.45673310646572679</c:v>
                </c:pt>
                <c:pt idx="3">
                  <c:v>0.67624810892586984</c:v>
                </c:pt>
                <c:pt idx="4">
                  <c:v>0.53044496487119441</c:v>
                </c:pt>
                <c:pt idx="5">
                  <c:v>0.40740740740740738</c:v>
                </c:pt>
                <c:pt idx="6">
                  <c:v>0.37629937629937632</c:v>
                </c:pt>
                <c:pt idx="7">
                  <c:v>0.39534883720930231</c:v>
                </c:pt>
                <c:pt idx="8">
                  <c:v>0.38743455497382201</c:v>
                </c:pt>
                <c:pt idx="9">
                  <c:v>0.32651834034876731</c:v>
                </c:pt>
              </c:numCache>
            </c:numRef>
          </c:val>
          <c:extLst>
            <c:ext xmlns:c16="http://schemas.microsoft.com/office/drawing/2014/chart" uri="{C3380CC4-5D6E-409C-BE32-E72D297353CC}">
              <c16:uniqueId val="{00000003-3AFB-4AC9-BE00-18ACA61F3400}"/>
            </c:ext>
          </c:extLst>
        </c:ser>
        <c:ser>
          <c:idx val="4"/>
          <c:order val="4"/>
          <c:tx>
            <c:strRef>
              <c:f>'Hrs job'!$P$43</c:f>
              <c:strCache>
                <c:ptCount val="1"/>
                <c:pt idx="0">
                  <c:v>More than 40 to 50 hours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job'!$Q$43:$Z$43</c:f>
              <c:numCache>
                <c:formatCode>0.0%</c:formatCode>
                <c:ptCount val="10"/>
                <c:pt idx="0">
                  <c:v>0.17789291882556132</c:v>
                </c:pt>
                <c:pt idx="1">
                  <c:v>0.19020172910662825</c:v>
                </c:pt>
                <c:pt idx="2">
                  <c:v>0.16674769081186194</c:v>
                </c:pt>
                <c:pt idx="3">
                  <c:v>0.12859304084720122</c:v>
                </c:pt>
                <c:pt idx="4">
                  <c:v>0.1288056206088993</c:v>
                </c:pt>
                <c:pt idx="5">
                  <c:v>9.6296296296296297E-2</c:v>
                </c:pt>
                <c:pt idx="6">
                  <c:v>0.12058212058212059</c:v>
                </c:pt>
                <c:pt idx="7">
                  <c:v>9.3023255813953487E-2</c:v>
                </c:pt>
                <c:pt idx="8">
                  <c:v>6.6753926701570682E-2</c:v>
                </c:pt>
                <c:pt idx="9">
                  <c:v>8.8995790739627184E-2</c:v>
                </c:pt>
              </c:numCache>
            </c:numRef>
          </c:val>
          <c:extLst>
            <c:ext xmlns:c16="http://schemas.microsoft.com/office/drawing/2014/chart" uri="{C3380CC4-5D6E-409C-BE32-E72D297353CC}">
              <c16:uniqueId val="{00000004-3AFB-4AC9-BE00-18ACA61F3400}"/>
            </c:ext>
          </c:extLst>
        </c:ser>
        <c:ser>
          <c:idx val="5"/>
          <c:order val="5"/>
          <c:tx>
            <c:strRef>
              <c:f>'Hrs job'!$P$44</c:f>
              <c:strCache>
                <c:ptCount val="1"/>
                <c:pt idx="0">
                  <c:v>More than 50 hours</c:v>
                </c:pt>
              </c:strCache>
            </c:strRef>
          </c:tx>
          <c:spPr>
            <a:solidFill>
              <a:schemeClr val="accent2">
                <a:tint val="50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3AFB-4AC9-BE00-18ACA61F3400}"/>
                </c:ext>
              </c:extLst>
            </c:dLbl>
            <c:dLbl>
              <c:idx val="6"/>
              <c:delete val="1"/>
              <c:extLst>
                <c:ext xmlns:c15="http://schemas.microsoft.com/office/drawing/2012/chart" uri="{CE6537A1-D6FC-4f65-9D91-7224C49458BB}"/>
                <c:ext xmlns:c16="http://schemas.microsoft.com/office/drawing/2014/chart" uri="{C3380CC4-5D6E-409C-BE32-E72D297353CC}">
                  <c16:uniqueId val="{0000000C-3AFB-4AC9-BE00-18ACA61F3400}"/>
                </c:ext>
              </c:extLst>
            </c:dLbl>
            <c:dLbl>
              <c:idx val="7"/>
              <c:delete val="1"/>
              <c:extLst>
                <c:ext xmlns:c15="http://schemas.microsoft.com/office/drawing/2012/chart" uri="{CE6537A1-D6FC-4f65-9D91-7224C49458BB}"/>
                <c:ext xmlns:c16="http://schemas.microsoft.com/office/drawing/2014/chart" uri="{C3380CC4-5D6E-409C-BE32-E72D297353CC}">
                  <c16:uniqueId val="{0000000B-3AFB-4AC9-BE00-18ACA61F3400}"/>
                </c:ext>
              </c:extLst>
            </c:dLbl>
            <c:dLbl>
              <c:idx val="8"/>
              <c:delete val="1"/>
              <c:extLst>
                <c:ext xmlns:c15="http://schemas.microsoft.com/office/drawing/2012/chart" uri="{CE6537A1-D6FC-4f65-9D91-7224C49458BB}"/>
                <c:ext xmlns:c16="http://schemas.microsoft.com/office/drawing/2014/chart" uri="{C3380CC4-5D6E-409C-BE32-E72D297353CC}">
                  <c16:uniqueId val="{00000009-3AFB-4AC9-BE00-18ACA61F3400}"/>
                </c:ext>
              </c:extLst>
            </c:dLbl>
            <c:dLbl>
              <c:idx val="9"/>
              <c:delete val="1"/>
              <c:extLst>
                <c:ext xmlns:c15="http://schemas.microsoft.com/office/drawing/2012/chart" uri="{CE6537A1-D6FC-4f65-9D91-7224C49458BB}"/>
                <c:ext xmlns:c16="http://schemas.microsoft.com/office/drawing/2014/chart" uri="{C3380CC4-5D6E-409C-BE32-E72D297353CC}">
                  <c16:uniqueId val="{0000000A-3AFB-4AC9-BE00-18ACA61F34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job'!$Q$38:$Z$38</c:f>
              <c:strCache>
                <c:ptCount val="10"/>
                <c:pt idx="0">
                  <c:v>Building labourer (Av. 39.8 hrs)</c:v>
                </c:pt>
                <c:pt idx="1">
                  <c:v>Other farm, forestry and garden workers (Av. 39.7 hrs)</c:v>
                </c:pt>
                <c:pt idx="2">
                  <c:v>Crop farm worker (Av. 37.4 hrs)</c:v>
                </c:pt>
                <c:pt idx="3">
                  <c:v>Meat, chicken and fish process worker (Av. 36.6 hrs)</c:v>
                </c:pt>
                <c:pt idx="4">
                  <c:v>Hand packer (Av. 36.2 hrs)</c:v>
                </c:pt>
                <c:pt idx="5">
                  <c:v>Other hospitality, tourism &amp; sport (Av. 33.4 hrs)</c:v>
                </c:pt>
                <c:pt idx="6">
                  <c:v>Kitchen hand (Av. 32.7 hrs)</c:v>
                </c:pt>
                <c:pt idx="7">
                  <c:v>Bar attendant or barista (Av. 32.2 hrs)</c:v>
                </c:pt>
                <c:pt idx="8">
                  <c:v>Nanny or au pair (Av. 31.3 hrs)</c:v>
                </c:pt>
                <c:pt idx="9">
                  <c:v>Waiter (Av. 30.9 hrs)</c:v>
                </c:pt>
              </c:strCache>
            </c:strRef>
          </c:cat>
          <c:val>
            <c:numRef>
              <c:f>'Hrs job'!$Q$44:$Z$44</c:f>
              <c:numCache>
                <c:formatCode>0.0%</c:formatCode>
                <c:ptCount val="10"/>
                <c:pt idx="0">
                  <c:v>0.14507772020725387</c:v>
                </c:pt>
                <c:pt idx="1">
                  <c:v>0.13448607108549471</c:v>
                </c:pt>
                <c:pt idx="2">
                  <c:v>0.1011181332036947</c:v>
                </c:pt>
                <c:pt idx="3">
                  <c:v>2.7231467473524961E-2</c:v>
                </c:pt>
                <c:pt idx="4">
                  <c:v>7.611241217798595E-2</c:v>
                </c:pt>
                <c:pt idx="5">
                  <c:v>6.7724867724867729E-2</c:v>
                </c:pt>
                <c:pt idx="6">
                  <c:v>4.781704781704782E-2</c:v>
                </c:pt>
                <c:pt idx="7">
                  <c:v>2.7408637873754152E-2</c:v>
                </c:pt>
                <c:pt idx="8">
                  <c:v>1.832460732984293E-2</c:v>
                </c:pt>
                <c:pt idx="9">
                  <c:v>2.4654239326518342E-2</c:v>
                </c:pt>
              </c:numCache>
            </c:numRef>
          </c:val>
          <c:extLst>
            <c:ext xmlns:c16="http://schemas.microsoft.com/office/drawing/2014/chart" uri="{C3380CC4-5D6E-409C-BE32-E72D297353CC}">
              <c16:uniqueId val="{00000005-3AFB-4AC9-BE00-18ACA61F3400}"/>
            </c:ext>
          </c:extLst>
        </c:ser>
        <c:dLbls>
          <c:showLegendKey val="0"/>
          <c:showVal val="0"/>
          <c:showCatName val="0"/>
          <c:showSerName val="0"/>
          <c:showPercent val="0"/>
          <c:showBubbleSize val="0"/>
        </c:dLbls>
        <c:gapWidth val="60"/>
        <c:overlap val="100"/>
        <c:axId val="380659736"/>
        <c:axId val="380660128"/>
      </c:barChart>
      <c:catAx>
        <c:axId val="380659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0128"/>
        <c:crosses val="autoZero"/>
        <c:auto val="1"/>
        <c:lblAlgn val="ctr"/>
        <c:lblOffset val="100"/>
        <c:noMultiLvlLbl val="0"/>
      </c:catAx>
      <c:valAx>
        <c:axId val="3806601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9736"/>
        <c:crosses val="autoZero"/>
        <c:crossBetween val="between"/>
        <c:majorUnit val="0.1"/>
      </c:valAx>
      <c:spPr>
        <a:noFill/>
        <a:ln>
          <a:noFill/>
        </a:ln>
        <a:effectLst/>
      </c:spPr>
    </c:plotArea>
    <c:legend>
      <c:legendPos val="t"/>
      <c:layout>
        <c:manualLayout>
          <c:xMode val="edge"/>
          <c:yMode val="edge"/>
          <c:x val="0.25432164297746584"/>
          <c:y val="1.8898809523809523E-2"/>
          <c:w val="0.74567835702253438"/>
          <c:h val="9.3973214285714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Survey population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1"/>
          <c:order val="0"/>
          <c:tx>
            <c:strRef>
              <c:f>AgexSex!$H$2</c:f>
              <c:strCache>
                <c:ptCount val="1"/>
                <c:pt idx="0">
                  <c:v>Female (Av. 25.1 years)</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AgexSex!$B$3:$B$22</c:f>
              <c:numCache>
                <c:formatCode>General</c:formatCode>
                <c:ptCount val="20"/>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numCache>
            </c:numRef>
          </c:cat>
          <c:val>
            <c:numRef>
              <c:f>AgexSex!$H$3:$H$22</c:f>
              <c:numCache>
                <c:formatCode>0.0%;[Blue]0.0%</c:formatCode>
                <c:ptCount val="20"/>
                <c:pt idx="0">
                  <c:v>2.2797766749379653E-2</c:v>
                </c:pt>
                <c:pt idx="1">
                  <c:v>5.5443548387096774E-2</c:v>
                </c:pt>
                <c:pt idx="2">
                  <c:v>5.0170595533498757E-2</c:v>
                </c:pt>
                <c:pt idx="3">
                  <c:v>4.986042183622829E-2</c:v>
                </c:pt>
                <c:pt idx="4">
                  <c:v>6.8548387096774188E-2</c:v>
                </c:pt>
                <c:pt idx="5">
                  <c:v>9.4137717121588083E-2</c:v>
                </c:pt>
                <c:pt idx="6">
                  <c:v>9.8014888337468978E-2</c:v>
                </c:pt>
                <c:pt idx="7">
                  <c:v>0.10406327543424318</c:v>
                </c:pt>
                <c:pt idx="8">
                  <c:v>9.5145781637717128E-2</c:v>
                </c:pt>
                <c:pt idx="9">
                  <c:v>8.5530397022332505E-2</c:v>
                </c:pt>
                <c:pt idx="10">
                  <c:v>7.8473945409429285E-2</c:v>
                </c:pt>
                <c:pt idx="11">
                  <c:v>6.6764888337468978E-2</c:v>
                </c:pt>
                <c:pt idx="12">
                  <c:v>5.9708436724565758E-2</c:v>
                </c:pt>
                <c:pt idx="13">
                  <c:v>4.8619727047146399E-2</c:v>
                </c:pt>
                <c:pt idx="14">
                  <c:v>2.1634615384615384E-2</c:v>
                </c:pt>
                <c:pt idx="15">
                  <c:v>6.2034739454094293E-4</c:v>
                </c:pt>
                <c:pt idx="16">
                  <c:v>7.7543424317617866E-5</c:v>
                </c:pt>
                <c:pt idx="17">
                  <c:v>1.5508684863523573E-4</c:v>
                </c:pt>
                <c:pt idx="18">
                  <c:v>2.326302729528536E-4</c:v>
                </c:pt>
                <c:pt idx="19">
                  <c:v>0</c:v>
                </c:pt>
              </c:numCache>
            </c:numRef>
          </c:val>
          <c:extLst>
            <c:ext xmlns:c16="http://schemas.microsoft.com/office/drawing/2014/chart" uri="{C3380CC4-5D6E-409C-BE32-E72D297353CC}">
              <c16:uniqueId val="{00000000-DCFB-4E5D-BBCA-6C1F3EEC5EA9}"/>
            </c:ext>
          </c:extLst>
        </c:ser>
        <c:ser>
          <c:idx val="0"/>
          <c:order val="1"/>
          <c:tx>
            <c:strRef>
              <c:f>AgexSex!$G$2</c:f>
              <c:strCache>
                <c:ptCount val="1"/>
                <c:pt idx="0">
                  <c:v>Male (Av. 25.6 years)</c:v>
                </c:pt>
              </c:strCache>
            </c:strRef>
          </c:tx>
          <c:spPr>
            <a:solidFill>
              <a:schemeClr val="accent2">
                <a:shade val="76000"/>
              </a:schemeClr>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AgexSex!$B$3:$B$22</c:f>
              <c:numCache>
                <c:formatCode>General</c:formatCode>
                <c:ptCount val="20"/>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numCache>
            </c:numRef>
          </c:cat>
          <c:val>
            <c:numRef>
              <c:f>AgexSex!$G$3:$G$22</c:f>
              <c:numCache>
                <c:formatCode>0.0%;[Blue]0.0%</c:formatCode>
                <c:ptCount val="20"/>
                <c:pt idx="0">
                  <c:v>-1.1817390222664511E-2</c:v>
                </c:pt>
                <c:pt idx="1">
                  <c:v>-4.0054733175768131E-2</c:v>
                </c:pt>
                <c:pt idx="2">
                  <c:v>-4.1298668988680183E-2</c:v>
                </c:pt>
                <c:pt idx="3">
                  <c:v>-4.6398805821619607E-2</c:v>
                </c:pt>
                <c:pt idx="4">
                  <c:v>-5.9833312601069784E-2</c:v>
                </c:pt>
                <c:pt idx="5">
                  <c:v>-7.5755691006344078E-2</c:v>
                </c:pt>
                <c:pt idx="6">
                  <c:v>-0.10237591740266203</c:v>
                </c:pt>
                <c:pt idx="7">
                  <c:v>-9.8768503545217073E-2</c:v>
                </c:pt>
                <c:pt idx="8">
                  <c:v>-9.889289712650827E-2</c:v>
                </c:pt>
                <c:pt idx="9">
                  <c:v>-9.9639258614255502E-2</c:v>
                </c:pt>
                <c:pt idx="10">
                  <c:v>-8.4587635278019657E-2</c:v>
                </c:pt>
                <c:pt idx="11">
                  <c:v>-8.3965667371563621E-2</c:v>
                </c:pt>
                <c:pt idx="12">
                  <c:v>-7.2148277148899112E-2</c:v>
                </c:pt>
                <c:pt idx="13">
                  <c:v>-5.8216196044284116E-2</c:v>
                </c:pt>
                <c:pt idx="14">
                  <c:v>-2.3634780445329021E-2</c:v>
                </c:pt>
                <c:pt idx="15">
                  <c:v>-6.2196790645602685E-4</c:v>
                </c:pt>
                <c:pt idx="16">
                  <c:v>-1.1195422316208484E-3</c:v>
                </c:pt>
                <c:pt idx="17">
                  <c:v>-4.9757432516482148E-4</c:v>
                </c:pt>
                <c:pt idx="18">
                  <c:v>-2.4878716258241074E-4</c:v>
                </c:pt>
                <c:pt idx="19">
                  <c:v>-1.2439358129120537E-4</c:v>
                </c:pt>
              </c:numCache>
            </c:numRef>
          </c:val>
          <c:extLst>
            <c:ext xmlns:c16="http://schemas.microsoft.com/office/drawing/2014/chart" uri="{C3380CC4-5D6E-409C-BE32-E72D297353CC}">
              <c16:uniqueId val="{00000001-DCFB-4E5D-BBCA-6C1F3EEC5EA9}"/>
            </c:ext>
          </c:extLst>
        </c:ser>
        <c:dLbls>
          <c:showLegendKey val="0"/>
          <c:showVal val="0"/>
          <c:showCatName val="0"/>
          <c:showSerName val="0"/>
          <c:showPercent val="0"/>
          <c:showBubbleSize val="0"/>
        </c:dLbls>
        <c:gapWidth val="10"/>
        <c:overlap val="100"/>
        <c:axId val="370732904"/>
        <c:axId val="370733296"/>
      </c:barChart>
      <c:catAx>
        <c:axId val="3707329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Age (years)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3296"/>
        <c:crosses val="autoZero"/>
        <c:auto val="1"/>
        <c:lblAlgn val="ctr"/>
        <c:lblOffset val="100"/>
        <c:noMultiLvlLbl val="0"/>
      </c:catAx>
      <c:valAx>
        <c:axId val="3707332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2904"/>
        <c:crosses val="autoZero"/>
        <c:crossBetween val="between"/>
      </c:valAx>
      <c:spPr>
        <a:noFill/>
        <a:ln>
          <a:noFill/>
        </a:ln>
        <a:effectLst/>
      </c:spPr>
    </c:plotArea>
    <c:legend>
      <c:legendPos val="t"/>
      <c:overlay val="1"/>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837165598729824"/>
          <c:y val="0.10289548977270895"/>
          <c:w val="0.74669439311049202"/>
          <c:h val="0.82988219246031747"/>
        </c:manualLayout>
      </c:layout>
      <c:barChart>
        <c:barDir val="bar"/>
        <c:grouping val="stacked"/>
        <c:varyColors val="0"/>
        <c:ser>
          <c:idx val="0"/>
          <c:order val="0"/>
          <c:tx>
            <c:strRef>
              <c:f>'Hrs citizen'!$R$39</c:f>
              <c:strCache>
                <c:ptCount val="1"/>
                <c:pt idx="0">
                  <c:v>0 to 10 hrs</c:v>
                </c:pt>
              </c:strCache>
            </c:strRef>
          </c:tx>
          <c:spPr>
            <a:solidFill>
              <a:schemeClr val="accent2">
                <a:shade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A94-4F2E-B950-07D32C1A22A6}"/>
                </c:ext>
              </c:extLst>
            </c:dLbl>
            <c:dLbl>
              <c:idx val="5"/>
              <c:delete val="1"/>
              <c:extLst>
                <c:ext xmlns:c15="http://schemas.microsoft.com/office/drawing/2012/chart" uri="{CE6537A1-D6FC-4f65-9D91-7224C49458BB}"/>
                <c:ext xmlns:c16="http://schemas.microsoft.com/office/drawing/2014/chart" uri="{C3380CC4-5D6E-409C-BE32-E72D297353CC}">
                  <c16:uniqueId val="{00000001-0A94-4F2E-B950-07D32C1A22A6}"/>
                </c:ext>
              </c:extLst>
            </c:dLbl>
            <c:dLbl>
              <c:idx val="9"/>
              <c:delete val="1"/>
              <c:extLst>
                <c:ext xmlns:c15="http://schemas.microsoft.com/office/drawing/2012/chart" uri="{CE6537A1-D6FC-4f65-9D91-7224C49458BB}"/>
                <c:ext xmlns:c16="http://schemas.microsoft.com/office/drawing/2014/chart" uri="{C3380CC4-5D6E-409C-BE32-E72D297353CC}">
                  <c16:uniqueId val="{00000002-0A94-4F2E-B950-07D32C1A22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citizen'!$S$39:$AB$39</c:f>
              <c:numCache>
                <c:formatCode>0.0%</c:formatCode>
                <c:ptCount val="10"/>
                <c:pt idx="0">
                  <c:v>2.916952642415923E-2</c:v>
                </c:pt>
                <c:pt idx="1">
                  <c:v>0.10753564154786151</c:v>
                </c:pt>
                <c:pt idx="2">
                  <c:v>5.7921635434412269E-2</c:v>
                </c:pt>
                <c:pt idx="3">
                  <c:v>5.8959005066789499E-2</c:v>
                </c:pt>
                <c:pt idx="4">
                  <c:v>4.9586776859504134E-2</c:v>
                </c:pt>
                <c:pt idx="5">
                  <c:v>3.9460020768431983E-2</c:v>
                </c:pt>
                <c:pt idx="6">
                  <c:v>5.0865800865800864E-2</c:v>
                </c:pt>
                <c:pt idx="7">
                  <c:v>0.13310961968680091</c:v>
                </c:pt>
                <c:pt idx="8">
                  <c:v>0.14840499306518723</c:v>
                </c:pt>
                <c:pt idx="9">
                  <c:v>1.3452914798206279E-2</c:v>
                </c:pt>
              </c:numCache>
            </c:numRef>
          </c:val>
          <c:extLst>
            <c:ext xmlns:c16="http://schemas.microsoft.com/office/drawing/2014/chart" uri="{C3380CC4-5D6E-409C-BE32-E72D297353CC}">
              <c16:uniqueId val="{00000003-0A94-4F2E-B950-07D32C1A22A6}"/>
            </c:ext>
          </c:extLst>
        </c:ser>
        <c:ser>
          <c:idx val="1"/>
          <c:order val="1"/>
          <c:tx>
            <c:strRef>
              <c:f>'Hrs citizen'!$R$40</c:f>
              <c:strCache>
                <c:ptCount val="1"/>
                <c:pt idx="0">
                  <c:v>More than 10 to 20 hrs</c:v>
                </c:pt>
              </c:strCache>
            </c:strRef>
          </c:tx>
          <c:spPr>
            <a:solidFill>
              <a:schemeClr val="accent2">
                <a:shade val="70000"/>
              </a:schemeClr>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4-0A94-4F2E-B950-07D32C1A22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citizen'!$S$40:$AB$40</c:f>
              <c:numCache>
                <c:formatCode>0.0%</c:formatCode>
                <c:ptCount val="10"/>
                <c:pt idx="0">
                  <c:v>7.6527110501029519E-2</c:v>
                </c:pt>
                <c:pt idx="1">
                  <c:v>5.1731160896130349E-2</c:v>
                </c:pt>
                <c:pt idx="2">
                  <c:v>9.4122657580919936E-2</c:v>
                </c:pt>
                <c:pt idx="3">
                  <c:v>9.7650852141870109E-2</c:v>
                </c:pt>
                <c:pt idx="4">
                  <c:v>7.8512396694214878E-2</c:v>
                </c:pt>
                <c:pt idx="5">
                  <c:v>0.11734164070612668</c:v>
                </c:pt>
                <c:pt idx="6">
                  <c:v>0.11363636363636363</c:v>
                </c:pt>
                <c:pt idx="7">
                  <c:v>8.9485458612975396E-2</c:v>
                </c:pt>
                <c:pt idx="8">
                  <c:v>0.1276005547850208</c:v>
                </c:pt>
                <c:pt idx="9">
                  <c:v>3.8863976083707022E-2</c:v>
                </c:pt>
              </c:numCache>
            </c:numRef>
          </c:val>
          <c:extLst>
            <c:ext xmlns:c16="http://schemas.microsoft.com/office/drawing/2014/chart" uri="{C3380CC4-5D6E-409C-BE32-E72D297353CC}">
              <c16:uniqueId val="{00000005-0A94-4F2E-B950-07D32C1A22A6}"/>
            </c:ext>
          </c:extLst>
        </c:ser>
        <c:ser>
          <c:idx val="2"/>
          <c:order val="2"/>
          <c:tx>
            <c:strRef>
              <c:f>'Hrs citizen'!$R$41</c:f>
              <c:strCache>
                <c:ptCount val="1"/>
                <c:pt idx="0">
                  <c:v>More than 20 to 30 hrs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citizen'!$S$41:$AB$41</c:f>
              <c:numCache>
                <c:formatCode>0.0%</c:formatCode>
                <c:ptCount val="10"/>
                <c:pt idx="0">
                  <c:v>0.16506520247083048</c:v>
                </c:pt>
                <c:pt idx="1">
                  <c:v>0.13890020366598779</c:v>
                </c:pt>
                <c:pt idx="2">
                  <c:v>0.16737649063032367</c:v>
                </c:pt>
                <c:pt idx="3">
                  <c:v>0.19898664210041456</c:v>
                </c:pt>
                <c:pt idx="4">
                  <c:v>0.20306965761511217</c:v>
                </c:pt>
                <c:pt idx="5">
                  <c:v>0.21703011422637591</c:v>
                </c:pt>
                <c:pt idx="6">
                  <c:v>0.20238095238095238</c:v>
                </c:pt>
                <c:pt idx="7">
                  <c:v>0.17225950782997762</c:v>
                </c:pt>
                <c:pt idx="8">
                  <c:v>0.20249653259361997</c:v>
                </c:pt>
                <c:pt idx="9">
                  <c:v>0.16143497757847533</c:v>
                </c:pt>
              </c:numCache>
            </c:numRef>
          </c:val>
          <c:extLst>
            <c:ext xmlns:c16="http://schemas.microsoft.com/office/drawing/2014/chart" uri="{C3380CC4-5D6E-409C-BE32-E72D297353CC}">
              <c16:uniqueId val="{00000006-0A94-4F2E-B950-07D32C1A22A6}"/>
            </c:ext>
          </c:extLst>
        </c:ser>
        <c:ser>
          <c:idx val="3"/>
          <c:order val="3"/>
          <c:tx>
            <c:strRef>
              <c:f>'Hrs citizen'!$R$42</c:f>
              <c:strCache>
                <c:ptCount val="1"/>
                <c:pt idx="0">
                  <c:v>More than 30 to 40 hrs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citizen'!$S$42:$AB$42</c:f>
              <c:numCache>
                <c:formatCode>0.0%</c:formatCode>
                <c:ptCount val="10"/>
                <c:pt idx="0">
                  <c:v>0.50823610157858612</c:v>
                </c:pt>
                <c:pt idx="1">
                  <c:v>0.53441955193482693</c:v>
                </c:pt>
                <c:pt idx="2">
                  <c:v>0.43867120954003408</c:v>
                </c:pt>
                <c:pt idx="3">
                  <c:v>0.41547673883003222</c:v>
                </c:pt>
                <c:pt idx="4">
                  <c:v>0.45395513577331759</c:v>
                </c:pt>
                <c:pt idx="5">
                  <c:v>0.44652128764278298</c:v>
                </c:pt>
                <c:pt idx="6">
                  <c:v>0.48484848484848486</c:v>
                </c:pt>
                <c:pt idx="7">
                  <c:v>0.44742729306487694</c:v>
                </c:pt>
                <c:pt idx="8">
                  <c:v>0.37031900138696255</c:v>
                </c:pt>
                <c:pt idx="9">
                  <c:v>0.59043348281016439</c:v>
                </c:pt>
              </c:numCache>
            </c:numRef>
          </c:val>
          <c:extLst>
            <c:ext xmlns:c16="http://schemas.microsoft.com/office/drawing/2014/chart" uri="{C3380CC4-5D6E-409C-BE32-E72D297353CC}">
              <c16:uniqueId val="{00000007-0A94-4F2E-B950-07D32C1A22A6}"/>
            </c:ext>
          </c:extLst>
        </c:ser>
        <c:ser>
          <c:idx val="4"/>
          <c:order val="4"/>
          <c:tx>
            <c:strRef>
              <c:f>'Hrs citizen'!$R$43</c:f>
              <c:strCache>
                <c:ptCount val="1"/>
                <c:pt idx="0">
                  <c:v>More than 40 to 50 hrs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citizen'!$S$43:$AB$43</c:f>
              <c:numCache>
                <c:formatCode>0.0%</c:formatCode>
                <c:ptCount val="10"/>
                <c:pt idx="0">
                  <c:v>0.1245710363761153</c:v>
                </c:pt>
                <c:pt idx="1">
                  <c:v>0.11975560081466395</c:v>
                </c:pt>
                <c:pt idx="2">
                  <c:v>0.1571550255536627</c:v>
                </c:pt>
                <c:pt idx="3">
                  <c:v>0.12897282358360201</c:v>
                </c:pt>
                <c:pt idx="4">
                  <c:v>0.14639905548996457</c:v>
                </c:pt>
                <c:pt idx="5">
                  <c:v>0.11734164070612668</c:v>
                </c:pt>
                <c:pt idx="6">
                  <c:v>8.4415584415584416E-2</c:v>
                </c:pt>
                <c:pt idx="7">
                  <c:v>0.10067114093959731</c:v>
                </c:pt>
                <c:pt idx="8">
                  <c:v>0.10540915395284327</c:v>
                </c:pt>
                <c:pt idx="9">
                  <c:v>0.10911808669656203</c:v>
                </c:pt>
              </c:numCache>
            </c:numRef>
          </c:val>
          <c:extLst>
            <c:ext xmlns:c16="http://schemas.microsoft.com/office/drawing/2014/chart" uri="{C3380CC4-5D6E-409C-BE32-E72D297353CC}">
              <c16:uniqueId val="{00000008-0A94-4F2E-B950-07D32C1A22A6}"/>
            </c:ext>
          </c:extLst>
        </c:ser>
        <c:ser>
          <c:idx val="5"/>
          <c:order val="5"/>
          <c:tx>
            <c:strRef>
              <c:f>'Hrs citizen'!$R$44</c:f>
              <c:strCache>
                <c:ptCount val="1"/>
                <c:pt idx="0">
                  <c:v>More than 50  hrs</c:v>
                </c:pt>
              </c:strCache>
            </c:strRef>
          </c:tx>
          <c:spPr>
            <a:solidFill>
              <a:schemeClr val="accent2">
                <a:tint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0A94-4F2E-B950-07D32C1A22A6}"/>
                </c:ext>
              </c:extLst>
            </c:dLbl>
            <c:dLbl>
              <c:idx val="8"/>
              <c:delete val="1"/>
              <c:extLst>
                <c:ext xmlns:c15="http://schemas.microsoft.com/office/drawing/2012/chart" uri="{CE6537A1-D6FC-4f65-9D91-7224C49458BB}"/>
                <c:ext xmlns:c16="http://schemas.microsoft.com/office/drawing/2014/chart" uri="{C3380CC4-5D6E-409C-BE32-E72D297353CC}">
                  <c16:uniqueId val="{0000000A-0A94-4F2E-B950-07D32C1A22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'Hrs citizen'!$S$38:$AB$38</c:f>
              <c:strCache>
                <c:ptCount val="10"/>
                <c:pt idx="0">
                  <c:v>UK (Av. 37.7 hrs)</c:v>
                </c:pt>
                <c:pt idx="1">
                  <c:v>Taiwan (Av. 34.6 hrs)</c:v>
                </c:pt>
                <c:pt idx="2">
                  <c:v>France (Av. 36.3 hrs)</c:v>
                </c:pt>
                <c:pt idx="3">
                  <c:v>Germany (Av. 36.2 hrs)</c:v>
                </c:pt>
                <c:pt idx="4">
                  <c:v>Italy (Av. 36.4 hrs)</c:v>
                </c:pt>
                <c:pt idx="5">
                  <c:v>Canada (Av. 35.3 hrs)</c:v>
                </c:pt>
                <c:pt idx="6">
                  <c:v>USA (Av. 34.7 hrs)</c:v>
                </c:pt>
                <c:pt idx="7">
                  <c:v>South Korea (Av. 32.8 hrs)</c:v>
                </c:pt>
                <c:pt idx="8">
                  <c:v>Japan (Av. 30.8 hrs)</c:v>
                </c:pt>
                <c:pt idx="9">
                  <c:v>Ireland (Av. 38.7 hrs)</c:v>
                </c:pt>
              </c:strCache>
            </c:strRef>
          </c:cat>
          <c:val>
            <c:numRef>
              <c:f>'Hrs citizen'!$S$44:$AB$44</c:f>
              <c:numCache>
                <c:formatCode>0.0%</c:formatCode>
                <c:ptCount val="10"/>
                <c:pt idx="0">
                  <c:v>9.6431022649279344E-2</c:v>
                </c:pt>
                <c:pt idx="1">
                  <c:v>4.7657841140529532E-2</c:v>
                </c:pt>
                <c:pt idx="2">
                  <c:v>8.4752981260647356E-2</c:v>
                </c:pt>
                <c:pt idx="3">
                  <c:v>9.9953938277291571E-2</c:v>
                </c:pt>
                <c:pt idx="4">
                  <c:v>6.8476977567886663E-2</c:v>
                </c:pt>
                <c:pt idx="5">
                  <c:v>6.2305295950155763E-2</c:v>
                </c:pt>
                <c:pt idx="6">
                  <c:v>6.3852813852813856E-2</c:v>
                </c:pt>
                <c:pt idx="7">
                  <c:v>5.7046979865771813E-2</c:v>
                </c:pt>
                <c:pt idx="8">
                  <c:v>4.5769764216366159E-2</c:v>
                </c:pt>
                <c:pt idx="9">
                  <c:v>8.6696562032884908E-2</c:v>
                </c:pt>
              </c:numCache>
            </c:numRef>
          </c:val>
          <c:extLst>
            <c:ext xmlns:c16="http://schemas.microsoft.com/office/drawing/2014/chart" uri="{C3380CC4-5D6E-409C-BE32-E72D297353CC}">
              <c16:uniqueId val="{0000000B-0A94-4F2E-B950-07D32C1A22A6}"/>
            </c:ext>
          </c:extLst>
        </c:ser>
        <c:dLbls>
          <c:showLegendKey val="0"/>
          <c:showVal val="0"/>
          <c:showCatName val="0"/>
          <c:showSerName val="0"/>
          <c:showPercent val="0"/>
          <c:showBubbleSize val="0"/>
        </c:dLbls>
        <c:gapWidth val="60"/>
        <c:overlap val="100"/>
        <c:axId val="380663656"/>
        <c:axId val="380664048"/>
      </c:barChart>
      <c:catAx>
        <c:axId val="380663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4048"/>
        <c:crosses val="autoZero"/>
        <c:auto val="1"/>
        <c:lblAlgn val="ctr"/>
        <c:lblOffset val="100"/>
        <c:noMultiLvlLbl val="0"/>
      </c:catAx>
      <c:valAx>
        <c:axId val="3806640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3656"/>
        <c:crosses val="autoZero"/>
        <c:crossBetween val="between"/>
        <c:majorUnit val="0.1"/>
      </c:valAx>
      <c:spPr>
        <a:noFill/>
        <a:ln>
          <a:noFill/>
        </a:ln>
        <a:effectLst/>
      </c:spPr>
    </c:plotArea>
    <c:legend>
      <c:legendPos val="t"/>
      <c:layout>
        <c:manualLayout>
          <c:xMode val="edge"/>
          <c:yMode val="edge"/>
          <c:x val="0.22120459086278998"/>
          <c:y val="1.8900614269963773E-2"/>
          <c:w val="0.64183868436465386"/>
          <c:h val="9.398218827938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'Weeks worked'!$P$3:$P$7</c:f>
              <c:strCache>
                <c:ptCount val="5"/>
                <c:pt idx="0">
                  <c:v>Up to 4 weeks</c:v>
                </c:pt>
                <c:pt idx="1">
                  <c:v>More than 4 to 8 weeks</c:v>
                </c:pt>
                <c:pt idx="2">
                  <c:v>More than 8 to 13 weeks</c:v>
                </c:pt>
                <c:pt idx="3">
                  <c:v>More than 13 to 26 weeks</c:v>
                </c:pt>
                <c:pt idx="4">
                  <c:v>More than 26 weeks</c:v>
                </c:pt>
              </c:strCache>
            </c:strRef>
          </c:cat>
          <c:val>
            <c:numRef>
              <c:f>'Weeks worked'!$Q$3:$Q$7</c:f>
              <c:numCache>
                <c:formatCode>0.0%</c:formatCode>
                <c:ptCount val="5"/>
                <c:pt idx="0">
                  <c:v>0.17698633120949736</c:v>
                </c:pt>
                <c:pt idx="1">
                  <c:v>0.16990687796111748</c:v>
                </c:pt>
                <c:pt idx="2">
                  <c:v>0.19070957904481839</c:v>
                </c:pt>
                <c:pt idx="3">
                  <c:v>0.34411588520394271</c:v>
                </c:pt>
                <c:pt idx="4">
                  <c:v>0.11828132658062408</c:v>
                </c:pt>
              </c:numCache>
            </c:numRef>
          </c:val>
          <c:extLst>
            <c:ext xmlns:c16="http://schemas.microsoft.com/office/drawing/2014/chart" uri="{C3380CC4-5D6E-409C-BE32-E72D297353CC}">
              <c16:uniqueId val="{00000000-BFF5-4D37-8DC1-77471C690079}"/>
            </c:ext>
          </c:extLst>
        </c:ser>
        <c:dLbls>
          <c:showLegendKey val="0"/>
          <c:showVal val="0"/>
          <c:showCatName val="0"/>
          <c:showSerName val="0"/>
          <c:showPercent val="0"/>
          <c:showBubbleSize val="0"/>
        </c:dLbls>
        <c:gapWidth val="60"/>
        <c:overlap val="-27"/>
        <c:axId val="380653856"/>
        <c:axId val="380664832"/>
      </c:barChart>
      <c:catAx>
        <c:axId val="3806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4832"/>
        <c:crosses val="autoZero"/>
        <c:auto val="1"/>
        <c:lblAlgn val="ctr"/>
        <c:lblOffset val="100"/>
        <c:noMultiLvlLbl val="0"/>
      </c:catAx>
      <c:valAx>
        <c:axId val="38066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'Weeks worked'!$B$67:$B$75</c:f>
              <c:strCache>
                <c:ptCount val="9"/>
                <c:pt idx="0">
                  <c:v>NSW</c:v>
                </c:pt>
                <c:pt idx="1">
                  <c:v>VIC</c:v>
                </c:pt>
                <c:pt idx="2">
                  <c:v>Qld</c:v>
                </c:pt>
                <c:pt idx="3">
                  <c:v>SA</c:v>
                </c:pt>
                <c:pt idx="4">
                  <c:v>WA</c:v>
                </c:pt>
                <c:pt idx="5">
                  <c:v>Tas</c:v>
                </c:pt>
                <c:pt idx="6">
                  <c:v>NT</c:v>
                </c:pt>
                <c:pt idx="7">
                  <c:v>ACT</c:v>
                </c:pt>
                <c:pt idx="8">
                  <c:v>Total</c:v>
                </c:pt>
              </c:strCache>
            </c:strRef>
          </c:cat>
          <c:val>
            <c:numRef>
              <c:f>'Weeks worked'!$C$67:$C$75</c:f>
              <c:numCache>
                <c:formatCode>0.0</c:formatCode>
                <c:ptCount val="9"/>
                <c:pt idx="0">
                  <c:v>16.079999999999998</c:v>
                </c:pt>
                <c:pt idx="1">
                  <c:v>16.11</c:v>
                </c:pt>
                <c:pt idx="2">
                  <c:v>14.38</c:v>
                </c:pt>
                <c:pt idx="3">
                  <c:v>12.29</c:v>
                </c:pt>
                <c:pt idx="4">
                  <c:v>15.04</c:v>
                </c:pt>
                <c:pt idx="5">
                  <c:v>10.65</c:v>
                </c:pt>
                <c:pt idx="6">
                  <c:v>13.64</c:v>
                </c:pt>
                <c:pt idx="7">
                  <c:v>16.68</c:v>
                </c:pt>
                <c:pt idx="8">
                  <c:v>15.06</c:v>
                </c:pt>
              </c:numCache>
            </c:numRef>
          </c:val>
          <c:extLst>
            <c:ext xmlns:c16="http://schemas.microsoft.com/office/drawing/2014/chart" uri="{C3380CC4-5D6E-409C-BE32-E72D297353CC}">
              <c16:uniqueId val="{00000000-DF8C-49DE-BD9F-955D5D1D630D}"/>
            </c:ext>
          </c:extLst>
        </c:ser>
        <c:dLbls>
          <c:showLegendKey val="0"/>
          <c:showVal val="0"/>
          <c:showCatName val="0"/>
          <c:showSerName val="0"/>
          <c:showPercent val="0"/>
          <c:showBubbleSize val="0"/>
        </c:dLbls>
        <c:gapWidth val="60"/>
        <c:overlap val="-27"/>
        <c:axId val="380657776"/>
        <c:axId val="380653464"/>
      </c:barChart>
      <c:catAx>
        <c:axId val="38065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3464"/>
        <c:crosses val="autoZero"/>
        <c:auto val="1"/>
        <c:lblAlgn val="ctr"/>
        <c:lblOffset val="100"/>
        <c:noMultiLvlLbl val="0"/>
      </c:catAx>
      <c:valAx>
        <c:axId val="380653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96597057319977E-2"/>
          <c:y val="0.15733092187006037"/>
          <c:w val="0.87624430560183963"/>
          <c:h val="0.69287721387767709"/>
        </c:manualLayout>
      </c:layout>
      <c:scatterChart>
        <c:scatterStyle val="lineMarker"/>
        <c:varyColors val="0"/>
        <c:ser>
          <c:idx val="0"/>
          <c:order val="0"/>
          <c:tx>
            <c:strRef>
              <c:f>Sheet1!$F$1</c:f>
              <c:strCache>
                <c:ptCount val="1"/>
                <c:pt idx="0">
                  <c:v>Agriculture &amp; transport</c:v>
                </c:pt>
              </c:strCache>
            </c:strRef>
          </c:tx>
          <c:spPr>
            <a:ln w="19050" cap="rnd">
              <a:no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DA92-4BA6-963D-46C936AD465B}"/>
                </c:ext>
              </c:extLst>
            </c:dLbl>
            <c:dLbl>
              <c:idx val="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7CBF-421C-80F3-34B153043904}"/>
                </c:ext>
              </c:extLst>
            </c:dLbl>
            <c:dLbl>
              <c:idx val="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7CBF-421C-80F3-34B153043904}"/>
                </c:ext>
              </c:extLst>
            </c:dLbl>
            <c:dLbl>
              <c:idx val="3"/>
              <c:delete val="1"/>
              <c:extLst>
                <c:ext xmlns:c15="http://schemas.microsoft.com/office/drawing/2012/chart" uri="{CE6537A1-D6FC-4f65-9D91-7224C49458BB}"/>
                <c:ext xmlns:c16="http://schemas.microsoft.com/office/drawing/2014/chart" uri="{C3380CC4-5D6E-409C-BE32-E72D297353CC}">
                  <c16:uniqueId val="{00000003-DA92-4BA6-963D-46C936AD465B}"/>
                </c:ext>
              </c:extLst>
            </c:dLbl>
            <c:dLbl>
              <c:idx val="4"/>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7CBF-421C-80F3-34B153043904}"/>
                </c:ext>
              </c:extLst>
            </c:dLbl>
            <c:dLbl>
              <c:idx val="5"/>
              <c:delete val="1"/>
              <c:extLst>
                <c:ext xmlns:c15="http://schemas.microsoft.com/office/drawing/2012/chart" uri="{CE6537A1-D6FC-4f65-9D91-7224C49458BB}"/>
                <c:ext xmlns:c16="http://schemas.microsoft.com/office/drawing/2014/chart" uri="{C3380CC4-5D6E-409C-BE32-E72D297353CC}">
                  <c16:uniqueId val="{00000005-DA92-4BA6-963D-46C936AD465B}"/>
                </c:ext>
              </c:extLst>
            </c:dLbl>
            <c:dLbl>
              <c:idx val="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7CBF-421C-80F3-34B153043904}"/>
                </c:ext>
              </c:extLst>
            </c:dLbl>
            <c:dLbl>
              <c:idx val="7"/>
              <c:delete val="1"/>
              <c:extLst>
                <c:ext xmlns:c15="http://schemas.microsoft.com/office/drawing/2012/chart" uri="{CE6537A1-D6FC-4f65-9D91-7224C49458BB}"/>
                <c:ext xmlns:c16="http://schemas.microsoft.com/office/drawing/2014/chart" uri="{C3380CC4-5D6E-409C-BE32-E72D297353CC}">
                  <c16:uniqueId val="{00000007-DA92-4BA6-963D-46C936AD465B}"/>
                </c:ext>
              </c:extLst>
            </c:dLbl>
            <c:dLbl>
              <c:idx val="8"/>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7CBF-421C-80F3-34B153043904}"/>
                </c:ext>
              </c:extLst>
            </c:dLbl>
            <c:dLbl>
              <c:idx val="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7CBF-421C-80F3-34B153043904}"/>
                </c:ext>
              </c:extLst>
            </c:dLbl>
            <c:dLbl>
              <c:idx val="10"/>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7CBF-421C-80F3-34B153043904}"/>
                </c:ext>
              </c:extLst>
            </c:dLbl>
            <c:dLbl>
              <c:idx val="1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7CBF-421C-80F3-34B153043904}"/>
                </c:ext>
              </c:extLst>
            </c:dLbl>
            <c:dLbl>
              <c:idx val="1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7CBF-421C-80F3-34B153043904}"/>
                </c:ext>
              </c:extLst>
            </c:dLbl>
            <c:dLbl>
              <c:idx val="1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7CBF-421C-80F3-34B153043904}"/>
                </c:ext>
              </c:extLst>
            </c:dLbl>
            <c:dLbl>
              <c:idx val="14"/>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A-7CBF-421C-80F3-34B153043904}"/>
                </c:ext>
              </c:extLst>
            </c:dLbl>
            <c:dLbl>
              <c:idx val="15"/>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B-7CBF-421C-80F3-34B153043904}"/>
                </c:ext>
              </c:extLst>
            </c:dLbl>
            <c:dLbl>
              <c:idx val="1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C-7CBF-421C-80F3-34B153043904}"/>
                </c:ext>
              </c:extLst>
            </c:dLbl>
            <c:dLbl>
              <c:idx val="17"/>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D-7CBF-421C-80F3-34B153043904}"/>
                </c:ext>
              </c:extLst>
            </c:dLbl>
            <c:dLbl>
              <c:idx val="18"/>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E-7CBF-421C-80F3-34B153043904}"/>
                </c:ext>
              </c:extLst>
            </c:dLbl>
            <c:dLbl>
              <c:idx val="1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F-7CBF-421C-80F3-34B153043904}"/>
                </c:ext>
              </c:extLst>
            </c:dLbl>
            <c:dLbl>
              <c:idx val="20"/>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0-7CBF-421C-80F3-34B153043904}"/>
                </c:ext>
              </c:extLst>
            </c:dLbl>
            <c:dLbl>
              <c:idx val="2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1-7CBF-421C-80F3-34B153043904}"/>
                </c:ext>
              </c:extLst>
            </c:dLbl>
            <c:dLbl>
              <c:idx val="2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2-7CBF-421C-80F3-34B153043904}"/>
                </c:ext>
              </c:extLst>
            </c:dLbl>
            <c:dLbl>
              <c:idx val="2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3-7CBF-421C-80F3-34B153043904}"/>
                </c:ext>
              </c:extLst>
            </c:dLbl>
            <c:dLbl>
              <c:idx val="24"/>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4-7CBF-421C-80F3-34B153043904}"/>
                </c:ext>
              </c:extLst>
            </c:dLbl>
            <c:dLbl>
              <c:idx val="25"/>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5-7CBF-421C-80F3-34B153043904}"/>
                </c:ext>
              </c:extLst>
            </c:dLbl>
            <c:dLbl>
              <c:idx val="2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6-7CBF-421C-80F3-34B153043904}"/>
                </c:ext>
              </c:extLst>
            </c:dLbl>
            <c:dLbl>
              <c:idx val="27"/>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7-7CBF-421C-80F3-34B153043904}"/>
                </c:ext>
              </c:extLst>
            </c:dLbl>
            <c:dLbl>
              <c:idx val="28"/>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8-7CBF-421C-80F3-34B153043904}"/>
                </c:ext>
              </c:extLst>
            </c:dLbl>
            <c:dLbl>
              <c:idx val="2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9-7CBF-421C-80F3-34B153043904}"/>
                </c:ext>
              </c:extLst>
            </c:dLbl>
            <c:dLbl>
              <c:idx val="30"/>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A-7CBF-421C-80F3-34B153043904}"/>
                </c:ext>
              </c:extLst>
            </c:dLbl>
            <c:dLbl>
              <c:idx val="3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B-7CBF-421C-80F3-34B153043904}"/>
                </c:ext>
              </c:extLst>
            </c:dLbl>
            <c:dLbl>
              <c:idx val="3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C-7CBF-421C-80F3-34B153043904}"/>
                </c:ext>
              </c:extLst>
            </c:dLbl>
            <c:dLbl>
              <c:idx val="3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D-7CBF-421C-80F3-34B153043904}"/>
                </c:ext>
              </c:extLst>
            </c:dLbl>
            <c:dLbl>
              <c:idx val="34"/>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E-7CBF-421C-80F3-34B153043904}"/>
                </c:ext>
              </c:extLst>
            </c:dLbl>
            <c:dLbl>
              <c:idx val="35"/>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F-7CBF-421C-80F3-34B153043904}"/>
                </c:ext>
              </c:extLst>
            </c:dLbl>
            <c:dLbl>
              <c:idx val="3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0-7CBF-421C-80F3-34B153043904}"/>
                </c:ext>
              </c:extLst>
            </c:dLbl>
            <c:dLbl>
              <c:idx val="37"/>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1-7CBF-421C-80F3-34B153043904}"/>
                </c:ext>
              </c:extLst>
            </c:dLbl>
            <c:dLbl>
              <c:idx val="38"/>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2-7CBF-421C-80F3-34B153043904}"/>
                </c:ext>
              </c:extLst>
            </c:dLbl>
            <c:dLbl>
              <c:idx val="3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3-7CBF-421C-80F3-34B153043904}"/>
                </c:ext>
              </c:extLst>
            </c:dLbl>
            <c:dLbl>
              <c:idx val="40"/>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4-7CBF-421C-80F3-34B153043904}"/>
                </c:ext>
              </c:extLst>
            </c:dLbl>
            <c:dLbl>
              <c:idx val="41"/>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5-7CBF-421C-80F3-34B153043904}"/>
                </c:ext>
              </c:extLst>
            </c:dLbl>
            <c:dLbl>
              <c:idx val="4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6-7CBF-421C-80F3-34B153043904}"/>
                </c:ext>
              </c:extLst>
            </c:dLbl>
            <c:dLbl>
              <c:idx val="4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7-7CBF-421C-80F3-34B153043904}"/>
                </c:ext>
              </c:extLst>
            </c:dLbl>
            <c:dLbl>
              <c:idx val="44"/>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8-7CBF-421C-80F3-34B153043904}"/>
                </c:ext>
              </c:extLst>
            </c:dLbl>
            <c:dLbl>
              <c:idx val="45"/>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9-7CBF-421C-80F3-34B153043904}"/>
                </c:ext>
              </c:extLst>
            </c:dLbl>
            <c:dLbl>
              <c:idx val="4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A-7CBF-421C-80F3-34B153043904}"/>
                </c:ext>
              </c:extLst>
            </c:dLbl>
            <c:dLbl>
              <c:idx val="47"/>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B-7CBF-421C-80F3-34B153043904}"/>
                </c:ext>
              </c:extLst>
            </c:dLbl>
            <c:dLbl>
              <c:idx val="48"/>
              <c:tx>
                <c:rich>
                  <a:bodyPr/>
                  <a:lstStyle/>
                  <a:p>
                    <a:endParaRPr lang="en-US"/>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C-7CBF-421C-80F3-34B153043904}"/>
                </c:ext>
              </c:extLst>
            </c:dLbl>
            <c:dLbl>
              <c:idx val="4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D-7CBF-421C-80F3-34B153043904}"/>
                </c:ext>
              </c:extLst>
            </c:dLbl>
            <c:dLbl>
              <c:idx val="50"/>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E-7CBF-421C-80F3-34B153043904}"/>
                </c:ext>
              </c:extLst>
            </c:dLbl>
            <c:dLbl>
              <c:idx val="5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2F-7CBF-421C-80F3-34B153043904}"/>
                </c:ext>
              </c:extLst>
            </c:dLbl>
            <c:dLbl>
              <c:idx val="5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0-7CBF-421C-80F3-34B153043904}"/>
                </c:ext>
              </c:extLst>
            </c:dLbl>
            <c:dLbl>
              <c:idx val="5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1-7CBF-421C-80F3-34B153043904}"/>
                </c:ext>
              </c:extLst>
            </c:dLbl>
            <c:dLbl>
              <c:idx val="54"/>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2-7CBF-421C-80F3-34B153043904}"/>
                </c:ext>
              </c:extLst>
            </c:dLbl>
            <c:dLbl>
              <c:idx val="55"/>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3-7CBF-421C-80F3-34B153043904}"/>
                </c:ext>
              </c:extLst>
            </c:dLbl>
            <c:dLbl>
              <c:idx val="5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4-7CBF-421C-80F3-34B153043904}"/>
                </c:ext>
              </c:extLst>
            </c:dLbl>
            <c:dLbl>
              <c:idx val="57"/>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5-7CBF-421C-80F3-34B153043904}"/>
                </c:ext>
              </c:extLst>
            </c:dLbl>
            <c:dLbl>
              <c:idx val="58"/>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6-7CBF-421C-80F3-34B153043904}"/>
                </c:ext>
              </c:extLst>
            </c:dLbl>
            <c:dLbl>
              <c:idx val="59"/>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7-7CBF-421C-80F3-34B153043904}"/>
                </c:ext>
              </c:extLst>
            </c:dLbl>
            <c:dLbl>
              <c:idx val="60"/>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8-7CBF-421C-80F3-34B153043904}"/>
                </c:ext>
              </c:extLst>
            </c:dLbl>
            <c:dLbl>
              <c:idx val="61"/>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9-7CBF-421C-80F3-34B153043904}"/>
                </c:ext>
              </c:extLst>
            </c:dLbl>
            <c:dLbl>
              <c:idx val="62"/>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A-7CBF-421C-80F3-34B153043904}"/>
                </c:ext>
              </c:extLst>
            </c:dLbl>
            <c:dLbl>
              <c:idx val="63"/>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B-7CBF-421C-80F3-34B153043904}"/>
                </c:ext>
              </c:extLst>
            </c:dLbl>
            <c:dLbl>
              <c:idx val="64"/>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C-7CBF-421C-80F3-34B153043904}"/>
                </c:ext>
              </c:extLst>
            </c:dLbl>
            <c:dLbl>
              <c:idx val="65"/>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D-7CBF-421C-80F3-34B153043904}"/>
                </c:ext>
              </c:extLst>
            </c:dLbl>
            <c:dLbl>
              <c:idx val="66"/>
              <c:tx>
                <c:rich>
                  <a:bodyPr/>
                  <a:lstStyle/>
                  <a:p>
                    <a:endParaRPr lang="en-AU"/>
                  </a:p>
                </c:rich>
              </c:tx>
              <c:dLblPos val="t"/>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E-7CBF-421C-80F3-34B1530439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Sheet1!$F$2:$F$68</c:f>
              <c:numCache>
                <c:formatCode>General</c:formatCode>
                <c:ptCount val="67"/>
                <c:pt idx="0">
                  <c:v>12.158308484684101</c:v>
                </c:pt>
                <c:pt idx="1">
                  <c:v>#N/A</c:v>
                </c:pt>
                <c:pt idx="2">
                  <c:v>#N/A</c:v>
                </c:pt>
                <c:pt idx="3">
                  <c:v>13.615426105717299</c:v>
                </c:pt>
                <c:pt idx="4">
                  <c:v>#N/A</c:v>
                </c:pt>
                <c:pt idx="5">
                  <c:v>15.6248236953455</c:v>
                </c:pt>
                <c:pt idx="6">
                  <c:v>#N/A</c:v>
                </c:pt>
                <c:pt idx="7">
                  <c:v>19.784482758620602</c:v>
                </c:pt>
                <c:pt idx="8">
                  <c:v>#N/A</c:v>
                </c:pt>
                <c:pt idx="9">
                  <c:v>#N/A</c:v>
                </c:pt>
                <c:pt idx="10">
                  <c:v>#N/A</c:v>
                </c:pt>
                <c:pt idx="11">
                  <c:v>#N/A</c:v>
                </c:pt>
                <c:pt idx="12">
                  <c:v>#N/A</c:v>
                </c:pt>
                <c:pt idx="13">
                  <c:v>#N/A</c:v>
                </c:pt>
                <c:pt idx="14">
                  <c:v>15.5185185185185</c:v>
                </c:pt>
                <c:pt idx="15">
                  <c:v>#N/A</c:v>
                </c:pt>
                <c:pt idx="16">
                  <c:v>#N/A</c:v>
                </c:pt>
                <c:pt idx="17">
                  <c:v>#N/A</c:v>
                </c:pt>
                <c:pt idx="18">
                  <c:v>#N/A</c:v>
                </c:pt>
                <c:pt idx="19">
                  <c:v>#N/A</c:v>
                </c:pt>
                <c:pt idx="20">
                  <c:v>13.587064676616899</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11.96</c:v>
                </c:pt>
                <c:pt idx="36">
                  <c:v>#N/A</c:v>
                </c:pt>
                <c:pt idx="37">
                  <c:v>#N/A</c:v>
                </c:pt>
                <c:pt idx="38">
                  <c:v>14.6851851851851</c:v>
                </c:pt>
                <c:pt idx="39">
                  <c:v>#N/A</c:v>
                </c:pt>
                <c:pt idx="40">
                  <c:v>#N/A</c:v>
                </c:pt>
                <c:pt idx="41">
                  <c:v>16.399999999999999</c:v>
                </c:pt>
                <c:pt idx="42">
                  <c:v>#N/A</c:v>
                </c:pt>
                <c:pt idx="43">
                  <c:v>#N/A</c:v>
                </c:pt>
                <c:pt idx="44">
                  <c:v>15.846153846153801</c:v>
                </c:pt>
                <c:pt idx="45">
                  <c:v>#N/A</c:v>
                </c:pt>
                <c:pt idx="46">
                  <c:v>#N/A</c:v>
                </c:pt>
                <c:pt idx="47">
                  <c:v>#N/A</c:v>
                </c:pt>
                <c:pt idx="48">
                  <c:v>10.65625</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numCache>
            </c:numRef>
          </c:yVal>
          <c:smooth val="0"/>
          <c:extLst>
            <c:ext xmlns:c16="http://schemas.microsoft.com/office/drawing/2014/chart" uri="{C3380CC4-5D6E-409C-BE32-E72D297353CC}">
              <c16:uniqueId val="{00000043-DA92-4BA6-963D-46C936AD465B}"/>
            </c:ext>
          </c:extLst>
        </c:ser>
        <c:ser>
          <c:idx val="1"/>
          <c:order val="1"/>
          <c:tx>
            <c:strRef>
              <c:f>Sheet1!$G$1</c:f>
              <c:strCache>
                <c:ptCount val="1"/>
                <c:pt idx="0">
                  <c:v>Hospitality, tourism &amp; sport</c:v>
                </c:pt>
              </c:strCache>
            </c:strRef>
          </c:tx>
          <c:spPr>
            <a:ln w="19050" cap="rnd">
              <a:noFill/>
              <a:round/>
            </a:ln>
            <a:effectLst/>
          </c:spPr>
          <c:marker>
            <c:symbol val="circle"/>
            <c:size val="5"/>
            <c:spPr>
              <a:solidFill>
                <a:srgbClr val="9E5ECE"/>
              </a:solidFill>
              <a:ln w="9525">
                <a:solidFill>
                  <a:srgbClr val="9E5ECE"/>
                </a:solidFill>
              </a:ln>
              <a:effectLst/>
            </c:spPr>
          </c:marker>
          <c:dLbls>
            <c:dLbl>
              <c:idx val="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7CBF-421C-80F3-34B153043904}"/>
                </c:ext>
              </c:extLst>
            </c:dLbl>
            <c:dLbl>
              <c:idx val="1"/>
              <c:layout>
                <c:manualLayout>
                  <c:x val="-0.15108060528551812"/>
                  <c:y val="-0.11064662371748986"/>
                </c:manualLayout>
              </c:layout>
              <c:tx>
                <c:rich>
                  <a:bodyPr/>
                  <a:lstStyle/>
                  <a:p>
                    <a:fld id="{20125DFE-E6DA-4D94-AEC9-11D741B0E05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5-DA92-4BA6-963D-46C936AD465B}"/>
                </c:ext>
              </c:extLst>
            </c:dLbl>
            <c:dLbl>
              <c:idx val="2"/>
              <c:layout>
                <c:manualLayout>
                  <c:x val="-0.22500676087104446"/>
                  <c:y val="3.226234788833203E-2"/>
                </c:manualLayout>
              </c:layout>
              <c:tx>
                <c:rich>
                  <a:bodyPr/>
                  <a:lstStyle/>
                  <a:p>
                    <a:fld id="{B0784390-0004-4B35-9653-A2E1B8256B7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3517607052940672"/>
                      <c:h val="8.7166785969935559E-2"/>
                    </c:manualLayout>
                  </c15:layout>
                  <c15:dlblFieldTable/>
                  <c15:showDataLabelsRange val="1"/>
                </c:ext>
                <c:ext xmlns:c16="http://schemas.microsoft.com/office/drawing/2014/chart" uri="{C3380CC4-5D6E-409C-BE32-E72D297353CC}">
                  <c16:uniqueId val="{00000046-DA92-4BA6-963D-46C936AD465B}"/>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7CBF-421C-80F3-34B153043904}"/>
                </c:ext>
              </c:extLst>
            </c:dLbl>
            <c:dLbl>
              <c:idx val="4"/>
              <c:layout>
                <c:manualLayout>
                  <c:x val="-0.25522532456542868"/>
                  <c:y val="0.17929277022190396"/>
                </c:manualLayout>
              </c:layout>
              <c:tx>
                <c:rich>
                  <a:bodyPr/>
                  <a:lstStyle/>
                  <a:p>
                    <a:fld id="{A967E6F4-4A0C-4948-B023-CF2D966ECEE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6151118989585639"/>
                      <c:h val="0.12281818181818183"/>
                    </c:manualLayout>
                  </c15:layout>
                  <c15:dlblFieldTable/>
                  <c15:showDataLabelsRange val="1"/>
                </c:ext>
                <c:ext xmlns:c16="http://schemas.microsoft.com/office/drawing/2014/chart" uri="{C3380CC4-5D6E-409C-BE32-E72D297353CC}">
                  <c16:uniqueId val="{00000048-DA92-4BA6-963D-46C936AD465B}"/>
                </c:ext>
              </c:extLst>
            </c:dLbl>
            <c:dLbl>
              <c:idx val="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7CBF-421C-80F3-34B153043904}"/>
                </c:ext>
              </c:extLst>
            </c:dLbl>
            <c:dLbl>
              <c:idx val="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7CBF-421C-80F3-34B153043904}"/>
                </c:ext>
              </c:extLst>
            </c:dLbl>
            <c:dLbl>
              <c:idx val="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7CBF-421C-80F3-34B153043904}"/>
                </c:ext>
              </c:extLst>
            </c:dLbl>
            <c:dLbl>
              <c:idx val="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7CBF-421C-80F3-34B153043904}"/>
                </c:ext>
              </c:extLst>
            </c:dLbl>
            <c:dLbl>
              <c:idx val="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5-7CBF-421C-80F3-34B153043904}"/>
                </c:ext>
              </c:extLst>
            </c:dLbl>
            <c:dLbl>
              <c:idx val="10"/>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6-7CBF-421C-80F3-34B153043904}"/>
                </c:ext>
              </c:extLst>
            </c:dLbl>
            <c:dLbl>
              <c:idx val="1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7-7CBF-421C-80F3-34B153043904}"/>
                </c:ext>
              </c:extLst>
            </c:dLbl>
            <c:dLbl>
              <c:idx val="1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8-7CBF-421C-80F3-34B153043904}"/>
                </c:ext>
              </c:extLst>
            </c:dLbl>
            <c:dLbl>
              <c:idx val="13"/>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7CBF-421C-80F3-34B153043904}"/>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A-7CBF-421C-80F3-34B153043904}"/>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B-7CBF-421C-80F3-34B153043904}"/>
                </c:ext>
              </c:extLst>
            </c:dLbl>
            <c:dLbl>
              <c:idx val="1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C-7CBF-421C-80F3-34B153043904}"/>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D-7CBF-421C-80F3-34B153043904}"/>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E-7CBF-421C-80F3-34B153043904}"/>
                </c:ext>
              </c:extLst>
            </c:dLbl>
            <c:dLbl>
              <c:idx val="1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F-7CBF-421C-80F3-34B153043904}"/>
                </c:ext>
              </c:extLst>
            </c:dLbl>
            <c:dLbl>
              <c:idx val="2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0-7CBF-421C-80F3-34B153043904}"/>
                </c:ext>
              </c:extLst>
            </c:dLbl>
            <c:dLbl>
              <c:idx val="2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1-7CBF-421C-80F3-34B153043904}"/>
                </c:ext>
              </c:extLst>
            </c:dLbl>
            <c:dLbl>
              <c:idx val="2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7CBF-421C-80F3-34B153043904}"/>
                </c:ext>
              </c:extLst>
            </c:dLbl>
            <c:dLbl>
              <c:idx val="2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3-7CBF-421C-80F3-34B153043904}"/>
                </c:ext>
              </c:extLst>
            </c:dLbl>
            <c:dLbl>
              <c:idx val="2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4-7CBF-421C-80F3-34B153043904}"/>
                </c:ext>
              </c:extLst>
            </c:dLbl>
            <c:dLbl>
              <c:idx val="2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5-7CBF-421C-80F3-34B153043904}"/>
                </c:ext>
              </c:extLst>
            </c:dLbl>
            <c:dLbl>
              <c:idx val="2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6-7CBF-421C-80F3-34B153043904}"/>
                </c:ext>
              </c:extLst>
            </c:dLbl>
            <c:dLbl>
              <c:idx val="2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7-7CBF-421C-80F3-34B153043904}"/>
                </c:ext>
              </c:extLst>
            </c:dLbl>
            <c:dLbl>
              <c:idx val="2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8-7CBF-421C-80F3-34B153043904}"/>
                </c:ext>
              </c:extLst>
            </c:dLbl>
            <c:dLbl>
              <c:idx val="2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9-7CBF-421C-80F3-34B153043904}"/>
                </c:ext>
              </c:extLst>
            </c:dLbl>
            <c:dLbl>
              <c:idx val="30"/>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A-7CBF-421C-80F3-34B153043904}"/>
                </c:ext>
              </c:extLst>
            </c:dLbl>
            <c:dLbl>
              <c:idx val="31"/>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B-7CBF-421C-80F3-34B153043904}"/>
                </c:ext>
              </c:extLst>
            </c:dLbl>
            <c:dLbl>
              <c:idx val="3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C-7CBF-421C-80F3-34B153043904}"/>
                </c:ext>
              </c:extLst>
            </c:dLbl>
            <c:dLbl>
              <c:idx val="3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D-7CBF-421C-80F3-34B153043904}"/>
                </c:ext>
              </c:extLst>
            </c:dLbl>
            <c:dLbl>
              <c:idx val="3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E-7CBF-421C-80F3-34B153043904}"/>
                </c:ext>
              </c:extLst>
            </c:dLbl>
            <c:dLbl>
              <c:idx val="3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F-7CBF-421C-80F3-34B153043904}"/>
                </c:ext>
              </c:extLst>
            </c:dLbl>
            <c:dLbl>
              <c:idx val="3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0-7CBF-421C-80F3-34B153043904}"/>
                </c:ext>
              </c:extLst>
            </c:dLbl>
            <c:dLbl>
              <c:idx val="3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1-7CBF-421C-80F3-34B153043904}"/>
                </c:ext>
              </c:extLst>
            </c:dLbl>
            <c:dLbl>
              <c:idx val="3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2-7CBF-421C-80F3-34B153043904}"/>
                </c:ext>
              </c:extLst>
            </c:dLbl>
            <c:dLbl>
              <c:idx val="3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3-7CBF-421C-80F3-34B153043904}"/>
                </c:ext>
              </c:extLst>
            </c:dLbl>
            <c:dLbl>
              <c:idx val="4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4-7CBF-421C-80F3-34B153043904}"/>
                </c:ext>
              </c:extLst>
            </c:dLbl>
            <c:dLbl>
              <c:idx val="4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5-7CBF-421C-80F3-34B153043904}"/>
                </c:ext>
              </c:extLst>
            </c:dLbl>
            <c:dLbl>
              <c:idx val="4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6-7CBF-421C-80F3-34B153043904}"/>
                </c:ext>
              </c:extLst>
            </c:dLbl>
            <c:dLbl>
              <c:idx val="4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7-7CBF-421C-80F3-34B153043904}"/>
                </c:ext>
              </c:extLst>
            </c:dLbl>
            <c:dLbl>
              <c:idx val="4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8-7CBF-421C-80F3-34B153043904}"/>
                </c:ext>
              </c:extLst>
            </c:dLbl>
            <c:dLbl>
              <c:idx val="45"/>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9-7CBF-421C-80F3-34B153043904}"/>
                </c:ext>
              </c:extLst>
            </c:dLbl>
            <c:dLbl>
              <c:idx val="4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A-7CBF-421C-80F3-34B153043904}"/>
                </c:ext>
              </c:extLst>
            </c:dLbl>
            <c:dLbl>
              <c:idx val="4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B-7CBF-421C-80F3-34B153043904}"/>
                </c:ext>
              </c:extLst>
            </c:dLbl>
            <c:dLbl>
              <c:idx val="4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C-7CBF-421C-80F3-34B153043904}"/>
                </c:ext>
              </c:extLst>
            </c:dLbl>
            <c:dLbl>
              <c:idx val="4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D-7CBF-421C-80F3-34B153043904}"/>
                </c:ext>
              </c:extLst>
            </c:dLbl>
            <c:dLbl>
              <c:idx val="5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E-7CBF-421C-80F3-34B153043904}"/>
                </c:ext>
              </c:extLst>
            </c:dLbl>
            <c:dLbl>
              <c:idx val="5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F-7CBF-421C-80F3-34B153043904}"/>
                </c:ext>
              </c:extLst>
            </c:dLbl>
            <c:dLbl>
              <c:idx val="5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0-7CBF-421C-80F3-34B153043904}"/>
                </c:ext>
              </c:extLst>
            </c:dLbl>
            <c:dLbl>
              <c:idx val="5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1-7CBF-421C-80F3-34B153043904}"/>
                </c:ext>
              </c:extLst>
            </c:dLbl>
            <c:dLbl>
              <c:idx val="5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2-7CBF-421C-80F3-34B153043904}"/>
                </c:ext>
              </c:extLst>
            </c:dLbl>
            <c:dLbl>
              <c:idx val="5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3-7CBF-421C-80F3-34B153043904}"/>
                </c:ext>
              </c:extLst>
            </c:dLbl>
            <c:dLbl>
              <c:idx val="56"/>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4-7CBF-421C-80F3-34B153043904}"/>
                </c:ext>
              </c:extLst>
            </c:dLbl>
            <c:dLbl>
              <c:idx val="5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5-7CBF-421C-80F3-34B153043904}"/>
                </c:ext>
              </c:extLst>
            </c:dLbl>
            <c:dLbl>
              <c:idx val="5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6-7CBF-421C-80F3-34B153043904}"/>
                </c:ext>
              </c:extLst>
            </c:dLbl>
            <c:dLbl>
              <c:idx val="5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7-7CBF-421C-80F3-34B153043904}"/>
                </c:ext>
              </c:extLst>
            </c:dLbl>
            <c:dLbl>
              <c:idx val="6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8-7CBF-421C-80F3-34B153043904}"/>
                </c:ext>
              </c:extLst>
            </c:dLbl>
            <c:dLbl>
              <c:idx val="6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9-7CBF-421C-80F3-34B153043904}"/>
                </c:ext>
              </c:extLst>
            </c:dLbl>
            <c:dLbl>
              <c:idx val="6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A-7CBF-421C-80F3-34B153043904}"/>
                </c:ext>
              </c:extLst>
            </c:dLbl>
            <c:dLbl>
              <c:idx val="6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B-7CBF-421C-80F3-34B153043904}"/>
                </c:ext>
              </c:extLst>
            </c:dLbl>
            <c:dLbl>
              <c:idx val="64"/>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C-7CBF-421C-80F3-34B153043904}"/>
                </c:ext>
              </c:extLst>
            </c:dLbl>
            <c:dLbl>
              <c:idx val="6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D-7CBF-421C-80F3-34B153043904}"/>
                </c:ext>
              </c:extLst>
            </c:dLbl>
            <c:dLbl>
              <c:idx val="6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E-7CBF-421C-80F3-34B153043904}"/>
                </c:ext>
              </c:extLst>
            </c:dLbl>
            <c:spPr>
              <a:noFill/>
              <a:ln>
                <a:noFill/>
              </a:ln>
              <a:effectLst/>
            </c:spPr>
            <c:txPr>
              <a:bodyPr rot="0" spcFirstLastPara="1" vertOverflow="ellipsis" vert="horz" wrap="square" anchor="ctr" anchorCtr="1"/>
              <a:lstStyle/>
              <a:p>
                <a:pPr>
                  <a:defRPr sz="800" b="0" i="0" u="none" strike="noStrike" kern="1200" baseline="0">
                    <a:solidFill>
                      <a:srgbClr val="9E5ECE"/>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Sheet1!$G$2:$G$68</c:f>
              <c:numCache>
                <c:formatCode>General</c:formatCode>
                <c:ptCount val="67"/>
                <c:pt idx="0">
                  <c:v>#N/A</c:v>
                </c:pt>
                <c:pt idx="1">
                  <c:v>18.211432506887</c:v>
                </c:pt>
                <c:pt idx="2">
                  <c:v>18.063859981078501</c:v>
                </c:pt>
                <c:pt idx="3">
                  <c:v>#N/A</c:v>
                </c:pt>
                <c:pt idx="4">
                  <c:v>16.934258142340099</c:v>
                </c:pt>
                <c:pt idx="5">
                  <c:v>#N/A</c:v>
                </c:pt>
                <c:pt idx="6">
                  <c:v>#N/A</c:v>
                </c:pt>
                <c:pt idx="7">
                  <c:v>#N/A</c:v>
                </c:pt>
                <c:pt idx="8">
                  <c:v>#N/A</c:v>
                </c:pt>
                <c:pt idx="9">
                  <c:v>#N/A</c:v>
                </c:pt>
                <c:pt idx="10">
                  <c:v>16.8547215496368</c:v>
                </c:pt>
                <c:pt idx="11">
                  <c:v>#N/A</c:v>
                </c:pt>
                <c:pt idx="12">
                  <c:v>17.183734939758999</c:v>
                </c:pt>
                <c:pt idx="13">
                  <c:v>19.312292358803901</c:v>
                </c:pt>
                <c:pt idx="14">
                  <c:v>#N/A</c:v>
                </c:pt>
                <c:pt idx="15">
                  <c:v>#N/A</c:v>
                </c:pt>
                <c:pt idx="16">
                  <c:v>#N/A</c:v>
                </c:pt>
                <c:pt idx="17">
                  <c:v>#N/A</c:v>
                </c:pt>
                <c:pt idx="18">
                  <c:v>#N/A</c:v>
                </c:pt>
                <c:pt idx="19">
                  <c:v>#N/A</c:v>
                </c:pt>
                <c:pt idx="20">
                  <c:v>#N/A</c:v>
                </c:pt>
                <c:pt idx="21">
                  <c:v>#N/A</c:v>
                </c:pt>
                <c:pt idx="22">
                  <c:v>19.371428571428499</c:v>
                </c:pt>
                <c:pt idx="23">
                  <c:v>#N/A</c:v>
                </c:pt>
                <c:pt idx="24">
                  <c:v>#N/A</c:v>
                </c:pt>
                <c:pt idx="25">
                  <c:v>#N/A</c:v>
                </c:pt>
                <c:pt idx="26">
                  <c:v>#N/A</c:v>
                </c:pt>
                <c:pt idx="27">
                  <c:v>#N/A</c:v>
                </c:pt>
                <c:pt idx="28">
                  <c:v>#N/A</c:v>
                </c:pt>
                <c:pt idx="29">
                  <c:v>#N/A</c:v>
                </c:pt>
                <c:pt idx="30">
                  <c:v>19</c:v>
                </c:pt>
                <c:pt idx="31">
                  <c:v>13.606382978723399</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14.605263157894701</c:v>
                </c:pt>
                <c:pt idx="46">
                  <c:v>#N/A</c:v>
                </c:pt>
                <c:pt idx="47">
                  <c:v>#N/A</c:v>
                </c:pt>
                <c:pt idx="48">
                  <c:v>#N/A</c:v>
                </c:pt>
                <c:pt idx="49">
                  <c:v>#N/A</c:v>
                </c:pt>
                <c:pt idx="50">
                  <c:v>#N/A</c:v>
                </c:pt>
                <c:pt idx="51">
                  <c:v>#N/A</c:v>
                </c:pt>
                <c:pt idx="52">
                  <c:v>16.148148148148099</c:v>
                </c:pt>
                <c:pt idx="53">
                  <c:v>#N/A</c:v>
                </c:pt>
                <c:pt idx="54">
                  <c:v>#N/A</c:v>
                </c:pt>
                <c:pt idx="55">
                  <c:v>#N/A</c:v>
                </c:pt>
                <c:pt idx="56">
                  <c:v>18.7222222222222</c:v>
                </c:pt>
                <c:pt idx="57">
                  <c:v>#N/A</c:v>
                </c:pt>
                <c:pt idx="58">
                  <c:v>#N/A</c:v>
                </c:pt>
                <c:pt idx="59">
                  <c:v>#N/A</c:v>
                </c:pt>
                <c:pt idx="60">
                  <c:v>#N/A</c:v>
                </c:pt>
                <c:pt idx="61">
                  <c:v>#N/A</c:v>
                </c:pt>
                <c:pt idx="62">
                  <c:v>#N/A</c:v>
                </c:pt>
                <c:pt idx="63">
                  <c:v>#N/A</c:v>
                </c:pt>
                <c:pt idx="64">
                  <c:v>13.4285714285714</c:v>
                </c:pt>
                <c:pt idx="65">
                  <c:v>#N/A</c:v>
                </c:pt>
                <c:pt idx="66">
                  <c:v>#N/A</c:v>
                </c:pt>
              </c:numCache>
            </c:numRef>
          </c:yVal>
          <c:smooth val="0"/>
          <c:extLst>
            <c:ext xmlns:c15="http://schemas.microsoft.com/office/drawing/2012/chart" uri="{02D57815-91ED-43cb-92C2-25804820EDAC}">
              <c15:datalabelsRange>
                <c15:f>Sheet1!$A$2:$A$11</c15:f>
                <c15:dlblRangeCache>
                  <c:ptCount val="10"/>
                  <c:pt idx="0">
                    <c:v>Crop farm worker (e.g. fruit, vegetable, nut picker, farm hand)</c:v>
                  </c:pt>
                  <c:pt idx="1">
                    <c:v>Waiter</c:v>
                  </c:pt>
                  <c:pt idx="2">
                    <c:v>Bar attendant or barista</c:v>
                  </c:pt>
                  <c:pt idx="3">
                    <c:v>Other farm, forestry and garden workers</c:v>
                  </c:pt>
                  <c:pt idx="4">
                    <c:v>Other hospitality, tourism &amp; sport</c:v>
                  </c:pt>
                  <c:pt idx="5">
                    <c:v>Hand packer</c:v>
                  </c:pt>
                  <c:pt idx="6">
                    <c:v>Nanny or aupair</c:v>
                  </c:pt>
                  <c:pt idx="7">
                    <c:v>Meat, chicken and fish process worker</c:v>
                  </c:pt>
                  <c:pt idx="8">
                    <c:v>NA</c:v>
                  </c:pt>
                  <c:pt idx="9">
                    <c:v>Building labourer</c:v>
                  </c:pt>
                </c15:dlblRangeCache>
              </c15:datalabelsRange>
            </c:ext>
            <c:ext xmlns:c16="http://schemas.microsoft.com/office/drawing/2014/chart" uri="{C3380CC4-5D6E-409C-BE32-E72D297353CC}">
              <c16:uniqueId val="{00000087-DA92-4BA6-963D-46C936AD465B}"/>
            </c:ext>
          </c:extLst>
        </c:ser>
        <c:ser>
          <c:idx val="2"/>
          <c:order val="2"/>
          <c:tx>
            <c:strRef>
              <c:f>Sheet1!$H$1</c:f>
              <c:strCache>
                <c:ptCount val="1"/>
                <c:pt idx="0">
                  <c:v>Education</c:v>
                </c:pt>
              </c:strCache>
            </c:strRef>
          </c:tx>
          <c:spPr>
            <a:ln w="19050" cap="rnd">
              <a:noFill/>
              <a:round/>
            </a:ln>
            <a:effectLst/>
          </c:spPr>
          <c:marker>
            <c:symbol val="circle"/>
            <c:size val="5"/>
            <c:spPr>
              <a:solidFill>
                <a:srgbClr val="00B050"/>
              </a:solidFill>
              <a:ln w="9525">
                <a:solidFill>
                  <a:srgbClr val="00B050"/>
                </a:solidFill>
              </a:ln>
              <a:effectLst/>
            </c:spPr>
          </c:marker>
          <c:dLbls>
            <c:dLbl>
              <c:idx val="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F-7CBF-421C-80F3-34B153043904}"/>
                </c:ext>
              </c:extLst>
            </c:dLbl>
            <c:dLbl>
              <c:idx val="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0-7CBF-421C-80F3-34B153043904}"/>
                </c:ext>
              </c:extLst>
            </c:dLbl>
            <c:dLbl>
              <c:idx val="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1-7CBF-421C-80F3-34B153043904}"/>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2-7CBF-421C-80F3-34B153043904}"/>
                </c:ext>
              </c:extLst>
            </c:dLbl>
            <c:dLbl>
              <c:idx val="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3-7CBF-421C-80F3-34B153043904}"/>
                </c:ext>
              </c:extLst>
            </c:dLbl>
            <c:dLbl>
              <c:idx val="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4-7CBF-421C-80F3-34B153043904}"/>
                </c:ext>
              </c:extLst>
            </c:dLbl>
            <c:dLbl>
              <c:idx val="6"/>
              <c:layout>
                <c:manualLayout>
                  <c:x val="-5.8459289087866894E-3"/>
                  <c:y val="-0.28797995705082319"/>
                </c:manualLayout>
              </c:layout>
              <c:tx>
                <c:rich>
                  <a:bodyPr/>
                  <a:lstStyle/>
                  <a:p>
                    <a:fld id="{437DEA37-192A-4DC4-A2E6-830CE695A00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8E-DA92-4BA6-963D-46C936AD465B}"/>
                </c:ext>
              </c:extLst>
            </c:dLbl>
            <c:dLbl>
              <c:idx val="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5-7CBF-421C-80F3-34B153043904}"/>
                </c:ext>
              </c:extLst>
            </c:dLbl>
            <c:dLbl>
              <c:idx val="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6-7CBF-421C-80F3-34B153043904}"/>
                </c:ext>
              </c:extLst>
            </c:dLbl>
            <c:dLbl>
              <c:idx val="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7-7CBF-421C-80F3-34B153043904}"/>
                </c:ext>
              </c:extLst>
            </c:dLbl>
            <c:dLbl>
              <c:idx val="1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8-7CBF-421C-80F3-34B153043904}"/>
                </c:ext>
              </c:extLst>
            </c:dLbl>
            <c:dLbl>
              <c:idx val="1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9-7CBF-421C-80F3-34B153043904}"/>
                </c:ext>
              </c:extLst>
            </c:dLbl>
            <c:dLbl>
              <c:idx val="1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A-7CBF-421C-80F3-34B153043904}"/>
                </c:ext>
              </c:extLst>
            </c:dLbl>
            <c:dLbl>
              <c:idx val="1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B-7CBF-421C-80F3-34B153043904}"/>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C-7CBF-421C-80F3-34B153043904}"/>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D-7CBF-421C-80F3-34B153043904}"/>
                </c:ext>
              </c:extLst>
            </c:dLbl>
            <c:dLbl>
              <c:idx val="1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E-7CBF-421C-80F3-34B153043904}"/>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F-7CBF-421C-80F3-34B153043904}"/>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0-7CBF-421C-80F3-34B153043904}"/>
                </c:ext>
              </c:extLst>
            </c:dLbl>
            <c:dLbl>
              <c:idx val="1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1-7CBF-421C-80F3-34B153043904}"/>
                </c:ext>
              </c:extLst>
            </c:dLbl>
            <c:dLbl>
              <c:idx val="2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2-7CBF-421C-80F3-34B153043904}"/>
                </c:ext>
              </c:extLst>
            </c:dLbl>
            <c:dLbl>
              <c:idx val="2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3-7CBF-421C-80F3-34B153043904}"/>
                </c:ext>
              </c:extLst>
            </c:dLbl>
            <c:dLbl>
              <c:idx val="2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4-7CBF-421C-80F3-34B153043904}"/>
                </c:ext>
              </c:extLst>
            </c:dLbl>
            <c:dLbl>
              <c:idx val="2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5-7CBF-421C-80F3-34B153043904}"/>
                </c:ext>
              </c:extLst>
            </c:dLbl>
            <c:dLbl>
              <c:idx val="2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6-7CBF-421C-80F3-34B153043904}"/>
                </c:ext>
              </c:extLst>
            </c:dLbl>
            <c:dLbl>
              <c:idx val="2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7-7CBF-421C-80F3-34B153043904}"/>
                </c:ext>
              </c:extLst>
            </c:dLbl>
            <c:dLbl>
              <c:idx val="2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8-7CBF-421C-80F3-34B153043904}"/>
                </c:ext>
              </c:extLst>
            </c:dLbl>
            <c:dLbl>
              <c:idx val="2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9-7CBF-421C-80F3-34B153043904}"/>
                </c:ext>
              </c:extLst>
            </c:dLbl>
            <c:dLbl>
              <c:idx val="28"/>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A-7CBF-421C-80F3-34B153043904}"/>
                </c:ext>
              </c:extLst>
            </c:dLbl>
            <c:dLbl>
              <c:idx val="2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B-7CBF-421C-80F3-34B153043904}"/>
                </c:ext>
              </c:extLst>
            </c:dLbl>
            <c:dLbl>
              <c:idx val="3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C-7CBF-421C-80F3-34B153043904}"/>
                </c:ext>
              </c:extLst>
            </c:dLbl>
            <c:dLbl>
              <c:idx val="3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D-7CBF-421C-80F3-34B153043904}"/>
                </c:ext>
              </c:extLst>
            </c:dLbl>
            <c:dLbl>
              <c:idx val="3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E-7CBF-421C-80F3-34B153043904}"/>
                </c:ext>
              </c:extLst>
            </c:dLbl>
            <c:dLbl>
              <c:idx val="3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F-7CBF-421C-80F3-34B153043904}"/>
                </c:ext>
              </c:extLst>
            </c:dLbl>
            <c:dLbl>
              <c:idx val="3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0-7CBF-421C-80F3-34B153043904}"/>
                </c:ext>
              </c:extLst>
            </c:dLbl>
            <c:dLbl>
              <c:idx val="3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1-7CBF-421C-80F3-34B153043904}"/>
                </c:ext>
              </c:extLst>
            </c:dLbl>
            <c:dLbl>
              <c:idx val="3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2-7CBF-421C-80F3-34B153043904}"/>
                </c:ext>
              </c:extLst>
            </c:dLbl>
            <c:dLbl>
              <c:idx val="3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3-7CBF-421C-80F3-34B153043904}"/>
                </c:ext>
              </c:extLst>
            </c:dLbl>
            <c:dLbl>
              <c:idx val="3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4-7CBF-421C-80F3-34B153043904}"/>
                </c:ext>
              </c:extLst>
            </c:dLbl>
            <c:dLbl>
              <c:idx val="3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5-7CBF-421C-80F3-34B153043904}"/>
                </c:ext>
              </c:extLst>
            </c:dLbl>
            <c:dLbl>
              <c:idx val="4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6-7CBF-421C-80F3-34B153043904}"/>
                </c:ext>
              </c:extLst>
            </c:dLbl>
            <c:dLbl>
              <c:idx val="4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7-7CBF-421C-80F3-34B153043904}"/>
                </c:ext>
              </c:extLst>
            </c:dLbl>
            <c:dLbl>
              <c:idx val="4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8-7CBF-421C-80F3-34B153043904}"/>
                </c:ext>
              </c:extLst>
            </c:dLbl>
            <c:dLbl>
              <c:idx val="43"/>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9-7CBF-421C-80F3-34B153043904}"/>
                </c:ext>
              </c:extLst>
            </c:dLbl>
            <c:dLbl>
              <c:idx val="4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A-7CBF-421C-80F3-34B153043904}"/>
                </c:ext>
              </c:extLst>
            </c:dLbl>
            <c:dLbl>
              <c:idx val="4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B-7CBF-421C-80F3-34B153043904}"/>
                </c:ext>
              </c:extLst>
            </c:dLbl>
            <c:dLbl>
              <c:idx val="4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C-7CBF-421C-80F3-34B153043904}"/>
                </c:ext>
              </c:extLst>
            </c:dLbl>
            <c:dLbl>
              <c:idx val="4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D-7CBF-421C-80F3-34B153043904}"/>
                </c:ext>
              </c:extLst>
            </c:dLbl>
            <c:dLbl>
              <c:idx val="4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E-7CBF-421C-80F3-34B153043904}"/>
                </c:ext>
              </c:extLst>
            </c:dLbl>
            <c:dLbl>
              <c:idx val="4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F-7CBF-421C-80F3-34B153043904}"/>
                </c:ext>
              </c:extLst>
            </c:dLbl>
            <c:dLbl>
              <c:idx val="5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0-7CBF-421C-80F3-34B153043904}"/>
                </c:ext>
              </c:extLst>
            </c:dLbl>
            <c:dLbl>
              <c:idx val="5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1-7CBF-421C-80F3-34B153043904}"/>
                </c:ext>
              </c:extLst>
            </c:dLbl>
            <c:dLbl>
              <c:idx val="5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2-7CBF-421C-80F3-34B153043904}"/>
                </c:ext>
              </c:extLst>
            </c:dLbl>
            <c:dLbl>
              <c:idx val="53"/>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3-7CBF-421C-80F3-34B153043904}"/>
                </c:ext>
              </c:extLst>
            </c:dLbl>
            <c:dLbl>
              <c:idx val="5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4-7CBF-421C-80F3-34B153043904}"/>
                </c:ext>
              </c:extLst>
            </c:dLbl>
            <c:dLbl>
              <c:idx val="5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5-7CBF-421C-80F3-34B153043904}"/>
                </c:ext>
              </c:extLst>
            </c:dLbl>
            <c:dLbl>
              <c:idx val="5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6-7CBF-421C-80F3-34B153043904}"/>
                </c:ext>
              </c:extLst>
            </c:dLbl>
            <c:dLbl>
              <c:idx val="57"/>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7-7CBF-421C-80F3-34B153043904}"/>
                </c:ext>
              </c:extLst>
            </c:dLbl>
            <c:dLbl>
              <c:idx val="58"/>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8-7CBF-421C-80F3-34B153043904}"/>
                </c:ext>
              </c:extLst>
            </c:dLbl>
            <c:dLbl>
              <c:idx val="5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9-7CBF-421C-80F3-34B153043904}"/>
                </c:ext>
              </c:extLst>
            </c:dLbl>
            <c:dLbl>
              <c:idx val="6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A-7CBF-421C-80F3-34B153043904}"/>
                </c:ext>
              </c:extLst>
            </c:dLbl>
            <c:dLbl>
              <c:idx val="6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B-7CBF-421C-80F3-34B153043904}"/>
                </c:ext>
              </c:extLst>
            </c:dLbl>
            <c:dLbl>
              <c:idx val="6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C-7CBF-421C-80F3-34B153043904}"/>
                </c:ext>
              </c:extLst>
            </c:dLbl>
            <c:dLbl>
              <c:idx val="6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D-7CBF-421C-80F3-34B153043904}"/>
                </c:ext>
              </c:extLst>
            </c:dLbl>
            <c:dLbl>
              <c:idx val="6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E-7CBF-421C-80F3-34B153043904}"/>
                </c:ext>
              </c:extLst>
            </c:dLbl>
            <c:dLbl>
              <c:idx val="6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F-7CBF-421C-80F3-34B153043904}"/>
                </c:ext>
              </c:extLst>
            </c:dLbl>
            <c:dLbl>
              <c:idx val="6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0-7CBF-421C-80F3-34B153043904}"/>
                </c:ext>
              </c:extLst>
            </c:dLbl>
            <c:spPr>
              <a:noFill/>
              <a:ln>
                <a:noFill/>
              </a:ln>
              <a:effectLst/>
            </c:spPr>
            <c:txPr>
              <a:bodyPr rot="0" spcFirstLastPara="1" vertOverflow="ellipsis" vert="horz" wrap="square" anchor="ctr" anchorCtr="1"/>
              <a:lstStyle/>
              <a:p>
                <a:pPr>
                  <a:defRPr sz="800" b="0" i="0" u="none" strike="noStrike" kern="1200" baseline="0">
                    <a:solidFill>
                      <a:srgbClr val="00B050"/>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Sheet1!$H$2:$H$68</c:f>
              <c:numCache>
                <c:formatCode>General</c:formatCode>
                <c:ptCount val="67"/>
                <c:pt idx="0">
                  <c:v>#N/A</c:v>
                </c:pt>
                <c:pt idx="1">
                  <c:v>#N/A</c:v>
                </c:pt>
                <c:pt idx="2">
                  <c:v>#N/A</c:v>
                </c:pt>
                <c:pt idx="3">
                  <c:v>#N/A</c:v>
                </c:pt>
                <c:pt idx="4">
                  <c:v>#N/A</c:v>
                </c:pt>
                <c:pt idx="5">
                  <c:v>#N/A</c:v>
                </c:pt>
                <c:pt idx="6">
                  <c:v>19.195741758241699</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22.7657657657657</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19.653061224489701</c:v>
                </c:pt>
                <c:pt idx="44">
                  <c:v>#N/A</c:v>
                </c:pt>
                <c:pt idx="45">
                  <c:v>#N/A</c:v>
                </c:pt>
                <c:pt idx="46">
                  <c:v>#N/A</c:v>
                </c:pt>
                <c:pt idx="47">
                  <c:v>#N/A</c:v>
                </c:pt>
                <c:pt idx="48">
                  <c:v>#N/A</c:v>
                </c:pt>
                <c:pt idx="49">
                  <c:v>#N/A</c:v>
                </c:pt>
                <c:pt idx="50">
                  <c:v>#N/A</c:v>
                </c:pt>
                <c:pt idx="51">
                  <c:v>#N/A</c:v>
                </c:pt>
                <c:pt idx="52">
                  <c:v>#N/A</c:v>
                </c:pt>
                <c:pt idx="53">
                  <c:v>18.814814814814799</c:v>
                </c:pt>
                <c:pt idx="54">
                  <c:v>#N/A</c:v>
                </c:pt>
                <c:pt idx="55">
                  <c:v>#N/A</c:v>
                </c:pt>
                <c:pt idx="56">
                  <c:v>#N/A</c:v>
                </c:pt>
                <c:pt idx="57">
                  <c:v>31.736842105263101</c:v>
                </c:pt>
                <c:pt idx="58">
                  <c:v>20.1875</c:v>
                </c:pt>
                <c:pt idx="59">
                  <c:v>#N/A</c:v>
                </c:pt>
                <c:pt idx="60">
                  <c:v>#N/A</c:v>
                </c:pt>
                <c:pt idx="61">
                  <c:v>#N/A</c:v>
                </c:pt>
                <c:pt idx="62">
                  <c:v>24.090909090909001</c:v>
                </c:pt>
                <c:pt idx="63">
                  <c:v>#N/A</c:v>
                </c:pt>
                <c:pt idx="64">
                  <c:v>#N/A</c:v>
                </c:pt>
                <c:pt idx="65">
                  <c:v>#N/A</c:v>
                </c:pt>
                <c:pt idx="66">
                  <c:v>#N/A</c:v>
                </c:pt>
              </c:numCache>
            </c:numRef>
          </c:yVal>
          <c:smooth val="0"/>
          <c:extLst>
            <c:ext xmlns:c15="http://schemas.microsoft.com/office/drawing/2012/chart" uri="{02D57815-91ED-43cb-92C2-25804820EDAC}">
              <c15:datalabelsRange>
                <c15:f>Sheet1!$A$2:$A$11</c15:f>
                <c15:dlblRangeCache>
                  <c:ptCount val="10"/>
                  <c:pt idx="0">
                    <c:v>Crop farm worker (e.g. fruit, vegetable, nut picker, farm hand)</c:v>
                  </c:pt>
                  <c:pt idx="1">
                    <c:v>Waiter</c:v>
                  </c:pt>
                  <c:pt idx="2">
                    <c:v>Bar attendant or barista</c:v>
                  </c:pt>
                  <c:pt idx="3">
                    <c:v>Other farm, forestry and garden workers</c:v>
                  </c:pt>
                  <c:pt idx="4">
                    <c:v>Other hospitality, tourism &amp; sport</c:v>
                  </c:pt>
                  <c:pt idx="5">
                    <c:v>Hand packer</c:v>
                  </c:pt>
                  <c:pt idx="6">
                    <c:v>Nanny or aupair</c:v>
                  </c:pt>
                  <c:pt idx="7">
                    <c:v>Meat, chicken and fish process worker</c:v>
                  </c:pt>
                  <c:pt idx="8">
                    <c:v>NA</c:v>
                  </c:pt>
                  <c:pt idx="9">
                    <c:v>Building labourer</c:v>
                  </c:pt>
                </c15:dlblRangeCache>
              </c15:datalabelsRange>
            </c:ext>
            <c:ext xmlns:c16="http://schemas.microsoft.com/office/drawing/2014/chart" uri="{C3380CC4-5D6E-409C-BE32-E72D297353CC}">
              <c16:uniqueId val="{000000CB-DA92-4BA6-963D-46C936AD465B}"/>
            </c:ext>
          </c:extLst>
        </c:ser>
        <c:ser>
          <c:idx val="3"/>
          <c:order val="3"/>
          <c:tx>
            <c:strRef>
              <c:f>Sheet1!$I$1</c:f>
              <c:strCache>
                <c:ptCount val="1"/>
                <c:pt idx="0">
                  <c:v>Sales and marketing</c:v>
                </c:pt>
              </c:strCache>
            </c:strRef>
          </c:tx>
          <c:spPr>
            <a:ln w="19050" cap="rnd">
              <a:noFill/>
              <a:round/>
            </a:ln>
            <a:effectLst/>
          </c:spPr>
          <c:marker>
            <c:symbol val="circle"/>
            <c:size val="5"/>
            <c:spPr>
              <a:solidFill>
                <a:schemeClr val="accent2">
                  <a:lumMod val="60000"/>
                </a:schemeClr>
              </a:solidFill>
              <a:ln w="9525">
                <a:solidFill>
                  <a:schemeClr val="accent2">
                    <a:lumMod val="60000"/>
                  </a:schemeClr>
                </a:solidFill>
              </a:ln>
              <a:effectLst/>
            </c:spPr>
          </c:marker>
          <c:dLbls>
            <c:delete val="1"/>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Sheet1!$I$2:$I$68</c:f>
              <c:numCache>
                <c:formatCode>General</c:formatCode>
                <c:ptCount val="67"/>
                <c:pt idx="0">
                  <c:v>#N/A</c:v>
                </c:pt>
                <c:pt idx="1">
                  <c:v>#N/A</c:v>
                </c:pt>
                <c:pt idx="2">
                  <c:v>#N/A</c:v>
                </c:pt>
                <c:pt idx="3">
                  <c:v>#N/A</c:v>
                </c:pt>
                <c:pt idx="4">
                  <c:v>#N/A</c:v>
                </c:pt>
                <c:pt idx="5">
                  <c:v>#N/A</c:v>
                </c:pt>
                <c:pt idx="6">
                  <c:v>#N/A</c:v>
                </c:pt>
                <c:pt idx="7">
                  <c:v>#N/A</c:v>
                </c:pt>
                <c:pt idx="8">
                  <c:v>15.992448979591799</c:v>
                </c:pt>
                <c:pt idx="9">
                  <c:v>#N/A</c:v>
                </c:pt>
                <c:pt idx="10">
                  <c:v>#N/A</c:v>
                </c:pt>
                <c:pt idx="11">
                  <c:v>#N/A</c:v>
                </c:pt>
                <c:pt idx="12">
                  <c:v>#N/A</c:v>
                </c:pt>
                <c:pt idx="13">
                  <c:v>#N/A</c:v>
                </c:pt>
                <c:pt idx="14">
                  <c:v>#N/A</c:v>
                </c:pt>
                <c:pt idx="15">
                  <c:v>20.867313915857601</c:v>
                </c:pt>
                <c:pt idx="16">
                  <c:v>#N/A</c:v>
                </c:pt>
                <c:pt idx="17">
                  <c:v>17.074204946996399</c:v>
                </c:pt>
                <c:pt idx="18">
                  <c:v>#N/A</c:v>
                </c:pt>
                <c:pt idx="19">
                  <c:v>#N/A</c:v>
                </c:pt>
                <c:pt idx="20">
                  <c:v>#N/A</c:v>
                </c:pt>
                <c:pt idx="21">
                  <c:v>#N/A</c:v>
                </c:pt>
                <c:pt idx="22">
                  <c:v>#N/A</c:v>
                </c:pt>
                <c:pt idx="23">
                  <c:v>14.663461538461499</c:v>
                </c:pt>
                <c:pt idx="24">
                  <c:v>#N/A</c:v>
                </c:pt>
                <c:pt idx="25">
                  <c:v>#N/A</c:v>
                </c:pt>
                <c:pt idx="26">
                  <c:v>#N/A</c:v>
                </c:pt>
                <c:pt idx="27">
                  <c:v>#N/A</c:v>
                </c:pt>
                <c:pt idx="28">
                  <c:v>#N/A</c:v>
                </c:pt>
                <c:pt idx="29">
                  <c:v>20.4489795918367</c:v>
                </c:pt>
                <c:pt idx="30">
                  <c:v>#N/A</c:v>
                </c:pt>
                <c:pt idx="31">
                  <c:v>#N/A</c:v>
                </c:pt>
                <c:pt idx="32">
                  <c:v>#N/A</c:v>
                </c:pt>
                <c:pt idx="33">
                  <c:v>#N/A</c:v>
                </c:pt>
                <c:pt idx="34">
                  <c:v>#N/A</c:v>
                </c:pt>
                <c:pt idx="35">
                  <c:v>#N/A</c:v>
                </c:pt>
                <c:pt idx="36">
                  <c:v>#N/A</c:v>
                </c:pt>
                <c:pt idx="37">
                  <c:v>#N/A</c:v>
                </c:pt>
                <c:pt idx="38">
                  <c:v>#N/A</c:v>
                </c:pt>
                <c:pt idx="39">
                  <c:v>#N/A</c:v>
                </c:pt>
                <c:pt idx="40">
                  <c:v>#N/A</c:v>
                </c:pt>
                <c:pt idx="41">
                  <c:v>#N/A</c:v>
                </c:pt>
                <c:pt idx="42">
                  <c:v>20.2708333333333</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15.3333333333333</c:v>
                </c:pt>
                <c:pt idx="62">
                  <c:v>#N/A</c:v>
                </c:pt>
                <c:pt idx="63">
                  <c:v>#N/A</c:v>
                </c:pt>
                <c:pt idx="64">
                  <c:v>#N/A</c:v>
                </c:pt>
                <c:pt idx="65">
                  <c:v>#N/A</c:v>
                </c:pt>
                <c:pt idx="66">
                  <c:v>#N/A</c:v>
                </c:pt>
              </c:numCache>
            </c:numRef>
          </c:yVal>
          <c:smooth val="0"/>
          <c:extLst>
            <c:ext xmlns:c16="http://schemas.microsoft.com/office/drawing/2014/chart" uri="{C3380CC4-5D6E-409C-BE32-E72D297353CC}">
              <c16:uniqueId val="{000000CC-DA92-4BA6-963D-46C936AD465B}"/>
            </c:ext>
          </c:extLst>
        </c:ser>
        <c:ser>
          <c:idx val="4"/>
          <c:order val="4"/>
          <c:tx>
            <c:strRef>
              <c:f>Sheet1!$J$1</c:f>
              <c:strCache>
                <c:ptCount val="1"/>
                <c:pt idx="0">
                  <c:v>Construction and mining</c:v>
                </c:pt>
              </c:strCache>
            </c:strRef>
          </c:tx>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dLbls>
            <c:dLbl>
              <c:idx val="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1-7CBF-421C-80F3-34B153043904}"/>
                </c:ext>
              </c:extLst>
            </c:dLbl>
            <c:dLbl>
              <c:idx val="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2-7CBF-421C-80F3-34B153043904}"/>
                </c:ext>
              </c:extLst>
            </c:dLbl>
            <c:dLbl>
              <c:idx val="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3-7CBF-421C-80F3-34B153043904}"/>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4-7CBF-421C-80F3-34B153043904}"/>
                </c:ext>
              </c:extLst>
            </c:dLbl>
            <c:dLbl>
              <c:idx val="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5-7CBF-421C-80F3-34B153043904}"/>
                </c:ext>
              </c:extLst>
            </c:dLbl>
            <c:dLbl>
              <c:idx val="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6-7CBF-421C-80F3-34B153043904}"/>
                </c:ext>
              </c:extLst>
            </c:dLbl>
            <c:dLbl>
              <c:idx val="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7-7CBF-421C-80F3-34B153043904}"/>
                </c:ext>
              </c:extLst>
            </c:dLbl>
            <c:dLbl>
              <c:idx val="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8-7CBF-421C-80F3-34B153043904}"/>
                </c:ext>
              </c:extLst>
            </c:dLbl>
            <c:dLbl>
              <c:idx val="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9-7CBF-421C-80F3-34B153043904}"/>
                </c:ext>
              </c:extLst>
            </c:dLbl>
            <c:dLbl>
              <c:idx val="9"/>
              <c:layout>
                <c:manualLayout>
                  <c:x val="-0.11321536558428756"/>
                  <c:y val="0.12874731567644954"/>
                </c:manualLayout>
              </c:layout>
              <c:tx>
                <c:rich>
                  <a:bodyPr/>
                  <a:lstStyle/>
                  <a:p>
                    <a:fld id="{B03CB637-3695-45FC-A696-D76E808502E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D6-DA92-4BA6-963D-46C936AD465B}"/>
                </c:ext>
              </c:extLst>
            </c:dLbl>
            <c:dLbl>
              <c:idx val="1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A-7CBF-421C-80F3-34B153043904}"/>
                </c:ext>
              </c:extLst>
            </c:dLbl>
            <c:dLbl>
              <c:idx val="11"/>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B-7CBF-421C-80F3-34B153043904}"/>
                </c:ext>
              </c:extLst>
            </c:dLbl>
            <c:dLbl>
              <c:idx val="1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C-7CBF-421C-80F3-34B153043904}"/>
                </c:ext>
              </c:extLst>
            </c:dLbl>
            <c:dLbl>
              <c:idx val="1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D-7CBF-421C-80F3-34B153043904}"/>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E-7CBF-421C-80F3-34B153043904}"/>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CF-7CBF-421C-80F3-34B153043904}"/>
                </c:ext>
              </c:extLst>
            </c:dLbl>
            <c:dLbl>
              <c:idx val="16"/>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0-7CBF-421C-80F3-34B153043904}"/>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1-7CBF-421C-80F3-34B153043904}"/>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2-7CBF-421C-80F3-34B153043904}"/>
                </c:ext>
              </c:extLst>
            </c:dLbl>
            <c:dLbl>
              <c:idx val="1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3-7CBF-421C-80F3-34B153043904}"/>
                </c:ext>
              </c:extLst>
            </c:dLbl>
            <c:dLbl>
              <c:idx val="2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4-7CBF-421C-80F3-34B153043904}"/>
                </c:ext>
              </c:extLst>
            </c:dLbl>
            <c:dLbl>
              <c:idx val="2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5-7CBF-421C-80F3-34B153043904}"/>
                </c:ext>
              </c:extLst>
            </c:dLbl>
            <c:dLbl>
              <c:idx val="2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6-7CBF-421C-80F3-34B153043904}"/>
                </c:ext>
              </c:extLst>
            </c:dLbl>
            <c:dLbl>
              <c:idx val="2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7-7CBF-421C-80F3-34B153043904}"/>
                </c:ext>
              </c:extLst>
            </c:dLbl>
            <c:dLbl>
              <c:idx val="2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8-7CBF-421C-80F3-34B153043904}"/>
                </c:ext>
              </c:extLst>
            </c:dLbl>
            <c:dLbl>
              <c:idx val="2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9-7CBF-421C-80F3-34B153043904}"/>
                </c:ext>
              </c:extLst>
            </c:dLbl>
            <c:dLbl>
              <c:idx val="2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A-7CBF-421C-80F3-34B153043904}"/>
                </c:ext>
              </c:extLst>
            </c:dLbl>
            <c:dLbl>
              <c:idx val="2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B-7CBF-421C-80F3-34B153043904}"/>
                </c:ext>
              </c:extLst>
            </c:dLbl>
            <c:dLbl>
              <c:idx val="2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C-7CBF-421C-80F3-34B153043904}"/>
                </c:ext>
              </c:extLst>
            </c:dLbl>
            <c:dLbl>
              <c:idx val="2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D-7CBF-421C-80F3-34B153043904}"/>
                </c:ext>
              </c:extLst>
            </c:dLbl>
            <c:dLbl>
              <c:idx val="3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E-7CBF-421C-80F3-34B153043904}"/>
                </c:ext>
              </c:extLst>
            </c:dLbl>
            <c:dLbl>
              <c:idx val="3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F-7CBF-421C-80F3-34B153043904}"/>
                </c:ext>
              </c:extLst>
            </c:dLbl>
            <c:dLbl>
              <c:idx val="3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0-7CBF-421C-80F3-34B153043904}"/>
                </c:ext>
              </c:extLst>
            </c:dLbl>
            <c:dLbl>
              <c:idx val="3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1-7CBF-421C-80F3-34B153043904}"/>
                </c:ext>
              </c:extLst>
            </c:dLbl>
            <c:dLbl>
              <c:idx val="3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2-7CBF-421C-80F3-34B153043904}"/>
                </c:ext>
              </c:extLst>
            </c:dLbl>
            <c:dLbl>
              <c:idx val="3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3-7CBF-421C-80F3-34B153043904}"/>
                </c:ext>
              </c:extLst>
            </c:dLbl>
            <c:dLbl>
              <c:idx val="3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4-7CBF-421C-80F3-34B153043904}"/>
                </c:ext>
              </c:extLst>
            </c:dLbl>
            <c:dLbl>
              <c:idx val="3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5-7CBF-421C-80F3-34B153043904}"/>
                </c:ext>
              </c:extLst>
            </c:dLbl>
            <c:dLbl>
              <c:idx val="3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6-7CBF-421C-80F3-34B153043904}"/>
                </c:ext>
              </c:extLst>
            </c:dLbl>
            <c:dLbl>
              <c:idx val="3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7-7CBF-421C-80F3-34B153043904}"/>
                </c:ext>
              </c:extLst>
            </c:dLbl>
            <c:dLbl>
              <c:idx val="4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8-7CBF-421C-80F3-34B153043904}"/>
                </c:ext>
              </c:extLst>
            </c:dLbl>
            <c:dLbl>
              <c:idx val="4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9-7CBF-421C-80F3-34B153043904}"/>
                </c:ext>
              </c:extLst>
            </c:dLbl>
            <c:dLbl>
              <c:idx val="4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A-7CBF-421C-80F3-34B153043904}"/>
                </c:ext>
              </c:extLst>
            </c:dLbl>
            <c:dLbl>
              <c:idx val="4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B-7CBF-421C-80F3-34B153043904}"/>
                </c:ext>
              </c:extLst>
            </c:dLbl>
            <c:dLbl>
              <c:idx val="4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C-7CBF-421C-80F3-34B153043904}"/>
                </c:ext>
              </c:extLst>
            </c:dLbl>
            <c:dLbl>
              <c:idx val="4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D-7CBF-421C-80F3-34B153043904}"/>
                </c:ext>
              </c:extLst>
            </c:dLbl>
            <c:dLbl>
              <c:idx val="46"/>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E-7CBF-421C-80F3-34B153043904}"/>
                </c:ext>
              </c:extLst>
            </c:dLbl>
            <c:dLbl>
              <c:idx val="4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F-7CBF-421C-80F3-34B153043904}"/>
                </c:ext>
              </c:extLst>
            </c:dLbl>
            <c:dLbl>
              <c:idx val="4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0-7CBF-421C-80F3-34B153043904}"/>
                </c:ext>
              </c:extLst>
            </c:dLbl>
            <c:dLbl>
              <c:idx val="4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1-7CBF-421C-80F3-34B153043904}"/>
                </c:ext>
              </c:extLst>
            </c:dLbl>
            <c:dLbl>
              <c:idx val="5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2-7CBF-421C-80F3-34B153043904}"/>
                </c:ext>
              </c:extLst>
            </c:dLbl>
            <c:dLbl>
              <c:idx val="5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3-7CBF-421C-80F3-34B153043904}"/>
                </c:ext>
              </c:extLst>
            </c:dLbl>
            <c:dLbl>
              <c:idx val="5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4-7CBF-421C-80F3-34B153043904}"/>
                </c:ext>
              </c:extLst>
            </c:dLbl>
            <c:dLbl>
              <c:idx val="5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5-7CBF-421C-80F3-34B153043904}"/>
                </c:ext>
              </c:extLst>
            </c:dLbl>
            <c:dLbl>
              <c:idx val="54"/>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6-7CBF-421C-80F3-34B153043904}"/>
                </c:ext>
              </c:extLst>
            </c:dLbl>
            <c:dLbl>
              <c:idx val="5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7-7CBF-421C-80F3-34B153043904}"/>
                </c:ext>
              </c:extLst>
            </c:dLbl>
            <c:dLbl>
              <c:idx val="5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8-7CBF-421C-80F3-34B153043904}"/>
                </c:ext>
              </c:extLst>
            </c:dLbl>
            <c:dLbl>
              <c:idx val="5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9-7CBF-421C-80F3-34B153043904}"/>
                </c:ext>
              </c:extLst>
            </c:dLbl>
            <c:dLbl>
              <c:idx val="5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A-7CBF-421C-80F3-34B153043904}"/>
                </c:ext>
              </c:extLst>
            </c:dLbl>
            <c:dLbl>
              <c:idx val="59"/>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B-7CBF-421C-80F3-34B153043904}"/>
                </c:ext>
              </c:extLst>
            </c:dLbl>
            <c:dLbl>
              <c:idx val="6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C-7CBF-421C-80F3-34B153043904}"/>
                </c:ext>
              </c:extLst>
            </c:dLbl>
            <c:dLbl>
              <c:idx val="6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D-7CBF-421C-80F3-34B153043904}"/>
                </c:ext>
              </c:extLst>
            </c:dLbl>
            <c:dLbl>
              <c:idx val="6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E-7CBF-421C-80F3-34B153043904}"/>
                </c:ext>
              </c:extLst>
            </c:dLbl>
            <c:dLbl>
              <c:idx val="63"/>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F-7CBF-421C-80F3-34B153043904}"/>
                </c:ext>
              </c:extLst>
            </c:dLbl>
            <c:dLbl>
              <c:idx val="6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0-7CBF-421C-80F3-34B153043904}"/>
                </c:ext>
              </c:extLst>
            </c:dLbl>
            <c:dLbl>
              <c:idx val="6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1-7CBF-421C-80F3-34B153043904}"/>
                </c:ext>
              </c:extLst>
            </c:dLbl>
            <c:dLbl>
              <c:idx val="6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2-7CBF-421C-80F3-34B1530439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Sheet1!$J$2:$J$68</c:f>
              <c:numCache>
                <c:formatCode>General</c:formatCode>
                <c:ptCount val="67"/>
                <c:pt idx="0">
                  <c:v>#N/A</c:v>
                </c:pt>
                <c:pt idx="1">
                  <c:v>#N/A</c:v>
                </c:pt>
                <c:pt idx="2">
                  <c:v>#N/A</c:v>
                </c:pt>
                <c:pt idx="3">
                  <c:v>#N/A</c:v>
                </c:pt>
                <c:pt idx="4">
                  <c:v>#N/A</c:v>
                </c:pt>
                <c:pt idx="5">
                  <c:v>#N/A</c:v>
                </c:pt>
                <c:pt idx="6">
                  <c:v>#N/A</c:v>
                </c:pt>
                <c:pt idx="7">
                  <c:v>#N/A</c:v>
                </c:pt>
                <c:pt idx="8">
                  <c:v>#N/A</c:v>
                </c:pt>
                <c:pt idx="9">
                  <c:v>13.799800796812701</c:v>
                </c:pt>
                <c:pt idx="10">
                  <c:v>#N/A</c:v>
                </c:pt>
                <c:pt idx="11">
                  <c:v>17.135755813953399</c:v>
                </c:pt>
                <c:pt idx="12">
                  <c:v>#N/A</c:v>
                </c:pt>
                <c:pt idx="13">
                  <c:v>#N/A</c:v>
                </c:pt>
                <c:pt idx="14">
                  <c:v>#N/A</c:v>
                </c:pt>
                <c:pt idx="15">
                  <c:v>#N/A</c:v>
                </c:pt>
                <c:pt idx="16">
                  <c:v>14.1489361702127</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20.411764705882302</c:v>
                </c:pt>
                <c:pt idx="47">
                  <c:v>#N/A</c:v>
                </c:pt>
                <c:pt idx="48">
                  <c:v>#N/A</c:v>
                </c:pt>
                <c:pt idx="49">
                  <c:v>#N/A</c:v>
                </c:pt>
                <c:pt idx="50">
                  <c:v>#N/A</c:v>
                </c:pt>
                <c:pt idx="51">
                  <c:v>#N/A</c:v>
                </c:pt>
                <c:pt idx="52">
                  <c:v>#N/A</c:v>
                </c:pt>
                <c:pt idx="53">
                  <c:v>#N/A</c:v>
                </c:pt>
                <c:pt idx="54">
                  <c:v>28.347826086956498</c:v>
                </c:pt>
                <c:pt idx="55">
                  <c:v>#N/A</c:v>
                </c:pt>
                <c:pt idx="56">
                  <c:v>#N/A</c:v>
                </c:pt>
                <c:pt idx="57">
                  <c:v>#N/A</c:v>
                </c:pt>
                <c:pt idx="58">
                  <c:v>#N/A</c:v>
                </c:pt>
                <c:pt idx="59">
                  <c:v>17.6666666666666</c:v>
                </c:pt>
                <c:pt idx="60">
                  <c:v>#N/A</c:v>
                </c:pt>
                <c:pt idx="61">
                  <c:v>#N/A</c:v>
                </c:pt>
                <c:pt idx="62">
                  <c:v>#N/A</c:v>
                </c:pt>
                <c:pt idx="63">
                  <c:v>14.8333333333333</c:v>
                </c:pt>
                <c:pt idx="64">
                  <c:v>#N/A</c:v>
                </c:pt>
                <c:pt idx="65">
                  <c:v>#N/A</c:v>
                </c:pt>
                <c:pt idx="66">
                  <c:v>#N/A</c:v>
                </c:pt>
              </c:numCache>
            </c:numRef>
          </c:yVal>
          <c:smooth val="0"/>
          <c:extLst>
            <c:ext xmlns:c15="http://schemas.microsoft.com/office/drawing/2012/chart" uri="{02D57815-91ED-43cb-92C2-25804820EDAC}">
              <c15:datalabelsRange>
                <c15:f>Sheet1!$A$2:$A$11</c15:f>
                <c15:dlblRangeCache>
                  <c:ptCount val="10"/>
                  <c:pt idx="0">
                    <c:v>Crop farm worker (e.g. fruit, vegetable, nut picker, farm hand)</c:v>
                  </c:pt>
                  <c:pt idx="1">
                    <c:v>Waiter</c:v>
                  </c:pt>
                  <c:pt idx="2">
                    <c:v>Bar attendant or barista</c:v>
                  </c:pt>
                  <c:pt idx="3">
                    <c:v>Other farm, forestry and garden workers</c:v>
                  </c:pt>
                  <c:pt idx="4">
                    <c:v>Other hospitality, tourism &amp; sport</c:v>
                  </c:pt>
                  <c:pt idx="5">
                    <c:v>Hand packer</c:v>
                  </c:pt>
                  <c:pt idx="6">
                    <c:v>Nanny or aupair</c:v>
                  </c:pt>
                  <c:pt idx="7">
                    <c:v>Meat, chicken and fish process worker</c:v>
                  </c:pt>
                  <c:pt idx="8">
                    <c:v>NA</c:v>
                  </c:pt>
                  <c:pt idx="9">
                    <c:v>Building labourer</c:v>
                  </c:pt>
                </c15:dlblRangeCache>
              </c15:datalabelsRange>
            </c:ext>
            <c:ext xmlns:c16="http://schemas.microsoft.com/office/drawing/2014/chart" uri="{C3380CC4-5D6E-409C-BE32-E72D297353CC}">
              <c16:uniqueId val="{00000110-DA92-4BA6-963D-46C936AD465B}"/>
            </c:ext>
          </c:extLst>
        </c:ser>
        <c:ser>
          <c:idx val="5"/>
          <c:order val="5"/>
          <c:tx>
            <c:strRef>
              <c:f>Sheet1!$K$1</c:f>
              <c:strCache>
                <c:ptCount val="1"/>
                <c:pt idx="0">
                  <c:v>Office, admin &amp; IT</c:v>
                </c:pt>
              </c:strCache>
            </c:strRef>
          </c:tx>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dLbls>
            <c:delete val="1"/>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Sheet1!$K$2:$K$68</c:f>
              <c:numCache>
                <c:formatCode>General</c:formatCode>
                <c:ptCount val="6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22.715725806451601</c:v>
                </c:pt>
                <c:pt idx="19">
                  <c:v>#N/A</c:v>
                </c:pt>
                <c:pt idx="20">
                  <c:v>#N/A</c:v>
                </c:pt>
                <c:pt idx="21">
                  <c:v>#N/A</c:v>
                </c:pt>
                <c:pt idx="22">
                  <c:v>#N/A</c:v>
                </c:pt>
                <c:pt idx="23">
                  <c:v>#N/A</c:v>
                </c:pt>
                <c:pt idx="24">
                  <c:v>#N/A</c:v>
                </c:pt>
                <c:pt idx="25">
                  <c:v>#N/A</c:v>
                </c:pt>
                <c:pt idx="26">
                  <c:v>23.221311475409799</c:v>
                </c:pt>
                <c:pt idx="27">
                  <c:v>#N/A</c:v>
                </c:pt>
                <c:pt idx="28">
                  <c:v>#N/A</c:v>
                </c:pt>
                <c:pt idx="29">
                  <c:v>#N/A</c:v>
                </c:pt>
                <c:pt idx="30">
                  <c:v>#N/A</c:v>
                </c:pt>
                <c:pt idx="31">
                  <c:v>#N/A</c:v>
                </c:pt>
                <c:pt idx="32">
                  <c:v>#N/A</c:v>
                </c:pt>
                <c:pt idx="33">
                  <c:v>22</c:v>
                </c:pt>
                <c:pt idx="34">
                  <c:v>26.117647058823501</c:v>
                </c:pt>
                <c:pt idx="35">
                  <c:v>#N/A</c:v>
                </c:pt>
                <c:pt idx="36">
                  <c:v>21.953125</c:v>
                </c:pt>
                <c:pt idx="37">
                  <c:v>24.59375</c:v>
                </c:pt>
                <c:pt idx="38">
                  <c:v>#N/A</c:v>
                </c:pt>
                <c:pt idx="39">
                  <c:v>25.2156862745098</c:v>
                </c:pt>
                <c:pt idx="40">
                  <c:v>23.3333333333333</c:v>
                </c:pt>
                <c:pt idx="41">
                  <c:v>#N/A</c:v>
                </c:pt>
                <c:pt idx="42">
                  <c:v>#N/A</c:v>
                </c:pt>
                <c:pt idx="43">
                  <c:v>#N/A</c:v>
                </c:pt>
                <c:pt idx="44">
                  <c:v>#N/A</c:v>
                </c:pt>
                <c:pt idx="45">
                  <c:v>#N/A</c:v>
                </c:pt>
                <c:pt idx="46">
                  <c:v>#N/A</c:v>
                </c:pt>
                <c:pt idx="47">
                  <c:v>#N/A</c:v>
                </c:pt>
                <c:pt idx="48">
                  <c:v>#N/A</c:v>
                </c:pt>
                <c:pt idx="49">
                  <c:v>19.578125</c:v>
                </c:pt>
                <c:pt idx="50">
                  <c:v>25.0416666666666</c:v>
                </c:pt>
                <c:pt idx="51">
                  <c:v>22.214285714285701</c:v>
                </c:pt>
                <c:pt idx="52">
                  <c:v>#N/A</c:v>
                </c:pt>
                <c:pt idx="53">
                  <c:v>#N/A</c:v>
                </c:pt>
                <c:pt idx="54">
                  <c:v>#N/A</c:v>
                </c:pt>
                <c:pt idx="55">
                  <c:v>22.423076923076898</c:v>
                </c:pt>
                <c:pt idx="56">
                  <c:v>#N/A</c:v>
                </c:pt>
                <c:pt idx="57">
                  <c:v>#N/A</c:v>
                </c:pt>
                <c:pt idx="58">
                  <c:v>#N/A</c:v>
                </c:pt>
                <c:pt idx="59">
                  <c:v>#N/A</c:v>
                </c:pt>
                <c:pt idx="60">
                  <c:v>#N/A</c:v>
                </c:pt>
                <c:pt idx="61">
                  <c:v>#N/A</c:v>
                </c:pt>
                <c:pt idx="62">
                  <c:v>#N/A</c:v>
                </c:pt>
                <c:pt idx="63">
                  <c:v>#N/A</c:v>
                </c:pt>
                <c:pt idx="64">
                  <c:v>#N/A</c:v>
                </c:pt>
                <c:pt idx="65">
                  <c:v>#N/A</c:v>
                </c:pt>
                <c:pt idx="66">
                  <c:v>20</c:v>
                </c:pt>
              </c:numCache>
            </c:numRef>
          </c:yVal>
          <c:smooth val="0"/>
          <c:extLst>
            <c:ext xmlns:c16="http://schemas.microsoft.com/office/drawing/2014/chart" uri="{C3380CC4-5D6E-409C-BE32-E72D297353CC}">
              <c16:uniqueId val="{00000111-DA92-4BA6-963D-46C936AD465B}"/>
            </c:ext>
          </c:extLst>
        </c:ser>
        <c:ser>
          <c:idx val="6"/>
          <c:order val="6"/>
          <c:tx>
            <c:strRef>
              <c:f>Sheet1!$L$1</c:f>
              <c:strCache>
                <c:ptCount val="1"/>
                <c:pt idx="0">
                  <c:v>Cleaning and gardening</c:v>
                </c:pt>
              </c:strCache>
            </c:strRef>
          </c:tx>
          <c:spPr>
            <a:ln w="19050" cap="rnd">
              <a:noFill/>
              <a:round/>
            </a:ln>
            <a:effectLst/>
          </c:spPr>
          <c:marker>
            <c:symbol val="circle"/>
            <c:size val="5"/>
            <c:spPr>
              <a:solidFill>
                <a:srgbClr val="00B0F0"/>
              </a:solidFill>
              <a:ln w="9525">
                <a:solidFill>
                  <a:srgbClr val="00B0F0"/>
                </a:solidFill>
              </a:ln>
              <a:effectLst/>
            </c:spPr>
          </c:marker>
          <c:dLbls>
            <c:dLbl>
              <c:idx val="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3-7CBF-421C-80F3-34B153043904}"/>
                </c:ext>
              </c:extLst>
            </c:dLbl>
            <c:dLbl>
              <c:idx val="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4-7CBF-421C-80F3-34B153043904}"/>
                </c:ext>
              </c:extLst>
            </c:dLbl>
            <c:dLbl>
              <c:idx val="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5-7CBF-421C-80F3-34B153043904}"/>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6-7CBF-421C-80F3-34B153043904}"/>
                </c:ext>
              </c:extLst>
            </c:dLbl>
            <c:dLbl>
              <c:idx val="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7-7CBF-421C-80F3-34B153043904}"/>
                </c:ext>
              </c:extLst>
            </c:dLbl>
            <c:dLbl>
              <c:idx val="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8-7CBF-421C-80F3-34B153043904}"/>
                </c:ext>
              </c:extLst>
            </c:dLbl>
            <c:dLbl>
              <c:idx val="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9-7CBF-421C-80F3-34B153043904}"/>
                </c:ext>
              </c:extLst>
            </c:dLbl>
            <c:dLbl>
              <c:idx val="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A-7CBF-421C-80F3-34B153043904}"/>
                </c:ext>
              </c:extLst>
            </c:dLbl>
            <c:dLbl>
              <c:idx val="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B-7CBF-421C-80F3-34B153043904}"/>
                </c:ext>
              </c:extLst>
            </c:dLbl>
            <c:dLbl>
              <c:idx val="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C-7CBF-421C-80F3-34B153043904}"/>
                </c:ext>
              </c:extLst>
            </c:dLbl>
            <c:dLbl>
              <c:idx val="1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D-7CBF-421C-80F3-34B153043904}"/>
                </c:ext>
              </c:extLst>
            </c:dLbl>
            <c:dLbl>
              <c:idx val="1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E-7CBF-421C-80F3-34B153043904}"/>
                </c:ext>
              </c:extLst>
            </c:dLbl>
            <c:dLbl>
              <c:idx val="1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F-7CBF-421C-80F3-34B153043904}"/>
                </c:ext>
              </c:extLst>
            </c:dLbl>
            <c:dLbl>
              <c:idx val="1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0-7CBF-421C-80F3-34B153043904}"/>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1-7CBF-421C-80F3-34B153043904}"/>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2-7CBF-421C-80F3-34B153043904}"/>
                </c:ext>
              </c:extLst>
            </c:dLbl>
            <c:dLbl>
              <c:idx val="1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3-7CBF-421C-80F3-34B153043904}"/>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4-7CBF-421C-80F3-34B153043904}"/>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5-7CBF-421C-80F3-34B153043904}"/>
                </c:ext>
              </c:extLst>
            </c:dLbl>
            <c:dLbl>
              <c:idx val="19"/>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6-7CBF-421C-80F3-34B153043904}"/>
                </c:ext>
              </c:extLst>
            </c:dLbl>
            <c:dLbl>
              <c:idx val="2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7-7CBF-421C-80F3-34B153043904}"/>
                </c:ext>
              </c:extLst>
            </c:dLbl>
            <c:dLbl>
              <c:idx val="21"/>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8-7CBF-421C-80F3-34B153043904}"/>
                </c:ext>
              </c:extLst>
            </c:dLbl>
            <c:dLbl>
              <c:idx val="2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9-7CBF-421C-80F3-34B153043904}"/>
                </c:ext>
              </c:extLst>
            </c:dLbl>
            <c:dLbl>
              <c:idx val="2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A-7CBF-421C-80F3-34B153043904}"/>
                </c:ext>
              </c:extLst>
            </c:dLbl>
            <c:dLbl>
              <c:idx val="2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B-7CBF-421C-80F3-34B153043904}"/>
                </c:ext>
              </c:extLst>
            </c:dLbl>
            <c:dLbl>
              <c:idx val="25"/>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C-7CBF-421C-80F3-34B153043904}"/>
                </c:ext>
              </c:extLst>
            </c:dLbl>
            <c:dLbl>
              <c:idx val="2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D-7CBF-421C-80F3-34B153043904}"/>
                </c:ext>
              </c:extLst>
            </c:dLbl>
            <c:dLbl>
              <c:idx val="27"/>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E-7CBF-421C-80F3-34B153043904}"/>
                </c:ext>
              </c:extLst>
            </c:dLbl>
            <c:dLbl>
              <c:idx val="2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F-7CBF-421C-80F3-34B153043904}"/>
                </c:ext>
              </c:extLst>
            </c:dLbl>
            <c:dLbl>
              <c:idx val="2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0-7CBF-421C-80F3-34B153043904}"/>
                </c:ext>
              </c:extLst>
            </c:dLbl>
            <c:dLbl>
              <c:idx val="3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1-7CBF-421C-80F3-34B153043904}"/>
                </c:ext>
              </c:extLst>
            </c:dLbl>
            <c:dLbl>
              <c:idx val="3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2-7CBF-421C-80F3-34B153043904}"/>
                </c:ext>
              </c:extLst>
            </c:dLbl>
            <c:dLbl>
              <c:idx val="3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3-7CBF-421C-80F3-34B153043904}"/>
                </c:ext>
              </c:extLst>
            </c:dLbl>
            <c:dLbl>
              <c:idx val="3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4-7CBF-421C-80F3-34B153043904}"/>
                </c:ext>
              </c:extLst>
            </c:dLbl>
            <c:dLbl>
              <c:idx val="3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5-7CBF-421C-80F3-34B153043904}"/>
                </c:ext>
              </c:extLst>
            </c:dLbl>
            <c:dLbl>
              <c:idx val="3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6-7CBF-421C-80F3-34B153043904}"/>
                </c:ext>
              </c:extLst>
            </c:dLbl>
            <c:dLbl>
              <c:idx val="3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7-7CBF-421C-80F3-34B153043904}"/>
                </c:ext>
              </c:extLst>
            </c:dLbl>
            <c:dLbl>
              <c:idx val="3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8-7CBF-421C-80F3-34B153043904}"/>
                </c:ext>
              </c:extLst>
            </c:dLbl>
            <c:dLbl>
              <c:idx val="3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9-7CBF-421C-80F3-34B153043904}"/>
                </c:ext>
              </c:extLst>
            </c:dLbl>
            <c:dLbl>
              <c:idx val="3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A-7CBF-421C-80F3-34B153043904}"/>
                </c:ext>
              </c:extLst>
            </c:dLbl>
            <c:dLbl>
              <c:idx val="4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B-7CBF-421C-80F3-34B153043904}"/>
                </c:ext>
              </c:extLst>
            </c:dLbl>
            <c:dLbl>
              <c:idx val="4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C-7CBF-421C-80F3-34B153043904}"/>
                </c:ext>
              </c:extLst>
            </c:dLbl>
            <c:dLbl>
              <c:idx val="4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D-7CBF-421C-80F3-34B153043904}"/>
                </c:ext>
              </c:extLst>
            </c:dLbl>
            <c:dLbl>
              <c:idx val="4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E-7CBF-421C-80F3-34B153043904}"/>
                </c:ext>
              </c:extLst>
            </c:dLbl>
            <c:dLbl>
              <c:idx val="4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2F-7CBF-421C-80F3-34B153043904}"/>
                </c:ext>
              </c:extLst>
            </c:dLbl>
            <c:dLbl>
              <c:idx val="4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0-7CBF-421C-80F3-34B153043904}"/>
                </c:ext>
              </c:extLst>
            </c:dLbl>
            <c:dLbl>
              <c:idx val="4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1-7CBF-421C-80F3-34B153043904}"/>
                </c:ext>
              </c:extLst>
            </c:dLbl>
            <c:dLbl>
              <c:idx val="4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2-7CBF-421C-80F3-34B153043904}"/>
                </c:ext>
              </c:extLst>
            </c:dLbl>
            <c:dLbl>
              <c:idx val="4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3-7CBF-421C-80F3-34B153043904}"/>
                </c:ext>
              </c:extLst>
            </c:dLbl>
            <c:dLbl>
              <c:idx val="4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4-7CBF-421C-80F3-34B153043904}"/>
                </c:ext>
              </c:extLst>
            </c:dLbl>
            <c:dLbl>
              <c:idx val="5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5-7CBF-421C-80F3-34B153043904}"/>
                </c:ext>
              </c:extLst>
            </c:dLbl>
            <c:dLbl>
              <c:idx val="5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6-7CBF-421C-80F3-34B153043904}"/>
                </c:ext>
              </c:extLst>
            </c:dLbl>
            <c:dLbl>
              <c:idx val="5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7-7CBF-421C-80F3-34B153043904}"/>
                </c:ext>
              </c:extLst>
            </c:dLbl>
            <c:dLbl>
              <c:idx val="5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8-7CBF-421C-80F3-34B153043904}"/>
                </c:ext>
              </c:extLst>
            </c:dLbl>
            <c:dLbl>
              <c:idx val="5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9-7CBF-421C-80F3-34B153043904}"/>
                </c:ext>
              </c:extLst>
            </c:dLbl>
            <c:dLbl>
              <c:idx val="5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A-7CBF-421C-80F3-34B153043904}"/>
                </c:ext>
              </c:extLst>
            </c:dLbl>
            <c:dLbl>
              <c:idx val="5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B-7CBF-421C-80F3-34B153043904}"/>
                </c:ext>
              </c:extLst>
            </c:dLbl>
            <c:dLbl>
              <c:idx val="5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C-7CBF-421C-80F3-34B153043904}"/>
                </c:ext>
              </c:extLst>
            </c:dLbl>
            <c:dLbl>
              <c:idx val="5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D-7CBF-421C-80F3-34B153043904}"/>
                </c:ext>
              </c:extLst>
            </c:dLbl>
            <c:dLbl>
              <c:idx val="5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E-7CBF-421C-80F3-34B153043904}"/>
                </c:ext>
              </c:extLst>
            </c:dLbl>
            <c:dLbl>
              <c:idx val="6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3F-7CBF-421C-80F3-34B153043904}"/>
                </c:ext>
              </c:extLst>
            </c:dLbl>
            <c:dLbl>
              <c:idx val="6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0-7CBF-421C-80F3-34B153043904}"/>
                </c:ext>
              </c:extLst>
            </c:dLbl>
            <c:dLbl>
              <c:idx val="6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1-7CBF-421C-80F3-34B153043904}"/>
                </c:ext>
              </c:extLst>
            </c:dLbl>
            <c:dLbl>
              <c:idx val="6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2-7CBF-421C-80F3-34B153043904}"/>
                </c:ext>
              </c:extLst>
            </c:dLbl>
            <c:dLbl>
              <c:idx val="6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3-7CBF-421C-80F3-34B153043904}"/>
                </c:ext>
              </c:extLst>
            </c:dLbl>
            <c:dLbl>
              <c:idx val="6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4-7CBF-421C-80F3-34B153043904}"/>
                </c:ext>
              </c:extLst>
            </c:dLbl>
            <c:dLbl>
              <c:idx val="6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5-7CBF-421C-80F3-34B1530439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Sheet1!$L$2:$L$68</c:f>
              <c:numCache>
                <c:formatCode>General</c:formatCode>
                <c:ptCount val="6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15.7173913043478</c:v>
                </c:pt>
                <c:pt idx="20">
                  <c:v>#N/A</c:v>
                </c:pt>
                <c:pt idx="21">
                  <c:v>14.2425742574257</c:v>
                </c:pt>
                <c:pt idx="22">
                  <c:v>#N/A</c:v>
                </c:pt>
                <c:pt idx="23">
                  <c:v>#N/A</c:v>
                </c:pt>
                <c:pt idx="24">
                  <c:v>#N/A</c:v>
                </c:pt>
                <c:pt idx="25">
                  <c:v>13.410447761194</c:v>
                </c:pt>
                <c:pt idx="26">
                  <c:v>#N/A</c:v>
                </c:pt>
                <c:pt idx="27">
                  <c:v>13.846774193548301</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numCache>
            </c:numRef>
          </c:yVal>
          <c:smooth val="0"/>
          <c:extLst>
            <c:ext xmlns:c16="http://schemas.microsoft.com/office/drawing/2014/chart" uri="{C3380CC4-5D6E-409C-BE32-E72D297353CC}">
              <c16:uniqueId val="{00000155-DA92-4BA6-963D-46C936AD465B}"/>
            </c:ext>
          </c:extLst>
        </c:ser>
        <c:ser>
          <c:idx val="7"/>
          <c:order val="7"/>
          <c:tx>
            <c:strRef>
              <c:f>Sheet1!$M$1</c:f>
              <c:strCache>
                <c:ptCount val="1"/>
                <c:pt idx="0">
                  <c:v>Health and aged care</c:v>
                </c:pt>
              </c:strCache>
            </c:strRef>
          </c:tx>
          <c:spPr>
            <a:ln w="1905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dLbls>
            <c:dLbl>
              <c:idx val="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6-7CBF-421C-80F3-34B153043904}"/>
                </c:ext>
              </c:extLst>
            </c:dLbl>
            <c:dLbl>
              <c:idx val="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7-7CBF-421C-80F3-34B153043904}"/>
                </c:ext>
              </c:extLst>
            </c:dLbl>
            <c:dLbl>
              <c:idx val="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8-7CBF-421C-80F3-34B153043904}"/>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9-7CBF-421C-80F3-34B153043904}"/>
                </c:ext>
              </c:extLst>
            </c:dLbl>
            <c:dLbl>
              <c:idx val="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A-7CBF-421C-80F3-34B153043904}"/>
                </c:ext>
              </c:extLst>
            </c:dLbl>
            <c:dLbl>
              <c:idx val="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B-7CBF-421C-80F3-34B153043904}"/>
                </c:ext>
              </c:extLst>
            </c:dLbl>
            <c:dLbl>
              <c:idx val="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C-7CBF-421C-80F3-34B153043904}"/>
                </c:ext>
              </c:extLst>
            </c:dLbl>
            <c:dLbl>
              <c:idx val="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D-7CBF-421C-80F3-34B153043904}"/>
                </c:ext>
              </c:extLst>
            </c:dLbl>
            <c:dLbl>
              <c:idx val="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E-7CBF-421C-80F3-34B153043904}"/>
                </c:ext>
              </c:extLst>
            </c:dLbl>
            <c:dLbl>
              <c:idx val="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4F-7CBF-421C-80F3-34B153043904}"/>
                </c:ext>
              </c:extLst>
            </c:dLbl>
            <c:dLbl>
              <c:idx val="1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0-7CBF-421C-80F3-34B153043904}"/>
                </c:ext>
              </c:extLst>
            </c:dLbl>
            <c:dLbl>
              <c:idx val="1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1-7CBF-421C-80F3-34B153043904}"/>
                </c:ext>
              </c:extLst>
            </c:dLbl>
            <c:dLbl>
              <c:idx val="1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2-7CBF-421C-80F3-34B153043904}"/>
                </c:ext>
              </c:extLst>
            </c:dLbl>
            <c:dLbl>
              <c:idx val="1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3-7CBF-421C-80F3-34B153043904}"/>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4-7CBF-421C-80F3-34B153043904}"/>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5-7CBF-421C-80F3-34B153043904}"/>
                </c:ext>
              </c:extLst>
            </c:dLbl>
            <c:dLbl>
              <c:idx val="1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6-7CBF-421C-80F3-34B153043904}"/>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7-7CBF-421C-80F3-34B153043904}"/>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8-7CBF-421C-80F3-34B153043904}"/>
                </c:ext>
              </c:extLst>
            </c:dLbl>
            <c:dLbl>
              <c:idx val="1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9-7CBF-421C-80F3-34B153043904}"/>
                </c:ext>
              </c:extLst>
            </c:dLbl>
            <c:dLbl>
              <c:idx val="2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A-7CBF-421C-80F3-34B153043904}"/>
                </c:ext>
              </c:extLst>
            </c:dLbl>
            <c:dLbl>
              <c:idx val="2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B-7CBF-421C-80F3-34B153043904}"/>
                </c:ext>
              </c:extLst>
            </c:dLbl>
            <c:dLbl>
              <c:idx val="2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C-7CBF-421C-80F3-34B153043904}"/>
                </c:ext>
              </c:extLst>
            </c:dLbl>
            <c:dLbl>
              <c:idx val="2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D-7CBF-421C-80F3-34B153043904}"/>
                </c:ext>
              </c:extLst>
            </c:dLbl>
            <c:dLbl>
              <c:idx val="24"/>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E-7CBF-421C-80F3-34B153043904}"/>
                </c:ext>
              </c:extLst>
            </c:dLbl>
            <c:dLbl>
              <c:idx val="2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5F-7CBF-421C-80F3-34B153043904}"/>
                </c:ext>
              </c:extLst>
            </c:dLbl>
            <c:dLbl>
              <c:idx val="2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0-7CBF-421C-80F3-34B153043904}"/>
                </c:ext>
              </c:extLst>
            </c:dLbl>
            <c:dLbl>
              <c:idx val="2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1-7CBF-421C-80F3-34B153043904}"/>
                </c:ext>
              </c:extLst>
            </c:dLbl>
            <c:dLbl>
              <c:idx val="2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2-7CBF-421C-80F3-34B153043904}"/>
                </c:ext>
              </c:extLst>
            </c:dLbl>
            <c:dLbl>
              <c:idx val="2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3-7CBF-421C-80F3-34B153043904}"/>
                </c:ext>
              </c:extLst>
            </c:dLbl>
            <c:dLbl>
              <c:idx val="3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4-7CBF-421C-80F3-34B153043904}"/>
                </c:ext>
              </c:extLst>
            </c:dLbl>
            <c:dLbl>
              <c:idx val="3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5-7CBF-421C-80F3-34B153043904}"/>
                </c:ext>
              </c:extLst>
            </c:dLbl>
            <c:dLbl>
              <c:idx val="3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6-7CBF-421C-80F3-34B153043904}"/>
                </c:ext>
              </c:extLst>
            </c:dLbl>
            <c:dLbl>
              <c:idx val="3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7-7CBF-421C-80F3-34B153043904}"/>
                </c:ext>
              </c:extLst>
            </c:dLbl>
            <c:dLbl>
              <c:idx val="3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8-7CBF-421C-80F3-34B153043904}"/>
                </c:ext>
              </c:extLst>
            </c:dLbl>
            <c:dLbl>
              <c:idx val="3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9-7CBF-421C-80F3-34B153043904}"/>
                </c:ext>
              </c:extLst>
            </c:dLbl>
            <c:dLbl>
              <c:idx val="3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A-7CBF-421C-80F3-34B153043904}"/>
                </c:ext>
              </c:extLst>
            </c:dLbl>
            <c:dLbl>
              <c:idx val="3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B-7CBF-421C-80F3-34B153043904}"/>
                </c:ext>
              </c:extLst>
            </c:dLbl>
            <c:dLbl>
              <c:idx val="3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C-7CBF-421C-80F3-34B153043904}"/>
                </c:ext>
              </c:extLst>
            </c:dLbl>
            <c:dLbl>
              <c:idx val="3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D-7CBF-421C-80F3-34B153043904}"/>
                </c:ext>
              </c:extLst>
            </c:dLbl>
            <c:dLbl>
              <c:idx val="4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E-7CBF-421C-80F3-34B153043904}"/>
                </c:ext>
              </c:extLst>
            </c:dLbl>
            <c:dLbl>
              <c:idx val="4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6F-7CBF-421C-80F3-34B153043904}"/>
                </c:ext>
              </c:extLst>
            </c:dLbl>
            <c:dLbl>
              <c:idx val="4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0-7CBF-421C-80F3-34B153043904}"/>
                </c:ext>
              </c:extLst>
            </c:dLbl>
            <c:dLbl>
              <c:idx val="4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1-7CBF-421C-80F3-34B153043904}"/>
                </c:ext>
              </c:extLst>
            </c:dLbl>
            <c:dLbl>
              <c:idx val="4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2-7CBF-421C-80F3-34B153043904}"/>
                </c:ext>
              </c:extLst>
            </c:dLbl>
            <c:dLbl>
              <c:idx val="4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3-7CBF-421C-80F3-34B153043904}"/>
                </c:ext>
              </c:extLst>
            </c:dLbl>
            <c:dLbl>
              <c:idx val="4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4-7CBF-421C-80F3-34B153043904}"/>
                </c:ext>
              </c:extLst>
            </c:dLbl>
            <c:dLbl>
              <c:idx val="47"/>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5-7CBF-421C-80F3-34B153043904}"/>
                </c:ext>
              </c:extLst>
            </c:dLbl>
            <c:dLbl>
              <c:idx val="4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6-7CBF-421C-80F3-34B153043904}"/>
                </c:ext>
              </c:extLst>
            </c:dLbl>
            <c:dLbl>
              <c:idx val="4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7-7CBF-421C-80F3-34B153043904}"/>
                </c:ext>
              </c:extLst>
            </c:dLbl>
            <c:dLbl>
              <c:idx val="50"/>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8-7CBF-421C-80F3-34B153043904}"/>
                </c:ext>
              </c:extLst>
            </c:dLbl>
            <c:dLbl>
              <c:idx val="5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9-7CBF-421C-80F3-34B153043904}"/>
                </c:ext>
              </c:extLst>
            </c:dLbl>
            <c:dLbl>
              <c:idx val="5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A-7CBF-421C-80F3-34B153043904}"/>
                </c:ext>
              </c:extLst>
            </c:dLbl>
            <c:dLbl>
              <c:idx val="5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B-7CBF-421C-80F3-34B153043904}"/>
                </c:ext>
              </c:extLst>
            </c:dLbl>
            <c:dLbl>
              <c:idx val="5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C-7CBF-421C-80F3-34B153043904}"/>
                </c:ext>
              </c:extLst>
            </c:dLbl>
            <c:dLbl>
              <c:idx val="5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D-7CBF-421C-80F3-34B153043904}"/>
                </c:ext>
              </c:extLst>
            </c:dLbl>
            <c:dLbl>
              <c:idx val="5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E-7CBF-421C-80F3-34B153043904}"/>
                </c:ext>
              </c:extLst>
            </c:dLbl>
            <c:dLbl>
              <c:idx val="5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7F-7CBF-421C-80F3-34B153043904}"/>
                </c:ext>
              </c:extLst>
            </c:dLbl>
            <c:dLbl>
              <c:idx val="5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0-7CBF-421C-80F3-34B153043904}"/>
                </c:ext>
              </c:extLst>
            </c:dLbl>
            <c:dLbl>
              <c:idx val="59"/>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1-7CBF-421C-80F3-34B153043904}"/>
                </c:ext>
              </c:extLst>
            </c:dLbl>
            <c:dLbl>
              <c:idx val="60"/>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2-7CBF-421C-80F3-34B153043904}"/>
                </c:ext>
              </c:extLst>
            </c:dLbl>
            <c:dLbl>
              <c:idx val="61"/>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3-7CBF-421C-80F3-34B153043904}"/>
                </c:ext>
              </c:extLst>
            </c:dLbl>
            <c:dLbl>
              <c:idx val="62"/>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4-7CBF-421C-80F3-34B153043904}"/>
                </c:ext>
              </c:extLst>
            </c:dLbl>
            <c:dLbl>
              <c:idx val="6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5-7CBF-421C-80F3-34B153043904}"/>
                </c:ext>
              </c:extLst>
            </c:dLbl>
            <c:dLbl>
              <c:idx val="6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6-7CBF-421C-80F3-34B153043904}"/>
                </c:ext>
              </c:extLst>
            </c:dLbl>
            <c:dLbl>
              <c:idx val="65"/>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7-7CBF-421C-80F3-34B153043904}"/>
                </c:ext>
              </c:extLst>
            </c:dLbl>
            <c:dLbl>
              <c:idx val="6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88-7CBF-421C-80F3-34B1530439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Sheet1!$E$2:$E$68</c:f>
              <c:numCache>
                <c:formatCode>General</c:formatCode>
                <c:ptCount val="67"/>
                <c:pt idx="0">
                  <c:v>37.180977680737499</c:v>
                </c:pt>
                <c:pt idx="1">
                  <c:v>30.809916117435499</c:v>
                </c:pt>
                <c:pt idx="2">
                  <c:v>32.203884297520602</c:v>
                </c:pt>
                <c:pt idx="3">
                  <c:v>39.616954851104701</c:v>
                </c:pt>
                <c:pt idx="4">
                  <c:v>33.288148148148103</c:v>
                </c:pt>
                <c:pt idx="5">
                  <c:v>36.054180327868799</c:v>
                </c:pt>
                <c:pt idx="6">
                  <c:v>31.273560209424001</c:v>
                </c:pt>
                <c:pt idx="7">
                  <c:v>36.645791855203598</c:v>
                </c:pt>
                <c:pt idx="8">
                  <c:v>34.225880281690102</c:v>
                </c:pt>
                <c:pt idx="9">
                  <c:v>39.344559585492199</c:v>
                </c:pt>
                <c:pt idx="10">
                  <c:v>32.726611226611197</c:v>
                </c:pt>
                <c:pt idx="11">
                  <c:v>43.575653206650799</c:v>
                </c:pt>
                <c:pt idx="12">
                  <c:v>33.826395939086296</c:v>
                </c:pt>
                <c:pt idx="13">
                  <c:v>38.256830601092801</c:v>
                </c:pt>
                <c:pt idx="14">
                  <c:v>42.848728813559298</c:v>
                </c:pt>
                <c:pt idx="15">
                  <c:v>30.605187319884699</c:v>
                </c:pt>
                <c:pt idx="16">
                  <c:v>45.873192771084298</c:v>
                </c:pt>
                <c:pt idx="17">
                  <c:v>32.876488095238003</c:v>
                </c:pt>
                <c:pt idx="18">
                  <c:v>35.8565830721003</c:v>
                </c:pt>
                <c:pt idx="19">
                  <c:v>28.551515151515101</c:v>
                </c:pt>
                <c:pt idx="20">
                  <c:v>49.436403508771903</c:v>
                </c:pt>
                <c:pt idx="21">
                  <c:v>28.469162995594701</c:v>
                </c:pt>
                <c:pt idx="22">
                  <c:v>33.792134831460601</c:v>
                </c:pt>
                <c:pt idx="23">
                  <c:v>37.325722543352597</c:v>
                </c:pt>
                <c:pt idx="24">
                  <c:v>34.311224489795897</c:v>
                </c:pt>
                <c:pt idx="25">
                  <c:v>31.4102040816326</c:v>
                </c:pt>
                <c:pt idx="26">
                  <c:v>35.440068493150598</c:v>
                </c:pt>
                <c:pt idx="27">
                  <c:v>30.876760563380198</c:v>
                </c:pt>
                <c:pt idx="28">
                  <c:v>30.569105691056901</c:v>
                </c:pt>
                <c:pt idx="29">
                  <c:v>36.068141592920298</c:v>
                </c:pt>
                <c:pt idx="30">
                  <c:v>34.469298245613999</c:v>
                </c:pt>
                <c:pt idx="31">
                  <c:v>33.258928571428498</c:v>
                </c:pt>
                <c:pt idx="32">
                  <c:v>31.8616071428571</c:v>
                </c:pt>
                <c:pt idx="33">
                  <c:v>36.946078431372499</c:v>
                </c:pt>
                <c:pt idx="34">
                  <c:v>37.304347826086897</c:v>
                </c:pt>
                <c:pt idx="35">
                  <c:v>40.869565217391298</c:v>
                </c:pt>
                <c:pt idx="36">
                  <c:v>38.947368421052602</c:v>
                </c:pt>
                <c:pt idx="37">
                  <c:v>36.415540540540498</c:v>
                </c:pt>
                <c:pt idx="38">
                  <c:v>46.634920634920597</c:v>
                </c:pt>
                <c:pt idx="39">
                  <c:v>38.040983606557297</c:v>
                </c:pt>
                <c:pt idx="40">
                  <c:v>38.271186440677901</c:v>
                </c:pt>
                <c:pt idx="41">
                  <c:v>35.9568965517241</c:v>
                </c:pt>
                <c:pt idx="42">
                  <c:v>36.627272727272697</c:v>
                </c:pt>
                <c:pt idx="43">
                  <c:v>29.6603773584905</c:v>
                </c:pt>
                <c:pt idx="44">
                  <c:v>43.538888888888799</c:v>
                </c:pt>
                <c:pt idx="45">
                  <c:v>30.0055555555555</c:v>
                </c:pt>
                <c:pt idx="46">
                  <c:v>38.920454545454497</c:v>
                </c:pt>
                <c:pt idx="47">
                  <c:v>31.261904761904699</c:v>
                </c:pt>
                <c:pt idx="48">
                  <c:v>41.371052631578898</c:v>
                </c:pt>
                <c:pt idx="49">
                  <c:v>35.351351351351298</c:v>
                </c:pt>
                <c:pt idx="50">
                  <c:v>37.536764705882298</c:v>
                </c:pt>
                <c:pt idx="51">
                  <c:v>36.53125</c:v>
                </c:pt>
                <c:pt idx="52">
                  <c:v>32.322580645161203</c:v>
                </c:pt>
                <c:pt idx="53">
                  <c:v>27.451612903225801</c:v>
                </c:pt>
                <c:pt idx="54">
                  <c:v>41.516666666666602</c:v>
                </c:pt>
                <c:pt idx="55">
                  <c:v>35.65</c:v>
                </c:pt>
                <c:pt idx="56">
                  <c:v>30.4545454545454</c:v>
                </c:pt>
                <c:pt idx="57">
                  <c:v>29.181818181818102</c:v>
                </c:pt>
                <c:pt idx="58">
                  <c:v>28.25</c:v>
                </c:pt>
                <c:pt idx="59">
                  <c:v>64.892857142857096</c:v>
                </c:pt>
                <c:pt idx="60">
                  <c:v>35.4</c:v>
                </c:pt>
                <c:pt idx="61">
                  <c:v>34.076923076923002</c:v>
                </c:pt>
                <c:pt idx="62">
                  <c:v>29.25</c:v>
                </c:pt>
                <c:pt idx="63">
                  <c:v>46.6</c:v>
                </c:pt>
                <c:pt idx="64">
                  <c:v>32.75</c:v>
                </c:pt>
                <c:pt idx="65">
                  <c:v>32</c:v>
                </c:pt>
                <c:pt idx="66">
                  <c:v>35.6666666666666</c:v>
                </c:pt>
              </c:numCache>
            </c:numRef>
          </c:xVal>
          <c:yVal>
            <c:numRef>
              <c:f>Sheet1!$M$2:$M$68</c:f>
              <c:numCache>
                <c:formatCode>General</c:formatCode>
                <c:ptCount val="6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23.957264957264901</c:v>
                </c:pt>
                <c:pt idx="25">
                  <c:v>#N/A</c:v>
                </c:pt>
                <c:pt idx="26">
                  <c:v>#N/A</c:v>
                </c:pt>
                <c:pt idx="27">
                  <c:v>#N/A</c:v>
                </c:pt>
                <c:pt idx="28">
                  <c:v>#N/A</c:v>
                </c:pt>
                <c:pt idx="29">
                  <c:v>#N/A</c:v>
                </c:pt>
                <c:pt idx="30">
                  <c:v>#N/A</c:v>
                </c:pt>
                <c:pt idx="31">
                  <c:v>#N/A</c:v>
                </c:pt>
                <c:pt idx="32">
                  <c:v>19.617977528089799</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22.129032258064498</c:v>
                </c:pt>
                <c:pt idx="48">
                  <c:v>#N/A</c:v>
                </c:pt>
                <c:pt idx="49">
                  <c:v>#N/A</c:v>
                </c:pt>
                <c:pt idx="50">
                  <c:v>#N/A</c:v>
                </c:pt>
                <c:pt idx="51">
                  <c:v>#N/A</c:v>
                </c:pt>
                <c:pt idx="52">
                  <c:v>#N/A</c:v>
                </c:pt>
                <c:pt idx="53">
                  <c:v>#N/A</c:v>
                </c:pt>
                <c:pt idx="54">
                  <c:v>#N/A</c:v>
                </c:pt>
                <c:pt idx="55">
                  <c:v>#N/A</c:v>
                </c:pt>
                <c:pt idx="56">
                  <c:v>#N/A</c:v>
                </c:pt>
                <c:pt idx="57">
                  <c:v>#N/A</c:v>
                </c:pt>
                <c:pt idx="58">
                  <c:v>#N/A</c:v>
                </c:pt>
                <c:pt idx="59">
                  <c:v>#N/A</c:v>
                </c:pt>
                <c:pt idx="60">
                  <c:v>20.071428571428498</c:v>
                </c:pt>
                <c:pt idx="61">
                  <c:v>#N/A</c:v>
                </c:pt>
                <c:pt idx="62">
                  <c:v>#N/A</c:v>
                </c:pt>
                <c:pt idx="63">
                  <c:v>#N/A</c:v>
                </c:pt>
                <c:pt idx="64">
                  <c:v>#N/A</c:v>
                </c:pt>
                <c:pt idx="65">
                  <c:v>16.1428571428571</c:v>
                </c:pt>
                <c:pt idx="66">
                  <c:v>#N/A</c:v>
                </c:pt>
              </c:numCache>
            </c:numRef>
          </c:yVal>
          <c:smooth val="0"/>
          <c:extLst>
            <c:ext xmlns:c16="http://schemas.microsoft.com/office/drawing/2014/chart" uri="{C3380CC4-5D6E-409C-BE32-E72D297353CC}">
              <c16:uniqueId val="{00000199-DA92-4BA6-963D-46C936AD465B}"/>
            </c:ext>
          </c:extLst>
        </c:ser>
        <c:dLbls>
          <c:dLblPos val="t"/>
          <c:showLegendKey val="0"/>
          <c:showVal val="1"/>
          <c:showCatName val="0"/>
          <c:showSerName val="0"/>
          <c:showPercent val="0"/>
          <c:showBubbleSize val="0"/>
        </c:dLbls>
        <c:axId val="380669928"/>
        <c:axId val="380671104"/>
      </c:scatterChart>
      <c:valAx>
        <c:axId val="380669928"/>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Average weekly hours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71104"/>
        <c:crosses val="autoZero"/>
        <c:crossBetween val="midCat"/>
        <c:majorUnit val="10"/>
        <c:minorUnit val="5"/>
      </c:valAx>
      <c:valAx>
        <c:axId val="380671104"/>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Average weeks worked</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9928"/>
        <c:crosses val="autoZero"/>
        <c:crossBetween val="midCat"/>
      </c:valAx>
      <c:spPr>
        <a:noFill/>
        <a:ln>
          <a:noFill/>
        </a:ln>
        <a:effectLst/>
      </c:spPr>
    </c:plotArea>
    <c:legend>
      <c:legendPos val="t"/>
      <c:layout>
        <c:manualLayout>
          <c:xMode val="edge"/>
          <c:yMode val="edge"/>
          <c:x val="6.9896414731894382E-2"/>
          <c:y val="1.8181818181818181E-2"/>
          <c:w val="0.87350192183211739"/>
          <c:h val="0.11317752326413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5717733269918444E-2"/>
          <c:y val="4.7547006699805487E-2"/>
          <c:w val="0.71338318448448967"/>
          <c:h val="0.82512775918138825"/>
        </c:manualLayout>
      </c:layout>
      <c:barChart>
        <c:barDir val="col"/>
        <c:grouping val="stacked"/>
        <c:varyColors val="0"/>
        <c:ser>
          <c:idx val="0"/>
          <c:order val="0"/>
          <c:tx>
            <c:strRef>
              <c:f>'Total pay per job'!$M$18</c:f>
              <c:strCache>
                <c:ptCount val="1"/>
                <c:pt idx="0">
                  <c:v>Up to $1,000</c:v>
                </c:pt>
              </c:strCache>
            </c:strRef>
          </c:tx>
          <c:spPr>
            <a:solidFill>
              <a:schemeClr val="accent1">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job'!$N$18:$U$18</c:f>
              <c:numCache>
                <c:formatCode>0.0%</c:formatCode>
                <c:ptCount val="8"/>
                <c:pt idx="0">
                  <c:v>7.8138528138528132E-2</c:v>
                </c:pt>
                <c:pt idx="1">
                  <c:v>7.4207678433393459E-2</c:v>
                </c:pt>
                <c:pt idx="2">
                  <c:v>0.10509486250266467</c:v>
                </c:pt>
                <c:pt idx="3">
                  <c:v>0.14525139664804471</c:v>
                </c:pt>
                <c:pt idx="4">
                  <c:v>8.4729981378026065E-2</c:v>
                </c:pt>
                <c:pt idx="5">
                  <c:v>0.1326530612244898</c:v>
                </c:pt>
                <c:pt idx="6">
                  <c:v>6.0344827586206899E-2</c:v>
                </c:pt>
                <c:pt idx="7">
                  <c:v>0.12578616352201258</c:v>
                </c:pt>
              </c:numCache>
            </c:numRef>
          </c:val>
          <c:extLst>
            <c:ext xmlns:c16="http://schemas.microsoft.com/office/drawing/2014/chart" uri="{C3380CC4-5D6E-409C-BE32-E72D297353CC}">
              <c16:uniqueId val="{00000000-6BA9-4771-89F1-142D241A931C}"/>
            </c:ext>
          </c:extLst>
        </c:ser>
        <c:ser>
          <c:idx val="1"/>
          <c:order val="1"/>
          <c:tx>
            <c:strRef>
              <c:f>'Total pay per job'!$M$19</c:f>
              <c:strCache>
                <c:ptCount val="1"/>
                <c:pt idx="0">
                  <c:v>More than $1,000 to $2,000</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job'!$N$19:$U$19</c:f>
              <c:numCache>
                <c:formatCode>0.0%</c:formatCode>
                <c:ptCount val="8"/>
                <c:pt idx="0">
                  <c:v>5.562770562770563E-2</c:v>
                </c:pt>
                <c:pt idx="1">
                  <c:v>5.9263076526668387E-2</c:v>
                </c:pt>
                <c:pt idx="2">
                  <c:v>6.3525900660839907E-2</c:v>
                </c:pt>
                <c:pt idx="3">
                  <c:v>7.9608938547486033E-2</c:v>
                </c:pt>
                <c:pt idx="4">
                  <c:v>5.260707635009311E-2</c:v>
                </c:pt>
                <c:pt idx="5">
                  <c:v>9.3294460641399415E-2</c:v>
                </c:pt>
                <c:pt idx="6">
                  <c:v>6.8965517241379309E-2</c:v>
                </c:pt>
                <c:pt idx="7">
                  <c:v>8.1761006289308172E-2</c:v>
                </c:pt>
              </c:numCache>
            </c:numRef>
          </c:val>
          <c:extLst>
            <c:ext xmlns:c16="http://schemas.microsoft.com/office/drawing/2014/chart" uri="{C3380CC4-5D6E-409C-BE32-E72D297353CC}">
              <c16:uniqueId val="{00000001-6BA9-4771-89F1-142D241A931C}"/>
            </c:ext>
          </c:extLst>
        </c:ser>
        <c:ser>
          <c:idx val="2"/>
          <c:order val="2"/>
          <c:tx>
            <c:strRef>
              <c:f>'Total pay per job'!$M$20</c:f>
              <c:strCache>
                <c:ptCount val="1"/>
                <c:pt idx="0">
                  <c:v>More than $2,000 to $5,000</c:v>
                </c:pt>
              </c:strCache>
            </c:strRef>
          </c:tx>
          <c:spPr>
            <a:solidFill>
              <a:schemeClr val="accent1">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job'!$N$20:$U$20</c:f>
              <c:numCache>
                <c:formatCode>0.0%</c:formatCode>
                <c:ptCount val="8"/>
                <c:pt idx="0">
                  <c:v>0.15519480519480519</c:v>
                </c:pt>
                <c:pt idx="1">
                  <c:v>0.15434166451945375</c:v>
                </c:pt>
                <c:pt idx="2">
                  <c:v>0.16030697079513964</c:v>
                </c:pt>
                <c:pt idx="3">
                  <c:v>0.16899441340782123</c:v>
                </c:pt>
                <c:pt idx="4">
                  <c:v>0.15735567970204842</c:v>
                </c:pt>
                <c:pt idx="5">
                  <c:v>0.2434402332361516</c:v>
                </c:pt>
                <c:pt idx="6">
                  <c:v>0.15862068965517243</c:v>
                </c:pt>
                <c:pt idx="7">
                  <c:v>0.16981132075471697</c:v>
                </c:pt>
              </c:numCache>
            </c:numRef>
          </c:val>
          <c:extLst>
            <c:ext xmlns:c16="http://schemas.microsoft.com/office/drawing/2014/chart" uri="{C3380CC4-5D6E-409C-BE32-E72D297353CC}">
              <c16:uniqueId val="{00000002-6BA9-4771-89F1-142D241A931C}"/>
            </c:ext>
          </c:extLst>
        </c:ser>
        <c:ser>
          <c:idx val="3"/>
          <c:order val="3"/>
          <c:tx>
            <c:strRef>
              <c:f>'Total pay per job'!$M$21</c:f>
              <c:strCache>
                <c:ptCount val="1"/>
                <c:pt idx="0">
                  <c:v>More than $5,000 to $10,000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job'!$N$21:$U$21</c:f>
              <c:numCache>
                <c:formatCode>0.0%</c:formatCode>
                <c:ptCount val="8"/>
                <c:pt idx="0">
                  <c:v>0.19783549783549784</c:v>
                </c:pt>
                <c:pt idx="1">
                  <c:v>0.20097912909044061</c:v>
                </c:pt>
                <c:pt idx="2">
                  <c:v>0.21743764655723727</c:v>
                </c:pt>
                <c:pt idx="3">
                  <c:v>0.18156424581005587</c:v>
                </c:pt>
                <c:pt idx="4">
                  <c:v>0.20716945996275604</c:v>
                </c:pt>
                <c:pt idx="5">
                  <c:v>0.23469387755102042</c:v>
                </c:pt>
                <c:pt idx="6">
                  <c:v>0.22241379310344828</c:v>
                </c:pt>
                <c:pt idx="7">
                  <c:v>0.22012578616352202</c:v>
                </c:pt>
              </c:numCache>
            </c:numRef>
          </c:val>
          <c:extLst>
            <c:ext xmlns:c16="http://schemas.microsoft.com/office/drawing/2014/chart" uri="{C3380CC4-5D6E-409C-BE32-E72D297353CC}">
              <c16:uniqueId val="{00000003-6BA9-4771-89F1-142D241A931C}"/>
            </c:ext>
          </c:extLst>
        </c:ser>
        <c:ser>
          <c:idx val="4"/>
          <c:order val="4"/>
          <c:tx>
            <c:strRef>
              <c:f>'Total pay per job'!$M$22</c:f>
              <c:strCache>
                <c:ptCount val="1"/>
                <c:pt idx="0">
                  <c:v>More than $10,000 to $20,000</c:v>
                </c:pt>
              </c:strCache>
            </c:strRef>
          </c:tx>
          <c:spPr>
            <a:solidFill>
              <a:schemeClr val="accent1">
                <a:shade val="82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job'!$N$22:$U$22</c:f>
              <c:numCache>
                <c:formatCode>0.0%</c:formatCode>
                <c:ptCount val="8"/>
                <c:pt idx="0">
                  <c:v>0.26428571428571429</c:v>
                </c:pt>
                <c:pt idx="1">
                  <c:v>0.26900283432105127</c:v>
                </c:pt>
                <c:pt idx="2">
                  <c:v>0.28842464293327646</c:v>
                </c:pt>
                <c:pt idx="3">
                  <c:v>0.26675977653631283</c:v>
                </c:pt>
                <c:pt idx="4">
                  <c:v>0.28770949720670391</c:v>
                </c:pt>
                <c:pt idx="5">
                  <c:v>0.18658892128279883</c:v>
                </c:pt>
                <c:pt idx="6">
                  <c:v>0.27586206896551724</c:v>
                </c:pt>
                <c:pt idx="7">
                  <c:v>0.22641509433962265</c:v>
                </c:pt>
              </c:numCache>
            </c:numRef>
          </c:val>
          <c:extLst>
            <c:ext xmlns:c16="http://schemas.microsoft.com/office/drawing/2014/chart" uri="{C3380CC4-5D6E-409C-BE32-E72D297353CC}">
              <c16:uniqueId val="{00000004-6BA9-4771-89F1-142D241A931C}"/>
            </c:ext>
          </c:extLst>
        </c:ser>
        <c:ser>
          <c:idx val="5"/>
          <c:order val="5"/>
          <c:tx>
            <c:strRef>
              <c:f>'Total pay per job'!$M$23</c:f>
              <c:strCache>
                <c:ptCount val="1"/>
                <c:pt idx="0">
                  <c:v>More than $20,000 to $40,000</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job'!$N$23:$U$23</c:f>
              <c:numCache>
                <c:formatCode>0.0%</c:formatCode>
                <c:ptCount val="8"/>
                <c:pt idx="0">
                  <c:v>0.19761904761904761</c:v>
                </c:pt>
                <c:pt idx="1">
                  <c:v>0.19144550373615046</c:v>
                </c:pt>
                <c:pt idx="2">
                  <c:v>0.13515241952675336</c:v>
                </c:pt>
                <c:pt idx="3">
                  <c:v>0.12150837988826815</c:v>
                </c:pt>
                <c:pt idx="4">
                  <c:v>0.15409683426443202</c:v>
                </c:pt>
                <c:pt idx="5">
                  <c:v>9.4752186588921289E-2</c:v>
                </c:pt>
                <c:pt idx="6">
                  <c:v>0.16724137931034483</c:v>
                </c:pt>
                <c:pt idx="7">
                  <c:v>0.15094339622641509</c:v>
                </c:pt>
              </c:numCache>
            </c:numRef>
          </c:val>
          <c:extLst>
            <c:ext xmlns:c16="http://schemas.microsoft.com/office/drawing/2014/chart" uri="{C3380CC4-5D6E-409C-BE32-E72D297353CC}">
              <c16:uniqueId val="{00000005-6BA9-4771-89F1-142D241A931C}"/>
            </c:ext>
          </c:extLst>
        </c:ser>
        <c:ser>
          <c:idx val="6"/>
          <c:order val="6"/>
          <c:tx>
            <c:strRef>
              <c:f>'Total pay per job'!$M$24</c:f>
              <c:strCache>
                <c:ptCount val="1"/>
                <c:pt idx="0">
                  <c:v>More than $40,000</c:v>
                </c:pt>
              </c:strCache>
            </c:strRef>
          </c:tx>
          <c:spPr>
            <a:solidFill>
              <a:schemeClr val="accent1">
                <a:shade val="47000"/>
              </a:schemeClr>
            </a:solidFill>
            <a:ln>
              <a:noFill/>
            </a:ln>
            <a:effectLst/>
          </c:spPr>
          <c:invertIfNegative val="0"/>
          <c:cat>
            <c:strRef>
              <c:f>'Total pay per job'!$N$17:$U$17</c:f>
              <c:strCache>
                <c:ptCount val="8"/>
                <c:pt idx="0">
                  <c:v>NSW (Av. $14,195)</c:v>
                </c:pt>
                <c:pt idx="1">
                  <c:v>VIC (Av. $13,980)</c:v>
                </c:pt>
                <c:pt idx="2">
                  <c:v>Qld (Av. $11,624)</c:v>
                </c:pt>
                <c:pt idx="3">
                  <c:v>SA (Av. $11,225)</c:v>
                </c:pt>
                <c:pt idx="4">
                  <c:v>WA (Av. $14,001)</c:v>
                </c:pt>
                <c:pt idx="5">
                  <c:v>Tas (Av. $8,885)</c:v>
                </c:pt>
                <c:pt idx="6">
                  <c:v>NT (Av. $13,596)</c:v>
                </c:pt>
                <c:pt idx="7">
                  <c:v>ACT (Av. $10,758)</c:v>
                </c:pt>
              </c:strCache>
            </c:strRef>
          </c:cat>
          <c:val>
            <c:numRef>
              <c:f>'Total pay per job'!$N$24:$U$24</c:f>
              <c:numCache>
                <c:formatCode>0.0%</c:formatCode>
                <c:ptCount val="8"/>
                <c:pt idx="0">
                  <c:v>5.1298701298701302E-2</c:v>
                </c:pt>
                <c:pt idx="1">
                  <c:v>5.0760113372842051E-2</c:v>
                </c:pt>
                <c:pt idx="2">
                  <c:v>3.0057557024088681E-2</c:v>
                </c:pt>
                <c:pt idx="3">
                  <c:v>3.6312849162011177E-2</c:v>
                </c:pt>
                <c:pt idx="4">
                  <c:v>5.6331471135940413E-2</c:v>
                </c:pt>
                <c:pt idx="5">
                  <c:v>1.4577259475218658E-2</c:v>
                </c:pt>
                <c:pt idx="6">
                  <c:v>4.6551724137931037E-2</c:v>
                </c:pt>
                <c:pt idx="7">
                  <c:v>2.5157232704402517E-2</c:v>
                </c:pt>
              </c:numCache>
            </c:numRef>
          </c:val>
          <c:extLst>
            <c:ext xmlns:c16="http://schemas.microsoft.com/office/drawing/2014/chart" uri="{C3380CC4-5D6E-409C-BE32-E72D297353CC}">
              <c16:uniqueId val="{00000006-6BA9-4771-89F1-142D241A931C}"/>
            </c:ext>
          </c:extLst>
        </c:ser>
        <c:dLbls>
          <c:showLegendKey val="0"/>
          <c:showVal val="0"/>
          <c:showCatName val="0"/>
          <c:showSerName val="0"/>
          <c:showPercent val="0"/>
          <c:showBubbleSize val="0"/>
        </c:dLbls>
        <c:gapWidth val="60"/>
        <c:overlap val="100"/>
        <c:axId val="380667576"/>
        <c:axId val="380666008"/>
      </c:barChart>
      <c:catAx>
        <c:axId val="38066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6008"/>
        <c:crosses val="autoZero"/>
        <c:auto val="1"/>
        <c:lblAlgn val="ctr"/>
        <c:lblOffset val="100"/>
        <c:noMultiLvlLbl val="0"/>
      </c:catAx>
      <c:valAx>
        <c:axId val="380666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7576"/>
        <c:crosses val="autoZero"/>
        <c:crossBetween val="between"/>
        <c:majorUnit val="0.2"/>
      </c:valAx>
      <c:spPr>
        <a:noFill/>
        <a:ln>
          <a:noFill/>
        </a:ln>
        <a:effectLst/>
      </c:spPr>
    </c:plotArea>
    <c:legend>
      <c:legendPos val="r"/>
      <c:layout>
        <c:manualLayout>
          <c:xMode val="edge"/>
          <c:yMode val="edge"/>
          <c:x val="0.81581849248709681"/>
          <c:y val="2.0917960141517866E-2"/>
          <c:w val="0.17075868872095687"/>
          <c:h val="0.8544251560082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782413194444446"/>
          <c:y val="0.23048884029821237"/>
          <c:w val="0.81133732638888889"/>
          <c:h val="0.63311366729085006"/>
        </c:manualLayout>
      </c:layout>
      <c:barChart>
        <c:barDir val="bar"/>
        <c:grouping val="stacked"/>
        <c:varyColors val="0"/>
        <c:ser>
          <c:idx val="0"/>
          <c:order val="0"/>
          <c:tx>
            <c:strRef>
              <c:f>'Av$ x gender'!$G$3</c:f>
              <c:strCache>
                <c:ptCount val="1"/>
                <c:pt idx="0">
                  <c:v>Up to $1,000</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gender'!$H$3:$I$3</c:f>
              <c:numCache>
                <c:formatCode>0.0%</c:formatCode>
                <c:ptCount val="2"/>
                <c:pt idx="0">
                  <c:v>8.5100160842228392E-2</c:v>
                </c:pt>
                <c:pt idx="1">
                  <c:v>9.3215560984777304E-2</c:v>
                </c:pt>
              </c:numCache>
            </c:numRef>
          </c:val>
          <c:extLst>
            <c:ext xmlns:c16="http://schemas.microsoft.com/office/drawing/2014/chart" uri="{C3380CC4-5D6E-409C-BE32-E72D297353CC}">
              <c16:uniqueId val="{00000000-2A29-476B-BD34-51BE39C8C705}"/>
            </c:ext>
          </c:extLst>
        </c:ser>
        <c:ser>
          <c:idx val="1"/>
          <c:order val="1"/>
          <c:tx>
            <c:strRef>
              <c:f>'Av$ x gender'!$G$4</c:f>
              <c:strCache>
                <c:ptCount val="1"/>
                <c:pt idx="0">
                  <c:v>More than $1,000 to $2,000</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gender'!$H$4:$I$4</c:f>
              <c:numCache>
                <c:formatCode>0.0%</c:formatCode>
                <c:ptCount val="2"/>
                <c:pt idx="0">
                  <c:v>6.112004679046644E-2</c:v>
                </c:pt>
                <c:pt idx="1">
                  <c:v>6.1454613794399551E-2</c:v>
                </c:pt>
              </c:numCache>
            </c:numRef>
          </c:val>
          <c:extLst>
            <c:ext xmlns:c16="http://schemas.microsoft.com/office/drawing/2014/chart" uri="{C3380CC4-5D6E-409C-BE32-E72D297353CC}">
              <c16:uniqueId val="{00000001-2A29-476B-BD34-51BE39C8C705}"/>
            </c:ext>
          </c:extLst>
        </c:ser>
        <c:ser>
          <c:idx val="2"/>
          <c:order val="2"/>
          <c:tx>
            <c:strRef>
              <c:f>'Av$ x gender'!$G$5</c:f>
              <c:strCache>
                <c:ptCount val="1"/>
                <c:pt idx="0">
                  <c:v>More than $2,000 to $5,000</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gender'!$H$5:$I$5</c:f>
              <c:numCache>
                <c:formatCode>0.0%</c:formatCode>
                <c:ptCount val="2"/>
                <c:pt idx="0">
                  <c:v>0.15704050299751426</c:v>
                </c:pt>
                <c:pt idx="1">
                  <c:v>0.16340913362149972</c:v>
                </c:pt>
              </c:numCache>
            </c:numRef>
          </c:val>
          <c:extLst>
            <c:ext xmlns:c16="http://schemas.microsoft.com/office/drawing/2014/chart" uri="{C3380CC4-5D6E-409C-BE32-E72D297353CC}">
              <c16:uniqueId val="{00000002-2A29-476B-BD34-51BE39C8C705}"/>
            </c:ext>
          </c:extLst>
        </c:ser>
        <c:ser>
          <c:idx val="3"/>
          <c:order val="3"/>
          <c:tx>
            <c:strRef>
              <c:f>'Av$ x gender'!$G$6</c:f>
              <c:strCache>
                <c:ptCount val="1"/>
                <c:pt idx="0">
                  <c:v>More than $5,000 to $10,000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gender'!$H$6:$I$6</c:f>
              <c:numCache>
                <c:formatCode>0.0%</c:formatCode>
                <c:ptCount val="2"/>
                <c:pt idx="0">
                  <c:v>0.19651995905834185</c:v>
                </c:pt>
                <c:pt idx="1">
                  <c:v>0.21330576959218192</c:v>
                </c:pt>
              </c:numCache>
            </c:numRef>
          </c:val>
          <c:extLst>
            <c:ext xmlns:c16="http://schemas.microsoft.com/office/drawing/2014/chart" uri="{C3380CC4-5D6E-409C-BE32-E72D297353CC}">
              <c16:uniqueId val="{00000003-2A29-476B-BD34-51BE39C8C705}"/>
            </c:ext>
          </c:extLst>
        </c:ser>
        <c:ser>
          <c:idx val="4"/>
          <c:order val="4"/>
          <c:tx>
            <c:strRef>
              <c:f>'Av$ x gender'!$G$7</c:f>
              <c:strCache>
                <c:ptCount val="1"/>
                <c:pt idx="0">
                  <c:v>More than $10,000 to $20,000</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gender'!$H$7:$I$7</c:f>
              <c:numCache>
                <c:formatCode>0.0%</c:formatCode>
                <c:ptCount val="2"/>
                <c:pt idx="0">
                  <c:v>0.26246527270068726</c:v>
                </c:pt>
                <c:pt idx="1">
                  <c:v>0.27776733696673556</c:v>
                </c:pt>
              </c:numCache>
            </c:numRef>
          </c:val>
          <c:extLst>
            <c:ext xmlns:c16="http://schemas.microsoft.com/office/drawing/2014/chart" uri="{C3380CC4-5D6E-409C-BE32-E72D297353CC}">
              <c16:uniqueId val="{00000004-2A29-476B-BD34-51BE39C8C705}"/>
            </c:ext>
          </c:extLst>
        </c:ser>
        <c:ser>
          <c:idx val="5"/>
          <c:order val="5"/>
          <c:tx>
            <c:strRef>
              <c:f>'Av$ x gender'!$G$8</c:f>
              <c:strCache>
                <c:ptCount val="1"/>
                <c:pt idx="0">
                  <c:v>More than $20,000 to $40,000</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gender'!$H$8:$I$8</c:f>
              <c:numCache>
                <c:formatCode>0.0%</c:formatCode>
                <c:ptCount val="2"/>
                <c:pt idx="0">
                  <c:v>0.178242433104255</c:v>
                </c:pt>
                <c:pt idx="1">
                  <c:v>0.1573952264611915</c:v>
                </c:pt>
              </c:numCache>
            </c:numRef>
          </c:val>
          <c:extLst>
            <c:ext xmlns:c16="http://schemas.microsoft.com/office/drawing/2014/chart" uri="{C3380CC4-5D6E-409C-BE32-E72D297353CC}">
              <c16:uniqueId val="{00000005-2A29-476B-BD34-51BE39C8C705}"/>
            </c:ext>
          </c:extLst>
        </c:ser>
        <c:ser>
          <c:idx val="6"/>
          <c:order val="6"/>
          <c:tx>
            <c:strRef>
              <c:f>'Av$ x gender'!$G$9</c:f>
              <c:strCache>
                <c:ptCount val="1"/>
                <c:pt idx="0">
                  <c:v>More than $40,000</c:v>
                </c:pt>
              </c:strCache>
            </c:strRef>
          </c:tx>
          <c:spPr>
            <a:solidFill>
              <a:schemeClr val="accent2">
                <a:tint val="4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2A29-476B-BD34-51BE39C8C70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gender'!$H$2:$I$2</c:f>
              <c:strCache>
                <c:ptCount val="2"/>
                <c:pt idx="0">
                  <c:v>Male (Av. $14,117)</c:v>
                </c:pt>
                <c:pt idx="1">
                  <c:v>Female (Av. $12,368)</c:v>
                </c:pt>
              </c:strCache>
            </c:strRef>
          </c:cat>
          <c:val>
            <c:numRef>
              <c:f>'Av$ x gender'!$H$9:$I$9</c:f>
              <c:numCache>
                <c:formatCode>0.0%</c:formatCode>
                <c:ptCount val="2"/>
                <c:pt idx="0">
                  <c:v>5.9511624506506801E-2</c:v>
                </c:pt>
                <c:pt idx="1">
                  <c:v>3.3452358579214435E-2</c:v>
                </c:pt>
              </c:numCache>
            </c:numRef>
          </c:val>
          <c:extLst>
            <c:ext xmlns:c16="http://schemas.microsoft.com/office/drawing/2014/chart" uri="{C3380CC4-5D6E-409C-BE32-E72D297353CC}">
              <c16:uniqueId val="{00000007-2A29-476B-BD34-51BE39C8C705}"/>
            </c:ext>
          </c:extLst>
        </c:ser>
        <c:dLbls>
          <c:dLblPos val="ctr"/>
          <c:showLegendKey val="0"/>
          <c:showVal val="1"/>
          <c:showCatName val="0"/>
          <c:showSerName val="0"/>
          <c:showPercent val="0"/>
          <c:showBubbleSize val="0"/>
        </c:dLbls>
        <c:gapWidth val="60"/>
        <c:overlap val="100"/>
        <c:axId val="380671496"/>
        <c:axId val="380667968"/>
      </c:barChart>
      <c:catAx>
        <c:axId val="380671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7968"/>
        <c:crosses val="autoZero"/>
        <c:auto val="1"/>
        <c:lblAlgn val="ctr"/>
        <c:lblOffset val="100"/>
        <c:noMultiLvlLbl val="0"/>
      </c:catAx>
      <c:valAx>
        <c:axId val="3806679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71496"/>
        <c:crosses val="autoZero"/>
        <c:crossBetween val="between"/>
        <c:majorUnit val="0.1"/>
      </c:valAx>
      <c:spPr>
        <a:noFill/>
        <a:ln>
          <a:noFill/>
        </a:ln>
        <a:effectLst/>
      </c:spPr>
    </c:plotArea>
    <c:legend>
      <c:legendPos val="t"/>
      <c:layout>
        <c:manualLayout>
          <c:xMode val="edge"/>
          <c:yMode val="edge"/>
          <c:x val="7.2048611111111119E-2"/>
          <c:y val="3.5277777777777776E-2"/>
          <c:w val="0.92795138888888884"/>
          <c:h val="0.189619444444444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351186685533129"/>
          <c:y val="0.2601877202572721"/>
          <c:w val="0.7794406709575662"/>
          <c:h val="0.62009793089010112"/>
        </c:manualLayout>
      </c:layout>
      <c:barChart>
        <c:barDir val="bar"/>
        <c:grouping val="stacked"/>
        <c:varyColors val="0"/>
        <c:ser>
          <c:idx val="0"/>
          <c:order val="0"/>
          <c:tx>
            <c:strRef>
              <c:f>'Av$ x age'!$I$3</c:f>
              <c:strCache>
                <c:ptCount val="1"/>
                <c:pt idx="0">
                  <c:v>Up to $1,000</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age'!$J$3:$M$3</c:f>
              <c:numCache>
                <c:formatCode>0.0%</c:formatCode>
                <c:ptCount val="4"/>
                <c:pt idx="0">
                  <c:v>0.17078189300411523</c:v>
                </c:pt>
                <c:pt idx="1">
                  <c:v>0.10315078769692423</c:v>
                </c:pt>
                <c:pt idx="2">
                  <c:v>7.4936224489795922E-2</c:v>
                </c:pt>
                <c:pt idx="3">
                  <c:v>9.3793103448275864E-2</c:v>
                </c:pt>
              </c:numCache>
            </c:numRef>
          </c:val>
          <c:extLst>
            <c:ext xmlns:c16="http://schemas.microsoft.com/office/drawing/2014/chart" uri="{C3380CC4-5D6E-409C-BE32-E72D297353CC}">
              <c16:uniqueId val="{00000000-83D2-4E29-B732-351389ABA629}"/>
            </c:ext>
          </c:extLst>
        </c:ser>
        <c:ser>
          <c:idx val="1"/>
          <c:order val="1"/>
          <c:tx>
            <c:strRef>
              <c:f>'Av$ x age'!$I$4</c:f>
              <c:strCache>
                <c:ptCount val="1"/>
                <c:pt idx="0">
                  <c:v>More than $1,000 to $2,000</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age'!$J$4:$M$4</c:f>
              <c:numCache>
                <c:formatCode>0.0%</c:formatCode>
                <c:ptCount val="4"/>
                <c:pt idx="0">
                  <c:v>9.4650205761316872E-2</c:v>
                </c:pt>
                <c:pt idx="1">
                  <c:v>6.245311327831958E-2</c:v>
                </c:pt>
                <c:pt idx="2">
                  <c:v>5.8779761904761904E-2</c:v>
                </c:pt>
                <c:pt idx="3">
                  <c:v>5.1724137931034482E-2</c:v>
                </c:pt>
              </c:numCache>
            </c:numRef>
          </c:val>
          <c:extLst>
            <c:ext xmlns:c16="http://schemas.microsoft.com/office/drawing/2014/chart" uri="{C3380CC4-5D6E-409C-BE32-E72D297353CC}">
              <c16:uniqueId val="{00000001-83D2-4E29-B732-351389ABA629}"/>
            </c:ext>
          </c:extLst>
        </c:ser>
        <c:ser>
          <c:idx val="2"/>
          <c:order val="2"/>
          <c:tx>
            <c:strRef>
              <c:f>'Av$ x age'!$I$5</c:f>
              <c:strCache>
                <c:ptCount val="1"/>
                <c:pt idx="0">
                  <c:v>More than $2,000 to $5,000</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age'!$J$5:$M$5</c:f>
              <c:numCache>
                <c:formatCode>0.0%</c:formatCode>
                <c:ptCount val="4"/>
                <c:pt idx="0">
                  <c:v>0.22530864197530864</c:v>
                </c:pt>
                <c:pt idx="1">
                  <c:v>0.17010502625656415</c:v>
                </c:pt>
                <c:pt idx="2">
                  <c:v>0.15327380952380953</c:v>
                </c:pt>
                <c:pt idx="3">
                  <c:v>0.1393103448275862</c:v>
                </c:pt>
              </c:numCache>
            </c:numRef>
          </c:val>
          <c:extLst>
            <c:ext xmlns:c16="http://schemas.microsoft.com/office/drawing/2014/chart" uri="{C3380CC4-5D6E-409C-BE32-E72D297353CC}">
              <c16:uniqueId val="{00000002-83D2-4E29-B732-351389ABA629}"/>
            </c:ext>
          </c:extLst>
        </c:ser>
        <c:ser>
          <c:idx val="3"/>
          <c:order val="3"/>
          <c:tx>
            <c:strRef>
              <c:f>'Av$ x age'!$I$6</c:f>
              <c:strCache>
                <c:ptCount val="1"/>
                <c:pt idx="0">
                  <c:v>More than $5,000 to $10,000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age'!$J$6:$M$6</c:f>
              <c:numCache>
                <c:formatCode>0.0%</c:formatCode>
                <c:ptCount val="4"/>
                <c:pt idx="0">
                  <c:v>0.27366255144032919</c:v>
                </c:pt>
                <c:pt idx="1">
                  <c:v>0.21511627906976744</c:v>
                </c:pt>
                <c:pt idx="2">
                  <c:v>0.19472789115646258</c:v>
                </c:pt>
                <c:pt idx="3">
                  <c:v>0.20827586206896551</c:v>
                </c:pt>
              </c:numCache>
            </c:numRef>
          </c:val>
          <c:extLst>
            <c:ext xmlns:c16="http://schemas.microsoft.com/office/drawing/2014/chart" uri="{C3380CC4-5D6E-409C-BE32-E72D297353CC}">
              <c16:uniqueId val="{00000003-83D2-4E29-B732-351389ABA629}"/>
            </c:ext>
          </c:extLst>
        </c:ser>
        <c:ser>
          <c:idx val="4"/>
          <c:order val="4"/>
          <c:tx>
            <c:strRef>
              <c:f>'Av$ x age'!$I$7</c:f>
              <c:strCache>
                <c:ptCount val="1"/>
                <c:pt idx="0">
                  <c:v>More than $10,000 to $20,000</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age'!$J$7:$M$7</c:f>
              <c:numCache>
                <c:formatCode>0.0%</c:formatCode>
                <c:ptCount val="4"/>
                <c:pt idx="0">
                  <c:v>0.16769547325102882</c:v>
                </c:pt>
                <c:pt idx="1">
                  <c:v>0.27344336084021004</c:v>
                </c:pt>
                <c:pt idx="2">
                  <c:v>0.28348214285714285</c:v>
                </c:pt>
                <c:pt idx="3">
                  <c:v>0.26413793103448274</c:v>
                </c:pt>
              </c:numCache>
            </c:numRef>
          </c:val>
          <c:extLst>
            <c:ext xmlns:c16="http://schemas.microsoft.com/office/drawing/2014/chart" uri="{C3380CC4-5D6E-409C-BE32-E72D297353CC}">
              <c16:uniqueId val="{00000004-83D2-4E29-B732-351389ABA629}"/>
            </c:ext>
          </c:extLst>
        </c:ser>
        <c:ser>
          <c:idx val="5"/>
          <c:order val="5"/>
          <c:tx>
            <c:strRef>
              <c:f>'Av$ x age'!$I$8</c:f>
              <c:strCache>
                <c:ptCount val="1"/>
                <c:pt idx="0">
                  <c:v>More than $20,000 to $40,000</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age'!$J$8:$M$8</c:f>
              <c:numCache>
                <c:formatCode>0.0%</c:formatCode>
                <c:ptCount val="4"/>
                <c:pt idx="0">
                  <c:v>6.4814814814814811E-2</c:v>
                </c:pt>
                <c:pt idx="1">
                  <c:v>0.14516129032258066</c:v>
                </c:pt>
                <c:pt idx="2">
                  <c:v>0.18176020408163265</c:v>
                </c:pt>
                <c:pt idx="3">
                  <c:v>0.19241379310344828</c:v>
                </c:pt>
              </c:numCache>
            </c:numRef>
          </c:val>
          <c:extLst>
            <c:ext xmlns:c16="http://schemas.microsoft.com/office/drawing/2014/chart" uri="{C3380CC4-5D6E-409C-BE32-E72D297353CC}">
              <c16:uniqueId val="{00000005-83D2-4E29-B732-351389ABA629}"/>
            </c:ext>
          </c:extLst>
        </c:ser>
        <c:ser>
          <c:idx val="6"/>
          <c:order val="6"/>
          <c:tx>
            <c:strRef>
              <c:f>'Av$ x age'!$I$9</c:f>
              <c:strCache>
                <c:ptCount val="1"/>
                <c:pt idx="0">
                  <c:v>More than $40,000</c:v>
                </c:pt>
              </c:strCache>
            </c:strRef>
          </c:tx>
          <c:spPr>
            <a:solidFill>
              <a:schemeClr val="accent2">
                <a:tint val="4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3D2-4E29-B732-351389ABA629}"/>
                </c:ext>
              </c:extLst>
            </c:dLbl>
            <c:dLbl>
              <c:idx val="1"/>
              <c:delete val="1"/>
              <c:extLst>
                <c:ext xmlns:c15="http://schemas.microsoft.com/office/drawing/2012/chart" uri="{CE6537A1-D6FC-4f65-9D91-7224C49458BB}"/>
                <c:ext xmlns:c16="http://schemas.microsoft.com/office/drawing/2014/chart" uri="{C3380CC4-5D6E-409C-BE32-E72D297353CC}">
                  <c16:uniqueId val="{00000007-83D2-4E29-B732-351389ABA6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age'!$J$2:$M$2</c:f>
              <c:strCache>
                <c:ptCount val="4"/>
                <c:pt idx="0">
                  <c:v>Age 18-19 (Av. $7,197)</c:v>
                </c:pt>
                <c:pt idx="1">
                  <c:v>Age 20-24 (Av. $11,775)</c:v>
                </c:pt>
                <c:pt idx="2">
                  <c:v>Age 25-30 (Av. $14,158)</c:v>
                </c:pt>
                <c:pt idx="3">
                  <c:v>Age 31+ (Av. $13,874)</c:v>
                </c:pt>
              </c:strCache>
            </c:strRef>
          </c:cat>
          <c:val>
            <c:numRef>
              <c:f>'Av$ x age'!$J$9:$M$9</c:f>
              <c:numCache>
                <c:formatCode>0.0%</c:formatCode>
                <c:ptCount val="4"/>
                <c:pt idx="0">
                  <c:v>3.0864197530864196E-3</c:v>
                </c:pt>
                <c:pt idx="1">
                  <c:v>3.0570142535633907E-2</c:v>
                </c:pt>
                <c:pt idx="2">
                  <c:v>5.3039965986394558E-2</c:v>
                </c:pt>
                <c:pt idx="3">
                  <c:v>5.0344827586206897E-2</c:v>
                </c:pt>
              </c:numCache>
            </c:numRef>
          </c:val>
          <c:extLst>
            <c:ext xmlns:c16="http://schemas.microsoft.com/office/drawing/2014/chart" uri="{C3380CC4-5D6E-409C-BE32-E72D297353CC}">
              <c16:uniqueId val="{00000008-83D2-4E29-B732-351389ABA629}"/>
            </c:ext>
          </c:extLst>
        </c:ser>
        <c:dLbls>
          <c:dLblPos val="ctr"/>
          <c:showLegendKey val="0"/>
          <c:showVal val="1"/>
          <c:showCatName val="0"/>
          <c:showSerName val="0"/>
          <c:showPercent val="0"/>
          <c:showBubbleSize val="0"/>
        </c:dLbls>
        <c:gapWidth val="60"/>
        <c:overlap val="100"/>
        <c:axId val="380666792"/>
        <c:axId val="380666400"/>
      </c:barChart>
      <c:catAx>
        <c:axId val="380666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6400"/>
        <c:crosses val="autoZero"/>
        <c:auto val="1"/>
        <c:lblAlgn val="ctr"/>
        <c:lblOffset val="100"/>
        <c:noMultiLvlLbl val="0"/>
      </c:catAx>
      <c:valAx>
        <c:axId val="3806664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6792"/>
        <c:crosses val="autoZero"/>
        <c:crossBetween val="between"/>
        <c:majorUnit val="0.1"/>
      </c:valAx>
      <c:spPr>
        <a:noFill/>
        <a:ln>
          <a:noFill/>
        </a:ln>
        <a:effectLst/>
      </c:spPr>
    </c:plotArea>
    <c:legend>
      <c:legendPos val="t"/>
      <c:layout>
        <c:manualLayout>
          <c:xMode val="edge"/>
          <c:yMode val="edge"/>
          <c:x val="0.13644444444444445"/>
          <c:y val="3.5277777777777776E-2"/>
          <c:w val="0.77561805555555552"/>
          <c:h val="0.175416666666666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256284722222223"/>
          <c:y val="0.10289558531746032"/>
          <c:w val="0.6292008817860969"/>
          <c:h val="0.82988219246031747"/>
        </c:manualLayout>
      </c:layout>
      <c:barChart>
        <c:barDir val="bar"/>
        <c:grouping val="stacked"/>
        <c:varyColors val="0"/>
        <c:ser>
          <c:idx val="0"/>
          <c:order val="0"/>
          <c:tx>
            <c:strRef>
              <c:f>'Av$ x job'!$P$29</c:f>
              <c:strCache>
                <c:ptCount val="1"/>
                <c:pt idx="0">
                  <c:v>Up to $1,000</c:v>
                </c:pt>
              </c:strCache>
            </c:strRef>
          </c:tx>
          <c:spPr>
            <a:solidFill>
              <a:schemeClr val="accent2">
                <a:shade val="47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B94-4006-A69F-F5419D1E2AA4}"/>
                </c:ext>
              </c:extLst>
            </c:dLbl>
            <c:dLbl>
              <c:idx val="2"/>
              <c:delete val="1"/>
              <c:extLst>
                <c:ext xmlns:c15="http://schemas.microsoft.com/office/drawing/2012/chart" uri="{CE6537A1-D6FC-4f65-9D91-7224C49458BB}"/>
                <c:ext xmlns:c16="http://schemas.microsoft.com/office/drawing/2014/chart" uri="{C3380CC4-5D6E-409C-BE32-E72D297353CC}">
                  <c16:uniqueId val="{00000001-8B94-4006-A69F-F5419D1E2A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job'!$Q$29:$Z$29</c:f>
              <c:numCache>
                <c:formatCode>0.0%</c:formatCode>
                <c:ptCount val="10"/>
                <c:pt idx="0">
                  <c:v>4.1800643086816719E-2</c:v>
                </c:pt>
                <c:pt idx="1">
                  <c:v>7.7490774907749083E-2</c:v>
                </c:pt>
                <c:pt idx="2">
                  <c:v>4.3439716312056738E-2</c:v>
                </c:pt>
                <c:pt idx="3">
                  <c:v>5.8676654182272157E-2</c:v>
                </c:pt>
                <c:pt idx="4">
                  <c:v>0.1070154577883472</c:v>
                </c:pt>
                <c:pt idx="5">
                  <c:v>8.8235294117647065E-2</c:v>
                </c:pt>
                <c:pt idx="6">
                  <c:v>9.1111111111111115E-2</c:v>
                </c:pt>
                <c:pt idx="7">
                  <c:v>5.0032916392363395E-2</c:v>
                </c:pt>
                <c:pt idx="8">
                  <c:v>0.1249669749009247</c:v>
                </c:pt>
                <c:pt idx="9">
                  <c:v>0.11864406779661017</c:v>
                </c:pt>
              </c:numCache>
            </c:numRef>
          </c:val>
          <c:extLst>
            <c:ext xmlns:c16="http://schemas.microsoft.com/office/drawing/2014/chart" uri="{C3380CC4-5D6E-409C-BE32-E72D297353CC}">
              <c16:uniqueId val="{00000002-8B94-4006-A69F-F5419D1E2AA4}"/>
            </c:ext>
          </c:extLst>
        </c:ser>
        <c:ser>
          <c:idx val="1"/>
          <c:order val="1"/>
          <c:tx>
            <c:strRef>
              <c:f>'Av$ x job'!$P$30</c:f>
              <c:strCache>
                <c:ptCount val="1"/>
                <c:pt idx="0">
                  <c:v>More than $1,000 to $2,000</c:v>
                </c:pt>
              </c:strCache>
            </c:strRef>
          </c:tx>
          <c:spPr>
            <a:solidFill>
              <a:schemeClr val="accent2">
                <a:shade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8B94-4006-A69F-F5419D1E2AA4}"/>
                </c:ext>
              </c:extLst>
            </c:dLbl>
            <c:dLbl>
              <c:idx val="2"/>
              <c:delete val="1"/>
              <c:extLst>
                <c:ext xmlns:c15="http://schemas.microsoft.com/office/drawing/2012/chart" uri="{CE6537A1-D6FC-4f65-9D91-7224C49458BB}"/>
                <c:ext xmlns:c16="http://schemas.microsoft.com/office/drawing/2014/chart" uri="{C3380CC4-5D6E-409C-BE32-E72D297353CC}">
                  <c16:uniqueId val="{00000004-8B94-4006-A69F-F5419D1E2AA4}"/>
                </c:ext>
              </c:extLst>
            </c:dLbl>
            <c:dLbl>
              <c:idx val="3"/>
              <c:delete val="1"/>
              <c:extLst>
                <c:ext xmlns:c15="http://schemas.microsoft.com/office/drawing/2012/chart" uri="{CE6537A1-D6FC-4f65-9D91-7224C49458BB}"/>
                <c:ext xmlns:c16="http://schemas.microsoft.com/office/drawing/2014/chart" uri="{C3380CC4-5D6E-409C-BE32-E72D297353CC}">
                  <c16:uniqueId val="{00000005-8B94-4006-A69F-F5419D1E2A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job'!$Q$30:$Z$30</c:f>
              <c:numCache>
                <c:formatCode>0.0%</c:formatCode>
                <c:ptCount val="10"/>
                <c:pt idx="0">
                  <c:v>3.215434083601286E-2</c:v>
                </c:pt>
                <c:pt idx="1">
                  <c:v>9.7785977859778592E-2</c:v>
                </c:pt>
                <c:pt idx="2">
                  <c:v>3.9893617021276598E-2</c:v>
                </c:pt>
                <c:pt idx="3">
                  <c:v>4.7440699126092382E-2</c:v>
                </c:pt>
                <c:pt idx="4">
                  <c:v>6.6587395957193818E-2</c:v>
                </c:pt>
                <c:pt idx="5">
                  <c:v>5.1198257080610023E-2</c:v>
                </c:pt>
                <c:pt idx="6">
                  <c:v>5.7777777777777775E-2</c:v>
                </c:pt>
                <c:pt idx="7">
                  <c:v>6.7149440421329823E-2</c:v>
                </c:pt>
                <c:pt idx="8">
                  <c:v>8.3223249669749005E-2</c:v>
                </c:pt>
                <c:pt idx="9">
                  <c:v>0.10323574730354391</c:v>
                </c:pt>
              </c:numCache>
            </c:numRef>
          </c:val>
          <c:extLst>
            <c:ext xmlns:c16="http://schemas.microsoft.com/office/drawing/2014/chart" uri="{C3380CC4-5D6E-409C-BE32-E72D297353CC}">
              <c16:uniqueId val="{00000006-8B94-4006-A69F-F5419D1E2AA4}"/>
            </c:ext>
          </c:extLst>
        </c:ser>
        <c:ser>
          <c:idx val="2"/>
          <c:order val="2"/>
          <c:tx>
            <c:strRef>
              <c:f>'Av$ x job'!$P$31</c:f>
              <c:strCache>
                <c:ptCount val="1"/>
                <c:pt idx="0">
                  <c:v>More than $2,000 to $5,000</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job'!$Q$31:$Z$31</c:f>
              <c:numCache>
                <c:formatCode>0.0%</c:formatCode>
                <c:ptCount val="10"/>
                <c:pt idx="0">
                  <c:v>0.11897106109324759</c:v>
                </c:pt>
                <c:pt idx="1">
                  <c:v>0.16789667896678967</c:v>
                </c:pt>
                <c:pt idx="2">
                  <c:v>0.15159574468085107</c:v>
                </c:pt>
                <c:pt idx="3">
                  <c:v>0.16104868913857678</c:v>
                </c:pt>
                <c:pt idx="4">
                  <c:v>0.14030915576694411</c:v>
                </c:pt>
                <c:pt idx="5">
                  <c:v>0.16230936819172112</c:v>
                </c:pt>
                <c:pt idx="6">
                  <c:v>0.16444444444444445</c:v>
                </c:pt>
                <c:pt idx="7">
                  <c:v>0.19815668202764977</c:v>
                </c:pt>
                <c:pt idx="8">
                  <c:v>0.19735799207397622</c:v>
                </c:pt>
                <c:pt idx="9">
                  <c:v>0.25577812018489987</c:v>
                </c:pt>
              </c:numCache>
            </c:numRef>
          </c:val>
          <c:extLst>
            <c:ext xmlns:c16="http://schemas.microsoft.com/office/drawing/2014/chart" uri="{C3380CC4-5D6E-409C-BE32-E72D297353CC}">
              <c16:uniqueId val="{00000007-8B94-4006-A69F-F5419D1E2AA4}"/>
            </c:ext>
          </c:extLst>
        </c:ser>
        <c:ser>
          <c:idx val="3"/>
          <c:order val="3"/>
          <c:tx>
            <c:strRef>
              <c:f>'Av$ x job'!$P$32</c:f>
              <c:strCache>
                <c:ptCount val="1"/>
                <c:pt idx="0">
                  <c:v>More than $5,000 to $10,000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job'!$Q$32:$Z$32</c:f>
              <c:numCache>
                <c:formatCode>0.0%</c:formatCode>
                <c:ptCount val="10"/>
                <c:pt idx="0">
                  <c:v>0.19131832797427653</c:v>
                </c:pt>
                <c:pt idx="1">
                  <c:v>0.2140221402214022</c:v>
                </c:pt>
                <c:pt idx="2">
                  <c:v>0.25709219858156029</c:v>
                </c:pt>
                <c:pt idx="3">
                  <c:v>0.24843945068664169</c:v>
                </c:pt>
                <c:pt idx="4">
                  <c:v>0.19738406658739596</c:v>
                </c:pt>
                <c:pt idx="5">
                  <c:v>0.20370370370370369</c:v>
                </c:pt>
                <c:pt idx="6">
                  <c:v>0.24</c:v>
                </c:pt>
                <c:pt idx="7">
                  <c:v>0.2304147465437788</c:v>
                </c:pt>
                <c:pt idx="8">
                  <c:v>0.22192866578599735</c:v>
                </c:pt>
                <c:pt idx="9">
                  <c:v>0.3359013867488444</c:v>
                </c:pt>
              </c:numCache>
            </c:numRef>
          </c:val>
          <c:extLst>
            <c:ext xmlns:c16="http://schemas.microsoft.com/office/drawing/2014/chart" uri="{C3380CC4-5D6E-409C-BE32-E72D297353CC}">
              <c16:uniqueId val="{00000008-8B94-4006-A69F-F5419D1E2AA4}"/>
            </c:ext>
          </c:extLst>
        </c:ser>
        <c:ser>
          <c:idx val="4"/>
          <c:order val="4"/>
          <c:tx>
            <c:strRef>
              <c:f>'Av$ x job'!$P$33</c:f>
              <c:strCache>
                <c:ptCount val="1"/>
                <c:pt idx="0">
                  <c:v>More than $10,000 to $20,000</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job'!$Q$33:$Z$33</c:f>
              <c:numCache>
                <c:formatCode>0.0%</c:formatCode>
                <c:ptCount val="10"/>
                <c:pt idx="0">
                  <c:v>0.26688102893890675</c:v>
                </c:pt>
                <c:pt idx="1">
                  <c:v>0.22878228782287824</c:v>
                </c:pt>
                <c:pt idx="2">
                  <c:v>0.33333333333333331</c:v>
                </c:pt>
                <c:pt idx="3">
                  <c:v>0.29463171036204744</c:v>
                </c:pt>
                <c:pt idx="4">
                  <c:v>0.29131985731272297</c:v>
                </c:pt>
                <c:pt idx="5">
                  <c:v>0.33115468409586057</c:v>
                </c:pt>
                <c:pt idx="6">
                  <c:v>0.28000000000000003</c:v>
                </c:pt>
                <c:pt idx="7">
                  <c:v>0.29953917050691242</c:v>
                </c:pt>
                <c:pt idx="8">
                  <c:v>0.26103038309114929</c:v>
                </c:pt>
                <c:pt idx="9">
                  <c:v>0.15408320493066255</c:v>
                </c:pt>
              </c:numCache>
            </c:numRef>
          </c:val>
          <c:extLst>
            <c:ext xmlns:c16="http://schemas.microsoft.com/office/drawing/2014/chart" uri="{C3380CC4-5D6E-409C-BE32-E72D297353CC}">
              <c16:uniqueId val="{00000009-8B94-4006-A69F-F5419D1E2AA4}"/>
            </c:ext>
          </c:extLst>
        </c:ser>
        <c:ser>
          <c:idx val="5"/>
          <c:order val="5"/>
          <c:tx>
            <c:strRef>
              <c:f>'Av$ x job'!$P$34</c:f>
              <c:strCache>
                <c:ptCount val="1"/>
                <c:pt idx="0">
                  <c:v>More than $20,000 to $40,000</c:v>
                </c:pt>
              </c:strCache>
            </c:strRef>
          </c:tx>
          <c:spPr>
            <a:solidFill>
              <a:schemeClr val="accent2">
                <a:tint val="65000"/>
              </a:schemeClr>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A-8B94-4006-A69F-F5419D1E2A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job'!$Q$34:$Z$34</c:f>
              <c:numCache>
                <c:formatCode>0.0%</c:formatCode>
                <c:ptCount val="10"/>
                <c:pt idx="0">
                  <c:v>0.25884244372990356</c:v>
                </c:pt>
                <c:pt idx="1">
                  <c:v>0.14575645756457564</c:v>
                </c:pt>
                <c:pt idx="2">
                  <c:v>0.16046099290780141</c:v>
                </c:pt>
                <c:pt idx="3">
                  <c:v>0.15480649188514356</c:v>
                </c:pt>
                <c:pt idx="4">
                  <c:v>0.16409036860879905</c:v>
                </c:pt>
                <c:pt idx="5">
                  <c:v>0.13398692810457516</c:v>
                </c:pt>
                <c:pt idx="6">
                  <c:v>0.14222222222222222</c:v>
                </c:pt>
                <c:pt idx="7">
                  <c:v>0.14483212639894669</c:v>
                </c:pt>
                <c:pt idx="8">
                  <c:v>9.4583883751651249E-2</c:v>
                </c:pt>
                <c:pt idx="9">
                  <c:v>2.9275808936825885E-2</c:v>
                </c:pt>
              </c:numCache>
            </c:numRef>
          </c:val>
          <c:extLst>
            <c:ext xmlns:c16="http://schemas.microsoft.com/office/drawing/2014/chart" uri="{C3380CC4-5D6E-409C-BE32-E72D297353CC}">
              <c16:uniqueId val="{0000000B-8B94-4006-A69F-F5419D1E2AA4}"/>
            </c:ext>
          </c:extLst>
        </c:ser>
        <c:ser>
          <c:idx val="6"/>
          <c:order val="6"/>
          <c:tx>
            <c:strRef>
              <c:f>'Av$ x job'!$P$35</c:f>
              <c:strCache>
                <c:ptCount val="1"/>
                <c:pt idx="0">
                  <c:v>More than $40,000</c:v>
                </c:pt>
              </c:strCache>
            </c:strRef>
          </c:tx>
          <c:spPr>
            <a:solidFill>
              <a:schemeClr val="accent2">
                <a:tint val="48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8B94-4006-A69F-F5419D1E2AA4}"/>
                </c:ext>
              </c:extLst>
            </c:dLbl>
            <c:dLbl>
              <c:idx val="3"/>
              <c:delete val="1"/>
              <c:extLst>
                <c:ext xmlns:c15="http://schemas.microsoft.com/office/drawing/2012/chart" uri="{CE6537A1-D6FC-4f65-9D91-7224C49458BB}"/>
                <c:ext xmlns:c16="http://schemas.microsoft.com/office/drawing/2014/chart" uri="{C3380CC4-5D6E-409C-BE32-E72D297353CC}">
                  <c16:uniqueId val="{0000000D-8B94-4006-A69F-F5419D1E2AA4}"/>
                </c:ext>
              </c:extLst>
            </c:dLbl>
            <c:dLbl>
              <c:idx val="4"/>
              <c:delete val="1"/>
              <c:extLst>
                <c:ext xmlns:c15="http://schemas.microsoft.com/office/drawing/2012/chart" uri="{CE6537A1-D6FC-4f65-9D91-7224C49458BB}"/>
                <c:ext xmlns:c16="http://schemas.microsoft.com/office/drawing/2014/chart" uri="{C3380CC4-5D6E-409C-BE32-E72D297353CC}">
                  <c16:uniqueId val="{0000000E-8B94-4006-A69F-F5419D1E2AA4}"/>
                </c:ext>
              </c:extLst>
            </c:dLbl>
            <c:dLbl>
              <c:idx val="5"/>
              <c:delete val="1"/>
              <c:extLst>
                <c:ext xmlns:c15="http://schemas.microsoft.com/office/drawing/2012/chart" uri="{CE6537A1-D6FC-4f65-9D91-7224C49458BB}"/>
                <c:ext xmlns:c16="http://schemas.microsoft.com/office/drawing/2014/chart" uri="{C3380CC4-5D6E-409C-BE32-E72D297353CC}">
                  <c16:uniqueId val="{0000000F-8B94-4006-A69F-F5419D1E2AA4}"/>
                </c:ext>
              </c:extLst>
            </c:dLbl>
            <c:dLbl>
              <c:idx val="6"/>
              <c:delete val="1"/>
              <c:extLst>
                <c:ext xmlns:c15="http://schemas.microsoft.com/office/drawing/2012/chart" uri="{CE6537A1-D6FC-4f65-9D91-7224C49458BB}"/>
                <c:ext xmlns:c16="http://schemas.microsoft.com/office/drawing/2014/chart" uri="{C3380CC4-5D6E-409C-BE32-E72D297353CC}">
                  <c16:uniqueId val="{00000010-8B94-4006-A69F-F5419D1E2AA4}"/>
                </c:ext>
              </c:extLst>
            </c:dLbl>
            <c:dLbl>
              <c:idx val="7"/>
              <c:delete val="1"/>
              <c:extLst>
                <c:ext xmlns:c15="http://schemas.microsoft.com/office/drawing/2012/chart" uri="{CE6537A1-D6FC-4f65-9D91-7224C49458BB}"/>
                <c:ext xmlns:c16="http://schemas.microsoft.com/office/drawing/2014/chart" uri="{C3380CC4-5D6E-409C-BE32-E72D297353CC}">
                  <c16:uniqueId val="{00000011-8B94-4006-A69F-F5419D1E2AA4}"/>
                </c:ext>
              </c:extLst>
            </c:dLbl>
            <c:dLbl>
              <c:idx val="8"/>
              <c:delete val="1"/>
              <c:extLst>
                <c:ext xmlns:c15="http://schemas.microsoft.com/office/drawing/2012/chart" uri="{CE6537A1-D6FC-4f65-9D91-7224C49458BB}"/>
                <c:ext xmlns:c16="http://schemas.microsoft.com/office/drawing/2014/chart" uri="{C3380CC4-5D6E-409C-BE32-E72D297353CC}">
                  <c16:uniqueId val="{00000012-8B94-4006-A69F-F5419D1E2AA4}"/>
                </c:ext>
              </c:extLst>
            </c:dLbl>
            <c:dLbl>
              <c:idx val="9"/>
              <c:delete val="1"/>
              <c:extLst>
                <c:ext xmlns:c15="http://schemas.microsoft.com/office/drawing/2012/chart" uri="{CE6537A1-D6FC-4f65-9D91-7224C49458BB}"/>
                <c:ext xmlns:c16="http://schemas.microsoft.com/office/drawing/2014/chart" uri="{C3380CC4-5D6E-409C-BE32-E72D297353CC}">
                  <c16:uniqueId val="{00000013-8B94-4006-A69F-F5419D1E2A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x job'!$Q$28:$Z$28</c:f>
              <c:strCache>
                <c:ptCount val="10"/>
                <c:pt idx="0">
                  <c:v>Meat, chicken &amp; fish process worker (Av. $17,674)</c:v>
                </c:pt>
                <c:pt idx="1">
                  <c:v>Building labourer (Av. $13,604)</c:v>
                </c:pt>
                <c:pt idx="2">
                  <c:v>Bar attendant or barista (Av. $12,598)</c:v>
                </c:pt>
                <c:pt idx="3">
                  <c:v>Hand packer (Av. $12,550)</c:v>
                </c:pt>
                <c:pt idx="4">
                  <c:v>Other hospitality, tourism &amp; sport (Av. $12,323)</c:v>
                </c:pt>
                <c:pt idx="5">
                  <c:v>Other farm, forestry &amp; garden workers (Av. $12,168)</c:v>
                </c:pt>
                <c:pt idx="6">
                  <c:v>Kitchen hand (Av. $11,488)</c:v>
                </c:pt>
                <c:pt idx="7">
                  <c:v>Waiter (Av. $11,088)</c:v>
                </c:pt>
                <c:pt idx="8">
                  <c:v>Crop farm worker (Av. $9,577)</c:v>
                </c:pt>
                <c:pt idx="9">
                  <c:v>Nanny or au pair (Av. $6,527)</c:v>
                </c:pt>
              </c:strCache>
            </c:strRef>
          </c:cat>
          <c:val>
            <c:numRef>
              <c:f>'Av$ x job'!$Q$35:$Z$35</c:f>
              <c:numCache>
                <c:formatCode>0.0%</c:formatCode>
                <c:ptCount val="10"/>
                <c:pt idx="0">
                  <c:v>9.0032154340836015E-2</c:v>
                </c:pt>
                <c:pt idx="1">
                  <c:v>6.8265682656826573E-2</c:v>
                </c:pt>
                <c:pt idx="2">
                  <c:v>1.4184397163120567E-2</c:v>
                </c:pt>
                <c:pt idx="3">
                  <c:v>3.495630461922597E-2</c:v>
                </c:pt>
                <c:pt idx="4">
                  <c:v>3.3293697978596909E-2</c:v>
                </c:pt>
                <c:pt idx="5">
                  <c:v>2.9411764705882353E-2</c:v>
                </c:pt>
                <c:pt idx="6">
                  <c:v>2.4444444444444446E-2</c:v>
                </c:pt>
                <c:pt idx="7">
                  <c:v>9.8749177090190921E-3</c:v>
                </c:pt>
                <c:pt idx="8">
                  <c:v>1.6908850726552179E-2</c:v>
                </c:pt>
                <c:pt idx="9">
                  <c:v>3.0816640986132513E-3</c:v>
                </c:pt>
              </c:numCache>
            </c:numRef>
          </c:val>
          <c:extLst>
            <c:ext xmlns:c16="http://schemas.microsoft.com/office/drawing/2014/chart" uri="{C3380CC4-5D6E-409C-BE32-E72D297353CC}">
              <c16:uniqueId val="{00000014-8B94-4006-A69F-F5419D1E2AA4}"/>
            </c:ext>
          </c:extLst>
        </c:ser>
        <c:dLbls>
          <c:dLblPos val="ctr"/>
          <c:showLegendKey val="0"/>
          <c:showVal val="1"/>
          <c:showCatName val="0"/>
          <c:showSerName val="0"/>
          <c:showPercent val="0"/>
          <c:showBubbleSize val="0"/>
        </c:dLbls>
        <c:gapWidth val="60"/>
        <c:overlap val="100"/>
        <c:axId val="380670320"/>
        <c:axId val="380667184"/>
      </c:barChart>
      <c:catAx>
        <c:axId val="38067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67184"/>
        <c:crosses val="autoZero"/>
        <c:auto val="1"/>
        <c:lblAlgn val="ctr"/>
        <c:lblOffset val="100"/>
        <c:noMultiLvlLbl val="0"/>
      </c:catAx>
      <c:valAx>
        <c:axId val="380667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70320"/>
        <c:crosses val="autoZero"/>
        <c:crossBetween val="between"/>
        <c:majorUnit val="0.1"/>
      </c:valAx>
      <c:spPr>
        <a:noFill/>
        <a:ln>
          <a:noFill/>
        </a:ln>
        <a:effectLst/>
      </c:spPr>
    </c:plotArea>
    <c:legend>
      <c:legendPos val="t"/>
      <c:layout>
        <c:manualLayout>
          <c:xMode val="edge"/>
          <c:yMode val="edge"/>
          <c:x val="0.20574211788905478"/>
          <c:y val="1.8898809523809523E-2"/>
          <c:w val="0.79425788211094528"/>
          <c:h val="9.3973214285714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85936132983379"/>
          <c:y val="5.0925925925925923E-2"/>
          <c:w val="0.63569619422572177"/>
          <c:h val="0.8416746864975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citizen'!$AB$4:$AB$13</c:f>
              <c:strCache>
                <c:ptCount val="10"/>
                <c:pt idx="0">
                  <c:v>Ireland (n=672)</c:v>
                </c:pt>
                <c:pt idx="1">
                  <c:v>UK (n=2935)</c:v>
                </c:pt>
                <c:pt idx="2">
                  <c:v>Taiwan (n=2507)</c:v>
                </c:pt>
                <c:pt idx="3">
                  <c:v>Canada (n=968)</c:v>
                </c:pt>
                <c:pt idx="4">
                  <c:v>USA (n=925)</c:v>
                </c:pt>
                <c:pt idx="5">
                  <c:v>Italy (n=1709)</c:v>
                </c:pt>
                <c:pt idx="6">
                  <c:v>South Korea (n=902)</c:v>
                </c:pt>
                <c:pt idx="7">
                  <c:v>Japan (n=745)</c:v>
                </c:pt>
                <c:pt idx="8">
                  <c:v>France (n=2392)</c:v>
                </c:pt>
                <c:pt idx="9">
                  <c:v>Germany (n=2215)</c:v>
                </c:pt>
              </c:strCache>
            </c:strRef>
          </c:cat>
          <c:val>
            <c:numRef>
              <c:f>'Av$ by citizen'!$AC$4:$AC$13</c:f>
              <c:numCache>
                <c:formatCode>_-"$"* #,##0_-;\-"$"* #,##0_-;_-"$"* "-"??_-;_-@_-</c:formatCode>
                <c:ptCount val="10"/>
                <c:pt idx="0">
                  <c:v>19025</c:v>
                </c:pt>
                <c:pt idx="1">
                  <c:v>16041</c:v>
                </c:pt>
                <c:pt idx="2">
                  <c:v>14425</c:v>
                </c:pt>
                <c:pt idx="3">
                  <c:v>14303</c:v>
                </c:pt>
                <c:pt idx="4">
                  <c:v>14274</c:v>
                </c:pt>
                <c:pt idx="5">
                  <c:v>12677</c:v>
                </c:pt>
                <c:pt idx="6">
                  <c:v>12516</c:v>
                </c:pt>
                <c:pt idx="7">
                  <c:v>11074</c:v>
                </c:pt>
                <c:pt idx="8">
                  <c:v>10513</c:v>
                </c:pt>
                <c:pt idx="9">
                  <c:v>9511</c:v>
                </c:pt>
              </c:numCache>
            </c:numRef>
          </c:val>
          <c:extLst>
            <c:ext xmlns:c16="http://schemas.microsoft.com/office/drawing/2014/chart" uri="{C3380CC4-5D6E-409C-BE32-E72D297353CC}">
              <c16:uniqueId val="{00000000-035B-44BC-AC47-ABCEF0BD5B8F}"/>
            </c:ext>
          </c:extLst>
        </c:ser>
        <c:dLbls>
          <c:showLegendKey val="0"/>
          <c:showVal val="0"/>
          <c:showCatName val="0"/>
          <c:showSerName val="0"/>
          <c:showPercent val="0"/>
          <c:showBubbleSize val="0"/>
        </c:dLbls>
        <c:gapWidth val="60"/>
        <c:axId val="380669536"/>
        <c:axId val="380672672"/>
      </c:barChart>
      <c:catAx>
        <c:axId val="38066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0672672"/>
        <c:crosses val="autoZero"/>
        <c:auto val="1"/>
        <c:lblAlgn val="ctr"/>
        <c:lblOffset val="100"/>
        <c:noMultiLvlLbl val="0"/>
      </c:catAx>
      <c:valAx>
        <c:axId val="380672672"/>
        <c:scaling>
          <c:orientation val="minMax"/>
          <c:max val="20000"/>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0669536"/>
        <c:crosses val="autoZero"/>
        <c:crossBetween val="between"/>
        <c:majorUnit val="4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11765148432655"/>
          <c:y val="0.1178880638420947"/>
          <c:w val="0.7666461214485969"/>
          <c:h val="0.8148897991948908"/>
        </c:manualLayout>
      </c:layout>
      <c:barChart>
        <c:barDir val="bar"/>
        <c:grouping val="stacked"/>
        <c:varyColors val="0"/>
        <c:ser>
          <c:idx val="0"/>
          <c:order val="0"/>
          <c:tx>
            <c:strRef>
              <c:f>'Av$ by citizen'!$O$32</c:f>
              <c:strCache>
                <c:ptCount val="1"/>
                <c:pt idx="0">
                  <c:v>Up to $1,000</c:v>
                </c:pt>
              </c:strCache>
            </c:strRef>
          </c:tx>
          <c:spPr>
            <a:solidFill>
              <a:schemeClr val="accent4">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citizen'!$P$32:$Y$32</c:f>
              <c:numCache>
                <c:formatCode>0.0%</c:formatCode>
                <c:ptCount val="10"/>
                <c:pt idx="0">
                  <c:v>4.975124378109453E-2</c:v>
                </c:pt>
                <c:pt idx="1">
                  <c:v>6.0038240917782024E-2</c:v>
                </c:pt>
                <c:pt idx="2">
                  <c:v>7.5843928101709771E-2</c:v>
                </c:pt>
                <c:pt idx="3">
                  <c:v>5.7937427578215531E-2</c:v>
                </c:pt>
                <c:pt idx="4">
                  <c:v>8.7061668681983076E-2</c:v>
                </c:pt>
                <c:pt idx="5">
                  <c:v>7.3218997361477578E-2</c:v>
                </c:pt>
                <c:pt idx="6">
                  <c:v>8.7885985748218529E-2</c:v>
                </c:pt>
                <c:pt idx="7">
                  <c:v>0.10204081632653061</c:v>
                </c:pt>
                <c:pt idx="8">
                  <c:v>0.13076923076923078</c:v>
                </c:pt>
                <c:pt idx="9">
                  <c:v>0.14293193717277486</c:v>
                </c:pt>
              </c:numCache>
            </c:numRef>
          </c:val>
          <c:extLst>
            <c:ext xmlns:c16="http://schemas.microsoft.com/office/drawing/2014/chart" uri="{C3380CC4-5D6E-409C-BE32-E72D297353CC}">
              <c16:uniqueId val="{00000000-971A-4E4A-9C9D-B53D5D310871}"/>
            </c:ext>
          </c:extLst>
        </c:ser>
        <c:ser>
          <c:idx val="1"/>
          <c:order val="1"/>
          <c:tx>
            <c:strRef>
              <c:f>'Av$ by citizen'!$O$33</c:f>
              <c:strCache>
                <c:ptCount val="1"/>
                <c:pt idx="0">
                  <c:v>More than $1,000 to $2,000</c:v>
                </c:pt>
              </c:strCache>
            </c:strRef>
          </c:tx>
          <c:spPr>
            <a:solidFill>
              <a:schemeClr val="accent4">
                <a:shade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971A-4E4A-9C9D-B53D5D310871}"/>
                </c:ext>
              </c:extLst>
            </c:dLbl>
            <c:dLbl>
              <c:idx val="1"/>
              <c:delete val="1"/>
              <c:extLst>
                <c:ext xmlns:c15="http://schemas.microsoft.com/office/drawing/2012/chart" uri="{CE6537A1-D6FC-4f65-9D91-7224C49458BB}"/>
                <c:ext xmlns:c16="http://schemas.microsoft.com/office/drawing/2014/chart" uri="{C3380CC4-5D6E-409C-BE32-E72D297353CC}">
                  <c16:uniqueId val="{0000000D-971A-4E4A-9C9D-B53D5D3108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citizen'!$P$33:$Y$33</c:f>
              <c:numCache>
                <c:formatCode>0.0%</c:formatCode>
                <c:ptCount val="10"/>
                <c:pt idx="0">
                  <c:v>3.482587064676617E-2</c:v>
                </c:pt>
                <c:pt idx="1">
                  <c:v>4.627151051625239E-2</c:v>
                </c:pt>
                <c:pt idx="2">
                  <c:v>5.8746163963174045E-2</c:v>
                </c:pt>
                <c:pt idx="3">
                  <c:v>5.909617612977984E-2</c:v>
                </c:pt>
                <c:pt idx="4">
                  <c:v>4.5949214026602174E-2</c:v>
                </c:pt>
                <c:pt idx="5">
                  <c:v>5.4749340369393142E-2</c:v>
                </c:pt>
                <c:pt idx="6">
                  <c:v>7.3634204275534437E-2</c:v>
                </c:pt>
                <c:pt idx="7">
                  <c:v>7.6923076923076927E-2</c:v>
                </c:pt>
                <c:pt idx="8">
                  <c:v>7.355769230769231E-2</c:v>
                </c:pt>
                <c:pt idx="9">
                  <c:v>8.7958115183246074E-2</c:v>
                </c:pt>
              </c:numCache>
            </c:numRef>
          </c:val>
          <c:extLst>
            <c:ext xmlns:c16="http://schemas.microsoft.com/office/drawing/2014/chart" uri="{C3380CC4-5D6E-409C-BE32-E72D297353CC}">
              <c16:uniqueId val="{00000001-971A-4E4A-9C9D-B53D5D310871}"/>
            </c:ext>
          </c:extLst>
        </c:ser>
        <c:ser>
          <c:idx val="2"/>
          <c:order val="2"/>
          <c:tx>
            <c:strRef>
              <c:f>'Av$ by citizen'!$O$34</c:f>
              <c:strCache>
                <c:ptCount val="1"/>
                <c:pt idx="0">
                  <c:v>More than $2,000 to $5,000</c:v>
                </c:pt>
              </c:strCache>
            </c:strRef>
          </c:tx>
          <c:spPr>
            <a:solidFill>
              <a:schemeClr val="accent4">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citizen'!$P$34:$Y$34</c:f>
              <c:numCache>
                <c:formatCode>0.0%</c:formatCode>
                <c:ptCount val="10"/>
                <c:pt idx="0">
                  <c:v>8.45771144278607E-2</c:v>
                </c:pt>
                <c:pt idx="1">
                  <c:v>0.13384321223709369</c:v>
                </c:pt>
                <c:pt idx="2">
                  <c:v>0.15387987724682156</c:v>
                </c:pt>
                <c:pt idx="3">
                  <c:v>0.15990730011587487</c:v>
                </c:pt>
                <c:pt idx="4">
                  <c:v>0.13663845223700122</c:v>
                </c:pt>
                <c:pt idx="5">
                  <c:v>0.16886543535620052</c:v>
                </c:pt>
                <c:pt idx="6">
                  <c:v>0.15439429928741091</c:v>
                </c:pt>
                <c:pt idx="7">
                  <c:v>0.18838304552590268</c:v>
                </c:pt>
                <c:pt idx="8">
                  <c:v>0.20048076923076924</c:v>
                </c:pt>
                <c:pt idx="9">
                  <c:v>0.19162303664921465</c:v>
                </c:pt>
              </c:numCache>
            </c:numRef>
          </c:val>
          <c:extLst>
            <c:ext xmlns:c16="http://schemas.microsoft.com/office/drawing/2014/chart" uri="{C3380CC4-5D6E-409C-BE32-E72D297353CC}">
              <c16:uniqueId val="{00000002-971A-4E4A-9C9D-B53D5D310871}"/>
            </c:ext>
          </c:extLst>
        </c:ser>
        <c:ser>
          <c:idx val="3"/>
          <c:order val="3"/>
          <c:tx>
            <c:strRef>
              <c:f>'Av$ by citizen'!$O$35</c:f>
              <c:strCache>
                <c:ptCount val="1"/>
                <c:pt idx="0">
                  <c:v>More than $5,000 to $10,000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citizen'!$P$35:$Y$35</c:f>
              <c:numCache>
                <c:formatCode>0.0%</c:formatCode>
                <c:ptCount val="10"/>
                <c:pt idx="0">
                  <c:v>0.17910447761194029</c:v>
                </c:pt>
                <c:pt idx="1">
                  <c:v>0.18967495219885278</c:v>
                </c:pt>
                <c:pt idx="2">
                  <c:v>0.19114423498465585</c:v>
                </c:pt>
                <c:pt idx="3">
                  <c:v>0.20973348783314022</c:v>
                </c:pt>
                <c:pt idx="4">
                  <c:v>0.18500604594921402</c:v>
                </c:pt>
                <c:pt idx="5">
                  <c:v>0.22097625329815304</c:v>
                </c:pt>
                <c:pt idx="6">
                  <c:v>0.17695961995249407</c:v>
                </c:pt>
                <c:pt idx="7">
                  <c:v>0.17425431711145997</c:v>
                </c:pt>
                <c:pt idx="8">
                  <c:v>0.21153846153846154</c:v>
                </c:pt>
                <c:pt idx="9">
                  <c:v>0.23821989528795812</c:v>
                </c:pt>
              </c:numCache>
            </c:numRef>
          </c:val>
          <c:extLst>
            <c:ext xmlns:c16="http://schemas.microsoft.com/office/drawing/2014/chart" uri="{C3380CC4-5D6E-409C-BE32-E72D297353CC}">
              <c16:uniqueId val="{00000003-971A-4E4A-9C9D-B53D5D310871}"/>
            </c:ext>
          </c:extLst>
        </c:ser>
        <c:ser>
          <c:idx val="4"/>
          <c:order val="4"/>
          <c:tx>
            <c:strRef>
              <c:f>'Av$ by citizen'!$O$36</c:f>
              <c:strCache>
                <c:ptCount val="1"/>
                <c:pt idx="0">
                  <c:v>More than $10,000 to $20,000</c:v>
                </c:pt>
              </c:strCache>
            </c:strRef>
          </c:tx>
          <c:spPr>
            <a:solidFill>
              <a:schemeClr val="accent4">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citizen'!$P$36:$Y$36</c:f>
              <c:numCache>
                <c:formatCode>0.0%</c:formatCode>
                <c:ptCount val="10"/>
                <c:pt idx="0">
                  <c:v>0.30348258706467662</c:v>
                </c:pt>
                <c:pt idx="1">
                  <c:v>0.28833652007648186</c:v>
                </c:pt>
                <c:pt idx="2">
                  <c:v>0.25032880315651029</c:v>
                </c:pt>
                <c:pt idx="3">
                  <c:v>0.26767091541135574</c:v>
                </c:pt>
                <c:pt idx="4">
                  <c:v>0.29866989117291415</c:v>
                </c:pt>
                <c:pt idx="5">
                  <c:v>0.28232189973614774</c:v>
                </c:pt>
                <c:pt idx="6">
                  <c:v>0.30285035629453683</c:v>
                </c:pt>
                <c:pt idx="7">
                  <c:v>0.31240188383045525</c:v>
                </c:pt>
                <c:pt idx="8">
                  <c:v>0.24423076923076922</c:v>
                </c:pt>
                <c:pt idx="9">
                  <c:v>0.21832460732984293</c:v>
                </c:pt>
              </c:numCache>
            </c:numRef>
          </c:val>
          <c:extLst>
            <c:ext xmlns:c16="http://schemas.microsoft.com/office/drawing/2014/chart" uri="{C3380CC4-5D6E-409C-BE32-E72D297353CC}">
              <c16:uniqueId val="{00000004-971A-4E4A-9C9D-B53D5D310871}"/>
            </c:ext>
          </c:extLst>
        </c:ser>
        <c:ser>
          <c:idx val="5"/>
          <c:order val="5"/>
          <c:tx>
            <c:strRef>
              <c:f>'Av$ by citizen'!$O$37</c:f>
              <c:strCache>
                <c:ptCount val="1"/>
                <c:pt idx="0">
                  <c:v>More than $20,000 to $40,000</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citizen'!$P$37:$Y$37</c:f>
              <c:numCache>
                <c:formatCode>0.0%</c:formatCode>
                <c:ptCount val="10"/>
                <c:pt idx="0">
                  <c:v>0.23880597014925373</c:v>
                </c:pt>
                <c:pt idx="1">
                  <c:v>0.21414913957934992</c:v>
                </c:pt>
                <c:pt idx="2">
                  <c:v>0.21306444541867603</c:v>
                </c:pt>
                <c:pt idx="3">
                  <c:v>0.19466975666280417</c:v>
                </c:pt>
                <c:pt idx="4">
                  <c:v>0.19467956469165659</c:v>
                </c:pt>
                <c:pt idx="5">
                  <c:v>0.16490765171503957</c:v>
                </c:pt>
                <c:pt idx="6">
                  <c:v>0.17339667458432304</c:v>
                </c:pt>
                <c:pt idx="7">
                  <c:v>0.12558869701726844</c:v>
                </c:pt>
                <c:pt idx="8">
                  <c:v>0.11057692307692307</c:v>
                </c:pt>
                <c:pt idx="9">
                  <c:v>0.10052356020942409</c:v>
                </c:pt>
              </c:numCache>
            </c:numRef>
          </c:val>
          <c:extLst>
            <c:ext xmlns:c16="http://schemas.microsoft.com/office/drawing/2014/chart" uri="{C3380CC4-5D6E-409C-BE32-E72D297353CC}">
              <c16:uniqueId val="{00000005-971A-4E4A-9C9D-B53D5D310871}"/>
            </c:ext>
          </c:extLst>
        </c:ser>
        <c:ser>
          <c:idx val="6"/>
          <c:order val="6"/>
          <c:tx>
            <c:strRef>
              <c:f>'Av$ by citizen'!$O$38</c:f>
              <c:strCache>
                <c:ptCount val="1"/>
                <c:pt idx="0">
                  <c:v>More than $40,000</c:v>
                </c:pt>
              </c:strCache>
            </c:strRef>
          </c:tx>
          <c:spPr>
            <a:solidFill>
              <a:schemeClr val="accent4">
                <a:tint val="48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C-971A-4E4A-9C9D-B53D5D310871}"/>
                </c:ext>
              </c:extLst>
            </c:dLbl>
            <c:dLbl>
              <c:idx val="6"/>
              <c:delete val="1"/>
              <c:extLst>
                <c:ext xmlns:c15="http://schemas.microsoft.com/office/drawing/2012/chart" uri="{CE6537A1-D6FC-4f65-9D91-7224C49458BB}"/>
                <c:ext xmlns:c16="http://schemas.microsoft.com/office/drawing/2014/chart" uri="{C3380CC4-5D6E-409C-BE32-E72D297353CC}">
                  <c16:uniqueId val="{0000000B-971A-4E4A-9C9D-B53D5D310871}"/>
                </c:ext>
              </c:extLst>
            </c:dLbl>
            <c:dLbl>
              <c:idx val="7"/>
              <c:delete val="1"/>
              <c:extLst>
                <c:ext xmlns:c15="http://schemas.microsoft.com/office/drawing/2012/chart" uri="{CE6537A1-D6FC-4f65-9D91-7224C49458BB}"/>
                <c:ext xmlns:c16="http://schemas.microsoft.com/office/drawing/2014/chart" uri="{C3380CC4-5D6E-409C-BE32-E72D297353CC}">
                  <c16:uniqueId val="{0000000A-971A-4E4A-9C9D-B53D5D310871}"/>
                </c:ext>
              </c:extLst>
            </c:dLbl>
            <c:dLbl>
              <c:idx val="8"/>
              <c:delete val="1"/>
              <c:extLst>
                <c:ext xmlns:c15="http://schemas.microsoft.com/office/drawing/2012/chart" uri="{CE6537A1-D6FC-4f65-9D91-7224C49458BB}"/>
                <c:ext xmlns:c16="http://schemas.microsoft.com/office/drawing/2014/chart" uri="{C3380CC4-5D6E-409C-BE32-E72D297353CC}">
                  <c16:uniqueId val="{00000009-971A-4E4A-9C9D-B53D5D310871}"/>
                </c:ext>
              </c:extLst>
            </c:dLbl>
            <c:dLbl>
              <c:idx val="9"/>
              <c:delete val="1"/>
              <c:extLst>
                <c:ext xmlns:c15="http://schemas.microsoft.com/office/drawing/2012/chart" uri="{CE6537A1-D6FC-4f65-9D91-7224C49458BB}"/>
                <c:ext xmlns:c16="http://schemas.microsoft.com/office/drawing/2014/chart" uri="{C3380CC4-5D6E-409C-BE32-E72D297353CC}">
                  <c16:uniqueId val="{00000008-971A-4E4A-9C9D-B53D5D3108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by citizen'!$P$31:$Y$31</c:f>
              <c:strCache>
                <c:ptCount val="10"/>
                <c:pt idx="0">
                  <c:v>Ireland (Av. $19,025)</c:v>
                </c:pt>
                <c:pt idx="1">
                  <c:v>UK (Av. $16,041)</c:v>
                </c:pt>
                <c:pt idx="2">
                  <c:v>Taiwan (Av. $14,425)</c:v>
                </c:pt>
                <c:pt idx="3">
                  <c:v>Canada (Av. $14,303)</c:v>
                </c:pt>
                <c:pt idx="4">
                  <c:v>USA (Av. $14,274)</c:v>
                </c:pt>
                <c:pt idx="5">
                  <c:v>Italy (Av. $12,677)</c:v>
                </c:pt>
                <c:pt idx="6">
                  <c:v>Korea, South (Av. $12,516)</c:v>
                </c:pt>
                <c:pt idx="7">
                  <c:v>Japan (Av. $11,074)</c:v>
                </c:pt>
                <c:pt idx="8">
                  <c:v>France (Av. $10,513)</c:v>
                </c:pt>
                <c:pt idx="9">
                  <c:v>Germany (Av. $9,511)</c:v>
                </c:pt>
              </c:strCache>
            </c:strRef>
          </c:cat>
          <c:val>
            <c:numRef>
              <c:f>'Av$ by citizen'!$P$38:$Y$38</c:f>
              <c:numCache>
                <c:formatCode>0.0%</c:formatCode>
                <c:ptCount val="10"/>
                <c:pt idx="0">
                  <c:v>0.10945273631840796</c:v>
                </c:pt>
                <c:pt idx="1">
                  <c:v>6.7686424474187379E-2</c:v>
                </c:pt>
                <c:pt idx="2">
                  <c:v>5.6992547128452434E-2</c:v>
                </c:pt>
                <c:pt idx="3">
                  <c:v>5.0984936268829661E-2</c:v>
                </c:pt>
                <c:pt idx="4">
                  <c:v>5.1995163240628778E-2</c:v>
                </c:pt>
                <c:pt idx="5">
                  <c:v>3.4960422163588391E-2</c:v>
                </c:pt>
                <c:pt idx="6">
                  <c:v>3.0878859857482184E-2</c:v>
                </c:pt>
                <c:pt idx="7">
                  <c:v>2.0408163265306121E-2</c:v>
                </c:pt>
                <c:pt idx="8">
                  <c:v>2.8846153846153848E-2</c:v>
                </c:pt>
                <c:pt idx="9">
                  <c:v>2.0418848167539267E-2</c:v>
                </c:pt>
              </c:numCache>
            </c:numRef>
          </c:val>
          <c:extLst>
            <c:ext xmlns:c16="http://schemas.microsoft.com/office/drawing/2014/chart" uri="{C3380CC4-5D6E-409C-BE32-E72D297353CC}">
              <c16:uniqueId val="{00000006-971A-4E4A-9C9D-B53D5D310871}"/>
            </c:ext>
          </c:extLst>
        </c:ser>
        <c:dLbls>
          <c:showLegendKey val="0"/>
          <c:showVal val="0"/>
          <c:showCatName val="0"/>
          <c:showSerName val="0"/>
          <c:showPercent val="0"/>
          <c:showBubbleSize val="0"/>
        </c:dLbls>
        <c:gapWidth val="60"/>
        <c:overlap val="100"/>
        <c:axId val="380648760"/>
        <c:axId val="380642096"/>
      </c:barChart>
      <c:catAx>
        <c:axId val="38064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2096"/>
        <c:crosses val="autoZero"/>
        <c:auto val="1"/>
        <c:lblAlgn val="ctr"/>
        <c:lblOffset val="100"/>
        <c:noMultiLvlLbl val="0"/>
      </c:catAx>
      <c:valAx>
        <c:axId val="380642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8760"/>
        <c:crosses val="autoZero"/>
        <c:crossBetween val="between"/>
        <c:majorUnit val="0.1"/>
      </c:valAx>
      <c:spPr>
        <a:noFill/>
        <a:ln>
          <a:noFill/>
        </a:ln>
        <a:effectLst/>
      </c:spPr>
    </c:plotArea>
    <c:legend>
      <c:legendPos val="t"/>
      <c:layout>
        <c:manualLayout>
          <c:xMode val="edge"/>
          <c:yMode val="edge"/>
          <c:x val="2.2863537136008972E-3"/>
          <c:y val="1.7991004497751123E-2"/>
          <c:w val="0.98434187246381366"/>
          <c:h val="9.74571769233493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Population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Age!$I$8</c:f>
              <c:strCache>
                <c:ptCount val="1"/>
                <c:pt idx="0">
                  <c:v>Female (Av. 24.7 years)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Age!$G$9:$G$28</c:f>
              <c:numCache>
                <c:formatCode>General</c:formatCode>
                <c:ptCount val="20"/>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numCache>
            </c:numRef>
          </c:cat>
          <c:val>
            <c:numRef>
              <c:f>Age!$I$9:$I$28</c:f>
              <c:numCache>
                <c:formatCode>0.0%</c:formatCode>
                <c:ptCount val="20"/>
                <c:pt idx="0">
                  <c:v>2.2698586111435208E-2</c:v>
                </c:pt>
                <c:pt idx="1">
                  <c:v>6.0448244041621149E-2</c:v>
                </c:pt>
                <c:pt idx="2">
                  <c:v>5.918603294477031E-2</c:v>
                </c:pt>
                <c:pt idx="3">
                  <c:v>6.1360430212454527E-2</c:v>
                </c:pt>
                <c:pt idx="4">
                  <c:v>8.1502773682368287E-2</c:v>
                </c:pt>
                <c:pt idx="5">
                  <c:v>9.7614527095111314E-2</c:v>
                </c:pt>
                <c:pt idx="6">
                  <c:v>0.10456199153576087</c:v>
                </c:pt>
                <c:pt idx="7">
                  <c:v>0.10525143457185587</c:v>
                </c:pt>
                <c:pt idx="8">
                  <c:v>9.4549157288473573E-2</c:v>
                </c:pt>
                <c:pt idx="9">
                  <c:v>8.1736123633046595E-2</c:v>
                </c:pt>
                <c:pt idx="10">
                  <c:v>6.8371535548743617E-2</c:v>
                </c:pt>
                <c:pt idx="11">
                  <c:v>5.8252633142057086E-2</c:v>
                </c:pt>
                <c:pt idx="12">
                  <c:v>4.9417155464101234E-2</c:v>
                </c:pt>
                <c:pt idx="13">
                  <c:v>3.8386066886581319E-2</c:v>
                </c:pt>
                <c:pt idx="14">
                  <c:v>1.6026898885223646E-2</c:v>
                </c:pt>
                <c:pt idx="15">
                  <c:v>3.7123855789730482E-4</c:v>
                </c:pt>
                <c:pt idx="16">
                  <c:v>1.2728179127907593E-4</c:v>
                </c:pt>
                <c:pt idx="17">
                  <c:v>6.3640895639537965E-5</c:v>
                </c:pt>
                <c:pt idx="18">
                  <c:v>7.4247711579460959E-5</c:v>
                </c:pt>
                <c:pt idx="19">
                  <c:v>0</c:v>
                </c:pt>
              </c:numCache>
            </c:numRef>
          </c:val>
          <c:extLst>
            <c:ext xmlns:c16="http://schemas.microsoft.com/office/drawing/2014/chart" uri="{C3380CC4-5D6E-409C-BE32-E72D297353CC}">
              <c16:uniqueId val="{00000000-A544-49B7-9C93-65660666CC96}"/>
            </c:ext>
          </c:extLst>
        </c:ser>
        <c:ser>
          <c:idx val="1"/>
          <c:order val="1"/>
          <c:tx>
            <c:strRef>
              <c:f>Age!$H$8</c:f>
              <c:strCache>
                <c:ptCount val="1"/>
                <c:pt idx="0">
                  <c:v>Male (Av. 25.0 years)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Age!$G$9:$G$28</c:f>
              <c:numCache>
                <c:formatCode>General</c:formatCode>
                <c:ptCount val="20"/>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numCache>
            </c:numRef>
          </c:cat>
          <c:val>
            <c:numRef>
              <c:f>Age!$H$9:$H$28</c:f>
              <c:numCache>
                <c:formatCode>0.0%</c:formatCode>
                <c:ptCount val="20"/>
                <c:pt idx="0">
                  <c:v>-1.5251919638161355E-2</c:v>
                </c:pt>
                <c:pt idx="1">
                  <c:v>-4.7298481820413026E-2</c:v>
                </c:pt>
                <c:pt idx="2">
                  <c:v>-5.0044996084756259E-2</c:v>
                </c:pt>
                <c:pt idx="3">
                  <c:v>-5.6414571719084185E-2</c:v>
                </c:pt>
                <c:pt idx="4">
                  <c:v>-7.923985834998773E-2</c:v>
                </c:pt>
                <c:pt idx="5">
                  <c:v>-9.8208337716068864E-2</c:v>
                </c:pt>
                <c:pt idx="6">
                  <c:v>-0.10734780220422378</c:v>
                </c:pt>
                <c:pt idx="7">
                  <c:v>-0.10739455138319133</c:v>
                </c:pt>
                <c:pt idx="8">
                  <c:v>-9.7682409452683985E-2</c:v>
                </c:pt>
                <c:pt idx="9">
                  <c:v>-8.871825438565735E-2</c:v>
                </c:pt>
                <c:pt idx="10">
                  <c:v>-7.6575155148837698E-2</c:v>
                </c:pt>
                <c:pt idx="11">
                  <c:v>-6.3508759627409039E-2</c:v>
                </c:pt>
                <c:pt idx="12">
                  <c:v>-5.4603041034091838E-2</c:v>
                </c:pt>
                <c:pt idx="13">
                  <c:v>-4.1361336091534889E-2</c:v>
                </c:pt>
                <c:pt idx="14">
                  <c:v>-1.5158421280226266E-2</c:v>
                </c:pt>
                <c:pt idx="15">
                  <c:v>-4.4411720019167162E-4</c:v>
                </c:pt>
                <c:pt idx="16">
                  <c:v>-3.7399343174035504E-4</c:v>
                </c:pt>
                <c:pt idx="17">
                  <c:v>-2.6880777906338019E-4</c:v>
                </c:pt>
                <c:pt idx="18">
                  <c:v>-8.1811063193202671E-5</c:v>
                </c:pt>
                <c:pt idx="19">
                  <c:v>-1.1687294741886095E-5</c:v>
                </c:pt>
              </c:numCache>
            </c:numRef>
          </c:val>
          <c:extLst>
            <c:ext xmlns:c16="http://schemas.microsoft.com/office/drawing/2014/chart" uri="{C3380CC4-5D6E-409C-BE32-E72D297353CC}">
              <c16:uniqueId val="{00000001-A544-49B7-9C93-65660666CC96}"/>
            </c:ext>
          </c:extLst>
        </c:ser>
        <c:dLbls>
          <c:showLegendKey val="0"/>
          <c:showVal val="0"/>
          <c:showCatName val="0"/>
          <c:showSerName val="0"/>
          <c:showPercent val="0"/>
          <c:showBubbleSize val="0"/>
        </c:dLbls>
        <c:gapWidth val="10"/>
        <c:overlap val="100"/>
        <c:axId val="370726240"/>
        <c:axId val="370730552"/>
      </c:barChart>
      <c:catAx>
        <c:axId val="37072624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Age (years)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0552"/>
        <c:crosses val="autoZero"/>
        <c:auto val="1"/>
        <c:lblAlgn val="ctr"/>
        <c:lblOffset val="100"/>
        <c:noMultiLvlLbl val="0"/>
      </c:catAx>
      <c:valAx>
        <c:axId val="3707305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6240"/>
        <c:crosses val="autoZero"/>
        <c:crossBetween val="between"/>
      </c:valAx>
      <c:spPr>
        <a:noFill/>
        <a:ln>
          <a:noFill/>
        </a:ln>
        <a:effectLst/>
      </c:spPr>
    </c:plotArea>
    <c:legend>
      <c:legendPos val="t"/>
      <c:overlay val="1"/>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2934828846504438E-2"/>
          <c:y val="0.22850123825247651"/>
          <c:w val="0.8730904860707186"/>
          <c:h val="0.55636033147066299"/>
        </c:manualLayout>
      </c:layout>
      <c:barChart>
        <c:barDir val="bar"/>
        <c:grouping val="percentStacked"/>
        <c:varyColors val="0"/>
        <c:ser>
          <c:idx val="0"/>
          <c:order val="0"/>
          <c:tx>
            <c:strRef>
              <c:f>'Total Exp Categories'!$B$36</c:f>
              <c:strCache>
                <c:ptCount val="1"/>
                <c:pt idx="0">
                  <c:v>Accommodation</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Categories'!$B$38:$B$39</c:f>
              <c:numCache>
                <c:formatCode>0.0%</c:formatCode>
                <c:ptCount val="2"/>
                <c:pt idx="0">
                  <c:v>0.28213983491106448</c:v>
                </c:pt>
                <c:pt idx="1">
                  <c:v>0.3124518601968404</c:v>
                </c:pt>
              </c:numCache>
            </c:numRef>
          </c:val>
          <c:extLst>
            <c:ext xmlns:c16="http://schemas.microsoft.com/office/drawing/2014/chart" uri="{C3380CC4-5D6E-409C-BE32-E72D297353CC}">
              <c16:uniqueId val="{00000000-2314-4534-ADDC-F5924497D17C}"/>
            </c:ext>
          </c:extLst>
        </c:ser>
        <c:ser>
          <c:idx val="1"/>
          <c:order val="1"/>
          <c:tx>
            <c:strRef>
              <c:f>'Total Exp Categories'!$C$36</c:f>
              <c:strCache>
                <c:ptCount val="1"/>
                <c:pt idx="0">
                  <c:v>Food and Drink</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Categories'!$C$38:$C$39</c:f>
              <c:numCache>
                <c:formatCode>0.0%</c:formatCode>
                <c:ptCount val="2"/>
                <c:pt idx="0">
                  <c:v>0.18028326474763062</c:v>
                </c:pt>
                <c:pt idx="1">
                  <c:v>0.16888195918941842</c:v>
                </c:pt>
              </c:numCache>
            </c:numRef>
          </c:val>
          <c:extLst>
            <c:ext xmlns:c16="http://schemas.microsoft.com/office/drawing/2014/chart" uri="{C3380CC4-5D6E-409C-BE32-E72D297353CC}">
              <c16:uniqueId val="{00000001-2314-4534-ADDC-F5924497D17C}"/>
            </c:ext>
          </c:extLst>
        </c:ser>
        <c:ser>
          <c:idx val="2"/>
          <c:order val="2"/>
          <c:tx>
            <c:strRef>
              <c:f>'Total Exp Categories'!$D$36</c:f>
              <c:strCache>
                <c:ptCount val="1"/>
                <c:pt idx="0">
                  <c:v>Entertainment</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Categories'!$D$38:$D$39</c:f>
              <c:numCache>
                <c:formatCode>0.0%</c:formatCode>
                <c:ptCount val="2"/>
                <c:pt idx="0">
                  <c:v>0.13408810572255531</c:v>
                </c:pt>
                <c:pt idx="1">
                  <c:v>0.1134296632489135</c:v>
                </c:pt>
              </c:numCache>
            </c:numRef>
          </c:val>
          <c:extLst>
            <c:ext xmlns:c16="http://schemas.microsoft.com/office/drawing/2014/chart" uri="{C3380CC4-5D6E-409C-BE32-E72D297353CC}">
              <c16:uniqueId val="{00000002-2314-4534-ADDC-F5924497D17C}"/>
            </c:ext>
          </c:extLst>
        </c:ser>
        <c:ser>
          <c:idx val="3"/>
          <c:order val="3"/>
          <c:tx>
            <c:strRef>
              <c:f>'Total Exp Categories'!$E$36</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Categories'!$E$38:$E$39</c:f>
              <c:numCache>
                <c:formatCode>0.0%</c:formatCode>
                <c:ptCount val="2"/>
                <c:pt idx="0">
                  <c:v>9.8509009912645121E-2</c:v>
                </c:pt>
                <c:pt idx="1">
                  <c:v>9.8127439708532674E-2</c:v>
                </c:pt>
              </c:numCache>
            </c:numRef>
          </c:val>
          <c:extLst>
            <c:ext xmlns:c16="http://schemas.microsoft.com/office/drawing/2014/chart" uri="{C3380CC4-5D6E-409C-BE32-E72D297353CC}">
              <c16:uniqueId val="{00000003-2314-4534-ADDC-F5924497D17C}"/>
            </c:ext>
          </c:extLst>
        </c:ser>
        <c:ser>
          <c:idx val="4"/>
          <c:order val="4"/>
          <c:tx>
            <c:strRef>
              <c:f>'Total Exp Categories'!$F$36</c:f>
              <c:strCache>
                <c:ptCount val="1"/>
                <c:pt idx="0">
                  <c:v>Tourism</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Categories'!$F$38:$F$39</c:f>
              <c:numCache>
                <c:formatCode>0.0%</c:formatCode>
                <c:ptCount val="2"/>
                <c:pt idx="0">
                  <c:v>0.11017166678198764</c:v>
                </c:pt>
                <c:pt idx="1">
                  <c:v>0.10759466238150737</c:v>
                </c:pt>
              </c:numCache>
            </c:numRef>
          </c:val>
          <c:extLst>
            <c:ext xmlns:c16="http://schemas.microsoft.com/office/drawing/2014/chart" uri="{C3380CC4-5D6E-409C-BE32-E72D297353CC}">
              <c16:uniqueId val="{00000004-2314-4534-ADDC-F5924497D17C}"/>
            </c:ext>
          </c:extLst>
        </c:ser>
        <c:ser>
          <c:idx val="5"/>
          <c:order val="5"/>
          <c:tx>
            <c:strRef>
              <c:f>'Total Exp Categories'!$G$36</c:f>
              <c:strCache>
                <c:ptCount val="1"/>
                <c:pt idx="0">
                  <c:v>Bills</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Categories'!$G$38:$G$39</c:f>
              <c:numCache>
                <c:formatCode>0.0%</c:formatCode>
                <c:ptCount val="2"/>
                <c:pt idx="0">
                  <c:v>6.9654575367791308E-2</c:v>
                </c:pt>
                <c:pt idx="1">
                  <c:v>6.4453183765386959E-2</c:v>
                </c:pt>
              </c:numCache>
            </c:numRef>
          </c:val>
          <c:extLst>
            <c:ext xmlns:c16="http://schemas.microsoft.com/office/drawing/2014/chart" uri="{C3380CC4-5D6E-409C-BE32-E72D297353CC}">
              <c16:uniqueId val="{00000005-2314-4534-ADDC-F5924497D17C}"/>
            </c:ext>
          </c:extLst>
        </c:ser>
        <c:ser>
          <c:idx val="6"/>
          <c:order val="6"/>
          <c:tx>
            <c:strRef>
              <c:f>'Total Exp Categories'!$H$36</c:f>
              <c:strCache>
                <c:ptCount val="1"/>
                <c:pt idx="0">
                  <c:v>Other</c:v>
                </c:pt>
              </c:strCache>
            </c:strRef>
          </c:tx>
          <c:spPr>
            <a:solidFill>
              <a:schemeClr val="accent2">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Categories'!$A$38:$A$39</c:f>
              <c:strCache>
                <c:ptCount val="2"/>
                <c:pt idx="0">
                  <c:v>Male</c:v>
                </c:pt>
                <c:pt idx="1">
                  <c:v>Female</c:v>
                </c:pt>
              </c:strCache>
            </c:strRef>
          </c:cat>
          <c:val>
            <c:numRef>
              <c:f>'Total Exp Categories'!$H$38:$H$39</c:f>
              <c:numCache>
                <c:formatCode>0.0%</c:formatCode>
                <c:ptCount val="2"/>
                <c:pt idx="0">
                  <c:v>0.12515354255632552</c:v>
                </c:pt>
                <c:pt idx="1">
                  <c:v>0.13506123150940064</c:v>
                </c:pt>
              </c:numCache>
            </c:numRef>
          </c:val>
          <c:extLst>
            <c:ext xmlns:c16="http://schemas.microsoft.com/office/drawing/2014/chart" uri="{C3380CC4-5D6E-409C-BE32-E72D297353CC}">
              <c16:uniqueId val="{00000006-2314-4534-ADDC-F5924497D17C}"/>
            </c:ext>
          </c:extLst>
        </c:ser>
        <c:dLbls>
          <c:showLegendKey val="0"/>
          <c:showVal val="0"/>
          <c:showCatName val="0"/>
          <c:showSerName val="0"/>
          <c:showPercent val="0"/>
          <c:showBubbleSize val="0"/>
        </c:dLbls>
        <c:gapWidth val="60"/>
        <c:overlap val="100"/>
        <c:axId val="380642488"/>
        <c:axId val="380650328"/>
      </c:barChart>
      <c:catAx>
        <c:axId val="380642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0328"/>
        <c:crosses val="autoZero"/>
        <c:auto val="1"/>
        <c:lblAlgn val="ctr"/>
        <c:lblOffset val="100"/>
        <c:noMultiLvlLbl val="0"/>
      </c:catAx>
      <c:valAx>
        <c:axId val="380650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2488"/>
        <c:crosses val="autoZero"/>
        <c:crossBetween val="between"/>
      </c:valAx>
      <c:spPr>
        <a:noFill/>
        <a:ln>
          <a:noFill/>
        </a:ln>
        <a:effectLst/>
      </c:spPr>
    </c:plotArea>
    <c:legend>
      <c:legendPos val="t"/>
      <c:layout>
        <c:manualLayout>
          <c:xMode val="edge"/>
          <c:yMode val="edge"/>
          <c:x val="6.9304707914818242E-2"/>
          <c:y val="6.0483870967741937E-2"/>
          <c:w val="0.90328694580211666"/>
          <c:h val="0.157936722123444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988482965222079"/>
          <c:y val="0.15310586176727908"/>
          <c:w val="0.84592611720122624"/>
          <c:h val="0.70274194449098115"/>
        </c:manualLayout>
      </c:layout>
      <c:barChart>
        <c:barDir val="bar"/>
        <c:grouping val="percentStacked"/>
        <c:varyColors val="0"/>
        <c:ser>
          <c:idx val="0"/>
          <c:order val="0"/>
          <c:tx>
            <c:strRef>
              <c:f>'Total Exp Categories'!$B$36</c:f>
              <c:strCache>
                <c:ptCount val="1"/>
                <c:pt idx="0">
                  <c:v>Accommodation</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Categories'!$B$41:$B$44</c:f>
              <c:numCache>
                <c:formatCode>0.0%</c:formatCode>
                <c:ptCount val="4"/>
                <c:pt idx="0">
                  <c:v>0.33164874981023634</c:v>
                </c:pt>
                <c:pt idx="1">
                  <c:v>0.3024631487826433</c:v>
                </c:pt>
                <c:pt idx="2">
                  <c:v>0.29348567609109166</c:v>
                </c:pt>
                <c:pt idx="3">
                  <c:v>0.29570953464528382</c:v>
                </c:pt>
              </c:numCache>
            </c:numRef>
          </c:val>
          <c:extLst>
            <c:ext xmlns:c16="http://schemas.microsoft.com/office/drawing/2014/chart" uri="{C3380CC4-5D6E-409C-BE32-E72D297353CC}">
              <c16:uniqueId val="{00000000-99C0-434F-8A69-B5AD24EF6D99}"/>
            </c:ext>
          </c:extLst>
        </c:ser>
        <c:ser>
          <c:idx val="1"/>
          <c:order val="1"/>
          <c:tx>
            <c:strRef>
              <c:f>'Total Exp Categories'!$C$36</c:f>
              <c:strCache>
                <c:ptCount val="1"/>
                <c:pt idx="0">
                  <c:v>Food and Drink</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Categories'!$C$41:$C$44</c:f>
              <c:numCache>
                <c:formatCode>0.0%</c:formatCode>
                <c:ptCount val="4"/>
                <c:pt idx="0">
                  <c:v>0.15770755642627096</c:v>
                </c:pt>
                <c:pt idx="1">
                  <c:v>0.16856957301050696</c:v>
                </c:pt>
                <c:pt idx="2">
                  <c:v>0.17645890315367788</c:v>
                </c:pt>
                <c:pt idx="3">
                  <c:v>0.18072268884619583</c:v>
                </c:pt>
              </c:numCache>
            </c:numRef>
          </c:val>
          <c:extLst>
            <c:ext xmlns:c16="http://schemas.microsoft.com/office/drawing/2014/chart" uri="{C3380CC4-5D6E-409C-BE32-E72D297353CC}">
              <c16:uniqueId val="{00000001-99C0-434F-8A69-B5AD24EF6D99}"/>
            </c:ext>
          </c:extLst>
        </c:ser>
        <c:ser>
          <c:idx val="2"/>
          <c:order val="2"/>
          <c:tx>
            <c:strRef>
              <c:f>'Total Exp Categories'!$D$36</c:f>
              <c:strCache>
                <c:ptCount val="1"/>
                <c:pt idx="0">
                  <c:v>Entertainment</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Categories'!$D$41:$D$44</c:f>
              <c:numCache>
                <c:formatCode>0.0%</c:formatCode>
                <c:ptCount val="4"/>
                <c:pt idx="0">
                  <c:v>0.1174787862747753</c:v>
                </c:pt>
                <c:pt idx="1">
                  <c:v>0.11951611279580354</c:v>
                </c:pt>
                <c:pt idx="2">
                  <c:v>0.12440621865918729</c:v>
                </c:pt>
                <c:pt idx="3">
                  <c:v>0.12556265285610493</c:v>
                </c:pt>
              </c:numCache>
            </c:numRef>
          </c:val>
          <c:extLst>
            <c:ext xmlns:c16="http://schemas.microsoft.com/office/drawing/2014/chart" uri="{C3380CC4-5D6E-409C-BE32-E72D297353CC}">
              <c16:uniqueId val="{00000002-99C0-434F-8A69-B5AD24EF6D99}"/>
            </c:ext>
          </c:extLst>
        </c:ser>
        <c:ser>
          <c:idx val="3"/>
          <c:order val="3"/>
          <c:tx>
            <c:strRef>
              <c:f>'Total Exp Categories'!$E$36</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Categories'!$E$41:$E$44</c:f>
              <c:numCache>
                <c:formatCode>0.0%</c:formatCode>
                <c:ptCount val="4"/>
                <c:pt idx="0">
                  <c:v>0.10511311820871808</c:v>
                </c:pt>
                <c:pt idx="1">
                  <c:v>9.1248467973305269E-2</c:v>
                </c:pt>
                <c:pt idx="2">
                  <c:v>0.102514758582402</c:v>
                </c:pt>
                <c:pt idx="3">
                  <c:v>9.0137270452546769E-2</c:v>
                </c:pt>
              </c:numCache>
            </c:numRef>
          </c:val>
          <c:extLst>
            <c:ext xmlns:c16="http://schemas.microsoft.com/office/drawing/2014/chart" uri="{C3380CC4-5D6E-409C-BE32-E72D297353CC}">
              <c16:uniqueId val="{00000003-99C0-434F-8A69-B5AD24EF6D99}"/>
            </c:ext>
          </c:extLst>
        </c:ser>
        <c:ser>
          <c:idx val="4"/>
          <c:order val="4"/>
          <c:tx>
            <c:strRef>
              <c:f>'Total Exp Categories'!$F$36</c:f>
              <c:strCache>
                <c:ptCount val="1"/>
                <c:pt idx="0">
                  <c:v>Tourism</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Categories'!$F$41:$F$44</c:f>
              <c:numCache>
                <c:formatCode>0.0%</c:formatCode>
                <c:ptCount val="4"/>
                <c:pt idx="0">
                  <c:v>0.10620963610995592</c:v>
                </c:pt>
                <c:pt idx="1">
                  <c:v>0.10018765203049507</c:v>
                </c:pt>
                <c:pt idx="2">
                  <c:v>0.11753388075982928</c:v>
                </c:pt>
                <c:pt idx="3">
                  <c:v>0.10305848981815817</c:v>
                </c:pt>
              </c:numCache>
            </c:numRef>
          </c:val>
          <c:extLst>
            <c:ext xmlns:c16="http://schemas.microsoft.com/office/drawing/2014/chart" uri="{C3380CC4-5D6E-409C-BE32-E72D297353CC}">
              <c16:uniqueId val="{00000004-99C0-434F-8A69-B5AD24EF6D99}"/>
            </c:ext>
          </c:extLst>
        </c:ser>
        <c:ser>
          <c:idx val="5"/>
          <c:order val="5"/>
          <c:tx>
            <c:strRef>
              <c:f>'Total Exp Categories'!$G$36</c:f>
              <c:strCache>
                <c:ptCount val="1"/>
                <c:pt idx="0">
                  <c:v>Bills</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Categories'!$G$41:$G$44</c:f>
              <c:numCache>
                <c:formatCode>0.0%</c:formatCode>
                <c:ptCount val="4"/>
                <c:pt idx="0">
                  <c:v>5.3941325501067186E-2</c:v>
                </c:pt>
                <c:pt idx="1">
                  <c:v>6.816764169273612E-2</c:v>
                </c:pt>
                <c:pt idx="2">
                  <c:v>6.7184962047847241E-2</c:v>
                </c:pt>
                <c:pt idx="3">
                  <c:v>5.9949816250068851E-2</c:v>
                </c:pt>
              </c:numCache>
            </c:numRef>
          </c:val>
          <c:extLst>
            <c:ext xmlns:c16="http://schemas.microsoft.com/office/drawing/2014/chart" uri="{C3380CC4-5D6E-409C-BE32-E72D297353CC}">
              <c16:uniqueId val="{00000005-99C0-434F-8A69-B5AD24EF6D99}"/>
            </c:ext>
          </c:extLst>
        </c:ser>
        <c:ser>
          <c:idx val="6"/>
          <c:order val="6"/>
          <c:tx>
            <c:strRef>
              <c:f>'Total Exp Categories'!$H$36</c:f>
              <c:strCache>
                <c:ptCount val="1"/>
                <c:pt idx="0">
                  <c:v>Other</c:v>
                </c:pt>
              </c:strCache>
            </c:strRef>
          </c:tx>
          <c:spPr>
            <a:solidFill>
              <a:schemeClr val="accent2">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Categories'!$A$41:$A$44</c:f>
              <c:strCache>
                <c:ptCount val="4"/>
                <c:pt idx="0">
                  <c:v>18-19 years</c:v>
                </c:pt>
                <c:pt idx="1">
                  <c:v>20-24 years</c:v>
                </c:pt>
                <c:pt idx="2">
                  <c:v>25-30 years</c:v>
                </c:pt>
                <c:pt idx="3">
                  <c:v>31+ years</c:v>
                </c:pt>
              </c:strCache>
            </c:strRef>
          </c:cat>
          <c:val>
            <c:numRef>
              <c:f>'Total Exp Categories'!$H$41:$H$44</c:f>
              <c:numCache>
                <c:formatCode>0.0%</c:formatCode>
                <c:ptCount val="4"/>
                <c:pt idx="0">
                  <c:v>0.12790082766897631</c:v>
                </c:pt>
                <c:pt idx="1">
                  <c:v>0.14984740371450977</c:v>
                </c:pt>
                <c:pt idx="2">
                  <c:v>0.11841560070596471</c:v>
                </c:pt>
                <c:pt idx="3">
                  <c:v>0.14485954713164159</c:v>
                </c:pt>
              </c:numCache>
            </c:numRef>
          </c:val>
          <c:extLst>
            <c:ext xmlns:c16="http://schemas.microsoft.com/office/drawing/2014/chart" uri="{C3380CC4-5D6E-409C-BE32-E72D297353CC}">
              <c16:uniqueId val="{00000006-99C0-434F-8A69-B5AD24EF6D99}"/>
            </c:ext>
          </c:extLst>
        </c:ser>
        <c:dLbls>
          <c:showLegendKey val="0"/>
          <c:showVal val="0"/>
          <c:showCatName val="0"/>
          <c:showSerName val="0"/>
          <c:showPercent val="0"/>
          <c:showBubbleSize val="0"/>
        </c:dLbls>
        <c:gapWidth val="60"/>
        <c:overlap val="100"/>
        <c:axId val="380652288"/>
        <c:axId val="380647976"/>
      </c:barChart>
      <c:catAx>
        <c:axId val="38065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7976"/>
        <c:crosses val="autoZero"/>
        <c:auto val="1"/>
        <c:lblAlgn val="ctr"/>
        <c:lblOffset val="100"/>
        <c:noMultiLvlLbl val="0"/>
      </c:catAx>
      <c:valAx>
        <c:axId val="380647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2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9050075808992"/>
          <c:y val="0.10111216401278578"/>
          <c:w val="0.83632044609535705"/>
          <c:h val="0.81481561899503552"/>
        </c:manualLayout>
      </c:layout>
      <c:barChart>
        <c:barDir val="bar"/>
        <c:grouping val="percentStacked"/>
        <c:varyColors val="0"/>
        <c:ser>
          <c:idx val="0"/>
          <c:order val="0"/>
          <c:tx>
            <c:strRef>
              <c:f>'Total Exp Categories'!$B$37</c:f>
              <c:strCache>
                <c:ptCount val="1"/>
                <c:pt idx="0">
                  <c:v>Accommodation</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Categories'!$B$47:$B$56</c:f>
              <c:numCache>
                <c:formatCode>0.0%</c:formatCode>
                <c:ptCount val="10"/>
                <c:pt idx="0">
                  <c:v>0.29931395559621643</c:v>
                </c:pt>
                <c:pt idx="1">
                  <c:v>0.3050676007057776</c:v>
                </c:pt>
                <c:pt idx="2">
                  <c:v>0.30945949551592367</c:v>
                </c:pt>
                <c:pt idx="3">
                  <c:v>0.26818254338945791</c:v>
                </c:pt>
                <c:pt idx="4">
                  <c:v>0.31782100823187592</c:v>
                </c:pt>
                <c:pt idx="5">
                  <c:v>0.35205811718060748</c:v>
                </c:pt>
                <c:pt idx="6">
                  <c:v>0.36074703367115335</c:v>
                </c:pt>
                <c:pt idx="7">
                  <c:v>0.24232174770598655</c:v>
                </c:pt>
                <c:pt idx="8">
                  <c:v>0.36373770657549243</c:v>
                </c:pt>
                <c:pt idx="9">
                  <c:v>0.30215595982093429</c:v>
                </c:pt>
              </c:numCache>
              <c:extLst/>
            </c:numRef>
          </c:val>
          <c:extLst>
            <c:ext xmlns:c16="http://schemas.microsoft.com/office/drawing/2014/chart" uri="{C3380CC4-5D6E-409C-BE32-E72D297353CC}">
              <c16:uniqueId val="{00000000-D8C6-4B0A-8A3F-605C52F65779}"/>
            </c:ext>
          </c:extLst>
        </c:ser>
        <c:ser>
          <c:idx val="1"/>
          <c:order val="1"/>
          <c:tx>
            <c:strRef>
              <c:f>'Total Exp Categories'!$C$37</c:f>
              <c:strCache>
                <c:ptCount val="1"/>
                <c:pt idx="0">
                  <c:v>Food and Drink</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Categories'!$C$47:$C$56</c:f>
              <c:numCache>
                <c:formatCode>0.0%</c:formatCode>
                <c:ptCount val="10"/>
                <c:pt idx="0">
                  <c:v>0.16787527182020304</c:v>
                </c:pt>
                <c:pt idx="1">
                  <c:v>0.16062741383206222</c:v>
                </c:pt>
                <c:pt idx="2">
                  <c:v>0.17736161643151688</c:v>
                </c:pt>
                <c:pt idx="3">
                  <c:v>0.17788262819927245</c:v>
                </c:pt>
                <c:pt idx="4">
                  <c:v>0.18017544845538014</c:v>
                </c:pt>
                <c:pt idx="5">
                  <c:v>0.18043438771916021</c:v>
                </c:pt>
                <c:pt idx="6">
                  <c:v>0.17394914995676805</c:v>
                </c:pt>
                <c:pt idx="7">
                  <c:v>0.18955634825124534</c:v>
                </c:pt>
                <c:pt idx="8">
                  <c:v>0.19228237690345643</c:v>
                </c:pt>
                <c:pt idx="9">
                  <c:v>0.17314407344826152</c:v>
                </c:pt>
              </c:numCache>
              <c:extLst/>
            </c:numRef>
          </c:val>
          <c:extLst>
            <c:ext xmlns:c16="http://schemas.microsoft.com/office/drawing/2014/chart" uri="{C3380CC4-5D6E-409C-BE32-E72D297353CC}">
              <c16:uniqueId val="{00000001-D8C6-4B0A-8A3F-605C52F65779}"/>
            </c:ext>
          </c:extLst>
        </c:ser>
        <c:ser>
          <c:idx val="2"/>
          <c:order val="2"/>
          <c:tx>
            <c:strRef>
              <c:f>'Total Exp Categories'!$D$37</c:f>
              <c:strCache>
                <c:ptCount val="1"/>
                <c:pt idx="0">
                  <c:v>Entertainment</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Categories'!$D$47:$D$56</c:f>
              <c:numCache>
                <c:formatCode>0.0%</c:formatCode>
                <c:ptCount val="10"/>
                <c:pt idx="0">
                  <c:v>0.10458133948085951</c:v>
                </c:pt>
                <c:pt idx="1">
                  <c:v>0.13607066142451868</c:v>
                </c:pt>
                <c:pt idx="2">
                  <c:v>0.12647338144280912</c:v>
                </c:pt>
                <c:pt idx="3">
                  <c:v>0.10113849714833088</c:v>
                </c:pt>
                <c:pt idx="4">
                  <c:v>0.1155881418330989</c:v>
                </c:pt>
                <c:pt idx="5">
                  <c:v>0.12275321502705708</c:v>
                </c:pt>
                <c:pt idx="6">
                  <c:v>0.1035797030204126</c:v>
                </c:pt>
                <c:pt idx="7">
                  <c:v>0.10055104090884841</c:v>
                </c:pt>
                <c:pt idx="8">
                  <c:v>0.11424604959570971</c:v>
                </c:pt>
                <c:pt idx="9">
                  <c:v>9.5182202466352409E-2</c:v>
                </c:pt>
              </c:numCache>
              <c:extLst/>
            </c:numRef>
          </c:val>
          <c:extLst>
            <c:ext xmlns:c16="http://schemas.microsoft.com/office/drawing/2014/chart" uri="{C3380CC4-5D6E-409C-BE32-E72D297353CC}">
              <c16:uniqueId val="{00000002-D8C6-4B0A-8A3F-605C52F65779}"/>
            </c:ext>
          </c:extLst>
        </c:ser>
        <c:ser>
          <c:idx val="3"/>
          <c:order val="3"/>
          <c:tx>
            <c:strRef>
              <c:f>'Total Exp Categories'!$E$37</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Categories'!$E$47:$E$56</c:f>
              <c:numCache>
                <c:formatCode>0.0%</c:formatCode>
                <c:ptCount val="10"/>
                <c:pt idx="0">
                  <c:v>0.10386055331139336</c:v>
                </c:pt>
                <c:pt idx="1">
                  <c:v>9.0089016369911304E-2</c:v>
                </c:pt>
                <c:pt idx="2">
                  <c:v>0.10413170456418473</c:v>
                </c:pt>
                <c:pt idx="3">
                  <c:v>0.10837371048049299</c:v>
                </c:pt>
                <c:pt idx="4">
                  <c:v>0.10201072998047751</c:v>
                </c:pt>
                <c:pt idx="5">
                  <c:v>9.5346350617499381E-2</c:v>
                </c:pt>
                <c:pt idx="6">
                  <c:v>8.8264120170221061E-2</c:v>
                </c:pt>
                <c:pt idx="7">
                  <c:v>9.8616587405322559E-2</c:v>
                </c:pt>
                <c:pt idx="8">
                  <c:v>0.10769056997233893</c:v>
                </c:pt>
                <c:pt idx="9">
                  <c:v>9.9366643418998826E-2</c:v>
                </c:pt>
              </c:numCache>
              <c:extLst/>
            </c:numRef>
          </c:val>
          <c:extLst>
            <c:ext xmlns:c16="http://schemas.microsoft.com/office/drawing/2014/chart" uri="{C3380CC4-5D6E-409C-BE32-E72D297353CC}">
              <c16:uniqueId val="{00000003-D8C6-4B0A-8A3F-605C52F65779}"/>
            </c:ext>
          </c:extLst>
        </c:ser>
        <c:ser>
          <c:idx val="4"/>
          <c:order val="4"/>
          <c:tx>
            <c:strRef>
              <c:f>'Total Exp Categories'!$F$37</c:f>
              <c:strCache>
                <c:ptCount val="1"/>
                <c:pt idx="0">
                  <c:v>Tourism</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Categories'!$F$47:$F$56</c:f>
              <c:numCache>
                <c:formatCode>0.0%</c:formatCode>
                <c:ptCount val="10"/>
                <c:pt idx="0">
                  <c:v>9.6166215178273992E-2</c:v>
                </c:pt>
                <c:pt idx="1">
                  <c:v>0.11802300980263733</c:v>
                </c:pt>
                <c:pt idx="2">
                  <c:v>0.10017408605442486</c:v>
                </c:pt>
                <c:pt idx="3">
                  <c:v>0.13911498204856745</c:v>
                </c:pt>
                <c:pt idx="4">
                  <c:v>0.10535124057643422</c:v>
                </c:pt>
                <c:pt idx="5">
                  <c:v>0.10085026003029914</c:v>
                </c:pt>
                <c:pt idx="6">
                  <c:v>7.8858630757227557E-2</c:v>
                </c:pt>
                <c:pt idx="7">
                  <c:v>0.11649017353741684</c:v>
                </c:pt>
                <c:pt idx="8">
                  <c:v>8.3156602568737317E-2</c:v>
                </c:pt>
                <c:pt idx="9">
                  <c:v>0.10604836064786903</c:v>
                </c:pt>
              </c:numCache>
              <c:extLst/>
            </c:numRef>
          </c:val>
          <c:extLst>
            <c:ext xmlns:c16="http://schemas.microsoft.com/office/drawing/2014/chart" uri="{C3380CC4-5D6E-409C-BE32-E72D297353CC}">
              <c16:uniqueId val="{00000004-D8C6-4B0A-8A3F-605C52F65779}"/>
            </c:ext>
          </c:extLst>
        </c:ser>
        <c:ser>
          <c:idx val="5"/>
          <c:order val="5"/>
          <c:tx>
            <c:strRef>
              <c:f>'Total Exp Categories'!$G$37</c:f>
              <c:strCache>
                <c:ptCount val="1"/>
                <c:pt idx="0">
                  <c:v>Bills</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Categories'!$G$47:$G$56</c:f>
              <c:numCache>
                <c:formatCode>0.0%</c:formatCode>
                <c:ptCount val="10"/>
                <c:pt idx="0">
                  <c:v>5.3952260988192072E-2</c:v>
                </c:pt>
                <c:pt idx="1">
                  <c:v>5.889870141075846E-2</c:v>
                </c:pt>
                <c:pt idx="2">
                  <c:v>6.0642587504333441E-2</c:v>
                </c:pt>
                <c:pt idx="3">
                  <c:v>7.6866108871898972E-2</c:v>
                </c:pt>
                <c:pt idx="4">
                  <c:v>6.5618950805501744E-2</c:v>
                </c:pt>
                <c:pt idx="5">
                  <c:v>5.4185121205839071E-2</c:v>
                </c:pt>
                <c:pt idx="6">
                  <c:v>8.6838049124077887E-2</c:v>
                </c:pt>
                <c:pt idx="7">
                  <c:v>9.8712969016530691E-2</c:v>
                </c:pt>
                <c:pt idx="8">
                  <c:v>5.3081984045222158E-2</c:v>
                </c:pt>
                <c:pt idx="9">
                  <c:v>6.3052320808767132E-2</c:v>
                </c:pt>
              </c:numCache>
              <c:extLst/>
            </c:numRef>
          </c:val>
          <c:extLst>
            <c:ext xmlns:c16="http://schemas.microsoft.com/office/drawing/2014/chart" uri="{C3380CC4-5D6E-409C-BE32-E72D297353CC}">
              <c16:uniqueId val="{00000005-D8C6-4B0A-8A3F-605C52F65779}"/>
            </c:ext>
          </c:extLst>
        </c:ser>
        <c:ser>
          <c:idx val="6"/>
          <c:order val="6"/>
          <c:tx>
            <c:strRef>
              <c:f>'Total Exp Categories'!$H$37</c:f>
              <c:strCache>
                <c:ptCount val="1"/>
                <c:pt idx="0">
                  <c:v>Other</c:v>
                </c:pt>
              </c:strCache>
            </c:strRef>
          </c:tx>
          <c:spPr>
            <a:solidFill>
              <a:schemeClr val="accent2">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Exp Categories'!$A$47:$A$56</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extLst/>
            </c:strRef>
          </c:cat>
          <c:val>
            <c:numRef>
              <c:f>'Total Exp Categories'!$H$47:$H$56</c:f>
              <c:numCache>
                <c:formatCode>0.0%</c:formatCode>
                <c:ptCount val="10"/>
                <c:pt idx="0">
                  <c:v>0.17425040362486163</c:v>
                </c:pt>
                <c:pt idx="1">
                  <c:v>0.13122359645433437</c:v>
                </c:pt>
                <c:pt idx="2">
                  <c:v>0.12175712848680734</c:v>
                </c:pt>
                <c:pt idx="3">
                  <c:v>0.12844152986197935</c:v>
                </c:pt>
                <c:pt idx="4">
                  <c:v>0.11343448011723167</c:v>
                </c:pt>
                <c:pt idx="5">
                  <c:v>9.4372548219537722E-2</c:v>
                </c:pt>
                <c:pt idx="6">
                  <c:v>0.10776331330013947</c:v>
                </c:pt>
                <c:pt idx="7">
                  <c:v>0.15375113317464958</c:v>
                </c:pt>
                <c:pt idx="8">
                  <c:v>8.5804710339043064E-2</c:v>
                </c:pt>
                <c:pt idx="9">
                  <c:v>0.16105043938881677</c:v>
                </c:pt>
              </c:numCache>
              <c:extLst/>
            </c:numRef>
          </c:val>
          <c:extLst>
            <c:ext xmlns:c16="http://schemas.microsoft.com/office/drawing/2014/chart" uri="{C3380CC4-5D6E-409C-BE32-E72D297353CC}">
              <c16:uniqueId val="{00000006-D8C6-4B0A-8A3F-605C52F65779}"/>
            </c:ext>
          </c:extLst>
        </c:ser>
        <c:dLbls>
          <c:showLegendKey val="0"/>
          <c:showVal val="0"/>
          <c:showCatName val="0"/>
          <c:showSerName val="0"/>
          <c:showPercent val="0"/>
          <c:showBubbleSize val="0"/>
        </c:dLbls>
        <c:gapWidth val="60"/>
        <c:overlap val="100"/>
        <c:axId val="380646800"/>
        <c:axId val="380644840"/>
      </c:barChart>
      <c:catAx>
        <c:axId val="38064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4840"/>
        <c:crosses val="autoZero"/>
        <c:auto val="1"/>
        <c:lblAlgn val="ctr"/>
        <c:lblOffset val="100"/>
        <c:noMultiLvlLbl val="0"/>
      </c:catAx>
      <c:valAx>
        <c:axId val="380644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6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3235464999624881"/>
          <c:y val="9.2300553169862187E-2"/>
          <c:w val="0.62567211781886445"/>
          <c:h val="0.8353262670978101"/>
        </c:manualLayout>
      </c:layout>
      <c:barChart>
        <c:barDir val="bar"/>
        <c:grouping val="percentStacked"/>
        <c:varyColors val="0"/>
        <c:ser>
          <c:idx val="0"/>
          <c:order val="0"/>
          <c:tx>
            <c:strRef>
              <c:f>'Expenditure by Industry'!$B$14</c:f>
              <c:strCache>
                <c:ptCount val="1"/>
                <c:pt idx="0">
                  <c:v>Accommodation</c:v>
                </c:pt>
              </c:strCache>
            </c:strRef>
          </c:tx>
          <c:spPr>
            <a:solidFill>
              <a:schemeClr val="accent2">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Industry'!$B$26:$B$33</c:f>
              <c:numCache>
                <c:formatCode>0.0%</c:formatCode>
                <c:ptCount val="8"/>
                <c:pt idx="0">
                  <c:v>0.26650345178283685</c:v>
                </c:pt>
                <c:pt idx="1">
                  <c:v>0.33561702125981346</c:v>
                </c:pt>
                <c:pt idx="2">
                  <c:v>0.32262837621446361</c:v>
                </c:pt>
                <c:pt idx="3">
                  <c:v>0.37276106411888799</c:v>
                </c:pt>
                <c:pt idx="4">
                  <c:v>0.31173346768561261</c:v>
                </c:pt>
                <c:pt idx="5">
                  <c:v>0.28537369338353791</c:v>
                </c:pt>
                <c:pt idx="6">
                  <c:v>0.3020310569929377</c:v>
                </c:pt>
                <c:pt idx="7">
                  <c:v>0.41795223857621955</c:v>
                </c:pt>
              </c:numCache>
            </c:numRef>
          </c:val>
          <c:extLst>
            <c:ext xmlns:c16="http://schemas.microsoft.com/office/drawing/2014/chart" uri="{C3380CC4-5D6E-409C-BE32-E72D297353CC}">
              <c16:uniqueId val="{00000000-4317-4BF5-8961-456B4063A0AB}"/>
            </c:ext>
          </c:extLst>
        </c:ser>
        <c:ser>
          <c:idx val="1"/>
          <c:order val="1"/>
          <c:tx>
            <c:strRef>
              <c:f>'Expenditure by Industry'!$C$14</c:f>
              <c:strCache>
                <c:ptCount val="1"/>
                <c:pt idx="0">
                  <c:v>Food and Drink</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Industry'!$C$26:$C$33</c:f>
              <c:numCache>
                <c:formatCode>0.0%</c:formatCode>
                <c:ptCount val="8"/>
                <c:pt idx="0">
                  <c:v>0.18763738877066743</c:v>
                </c:pt>
                <c:pt idx="1">
                  <c:v>0.17919938655165255</c:v>
                </c:pt>
                <c:pt idx="2">
                  <c:v>0.16207136526806892</c:v>
                </c:pt>
                <c:pt idx="3">
                  <c:v>0.18124943024534179</c:v>
                </c:pt>
                <c:pt idx="4">
                  <c:v>0.17680561736008915</c:v>
                </c:pt>
                <c:pt idx="5">
                  <c:v>0.18433772329782039</c:v>
                </c:pt>
                <c:pt idx="6">
                  <c:v>0.17463987281260718</c:v>
                </c:pt>
                <c:pt idx="7">
                  <c:v>0.13646872261916168</c:v>
                </c:pt>
              </c:numCache>
            </c:numRef>
          </c:val>
          <c:extLst>
            <c:ext xmlns:c16="http://schemas.microsoft.com/office/drawing/2014/chart" uri="{C3380CC4-5D6E-409C-BE32-E72D297353CC}">
              <c16:uniqueId val="{00000001-4317-4BF5-8961-456B4063A0AB}"/>
            </c:ext>
          </c:extLst>
        </c:ser>
        <c:ser>
          <c:idx val="2"/>
          <c:order val="2"/>
          <c:tx>
            <c:strRef>
              <c:f>'Expenditure by Industry'!$D$14</c:f>
              <c:strCache>
                <c:ptCount val="1"/>
                <c:pt idx="0">
                  <c:v>Entertainment</c:v>
                </c:pt>
              </c:strCache>
            </c:strRef>
          </c:tx>
          <c:spPr>
            <a:solidFill>
              <a:schemeClr val="accent2">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Industry'!$D$26:$D$33</c:f>
              <c:numCache>
                <c:formatCode>0.0%</c:formatCode>
                <c:ptCount val="8"/>
                <c:pt idx="0">
                  <c:v>0.16303438269456907</c:v>
                </c:pt>
                <c:pt idx="1">
                  <c:v>0.13413286739084712</c:v>
                </c:pt>
                <c:pt idx="2">
                  <c:v>0.11913659083215521</c:v>
                </c:pt>
                <c:pt idx="3">
                  <c:v>0.11834855676507039</c:v>
                </c:pt>
                <c:pt idx="4">
                  <c:v>0.12068342254231551</c:v>
                </c:pt>
                <c:pt idx="5">
                  <c:v>0.12339330182577</c:v>
                </c:pt>
                <c:pt idx="6">
                  <c:v>0.10792937125755875</c:v>
                </c:pt>
                <c:pt idx="7">
                  <c:v>0.1116398313329468</c:v>
                </c:pt>
              </c:numCache>
            </c:numRef>
          </c:val>
          <c:extLst>
            <c:ext xmlns:c16="http://schemas.microsoft.com/office/drawing/2014/chart" uri="{C3380CC4-5D6E-409C-BE32-E72D297353CC}">
              <c16:uniqueId val="{00000002-4317-4BF5-8961-456B4063A0AB}"/>
            </c:ext>
          </c:extLst>
        </c:ser>
        <c:ser>
          <c:idx val="3"/>
          <c:order val="3"/>
          <c:tx>
            <c:strRef>
              <c:f>'Expenditure by Industry'!$E$14</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Industry'!$E$26:$E$33</c:f>
              <c:numCache>
                <c:formatCode>0.0%</c:formatCode>
                <c:ptCount val="8"/>
                <c:pt idx="0">
                  <c:v>8.8628405291811915E-2</c:v>
                </c:pt>
                <c:pt idx="1">
                  <c:v>8.5324785987341764E-2</c:v>
                </c:pt>
                <c:pt idx="2">
                  <c:v>8.3492735027451012E-2</c:v>
                </c:pt>
                <c:pt idx="3">
                  <c:v>8.3161501297007195E-2</c:v>
                </c:pt>
                <c:pt idx="4">
                  <c:v>9.0762140815649248E-2</c:v>
                </c:pt>
                <c:pt idx="5">
                  <c:v>0.10107952159351674</c:v>
                </c:pt>
                <c:pt idx="6">
                  <c:v>0.10560336284886965</c:v>
                </c:pt>
                <c:pt idx="7">
                  <c:v>8.9904178901262163E-2</c:v>
                </c:pt>
              </c:numCache>
            </c:numRef>
          </c:val>
          <c:extLst>
            <c:ext xmlns:c16="http://schemas.microsoft.com/office/drawing/2014/chart" uri="{C3380CC4-5D6E-409C-BE32-E72D297353CC}">
              <c16:uniqueId val="{00000003-4317-4BF5-8961-456B4063A0AB}"/>
            </c:ext>
          </c:extLst>
        </c:ser>
        <c:ser>
          <c:idx val="4"/>
          <c:order val="4"/>
          <c:tx>
            <c:strRef>
              <c:f>'Expenditure by Industry'!$F$14</c:f>
              <c:strCache>
                <c:ptCount val="1"/>
                <c:pt idx="0">
                  <c:v>Tourism</c:v>
                </c:pt>
              </c:strCache>
            </c:strRef>
          </c:tx>
          <c:spPr>
            <a:solidFill>
              <a:schemeClr val="accent2">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Industry'!$F$26:$F$33</c:f>
              <c:numCache>
                <c:formatCode>0.0%</c:formatCode>
                <c:ptCount val="8"/>
                <c:pt idx="0">
                  <c:v>0.10004852125036147</c:v>
                </c:pt>
                <c:pt idx="1">
                  <c:v>7.8268820743814513E-2</c:v>
                </c:pt>
                <c:pt idx="2">
                  <c:v>8.9206306479497857E-2</c:v>
                </c:pt>
                <c:pt idx="3">
                  <c:v>8.6671158441176385E-2</c:v>
                </c:pt>
                <c:pt idx="4">
                  <c:v>0.10228758790093638</c:v>
                </c:pt>
                <c:pt idx="5">
                  <c:v>0.10902456358912255</c:v>
                </c:pt>
                <c:pt idx="6">
                  <c:v>9.9227981294886372E-2</c:v>
                </c:pt>
                <c:pt idx="7">
                  <c:v>8.8748238374706856E-2</c:v>
                </c:pt>
              </c:numCache>
            </c:numRef>
          </c:val>
          <c:extLst>
            <c:ext xmlns:c16="http://schemas.microsoft.com/office/drawing/2014/chart" uri="{C3380CC4-5D6E-409C-BE32-E72D297353CC}">
              <c16:uniqueId val="{00000004-4317-4BF5-8961-456B4063A0AB}"/>
            </c:ext>
          </c:extLst>
        </c:ser>
        <c:ser>
          <c:idx val="5"/>
          <c:order val="5"/>
          <c:tx>
            <c:strRef>
              <c:f>'Expenditure by Industry'!$G$14</c:f>
              <c:strCache>
                <c:ptCount val="1"/>
                <c:pt idx="0">
                  <c:v>Bills</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Industry'!$G$26:$G$33</c:f>
              <c:numCache>
                <c:formatCode>0.0%</c:formatCode>
                <c:ptCount val="8"/>
                <c:pt idx="0">
                  <c:v>7.5555843192975078E-2</c:v>
                </c:pt>
                <c:pt idx="1">
                  <c:v>6.7214865174395705E-2</c:v>
                </c:pt>
                <c:pt idx="2">
                  <c:v>7.2665287521030617E-2</c:v>
                </c:pt>
                <c:pt idx="3">
                  <c:v>8.7647823491530011E-2</c:v>
                </c:pt>
                <c:pt idx="4">
                  <c:v>6.5991270491841975E-2</c:v>
                </c:pt>
                <c:pt idx="5">
                  <c:v>6.9661831407685074E-2</c:v>
                </c:pt>
                <c:pt idx="6">
                  <c:v>7.1939955539800121E-2</c:v>
                </c:pt>
                <c:pt idx="7">
                  <c:v>5.972486016323867E-2</c:v>
                </c:pt>
              </c:numCache>
            </c:numRef>
          </c:val>
          <c:extLst>
            <c:ext xmlns:c16="http://schemas.microsoft.com/office/drawing/2014/chart" uri="{C3380CC4-5D6E-409C-BE32-E72D297353CC}">
              <c16:uniqueId val="{00000005-4317-4BF5-8961-456B4063A0AB}"/>
            </c:ext>
          </c:extLst>
        </c:ser>
        <c:ser>
          <c:idx val="6"/>
          <c:order val="6"/>
          <c:tx>
            <c:strRef>
              <c:f>'Expenditure by Industry'!$H$14</c:f>
              <c:strCache>
                <c:ptCount val="1"/>
                <c:pt idx="0">
                  <c:v>Other</c:v>
                </c:pt>
              </c:strCache>
            </c:strRef>
          </c:tx>
          <c:spPr>
            <a:solidFill>
              <a:schemeClr val="accent2">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by Industry'!$A$26:$A$33</c:f>
              <c:strCache>
                <c:ptCount val="8"/>
                <c:pt idx="0">
                  <c:v>Construction and mining (Av. $31,739)</c:v>
                </c:pt>
                <c:pt idx="1">
                  <c:v>Office, admin &amp; IT (Av. $29,861)</c:v>
                </c:pt>
                <c:pt idx="2">
                  <c:v>Sales and marketing Av. $29,526)</c:v>
                </c:pt>
                <c:pt idx="3">
                  <c:v>Health and aged care (Av. $28,342)</c:v>
                </c:pt>
                <c:pt idx="4">
                  <c:v>Hospitality, tourism &amp; sport (Av. $25,970)</c:v>
                </c:pt>
                <c:pt idx="5">
                  <c:v>Agriculture &amp; transport (Av. $24,209)</c:v>
                </c:pt>
                <c:pt idx="6">
                  <c:v>Cleaning and gardening (Av. $23,127)</c:v>
                </c:pt>
                <c:pt idx="7">
                  <c:v>Education (Av. $21,552)</c:v>
                </c:pt>
              </c:strCache>
            </c:strRef>
          </c:cat>
          <c:val>
            <c:numRef>
              <c:f>'Expenditure by Industry'!$H$26:$H$33</c:f>
              <c:numCache>
                <c:formatCode>0.0%</c:formatCode>
                <c:ptCount val="8"/>
                <c:pt idx="0">
                  <c:v>0.11859200701677845</c:v>
                </c:pt>
                <c:pt idx="1">
                  <c:v>0.12024225289213457</c:v>
                </c:pt>
                <c:pt idx="2">
                  <c:v>0.15079933865733242</c:v>
                </c:pt>
                <c:pt idx="3">
                  <c:v>7.0160465640989017E-2</c:v>
                </c:pt>
                <c:pt idx="4">
                  <c:v>0.13173649320355468</c:v>
                </c:pt>
                <c:pt idx="5">
                  <c:v>0.127129364902549</c:v>
                </c:pt>
                <c:pt idx="6">
                  <c:v>0.13862839925334031</c:v>
                </c:pt>
                <c:pt idx="7">
                  <c:v>9.5561930032463396E-2</c:v>
                </c:pt>
              </c:numCache>
            </c:numRef>
          </c:val>
          <c:extLst>
            <c:ext xmlns:c16="http://schemas.microsoft.com/office/drawing/2014/chart" uri="{C3380CC4-5D6E-409C-BE32-E72D297353CC}">
              <c16:uniqueId val="{00000006-4317-4BF5-8961-456B4063A0AB}"/>
            </c:ext>
          </c:extLst>
        </c:ser>
        <c:dLbls>
          <c:showLegendKey val="0"/>
          <c:showVal val="0"/>
          <c:showCatName val="0"/>
          <c:showSerName val="0"/>
          <c:showPercent val="0"/>
          <c:showBubbleSize val="0"/>
        </c:dLbls>
        <c:gapWidth val="60"/>
        <c:overlap val="100"/>
        <c:axId val="380649544"/>
        <c:axId val="380641312"/>
      </c:barChart>
      <c:catAx>
        <c:axId val="380649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1312"/>
        <c:crosses val="autoZero"/>
        <c:auto val="1"/>
        <c:lblAlgn val="ctr"/>
        <c:lblOffset val="100"/>
        <c:noMultiLvlLbl val="0"/>
      </c:catAx>
      <c:valAx>
        <c:axId val="380641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9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511903494890526"/>
          <c:y val="0.18023436046872093"/>
          <c:w val="0.73069191190454175"/>
          <c:h val="0.74507891238004698"/>
        </c:manualLayout>
      </c:layout>
      <c:barChart>
        <c:barDir val="bar"/>
        <c:grouping val="percentStacked"/>
        <c:varyColors val="0"/>
        <c:ser>
          <c:idx val="0"/>
          <c:order val="0"/>
          <c:tx>
            <c:strRef>
              <c:f>'Accomodation Type by State'!$A$29</c:f>
              <c:strCache>
                <c:ptCount val="1"/>
                <c:pt idx="0">
                  <c:v>Backpacker or hostel</c:v>
                </c:pt>
              </c:strCache>
            </c:strRef>
          </c:tx>
          <c:spPr>
            <a:solidFill>
              <a:schemeClr val="accent2">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State'!$B$29:$J$29</c:f>
              <c:numCache>
                <c:formatCode>0.0%</c:formatCode>
                <c:ptCount val="9"/>
                <c:pt idx="0">
                  <c:v>0.26858372456964014</c:v>
                </c:pt>
                <c:pt idx="1">
                  <c:v>0.23972148541114052</c:v>
                </c:pt>
                <c:pt idx="2">
                  <c:v>0.33429302623160617</c:v>
                </c:pt>
                <c:pt idx="3">
                  <c:v>0.26323797930614745</c:v>
                </c:pt>
                <c:pt idx="4">
                  <c:v>0.25531600708800928</c:v>
                </c:pt>
                <c:pt idx="5">
                  <c:v>0.27980769230769209</c:v>
                </c:pt>
                <c:pt idx="6">
                  <c:v>0.32163742690058483</c:v>
                </c:pt>
                <c:pt idx="7">
                  <c:v>0.2467845659163988</c:v>
                </c:pt>
                <c:pt idx="8">
                  <c:v>0.28085246984966128</c:v>
                </c:pt>
              </c:numCache>
            </c:numRef>
          </c:val>
          <c:extLst>
            <c:ext xmlns:c16="http://schemas.microsoft.com/office/drawing/2014/chart" uri="{C3380CC4-5D6E-409C-BE32-E72D297353CC}">
              <c16:uniqueId val="{00000000-CC9A-444E-8F1A-66C905979D4E}"/>
            </c:ext>
          </c:extLst>
        </c:ser>
        <c:ser>
          <c:idx val="1"/>
          <c:order val="1"/>
          <c:tx>
            <c:strRef>
              <c:f>'Accomodation Type by State'!$A$30</c:f>
              <c:strCache>
                <c:ptCount val="1"/>
                <c:pt idx="0">
                  <c:v>Rental property</c:v>
                </c:pt>
              </c:strCache>
            </c:strRef>
          </c:tx>
          <c:spPr>
            <a:solidFill>
              <a:schemeClr val="accent2">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State'!$B$30:$J$30</c:f>
              <c:numCache>
                <c:formatCode>0.0%</c:formatCode>
                <c:ptCount val="9"/>
                <c:pt idx="0">
                  <c:v>0.25847678664580054</c:v>
                </c:pt>
                <c:pt idx="1">
                  <c:v>0.25165782493368666</c:v>
                </c:pt>
                <c:pt idx="2">
                  <c:v>0.18451695457453604</c:v>
                </c:pt>
                <c:pt idx="3">
                  <c:v>0.11107729762629372</c:v>
                </c:pt>
                <c:pt idx="4">
                  <c:v>0.17808623744831706</c:v>
                </c:pt>
                <c:pt idx="5">
                  <c:v>0.11602564102564088</c:v>
                </c:pt>
                <c:pt idx="6">
                  <c:v>8.6419753086419637E-2</c:v>
                </c:pt>
                <c:pt idx="7">
                  <c:v>8.7620578778135005E-2</c:v>
                </c:pt>
                <c:pt idx="8">
                  <c:v>0.20142078308276881</c:v>
                </c:pt>
              </c:numCache>
            </c:numRef>
          </c:val>
          <c:extLst>
            <c:ext xmlns:c16="http://schemas.microsoft.com/office/drawing/2014/chart" uri="{C3380CC4-5D6E-409C-BE32-E72D297353CC}">
              <c16:uniqueId val="{00000001-CC9A-444E-8F1A-66C905979D4E}"/>
            </c:ext>
          </c:extLst>
        </c:ser>
        <c:ser>
          <c:idx val="2"/>
          <c:order val="2"/>
          <c:tx>
            <c:strRef>
              <c:f>'Accomodation Type by State'!$A$31</c:f>
              <c:strCache>
                <c:ptCount val="1"/>
                <c:pt idx="0">
                  <c:v>Friend’s or family’s house or property</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State'!$B$31:$J$31</c:f>
              <c:numCache>
                <c:formatCode>0.0%</c:formatCode>
                <c:ptCount val="9"/>
                <c:pt idx="0">
                  <c:v>0.13764997391757974</c:v>
                </c:pt>
                <c:pt idx="1">
                  <c:v>0.15417771883289164</c:v>
                </c:pt>
                <c:pt idx="2">
                  <c:v>0.10742162507997408</c:v>
                </c:pt>
                <c:pt idx="3">
                  <c:v>0.1351186853317099</c:v>
                </c:pt>
                <c:pt idx="4">
                  <c:v>0.14486119314825752</c:v>
                </c:pt>
                <c:pt idx="5">
                  <c:v>8.173076923076926E-2</c:v>
                </c:pt>
                <c:pt idx="6">
                  <c:v>6.2703053931124048E-2</c:v>
                </c:pt>
                <c:pt idx="7">
                  <c:v>0.14951768488745995</c:v>
                </c:pt>
                <c:pt idx="8">
                  <c:v>0.12735833471006108</c:v>
                </c:pt>
              </c:numCache>
            </c:numRef>
          </c:val>
          <c:extLst>
            <c:ext xmlns:c16="http://schemas.microsoft.com/office/drawing/2014/chart" uri="{C3380CC4-5D6E-409C-BE32-E72D297353CC}">
              <c16:uniqueId val="{00000002-CC9A-444E-8F1A-66C905979D4E}"/>
            </c:ext>
          </c:extLst>
        </c:ser>
        <c:ser>
          <c:idx val="3"/>
          <c:order val="3"/>
          <c:tx>
            <c:strRef>
              <c:f>'Accomodation Type by State'!$A$32</c:f>
              <c:strCache>
                <c:ptCount val="1"/>
                <c:pt idx="0">
                  <c:v>Airbnb or other holiday rental</c:v>
                </c:pt>
              </c:strCache>
            </c:strRef>
          </c:tx>
          <c:spPr>
            <a:solidFill>
              <a:schemeClr val="accent2">
                <a:shade val="92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8-CC9A-444E-8F1A-66C90597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State'!$B$32:$J$32</c:f>
              <c:numCache>
                <c:formatCode>0.0%</c:formatCode>
                <c:ptCount val="9"/>
                <c:pt idx="0">
                  <c:v>0.1034167970787689</c:v>
                </c:pt>
                <c:pt idx="1">
                  <c:v>0.11687665782493373</c:v>
                </c:pt>
                <c:pt idx="2">
                  <c:v>8.6308381317978355E-2</c:v>
                </c:pt>
                <c:pt idx="3">
                  <c:v>9.9513085818624433E-2</c:v>
                </c:pt>
                <c:pt idx="4">
                  <c:v>6.8074424099232173E-2</c:v>
                </c:pt>
                <c:pt idx="5">
                  <c:v>0.13237179487179479</c:v>
                </c:pt>
                <c:pt idx="6">
                  <c:v>4.4184535412605537E-2</c:v>
                </c:pt>
                <c:pt idx="7">
                  <c:v>0.1181672025723475</c:v>
                </c:pt>
                <c:pt idx="8">
                  <c:v>9.6299355691392682E-2</c:v>
                </c:pt>
              </c:numCache>
            </c:numRef>
          </c:val>
          <c:extLst>
            <c:ext xmlns:c16="http://schemas.microsoft.com/office/drawing/2014/chart" uri="{C3380CC4-5D6E-409C-BE32-E72D297353CC}">
              <c16:uniqueId val="{00000003-CC9A-444E-8F1A-66C905979D4E}"/>
            </c:ext>
          </c:extLst>
        </c:ser>
        <c:ser>
          <c:idx val="4"/>
          <c:order val="4"/>
          <c:tx>
            <c:strRef>
              <c:f>'Accomodation Type by State'!$A$33</c:f>
              <c:strCache>
                <c:ptCount val="1"/>
                <c:pt idx="0">
                  <c:v>Employer's house or property</c:v>
                </c:pt>
              </c:strCache>
            </c:strRef>
          </c:tx>
          <c:spPr>
            <a:solidFill>
              <a:schemeClr val="accent2">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State'!$B$33:$J$33</c:f>
              <c:numCache>
                <c:formatCode>0.0%</c:formatCode>
                <c:ptCount val="9"/>
                <c:pt idx="0">
                  <c:v>7.8899321857068272E-2</c:v>
                </c:pt>
                <c:pt idx="1">
                  <c:v>8.4963527851458914E-2</c:v>
                </c:pt>
                <c:pt idx="2">
                  <c:v>0.10179142674344195</c:v>
                </c:pt>
                <c:pt idx="3">
                  <c:v>8.7948874010955552E-2</c:v>
                </c:pt>
                <c:pt idx="4">
                  <c:v>0.12965150620200788</c:v>
                </c:pt>
                <c:pt idx="5">
                  <c:v>6.9551282051282109E-2</c:v>
                </c:pt>
                <c:pt idx="6">
                  <c:v>9.8115659519168161E-2</c:v>
                </c:pt>
                <c:pt idx="7">
                  <c:v>9.2443729903536928E-2</c:v>
                </c:pt>
                <c:pt idx="8">
                  <c:v>9.2962167520237879E-2</c:v>
                </c:pt>
              </c:numCache>
            </c:numRef>
          </c:val>
          <c:extLst>
            <c:ext xmlns:c16="http://schemas.microsoft.com/office/drawing/2014/chart" uri="{C3380CC4-5D6E-409C-BE32-E72D297353CC}">
              <c16:uniqueId val="{00000004-CC9A-444E-8F1A-66C905979D4E}"/>
            </c:ext>
          </c:extLst>
        </c:ser>
        <c:ser>
          <c:idx val="5"/>
          <c:order val="5"/>
          <c:tx>
            <c:strRef>
              <c:f>'Accomodation Type by State'!$A$34</c:f>
              <c:strCache>
                <c:ptCount val="1"/>
                <c:pt idx="0">
                  <c:v>Caravan park or camping ground</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State'!$B$34:$J$34</c:f>
              <c:numCache>
                <c:formatCode>0.0%</c:formatCode>
                <c:ptCount val="9"/>
                <c:pt idx="0">
                  <c:v>7.1335419926969221E-2</c:v>
                </c:pt>
                <c:pt idx="1">
                  <c:v>7.2364058355437702E-2</c:v>
                </c:pt>
                <c:pt idx="2">
                  <c:v>9.3666026871401201E-2</c:v>
                </c:pt>
                <c:pt idx="3">
                  <c:v>0.2005477784540475</c:v>
                </c:pt>
                <c:pt idx="4">
                  <c:v>0.1429415239220321</c:v>
                </c:pt>
                <c:pt idx="5">
                  <c:v>0.20160256410256458</c:v>
                </c:pt>
                <c:pt idx="6">
                  <c:v>0.26250812215724523</c:v>
                </c:pt>
                <c:pt idx="7">
                  <c:v>0.15836012861736301</c:v>
                </c:pt>
                <c:pt idx="8">
                  <c:v>0.11055674871964312</c:v>
                </c:pt>
              </c:numCache>
            </c:numRef>
          </c:val>
          <c:extLst>
            <c:ext xmlns:c16="http://schemas.microsoft.com/office/drawing/2014/chart" uri="{C3380CC4-5D6E-409C-BE32-E72D297353CC}">
              <c16:uniqueId val="{00000005-CC9A-444E-8F1A-66C905979D4E}"/>
            </c:ext>
          </c:extLst>
        </c:ser>
        <c:ser>
          <c:idx val="6"/>
          <c:order val="6"/>
          <c:tx>
            <c:strRef>
              <c:f>'Accomodation Type by State'!$A$35</c:f>
              <c:strCache>
                <c:ptCount val="1"/>
                <c:pt idx="0">
                  <c:v>Hotel or motel</c:v>
                </c:pt>
              </c:strCache>
            </c:strRef>
          </c:tx>
          <c:spPr>
            <a:solidFill>
              <a:schemeClr val="accent2">
                <a:tint val="62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CC9A-444E-8F1A-66C905979D4E}"/>
                </c:ext>
              </c:extLst>
            </c:dLbl>
            <c:dLbl>
              <c:idx val="1"/>
              <c:delete val="1"/>
              <c:extLst>
                <c:ext xmlns:c15="http://schemas.microsoft.com/office/drawing/2012/chart" uri="{CE6537A1-D6FC-4f65-9D91-7224C49458BB}"/>
                <c:ext xmlns:c16="http://schemas.microsoft.com/office/drawing/2014/chart" uri="{C3380CC4-5D6E-409C-BE32-E72D297353CC}">
                  <c16:uniqueId val="{0000000D-CC9A-444E-8F1A-66C905979D4E}"/>
                </c:ext>
              </c:extLst>
            </c:dLbl>
            <c:dLbl>
              <c:idx val="4"/>
              <c:delete val="1"/>
              <c:extLst>
                <c:ext xmlns:c15="http://schemas.microsoft.com/office/drawing/2012/chart" uri="{CE6537A1-D6FC-4f65-9D91-7224C49458BB}"/>
                <c:ext xmlns:c16="http://schemas.microsoft.com/office/drawing/2014/chart" uri="{C3380CC4-5D6E-409C-BE32-E72D297353CC}">
                  <c16:uniqueId val="{0000000B-CC9A-444E-8F1A-66C90597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State'!$B$35:$J$35</c:f>
              <c:numCache>
                <c:formatCode>0.0%</c:formatCode>
                <c:ptCount val="9"/>
                <c:pt idx="0">
                  <c:v>4.831768388106418E-2</c:v>
                </c:pt>
                <c:pt idx="1">
                  <c:v>4.7082228116710832E-2</c:v>
                </c:pt>
                <c:pt idx="2">
                  <c:v>5.0415866922584818E-2</c:v>
                </c:pt>
                <c:pt idx="3">
                  <c:v>5.0517346317711535E-2</c:v>
                </c:pt>
                <c:pt idx="4">
                  <c:v>3.6473715298287059E-2</c:v>
                </c:pt>
                <c:pt idx="5">
                  <c:v>6.314102564102568E-2</c:v>
                </c:pt>
                <c:pt idx="6">
                  <c:v>7.0825211176088324E-2</c:v>
                </c:pt>
                <c:pt idx="7">
                  <c:v>9.7266881028938851E-2</c:v>
                </c:pt>
                <c:pt idx="8">
                  <c:v>5.032215430365107E-2</c:v>
                </c:pt>
              </c:numCache>
            </c:numRef>
          </c:val>
          <c:extLst>
            <c:ext xmlns:c16="http://schemas.microsoft.com/office/drawing/2014/chart" uri="{C3380CC4-5D6E-409C-BE32-E72D297353CC}">
              <c16:uniqueId val="{00000006-CC9A-444E-8F1A-66C905979D4E}"/>
            </c:ext>
          </c:extLst>
        </c:ser>
        <c:ser>
          <c:idx val="7"/>
          <c:order val="7"/>
          <c:tx>
            <c:strRef>
              <c:f>'Accomodation Type by State'!$A$36</c:f>
              <c:strCache>
                <c:ptCount val="1"/>
                <c:pt idx="0">
                  <c:v>Other</c:v>
                </c:pt>
              </c:strCache>
            </c:strRef>
          </c:tx>
          <c:spPr>
            <a:solidFill>
              <a:schemeClr val="accent2">
                <a:tint val="46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CC9A-444E-8F1A-66C905979D4E}"/>
                </c:ext>
              </c:extLst>
            </c:dLbl>
            <c:dLbl>
              <c:idx val="1"/>
              <c:delete val="1"/>
              <c:extLst>
                <c:ext xmlns:c15="http://schemas.microsoft.com/office/drawing/2012/chart" uri="{CE6537A1-D6FC-4f65-9D91-7224C49458BB}"/>
                <c:ext xmlns:c16="http://schemas.microsoft.com/office/drawing/2014/chart" uri="{C3380CC4-5D6E-409C-BE32-E72D297353CC}">
                  <c16:uniqueId val="{0000000E-CC9A-444E-8F1A-66C905979D4E}"/>
                </c:ext>
              </c:extLst>
            </c:dLbl>
            <c:dLbl>
              <c:idx val="2"/>
              <c:delete val="1"/>
              <c:extLst>
                <c:ext xmlns:c15="http://schemas.microsoft.com/office/drawing/2012/chart" uri="{CE6537A1-D6FC-4f65-9D91-7224C49458BB}"/>
                <c:ext xmlns:c16="http://schemas.microsoft.com/office/drawing/2014/chart" uri="{C3380CC4-5D6E-409C-BE32-E72D297353CC}">
                  <c16:uniqueId val="{0000000A-CC9A-444E-8F1A-66C905979D4E}"/>
                </c:ext>
              </c:extLst>
            </c:dLbl>
            <c:dLbl>
              <c:idx val="4"/>
              <c:delete val="1"/>
              <c:extLst>
                <c:ext xmlns:c15="http://schemas.microsoft.com/office/drawing/2012/chart" uri="{CE6537A1-D6FC-4f65-9D91-7224C49458BB}"/>
                <c:ext xmlns:c16="http://schemas.microsoft.com/office/drawing/2014/chart" uri="{C3380CC4-5D6E-409C-BE32-E72D297353CC}">
                  <c16:uniqueId val="{0000000C-CC9A-444E-8F1A-66C905979D4E}"/>
                </c:ext>
              </c:extLst>
            </c:dLbl>
            <c:dLbl>
              <c:idx val="8"/>
              <c:delete val="1"/>
              <c:extLst>
                <c:ext xmlns:c15="http://schemas.microsoft.com/office/drawing/2012/chart" uri="{CE6537A1-D6FC-4f65-9D91-7224C49458BB}"/>
                <c:ext xmlns:c16="http://schemas.microsoft.com/office/drawing/2014/chart" uri="{C3380CC4-5D6E-409C-BE32-E72D297353CC}">
                  <c16:uniqueId val="{00000009-CC9A-444E-8F1A-66C90597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'Accomodation Type by State'!$B$16:$J$16</c:f>
              <c:strCache>
                <c:ptCount val="9"/>
                <c:pt idx="0">
                  <c:v>New South Wales</c:v>
                </c:pt>
                <c:pt idx="1">
                  <c:v>Victoria</c:v>
                </c:pt>
                <c:pt idx="2">
                  <c:v>Queensland</c:v>
                </c:pt>
                <c:pt idx="3">
                  <c:v>South Australia</c:v>
                </c:pt>
                <c:pt idx="4">
                  <c:v>Western Australia</c:v>
                </c:pt>
                <c:pt idx="5">
                  <c:v>Tasmania</c:v>
                </c:pt>
                <c:pt idx="6">
                  <c:v>Northern Territory</c:v>
                </c:pt>
                <c:pt idx="7">
                  <c:v>Australian Capital Territory</c:v>
                </c:pt>
                <c:pt idx="8">
                  <c:v>Australia</c:v>
                </c:pt>
              </c:strCache>
            </c:strRef>
          </c:cat>
          <c:val>
            <c:numRef>
              <c:f>'Accomodation Type by State'!$B$36:$J$36</c:f>
              <c:numCache>
                <c:formatCode>0.0%</c:formatCode>
                <c:ptCount val="9"/>
                <c:pt idx="0">
                  <c:v>3.3320292123109004E-2</c:v>
                </c:pt>
                <c:pt idx="1">
                  <c:v>3.3156498673740084E-2</c:v>
                </c:pt>
                <c:pt idx="2">
                  <c:v>4.1586692258477373E-2</c:v>
                </c:pt>
                <c:pt idx="3">
                  <c:v>5.2038953134510076E-2</c:v>
                </c:pt>
                <c:pt idx="4">
                  <c:v>4.4595392793857033E-2</c:v>
                </c:pt>
                <c:pt idx="5">
                  <c:v>5.5769230769230765E-2</c:v>
                </c:pt>
                <c:pt idx="6">
                  <c:v>5.3606237816764109E-2</c:v>
                </c:pt>
                <c:pt idx="7">
                  <c:v>4.9839228295819882E-2</c:v>
                </c:pt>
                <c:pt idx="8">
                  <c:v>4.0227986122583832E-2</c:v>
                </c:pt>
              </c:numCache>
            </c:numRef>
          </c:val>
          <c:extLst>
            <c:ext xmlns:c16="http://schemas.microsoft.com/office/drawing/2014/chart" uri="{C3380CC4-5D6E-409C-BE32-E72D297353CC}">
              <c16:uniqueId val="{00000007-CC9A-444E-8F1A-66C905979D4E}"/>
            </c:ext>
          </c:extLst>
        </c:ser>
        <c:dLbls>
          <c:dLblPos val="ctr"/>
          <c:showLegendKey val="0"/>
          <c:showVal val="1"/>
          <c:showCatName val="0"/>
          <c:showSerName val="0"/>
          <c:showPercent val="0"/>
          <c:showBubbleSize val="0"/>
        </c:dLbls>
        <c:gapWidth val="60"/>
        <c:overlap val="100"/>
        <c:axId val="380644056"/>
        <c:axId val="380652680"/>
      </c:barChart>
      <c:catAx>
        <c:axId val="380644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2680"/>
        <c:crosses val="autoZero"/>
        <c:auto val="1"/>
        <c:lblAlgn val="ctr"/>
        <c:lblOffset val="100"/>
        <c:noMultiLvlLbl val="0"/>
      </c:catAx>
      <c:valAx>
        <c:axId val="380652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4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667241268007908"/>
          <c:y val="0.23598504554231953"/>
          <c:w val="0.74913853417336795"/>
          <c:h val="0.66238768726137676"/>
        </c:manualLayout>
      </c:layout>
      <c:barChart>
        <c:barDir val="bar"/>
        <c:grouping val="percentStacked"/>
        <c:varyColors val="0"/>
        <c:ser>
          <c:idx val="0"/>
          <c:order val="0"/>
          <c:tx>
            <c:strRef>
              <c:f>'Accommodation by RA'!$A$2</c:f>
              <c:strCache>
                <c:ptCount val="1"/>
                <c:pt idx="0">
                  <c:v>Airbnb or other holiday rental</c:v>
                </c:pt>
              </c:strCache>
            </c:strRef>
          </c:tx>
          <c:spPr>
            <a:solidFill>
              <a:schemeClr val="accent2">
                <a:shade val="44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F575-419B-AFD5-EDB576280914}"/>
                </c:ext>
              </c:extLst>
            </c:dLbl>
            <c:dLbl>
              <c:idx val="4"/>
              <c:delete val="1"/>
              <c:extLst>
                <c:ext xmlns:c15="http://schemas.microsoft.com/office/drawing/2012/chart" uri="{CE6537A1-D6FC-4f65-9D91-7224C49458BB}"/>
                <c:ext xmlns:c16="http://schemas.microsoft.com/office/drawing/2014/chart" uri="{C3380CC4-5D6E-409C-BE32-E72D297353CC}">
                  <c16:uniqueId val="{0000000A-F575-419B-AFD5-EDB576280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RA'!$B$2:$F$2</c:f>
              <c:numCache>
                <c:formatCode>0.0%</c:formatCode>
                <c:ptCount val="5"/>
                <c:pt idx="0">
                  <c:v>9.7110397629044207E-2</c:v>
                </c:pt>
                <c:pt idx="1">
                  <c:v>6.7973543708662001E-2</c:v>
                </c:pt>
                <c:pt idx="2">
                  <c:v>5.6997022543598501E-2</c:v>
                </c:pt>
                <c:pt idx="3">
                  <c:v>4.46546151083443E-2</c:v>
                </c:pt>
                <c:pt idx="4">
                  <c:v>4.1965973534971598E-2</c:v>
                </c:pt>
              </c:numCache>
            </c:numRef>
          </c:val>
          <c:extLst>
            <c:ext xmlns:c16="http://schemas.microsoft.com/office/drawing/2014/chart" uri="{C3380CC4-5D6E-409C-BE32-E72D297353CC}">
              <c16:uniqueId val="{00000000-F575-419B-AFD5-EDB576280914}"/>
            </c:ext>
          </c:extLst>
        </c:ser>
        <c:ser>
          <c:idx val="1"/>
          <c:order val="1"/>
          <c:tx>
            <c:strRef>
              <c:f>'Accommodation by RA'!$A$3</c:f>
              <c:strCache>
                <c:ptCount val="1"/>
                <c:pt idx="0">
                  <c:v>Backpacker or hostel</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RA'!$B$3:$F$3</c:f>
              <c:numCache>
                <c:formatCode>0.0%</c:formatCode>
                <c:ptCount val="5"/>
                <c:pt idx="0">
                  <c:v>0.202222771054581</c:v>
                </c:pt>
                <c:pt idx="1">
                  <c:v>0.21284564507132001</c:v>
                </c:pt>
                <c:pt idx="2">
                  <c:v>0.29037289096838198</c:v>
                </c:pt>
                <c:pt idx="3">
                  <c:v>0.26134322997725401</c:v>
                </c:pt>
                <c:pt idx="4">
                  <c:v>0.24234404536862</c:v>
                </c:pt>
              </c:numCache>
            </c:numRef>
          </c:val>
          <c:extLst>
            <c:ext xmlns:c16="http://schemas.microsoft.com/office/drawing/2014/chart" uri="{C3380CC4-5D6E-409C-BE32-E72D297353CC}">
              <c16:uniqueId val="{00000001-F575-419B-AFD5-EDB576280914}"/>
            </c:ext>
          </c:extLst>
        </c:ser>
        <c:ser>
          <c:idx val="2"/>
          <c:order val="2"/>
          <c:tx>
            <c:strRef>
              <c:f>'Accommodation by RA'!$A$4</c:f>
              <c:strCache>
                <c:ptCount val="1"/>
                <c:pt idx="0">
                  <c:v>Caravan park or camping ground</c:v>
                </c:pt>
              </c:strCache>
            </c:strRef>
          </c:tx>
          <c:spPr>
            <a:solidFill>
              <a:schemeClr val="accent2">
                <a:shade val="72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F575-419B-AFD5-EDB576280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RA'!$B$4:$F$4</c:f>
              <c:numCache>
                <c:formatCode>0.0%</c:formatCode>
                <c:ptCount val="5"/>
                <c:pt idx="0">
                  <c:v>3.9565324771548498E-2</c:v>
                </c:pt>
                <c:pt idx="1">
                  <c:v>0.13993146864292</c:v>
                </c:pt>
                <c:pt idx="2">
                  <c:v>0.14313058273075299</c:v>
                </c:pt>
                <c:pt idx="3">
                  <c:v>0.20675206512630201</c:v>
                </c:pt>
                <c:pt idx="4">
                  <c:v>0.259357277882798</c:v>
                </c:pt>
              </c:numCache>
            </c:numRef>
          </c:val>
          <c:extLst>
            <c:ext xmlns:c16="http://schemas.microsoft.com/office/drawing/2014/chart" uri="{C3380CC4-5D6E-409C-BE32-E72D297353CC}">
              <c16:uniqueId val="{00000002-F575-419B-AFD5-EDB576280914}"/>
            </c:ext>
          </c:extLst>
        </c:ser>
        <c:ser>
          <c:idx val="3"/>
          <c:order val="3"/>
          <c:tx>
            <c:strRef>
              <c:f>'Accommodation by RA'!$A$5</c:f>
              <c:strCache>
                <c:ptCount val="1"/>
                <c:pt idx="0">
                  <c:v>Employer's house or property</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RA'!$B$5:$F$5</c:f>
              <c:numCache>
                <c:formatCode>0.0%</c:formatCode>
                <c:ptCount val="5"/>
                <c:pt idx="0">
                  <c:v>7.6166954803655207E-2</c:v>
                </c:pt>
                <c:pt idx="1">
                  <c:v>0.164475256992589</c:v>
                </c:pt>
                <c:pt idx="2">
                  <c:v>0.157663405642989</c:v>
                </c:pt>
                <c:pt idx="3">
                  <c:v>0.17490721896324701</c:v>
                </c:pt>
                <c:pt idx="4">
                  <c:v>0.16956521739130401</c:v>
                </c:pt>
              </c:numCache>
            </c:numRef>
          </c:val>
          <c:extLst>
            <c:ext xmlns:c16="http://schemas.microsoft.com/office/drawing/2014/chart" uri="{C3380CC4-5D6E-409C-BE32-E72D297353CC}">
              <c16:uniqueId val="{00000003-F575-419B-AFD5-EDB576280914}"/>
            </c:ext>
          </c:extLst>
        </c:ser>
        <c:ser>
          <c:idx val="4"/>
          <c:order val="4"/>
          <c:tx>
            <c:strRef>
              <c:f>'Accommodation by RA'!$A$6</c:f>
              <c:strCache>
                <c:ptCount val="1"/>
                <c:pt idx="0">
                  <c:v>Friend’s or family’s house or property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RA'!$B$6:$F$6</c:f>
              <c:numCache>
                <c:formatCode>0.0%</c:formatCode>
                <c:ptCount val="5"/>
                <c:pt idx="0">
                  <c:v>0.18923190911336099</c:v>
                </c:pt>
                <c:pt idx="1">
                  <c:v>0.145668977607778</c:v>
                </c:pt>
                <c:pt idx="2">
                  <c:v>8.7409612930667804E-2</c:v>
                </c:pt>
                <c:pt idx="3">
                  <c:v>7.1471327666706594E-2</c:v>
                </c:pt>
                <c:pt idx="4">
                  <c:v>6.0491493383742899E-2</c:v>
                </c:pt>
              </c:numCache>
            </c:numRef>
          </c:val>
          <c:extLst>
            <c:ext xmlns:c16="http://schemas.microsoft.com/office/drawing/2014/chart" uri="{C3380CC4-5D6E-409C-BE32-E72D297353CC}">
              <c16:uniqueId val="{00000004-F575-419B-AFD5-EDB576280914}"/>
            </c:ext>
          </c:extLst>
        </c:ser>
        <c:ser>
          <c:idx val="5"/>
          <c:order val="5"/>
          <c:tx>
            <c:strRef>
              <c:f>'Accommodation by RA'!$A$7</c:f>
              <c:strCache>
                <c:ptCount val="1"/>
                <c:pt idx="0">
                  <c:v>Hotel or motel</c:v>
                </c:pt>
              </c:strCache>
            </c:strRef>
          </c:tx>
          <c:spPr>
            <a:solidFill>
              <a:schemeClr val="accent2">
                <a:tint val="86000"/>
              </a:schemeClr>
            </a:solidFill>
            <a:ln>
              <a:noFill/>
            </a:ln>
            <a:effectLst/>
          </c:spPr>
          <c:invertIfNegative val="0"/>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RA'!$B$7:$F$7</c:f>
              <c:numCache>
                <c:formatCode>0.0%</c:formatCode>
                <c:ptCount val="5"/>
                <c:pt idx="0">
                  <c:v>3.3884909854285002E-2</c:v>
                </c:pt>
                <c:pt idx="1">
                  <c:v>3.4504741413658502E-2</c:v>
                </c:pt>
                <c:pt idx="2">
                  <c:v>4.5228980575641599E-2</c:v>
                </c:pt>
                <c:pt idx="3">
                  <c:v>5.1837663115048498E-2</c:v>
                </c:pt>
                <c:pt idx="4">
                  <c:v>5.7466918714555802E-2</c:v>
                </c:pt>
              </c:numCache>
            </c:numRef>
          </c:val>
          <c:extLst>
            <c:ext xmlns:c16="http://schemas.microsoft.com/office/drawing/2014/chart" uri="{C3380CC4-5D6E-409C-BE32-E72D297353CC}">
              <c16:uniqueId val="{00000005-F575-419B-AFD5-EDB576280914}"/>
            </c:ext>
          </c:extLst>
        </c:ser>
        <c:ser>
          <c:idx val="6"/>
          <c:order val="6"/>
          <c:tx>
            <c:strRef>
              <c:f>'Accommodation by RA'!$A$8</c:f>
              <c:strCache>
                <c:ptCount val="1"/>
                <c:pt idx="0">
                  <c:v>Other</c:v>
                </c:pt>
              </c:strCache>
            </c:strRef>
          </c:tx>
          <c:spPr>
            <a:solidFill>
              <a:schemeClr val="accent2">
                <a:tint val="72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F575-419B-AFD5-EDB576280914}"/>
                </c:ext>
              </c:extLst>
            </c:dLbl>
            <c:dLbl>
              <c:idx val="1"/>
              <c:delete val="1"/>
              <c:extLst>
                <c:ext xmlns:c15="http://schemas.microsoft.com/office/drawing/2012/chart" uri="{CE6537A1-D6FC-4f65-9D91-7224C49458BB}"/>
                <c:ext xmlns:c16="http://schemas.microsoft.com/office/drawing/2014/chart" uri="{C3380CC4-5D6E-409C-BE32-E72D297353CC}">
                  <c16:uniqueId val="{0000000C-F575-419B-AFD5-EDB576280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RA'!$B$8:$F$8</c:f>
              <c:numCache>
                <c:formatCode>0.0%</c:formatCode>
                <c:ptCount val="5"/>
                <c:pt idx="0">
                  <c:v>3.2452457396888103E-2</c:v>
                </c:pt>
                <c:pt idx="1">
                  <c:v>4.9486014821898197E-2</c:v>
                </c:pt>
                <c:pt idx="2">
                  <c:v>5.0900326102367797E-2</c:v>
                </c:pt>
                <c:pt idx="3">
                  <c:v>5.8182688854303798E-2</c:v>
                </c:pt>
                <c:pt idx="4">
                  <c:v>7.0510396975425299E-2</c:v>
                </c:pt>
              </c:numCache>
            </c:numRef>
          </c:val>
          <c:extLst>
            <c:ext xmlns:c16="http://schemas.microsoft.com/office/drawing/2014/chart" uri="{C3380CC4-5D6E-409C-BE32-E72D297353CC}">
              <c16:uniqueId val="{00000006-F575-419B-AFD5-EDB576280914}"/>
            </c:ext>
          </c:extLst>
        </c:ser>
        <c:ser>
          <c:idx val="7"/>
          <c:order val="7"/>
          <c:tx>
            <c:strRef>
              <c:f>'Accommodation by RA'!$A$9</c:f>
              <c:strCache>
                <c:ptCount val="1"/>
                <c:pt idx="0">
                  <c:v>Rental property</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RA'!$B$9:$F$9</c:f>
              <c:numCache>
                <c:formatCode>0.0%</c:formatCode>
                <c:ptCount val="5"/>
                <c:pt idx="0">
                  <c:v>0.32259817238824401</c:v>
                </c:pt>
                <c:pt idx="1">
                  <c:v>0.17698621404095899</c:v>
                </c:pt>
                <c:pt idx="2">
                  <c:v>0.16262583297887401</c:v>
                </c:pt>
                <c:pt idx="3">
                  <c:v>0.12570334011732301</c:v>
                </c:pt>
                <c:pt idx="4">
                  <c:v>9.3383742911153103E-2</c:v>
                </c:pt>
              </c:numCache>
            </c:numRef>
          </c:val>
          <c:extLst>
            <c:ext xmlns:c16="http://schemas.microsoft.com/office/drawing/2014/chart" uri="{C3380CC4-5D6E-409C-BE32-E72D297353CC}">
              <c16:uniqueId val="{00000007-F575-419B-AFD5-EDB576280914}"/>
            </c:ext>
          </c:extLst>
        </c:ser>
        <c:ser>
          <c:idx val="8"/>
          <c:order val="8"/>
          <c:tx>
            <c:strRef>
              <c:f>'Accommodation by RA'!$A$10</c:f>
              <c:strCache>
                <c:ptCount val="1"/>
                <c:pt idx="0">
                  <c:v>Unknown</c:v>
                </c:pt>
              </c:strCache>
            </c:strRef>
          </c:tx>
          <c:spPr>
            <a:solidFill>
              <a:schemeClr val="accent2">
                <a:tint val="44000"/>
              </a:schemeClr>
            </a:solidFill>
            <a:ln>
              <a:noFill/>
            </a:ln>
            <a:effectLst/>
          </c:spPr>
          <c:invertIfNegative val="0"/>
          <c:cat>
            <c:strRef>
              <c:f>'Accommodation by RA'!$B$1:$F$1</c:f>
              <c:strCache>
                <c:ptCount val="5"/>
                <c:pt idx="0">
                  <c:v>Major Cities of Australia</c:v>
                </c:pt>
                <c:pt idx="1">
                  <c:v>Inner Regional Australia</c:v>
                </c:pt>
                <c:pt idx="2">
                  <c:v>Outer Regional Australia</c:v>
                </c:pt>
                <c:pt idx="3">
                  <c:v>Remote Australia</c:v>
                </c:pt>
                <c:pt idx="4">
                  <c:v>Very Remote Australia</c:v>
                </c:pt>
              </c:strCache>
            </c:strRef>
          </c:cat>
          <c:val>
            <c:numRef>
              <c:f>'Accommodation by RA'!$B$10:$F$10</c:f>
              <c:numCache>
                <c:formatCode>0.0%</c:formatCode>
                <c:ptCount val="5"/>
                <c:pt idx="0">
                  <c:v>6.7671029883922002E-3</c:v>
                </c:pt>
                <c:pt idx="1">
                  <c:v>8.1281377002151607E-3</c:v>
                </c:pt>
                <c:pt idx="2">
                  <c:v>5.6713455267262203E-3</c:v>
                </c:pt>
                <c:pt idx="3">
                  <c:v>5.1478510714713299E-3</c:v>
                </c:pt>
                <c:pt idx="4">
                  <c:v>4.9149338374291102E-3</c:v>
                </c:pt>
              </c:numCache>
            </c:numRef>
          </c:val>
          <c:extLst>
            <c:ext xmlns:c16="http://schemas.microsoft.com/office/drawing/2014/chart" uri="{C3380CC4-5D6E-409C-BE32-E72D297353CC}">
              <c16:uniqueId val="{00000008-F575-419B-AFD5-EDB576280914}"/>
            </c:ext>
          </c:extLst>
        </c:ser>
        <c:dLbls>
          <c:showLegendKey val="0"/>
          <c:showVal val="0"/>
          <c:showCatName val="0"/>
          <c:showSerName val="0"/>
          <c:showPercent val="0"/>
          <c:showBubbleSize val="0"/>
        </c:dLbls>
        <c:gapWidth val="60"/>
        <c:overlap val="100"/>
        <c:axId val="380644448"/>
        <c:axId val="380649936"/>
      </c:barChart>
      <c:catAx>
        <c:axId val="38064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9936"/>
        <c:crosses val="autoZero"/>
        <c:auto val="1"/>
        <c:lblAlgn val="ctr"/>
        <c:lblOffset val="100"/>
        <c:noMultiLvlLbl val="0"/>
      </c:catAx>
      <c:valAx>
        <c:axId val="380649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4448"/>
        <c:crosses val="autoZero"/>
        <c:crossBetween val="between"/>
      </c:valAx>
      <c:spPr>
        <a:noFill/>
        <a:ln>
          <a:noFill/>
        </a:ln>
        <a:effectLst/>
      </c:spPr>
    </c:plotArea>
    <c:legend>
      <c:legendPos val="t"/>
      <c:layout>
        <c:manualLayout>
          <c:xMode val="edge"/>
          <c:yMode val="edge"/>
          <c:x val="2.4777763625990358E-2"/>
          <c:y val="2.8571428571428571E-2"/>
          <c:w val="0.91055952096393444"/>
          <c:h val="0.169056992875890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1158124124358155"/>
          <c:y val="0.18332009081355835"/>
          <c:w val="0.64422970560986548"/>
          <c:h val="0.74355422036182439"/>
        </c:manualLayout>
      </c:layout>
      <c:barChart>
        <c:barDir val="bar"/>
        <c:grouping val="percentStacked"/>
        <c:varyColors val="0"/>
        <c:ser>
          <c:idx val="0"/>
          <c:order val="0"/>
          <c:tx>
            <c:strRef>
              <c:f>'Accommodation by Industry'!$A$13</c:f>
              <c:strCache>
                <c:ptCount val="1"/>
                <c:pt idx="0">
                  <c:v>Airbnb or other holiday rental</c:v>
                </c:pt>
              </c:strCache>
            </c:strRef>
          </c:tx>
          <c:spPr>
            <a:solidFill>
              <a:schemeClr val="accent2">
                <a:shade val="4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69B-4CF0-A2FB-A0480325D301}"/>
                </c:ext>
              </c:extLst>
            </c:dLbl>
            <c:dLbl>
              <c:idx val="1"/>
              <c:delete val="1"/>
              <c:extLst>
                <c:ext xmlns:c15="http://schemas.microsoft.com/office/drawing/2012/chart" uri="{CE6537A1-D6FC-4f65-9D91-7224C49458BB}"/>
                <c:ext xmlns:c16="http://schemas.microsoft.com/office/drawing/2014/chart" uri="{C3380CC4-5D6E-409C-BE32-E72D297353CC}">
                  <c16:uniqueId val="{00000003-669B-4CF0-A2FB-A0480325D301}"/>
                </c:ext>
              </c:extLst>
            </c:dLbl>
            <c:dLbl>
              <c:idx val="3"/>
              <c:delete val="1"/>
              <c:extLst>
                <c:ext xmlns:c15="http://schemas.microsoft.com/office/drawing/2012/chart" uri="{CE6537A1-D6FC-4f65-9D91-7224C49458BB}"/>
                <c:ext xmlns:c16="http://schemas.microsoft.com/office/drawing/2014/chart" uri="{C3380CC4-5D6E-409C-BE32-E72D297353CC}">
                  <c16:uniqueId val="{00000002-669B-4CF0-A2FB-A0480325D301}"/>
                </c:ext>
              </c:extLst>
            </c:dLbl>
            <c:dLbl>
              <c:idx val="4"/>
              <c:delete val="1"/>
              <c:extLst>
                <c:ext xmlns:c15="http://schemas.microsoft.com/office/drawing/2012/chart" uri="{CE6537A1-D6FC-4f65-9D91-7224C49458BB}"/>
                <c:ext xmlns:c16="http://schemas.microsoft.com/office/drawing/2014/chart" uri="{C3380CC4-5D6E-409C-BE32-E72D297353CC}">
                  <c16:uniqueId val="{00000000-669B-4CF0-A2FB-A0480325D3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Industry'!$B$13:$I$13</c:f>
              <c:numCache>
                <c:formatCode>0.0%</c:formatCode>
                <c:ptCount val="8"/>
                <c:pt idx="0">
                  <c:v>3.9266657545491877E-2</c:v>
                </c:pt>
                <c:pt idx="1">
                  <c:v>3.1027253668763095E-2</c:v>
                </c:pt>
                <c:pt idx="2">
                  <c:v>6.6967644845748742E-2</c:v>
                </c:pt>
                <c:pt idx="3">
                  <c:v>4.6533713200379849E-2</c:v>
                </c:pt>
                <c:pt idx="4">
                  <c:v>3.1796502384737635E-2</c:v>
                </c:pt>
                <c:pt idx="5">
                  <c:v>5.9241706161137449E-2</c:v>
                </c:pt>
                <c:pt idx="6">
                  <c:v>6.0869565217391286E-2</c:v>
                </c:pt>
                <c:pt idx="7">
                  <c:v>8.4008843036109102E-2</c:v>
                </c:pt>
              </c:numCache>
            </c:numRef>
          </c:val>
          <c:extLst>
            <c:ext xmlns:c16="http://schemas.microsoft.com/office/drawing/2014/chart" uri="{C3380CC4-5D6E-409C-BE32-E72D297353CC}">
              <c16:uniqueId val="{00000000-203D-4878-89F7-6A229CE9237B}"/>
            </c:ext>
          </c:extLst>
        </c:ser>
        <c:ser>
          <c:idx val="1"/>
          <c:order val="1"/>
          <c:tx>
            <c:strRef>
              <c:f>'Accommodation by Industry'!$A$14</c:f>
              <c:strCache>
                <c:ptCount val="1"/>
                <c:pt idx="0">
                  <c:v>Backpacker or hostel</c:v>
                </c:pt>
              </c:strCache>
            </c:strRef>
          </c:tx>
          <c:spPr>
            <a:solidFill>
              <a:schemeClr val="accent2">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Industry'!$B$14:$I$14</c:f>
              <c:numCache>
                <c:formatCode>0.0%</c:formatCode>
                <c:ptCount val="8"/>
                <c:pt idx="0">
                  <c:v>0.20057463401286144</c:v>
                </c:pt>
                <c:pt idx="1">
                  <c:v>0.22138364779874262</c:v>
                </c:pt>
                <c:pt idx="2">
                  <c:v>0.1294206170052673</c:v>
                </c:pt>
                <c:pt idx="3">
                  <c:v>0.21842355175688544</c:v>
                </c:pt>
                <c:pt idx="4">
                  <c:v>5.1669316375198733E-2</c:v>
                </c:pt>
                <c:pt idx="5">
                  <c:v>9.0047393364928965E-2</c:v>
                </c:pt>
                <c:pt idx="6">
                  <c:v>0.2465473145780053</c:v>
                </c:pt>
                <c:pt idx="7">
                  <c:v>0.16285924834193069</c:v>
                </c:pt>
              </c:numCache>
            </c:numRef>
          </c:val>
          <c:extLst>
            <c:ext xmlns:c16="http://schemas.microsoft.com/office/drawing/2014/chart" uri="{C3380CC4-5D6E-409C-BE32-E72D297353CC}">
              <c16:uniqueId val="{00000001-203D-4878-89F7-6A229CE9237B}"/>
            </c:ext>
          </c:extLst>
        </c:ser>
        <c:ser>
          <c:idx val="2"/>
          <c:order val="2"/>
          <c:tx>
            <c:strRef>
              <c:f>'Accommodation by Industry'!$A$15</c:f>
              <c:strCache>
                <c:ptCount val="1"/>
                <c:pt idx="0">
                  <c:v>Caravan park or camping ground</c:v>
                </c:pt>
              </c:strCache>
            </c:strRef>
          </c:tx>
          <c:spPr>
            <a:solidFill>
              <a:schemeClr val="accent2">
                <a:shade val="76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69B-4CF0-A2FB-A0480325D301}"/>
                </c:ext>
              </c:extLst>
            </c:dLbl>
            <c:dLbl>
              <c:idx val="2"/>
              <c:delete val="1"/>
              <c:extLst>
                <c:ext xmlns:c15="http://schemas.microsoft.com/office/drawing/2012/chart" uri="{CE6537A1-D6FC-4f65-9D91-7224C49458BB}"/>
                <c:ext xmlns:c16="http://schemas.microsoft.com/office/drawing/2014/chart" uri="{C3380CC4-5D6E-409C-BE32-E72D297353CC}">
                  <c16:uniqueId val="{00000007-669B-4CF0-A2FB-A0480325D301}"/>
                </c:ext>
              </c:extLst>
            </c:dLbl>
            <c:dLbl>
              <c:idx val="4"/>
              <c:delete val="1"/>
              <c:extLst>
                <c:ext xmlns:c15="http://schemas.microsoft.com/office/drawing/2012/chart" uri="{CE6537A1-D6FC-4f65-9D91-7224C49458BB}"/>
                <c:ext xmlns:c16="http://schemas.microsoft.com/office/drawing/2014/chart" uri="{C3380CC4-5D6E-409C-BE32-E72D297353CC}">
                  <c16:uniqueId val="{00000001-669B-4CF0-A2FB-A0480325D301}"/>
                </c:ext>
              </c:extLst>
            </c:dLbl>
            <c:dLbl>
              <c:idx val="5"/>
              <c:delete val="1"/>
              <c:extLst>
                <c:ext xmlns:c15="http://schemas.microsoft.com/office/drawing/2012/chart" uri="{CE6537A1-D6FC-4f65-9D91-7224C49458BB}"/>
                <c:ext xmlns:c16="http://schemas.microsoft.com/office/drawing/2014/chart" uri="{C3380CC4-5D6E-409C-BE32-E72D297353CC}">
                  <c16:uniqueId val="{00000008-669B-4CF0-A2FB-A0480325D301}"/>
                </c:ext>
              </c:extLst>
            </c:dLbl>
            <c:dLbl>
              <c:idx val="7"/>
              <c:delete val="1"/>
              <c:extLst>
                <c:ext xmlns:c15="http://schemas.microsoft.com/office/drawing/2012/chart" uri="{CE6537A1-D6FC-4f65-9D91-7224C49458BB}"/>
                <c:ext xmlns:c16="http://schemas.microsoft.com/office/drawing/2014/chart" uri="{C3380CC4-5D6E-409C-BE32-E72D297353CC}">
                  <c16:uniqueId val="{00000009-669B-4CF0-A2FB-A0480325D3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Industry'!$B$15:$I$15</c:f>
              <c:numCache>
                <c:formatCode>0.0%</c:formatCode>
                <c:ptCount val="8"/>
                <c:pt idx="0">
                  <c:v>2.3532631002873138E-2</c:v>
                </c:pt>
                <c:pt idx="1">
                  <c:v>9.0356394129979048E-2</c:v>
                </c:pt>
                <c:pt idx="2">
                  <c:v>9.0293453724604976E-3</c:v>
                </c:pt>
                <c:pt idx="3">
                  <c:v>5.0332383665717011E-2</c:v>
                </c:pt>
                <c:pt idx="4">
                  <c:v>6.3593004769475362E-3</c:v>
                </c:pt>
                <c:pt idx="5">
                  <c:v>2.3696682464455E-3</c:v>
                </c:pt>
                <c:pt idx="6">
                  <c:v>5.1150895140664947E-2</c:v>
                </c:pt>
                <c:pt idx="7">
                  <c:v>1.6212232866617514E-2</c:v>
                </c:pt>
              </c:numCache>
            </c:numRef>
          </c:val>
          <c:extLst>
            <c:ext xmlns:c16="http://schemas.microsoft.com/office/drawing/2014/chart" uri="{C3380CC4-5D6E-409C-BE32-E72D297353CC}">
              <c16:uniqueId val="{00000002-203D-4878-89F7-6A229CE9237B}"/>
            </c:ext>
          </c:extLst>
        </c:ser>
        <c:ser>
          <c:idx val="3"/>
          <c:order val="3"/>
          <c:tx>
            <c:strRef>
              <c:f>'Accommodation by Industry'!$A$16</c:f>
              <c:strCache>
                <c:ptCount val="1"/>
                <c:pt idx="0">
                  <c:v>Employer's house or property</c:v>
                </c:pt>
              </c:strCache>
            </c:strRef>
          </c:tx>
          <c:spPr>
            <a:solidFill>
              <a:schemeClr val="accent2">
                <a:shade val="92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669B-4CF0-A2FB-A0480325D3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Industry'!$B$16:$I$16</c:f>
              <c:numCache>
                <c:formatCode>0.0%</c:formatCode>
                <c:ptCount val="8"/>
                <c:pt idx="0">
                  <c:v>0.10685456286769718</c:v>
                </c:pt>
                <c:pt idx="1">
                  <c:v>0.26540880503144637</c:v>
                </c:pt>
                <c:pt idx="2">
                  <c:v>2.1068472535741137E-2</c:v>
                </c:pt>
                <c:pt idx="3">
                  <c:v>0.20037986704653385</c:v>
                </c:pt>
                <c:pt idx="4">
                  <c:v>0.62400635930047688</c:v>
                </c:pt>
                <c:pt idx="5">
                  <c:v>0.11137440758293829</c:v>
                </c:pt>
                <c:pt idx="6">
                  <c:v>8.2864450127877215E-2</c:v>
                </c:pt>
                <c:pt idx="7">
                  <c:v>5.011053795136336E-2</c:v>
                </c:pt>
              </c:numCache>
            </c:numRef>
          </c:val>
          <c:extLst>
            <c:ext xmlns:c16="http://schemas.microsoft.com/office/drawing/2014/chart" uri="{C3380CC4-5D6E-409C-BE32-E72D297353CC}">
              <c16:uniqueId val="{00000003-203D-4878-89F7-6A229CE9237B}"/>
            </c:ext>
          </c:extLst>
        </c:ser>
        <c:ser>
          <c:idx val="4"/>
          <c:order val="4"/>
          <c:tx>
            <c:strRef>
              <c:f>'Accommodation by Industry'!$A$17</c:f>
              <c:strCache>
                <c:ptCount val="1"/>
                <c:pt idx="0">
                  <c:v>Friend’s or family’s house or property</c:v>
                </c:pt>
              </c:strCache>
            </c:strRef>
          </c:tx>
          <c:spPr>
            <a:solidFill>
              <a:schemeClr val="accent2">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Industry'!$B$17:$I$17</c:f>
              <c:numCache>
                <c:formatCode>0.0%</c:formatCode>
                <c:ptCount val="8"/>
                <c:pt idx="0">
                  <c:v>0.10712819811191662</c:v>
                </c:pt>
                <c:pt idx="1">
                  <c:v>6.5408805031446568E-2</c:v>
                </c:pt>
                <c:pt idx="2">
                  <c:v>0.14145974416854734</c:v>
                </c:pt>
                <c:pt idx="3">
                  <c:v>9.686609686609686E-2</c:v>
                </c:pt>
                <c:pt idx="4">
                  <c:v>0.10174880763116098</c:v>
                </c:pt>
                <c:pt idx="5">
                  <c:v>0.15639810426540263</c:v>
                </c:pt>
                <c:pt idx="6">
                  <c:v>8.2864450127877215E-2</c:v>
                </c:pt>
                <c:pt idx="7">
                  <c:v>0.12822402358142937</c:v>
                </c:pt>
              </c:numCache>
            </c:numRef>
          </c:val>
          <c:extLst>
            <c:ext xmlns:c16="http://schemas.microsoft.com/office/drawing/2014/chart" uri="{C3380CC4-5D6E-409C-BE32-E72D297353CC}">
              <c16:uniqueId val="{00000004-203D-4878-89F7-6A229CE9237B}"/>
            </c:ext>
          </c:extLst>
        </c:ser>
        <c:ser>
          <c:idx val="5"/>
          <c:order val="5"/>
          <c:tx>
            <c:strRef>
              <c:f>'Accommodation by Industry'!$A$18</c:f>
              <c:strCache>
                <c:ptCount val="1"/>
                <c:pt idx="0">
                  <c:v>Hotel or motel</c:v>
                </c:pt>
              </c:strCache>
            </c:strRef>
          </c:tx>
          <c:spPr>
            <a:solidFill>
              <a:schemeClr val="accent2">
                <a:tint val="77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669B-4CF0-A2FB-A0480325D301}"/>
                </c:ext>
              </c:extLst>
            </c:dLbl>
            <c:dLbl>
              <c:idx val="1"/>
              <c:delete val="1"/>
              <c:extLst>
                <c:ext xmlns:c15="http://schemas.microsoft.com/office/drawing/2012/chart" uri="{CE6537A1-D6FC-4f65-9D91-7224C49458BB}"/>
                <c:ext xmlns:c16="http://schemas.microsoft.com/office/drawing/2014/chart" uri="{C3380CC4-5D6E-409C-BE32-E72D297353CC}">
                  <c16:uniqueId val="{00000010-669B-4CF0-A2FB-A0480325D301}"/>
                </c:ext>
              </c:extLst>
            </c:dLbl>
            <c:dLbl>
              <c:idx val="2"/>
              <c:delete val="1"/>
              <c:extLst>
                <c:ext xmlns:c15="http://schemas.microsoft.com/office/drawing/2012/chart" uri="{CE6537A1-D6FC-4f65-9D91-7224C49458BB}"/>
                <c:ext xmlns:c16="http://schemas.microsoft.com/office/drawing/2014/chart" uri="{C3380CC4-5D6E-409C-BE32-E72D297353CC}">
                  <c16:uniqueId val="{0000000E-669B-4CF0-A2FB-A0480325D301}"/>
                </c:ext>
              </c:extLst>
            </c:dLbl>
            <c:dLbl>
              <c:idx val="4"/>
              <c:delete val="1"/>
              <c:extLst>
                <c:ext xmlns:c15="http://schemas.microsoft.com/office/drawing/2012/chart" uri="{CE6537A1-D6FC-4f65-9D91-7224C49458BB}"/>
                <c:ext xmlns:c16="http://schemas.microsoft.com/office/drawing/2014/chart" uri="{C3380CC4-5D6E-409C-BE32-E72D297353CC}">
                  <c16:uniqueId val="{00000011-669B-4CF0-A2FB-A0480325D301}"/>
                </c:ext>
              </c:extLst>
            </c:dLbl>
            <c:dLbl>
              <c:idx val="5"/>
              <c:delete val="1"/>
              <c:extLst>
                <c:ext xmlns:c15="http://schemas.microsoft.com/office/drawing/2012/chart" uri="{CE6537A1-D6FC-4f65-9D91-7224C49458BB}"/>
                <c:ext xmlns:c16="http://schemas.microsoft.com/office/drawing/2014/chart" uri="{C3380CC4-5D6E-409C-BE32-E72D297353CC}">
                  <c16:uniqueId val="{0000000D-669B-4CF0-A2FB-A0480325D301}"/>
                </c:ext>
              </c:extLst>
            </c:dLbl>
            <c:dLbl>
              <c:idx val="7"/>
              <c:delete val="1"/>
              <c:extLst>
                <c:ext xmlns:c15="http://schemas.microsoft.com/office/drawing/2012/chart" uri="{CE6537A1-D6FC-4f65-9D91-7224C49458BB}"/>
                <c:ext xmlns:c16="http://schemas.microsoft.com/office/drawing/2014/chart" uri="{C3380CC4-5D6E-409C-BE32-E72D297353CC}">
                  <c16:uniqueId val="{0000000A-669B-4CF0-A2FB-A0480325D3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Industry'!$B$18:$I$18</c:f>
              <c:numCache>
                <c:formatCode>0.0%</c:formatCode>
                <c:ptCount val="8"/>
                <c:pt idx="0">
                  <c:v>2.0796278560678574E-2</c:v>
                </c:pt>
                <c:pt idx="1">
                  <c:v>1.7714884696016786E-2</c:v>
                </c:pt>
                <c:pt idx="2">
                  <c:v>2.2573363431151267E-2</c:v>
                </c:pt>
                <c:pt idx="3">
                  <c:v>2.4691358024691409E-2</c:v>
                </c:pt>
                <c:pt idx="4">
                  <c:v>9.5389507154212978E-3</c:v>
                </c:pt>
                <c:pt idx="5">
                  <c:v>1.8957345971563958E-2</c:v>
                </c:pt>
                <c:pt idx="6">
                  <c:v>5.0127877237851684E-2</c:v>
                </c:pt>
                <c:pt idx="7">
                  <c:v>4.2741341193809859E-2</c:v>
                </c:pt>
              </c:numCache>
            </c:numRef>
          </c:val>
          <c:extLst>
            <c:ext xmlns:c16="http://schemas.microsoft.com/office/drawing/2014/chart" uri="{C3380CC4-5D6E-409C-BE32-E72D297353CC}">
              <c16:uniqueId val="{00000005-203D-4878-89F7-6A229CE9237B}"/>
            </c:ext>
          </c:extLst>
        </c:ser>
        <c:ser>
          <c:idx val="6"/>
          <c:order val="6"/>
          <c:tx>
            <c:strRef>
              <c:f>'Accommodation by Industry'!$A$19</c:f>
              <c:strCache>
                <c:ptCount val="1"/>
                <c:pt idx="0">
                  <c:v>Other</c:v>
                </c:pt>
              </c:strCache>
            </c:strRef>
          </c:tx>
          <c:spPr>
            <a:solidFill>
              <a:schemeClr val="accent2">
                <a:tint val="62000"/>
              </a:schemeClr>
            </a:solidFill>
            <a:ln>
              <a:noFill/>
            </a:ln>
            <a:effectLst/>
          </c:spPr>
          <c:invertIfNegative val="0"/>
          <c:dLbls>
            <c:delete val="1"/>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Industry'!$B$19:$I$19</c:f>
              <c:numCache>
                <c:formatCode>0.0%</c:formatCode>
                <c:ptCount val="8"/>
                <c:pt idx="0">
                  <c:v>2.9142153509371993E-2</c:v>
                </c:pt>
                <c:pt idx="1">
                  <c:v>3.6268343815513637E-2</c:v>
                </c:pt>
                <c:pt idx="2">
                  <c:v>1.1286681715575585E-2</c:v>
                </c:pt>
                <c:pt idx="3">
                  <c:v>2.5641025641025599E-2</c:v>
                </c:pt>
                <c:pt idx="4">
                  <c:v>1.8282988871224211E-2</c:v>
                </c:pt>
                <c:pt idx="5">
                  <c:v>3.080568720379151E-2</c:v>
                </c:pt>
                <c:pt idx="6">
                  <c:v>3.8363171355498729E-2</c:v>
                </c:pt>
                <c:pt idx="7">
                  <c:v>2.2844509948415654E-2</c:v>
                </c:pt>
              </c:numCache>
            </c:numRef>
          </c:val>
          <c:extLst>
            <c:ext xmlns:c16="http://schemas.microsoft.com/office/drawing/2014/chart" uri="{C3380CC4-5D6E-409C-BE32-E72D297353CC}">
              <c16:uniqueId val="{00000006-203D-4878-89F7-6A229CE9237B}"/>
            </c:ext>
          </c:extLst>
        </c:ser>
        <c:ser>
          <c:idx val="7"/>
          <c:order val="7"/>
          <c:tx>
            <c:strRef>
              <c:f>'Accommodation by Industry'!$A$20</c:f>
              <c:strCache>
                <c:ptCount val="1"/>
                <c:pt idx="0">
                  <c:v>Rental property</c:v>
                </c:pt>
              </c:strCache>
            </c:strRef>
          </c:tx>
          <c:spPr>
            <a:solidFill>
              <a:schemeClr val="accent2">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'Accommodation by Industry'!$B$1:$I$1</c:f>
              <c:strCache>
                <c:ptCount val="8"/>
                <c:pt idx="0">
                  <c:v>Hospitality, tourism &amp; sport (n = 8,367)</c:v>
                </c:pt>
                <c:pt idx="1">
                  <c:v>Agriculture &amp; transport (n = 10,787)</c:v>
                </c:pt>
                <c:pt idx="2">
                  <c:v>Office, admin &amp; IT (n = 1,572)</c:v>
                </c:pt>
                <c:pt idx="3">
                  <c:v>Cleaning and gardening (n = 1,206)</c:v>
                </c:pt>
                <c:pt idx="4">
                  <c:v>Education (n = 1,412)</c:v>
                </c:pt>
                <c:pt idx="5">
                  <c:v>Health and aged care (n = 488)</c:v>
                </c:pt>
                <c:pt idx="6">
                  <c:v>Construction and mining (n = 2,282)</c:v>
                </c:pt>
                <c:pt idx="7">
                  <c:v>Sales and marketing (n = 1,613)</c:v>
                </c:pt>
              </c:strCache>
            </c:strRef>
          </c:cat>
          <c:val>
            <c:numRef>
              <c:f>'Accommodation by Industry'!$B$20:$I$20</c:f>
              <c:numCache>
                <c:formatCode>0.0%</c:formatCode>
                <c:ptCount val="8"/>
                <c:pt idx="0">
                  <c:v>0.47270488438910924</c:v>
                </c:pt>
                <c:pt idx="1">
                  <c:v>0.27243186582809192</c:v>
                </c:pt>
                <c:pt idx="2">
                  <c:v>0.59819413092550822</c:v>
                </c:pt>
                <c:pt idx="3">
                  <c:v>0.33713200379867003</c:v>
                </c:pt>
                <c:pt idx="4">
                  <c:v>0.15659777424483268</c:v>
                </c:pt>
                <c:pt idx="5">
                  <c:v>0.53080568720379162</c:v>
                </c:pt>
                <c:pt idx="6">
                  <c:v>0.38721227621483367</c:v>
                </c:pt>
                <c:pt idx="7">
                  <c:v>0.49299926308032443</c:v>
                </c:pt>
              </c:numCache>
            </c:numRef>
          </c:val>
          <c:extLst>
            <c:ext xmlns:c16="http://schemas.microsoft.com/office/drawing/2014/chart" uri="{C3380CC4-5D6E-409C-BE32-E72D297353CC}">
              <c16:uniqueId val="{00000007-203D-4878-89F7-6A229CE9237B}"/>
            </c:ext>
          </c:extLst>
        </c:ser>
        <c:dLbls>
          <c:dLblPos val="ctr"/>
          <c:showLegendKey val="0"/>
          <c:showVal val="1"/>
          <c:showCatName val="0"/>
          <c:showSerName val="0"/>
          <c:showPercent val="0"/>
          <c:showBubbleSize val="0"/>
        </c:dLbls>
        <c:gapWidth val="60"/>
        <c:overlap val="100"/>
        <c:axId val="380645232"/>
        <c:axId val="380651112"/>
      </c:barChart>
      <c:catAx>
        <c:axId val="38064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51112"/>
        <c:crosses val="autoZero"/>
        <c:auto val="1"/>
        <c:lblAlgn val="ctr"/>
        <c:lblOffset val="100"/>
        <c:noMultiLvlLbl val="0"/>
      </c:catAx>
      <c:valAx>
        <c:axId val="380651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5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1E4B-4164-A669-8FB58D63FC11}"/>
              </c:ext>
            </c:extLst>
          </c:dPt>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1E4B-4164-A669-8FB58D63FC11}"/>
              </c:ext>
            </c:extLst>
          </c:dPt>
          <c:dPt>
            <c:idx val="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5-1E4B-4164-A669-8FB58D63FC11}"/>
              </c:ext>
            </c:extLst>
          </c:dPt>
          <c:dPt>
            <c:idx val="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1E4B-4164-A669-8FB58D63FC11}"/>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1E4B-4164-A669-8FB58D63FC11}"/>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B-1E4B-4164-A669-8FB58D63FC11}"/>
              </c:ext>
            </c:extLst>
          </c:dPt>
          <c:dPt>
            <c:idx val="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D-1E4B-4164-A669-8FB58D63FC1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Sheet1!$X$19:$Y$32</c:f>
              <c:multiLvlStrCache>
                <c:ptCount val="14"/>
                <c:lvl>
                  <c:pt idx="0">
                    <c:v>Employer's house or property</c:v>
                  </c:pt>
                  <c:pt idx="1">
                    <c:v>Backpacker or hostel</c:v>
                  </c:pt>
                  <c:pt idx="2">
                    <c:v>Rental property</c:v>
                  </c:pt>
                  <c:pt idx="3">
                    <c:v>Friend's or family's house or property</c:v>
                  </c:pt>
                  <c:pt idx="4">
                    <c:v>Hotel or motel</c:v>
                  </c:pt>
                  <c:pt idx="5">
                    <c:v>Caravan park of camping ground</c:v>
                  </c:pt>
                  <c:pt idx="6">
                    <c:v>Airbnb or other holiday rental</c:v>
                  </c:pt>
                  <c:pt idx="7">
                    <c:v>Employer's house or property</c:v>
                  </c:pt>
                  <c:pt idx="8">
                    <c:v>Backpacker or hostel</c:v>
                  </c:pt>
                  <c:pt idx="9">
                    <c:v>Rental property</c:v>
                  </c:pt>
                  <c:pt idx="10">
                    <c:v>Friend's or family's house or property</c:v>
                  </c:pt>
                  <c:pt idx="11">
                    <c:v>Hotel or motel</c:v>
                  </c:pt>
                  <c:pt idx="12">
                    <c:v>Caravan park of camping ground</c:v>
                  </c:pt>
                  <c:pt idx="13">
                    <c:v>Airbnb or other holiday rental</c:v>
                  </c:pt>
                </c:lvl>
                <c:lvl>
                  <c:pt idx="0">
                    <c:v>% of employer arranged accommodation</c:v>
                  </c:pt>
                  <c:pt idx="7">
                    <c:v>% of accommodation type arranged by employer</c:v>
                  </c:pt>
                </c:lvl>
              </c:multiLvlStrCache>
            </c:multiLvlStrRef>
          </c:cat>
          <c:val>
            <c:numRef>
              <c:f>Sheet1!$Z$19:$Z$32</c:f>
              <c:numCache>
                <c:formatCode>0.0%</c:formatCode>
                <c:ptCount val="14"/>
                <c:pt idx="0">
                  <c:v>0.56713801565969379</c:v>
                </c:pt>
                <c:pt idx="1">
                  <c:v>0.13532780179969617</c:v>
                </c:pt>
                <c:pt idx="2">
                  <c:v>0.10447586771064625</c:v>
                </c:pt>
                <c:pt idx="3">
                  <c:v>4.5342994039967277E-2</c:v>
                </c:pt>
                <c:pt idx="4">
                  <c:v>4.3122589692649295E-2</c:v>
                </c:pt>
                <c:pt idx="5">
                  <c:v>4.28888629192474E-2</c:v>
                </c:pt>
                <c:pt idx="6">
                  <c:v>2.4424447820497838E-2</c:v>
                </c:pt>
                <c:pt idx="7">
                  <c:v>0.95899999999999996</c:v>
                </c:pt>
                <c:pt idx="8">
                  <c:v>9.2999999999999999E-2</c:v>
                </c:pt>
                <c:pt idx="9">
                  <c:v>8.6999999999999994E-2</c:v>
                </c:pt>
                <c:pt idx="10">
                  <c:v>7.1999999999999995E-2</c:v>
                </c:pt>
                <c:pt idx="11">
                  <c:v>0.17100000000000001</c:v>
                </c:pt>
                <c:pt idx="12">
                  <c:v>0.08</c:v>
                </c:pt>
                <c:pt idx="13">
                  <c:v>5.0999999999999997E-2</c:v>
                </c:pt>
              </c:numCache>
            </c:numRef>
          </c:val>
          <c:extLst>
            <c:ext xmlns:c16="http://schemas.microsoft.com/office/drawing/2014/chart" uri="{C3380CC4-5D6E-409C-BE32-E72D297353CC}">
              <c16:uniqueId val="{0000000E-1E4B-4164-A669-8FB58D63FC11}"/>
            </c:ext>
          </c:extLst>
        </c:ser>
        <c:dLbls>
          <c:showLegendKey val="0"/>
          <c:showVal val="0"/>
          <c:showCatName val="0"/>
          <c:showSerName val="0"/>
          <c:showPercent val="0"/>
          <c:showBubbleSize val="0"/>
        </c:dLbls>
        <c:gapWidth val="60"/>
        <c:axId val="380640920"/>
        <c:axId val="380645624"/>
      </c:barChart>
      <c:catAx>
        <c:axId val="38064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5624"/>
        <c:crosses val="autoZero"/>
        <c:auto val="1"/>
        <c:lblAlgn val="ctr"/>
        <c:lblOffset val="100"/>
        <c:noMultiLvlLbl val="0"/>
      </c:catAx>
      <c:valAx>
        <c:axId val="3806456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0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Sheet1!$A$5:$A$17</c:f>
              <c:strCache>
                <c:ptCount val="13"/>
                <c:pt idx="0">
                  <c:v>Fruit, vegetable or nut-picking</c:v>
                </c:pt>
                <c:pt idx="1">
                  <c:v>Hospitality</c:v>
                </c:pt>
                <c:pt idx="2">
                  <c:v>Cleaning</c:v>
                </c:pt>
                <c:pt idx="3">
                  <c:v>Responsible Service of Alcohol (RSA)</c:v>
                </c:pt>
                <c:pt idx="4">
                  <c:v>Machine operations</c:v>
                </c:pt>
                <c:pt idx="5">
                  <c:v>Other</c:v>
                </c:pt>
                <c:pt idx="6">
                  <c:v>Cooking</c:v>
                </c:pt>
                <c:pt idx="7">
                  <c:v>Barista</c:v>
                </c:pt>
                <c:pt idx="8">
                  <c:v>Sales and marketing</c:v>
                </c:pt>
                <c:pt idx="9">
                  <c:v>Ageing or disability support</c:v>
                </c:pt>
                <c:pt idx="10">
                  <c:v>IT</c:v>
                </c:pt>
                <c:pt idx="11">
                  <c:v>First aid</c:v>
                </c:pt>
                <c:pt idx="12">
                  <c:v>Responsible Conduct of Gambling</c:v>
                </c:pt>
              </c:strCache>
            </c:strRef>
          </c:cat>
          <c:val>
            <c:numRef>
              <c:f>Sheet1!$D$5:$D$17</c:f>
              <c:numCache>
                <c:formatCode>0.0%</c:formatCode>
                <c:ptCount val="13"/>
                <c:pt idx="0">
                  <c:v>0.16144371240332284</c:v>
                </c:pt>
                <c:pt idx="1">
                  <c:v>0.13211114293898596</c:v>
                </c:pt>
                <c:pt idx="2">
                  <c:v>0.13153824119163562</c:v>
                </c:pt>
                <c:pt idx="3">
                  <c:v>0.11876253222572329</c:v>
                </c:pt>
                <c:pt idx="4">
                  <c:v>0.10633056430822115</c:v>
                </c:pt>
                <c:pt idx="5">
                  <c:v>7.4419936980807788E-2</c:v>
                </c:pt>
                <c:pt idx="6">
                  <c:v>6.0383844170724718E-2</c:v>
                </c:pt>
                <c:pt idx="7">
                  <c:v>6.0097393297049558E-2</c:v>
                </c:pt>
                <c:pt idx="8">
                  <c:v>4.7722715554282438E-2</c:v>
                </c:pt>
                <c:pt idx="9">
                  <c:v>4.6634202234316816E-2</c:v>
                </c:pt>
                <c:pt idx="10">
                  <c:v>2.4233743912918933E-2</c:v>
                </c:pt>
                <c:pt idx="11">
                  <c:v>2.1770266399312517E-2</c:v>
                </c:pt>
                <c:pt idx="12">
                  <c:v>1.4551704382698366E-2</c:v>
                </c:pt>
              </c:numCache>
            </c:numRef>
          </c:val>
          <c:extLst>
            <c:ext xmlns:c16="http://schemas.microsoft.com/office/drawing/2014/chart" uri="{C3380CC4-5D6E-409C-BE32-E72D297353CC}">
              <c16:uniqueId val="{00000000-0D5C-4B1A-9989-F9BC4B963896}"/>
            </c:ext>
          </c:extLst>
        </c:ser>
        <c:dLbls>
          <c:showLegendKey val="0"/>
          <c:showVal val="0"/>
          <c:showCatName val="0"/>
          <c:showSerName val="0"/>
          <c:showPercent val="0"/>
          <c:showBubbleSize val="0"/>
        </c:dLbls>
        <c:gapWidth val="60"/>
        <c:axId val="380646016"/>
        <c:axId val="380646408"/>
      </c:barChart>
      <c:catAx>
        <c:axId val="38064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6408"/>
        <c:crosses val="autoZero"/>
        <c:auto val="1"/>
        <c:lblAlgn val="ctr"/>
        <c:lblOffset val="100"/>
        <c:noMultiLvlLbl val="0"/>
      </c:catAx>
      <c:valAx>
        <c:axId val="380646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806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7CBE-4A7B-A8C9-2507609FDFC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Sheet1!$A$14:$A$20</c:f>
              <c:strCache>
                <c:ptCount val="7"/>
                <c:pt idx="0">
                  <c:v>Other</c:v>
                </c:pt>
                <c:pt idx="1">
                  <c:v>Teacher education</c:v>
                </c:pt>
                <c:pt idx="2">
                  <c:v>Tourism, sport/recreation</c:v>
                </c:pt>
                <c:pt idx="3">
                  <c:v>First aid</c:v>
                </c:pt>
                <c:pt idx="4">
                  <c:v>Food/hospitality</c:v>
                </c:pt>
                <c:pt idx="5">
                  <c:v>Business/management</c:v>
                </c:pt>
                <c:pt idx="6">
                  <c:v>English language</c:v>
                </c:pt>
              </c:strCache>
            </c:strRef>
          </c:cat>
          <c:val>
            <c:numRef>
              <c:f>Sheet1!$C$14:$C$20</c:f>
              <c:numCache>
                <c:formatCode>0.0%</c:formatCode>
                <c:ptCount val="7"/>
                <c:pt idx="0">
                  <c:v>0.18299445471349354</c:v>
                </c:pt>
                <c:pt idx="1">
                  <c:v>2.5878003696857672E-2</c:v>
                </c:pt>
                <c:pt idx="2">
                  <c:v>4.2513863216266171E-2</c:v>
                </c:pt>
                <c:pt idx="3">
                  <c:v>5.2680221811460259E-2</c:v>
                </c:pt>
                <c:pt idx="4">
                  <c:v>7.4861367837338266E-2</c:v>
                </c:pt>
                <c:pt idx="5">
                  <c:v>8.0406654343807768E-2</c:v>
                </c:pt>
                <c:pt idx="6">
                  <c:v>0.5406654343807763</c:v>
                </c:pt>
              </c:numCache>
            </c:numRef>
          </c:val>
          <c:extLst>
            <c:ext xmlns:c16="http://schemas.microsoft.com/office/drawing/2014/chart" uri="{C3380CC4-5D6E-409C-BE32-E72D297353CC}">
              <c16:uniqueId val="{00000002-7CBE-4A7B-A8C9-2507609FDFCD}"/>
            </c:ext>
          </c:extLst>
        </c:ser>
        <c:dLbls>
          <c:showLegendKey val="0"/>
          <c:showVal val="0"/>
          <c:showCatName val="0"/>
          <c:showSerName val="0"/>
          <c:showPercent val="0"/>
          <c:showBubbleSize val="0"/>
        </c:dLbls>
        <c:gapWidth val="60"/>
        <c:axId val="529144072"/>
        <c:axId val="529148776"/>
      </c:barChart>
      <c:catAx>
        <c:axId val="52914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8776"/>
        <c:crosses val="autoZero"/>
        <c:auto val="1"/>
        <c:lblAlgn val="ctr"/>
        <c:lblOffset val="100"/>
        <c:noMultiLvlLbl val="0"/>
      </c:catAx>
      <c:valAx>
        <c:axId val="529148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4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849725352947043"/>
          <c:y val="9.0837155664505398E-2"/>
          <c:w val="0.77134238428247948"/>
          <c:h val="0.8785754369324662"/>
        </c:manualLayout>
      </c:layout>
      <c:barChart>
        <c:barDir val="bar"/>
        <c:grouping val="stacked"/>
        <c:varyColors val="0"/>
        <c:ser>
          <c:idx val="0"/>
          <c:order val="0"/>
          <c:tx>
            <c:strRef>
              <c:f>AgexSex!$AZ$2</c:f>
              <c:strCache>
                <c:ptCount val="1"/>
                <c:pt idx="0">
                  <c:v>Age 18-19</c:v>
                </c:pt>
              </c:strCache>
            </c:strRef>
          </c:tx>
          <c:spPr>
            <a:solidFill>
              <a:schemeClr val="accent2">
                <a:shade val="58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C0-4C1A-AF3F-3EA25E050E4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0-4C1A-AF3F-3EA25E050E4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C0-4C1A-AF3F-3EA25E050E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AgexSex!$AY$3:$AY$13</c:f>
              <c:strCache>
                <c:ptCount val="11"/>
                <c:pt idx="0">
                  <c:v>Total (Av. 25.3 yrs)</c:v>
                </c:pt>
                <c:pt idx="1">
                  <c:v>Germany (Av. 22.5 yrs)</c:v>
                </c:pt>
                <c:pt idx="2">
                  <c:v>France (Av. 25.0 yrs)</c:v>
                </c:pt>
                <c:pt idx="3">
                  <c:v>UK (Av. 25.2 yrs)</c:v>
                </c:pt>
                <c:pt idx="4">
                  <c:v>Canada (Av. 25.4 yrs)</c:v>
                </c:pt>
                <c:pt idx="5">
                  <c:v>South Korea (Av. 25.5 yrs)</c:v>
                </c:pt>
                <c:pt idx="6">
                  <c:v>USA (Av. 25.6 yrs)</c:v>
                </c:pt>
                <c:pt idx="7">
                  <c:v>Ireland (Av. 25.8 yrs)</c:v>
                </c:pt>
                <c:pt idx="8">
                  <c:v>Japan (Av. 26.0 yrs)</c:v>
                </c:pt>
                <c:pt idx="9">
                  <c:v>Italy (Av. 26.2 yrs)</c:v>
                </c:pt>
                <c:pt idx="10">
                  <c:v>Taiwan (Av. 26.5 yrs)</c:v>
                </c:pt>
              </c:strCache>
            </c:strRef>
          </c:cat>
          <c:val>
            <c:numRef>
              <c:f>AgexSex!$AZ$3:$AZ$13</c:f>
              <c:numCache>
                <c:formatCode>0.0%</c:formatCode>
                <c:ptCount val="11"/>
                <c:pt idx="0">
                  <c:v>6.8164435946462709E-2</c:v>
                </c:pt>
                <c:pt idx="1">
                  <c:v>0.3419012647898817</c:v>
                </c:pt>
                <c:pt idx="2">
                  <c:v>4.4732441471571904E-2</c:v>
                </c:pt>
                <c:pt idx="3">
                  <c:v>4.1373239436619719E-2</c:v>
                </c:pt>
                <c:pt idx="4">
                  <c:v>5.0295857988165681E-2</c:v>
                </c:pt>
                <c:pt idx="5">
                  <c:v>1.4053254437869823E-2</c:v>
                </c:pt>
                <c:pt idx="6">
                  <c:v>2.6653504442250741E-2</c:v>
                </c:pt>
                <c:pt idx="7">
                  <c:v>9.2378752886836026E-3</c:v>
                </c:pt>
                <c:pt idx="8">
                  <c:v>2.3809523809523808E-2</c:v>
                </c:pt>
                <c:pt idx="9">
                  <c:v>3.2967032967032968E-2</c:v>
                </c:pt>
                <c:pt idx="10">
                  <c:v>5.1060487038491753E-3</c:v>
                </c:pt>
              </c:numCache>
            </c:numRef>
          </c:val>
          <c:extLst>
            <c:ext xmlns:c16="http://schemas.microsoft.com/office/drawing/2014/chart" uri="{C3380CC4-5D6E-409C-BE32-E72D297353CC}">
              <c16:uniqueId val="{00000003-D7C0-4C1A-AF3F-3EA25E050E4D}"/>
            </c:ext>
          </c:extLst>
        </c:ser>
        <c:ser>
          <c:idx val="1"/>
          <c:order val="1"/>
          <c:tx>
            <c:strRef>
              <c:f>AgexSex!$BA$2</c:f>
              <c:strCache>
                <c:ptCount val="1"/>
                <c:pt idx="0">
                  <c:v>Age 20-24</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AgexSex!$AY$3:$AY$13</c:f>
              <c:strCache>
                <c:ptCount val="11"/>
                <c:pt idx="0">
                  <c:v>Total (Av. 25.3 yrs)</c:v>
                </c:pt>
                <c:pt idx="1">
                  <c:v>Germany (Av. 22.5 yrs)</c:v>
                </c:pt>
                <c:pt idx="2">
                  <c:v>France (Av. 25.0 yrs)</c:v>
                </c:pt>
                <c:pt idx="3">
                  <c:v>UK (Av. 25.2 yrs)</c:v>
                </c:pt>
                <c:pt idx="4">
                  <c:v>Canada (Av. 25.4 yrs)</c:v>
                </c:pt>
                <c:pt idx="5">
                  <c:v>South Korea (Av. 25.5 yrs)</c:v>
                </c:pt>
                <c:pt idx="6">
                  <c:v>USA (Av. 25.6 yrs)</c:v>
                </c:pt>
                <c:pt idx="7">
                  <c:v>Ireland (Av. 25.8 yrs)</c:v>
                </c:pt>
                <c:pt idx="8">
                  <c:v>Japan (Av. 26.0 yrs)</c:v>
                </c:pt>
                <c:pt idx="9">
                  <c:v>Italy (Av. 26.2 yrs)</c:v>
                </c:pt>
                <c:pt idx="10">
                  <c:v>Taiwan (Av. 26.5 yrs)</c:v>
                </c:pt>
              </c:strCache>
            </c:strRef>
          </c:cat>
          <c:val>
            <c:numRef>
              <c:f>AgexSex!$BA$3:$BA$13</c:f>
              <c:numCache>
                <c:formatCode>0.0%</c:formatCode>
                <c:ptCount val="11"/>
                <c:pt idx="0">
                  <c:v>0.34741873804971318</c:v>
                </c:pt>
                <c:pt idx="1">
                  <c:v>0.35128518971848227</c:v>
                </c:pt>
                <c:pt idx="2">
                  <c:v>0.43561872909698995</c:v>
                </c:pt>
                <c:pt idx="3">
                  <c:v>0.40375586854460094</c:v>
                </c:pt>
                <c:pt idx="4">
                  <c:v>0.37672583826429978</c:v>
                </c:pt>
                <c:pt idx="5">
                  <c:v>0.38609467455621299</c:v>
                </c:pt>
                <c:pt idx="6">
                  <c:v>0.3820335636722606</c:v>
                </c:pt>
                <c:pt idx="7">
                  <c:v>0.32101616628175522</c:v>
                </c:pt>
                <c:pt idx="8">
                  <c:v>0.34623015873015872</c:v>
                </c:pt>
                <c:pt idx="9">
                  <c:v>0.28388278388278387</c:v>
                </c:pt>
                <c:pt idx="10">
                  <c:v>0.25412411626080128</c:v>
                </c:pt>
              </c:numCache>
            </c:numRef>
          </c:val>
          <c:extLst>
            <c:ext xmlns:c16="http://schemas.microsoft.com/office/drawing/2014/chart" uri="{C3380CC4-5D6E-409C-BE32-E72D297353CC}">
              <c16:uniqueId val="{00000004-D7C0-4C1A-AF3F-3EA25E050E4D}"/>
            </c:ext>
          </c:extLst>
        </c:ser>
        <c:ser>
          <c:idx val="2"/>
          <c:order val="2"/>
          <c:tx>
            <c:strRef>
              <c:f>AgexSex!$BB$2</c:f>
              <c:strCache>
                <c:ptCount val="1"/>
                <c:pt idx="0">
                  <c:v>Age 25-30</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AgexSex!$AY$3:$AY$13</c:f>
              <c:strCache>
                <c:ptCount val="11"/>
                <c:pt idx="0">
                  <c:v>Total (Av. 25.3 yrs)</c:v>
                </c:pt>
                <c:pt idx="1">
                  <c:v>Germany (Av. 22.5 yrs)</c:v>
                </c:pt>
                <c:pt idx="2">
                  <c:v>France (Av. 25.0 yrs)</c:v>
                </c:pt>
                <c:pt idx="3">
                  <c:v>UK (Av. 25.2 yrs)</c:v>
                </c:pt>
                <c:pt idx="4">
                  <c:v>Canada (Av. 25.4 yrs)</c:v>
                </c:pt>
                <c:pt idx="5">
                  <c:v>South Korea (Av. 25.5 yrs)</c:v>
                </c:pt>
                <c:pt idx="6">
                  <c:v>USA (Av. 25.6 yrs)</c:v>
                </c:pt>
                <c:pt idx="7">
                  <c:v>Ireland (Av. 25.8 yrs)</c:v>
                </c:pt>
                <c:pt idx="8">
                  <c:v>Japan (Av. 26.0 yrs)</c:v>
                </c:pt>
                <c:pt idx="9">
                  <c:v>Italy (Av. 26.2 yrs)</c:v>
                </c:pt>
                <c:pt idx="10">
                  <c:v>Taiwan (Av. 26.5 yrs)</c:v>
                </c:pt>
              </c:strCache>
            </c:strRef>
          </c:cat>
          <c:val>
            <c:numRef>
              <c:f>AgexSex!$BB$3:$BB$13</c:f>
              <c:numCache>
                <c:formatCode>0.0%</c:formatCode>
                <c:ptCount val="11"/>
                <c:pt idx="0">
                  <c:v>0.50807839388145315</c:v>
                </c:pt>
                <c:pt idx="1">
                  <c:v>0.26438188494492043</c:v>
                </c:pt>
                <c:pt idx="2">
                  <c:v>0.44983277591973242</c:v>
                </c:pt>
                <c:pt idx="3">
                  <c:v>0.49853286384976525</c:v>
                </c:pt>
                <c:pt idx="4">
                  <c:v>0.49309664694280081</c:v>
                </c:pt>
                <c:pt idx="5">
                  <c:v>0.53846153846153844</c:v>
                </c:pt>
                <c:pt idx="6">
                  <c:v>0.49753208292201384</c:v>
                </c:pt>
                <c:pt idx="7">
                  <c:v>0.605080831408776</c:v>
                </c:pt>
                <c:pt idx="8">
                  <c:v>0.51388888888888884</c:v>
                </c:pt>
                <c:pt idx="9">
                  <c:v>0.56959706959706957</c:v>
                </c:pt>
                <c:pt idx="10">
                  <c:v>0.65789473684210531</c:v>
                </c:pt>
              </c:numCache>
            </c:numRef>
          </c:val>
          <c:extLst>
            <c:ext xmlns:c16="http://schemas.microsoft.com/office/drawing/2014/chart" uri="{C3380CC4-5D6E-409C-BE32-E72D297353CC}">
              <c16:uniqueId val="{00000005-D7C0-4C1A-AF3F-3EA25E050E4D}"/>
            </c:ext>
          </c:extLst>
        </c:ser>
        <c:ser>
          <c:idx val="3"/>
          <c:order val="3"/>
          <c:tx>
            <c:strRef>
              <c:f>AgexSex!$BC$2</c:f>
              <c:strCache>
                <c:ptCount val="1"/>
                <c:pt idx="0">
                  <c:v>Age 31+</c:v>
                </c:pt>
              </c:strCache>
            </c:strRef>
          </c:tx>
          <c:spPr>
            <a:solidFill>
              <a:schemeClr val="accent2">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D7C0-4C1A-AF3F-3EA25E050E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AgexSex!$AY$3:$AY$13</c:f>
              <c:strCache>
                <c:ptCount val="11"/>
                <c:pt idx="0">
                  <c:v>Total (Av. 25.3 yrs)</c:v>
                </c:pt>
                <c:pt idx="1">
                  <c:v>Germany (Av. 22.5 yrs)</c:v>
                </c:pt>
                <c:pt idx="2">
                  <c:v>France (Av. 25.0 yrs)</c:v>
                </c:pt>
                <c:pt idx="3">
                  <c:v>UK (Av. 25.2 yrs)</c:v>
                </c:pt>
                <c:pt idx="4">
                  <c:v>Canada (Av. 25.4 yrs)</c:v>
                </c:pt>
                <c:pt idx="5">
                  <c:v>South Korea (Av. 25.5 yrs)</c:v>
                </c:pt>
                <c:pt idx="6">
                  <c:v>USA (Av. 25.6 yrs)</c:v>
                </c:pt>
                <c:pt idx="7">
                  <c:v>Ireland (Av. 25.8 yrs)</c:v>
                </c:pt>
                <c:pt idx="8">
                  <c:v>Japan (Av. 26.0 yrs)</c:v>
                </c:pt>
                <c:pt idx="9">
                  <c:v>Italy (Av. 26.2 yrs)</c:v>
                </c:pt>
                <c:pt idx="10">
                  <c:v>Taiwan (Av. 26.5 yrs)</c:v>
                </c:pt>
              </c:strCache>
            </c:strRef>
          </c:cat>
          <c:val>
            <c:numRef>
              <c:f>AgexSex!$BC$3:$BC$13</c:f>
              <c:numCache>
                <c:formatCode>0.0%</c:formatCode>
                <c:ptCount val="11"/>
                <c:pt idx="0">
                  <c:v>7.6338432122370931E-2</c:v>
                </c:pt>
                <c:pt idx="1">
                  <c:v>4.2431660546715627E-2</c:v>
                </c:pt>
                <c:pt idx="2">
                  <c:v>6.9816053511705681E-2</c:v>
                </c:pt>
                <c:pt idx="3">
                  <c:v>5.6338028169014086E-2</c:v>
                </c:pt>
                <c:pt idx="4">
                  <c:v>7.9881656804733733E-2</c:v>
                </c:pt>
                <c:pt idx="5">
                  <c:v>6.1390532544378699E-2</c:v>
                </c:pt>
                <c:pt idx="6">
                  <c:v>9.3780848963474828E-2</c:v>
                </c:pt>
                <c:pt idx="7">
                  <c:v>6.4665127020785224E-2</c:v>
                </c:pt>
                <c:pt idx="8">
                  <c:v>0.11607142857142858</c:v>
                </c:pt>
                <c:pt idx="9">
                  <c:v>0.11355311355311355</c:v>
                </c:pt>
                <c:pt idx="10">
                  <c:v>8.2875098193244304E-2</c:v>
                </c:pt>
              </c:numCache>
            </c:numRef>
          </c:val>
          <c:extLst>
            <c:ext xmlns:c16="http://schemas.microsoft.com/office/drawing/2014/chart" uri="{C3380CC4-5D6E-409C-BE32-E72D297353CC}">
              <c16:uniqueId val="{00000007-D7C0-4C1A-AF3F-3EA25E050E4D}"/>
            </c:ext>
          </c:extLst>
        </c:ser>
        <c:dLbls>
          <c:showLegendKey val="0"/>
          <c:showVal val="1"/>
          <c:showCatName val="0"/>
          <c:showSerName val="0"/>
          <c:showPercent val="0"/>
          <c:showBubbleSize val="0"/>
        </c:dLbls>
        <c:gapWidth val="95"/>
        <c:overlap val="100"/>
        <c:axId val="370730944"/>
        <c:axId val="370734864"/>
      </c:barChart>
      <c:catAx>
        <c:axId val="37073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4864"/>
        <c:crosses val="autoZero"/>
        <c:auto val="1"/>
        <c:lblAlgn val="ctr"/>
        <c:lblOffset val="100"/>
        <c:noMultiLvlLbl val="0"/>
      </c:catAx>
      <c:valAx>
        <c:axId val="370734864"/>
        <c:scaling>
          <c:orientation val="minMax"/>
          <c:max val="1"/>
        </c:scaling>
        <c:delete val="1"/>
        <c:axPos val="b"/>
        <c:numFmt formatCode="0%" sourceLinked="0"/>
        <c:majorTickMark val="none"/>
        <c:minorTickMark val="none"/>
        <c:tickLblPos val="nextTo"/>
        <c:crossAx val="370730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'Average Study Expenditure'!$B$1</c:f>
              <c:strCache>
                <c:ptCount val="1"/>
                <c:pt idx="0">
                  <c:v>Average Expenditure</c:v>
                </c:pt>
              </c:strCache>
            </c:strRef>
          </c:tx>
          <c:spPr>
            <a:solidFill>
              <a:schemeClr val="accent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Study Expenditure'!$A$2:$A$8</c:f>
              <c:strCache>
                <c:ptCount val="7"/>
                <c:pt idx="0">
                  <c:v>First aid</c:v>
                </c:pt>
                <c:pt idx="1">
                  <c:v>Tourism, sport/recreation</c:v>
                </c:pt>
                <c:pt idx="2">
                  <c:v>Education</c:v>
                </c:pt>
                <c:pt idx="3">
                  <c:v>English</c:v>
                </c:pt>
                <c:pt idx="4">
                  <c:v>Food/hospitality</c:v>
                </c:pt>
                <c:pt idx="5">
                  <c:v>Business/management</c:v>
                </c:pt>
                <c:pt idx="6">
                  <c:v>Other</c:v>
                </c:pt>
              </c:strCache>
            </c:strRef>
          </c:cat>
          <c:val>
            <c:numRef>
              <c:f>'Average Study Expenditure'!$B$2:$B$8</c:f>
              <c:numCache>
                <c:formatCode>#,##0</c:formatCode>
                <c:ptCount val="7"/>
                <c:pt idx="0">
                  <c:v>531.60975609756099</c:v>
                </c:pt>
                <c:pt idx="1">
                  <c:v>2490.47826086957</c:v>
                </c:pt>
                <c:pt idx="2">
                  <c:v>3261.9130434782601</c:v>
                </c:pt>
                <c:pt idx="3">
                  <c:v>3456.29847494553</c:v>
                </c:pt>
                <c:pt idx="4">
                  <c:v>4024.8627450980398</c:v>
                </c:pt>
                <c:pt idx="5">
                  <c:v>9750</c:v>
                </c:pt>
                <c:pt idx="6">
                  <c:v>9763.25</c:v>
                </c:pt>
              </c:numCache>
            </c:numRef>
          </c:val>
          <c:extLst>
            <c:ext xmlns:c16="http://schemas.microsoft.com/office/drawing/2014/chart" uri="{C3380CC4-5D6E-409C-BE32-E72D297353CC}">
              <c16:uniqueId val="{00000000-AB3E-43D8-893A-DB5C47163AFB}"/>
            </c:ext>
          </c:extLst>
        </c:ser>
        <c:dLbls>
          <c:showLegendKey val="0"/>
          <c:showVal val="0"/>
          <c:showCatName val="0"/>
          <c:showSerName val="0"/>
          <c:showPercent val="0"/>
          <c:showBubbleSize val="0"/>
        </c:dLbls>
        <c:gapWidth val="60"/>
        <c:axId val="529150344"/>
        <c:axId val="529150736"/>
      </c:barChart>
      <c:catAx>
        <c:axId val="529150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50736"/>
        <c:crosses val="autoZero"/>
        <c:auto val="1"/>
        <c:lblAlgn val="ctr"/>
        <c:lblOffset val="100"/>
        <c:noMultiLvlLbl val="0"/>
      </c:catAx>
      <c:valAx>
        <c:axId val="529150736"/>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50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No. of courses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or high school diploma</c:v>
                </c:pt>
                <c:pt idx="1">
                  <c:v>University degree or higher (Bachelor, Graduate Diploma, Masters, Doctorate)</c:v>
                </c:pt>
                <c:pt idx="2">
                  <c:v>Other</c:v>
                </c:pt>
                <c:pt idx="3">
                  <c:v>Trade or vocational qualification (Professional certificate to undertake a job, apprenticeship)</c:v>
                </c:pt>
                <c:pt idx="4">
                  <c:v>Non-trade or non-vocational qualification (e.g. English language)</c:v>
                </c:pt>
              </c:strCache>
            </c:strRef>
          </c:cat>
          <c:val>
            <c:numRef>
              <c:f>Sheet1!$B$2:$B$6</c:f>
              <c:numCache>
                <c:formatCode>General</c:formatCode>
                <c:ptCount val="5"/>
                <c:pt idx="0">
                  <c:v>28</c:v>
                </c:pt>
                <c:pt idx="1">
                  <c:v>115</c:v>
                </c:pt>
                <c:pt idx="2">
                  <c:v>187</c:v>
                </c:pt>
                <c:pt idx="3">
                  <c:v>213</c:v>
                </c:pt>
                <c:pt idx="4">
                  <c:v>403</c:v>
                </c:pt>
              </c:numCache>
            </c:numRef>
          </c:val>
          <c:extLst>
            <c:ext xmlns:c16="http://schemas.microsoft.com/office/drawing/2014/chart" uri="{C3380CC4-5D6E-409C-BE32-E72D297353CC}">
              <c16:uniqueId val="{00000000-F1CB-42FD-AF05-A791CFF6DBA1}"/>
            </c:ext>
          </c:extLst>
        </c:ser>
        <c:dLbls>
          <c:showLegendKey val="0"/>
          <c:showVal val="0"/>
          <c:showCatName val="0"/>
          <c:showSerName val="0"/>
          <c:showPercent val="0"/>
          <c:showBubbleSize val="0"/>
        </c:dLbls>
        <c:gapWidth val="60"/>
        <c:axId val="529149952"/>
        <c:axId val="529146424"/>
      </c:barChart>
      <c:catAx>
        <c:axId val="52914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6424"/>
        <c:crosses val="autoZero"/>
        <c:auto val="1"/>
        <c:lblAlgn val="ctr"/>
        <c:lblOffset val="100"/>
        <c:noMultiLvlLbl val="0"/>
      </c:catAx>
      <c:valAx>
        <c:axId val="52914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2"/>
          <c:order val="0"/>
          <c:tx>
            <c:strRef>
              <c:f>Sheet1!$D$9</c:f>
              <c:strCache>
                <c:ptCount val="1"/>
                <c:pt idx="0">
                  <c:v>Yes</c:v>
                </c:pt>
              </c:strCache>
            </c:strRef>
          </c:tx>
          <c:spPr>
            <a:solidFill>
              <a:srgbClr val="FCC104"/>
            </a:solidFill>
            <a:ln>
              <a:noFill/>
            </a:ln>
            <a:effectLst/>
          </c:spPr>
          <c:invertIfNegative val="0"/>
          <c:cat>
            <c:strRef>
              <c:f>Sheet1!$A$10:$A$20</c:f>
              <c:strCache>
                <c:ptCount val="11"/>
                <c:pt idx="0">
                  <c:v>Germany (n = 71)</c:v>
                </c:pt>
                <c:pt idx="1">
                  <c:v>UK (n = 10)</c:v>
                </c:pt>
                <c:pt idx="2">
                  <c:v>France (n = 107)</c:v>
                </c:pt>
                <c:pt idx="3">
                  <c:v>Taiwan (n = 108)</c:v>
                </c:pt>
                <c:pt idx="4">
                  <c:v>Italy (n = 103)</c:v>
                </c:pt>
                <c:pt idx="5">
                  <c:v>Canada (n = 17)</c:v>
                </c:pt>
                <c:pt idx="6">
                  <c:v>USA (n = 31)</c:v>
                </c:pt>
                <c:pt idx="7">
                  <c:v>Korea (n = 96)</c:v>
                </c:pt>
                <c:pt idx="8">
                  <c:v>Netherlands (n = 13)</c:v>
                </c:pt>
                <c:pt idx="9">
                  <c:v>Japan (n = 176)</c:v>
                </c:pt>
                <c:pt idx="10">
                  <c:v>Other (n = 124)</c:v>
                </c:pt>
              </c:strCache>
            </c:strRef>
          </c:cat>
          <c:val>
            <c:numRef>
              <c:f>Sheet1!$D$10:$D$20</c:f>
              <c:numCache>
                <c:formatCode>0.0%</c:formatCode>
                <c:ptCount val="11"/>
                <c:pt idx="0">
                  <c:v>0.60563380281690105</c:v>
                </c:pt>
                <c:pt idx="1">
                  <c:v>0.5</c:v>
                </c:pt>
                <c:pt idx="2">
                  <c:v>0.41121495327102803</c:v>
                </c:pt>
                <c:pt idx="3">
                  <c:v>0.296296296296296</c:v>
                </c:pt>
                <c:pt idx="4">
                  <c:v>0.34951456310679602</c:v>
                </c:pt>
                <c:pt idx="5">
                  <c:v>0.52941176470588203</c:v>
                </c:pt>
                <c:pt idx="6">
                  <c:v>0.67741935483870996</c:v>
                </c:pt>
                <c:pt idx="7">
                  <c:v>0.21875</c:v>
                </c:pt>
                <c:pt idx="8">
                  <c:v>0.61538461538461497</c:v>
                </c:pt>
                <c:pt idx="9">
                  <c:v>0.22159090909090901</c:v>
                </c:pt>
                <c:pt idx="10">
                  <c:v>0.43548387096774194</c:v>
                </c:pt>
              </c:numCache>
            </c:numRef>
          </c:val>
          <c:extLst>
            <c:ext xmlns:c16="http://schemas.microsoft.com/office/drawing/2014/chart" uri="{C3380CC4-5D6E-409C-BE32-E72D297353CC}">
              <c16:uniqueId val="{00000000-5CC7-45E4-82A0-77B17234F68E}"/>
            </c:ext>
          </c:extLst>
        </c:ser>
        <c:ser>
          <c:idx val="1"/>
          <c:order val="1"/>
          <c:tx>
            <c:strRef>
              <c:f>Sheet1!$C$9</c:f>
              <c:strCache>
                <c:ptCount val="1"/>
                <c:pt idx="0">
                  <c:v>No</c:v>
                </c:pt>
              </c:strCache>
            </c:strRef>
          </c:tx>
          <c:spPr>
            <a:solidFill>
              <a:schemeClr val="accent2">
                <a:lumMod val="60000"/>
                <a:lumOff val="40000"/>
              </a:schemeClr>
            </a:solidFill>
            <a:ln>
              <a:noFill/>
            </a:ln>
            <a:effectLst/>
          </c:spPr>
          <c:invertIfNegative val="0"/>
          <c:cat>
            <c:strRef>
              <c:f>Sheet1!$A$10:$A$20</c:f>
              <c:strCache>
                <c:ptCount val="11"/>
                <c:pt idx="0">
                  <c:v>Germany (n = 71)</c:v>
                </c:pt>
                <c:pt idx="1">
                  <c:v>UK (n = 10)</c:v>
                </c:pt>
                <c:pt idx="2">
                  <c:v>France (n = 107)</c:v>
                </c:pt>
                <c:pt idx="3">
                  <c:v>Taiwan (n = 108)</c:v>
                </c:pt>
                <c:pt idx="4">
                  <c:v>Italy (n = 103)</c:v>
                </c:pt>
                <c:pt idx="5">
                  <c:v>Canada (n = 17)</c:v>
                </c:pt>
                <c:pt idx="6">
                  <c:v>USA (n = 31)</c:v>
                </c:pt>
                <c:pt idx="7">
                  <c:v>Korea (n = 96)</c:v>
                </c:pt>
                <c:pt idx="8">
                  <c:v>Netherlands (n = 13)</c:v>
                </c:pt>
                <c:pt idx="9">
                  <c:v>Japan (n = 176)</c:v>
                </c:pt>
                <c:pt idx="10">
                  <c:v>Other (n = 124)</c:v>
                </c:pt>
              </c:strCache>
            </c:strRef>
          </c:cat>
          <c:val>
            <c:numRef>
              <c:f>Sheet1!$C$10:$C$20</c:f>
              <c:numCache>
                <c:formatCode>0.0%</c:formatCode>
                <c:ptCount val="11"/>
                <c:pt idx="0">
                  <c:v>0.25352112676056299</c:v>
                </c:pt>
                <c:pt idx="1">
                  <c:v>0.2</c:v>
                </c:pt>
                <c:pt idx="2">
                  <c:v>0.355140186915888</c:v>
                </c:pt>
                <c:pt idx="3">
                  <c:v>0.26851851851851899</c:v>
                </c:pt>
                <c:pt idx="4">
                  <c:v>0.27184466019417503</c:v>
                </c:pt>
                <c:pt idx="5">
                  <c:v>0.17647058823529399</c:v>
                </c:pt>
                <c:pt idx="6">
                  <c:v>0.12903225806451599</c:v>
                </c:pt>
                <c:pt idx="7">
                  <c:v>0.33333333333333298</c:v>
                </c:pt>
                <c:pt idx="8">
                  <c:v>0</c:v>
                </c:pt>
                <c:pt idx="9">
                  <c:v>0.32386363636363602</c:v>
                </c:pt>
                <c:pt idx="10">
                  <c:v>0.20161290322580644</c:v>
                </c:pt>
              </c:numCache>
            </c:numRef>
          </c:val>
          <c:extLst>
            <c:ext xmlns:c16="http://schemas.microsoft.com/office/drawing/2014/chart" uri="{C3380CC4-5D6E-409C-BE32-E72D297353CC}">
              <c16:uniqueId val="{00000001-5CC7-45E4-82A0-77B17234F68E}"/>
            </c:ext>
          </c:extLst>
        </c:ser>
        <c:ser>
          <c:idx val="0"/>
          <c:order val="2"/>
          <c:tx>
            <c:strRef>
              <c:f>Sheet1!$B$9</c:f>
              <c:strCache>
                <c:ptCount val="1"/>
                <c:pt idx="0">
                  <c:v>Don't know</c:v>
                </c:pt>
              </c:strCache>
            </c:strRef>
          </c:tx>
          <c:spPr>
            <a:pattFill prst="ltUpDiag">
              <a:fgClr>
                <a:schemeClr val="accent2"/>
              </a:fgClr>
              <a:bgClr>
                <a:schemeClr val="bg1"/>
              </a:bgClr>
            </a:pattFill>
            <a:ln>
              <a:noFill/>
            </a:ln>
            <a:effectLst/>
          </c:spPr>
          <c:invertIfNegative val="0"/>
          <c:cat>
            <c:strRef>
              <c:f>Sheet1!$A$10:$A$20</c:f>
              <c:strCache>
                <c:ptCount val="11"/>
                <c:pt idx="0">
                  <c:v>Germany (n = 71)</c:v>
                </c:pt>
                <c:pt idx="1">
                  <c:v>UK (n = 10)</c:v>
                </c:pt>
                <c:pt idx="2">
                  <c:v>France (n = 107)</c:v>
                </c:pt>
                <c:pt idx="3">
                  <c:v>Taiwan (n = 108)</c:v>
                </c:pt>
                <c:pt idx="4">
                  <c:v>Italy (n = 103)</c:v>
                </c:pt>
                <c:pt idx="5">
                  <c:v>Canada (n = 17)</c:v>
                </c:pt>
                <c:pt idx="6">
                  <c:v>USA (n = 31)</c:v>
                </c:pt>
                <c:pt idx="7">
                  <c:v>Korea (n = 96)</c:v>
                </c:pt>
                <c:pt idx="8">
                  <c:v>Netherlands (n = 13)</c:v>
                </c:pt>
                <c:pt idx="9">
                  <c:v>Japan (n = 176)</c:v>
                </c:pt>
                <c:pt idx="10">
                  <c:v>Other (n = 124)</c:v>
                </c:pt>
              </c:strCache>
            </c:strRef>
          </c:cat>
          <c:val>
            <c:numRef>
              <c:f>Sheet1!$B$10:$B$20</c:f>
              <c:numCache>
                <c:formatCode>0.0%</c:formatCode>
                <c:ptCount val="11"/>
                <c:pt idx="0">
                  <c:v>0.140845070422535</c:v>
                </c:pt>
                <c:pt idx="1">
                  <c:v>0.3</c:v>
                </c:pt>
                <c:pt idx="2">
                  <c:v>0.233644859813084</c:v>
                </c:pt>
                <c:pt idx="3">
                  <c:v>0.43518518518518501</c:v>
                </c:pt>
                <c:pt idx="4">
                  <c:v>0.37864077669902901</c:v>
                </c:pt>
                <c:pt idx="5">
                  <c:v>0.29411764705882398</c:v>
                </c:pt>
                <c:pt idx="6">
                  <c:v>0.19354838709677399</c:v>
                </c:pt>
                <c:pt idx="7">
                  <c:v>0.44791666666666702</c:v>
                </c:pt>
                <c:pt idx="8">
                  <c:v>0.38461538461538503</c:v>
                </c:pt>
                <c:pt idx="9">
                  <c:v>0.45454545454545497</c:v>
                </c:pt>
                <c:pt idx="10">
                  <c:v>0.36290322580645162</c:v>
                </c:pt>
              </c:numCache>
            </c:numRef>
          </c:val>
          <c:extLst>
            <c:ext xmlns:c16="http://schemas.microsoft.com/office/drawing/2014/chart" uri="{C3380CC4-5D6E-409C-BE32-E72D297353CC}">
              <c16:uniqueId val="{00000002-5CC7-45E4-82A0-77B17234F68E}"/>
            </c:ext>
          </c:extLst>
        </c:ser>
        <c:dLbls>
          <c:showLegendKey val="0"/>
          <c:showVal val="0"/>
          <c:showCatName val="0"/>
          <c:showSerName val="0"/>
          <c:showPercent val="0"/>
          <c:showBubbleSize val="0"/>
        </c:dLbls>
        <c:gapWidth val="60"/>
        <c:overlap val="100"/>
        <c:axId val="529144464"/>
        <c:axId val="529144856"/>
      </c:barChart>
      <c:catAx>
        <c:axId val="529144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4856"/>
        <c:crosses val="autoZero"/>
        <c:auto val="1"/>
        <c:lblAlgn val="ctr"/>
        <c:lblOffset val="100"/>
        <c:noMultiLvlLbl val="0"/>
      </c:catAx>
      <c:valAx>
        <c:axId val="529144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4464"/>
        <c:crosses val="autoZero"/>
        <c:crossBetween val="between"/>
      </c:valAx>
      <c:spPr>
        <a:noFill/>
        <a:ln>
          <a:noFill/>
        </a:ln>
        <a:effectLst/>
      </c:spPr>
    </c:plotArea>
    <c:legend>
      <c:legendPos val="t"/>
      <c:layout>
        <c:manualLayout>
          <c:xMode val="edge"/>
          <c:yMode val="edge"/>
          <c:x val="0.35976552930883637"/>
          <c:y val="2.7777777777777776E-2"/>
          <c:w val="0.56935783027121611"/>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'by State'!$A$2</c:f>
              <c:strCache>
                <c:ptCount val="1"/>
                <c:pt idx="0">
                  <c:v>Very dissatisfied</c:v>
                </c:pt>
              </c:strCache>
            </c:strRef>
          </c:tx>
          <c:spPr>
            <a:solidFill>
              <a:schemeClr val="accent2">
                <a:shade val="53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6DE-4E3B-9165-205FE2D9A7C9}"/>
                </c:ext>
              </c:extLst>
            </c:dLbl>
            <c:dLbl>
              <c:idx val="6"/>
              <c:delete val="1"/>
              <c:extLst>
                <c:ext xmlns:c15="http://schemas.microsoft.com/office/drawing/2012/chart" uri="{CE6537A1-D6FC-4f65-9D91-7224C49458BB}"/>
                <c:ext xmlns:c16="http://schemas.microsoft.com/office/drawing/2014/chart" uri="{C3380CC4-5D6E-409C-BE32-E72D297353CC}">
                  <c16:uniqueId val="{00000001-76DE-4E3B-9165-205FE2D9A7C9}"/>
                </c:ext>
              </c:extLst>
            </c:dLbl>
            <c:dLbl>
              <c:idx val="7"/>
              <c:delete val="1"/>
              <c:extLst>
                <c:ext xmlns:c15="http://schemas.microsoft.com/office/drawing/2012/chart" uri="{CE6537A1-D6FC-4f65-9D91-7224C49458BB}"/>
                <c:ext xmlns:c16="http://schemas.microsoft.com/office/drawing/2014/chart" uri="{C3380CC4-5D6E-409C-BE32-E72D297353CC}">
                  <c16:uniqueId val="{00000002-76DE-4E3B-9165-205FE2D9A7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State'!$B$1:$I$1</c:f>
              <c:strCache>
                <c:ptCount val="8"/>
                <c:pt idx="0">
                  <c:v>NSW</c:v>
                </c:pt>
                <c:pt idx="1">
                  <c:v>VIC</c:v>
                </c:pt>
                <c:pt idx="2">
                  <c:v>Qld</c:v>
                </c:pt>
                <c:pt idx="3">
                  <c:v>SA</c:v>
                </c:pt>
                <c:pt idx="4">
                  <c:v>WA</c:v>
                </c:pt>
                <c:pt idx="5">
                  <c:v>Tas</c:v>
                </c:pt>
                <c:pt idx="6">
                  <c:v>NT</c:v>
                </c:pt>
                <c:pt idx="7">
                  <c:v>ACT</c:v>
                </c:pt>
              </c:strCache>
            </c:strRef>
          </c:cat>
          <c:val>
            <c:numRef>
              <c:f>'by State'!$B$2:$I$2</c:f>
              <c:numCache>
                <c:formatCode>0.0%</c:formatCode>
                <c:ptCount val="8"/>
                <c:pt idx="0">
                  <c:v>4.4596131968145603E-2</c:v>
                </c:pt>
                <c:pt idx="1">
                  <c:v>5.47795124623391E-2</c:v>
                </c:pt>
                <c:pt idx="2">
                  <c:v>8.6814469078179704E-2</c:v>
                </c:pt>
                <c:pt idx="3">
                  <c:v>7.1526822558459394E-2</c:v>
                </c:pt>
                <c:pt idx="4">
                  <c:v>5.1130247578040897E-2</c:v>
                </c:pt>
                <c:pt idx="5">
                  <c:v>5.8641975308642E-2</c:v>
                </c:pt>
                <c:pt idx="6">
                  <c:v>4.4596912521440803E-2</c:v>
                </c:pt>
                <c:pt idx="7">
                  <c:v>3.7234042553191501E-2</c:v>
                </c:pt>
              </c:numCache>
            </c:numRef>
          </c:val>
          <c:extLst>
            <c:ext xmlns:c16="http://schemas.microsoft.com/office/drawing/2014/chart" uri="{C3380CC4-5D6E-409C-BE32-E72D297353CC}">
              <c16:uniqueId val="{00000003-76DE-4E3B-9165-205FE2D9A7C9}"/>
            </c:ext>
          </c:extLst>
        </c:ser>
        <c:ser>
          <c:idx val="1"/>
          <c:order val="1"/>
          <c:tx>
            <c:strRef>
              <c:f>'by State'!$A$3</c:f>
              <c:strCache>
                <c:ptCount val="1"/>
                <c:pt idx="0">
                  <c:v>Dissatisfied</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State'!$B$1:$I$1</c:f>
              <c:strCache>
                <c:ptCount val="8"/>
                <c:pt idx="0">
                  <c:v>NSW</c:v>
                </c:pt>
                <c:pt idx="1">
                  <c:v>VIC</c:v>
                </c:pt>
                <c:pt idx="2">
                  <c:v>Qld</c:v>
                </c:pt>
                <c:pt idx="3">
                  <c:v>SA</c:v>
                </c:pt>
                <c:pt idx="4">
                  <c:v>WA</c:v>
                </c:pt>
                <c:pt idx="5">
                  <c:v>Tas</c:v>
                </c:pt>
                <c:pt idx="6">
                  <c:v>NT</c:v>
                </c:pt>
                <c:pt idx="7">
                  <c:v>ACT</c:v>
                </c:pt>
              </c:strCache>
            </c:strRef>
          </c:cat>
          <c:val>
            <c:numRef>
              <c:f>'by State'!$B$3:$I$3</c:f>
              <c:numCache>
                <c:formatCode>0.0%</c:formatCode>
                <c:ptCount val="8"/>
                <c:pt idx="0">
                  <c:v>8.3959044368600702E-2</c:v>
                </c:pt>
                <c:pt idx="1">
                  <c:v>8.8742810188989302E-2</c:v>
                </c:pt>
                <c:pt idx="2">
                  <c:v>0.108051341890315</c:v>
                </c:pt>
                <c:pt idx="3">
                  <c:v>0.116918844566713</c:v>
                </c:pt>
                <c:pt idx="4">
                  <c:v>7.4273412271259401E-2</c:v>
                </c:pt>
                <c:pt idx="5">
                  <c:v>9.7222222222222196E-2</c:v>
                </c:pt>
                <c:pt idx="6">
                  <c:v>9.2624356775300204E-2</c:v>
                </c:pt>
                <c:pt idx="7">
                  <c:v>9.5744680851063801E-2</c:v>
                </c:pt>
              </c:numCache>
            </c:numRef>
          </c:val>
          <c:extLst>
            <c:ext xmlns:c16="http://schemas.microsoft.com/office/drawing/2014/chart" uri="{C3380CC4-5D6E-409C-BE32-E72D297353CC}">
              <c16:uniqueId val="{00000004-76DE-4E3B-9165-205FE2D9A7C9}"/>
            </c:ext>
          </c:extLst>
        </c:ser>
        <c:ser>
          <c:idx val="2"/>
          <c:order val="2"/>
          <c:tx>
            <c:strRef>
              <c:f>'by State'!$A$4</c:f>
              <c:strCache>
                <c:ptCount val="1"/>
                <c:pt idx="0">
                  <c:v>Neither satisfied or dissatisfied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State'!$B$1:$I$1</c:f>
              <c:strCache>
                <c:ptCount val="8"/>
                <c:pt idx="0">
                  <c:v>NSW</c:v>
                </c:pt>
                <c:pt idx="1">
                  <c:v>VIC</c:v>
                </c:pt>
                <c:pt idx="2">
                  <c:v>Qld</c:v>
                </c:pt>
                <c:pt idx="3">
                  <c:v>SA</c:v>
                </c:pt>
                <c:pt idx="4">
                  <c:v>WA</c:v>
                </c:pt>
                <c:pt idx="5">
                  <c:v>Tas</c:v>
                </c:pt>
                <c:pt idx="6">
                  <c:v>NT</c:v>
                </c:pt>
                <c:pt idx="7">
                  <c:v>ACT</c:v>
                </c:pt>
              </c:strCache>
            </c:strRef>
          </c:cat>
          <c:val>
            <c:numRef>
              <c:f>'by State'!$B$4:$I$4</c:f>
              <c:numCache>
                <c:formatCode>0.0%</c:formatCode>
                <c:ptCount val="8"/>
                <c:pt idx="0">
                  <c:v>0.124232081911263</c:v>
                </c:pt>
                <c:pt idx="1">
                  <c:v>0.12051492741714601</c:v>
                </c:pt>
                <c:pt idx="2">
                  <c:v>0.144457409568261</c:v>
                </c:pt>
                <c:pt idx="3">
                  <c:v>0.118294360385144</c:v>
                </c:pt>
                <c:pt idx="4">
                  <c:v>0.12325080731969899</c:v>
                </c:pt>
                <c:pt idx="5">
                  <c:v>0.16975308641975301</c:v>
                </c:pt>
                <c:pt idx="6">
                  <c:v>0.11663807890223001</c:v>
                </c:pt>
                <c:pt idx="7">
                  <c:v>6.9148936170212796E-2</c:v>
                </c:pt>
              </c:numCache>
            </c:numRef>
          </c:val>
          <c:extLst>
            <c:ext xmlns:c16="http://schemas.microsoft.com/office/drawing/2014/chart" uri="{C3380CC4-5D6E-409C-BE32-E72D297353CC}">
              <c16:uniqueId val="{00000005-76DE-4E3B-9165-205FE2D9A7C9}"/>
            </c:ext>
          </c:extLst>
        </c:ser>
        <c:ser>
          <c:idx val="3"/>
          <c:order val="3"/>
          <c:tx>
            <c:strRef>
              <c:f>'by State'!$A$5</c:f>
              <c:strCache>
                <c:ptCount val="1"/>
                <c:pt idx="0">
                  <c:v>Satisfied</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State'!$B$1:$I$1</c:f>
              <c:strCache>
                <c:ptCount val="8"/>
                <c:pt idx="0">
                  <c:v>NSW</c:v>
                </c:pt>
                <c:pt idx="1">
                  <c:v>VIC</c:v>
                </c:pt>
                <c:pt idx="2">
                  <c:v>Qld</c:v>
                </c:pt>
                <c:pt idx="3">
                  <c:v>SA</c:v>
                </c:pt>
                <c:pt idx="4">
                  <c:v>WA</c:v>
                </c:pt>
                <c:pt idx="5">
                  <c:v>Tas</c:v>
                </c:pt>
                <c:pt idx="6">
                  <c:v>NT</c:v>
                </c:pt>
                <c:pt idx="7">
                  <c:v>ACT</c:v>
                </c:pt>
              </c:strCache>
            </c:strRef>
          </c:cat>
          <c:val>
            <c:numRef>
              <c:f>'by State'!$B$5:$I$5</c:f>
              <c:numCache>
                <c:formatCode>0.0%</c:formatCode>
                <c:ptCount val="8"/>
                <c:pt idx="0">
                  <c:v>0.39704209328782702</c:v>
                </c:pt>
                <c:pt idx="1">
                  <c:v>0.39386469460421802</c:v>
                </c:pt>
                <c:pt idx="2">
                  <c:v>0.40046674445740998</c:v>
                </c:pt>
                <c:pt idx="3">
                  <c:v>0.385144429160935</c:v>
                </c:pt>
                <c:pt idx="4">
                  <c:v>0.40904198062432701</c:v>
                </c:pt>
                <c:pt idx="5">
                  <c:v>0.41666666666666702</c:v>
                </c:pt>
                <c:pt idx="6">
                  <c:v>0.41337907375643201</c:v>
                </c:pt>
                <c:pt idx="7">
                  <c:v>0.430851063829787</c:v>
                </c:pt>
              </c:numCache>
            </c:numRef>
          </c:val>
          <c:extLst>
            <c:ext xmlns:c16="http://schemas.microsoft.com/office/drawing/2014/chart" uri="{C3380CC4-5D6E-409C-BE32-E72D297353CC}">
              <c16:uniqueId val="{00000006-76DE-4E3B-9165-205FE2D9A7C9}"/>
            </c:ext>
          </c:extLst>
        </c:ser>
        <c:ser>
          <c:idx val="4"/>
          <c:order val="4"/>
          <c:tx>
            <c:strRef>
              <c:f>'by State'!$A$6</c:f>
              <c:strCache>
                <c:ptCount val="1"/>
                <c:pt idx="0">
                  <c:v>Very satisfied</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State'!$B$1:$I$1</c:f>
              <c:strCache>
                <c:ptCount val="8"/>
                <c:pt idx="0">
                  <c:v>NSW</c:v>
                </c:pt>
                <c:pt idx="1">
                  <c:v>VIC</c:v>
                </c:pt>
                <c:pt idx="2">
                  <c:v>Qld</c:v>
                </c:pt>
                <c:pt idx="3">
                  <c:v>SA</c:v>
                </c:pt>
                <c:pt idx="4">
                  <c:v>WA</c:v>
                </c:pt>
                <c:pt idx="5">
                  <c:v>Tas</c:v>
                </c:pt>
                <c:pt idx="6">
                  <c:v>NT</c:v>
                </c:pt>
                <c:pt idx="7">
                  <c:v>ACT</c:v>
                </c:pt>
              </c:strCache>
            </c:strRef>
          </c:cat>
          <c:val>
            <c:numRef>
              <c:f>'by State'!$B$6:$I$6</c:f>
              <c:numCache>
                <c:formatCode>0.0%</c:formatCode>
                <c:ptCount val="8"/>
                <c:pt idx="0">
                  <c:v>0.35017064846416401</c:v>
                </c:pt>
                <c:pt idx="1">
                  <c:v>0.34209805532730803</c:v>
                </c:pt>
                <c:pt idx="2">
                  <c:v>0.26021003500583401</c:v>
                </c:pt>
                <c:pt idx="3">
                  <c:v>0.30811554332874802</c:v>
                </c:pt>
                <c:pt idx="4">
                  <c:v>0.34230355220667402</c:v>
                </c:pt>
                <c:pt idx="5">
                  <c:v>0.25771604938271597</c:v>
                </c:pt>
                <c:pt idx="6">
                  <c:v>0.332761578044597</c:v>
                </c:pt>
                <c:pt idx="7">
                  <c:v>0.36702127659574502</c:v>
                </c:pt>
              </c:numCache>
            </c:numRef>
          </c:val>
          <c:extLst>
            <c:ext xmlns:c16="http://schemas.microsoft.com/office/drawing/2014/chart" uri="{C3380CC4-5D6E-409C-BE32-E72D297353CC}">
              <c16:uniqueId val="{00000007-76DE-4E3B-9165-205FE2D9A7C9}"/>
            </c:ext>
          </c:extLst>
        </c:ser>
        <c:dLbls>
          <c:dLblPos val="ctr"/>
          <c:showLegendKey val="0"/>
          <c:showVal val="1"/>
          <c:showCatName val="0"/>
          <c:showSerName val="0"/>
          <c:showPercent val="0"/>
          <c:showBubbleSize val="0"/>
        </c:dLbls>
        <c:gapWidth val="60"/>
        <c:overlap val="100"/>
        <c:axId val="529145640"/>
        <c:axId val="529146816"/>
      </c:barChart>
      <c:catAx>
        <c:axId val="529145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6816"/>
        <c:crosses val="autoZero"/>
        <c:auto val="1"/>
        <c:lblAlgn val="ctr"/>
        <c:lblOffset val="100"/>
        <c:noMultiLvlLbl val="0"/>
      </c:catAx>
      <c:valAx>
        <c:axId val="52914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5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'by Industry'!$B$17</c:f>
              <c:strCache>
                <c:ptCount val="1"/>
                <c:pt idx="0">
                  <c:v>Very dissatisfied</c:v>
                </c:pt>
              </c:strCache>
            </c:strRef>
          </c:tx>
          <c:spPr>
            <a:solidFill>
              <a:schemeClr val="accent2">
                <a:shade val="53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FE6E-4B76-ABC7-830BD70A6700}"/>
                </c:ext>
              </c:extLst>
            </c:dLbl>
            <c:dLbl>
              <c:idx val="1"/>
              <c:delete val="1"/>
              <c:extLst>
                <c:ext xmlns:c15="http://schemas.microsoft.com/office/drawing/2012/chart" uri="{CE6537A1-D6FC-4f65-9D91-7224C49458BB}"/>
                <c:ext xmlns:c16="http://schemas.microsoft.com/office/drawing/2014/chart" uri="{C3380CC4-5D6E-409C-BE32-E72D297353CC}">
                  <c16:uniqueId val="{00000006-FE6E-4B76-ABC7-830BD70A6700}"/>
                </c:ext>
              </c:extLst>
            </c:dLbl>
            <c:dLbl>
              <c:idx val="2"/>
              <c:delete val="1"/>
              <c:extLst>
                <c:ext xmlns:c15="http://schemas.microsoft.com/office/drawing/2012/chart" uri="{CE6537A1-D6FC-4f65-9D91-7224C49458BB}"/>
                <c:ext xmlns:c16="http://schemas.microsoft.com/office/drawing/2014/chart" uri="{C3380CC4-5D6E-409C-BE32-E72D297353CC}">
                  <c16:uniqueId val="{00000005-FE6E-4B76-ABC7-830BD70A6700}"/>
                </c:ext>
              </c:extLst>
            </c:dLbl>
            <c:dLbl>
              <c:idx val="3"/>
              <c:delete val="1"/>
              <c:extLst>
                <c:ext xmlns:c15="http://schemas.microsoft.com/office/drawing/2012/chart" uri="{CE6537A1-D6FC-4f65-9D91-7224C49458BB}"/>
                <c:ext xmlns:c16="http://schemas.microsoft.com/office/drawing/2014/chart" uri="{C3380CC4-5D6E-409C-BE32-E72D297353CC}">
                  <c16:uniqueId val="{00000008-FE6E-4B76-ABC7-830BD70A6700}"/>
                </c:ext>
              </c:extLst>
            </c:dLbl>
            <c:dLbl>
              <c:idx val="5"/>
              <c:delete val="1"/>
              <c:extLst>
                <c:ext xmlns:c15="http://schemas.microsoft.com/office/drawing/2012/chart" uri="{CE6537A1-D6FC-4f65-9D91-7224C49458BB}"/>
                <c:ext xmlns:c16="http://schemas.microsoft.com/office/drawing/2014/chart" uri="{C3380CC4-5D6E-409C-BE32-E72D297353CC}">
                  <c16:uniqueId val="{00000009-FE6E-4B76-ABC7-830BD70A67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Industry'!$A$18:$A$25</c:f>
              <c:strCache>
                <c:ptCount val="8"/>
                <c:pt idx="0">
                  <c:v>Health and aged care</c:v>
                </c:pt>
                <c:pt idx="1">
                  <c:v>Office, admin &amp; IT</c:v>
                </c:pt>
                <c:pt idx="2">
                  <c:v>Education</c:v>
                </c:pt>
                <c:pt idx="3">
                  <c:v>Construction and mining</c:v>
                </c:pt>
                <c:pt idx="4">
                  <c:v>Sales and marketing</c:v>
                </c:pt>
                <c:pt idx="5">
                  <c:v>Hospitality, tourism &amp; sport</c:v>
                </c:pt>
                <c:pt idx="6">
                  <c:v>Cleaning and gardening</c:v>
                </c:pt>
                <c:pt idx="7">
                  <c:v>Agriculture &amp; transport</c:v>
                </c:pt>
              </c:strCache>
            </c:strRef>
          </c:cat>
          <c:val>
            <c:numRef>
              <c:f>'by Industry'!$B$18:$B$25</c:f>
              <c:numCache>
                <c:formatCode>0.0%</c:formatCode>
                <c:ptCount val="8"/>
                <c:pt idx="0">
                  <c:v>2.5000000000000001E-2</c:v>
                </c:pt>
                <c:pt idx="1">
                  <c:v>4.0086673889490797E-2</c:v>
                </c:pt>
                <c:pt idx="2">
                  <c:v>3.68033648790747E-2</c:v>
                </c:pt>
                <c:pt idx="3">
                  <c:v>3.11111111111111E-2</c:v>
                </c:pt>
                <c:pt idx="4">
                  <c:v>6.1659192825112098E-2</c:v>
                </c:pt>
                <c:pt idx="5">
                  <c:v>4.1531473069435401E-2</c:v>
                </c:pt>
                <c:pt idx="6">
                  <c:v>5.4817275747508297E-2</c:v>
                </c:pt>
                <c:pt idx="7">
                  <c:v>8.6555446516192305E-2</c:v>
                </c:pt>
              </c:numCache>
            </c:numRef>
          </c:val>
          <c:extLst>
            <c:ext xmlns:c16="http://schemas.microsoft.com/office/drawing/2014/chart" uri="{C3380CC4-5D6E-409C-BE32-E72D297353CC}">
              <c16:uniqueId val="{00000000-FE6E-4B76-ABC7-830BD70A6700}"/>
            </c:ext>
          </c:extLst>
        </c:ser>
        <c:ser>
          <c:idx val="1"/>
          <c:order val="1"/>
          <c:tx>
            <c:strRef>
              <c:f>'by Industry'!$C$17</c:f>
              <c:strCache>
                <c:ptCount val="1"/>
                <c:pt idx="0">
                  <c:v>Dissatisfied</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Industry'!$A$18:$A$25</c:f>
              <c:strCache>
                <c:ptCount val="8"/>
                <c:pt idx="0">
                  <c:v>Health and aged care</c:v>
                </c:pt>
                <c:pt idx="1">
                  <c:v>Office, admin &amp; IT</c:v>
                </c:pt>
                <c:pt idx="2">
                  <c:v>Education</c:v>
                </c:pt>
                <c:pt idx="3">
                  <c:v>Construction and mining</c:v>
                </c:pt>
                <c:pt idx="4">
                  <c:v>Sales and marketing</c:v>
                </c:pt>
                <c:pt idx="5">
                  <c:v>Hospitality, tourism &amp; sport</c:v>
                </c:pt>
                <c:pt idx="6">
                  <c:v>Cleaning and gardening</c:v>
                </c:pt>
                <c:pt idx="7">
                  <c:v>Agriculture &amp; transport</c:v>
                </c:pt>
              </c:strCache>
            </c:strRef>
          </c:cat>
          <c:val>
            <c:numRef>
              <c:f>'by Industry'!$C$18:$C$25</c:f>
              <c:numCache>
                <c:formatCode>0.0%</c:formatCode>
                <c:ptCount val="8"/>
                <c:pt idx="0">
                  <c:v>0.05</c:v>
                </c:pt>
                <c:pt idx="1">
                  <c:v>6.1755146262188497E-2</c:v>
                </c:pt>
                <c:pt idx="2">
                  <c:v>6.6246056782334403E-2</c:v>
                </c:pt>
                <c:pt idx="3">
                  <c:v>7.1999999999999995E-2</c:v>
                </c:pt>
                <c:pt idx="4">
                  <c:v>8.8565022421524697E-2</c:v>
                </c:pt>
                <c:pt idx="5">
                  <c:v>8.5226043694570597E-2</c:v>
                </c:pt>
                <c:pt idx="6">
                  <c:v>8.6378737541528194E-2</c:v>
                </c:pt>
                <c:pt idx="7">
                  <c:v>0.11599607458292401</c:v>
                </c:pt>
              </c:numCache>
            </c:numRef>
          </c:val>
          <c:extLst>
            <c:ext xmlns:c16="http://schemas.microsoft.com/office/drawing/2014/chart" uri="{C3380CC4-5D6E-409C-BE32-E72D297353CC}">
              <c16:uniqueId val="{00000001-FE6E-4B76-ABC7-830BD70A6700}"/>
            </c:ext>
          </c:extLst>
        </c:ser>
        <c:ser>
          <c:idx val="2"/>
          <c:order val="2"/>
          <c:tx>
            <c:strRef>
              <c:f>'by Industry'!$D$17</c:f>
              <c:strCache>
                <c:ptCount val="1"/>
                <c:pt idx="0">
                  <c:v>Neither satisfied or dissatisfied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Industry'!$A$18:$A$25</c:f>
              <c:strCache>
                <c:ptCount val="8"/>
                <c:pt idx="0">
                  <c:v>Health and aged care</c:v>
                </c:pt>
                <c:pt idx="1">
                  <c:v>Office, admin &amp; IT</c:v>
                </c:pt>
                <c:pt idx="2">
                  <c:v>Education</c:v>
                </c:pt>
                <c:pt idx="3">
                  <c:v>Construction and mining</c:v>
                </c:pt>
                <c:pt idx="4">
                  <c:v>Sales and marketing</c:v>
                </c:pt>
                <c:pt idx="5">
                  <c:v>Hospitality, tourism &amp; sport</c:v>
                </c:pt>
                <c:pt idx="6">
                  <c:v>Cleaning and gardening</c:v>
                </c:pt>
                <c:pt idx="7">
                  <c:v>Agriculture &amp; transport</c:v>
                </c:pt>
              </c:strCache>
            </c:strRef>
          </c:cat>
          <c:val>
            <c:numRef>
              <c:f>'by Industry'!$D$18:$D$25</c:f>
              <c:numCache>
                <c:formatCode>0.0%</c:formatCode>
                <c:ptCount val="8"/>
                <c:pt idx="0">
                  <c:v>7.1428571428571397E-2</c:v>
                </c:pt>
                <c:pt idx="1">
                  <c:v>6.5005417118093198E-2</c:v>
                </c:pt>
                <c:pt idx="2">
                  <c:v>9.6740273396424797E-2</c:v>
                </c:pt>
                <c:pt idx="3">
                  <c:v>0.120888888888889</c:v>
                </c:pt>
                <c:pt idx="4">
                  <c:v>9.8654708520179393E-2</c:v>
                </c:pt>
                <c:pt idx="5">
                  <c:v>0.121349772874757</c:v>
                </c:pt>
                <c:pt idx="6">
                  <c:v>0.167774086378738</c:v>
                </c:pt>
                <c:pt idx="7">
                  <c:v>0.15485770363101101</c:v>
                </c:pt>
              </c:numCache>
            </c:numRef>
          </c:val>
          <c:extLst>
            <c:ext xmlns:c16="http://schemas.microsoft.com/office/drawing/2014/chart" uri="{C3380CC4-5D6E-409C-BE32-E72D297353CC}">
              <c16:uniqueId val="{00000002-FE6E-4B76-ABC7-830BD70A6700}"/>
            </c:ext>
          </c:extLst>
        </c:ser>
        <c:ser>
          <c:idx val="3"/>
          <c:order val="3"/>
          <c:tx>
            <c:strRef>
              <c:f>'by Industry'!$E$17</c:f>
              <c:strCache>
                <c:ptCount val="1"/>
                <c:pt idx="0">
                  <c:v>Satisfied</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Industry'!$A$18:$A$25</c:f>
              <c:strCache>
                <c:ptCount val="8"/>
                <c:pt idx="0">
                  <c:v>Health and aged care</c:v>
                </c:pt>
                <c:pt idx="1">
                  <c:v>Office, admin &amp; IT</c:v>
                </c:pt>
                <c:pt idx="2">
                  <c:v>Education</c:v>
                </c:pt>
                <c:pt idx="3">
                  <c:v>Construction and mining</c:v>
                </c:pt>
                <c:pt idx="4">
                  <c:v>Sales and marketing</c:v>
                </c:pt>
                <c:pt idx="5">
                  <c:v>Hospitality, tourism &amp; sport</c:v>
                </c:pt>
                <c:pt idx="6">
                  <c:v>Cleaning and gardening</c:v>
                </c:pt>
                <c:pt idx="7">
                  <c:v>Agriculture &amp; transport</c:v>
                </c:pt>
              </c:strCache>
            </c:strRef>
          </c:cat>
          <c:val>
            <c:numRef>
              <c:f>'by Industry'!$E$18:$E$25</c:f>
              <c:numCache>
                <c:formatCode>0.0%</c:formatCode>
                <c:ptCount val="8"/>
                <c:pt idx="0">
                  <c:v>0.42857142857142899</c:v>
                </c:pt>
                <c:pt idx="1">
                  <c:v>0.30660888407367298</c:v>
                </c:pt>
                <c:pt idx="2">
                  <c:v>0.32912723449001102</c:v>
                </c:pt>
                <c:pt idx="3">
                  <c:v>0.43288888888888899</c:v>
                </c:pt>
                <c:pt idx="4">
                  <c:v>0.37443946188340799</c:v>
                </c:pt>
                <c:pt idx="5">
                  <c:v>0.41553104044992401</c:v>
                </c:pt>
                <c:pt idx="6">
                  <c:v>0.46677740863787398</c:v>
                </c:pt>
                <c:pt idx="7">
                  <c:v>0.39941118743866499</c:v>
                </c:pt>
              </c:numCache>
            </c:numRef>
          </c:val>
          <c:extLst>
            <c:ext xmlns:c16="http://schemas.microsoft.com/office/drawing/2014/chart" uri="{C3380CC4-5D6E-409C-BE32-E72D297353CC}">
              <c16:uniqueId val="{00000003-FE6E-4B76-ABC7-830BD70A6700}"/>
            </c:ext>
          </c:extLst>
        </c:ser>
        <c:ser>
          <c:idx val="4"/>
          <c:order val="4"/>
          <c:tx>
            <c:strRef>
              <c:f>'by Industry'!$F$17</c:f>
              <c:strCache>
                <c:ptCount val="1"/>
                <c:pt idx="0">
                  <c:v>Very satisfied</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Industry'!$A$18:$A$25</c:f>
              <c:strCache>
                <c:ptCount val="8"/>
                <c:pt idx="0">
                  <c:v>Health and aged care</c:v>
                </c:pt>
                <c:pt idx="1">
                  <c:v>Office, admin &amp; IT</c:v>
                </c:pt>
                <c:pt idx="2">
                  <c:v>Education</c:v>
                </c:pt>
                <c:pt idx="3">
                  <c:v>Construction and mining</c:v>
                </c:pt>
                <c:pt idx="4">
                  <c:v>Sales and marketing</c:v>
                </c:pt>
                <c:pt idx="5">
                  <c:v>Hospitality, tourism &amp; sport</c:v>
                </c:pt>
                <c:pt idx="6">
                  <c:v>Cleaning and gardening</c:v>
                </c:pt>
                <c:pt idx="7">
                  <c:v>Agriculture &amp; transport</c:v>
                </c:pt>
              </c:strCache>
            </c:strRef>
          </c:cat>
          <c:val>
            <c:numRef>
              <c:f>'by Industry'!$F$18:$F$25</c:f>
              <c:numCache>
                <c:formatCode>0.0%</c:formatCode>
                <c:ptCount val="8"/>
                <c:pt idx="0">
                  <c:v>0.42499999999999999</c:v>
                </c:pt>
                <c:pt idx="1">
                  <c:v>0.52654387865655505</c:v>
                </c:pt>
                <c:pt idx="2">
                  <c:v>0.47108307045215603</c:v>
                </c:pt>
                <c:pt idx="3">
                  <c:v>0.34311111111111098</c:v>
                </c:pt>
                <c:pt idx="4">
                  <c:v>0.37668161434977598</c:v>
                </c:pt>
                <c:pt idx="5">
                  <c:v>0.336361669911313</c:v>
                </c:pt>
                <c:pt idx="6">
                  <c:v>0.22425249169435199</c:v>
                </c:pt>
                <c:pt idx="7">
                  <c:v>0.24317958783120699</c:v>
                </c:pt>
              </c:numCache>
            </c:numRef>
          </c:val>
          <c:extLst>
            <c:ext xmlns:c16="http://schemas.microsoft.com/office/drawing/2014/chart" uri="{C3380CC4-5D6E-409C-BE32-E72D297353CC}">
              <c16:uniqueId val="{00000004-FE6E-4B76-ABC7-830BD70A6700}"/>
            </c:ext>
          </c:extLst>
        </c:ser>
        <c:dLbls>
          <c:dLblPos val="ctr"/>
          <c:showLegendKey val="0"/>
          <c:showVal val="1"/>
          <c:showCatName val="0"/>
          <c:showSerName val="0"/>
          <c:showPercent val="0"/>
          <c:showBubbleSize val="0"/>
        </c:dLbls>
        <c:gapWidth val="60"/>
        <c:overlap val="100"/>
        <c:axId val="529146032"/>
        <c:axId val="529147600"/>
      </c:barChart>
      <c:catAx>
        <c:axId val="52914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7600"/>
        <c:crosses val="autoZero"/>
        <c:auto val="1"/>
        <c:lblAlgn val="ctr"/>
        <c:lblOffset val="100"/>
        <c:noMultiLvlLbl val="0"/>
      </c:catAx>
      <c:valAx>
        <c:axId val="529147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6032"/>
        <c:crosses val="autoZero"/>
        <c:crossBetween val="between"/>
      </c:valAx>
      <c:spPr>
        <a:noFill/>
        <a:ln>
          <a:noFill/>
        </a:ln>
        <a:effectLst/>
      </c:spPr>
    </c:plotArea>
    <c:legend>
      <c:legendPos val="t"/>
      <c:layout>
        <c:manualLayout>
          <c:xMode val="edge"/>
          <c:yMode val="edge"/>
          <c:x val="0.15788806091239482"/>
          <c:y val="2.3037051257439049E-2"/>
          <c:w val="0.81274149395185558"/>
          <c:h val="6.01548198680962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'by Nationality'!$A$9</c:f>
              <c:strCache>
                <c:ptCount val="1"/>
                <c:pt idx="0">
                  <c:v>Very dissatisfied</c:v>
                </c:pt>
              </c:strCache>
            </c:strRef>
          </c:tx>
          <c:spPr>
            <a:solidFill>
              <a:schemeClr val="accent2">
                <a:shade val="53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B930-496F-A6FE-EF165C8B1F70}"/>
                </c:ext>
              </c:extLst>
            </c:dLbl>
            <c:dLbl>
              <c:idx val="3"/>
              <c:delete val="1"/>
              <c:extLst>
                <c:ext xmlns:c15="http://schemas.microsoft.com/office/drawing/2012/chart" uri="{CE6537A1-D6FC-4f65-9D91-7224C49458BB}"/>
                <c:ext xmlns:c16="http://schemas.microsoft.com/office/drawing/2014/chart" uri="{C3380CC4-5D6E-409C-BE32-E72D297353CC}">
                  <c16:uniqueId val="{00000006-B930-496F-A6FE-EF165C8B1F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Nationality'!$B$1:$K$1</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strRef>
          </c:cat>
          <c:val>
            <c:numRef>
              <c:f>'by Nationality'!$B$9:$K$9</c:f>
              <c:numCache>
                <c:formatCode>0.0%</c:formatCode>
                <c:ptCount val="10"/>
                <c:pt idx="0">
                  <c:v>5.8266932270916331E-2</c:v>
                </c:pt>
                <c:pt idx="1">
                  <c:v>7.3952341824157761E-2</c:v>
                </c:pt>
                <c:pt idx="2">
                  <c:v>4.79836651352731E-2</c:v>
                </c:pt>
                <c:pt idx="3">
                  <c:v>4.6347607052896728E-2</c:v>
                </c:pt>
                <c:pt idx="4">
                  <c:v>5.894736842105263E-2</c:v>
                </c:pt>
                <c:pt idx="5">
                  <c:v>7.9145728643216076E-2</c:v>
                </c:pt>
                <c:pt idx="6">
                  <c:v>7.6543209876543214E-2</c:v>
                </c:pt>
                <c:pt idx="7">
                  <c:v>8.6657496561210454E-2</c:v>
                </c:pt>
                <c:pt idx="8">
                  <c:v>5.4435483870967742E-2</c:v>
                </c:pt>
                <c:pt idx="9">
                  <c:v>6.4516129032258063E-2</c:v>
                </c:pt>
              </c:numCache>
            </c:numRef>
          </c:val>
          <c:extLst>
            <c:ext xmlns:c16="http://schemas.microsoft.com/office/drawing/2014/chart" uri="{C3380CC4-5D6E-409C-BE32-E72D297353CC}">
              <c16:uniqueId val="{00000000-B930-496F-A6FE-EF165C8B1F70}"/>
            </c:ext>
          </c:extLst>
        </c:ser>
        <c:ser>
          <c:idx val="1"/>
          <c:order val="1"/>
          <c:tx>
            <c:strRef>
              <c:f>'by Nationality'!$A$10</c:f>
              <c:strCache>
                <c:ptCount val="1"/>
                <c:pt idx="0">
                  <c:v>Dissatisfied</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Nationality'!$B$1:$K$1</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strRef>
          </c:cat>
          <c:val>
            <c:numRef>
              <c:f>'by Nationality'!$B$10:$K$10</c:f>
              <c:numCache>
                <c:formatCode>0.0%</c:formatCode>
                <c:ptCount val="10"/>
                <c:pt idx="0">
                  <c:v>9.3127490039840638E-2</c:v>
                </c:pt>
                <c:pt idx="1">
                  <c:v>0.10353327855382087</c:v>
                </c:pt>
                <c:pt idx="2">
                  <c:v>8.4226646248085763E-2</c:v>
                </c:pt>
                <c:pt idx="3">
                  <c:v>9.06801007556675E-2</c:v>
                </c:pt>
                <c:pt idx="4">
                  <c:v>8.2105263157894737E-2</c:v>
                </c:pt>
                <c:pt idx="5">
                  <c:v>0.10678391959798995</c:v>
                </c:pt>
                <c:pt idx="6">
                  <c:v>9.2592592592592587E-2</c:v>
                </c:pt>
                <c:pt idx="7">
                  <c:v>8.940852819807428E-2</c:v>
                </c:pt>
                <c:pt idx="8">
                  <c:v>8.0645161290322578E-2</c:v>
                </c:pt>
                <c:pt idx="9">
                  <c:v>0.10445468509984639</c:v>
                </c:pt>
              </c:numCache>
            </c:numRef>
          </c:val>
          <c:extLst>
            <c:ext xmlns:c16="http://schemas.microsoft.com/office/drawing/2014/chart" uri="{C3380CC4-5D6E-409C-BE32-E72D297353CC}">
              <c16:uniqueId val="{00000001-B930-496F-A6FE-EF165C8B1F70}"/>
            </c:ext>
          </c:extLst>
        </c:ser>
        <c:ser>
          <c:idx val="2"/>
          <c:order val="2"/>
          <c:tx>
            <c:strRef>
              <c:f>'by Nationality'!$A$11</c:f>
              <c:strCache>
                <c:ptCount val="1"/>
                <c:pt idx="0">
                  <c:v>Neither satisfied or dissatisfied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Nationality'!$B$1:$K$1</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strRef>
          </c:cat>
          <c:val>
            <c:numRef>
              <c:f>'by Nationality'!$B$11:$K$11</c:f>
              <c:numCache>
                <c:formatCode>0.0%</c:formatCode>
                <c:ptCount val="10"/>
                <c:pt idx="0">
                  <c:v>0.12948207171314741</c:v>
                </c:pt>
                <c:pt idx="1">
                  <c:v>9.6959737058340184E-2</c:v>
                </c:pt>
                <c:pt idx="2">
                  <c:v>0.13067891781521185</c:v>
                </c:pt>
                <c:pt idx="3">
                  <c:v>0.19042821158690176</c:v>
                </c:pt>
                <c:pt idx="4">
                  <c:v>0.15228070175438596</c:v>
                </c:pt>
                <c:pt idx="5">
                  <c:v>9.1708542713567834E-2</c:v>
                </c:pt>
                <c:pt idx="6">
                  <c:v>8.6419753086419748E-2</c:v>
                </c:pt>
                <c:pt idx="7">
                  <c:v>0.15818431911966988</c:v>
                </c:pt>
                <c:pt idx="8">
                  <c:v>0.10080645161290322</c:v>
                </c:pt>
                <c:pt idx="9">
                  <c:v>0.12903225806451613</c:v>
                </c:pt>
              </c:numCache>
            </c:numRef>
          </c:val>
          <c:extLst>
            <c:ext xmlns:c16="http://schemas.microsoft.com/office/drawing/2014/chart" uri="{C3380CC4-5D6E-409C-BE32-E72D297353CC}">
              <c16:uniqueId val="{00000002-B930-496F-A6FE-EF165C8B1F70}"/>
            </c:ext>
          </c:extLst>
        </c:ser>
        <c:ser>
          <c:idx val="3"/>
          <c:order val="3"/>
          <c:tx>
            <c:strRef>
              <c:f>'by Nationality'!$A$12</c:f>
              <c:strCache>
                <c:ptCount val="1"/>
                <c:pt idx="0">
                  <c:v>Satisfied</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Nationality'!$B$1:$K$1</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strRef>
          </c:cat>
          <c:val>
            <c:numRef>
              <c:f>'by Nationality'!$B$12:$K$12</c:f>
              <c:numCache>
                <c:formatCode>0.0%</c:formatCode>
                <c:ptCount val="10"/>
                <c:pt idx="0">
                  <c:v>0.36404382470119523</c:v>
                </c:pt>
                <c:pt idx="1">
                  <c:v>0.34059161873459326</c:v>
                </c:pt>
                <c:pt idx="2">
                  <c:v>0.40020418580908629</c:v>
                </c:pt>
                <c:pt idx="3">
                  <c:v>0.4574307304785894</c:v>
                </c:pt>
                <c:pt idx="4">
                  <c:v>0.41403508771929826</c:v>
                </c:pt>
                <c:pt idx="5">
                  <c:v>0.3379396984924623</c:v>
                </c:pt>
                <c:pt idx="6">
                  <c:v>0.33209876543209876</c:v>
                </c:pt>
                <c:pt idx="7">
                  <c:v>0.44291609353507566</c:v>
                </c:pt>
                <c:pt idx="8">
                  <c:v>0.36895161290322581</c:v>
                </c:pt>
                <c:pt idx="9">
                  <c:v>0.48233486943164361</c:v>
                </c:pt>
              </c:numCache>
            </c:numRef>
          </c:val>
          <c:extLst>
            <c:ext xmlns:c16="http://schemas.microsoft.com/office/drawing/2014/chart" uri="{C3380CC4-5D6E-409C-BE32-E72D297353CC}">
              <c16:uniqueId val="{00000003-B930-496F-A6FE-EF165C8B1F70}"/>
            </c:ext>
          </c:extLst>
        </c:ser>
        <c:ser>
          <c:idx val="4"/>
          <c:order val="4"/>
          <c:tx>
            <c:strRef>
              <c:f>'by Nationality'!$A$13</c:f>
              <c:strCache>
                <c:ptCount val="1"/>
                <c:pt idx="0">
                  <c:v>Very satisfied</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Nationality'!$B$1:$K$1</c:f>
              <c:strCache>
                <c:ptCount val="10"/>
                <c:pt idx="0">
                  <c:v>Germany</c:v>
                </c:pt>
                <c:pt idx="1">
                  <c:v>UK</c:v>
                </c:pt>
                <c:pt idx="2">
                  <c:v>France</c:v>
                </c:pt>
                <c:pt idx="3">
                  <c:v>Taiwan</c:v>
                </c:pt>
                <c:pt idx="4">
                  <c:v>Italy</c:v>
                </c:pt>
                <c:pt idx="5">
                  <c:v>Canada</c:v>
                </c:pt>
                <c:pt idx="6">
                  <c:v>USA</c:v>
                </c:pt>
                <c:pt idx="7">
                  <c:v>South Korea</c:v>
                </c:pt>
                <c:pt idx="8">
                  <c:v>Netherlands</c:v>
                </c:pt>
                <c:pt idx="9">
                  <c:v>Japan</c:v>
                </c:pt>
              </c:strCache>
            </c:strRef>
          </c:cat>
          <c:val>
            <c:numRef>
              <c:f>'by Nationality'!$B$13:$K$13</c:f>
              <c:numCache>
                <c:formatCode>0.0%</c:formatCode>
                <c:ptCount val="10"/>
                <c:pt idx="0">
                  <c:v>0.35507968127490042</c:v>
                </c:pt>
                <c:pt idx="1">
                  <c:v>0.38496302382908792</c:v>
                </c:pt>
                <c:pt idx="2">
                  <c:v>0.33690658499234305</c:v>
                </c:pt>
                <c:pt idx="3">
                  <c:v>0.2151133501259446</c:v>
                </c:pt>
                <c:pt idx="4">
                  <c:v>0.29263157894736841</c:v>
                </c:pt>
                <c:pt idx="5">
                  <c:v>0.38442211055276382</c:v>
                </c:pt>
                <c:pt idx="6">
                  <c:v>0.4123456790123457</c:v>
                </c:pt>
                <c:pt idx="7">
                  <c:v>0.22283356258596973</c:v>
                </c:pt>
                <c:pt idx="8">
                  <c:v>0.39516129032258063</c:v>
                </c:pt>
                <c:pt idx="9">
                  <c:v>0.2196620583717358</c:v>
                </c:pt>
              </c:numCache>
            </c:numRef>
          </c:val>
          <c:extLst>
            <c:ext xmlns:c16="http://schemas.microsoft.com/office/drawing/2014/chart" uri="{C3380CC4-5D6E-409C-BE32-E72D297353CC}">
              <c16:uniqueId val="{00000004-B930-496F-A6FE-EF165C8B1F70}"/>
            </c:ext>
          </c:extLst>
        </c:ser>
        <c:dLbls>
          <c:dLblPos val="ctr"/>
          <c:showLegendKey val="0"/>
          <c:showVal val="1"/>
          <c:showCatName val="0"/>
          <c:showSerName val="0"/>
          <c:showPercent val="0"/>
          <c:showBubbleSize val="0"/>
        </c:dLbls>
        <c:gapWidth val="60"/>
        <c:overlap val="100"/>
        <c:axId val="529148384"/>
        <c:axId val="529129176"/>
      </c:barChart>
      <c:catAx>
        <c:axId val="529148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9176"/>
        <c:crosses val="autoZero"/>
        <c:auto val="1"/>
        <c:lblAlgn val="ctr"/>
        <c:lblOffset val="100"/>
        <c:noMultiLvlLbl val="0"/>
      </c:catAx>
      <c:valAx>
        <c:axId val="529129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17361111111112E-2"/>
          <c:y val="0.17037419651056016"/>
          <c:w val="0.74932291666666662"/>
          <c:h val="0.73505509641873268"/>
        </c:manualLayout>
      </c:layout>
      <c:ofPieChart>
        <c:ofPieType val="bar"/>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D9-468A-8A50-12CDEDA9731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D9-468A-8A50-12CDEDA97319}"/>
              </c:ext>
            </c:extLst>
          </c:dPt>
          <c:dPt>
            <c:idx val="2"/>
            <c:bubble3D val="0"/>
            <c:spPr>
              <a:solidFill>
                <a:schemeClr val="accent3">
                  <a:lumMod val="75000"/>
                  <a:lumOff val="2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D9-468A-8A50-12CDEDA97319}"/>
              </c:ext>
            </c:extLst>
          </c:dPt>
          <c:dPt>
            <c:idx val="3"/>
            <c:bubble3D val="0"/>
            <c:spPr>
              <a:solidFill>
                <a:schemeClr val="accent1">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3D9-468A-8A50-12CDEDA9731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3D9-468A-8A50-12CDEDA9731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3D9-468A-8A50-12CDEDA97319}"/>
              </c:ext>
            </c:extLst>
          </c:dPt>
          <c:dPt>
            <c:idx val="6"/>
            <c:bubble3D val="0"/>
            <c:spPr>
              <a:solidFill>
                <a:schemeClr val="tx2">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3D9-468A-8A50-12CDEDA97319}"/>
              </c:ext>
            </c:extLst>
          </c:dPt>
          <c:dPt>
            <c:idx val="7"/>
            <c:bubble3D val="0"/>
            <c:spPr>
              <a:solidFill>
                <a:schemeClr val="tx1">
                  <a:lumMod val="75000"/>
                  <a:lumOff val="2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A3D9-468A-8A50-12CDEDA97319}"/>
              </c:ext>
            </c:extLst>
          </c:dPt>
          <c:dPt>
            <c:idx val="8"/>
            <c:bubble3D val="0"/>
            <c:spPr>
              <a:solidFill>
                <a:schemeClr val="tx1">
                  <a:lumMod val="65000"/>
                  <a:lumOff val="3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A3D9-468A-8A50-12CDEDA97319}"/>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A3D9-468A-8A50-12CDEDA97319}"/>
              </c:ext>
            </c:extLst>
          </c:dPt>
          <c:dPt>
            <c:idx val="10"/>
            <c:bubble3D val="0"/>
            <c:spPr>
              <a:solidFill>
                <a:schemeClr val="tx1">
                  <a:lumMod val="50000"/>
                  <a:lumOff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A3D9-468A-8A50-12CDEDA97319}"/>
              </c:ext>
            </c:extLst>
          </c:dPt>
          <c:dPt>
            <c:idx val="11"/>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A3D9-468A-8A50-12CDEDA97319}"/>
              </c:ext>
            </c:extLst>
          </c:dPt>
          <c:dPt>
            <c:idx val="12"/>
            <c:bubble3D val="0"/>
            <c:spPr>
              <a:solidFill>
                <a:schemeClr val="bg1">
                  <a:lumMod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A3D9-468A-8A50-12CDEDA97319}"/>
              </c:ext>
            </c:extLst>
          </c:dPt>
          <c:dPt>
            <c:idx val="13"/>
            <c:bubble3D val="0"/>
            <c:spPr>
              <a:solidFill>
                <a:schemeClr val="bg1">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A3D9-468A-8A50-12CDEDA97319}"/>
              </c:ext>
            </c:extLst>
          </c:dPt>
          <c:dPt>
            <c:idx val="14"/>
            <c:bubble3D val="0"/>
            <c:spPr>
              <a:solidFill>
                <a:schemeClr val="tx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A3D9-468A-8A50-12CDEDA97319}"/>
              </c:ext>
            </c:extLst>
          </c:dPt>
          <c:dLbls>
            <c:dLbl>
              <c:idx val="0"/>
              <c:tx>
                <c:rich>
                  <a:bodyPr rot="0" spcFirstLastPara="1" vertOverflow="ellipsis" vert="horz" wrap="square" anchor="ctr" anchorCtr="1"/>
                  <a:lstStyle/>
                  <a:p>
                    <a:pPr>
                      <a:defRPr sz="800" b="0" i="0" u="none" strike="noStrike" kern="1200" spc="0" baseline="0">
                        <a:solidFill>
                          <a:schemeClr val="accent1"/>
                        </a:solidFill>
                        <a:latin typeface="Calibri" panose="020F0502020204030204" pitchFamily="34" charset="0"/>
                        <a:ea typeface="+mn-ea"/>
                        <a:cs typeface="Calibri" panose="020F0502020204030204" pitchFamily="34" charset="0"/>
                      </a:defRPr>
                    </a:pPr>
                    <a:fld id="{EBABAFCF-0F23-4A16-91D3-8B49774AA5DA}" type="CATEGORYNAME">
                      <a:rPr lang="en-US"/>
                      <a:pPr>
                        <a:defRPr/>
                      </a:pPr>
                      <a:t>[CATEGORY NAME]</a:t>
                    </a:fld>
                    <a:r>
                      <a:rPr lang="en-US"/>
                      <a:t> and family</a:t>
                    </a:r>
                    <a:r>
                      <a:rPr lang="en-US" baseline="0"/>
                      <a:t>, </a:t>
                    </a:r>
                    <a:fld id="{22D0C276-63C1-479F-83DF-5038AF63AA7B}"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800" b="0" i="0" u="none" strike="noStrike" kern="1200" spc="0" baseline="0">
                      <a:solidFill>
                        <a:schemeClr val="accent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D9-468A-8A50-12CDEDA97319}"/>
                </c:ext>
              </c:extLst>
            </c:dLbl>
            <c:dLbl>
              <c:idx val="1"/>
              <c:spPr>
                <a:noFill/>
                <a:ln>
                  <a:noFill/>
                </a:ln>
                <a:effectLst/>
              </c:spPr>
              <c:txPr>
                <a:bodyPr rot="0" spcFirstLastPara="1" vertOverflow="ellipsis" vert="horz" wrap="square" anchor="ctr" anchorCtr="1"/>
                <a:lstStyle/>
                <a:p>
                  <a:pPr>
                    <a:defRPr sz="800" b="0" i="0" u="none" strike="noStrike" kern="1200" spc="0" baseline="0">
                      <a:solidFill>
                        <a:schemeClr val="accent2">
                          <a:lumMod val="75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A3D9-468A-8A50-12CDEDA97319}"/>
                </c:ext>
              </c:extLst>
            </c:dLbl>
            <c:dLbl>
              <c:idx val="2"/>
              <c:layout>
                <c:manualLayout>
                  <c:x val="-2.2158209616662972E-2"/>
                  <c:y val="-2.9900332225913623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3"/>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9-468A-8A50-12CDEDA97319}"/>
                </c:ext>
              </c:extLst>
            </c:dLbl>
            <c:dLbl>
              <c:idx val="3"/>
              <c:layout>
                <c:manualLayout>
                  <c:x val="4.409722222222222E-3"/>
                  <c:y val="-6.9972451790633591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1">
                          <a:lumMod val="60000"/>
                          <a:lumOff val="4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D9-468A-8A50-12CDEDA97319}"/>
                </c:ext>
              </c:extLst>
            </c:dLbl>
            <c:dLbl>
              <c:idx val="4"/>
              <c:layout>
                <c:manualLayout>
                  <c:x val="-8.819444444444444E-3"/>
                  <c:y val="-9.3296602387511474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5"/>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D9-468A-8A50-12CDEDA97319}"/>
                </c:ext>
              </c:extLst>
            </c:dLbl>
            <c:dLbl>
              <c:idx val="5"/>
              <c:layout>
                <c:manualLayout>
                  <c:x val="8.0843973490926958E-17"/>
                  <c:y val="-0.1282828282828283"/>
                </c:manualLayout>
              </c:layout>
              <c:tx>
                <c:rich>
                  <a:bodyPr rot="0" spcFirstLastPara="1" vertOverflow="ellipsis" vert="horz" wrap="square" anchor="ctr" anchorCtr="1"/>
                  <a:lstStyle/>
                  <a:p>
                    <a:pPr>
                      <a:defRPr sz="800" b="0" i="0" u="none" strike="noStrike" kern="1200" spc="0" baseline="0">
                        <a:solidFill>
                          <a:schemeClr val="accent1"/>
                        </a:solidFill>
                        <a:latin typeface="Calibri" panose="020F0502020204030204" pitchFamily="34" charset="0"/>
                        <a:ea typeface="+mn-ea"/>
                        <a:cs typeface="Calibri" panose="020F0502020204030204" pitchFamily="34" charset="0"/>
                      </a:defRPr>
                    </a:pPr>
                    <a:r>
                      <a:rPr lang="en-US"/>
                      <a:t>Travel guides, </a:t>
                    </a:r>
                    <a:fld id="{30A2C2A0-5E7C-49F9-BA72-DA700869451E}" type="VALUE">
                      <a:rPr lang="en-US"/>
                      <a:pPr>
                        <a:defRPr>
                          <a:solidFill>
                            <a:schemeClr val="accent1"/>
                          </a:solidFill>
                        </a:defRPr>
                      </a:pPr>
                      <a:t>[VALUE]</a:t>
                    </a:fld>
                    <a:endParaRPr lang="en-US"/>
                  </a:p>
                </c:rich>
              </c:tx>
              <c:spPr>
                <a:noFill/>
                <a:ln>
                  <a:noFill/>
                </a:ln>
                <a:effectLst/>
              </c:spPr>
              <c:txPr>
                <a:bodyPr rot="0" spcFirstLastPara="1" vertOverflow="ellipsis" vert="horz" wrap="square" anchor="ctr" anchorCtr="1"/>
                <a:lstStyle/>
                <a:p>
                  <a:pPr>
                    <a:defRPr sz="800" b="0" i="0" u="none" strike="noStrike" kern="1200" spc="0" baseline="0">
                      <a:solidFill>
                        <a:schemeClr val="accent1"/>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3D9-468A-8A50-12CDEDA97319}"/>
                </c:ext>
              </c:extLst>
            </c:dLbl>
            <c:dLbl>
              <c:idx val="6"/>
              <c:layout>
                <c:manualLayout>
                  <c:x val="1.5466953734705165E-2"/>
                  <c:y val="-0.13702932482276925"/>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D9-468A-8A50-12CDEDA97319}"/>
                </c:ext>
              </c:extLst>
            </c:dLbl>
            <c:dLbl>
              <c:idx val="7"/>
              <c:layout>
                <c:manualLayout>
                  <c:x val="2.204861111111095E-2"/>
                  <c:y val="-0.12245179063360881"/>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D9-468A-8A50-12CDEDA97319}"/>
                </c:ext>
              </c:extLst>
            </c:dLbl>
            <c:dLbl>
              <c:idx val="8"/>
              <c:layout>
                <c:manualLayout>
                  <c:x val="1.984375E-2"/>
                  <c:y val="-0.10204315886134073"/>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D9-468A-8A50-12CDEDA97319}"/>
                </c:ext>
              </c:extLst>
            </c:dLbl>
            <c:dLbl>
              <c:idx val="9"/>
              <c:layout>
                <c:manualLayout>
                  <c:x val="2.4253468981123648E-2"/>
                  <c:y val="-4.6648180605331373E-2"/>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D9-468A-8A50-12CDEDA97319}"/>
                </c:ext>
              </c:extLst>
            </c:dLbl>
            <c:dLbl>
              <c:idx val="10"/>
              <c:layout>
                <c:manualLayout>
                  <c:x val="2.2158209616662972E-2"/>
                  <c:y val="3.3222591362125635E-3"/>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D9-468A-8A50-12CDEDA97319}"/>
                </c:ext>
              </c:extLst>
            </c:dLbl>
            <c:dLbl>
              <c:idx val="11"/>
              <c:layout>
                <c:manualLayout>
                  <c:x val="1.984375E-2"/>
                  <c:y val="5.8310376492194671E-2"/>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D9-468A-8A50-12CDEDA97319}"/>
                </c:ext>
              </c:extLst>
            </c:dLbl>
            <c:dLbl>
              <c:idx val="12"/>
              <c:layout>
                <c:manualLayout>
                  <c:x val="1.3229166666666506E-2"/>
                  <c:y val="9.9127640036730941E-2"/>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3D9-468A-8A50-12CDEDA97319}"/>
                </c:ext>
              </c:extLst>
            </c:dLbl>
            <c:dLbl>
              <c:idx val="13"/>
              <c:layout>
                <c:manualLayout>
                  <c:x val="1.5434027777777777E-2"/>
                  <c:y val="0.12245179063360881"/>
                </c:manualLayout>
              </c:layout>
              <c:spPr>
                <a:noFill/>
                <a:ln>
                  <a:noFill/>
                </a:ln>
                <a:effectLst/>
              </c:spPr>
              <c:txPr>
                <a:bodyPr rot="0" spcFirstLastPara="1" vertOverflow="ellipsis" vert="horz" wrap="square" anchor="ctr" anchorCtr="0"/>
                <a:lstStyle/>
                <a:p>
                  <a:pPr algn="l">
                    <a:defRPr sz="8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3D9-468A-8A50-12CDEDA97319}"/>
                </c:ext>
              </c:extLst>
            </c:dLbl>
            <c:dLbl>
              <c:idx val="14"/>
              <c:layout>
                <c:manualLayout>
                  <c:x val="-4.3658651908484846E-3"/>
                  <c:y val="1.0106730844690864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3">
                          <a:lumMod val="80000"/>
                          <a:lumOff val="2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3D9-468A-8A50-12CDEDA9731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'[Q12 Visa.xlsx]Sheet1'!$B$31:$B$44</c:f>
              <c:strCache>
                <c:ptCount val="14"/>
                <c:pt idx="0">
                  <c:v>Friends</c:v>
                </c:pt>
                <c:pt idx="1">
                  <c:v>Home Affairs website</c:v>
                </c:pt>
                <c:pt idx="2">
                  <c:v>Social media</c:v>
                </c:pt>
                <c:pt idx="3">
                  <c:v>Tourism Australia website</c:v>
                </c:pt>
                <c:pt idx="4">
                  <c:v>Media</c:v>
                </c:pt>
                <c:pt idx="5">
                  <c:v>Travel Guides</c:v>
                </c:pt>
                <c:pt idx="6">
                  <c:v>Job or internship</c:v>
                </c:pt>
                <c:pt idx="7">
                  <c:v>Other websites and research</c:v>
                </c:pt>
                <c:pt idx="8">
                  <c:v>International sources of WHM information</c:v>
                </c:pt>
                <c:pt idx="9">
                  <c:v>Australian Government (e.g. email)</c:v>
                </c:pt>
                <c:pt idx="10">
                  <c:v>Travel or travel agency</c:v>
                </c:pt>
                <c:pt idx="11">
                  <c:v>Promoted by educational institution</c:v>
                </c:pt>
                <c:pt idx="12">
                  <c:v>Study abroad contact or agency</c:v>
                </c:pt>
                <c:pt idx="13">
                  <c:v>Other</c:v>
                </c:pt>
              </c:strCache>
            </c:strRef>
          </c:cat>
          <c:val>
            <c:numRef>
              <c:f>'[Q12 Visa.xlsx]Sheet1'!$C$31:$C$44</c:f>
              <c:numCache>
                <c:formatCode>0.0%</c:formatCode>
                <c:ptCount val="14"/>
                <c:pt idx="0">
                  <c:v>0.59108646539330456</c:v>
                </c:pt>
                <c:pt idx="1">
                  <c:v>0.10145820497021976</c:v>
                </c:pt>
                <c:pt idx="2">
                  <c:v>0.11829944547134935</c:v>
                </c:pt>
                <c:pt idx="3">
                  <c:v>4.8161840213596221E-2</c:v>
                </c:pt>
                <c:pt idx="4">
                  <c:v>3.9843910453891969E-2</c:v>
                </c:pt>
                <c:pt idx="5">
                  <c:v>3.9433148490449786E-2</c:v>
                </c:pt>
                <c:pt idx="6">
                  <c:v>1.0166358595194085E-2</c:v>
                </c:pt>
                <c:pt idx="7">
                  <c:v>1.3144382830149928E-2</c:v>
                </c:pt>
                <c:pt idx="8">
                  <c:v>5.8533579790511396E-3</c:v>
                </c:pt>
                <c:pt idx="9">
                  <c:v>5.3399055247484086E-3</c:v>
                </c:pt>
                <c:pt idx="10">
                  <c:v>4.5183815978640379E-3</c:v>
                </c:pt>
                <c:pt idx="11">
                  <c:v>9.1394536865886215E-3</c:v>
                </c:pt>
                <c:pt idx="12">
                  <c:v>2.0538098172109263E-3</c:v>
                </c:pt>
                <c:pt idx="13">
                  <c:v>1.1501334976381188E-2</c:v>
                </c:pt>
              </c:numCache>
            </c:numRef>
          </c:val>
          <c:extLst>
            <c:ext xmlns:c16="http://schemas.microsoft.com/office/drawing/2014/chart" uri="{C3380CC4-5D6E-409C-BE32-E72D297353CC}">
              <c16:uniqueId val="{0000001E-A3D9-468A-8A50-12CDEDA97319}"/>
            </c:ext>
          </c:extLst>
        </c:ser>
        <c:dLbls>
          <c:dLblPos val="outEnd"/>
          <c:showLegendKey val="0"/>
          <c:showVal val="0"/>
          <c:showCatName val="1"/>
          <c:showSerName val="0"/>
          <c:showPercent val="0"/>
          <c:showBubbleSize val="0"/>
          <c:showLeaderLines val="1"/>
        </c:dLbls>
        <c:gapWidth val="100"/>
        <c:splitType val="pos"/>
        <c:splitPos val="8"/>
        <c:secondPieSize val="5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90902777777776"/>
          <c:y val="3.0596596773717909E-2"/>
          <c:w val="0.68312048611111109"/>
          <c:h val="0.8894718216402725"/>
        </c:manualLayout>
      </c:layout>
      <c:barChart>
        <c:barDir val="bar"/>
        <c:grouping val="clustered"/>
        <c:varyColors val="0"/>
        <c:ser>
          <c:idx val="0"/>
          <c:order val="0"/>
          <c:tx>
            <c:strRef>
              <c:f>'[Q12 Visa.xlsx]Q12.3 x gender'!$C$14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Visa.xlsx]Q12.3 x gender'!$B$15:$B$22</c:f>
              <c:strCache>
                <c:ptCount val="8"/>
                <c:pt idx="0">
                  <c:v>Yes, have been granted another</c:v>
                </c:pt>
                <c:pt idx="1">
                  <c:v>Yes, have applied for another</c:v>
                </c:pt>
                <c:pt idx="2">
                  <c:v>Yes, will be applying for another</c:v>
                </c:pt>
                <c:pt idx="3">
                  <c:v>Would like to apply, but don't meet requirements</c:v>
                </c:pt>
                <c:pt idx="4">
                  <c:v>No, don't want to</c:v>
                </c:pt>
                <c:pt idx="5">
                  <c:v>No, not permitted to</c:v>
                </c:pt>
                <c:pt idx="6">
                  <c:v>Haven't made up mind</c:v>
                </c:pt>
                <c:pt idx="7">
                  <c:v>Didn't know I could</c:v>
                </c:pt>
              </c:strCache>
            </c:strRef>
          </c:cat>
          <c:val>
            <c:numRef>
              <c:f>'[Q12 Visa.xlsx]Q12.3 x gender'!$C$15:$C$22</c:f>
              <c:numCache>
                <c:formatCode>0.0%</c:formatCode>
                <c:ptCount val="8"/>
                <c:pt idx="0">
                  <c:v>0.18357883251500273</c:v>
                </c:pt>
                <c:pt idx="1">
                  <c:v>3.3824331696672122E-2</c:v>
                </c:pt>
                <c:pt idx="2">
                  <c:v>0.14866339334424442</c:v>
                </c:pt>
                <c:pt idx="3">
                  <c:v>0.20376432078559739</c:v>
                </c:pt>
                <c:pt idx="4">
                  <c:v>0.107746863066012</c:v>
                </c:pt>
                <c:pt idx="5">
                  <c:v>0.14184397163120568</c:v>
                </c:pt>
                <c:pt idx="6">
                  <c:v>0.10692853246044735</c:v>
                </c:pt>
                <c:pt idx="7">
                  <c:v>7.3649754500818329E-2</c:v>
                </c:pt>
              </c:numCache>
            </c:numRef>
          </c:val>
          <c:extLst>
            <c:ext xmlns:c16="http://schemas.microsoft.com/office/drawing/2014/chart" uri="{C3380CC4-5D6E-409C-BE32-E72D297353CC}">
              <c16:uniqueId val="{00000000-284B-4A15-A0C5-C5A0F0B25A63}"/>
            </c:ext>
          </c:extLst>
        </c:ser>
        <c:ser>
          <c:idx val="1"/>
          <c:order val="1"/>
          <c:tx>
            <c:strRef>
              <c:f>'[Q12 Visa.xlsx]Q12.3 x gender'!$D$14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Visa.xlsx]Q12.3 x gender'!$B$15:$B$22</c:f>
              <c:strCache>
                <c:ptCount val="8"/>
                <c:pt idx="0">
                  <c:v>Yes, have been granted another</c:v>
                </c:pt>
                <c:pt idx="1">
                  <c:v>Yes, have applied for another</c:v>
                </c:pt>
                <c:pt idx="2">
                  <c:v>Yes, will be applying for another</c:v>
                </c:pt>
                <c:pt idx="3">
                  <c:v>Would like to apply, but don't meet requirements</c:v>
                </c:pt>
                <c:pt idx="4">
                  <c:v>No, don't want to</c:v>
                </c:pt>
                <c:pt idx="5">
                  <c:v>No, not permitted to</c:v>
                </c:pt>
                <c:pt idx="6">
                  <c:v>Haven't made up mind</c:v>
                </c:pt>
                <c:pt idx="7">
                  <c:v>Didn't know I could</c:v>
                </c:pt>
              </c:strCache>
            </c:strRef>
          </c:cat>
          <c:val>
            <c:numRef>
              <c:f>'[Q12 Visa.xlsx]Q12.3 x gender'!$D$15:$D$22</c:f>
              <c:numCache>
                <c:formatCode>0.0%</c:formatCode>
                <c:ptCount val="8"/>
                <c:pt idx="0">
                  <c:v>0.17078799868117375</c:v>
                </c:pt>
                <c:pt idx="1">
                  <c:v>2.9343883943290471E-2</c:v>
                </c:pt>
                <c:pt idx="2">
                  <c:v>0.12512363996043521</c:v>
                </c:pt>
                <c:pt idx="3">
                  <c:v>0.20046158918562479</c:v>
                </c:pt>
                <c:pt idx="4">
                  <c:v>0.12644246620507749</c:v>
                </c:pt>
                <c:pt idx="5">
                  <c:v>0.1373227827233762</c:v>
                </c:pt>
                <c:pt idx="6">
                  <c:v>0.11787009561490273</c:v>
                </c:pt>
                <c:pt idx="7">
                  <c:v>9.2647543686119355E-2</c:v>
                </c:pt>
              </c:numCache>
            </c:numRef>
          </c:val>
          <c:extLst>
            <c:ext xmlns:c16="http://schemas.microsoft.com/office/drawing/2014/chart" uri="{C3380CC4-5D6E-409C-BE32-E72D297353CC}">
              <c16:uniqueId val="{00000001-284B-4A15-A0C5-C5A0F0B25A63}"/>
            </c:ext>
          </c:extLst>
        </c:ser>
        <c:dLbls>
          <c:showLegendKey val="0"/>
          <c:showVal val="0"/>
          <c:showCatName val="0"/>
          <c:showSerName val="0"/>
          <c:showPercent val="0"/>
          <c:showBubbleSize val="0"/>
        </c:dLbls>
        <c:gapWidth val="60"/>
        <c:axId val="529118592"/>
        <c:axId val="529122512"/>
      </c:barChart>
      <c:catAx>
        <c:axId val="529118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2512"/>
        <c:crosses val="autoZero"/>
        <c:auto val="1"/>
        <c:lblAlgn val="ctr"/>
        <c:lblOffset val="100"/>
        <c:noMultiLvlLbl val="0"/>
      </c:catAx>
      <c:valAx>
        <c:axId val="529122512"/>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18592"/>
        <c:crosses val="max"/>
        <c:crossBetween val="between"/>
      </c:valAx>
      <c:spPr>
        <a:noFill/>
        <a:ln>
          <a:noFill/>
        </a:ln>
        <a:effectLst/>
      </c:spPr>
    </c:plotArea>
    <c:legend>
      <c:legendPos val="r"/>
      <c:layout>
        <c:manualLayout>
          <c:xMode val="edge"/>
          <c:yMode val="edge"/>
          <c:x val="0.86003854166666671"/>
          <c:y val="6.3372972806551658E-2"/>
          <c:w val="8.4839930555555554E-2"/>
          <c:h val="0.122520608677580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856875"/>
          <c:y val="0.22636141070601468"/>
          <c:w val="0.8374607638888889"/>
          <c:h val="0.69370703662042243"/>
        </c:manualLayout>
      </c:layout>
      <c:barChart>
        <c:barDir val="bar"/>
        <c:grouping val="percentStacked"/>
        <c:varyColors val="0"/>
        <c:ser>
          <c:idx val="0"/>
          <c:order val="0"/>
          <c:tx>
            <c:strRef>
              <c:f>'Q12.3 x age'!$B$41</c:f>
              <c:strCache>
                <c:ptCount val="1"/>
                <c:pt idx="0">
                  <c:v>Yes</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age'!$C$41:$F$41</c:f>
              <c:numCache>
                <c:formatCode>0.0%</c:formatCode>
                <c:ptCount val="4"/>
                <c:pt idx="0">
                  <c:v>0.21839080459770116</c:v>
                </c:pt>
                <c:pt idx="1">
                  <c:v>0.35904672311069297</c:v>
                </c:pt>
                <c:pt idx="2">
                  <c:v>0.37427385892116183</c:v>
                </c:pt>
                <c:pt idx="3">
                  <c:v>0.17741935483870969</c:v>
                </c:pt>
              </c:numCache>
            </c:numRef>
          </c:val>
          <c:extLst>
            <c:ext xmlns:c16="http://schemas.microsoft.com/office/drawing/2014/chart" uri="{C3380CC4-5D6E-409C-BE32-E72D297353CC}">
              <c16:uniqueId val="{00000000-3D96-4703-AA10-545518544177}"/>
            </c:ext>
          </c:extLst>
        </c:ser>
        <c:ser>
          <c:idx val="1"/>
          <c:order val="1"/>
          <c:tx>
            <c:strRef>
              <c:f>'Q12.3 x age'!$B$42</c:f>
              <c:strCache>
                <c:ptCount val="1"/>
                <c:pt idx="0">
                  <c:v>No, don't want to</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age'!$C$42:$F$42</c:f>
              <c:numCache>
                <c:formatCode>0.0%</c:formatCode>
                <c:ptCount val="4"/>
                <c:pt idx="0">
                  <c:v>8.6845466155810985E-2</c:v>
                </c:pt>
                <c:pt idx="1">
                  <c:v>0.1050486045782377</c:v>
                </c:pt>
                <c:pt idx="2">
                  <c:v>0.13775933609958507</c:v>
                </c:pt>
                <c:pt idx="3">
                  <c:v>9.3052109181141443E-2</c:v>
                </c:pt>
              </c:numCache>
            </c:numRef>
          </c:val>
          <c:extLst>
            <c:ext xmlns:c16="http://schemas.microsoft.com/office/drawing/2014/chart" uri="{C3380CC4-5D6E-409C-BE32-E72D297353CC}">
              <c16:uniqueId val="{00000001-3D96-4703-AA10-545518544177}"/>
            </c:ext>
          </c:extLst>
        </c:ser>
        <c:ser>
          <c:idx val="2"/>
          <c:order val="2"/>
          <c:tx>
            <c:strRef>
              <c:f>'Q12.3 x age'!$B$43</c:f>
              <c:strCache>
                <c:ptCount val="1"/>
                <c:pt idx="0">
                  <c:v>No, not permitted to</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age'!$C$43:$F$43</c:f>
              <c:numCache>
                <c:formatCode>0.0%</c:formatCode>
                <c:ptCount val="4"/>
                <c:pt idx="0">
                  <c:v>8.8122605363984668E-2</c:v>
                </c:pt>
                <c:pt idx="1">
                  <c:v>9.3446221386014425E-2</c:v>
                </c:pt>
                <c:pt idx="2">
                  <c:v>0.13962655601659751</c:v>
                </c:pt>
                <c:pt idx="3">
                  <c:v>0.34863523573200994</c:v>
                </c:pt>
              </c:numCache>
            </c:numRef>
          </c:val>
          <c:extLst>
            <c:ext xmlns:c16="http://schemas.microsoft.com/office/drawing/2014/chart" uri="{C3380CC4-5D6E-409C-BE32-E72D297353CC}">
              <c16:uniqueId val="{00000002-3D96-4703-AA10-545518544177}"/>
            </c:ext>
          </c:extLst>
        </c:ser>
        <c:ser>
          <c:idx val="3"/>
          <c:order val="3"/>
          <c:tx>
            <c:strRef>
              <c:f>'Q12.3 x age'!$B$44</c:f>
              <c:strCache>
                <c:ptCount val="1"/>
                <c:pt idx="0">
                  <c:v>Would like to apply, but don't meet requirements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age'!$C$44:$F$44</c:f>
              <c:numCache>
                <c:formatCode>0.0%</c:formatCode>
                <c:ptCount val="4"/>
                <c:pt idx="0">
                  <c:v>0.28352490421455939</c:v>
                </c:pt>
                <c:pt idx="1">
                  <c:v>0.22044528065224209</c:v>
                </c:pt>
                <c:pt idx="2">
                  <c:v>0.17157676348547718</c:v>
                </c:pt>
                <c:pt idx="3">
                  <c:v>0.24441687344913152</c:v>
                </c:pt>
              </c:numCache>
            </c:numRef>
          </c:val>
          <c:extLst>
            <c:ext xmlns:c16="http://schemas.microsoft.com/office/drawing/2014/chart" uri="{C3380CC4-5D6E-409C-BE32-E72D297353CC}">
              <c16:uniqueId val="{00000003-3D96-4703-AA10-545518544177}"/>
            </c:ext>
          </c:extLst>
        </c:ser>
        <c:ser>
          <c:idx val="4"/>
          <c:order val="4"/>
          <c:tx>
            <c:strRef>
              <c:f>'Q12.3 x age'!$B$45</c:f>
              <c:strCache>
                <c:ptCount val="1"/>
                <c:pt idx="0">
                  <c:v>Haven't made up mind</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age'!$C$45:$F$45</c:f>
              <c:numCache>
                <c:formatCode>0.0%</c:formatCode>
                <c:ptCount val="4"/>
                <c:pt idx="0">
                  <c:v>0.20434227330779056</c:v>
                </c:pt>
                <c:pt idx="1">
                  <c:v>0.13076199435559738</c:v>
                </c:pt>
                <c:pt idx="2">
                  <c:v>9.8962655601659746E-2</c:v>
                </c:pt>
                <c:pt idx="3">
                  <c:v>5.4590570719602979E-2</c:v>
                </c:pt>
              </c:numCache>
            </c:numRef>
          </c:val>
          <c:extLst>
            <c:ext xmlns:c16="http://schemas.microsoft.com/office/drawing/2014/chart" uri="{C3380CC4-5D6E-409C-BE32-E72D297353CC}">
              <c16:uniqueId val="{00000004-3D96-4703-AA10-545518544177}"/>
            </c:ext>
          </c:extLst>
        </c:ser>
        <c:ser>
          <c:idx val="5"/>
          <c:order val="5"/>
          <c:tx>
            <c:strRef>
              <c:f>'Q12.3 x age'!$B$46</c:f>
              <c:strCache>
                <c:ptCount val="1"/>
                <c:pt idx="0">
                  <c:v>Didn't know I could</c:v>
                </c:pt>
              </c:strCache>
            </c:strRef>
          </c:tx>
          <c:spPr>
            <a:pattFill prst="ltUpDiag">
              <a:fgClr>
                <a:schemeClr val="accent2">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age'!$C$30:$F$30</c:f>
              <c:strCache>
                <c:ptCount val="4"/>
                <c:pt idx="0">
                  <c:v>Age 18-19</c:v>
                </c:pt>
                <c:pt idx="1">
                  <c:v>Age 20-24</c:v>
                </c:pt>
                <c:pt idx="2">
                  <c:v>Age 25-30</c:v>
                </c:pt>
                <c:pt idx="3">
                  <c:v>Age 31+</c:v>
                </c:pt>
              </c:strCache>
            </c:strRef>
          </c:cat>
          <c:val>
            <c:numRef>
              <c:f>'Q12.3 x age'!$C$46:$F$46</c:f>
              <c:numCache>
                <c:formatCode>0.0%</c:formatCode>
                <c:ptCount val="4"/>
                <c:pt idx="0">
                  <c:v>0.11877394636015326</c:v>
                </c:pt>
                <c:pt idx="1">
                  <c:v>9.1251175917215432E-2</c:v>
                </c:pt>
                <c:pt idx="2">
                  <c:v>7.7800829875518673E-2</c:v>
                </c:pt>
                <c:pt idx="3">
                  <c:v>8.1885856079404462E-2</c:v>
                </c:pt>
              </c:numCache>
            </c:numRef>
          </c:val>
          <c:extLst>
            <c:ext xmlns:c16="http://schemas.microsoft.com/office/drawing/2014/chart" uri="{C3380CC4-5D6E-409C-BE32-E72D297353CC}">
              <c16:uniqueId val="{00000005-3D96-4703-AA10-545518544177}"/>
            </c:ext>
          </c:extLst>
        </c:ser>
        <c:dLbls>
          <c:showLegendKey val="0"/>
          <c:showVal val="0"/>
          <c:showCatName val="0"/>
          <c:showSerName val="0"/>
          <c:showPercent val="0"/>
          <c:showBubbleSize val="0"/>
        </c:dLbls>
        <c:gapWidth val="60"/>
        <c:overlap val="100"/>
        <c:axId val="529122904"/>
        <c:axId val="529119376"/>
      </c:barChart>
      <c:catAx>
        <c:axId val="529122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19376"/>
        <c:crosses val="autoZero"/>
        <c:auto val="1"/>
        <c:lblAlgn val="ctr"/>
        <c:lblOffset val="100"/>
        <c:noMultiLvlLbl val="0"/>
      </c:catAx>
      <c:valAx>
        <c:axId val="5291193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2904"/>
        <c:crosses val="autoZero"/>
        <c:crossBetween val="between"/>
      </c:valAx>
      <c:spPr>
        <a:noFill/>
        <a:ln>
          <a:noFill/>
        </a:ln>
        <a:effectLst/>
      </c:spPr>
    </c:plotArea>
    <c:legend>
      <c:legendPos val="t"/>
      <c:layout>
        <c:manualLayout>
          <c:xMode val="edge"/>
          <c:yMode val="edge"/>
          <c:x val="0"/>
          <c:y val="2.8011204481792718E-2"/>
          <c:w val="0.99724086671749679"/>
          <c:h val="0.17290743068881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856875"/>
          <c:y val="0.17802782023254465"/>
          <c:w val="0.8374607638888889"/>
          <c:h val="0.74204079526914168"/>
        </c:manualLayout>
      </c:layout>
      <c:barChart>
        <c:barDir val="bar"/>
        <c:grouping val="percentStacked"/>
        <c:varyColors val="0"/>
        <c:ser>
          <c:idx val="0"/>
          <c:order val="0"/>
          <c:tx>
            <c:strRef>
              <c:f>'Q12.3 x citizen'!$B$26</c:f>
              <c:strCache>
                <c:ptCount val="1"/>
                <c:pt idx="0">
                  <c:v>Yes</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citizen'!$C$26:$L$26</c:f>
              <c:numCache>
                <c:formatCode>0.0%</c:formatCode>
                <c:ptCount val="10"/>
                <c:pt idx="0">
                  <c:v>0.32747252747252747</c:v>
                </c:pt>
                <c:pt idx="1">
                  <c:v>0.24724871606749815</c:v>
                </c:pt>
                <c:pt idx="2">
                  <c:v>0.38078602620087332</c:v>
                </c:pt>
                <c:pt idx="3">
                  <c:v>0.41317898486197685</c:v>
                </c:pt>
                <c:pt idx="4">
                  <c:v>0.36341756919374246</c:v>
                </c:pt>
                <c:pt idx="5">
                  <c:v>0.22651933701657456</c:v>
                </c:pt>
                <c:pt idx="6">
                  <c:v>0.35384615384615387</c:v>
                </c:pt>
                <c:pt idx="7">
                  <c:v>0.30232558139534882</c:v>
                </c:pt>
                <c:pt idx="8">
                  <c:v>0.42290748898678415</c:v>
                </c:pt>
                <c:pt idx="9">
                  <c:v>0.26984126984126988</c:v>
                </c:pt>
              </c:numCache>
            </c:numRef>
          </c:val>
          <c:extLst>
            <c:ext xmlns:c16="http://schemas.microsoft.com/office/drawing/2014/chart" uri="{C3380CC4-5D6E-409C-BE32-E72D297353CC}">
              <c16:uniqueId val="{00000000-F95D-479B-9512-6C11CBCF219B}"/>
            </c:ext>
          </c:extLst>
        </c:ser>
        <c:ser>
          <c:idx val="1"/>
          <c:order val="1"/>
          <c:tx>
            <c:strRef>
              <c:f>'Q12.3 x citizen'!$B$27</c:f>
              <c:strCache>
                <c:ptCount val="1"/>
                <c:pt idx="0">
                  <c:v>No, don't want to</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citizen'!$C$27:$L$27</c:f>
              <c:numCache>
                <c:formatCode>0.0%</c:formatCode>
                <c:ptCount val="10"/>
                <c:pt idx="0">
                  <c:v>0.12234432234432234</c:v>
                </c:pt>
                <c:pt idx="1">
                  <c:v>9.4644167278063102E-2</c:v>
                </c:pt>
                <c:pt idx="2">
                  <c:v>0.125764192139738</c:v>
                </c:pt>
                <c:pt idx="3">
                  <c:v>9.5280498664292071E-2</c:v>
                </c:pt>
                <c:pt idx="4">
                  <c:v>9.5066185318892896E-2</c:v>
                </c:pt>
                <c:pt idx="5">
                  <c:v>0.19521178637200737</c:v>
                </c:pt>
                <c:pt idx="6">
                  <c:v>0.14423076923076922</c:v>
                </c:pt>
                <c:pt idx="7">
                  <c:v>0.16279069767441862</c:v>
                </c:pt>
                <c:pt idx="8">
                  <c:v>0.10572687224669604</c:v>
                </c:pt>
                <c:pt idx="9">
                  <c:v>0.11428571428571428</c:v>
                </c:pt>
              </c:numCache>
            </c:numRef>
          </c:val>
          <c:extLst>
            <c:ext xmlns:c16="http://schemas.microsoft.com/office/drawing/2014/chart" uri="{C3380CC4-5D6E-409C-BE32-E72D297353CC}">
              <c16:uniqueId val="{00000001-F95D-479B-9512-6C11CBCF219B}"/>
            </c:ext>
          </c:extLst>
        </c:ser>
        <c:ser>
          <c:idx val="2"/>
          <c:order val="2"/>
          <c:tx>
            <c:strRef>
              <c:f>'Q12.3 x citizen'!$B$28</c:f>
              <c:strCache>
                <c:ptCount val="1"/>
                <c:pt idx="0">
                  <c:v>No, not permitted to</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citizen'!$C$28:$L$28</c:f>
              <c:numCache>
                <c:formatCode>0.0%</c:formatCode>
                <c:ptCount val="10"/>
                <c:pt idx="0">
                  <c:v>0.18608058608058609</c:v>
                </c:pt>
                <c:pt idx="1">
                  <c:v>0.1467351430667645</c:v>
                </c:pt>
                <c:pt idx="2">
                  <c:v>0.12838427947598252</c:v>
                </c:pt>
                <c:pt idx="3">
                  <c:v>7.3909171861086378E-2</c:v>
                </c:pt>
                <c:pt idx="4">
                  <c:v>0.1865222623345367</c:v>
                </c:pt>
                <c:pt idx="5">
                  <c:v>0.14917127071823205</c:v>
                </c:pt>
                <c:pt idx="6">
                  <c:v>5.9615384615384619E-2</c:v>
                </c:pt>
                <c:pt idx="7">
                  <c:v>0.10077519379844961</c:v>
                </c:pt>
                <c:pt idx="8">
                  <c:v>0.1211453744493392</c:v>
                </c:pt>
                <c:pt idx="9">
                  <c:v>0.15555555555555556</c:v>
                </c:pt>
              </c:numCache>
            </c:numRef>
          </c:val>
          <c:extLst>
            <c:ext xmlns:c16="http://schemas.microsoft.com/office/drawing/2014/chart" uri="{C3380CC4-5D6E-409C-BE32-E72D297353CC}">
              <c16:uniqueId val="{00000002-F95D-479B-9512-6C11CBCF219B}"/>
            </c:ext>
          </c:extLst>
        </c:ser>
        <c:ser>
          <c:idx val="3"/>
          <c:order val="3"/>
          <c:tx>
            <c:strRef>
              <c:f>'Q12.3 x citizen'!$B$29</c:f>
              <c:strCache>
                <c:ptCount val="1"/>
                <c:pt idx="0">
                  <c:v>Would like to apply, but don't meet requirements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citizen'!$C$29:$L$29</c:f>
              <c:numCache>
                <c:formatCode>0.0%</c:formatCode>
                <c:ptCount val="10"/>
                <c:pt idx="0">
                  <c:v>0.20293040293040293</c:v>
                </c:pt>
                <c:pt idx="1">
                  <c:v>0.26632428466617752</c:v>
                </c:pt>
                <c:pt idx="2">
                  <c:v>0.18515283842794761</c:v>
                </c:pt>
                <c:pt idx="3">
                  <c:v>0.1736420302760463</c:v>
                </c:pt>
                <c:pt idx="4">
                  <c:v>0.21419975932611313</c:v>
                </c:pt>
                <c:pt idx="5">
                  <c:v>0.18784530386740331</c:v>
                </c:pt>
                <c:pt idx="6">
                  <c:v>0.19807692307692307</c:v>
                </c:pt>
                <c:pt idx="7">
                  <c:v>0.23643410852713179</c:v>
                </c:pt>
                <c:pt idx="8">
                  <c:v>0.11013215859030837</c:v>
                </c:pt>
                <c:pt idx="9">
                  <c:v>0.26984126984126983</c:v>
                </c:pt>
              </c:numCache>
            </c:numRef>
          </c:val>
          <c:extLst>
            <c:ext xmlns:c16="http://schemas.microsoft.com/office/drawing/2014/chart" uri="{C3380CC4-5D6E-409C-BE32-E72D297353CC}">
              <c16:uniqueId val="{00000003-F95D-479B-9512-6C11CBCF219B}"/>
            </c:ext>
          </c:extLst>
        </c:ser>
        <c:ser>
          <c:idx val="4"/>
          <c:order val="4"/>
          <c:tx>
            <c:strRef>
              <c:f>'Q12.3 x citizen'!$B$30</c:f>
              <c:strCache>
                <c:ptCount val="1"/>
                <c:pt idx="0">
                  <c:v>Haven't made up mind</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citizen'!$C$30:$L$30</c:f>
              <c:numCache>
                <c:formatCode>0.0%</c:formatCode>
                <c:ptCount val="10"/>
                <c:pt idx="0">
                  <c:v>7.2527472527472533E-2</c:v>
                </c:pt>
                <c:pt idx="1">
                  <c:v>0.16067498165810712</c:v>
                </c:pt>
                <c:pt idx="2">
                  <c:v>0.10218340611353711</c:v>
                </c:pt>
                <c:pt idx="3">
                  <c:v>0.1585040071237756</c:v>
                </c:pt>
                <c:pt idx="4">
                  <c:v>6.9795427196149215E-2</c:v>
                </c:pt>
                <c:pt idx="5">
                  <c:v>0.1141804788213628</c:v>
                </c:pt>
                <c:pt idx="6">
                  <c:v>0.11153846153846154</c:v>
                </c:pt>
                <c:pt idx="7">
                  <c:v>0.11434108527131782</c:v>
                </c:pt>
                <c:pt idx="8">
                  <c:v>0.1277533039647577</c:v>
                </c:pt>
                <c:pt idx="9">
                  <c:v>0.13015873015873017</c:v>
                </c:pt>
              </c:numCache>
            </c:numRef>
          </c:val>
          <c:extLst>
            <c:ext xmlns:c16="http://schemas.microsoft.com/office/drawing/2014/chart" uri="{C3380CC4-5D6E-409C-BE32-E72D297353CC}">
              <c16:uniqueId val="{00000004-F95D-479B-9512-6C11CBCF219B}"/>
            </c:ext>
          </c:extLst>
        </c:ser>
        <c:ser>
          <c:idx val="5"/>
          <c:order val="5"/>
          <c:tx>
            <c:strRef>
              <c:f>'Q12.3 x citizen'!$B$31</c:f>
              <c:strCache>
                <c:ptCount val="1"/>
                <c:pt idx="0">
                  <c:v>Didn't know I could</c:v>
                </c:pt>
              </c:strCache>
            </c:strRef>
          </c:tx>
          <c:spPr>
            <a:pattFill prst="ltUpDiag">
              <a:fgClr>
                <a:schemeClr val="accent2">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'Q12.3 x citizen'!$C$25:$L$25</c:f>
              <c:strCache>
                <c:ptCount val="10"/>
                <c:pt idx="0">
                  <c:v>UK</c:v>
                </c:pt>
                <c:pt idx="1">
                  <c:v>Germany</c:v>
                </c:pt>
                <c:pt idx="2">
                  <c:v>France</c:v>
                </c:pt>
                <c:pt idx="3">
                  <c:v>Taiwan</c:v>
                </c:pt>
                <c:pt idx="4">
                  <c:v>Italy</c:v>
                </c:pt>
                <c:pt idx="5">
                  <c:v>USA</c:v>
                </c:pt>
                <c:pt idx="6">
                  <c:v>Korea</c:v>
                </c:pt>
                <c:pt idx="7">
                  <c:v>Canada</c:v>
                </c:pt>
                <c:pt idx="8">
                  <c:v>Japan</c:v>
                </c:pt>
                <c:pt idx="9">
                  <c:v>Netherlands</c:v>
                </c:pt>
              </c:strCache>
            </c:strRef>
          </c:cat>
          <c:val>
            <c:numRef>
              <c:f>'Q12.3 x citizen'!$C$31:$L$31</c:f>
              <c:numCache>
                <c:formatCode>0.0%</c:formatCode>
                <c:ptCount val="10"/>
                <c:pt idx="0">
                  <c:v>8.8644688644688649E-2</c:v>
                </c:pt>
                <c:pt idx="1">
                  <c:v>8.4372707263389579E-2</c:v>
                </c:pt>
                <c:pt idx="2">
                  <c:v>7.7729257641921401E-2</c:v>
                </c:pt>
                <c:pt idx="3">
                  <c:v>8.5485307212822798E-2</c:v>
                </c:pt>
                <c:pt idx="4">
                  <c:v>7.0998796630565589E-2</c:v>
                </c:pt>
                <c:pt idx="5">
                  <c:v>0.1270718232044199</c:v>
                </c:pt>
                <c:pt idx="6">
                  <c:v>0.13269230769230769</c:v>
                </c:pt>
                <c:pt idx="7">
                  <c:v>8.3333333333333329E-2</c:v>
                </c:pt>
                <c:pt idx="8">
                  <c:v>0.11233480176211454</c:v>
                </c:pt>
                <c:pt idx="9">
                  <c:v>6.0317460317460318E-2</c:v>
                </c:pt>
              </c:numCache>
            </c:numRef>
          </c:val>
          <c:extLst>
            <c:ext xmlns:c16="http://schemas.microsoft.com/office/drawing/2014/chart" uri="{C3380CC4-5D6E-409C-BE32-E72D297353CC}">
              <c16:uniqueId val="{00000005-F95D-479B-9512-6C11CBCF219B}"/>
            </c:ext>
          </c:extLst>
        </c:ser>
        <c:dLbls>
          <c:showLegendKey val="0"/>
          <c:showVal val="0"/>
          <c:showCatName val="0"/>
          <c:showSerName val="0"/>
          <c:showPercent val="0"/>
          <c:showBubbleSize val="0"/>
        </c:dLbls>
        <c:gapWidth val="60"/>
        <c:overlap val="100"/>
        <c:axId val="529124080"/>
        <c:axId val="529119768"/>
      </c:barChart>
      <c:catAx>
        <c:axId val="52912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19768"/>
        <c:crosses val="autoZero"/>
        <c:auto val="1"/>
        <c:lblAlgn val="ctr"/>
        <c:lblOffset val="100"/>
        <c:noMultiLvlLbl val="0"/>
      </c:catAx>
      <c:valAx>
        <c:axId val="5291197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4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853792456089233"/>
          <c:y val="0.12063410832877797"/>
          <c:w val="0.67043170124452367"/>
          <c:h val="0.81631793810116438"/>
        </c:manualLayout>
      </c:layout>
      <c:barChart>
        <c:barDir val="bar"/>
        <c:grouping val="stacked"/>
        <c:varyColors val="0"/>
        <c:ser>
          <c:idx val="0"/>
          <c:order val="0"/>
          <c:tx>
            <c:strRef>
              <c:f>Sheet1!$N$17</c:f>
              <c:strCache>
                <c:ptCount val="1"/>
                <c:pt idx="0">
                  <c:v>University degree</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Sheet1!$M$18:$M$28</c:f>
              <c:strCache>
                <c:ptCount val="11"/>
                <c:pt idx="0">
                  <c:v>Total (n=9606)</c:v>
                </c:pt>
                <c:pt idx="1">
                  <c:v>Ireland, Republic of (n=304)</c:v>
                </c:pt>
                <c:pt idx="2">
                  <c:v>Japan (n=446)</c:v>
                </c:pt>
                <c:pt idx="3">
                  <c:v>United States of America (n=543)</c:v>
                </c:pt>
                <c:pt idx="4">
                  <c:v>Canada (n=516)</c:v>
                </c:pt>
                <c:pt idx="5">
                  <c:v>Korea, South (n=502)</c:v>
                </c:pt>
                <c:pt idx="6">
                  <c:v>Italy (n=836)</c:v>
                </c:pt>
                <c:pt idx="7">
                  <c:v>France (n=1136)</c:v>
                </c:pt>
                <c:pt idx="8">
                  <c:v>Germany, Fed Republic of (n=1348)</c:v>
                </c:pt>
                <c:pt idx="9">
                  <c:v>Taiwan (n=1075)</c:v>
                </c:pt>
                <c:pt idx="10">
                  <c:v>United Kingdom (n=1349)</c:v>
                </c:pt>
              </c:strCache>
              <c:extLst/>
            </c:strRef>
          </c:cat>
          <c:val>
            <c:numRef>
              <c:f>Sheet1!$N$18:$N$28</c:f>
              <c:numCache>
                <c:formatCode>0.0%</c:formatCode>
                <c:ptCount val="11"/>
                <c:pt idx="0">
                  <c:v>0.65167603581095146</c:v>
                </c:pt>
                <c:pt idx="1">
                  <c:v>0.75657894736842102</c:v>
                </c:pt>
                <c:pt idx="2">
                  <c:v>0.67264573991031396</c:v>
                </c:pt>
                <c:pt idx="3">
                  <c:v>0.77532228360957645</c:v>
                </c:pt>
                <c:pt idx="4">
                  <c:v>0.5852713178294574</c:v>
                </c:pt>
                <c:pt idx="5">
                  <c:v>0.7549800796812749</c:v>
                </c:pt>
                <c:pt idx="6">
                  <c:v>0.52272727272727271</c:v>
                </c:pt>
                <c:pt idx="7">
                  <c:v>0.7869718309859155</c:v>
                </c:pt>
                <c:pt idx="8">
                  <c:v>0.28931750741839762</c:v>
                </c:pt>
                <c:pt idx="9">
                  <c:v>0.88279069767441865</c:v>
                </c:pt>
                <c:pt idx="10">
                  <c:v>0.62194217939214236</c:v>
                </c:pt>
              </c:numCache>
              <c:extLst/>
            </c:numRef>
          </c:val>
          <c:extLst>
            <c:ext xmlns:c16="http://schemas.microsoft.com/office/drawing/2014/chart" uri="{C3380CC4-5D6E-409C-BE32-E72D297353CC}">
              <c16:uniqueId val="{00000000-1C20-4069-B971-A04A51DCDE4B}"/>
            </c:ext>
          </c:extLst>
        </c:ser>
        <c:ser>
          <c:idx val="1"/>
          <c:order val="1"/>
          <c:tx>
            <c:strRef>
              <c:f>Sheet1!$O$17</c:f>
              <c:strCache>
                <c:ptCount val="1"/>
                <c:pt idx="0">
                  <c:v>Trade qualification</c:v>
                </c:pt>
              </c:strCache>
            </c:strRef>
          </c:tx>
          <c:spPr>
            <a:solidFill>
              <a:schemeClr val="accent2">
                <a:shade val="76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1C20-4069-B971-A04A51DCDE4B}"/>
                </c:ext>
              </c:extLst>
            </c:dLbl>
            <c:dLbl>
              <c:idx val="5"/>
              <c:delete val="1"/>
              <c:extLst>
                <c:ext xmlns:c15="http://schemas.microsoft.com/office/drawing/2012/chart" uri="{CE6537A1-D6FC-4f65-9D91-7224C49458BB}"/>
                <c:ext xmlns:c16="http://schemas.microsoft.com/office/drawing/2014/chart" uri="{C3380CC4-5D6E-409C-BE32-E72D297353CC}">
                  <c16:uniqueId val="{0000000A-1C20-4069-B971-A04A51DCDE4B}"/>
                </c:ext>
              </c:extLst>
            </c:dLbl>
            <c:dLbl>
              <c:idx val="6"/>
              <c:delete val="1"/>
              <c:extLst>
                <c:ext xmlns:c15="http://schemas.microsoft.com/office/drawing/2012/chart" uri="{CE6537A1-D6FC-4f65-9D91-7224C49458BB}"/>
                <c:ext xmlns:c16="http://schemas.microsoft.com/office/drawing/2014/chart" uri="{C3380CC4-5D6E-409C-BE32-E72D297353CC}">
                  <c16:uniqueId val="{00000008-1C20-4069-B971-A04A51DCDE4B}"/>
                </c:ext>
              </c:extLst>
            </c:dLbl>
            <c:dLbl>
              <c:idx val="9"/>
              <c:delete val="1"/>
              <c:extLst>
                <c:ext xmlns:c15="http://schemas.microsoft.com/office/drawing/2012/chart" uri="{CE6537A1-D6FC-4f65-9D91-7224C49458BB}"/>
                <c:ext xmlns:c16="http://schemas.microsoft.com/office/drawing/2014/chart" uri="{C3380CC4-5D6E-409C-BE32-E72D297353CC}">
                  <c16:uniqueId val="{00000009-1C20-4069-B971-A04A51DCDE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Sheet1!$M$18:$M$28</c:f>
              <c:strCache>
                <c:ptCount val="11"/>
                <c:pt idx="0">
                  <c:v>Total (n=9606)</c:v>
                </c:pt>
                <c:pt idx="1">
                  <c:v>Ireland, Republic of (n=304)</c:v>
                </c:pt>
                <c:pt idx="2">
                  <c:v>Japan (n=446)</c:v>
                </c:pt>
                <c:pt idx="3">
                  <c:v>United States of America (n=543)</c:v>
                </c:pt>
                <c:pt idx="4">
                  <c:v>Canada (n=516)</c:v>
                </c:pt>
                <c:pt idx="5">
                  <c:v>Korea, South (n=502)</c:v>
                </c:pt>
                <c:pt idx="6">
                  <c:v>Italy (n=836)</c:v>
                </c:pt>
                <c:pt idx="7">
                  <c:v>France (n=1136)</c:v>
                </c:pt>
                <c:pt idx="8">
                  <c:v>Germany, Fed Republic of (n=1348)</c:v>
                </c:pt>
                <c:pt idx="9">
                  <c:v>Taiwan (n=1075)</c:v>
                </c:pt>
                <c:pt idx="10">
                  <c:v>United Kingdom (n=1349)</c:v>
                </c:pt>
              </c:strCache>
              <c:extLst/>
            </c:strRef>
          </c:cat>
          <c:val>
            <c:numRef>
              <c:f>Sheet1!$O$18:$O$28</c:f>
              <c:numCache>
                <c:formatCode>0.0%</c:formatCode>
                <c:ptCount val="11"/>
                <c:pt idx="0">
                  <c:v>8.3593587341245057E-2</c:v>
                </c:pt>
                <c:pt idx="1">
                  <c:v>0.1118421052631579</c:v>
                </c:pt>
                <c:pt idx="2">
                  <c:v>6.0538116591928252E-2</c:v>
                </c:pt>
                <c:pt idx="3">
                  <c:v>4.2357274401473299E-2</c:v>
                </c:pt>
                <c:pt idx="4">
                  <c:v>0.11821705426356589</c:v>
                </c:pt>
                <c:pt idx="5">
                  <c:v>3.5856573705179286E-2</c:v>
                </c:pt>
                <c:pt idx="6">
                  <c:v>4.9043062200956937E-2</c:v>
                </c:pt>
                <c:pt idx="7">
                  <c:v>7.5704225352112672E-2</c:v>
                </c:pt>
                <c:pt idx="8">
                  <c:v>0.15578635014836795</c:v>
                </c:pt>
                <c:pt idx="9">
                  <c:v>1.3953488372093023E-2</c:v>
                </c:pt>
                <c:pt idx="10">
                  <c:v>0.13120830244625648</c:v>
                </c:pt>
              </c:numCache>
              <c:extLst/>
            </c:numRef>
          </c:val>
          <c:extLst>
            <c:ext xmlns:c16="http://schemas.microsoft.com/office/drawing/2014/chart" uri="{C3380CC4-5D6E-409C-BE32-E72D297353CC}">
              <c16:uniqueId val="{00000001-1C20-4069-B971-A04A51DCDE4B}"/>
            </c:ext>
          </c:extLst>
        </c:ser>
        <c:ser>
          <c:idx val="2"/>
          <c:order val="2"/>
          <c:tx>
            <c:strRef>
              <c:f>Sheet1!$P$17</c:f>
              <c:strCache>
                <c:ptCount val="1"/>
                <c:pt idx="0">
                  <c:v>Other post-school qualification</c:v>
                </c:pt>
              </c:strCache>
            </c:strRef>
          </c:tx>
          <c:spPr>
            <a:solidFill>
              <a:schemeClr val="accent2"/>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0-4069-B971-A04A51DCDE4B}"/>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20-4069-B971-A04A51DCDE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Sheet1!$M$18:$M$28</c:f>
              <c:strCache>
                <c:ptCount val="11"/>
                <c:pt idx="0">
                  <c:v>Total (n=9606)</c:v>
                </c:pt>
                <c:pt idx="1">
                  <c:v>Ireland, Republic of (n=304)</c:v>
                </c:pt>
                <c:pt idx="2">
                  <c:v>Japan (n=446)</c:v>
                </c:pt>
                <c:pt idx="3">
                  <c:v>United States of America (n=543)</c:v>
                </c:pt>
                <c:pt idx="4">
                  <c:v>Canada (n=516)</c:v>
                </c:pt>
                <c:pt idx="5">
                  <c:v>Korea, South (n=502)</c:v>
                </c:pt>
                <c:pt idx="6">
                  <c:v>Italy (n=836)</c:v>
                </c:pt>
                <c:pt idx="7">
                  <c:v>France (n=1136)</c:v>
                </c:pt>
                <c:pt idx="8">
                  <c:v>Germany, Fed Republic of (n=1348)</c:v>
                </c:pt>
                <c:pt idx="9">
                  <c:v>Taiwan (n=1075)</c:v>
                </c:pt>
                <c:pt idx="10">
                  <c:v>United Kingdom (n=1349)</c:v>
                </c:pt>
              </c:strCache>
              <c:extLst/>
            </c:strRef>
          </c:cat>
          <c:val>
            <c:numRef>
              <c:f>Sheet1!$P$18:$P$28</c:f>
              <c:numCache>
                <c:formatCode>0.0%</c:formatCode>
                <c:ptCount val="11"/>
                <c:pt idx="0">
                  <c:v>4.0183218821569854E-2</c:v>
                </c:pt>
                <c:pt idx="1">
                  <c:v>4.2763157894736843E-2</c:v>
                </c:pt>
                <c:pt idx="2">
                  <c:v>4.4843049327354258E-2</c:v>
                </c:pt>
                <c:pt idx="3">
                  <c:v>3.8674033149171269E-2</c:v>
                </c:pt>
                <c:pt idx="4">
                  <c:v>8.9147286821705432E-2</c:v>
                </c:pt>
                <c:pt idx="5">
                  <c:v>5.9760956175298804E-3</c:v>
                </c:pt>
                <c:pt idx="6">
                  <c:v>2.9904306220095694E-2</c:v>
                </c:pt>
                <c:pt idx="7">
                  <c:v>2.5528169014084508E-2</c:v>
                </c:pt>
                <c:pt idx="8">
                  <c:v>2.967359050445104E-2</c:v>
                </c:pt>
                <c:pt idx="9">
                  <c:v>5.5813953488372094E-3</c:v>
                </c:pt>
                <c:pt idx="10">
                  <c:v>9.7108969607116388E-2</c:v>
                </c:pt>
              </c:numCache>
              <c:extLst/>
            </c:numRef>
          </c:val>
          <c:extLst>
            <c:ext xmlns:c16="http://schemas.microsoft.com/office/drawing/2014/chart" uri="{C3380CC4-5D6E-409C-BE32-E72D297353CC}">
              <c16:uniqueId val="{00000004-1C20-4069-B971-A04A51DCDE4B}"/>
            </c:ext>
          </c:extLst>
        </c:ser>
        <c:ser>
          <c:idx val="3"/>
          <c:order val="3"/>
          <c:tx>
            <c:strRef>
              <c:f>Sheet1!$Q$17</c:f>
              <c:strCache>
                <c:ptCount val="1"/>
                <c:pt idx="0">
                  <c:v>Completed secondary school</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Sheet1!$M$18:$M$28</c:f>
              <c:strCache>
                <c:ptCount val="11"/>
                <c:pt idx="0">
                  <c:v>Total (n=9606)</c:v>
                </c:pt>
                <c:pt idx="1">
                  <c:v>Ireland, Republic of (n=304)</c:v>
                </c:pt>
                <c:pt idx="2">
                  <c:v>Japan (n=446)</c:v>
                </c:pt>
                <c:pt idx="3">
                  <c:v>United States of America (n=543)</c:v>
                </c:pt>
                <c:pt idx="4">
                  <c:v>Canada (n=516)</c:v>
                </c:pt>
                <c:pt idx="5">
                  <c:v>Korea, South (n=502)</c:v>
                </c:pt>
                <c:pt idx="6">
                  <c:v>Italy (n=836)</c:v>
                </c:pt>
                <c:pt idx="7">
                  <c:v>France (n=1136)</c:v>
                </c:pt>
                <c:pt idx="8">
                  <c:v>Germany, Fed Republic of (n=1348)</c:v>
                </c:pt>
                <c:pt idx="9">
                  <c:v>Taiwan (n=1075)</c:v>
                </c:pt>
                <c:pt idx="10">
                  <c:v>United Kingdom (n=1349)</c:v>
                </c:pt>
              </c:strCache>
              <c:extLst/>
            </c:strRef>
          </c:cat>
          <c:val>
            <c:numRef>
              <c:f>Sheet1!$Q$18:$Q$28</c:f>
              <c:numCache>
                <c:formatCode>0.0%</c:formatCode>
                <c:ptCount val="11"/>
                <c:pt idx="0">
                  <c:v>0.22038309389964605</c:v>
                </c:pt>
                <c:pt idx="1">
                  <c:v>8.2236842105263164E-2</c:v>
                </c:pt>
                <c:pt idx="2">
                  <c:v>0.2085201793721973</c:v>
                </c:pt>
                <c:pt idx="3">
                  <c:v>0.13812154696132597</c:v>
                </c:pt>
                <c:pt idx="4">
                  <c:v>0.20542635658914729</c:v>
                </c:pt>
                <c:pt idx="5">
                  <c:v>0.19721115537848605</c:v>
                </c:pt>
                <c:pt idx="6">
                  <c:v>0.3923444976076555</c:v>
                </c:pt>
                <c:pt idx="7">
                  <c:v>0.10739436619718309</c:v>
                </c:pt>
                <c:pt idx="8">
                  <c:v>0.52522255192878342</c:v>
                </c:pt>
                <c:pt idx="9">
                  <c:v>8.8372093023255813E-2</c:v>
                </c:pt>
                <c:pt idx="10">
                  <c:v>0.14825796886582654</c:v>
                </c:pt>
              </c:numCache>
              <c:extLst/>
            </c:numRef>
          </c:val>
          <c:extLst>
            <c:ext xmlns:c16="http://schemas.microsoft.com/office/drawing/2014/chart" uri="{C3380CC4-5D6E-409C-BE32-E72D297353CC}">
              <c16:uniqueId val="{00000005-1C20-4069-B971-A04A51DCDE4B}"/>
            </c:ext>
          </c:extLst>
        </c:ser>
        <c:ser>
          <c:idx val="4"/>
          <c:order val="4"/>
          <c:tx>
            <c:strRef>
              <c:f>Sheet1!$R$17</c:f>
              <c:strCache>
                <c:ptCount val="1"/>
                <c:pt idx="0">
                  <c:v>Did not complete secondary school</c:v>
                </c:pt>
              </c:strCache>
            </c:strRef>
          </c:tx>
          <c:spPr>
            <a:solidFill>
              <a:schemeClr val="accent2">
                <a:tint val="54000"/>
              </a:schemeClr>
            </a:solidFill>
            <a:ln>
              <a:noFill/>
            </a:ln>
            <a:effectLst/>
          </c:spPr>
          <c:invertIfNegative val="0"/>
          <c:cat>
            <c:strRef>
              <c:f>Sheet1!$M$18:$M$28</c:f>
              <c:strCache>
                <c:ptCount val="11"/>
                <c:pt idx="0">
                  <c:v>Total (n=9606)</c:v>
                </c:pt>
                <c:pt idx="1">
                  <c:v>Ireland, Republic of (n=304)</c:v>
                </c:pt>
                <c:pt idx="2">
                  <c:v>Japan (n=446)</c:v>
                </c:pt>
                <c:pt idx="3">
                  <c:v>United States of America (n=543)</c:v>
                </c:pt>
                <c:pt idx="4">
                  <c:v>Canada (n=516)</c:v>
                </c:pt>
                <c:pt idx="5">
                  <c:v>Korea, South (n=502)</c:v>
                </c:pt>
                <c:pt idx="6">
                  <c:v>Italy (n=836)</c:v>
                </c:pt>
                <c:pt idx="7">
                  <c:v>France (n=1136)</c:v>
                </c:pt>
                <c:pt idx="8">
                  <c:v>Germany, Fed Republic of (n=1348)</c:v>
                </c:pt>
                <c:pt idx="9">
                  <c:v>Taiwan (n=1075)</c:v>
                </c:pt>
                <c:pt idx="10">
                  <c:v>United Kingdom (n=1349)</c:v>
                </c:pt>
              </c:strCache>
              <c:extLst/>
            </c:strRef>
          </c:cat>
          <c:val>
            <c:numRef>
              <c:f>Sheet1!$R$18:$R$28</c:f>
              <c:numCache>
                <c:formatCode>0.0%</c:formatCode>
                <c:ptCount val="11"/>
                <c:pt idx="0">
                  <c:v>4.1640641265875498E-3</c:v>
                </c:pt>
                <c:pt idx="1">
                  <c:v>6.5789473684210523E-3</c:v>
                </c:pt>
                <c:pt idx="2">
                  <c:v>1.3452914798206279E-2</c:v>
                </c:pt>
                <c:pt idx="3">
                  <c:v>5.5248618784530384E-3</c:v>
                </c:pt>
                <c:pt idx="4">
                  <c:v>1.937984496124031E-3</c:v>
                </c:pt>
                <c:pt idx="5">
                  <c:v>5.9760956175298804E-3</c:v>
                </c:pt>
                <c:pt idx="6">
                  <c:v>5.9808612440191387E-3</c:v>
                </c:pt>
                <c:pt idx="7">
                  <c:v>4.4014084507042256E-3</c:v>
                </c:pt>
                <c:pt idx="8">
                  <c:v>0</c:v>
                </c:pt>
                <c:pt idx="9">
                  <c:v>9.3023255813953487E-3</c:v>
                </c:pt>
                <c:pt idx="10">
                  <c:v>1.4825796886582653E-3</c:v>
                </c:pt>
              </c:numCache>
              <c:extLst/>
            </c:numRef>
          </c:val>
          <c:extLst>
            <c:ext xmlns:c16="http://schemas.microsoft.com/office/drawing/2014/chart" uri="{C3380CC4-5D6E-409C-BE32-E72D297353CC}">
              <c16:uniqueId val="{00000006-1C20-4069-B971-A04A51DCDE4B}"/>
            </c:ext>
          </c:extLst>
        </c:ser>
        <c:dLbls>
          <c:showLegendKey val="0"/>
          <c:showVal val="0"/>
          <c:showCatName val="0"/>
          <c:showSerName val="0"/>
          <c:showPercent val="0"/>
          <c:showBubbleSize val="0"/>
        </c:dLbls>
        <c:gapWidth val="60"/>
        <c:overlap val="100"/>
        <c:axId val="370732512"/>
        <c:axId val="370729768"/>
      </c:barChart>
      <c:catAx>
        <c:axId val="37073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9768"/>
        <c:crosses val="autoZero"/>
        <c:auto val="1"/>
        <c:lblAlgn val="ctr"/>
        <c:lblOffset val="100"/>
        <c:noMultiLvlLbl val="0"/>
      </c:catAx>
      <c:valAx>
        <c:axId val="3707297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2512"/>
        <c:crosses val="autoZero"/>
        <c:crossBetween val="between"/>
      </c:valAx>
      <c:spPr>
        <a:noFill/>
        <a:ln>
          <a:noFill/>
        </a:ln>
        <a:effectLst/>
      </c:spPr>
    </c:plotArea>
    <c:legend>
      <c:legendPos val="t"/>
      <c:layout>
        <c:manualLayout>
          <c:xMode val="edge"/>
          <c:yMode val="edge"/>
          <c:x val="8.3710051975831853E-2"/>
          <c:y val="2.1166666666666667E-2"/>
          <c:w val="0.88041824929207135"/>
          <c:h val="8.195303504344084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34474646016548E-2"/>
          <c:y val="7.7628793225123505E-2"/>
          <c:w val="0.90560973704086323"/>
          <c:h val="0.70284564817541784"/>
        </c:manualLayout>
      </c:layout>
      <c:barChart>
        <c:barDir val="col"/>
        <c:grouping val="clustered"/>
        <c:varyColors val="0"/>
        <c:ser>
          <c:idx val="0"/>
          <c:order val="0"/>
          <c:spPr>
            <a:solidFill>
              <a:schemeClr val="accent1"/>
            </a:solidFill>
            <a:ln>
              <a:noFill/>
            </a:ln>
            <a:effectLst/>
          </c:spPr>
          <c:invertIfNegative val="0"/>
          <c:cat>
            <c:numRef>
              <c:f>'Q12.6 rec sex age'!$B$29:$B$43</c:f>
              <c:numCache>
                <c:formatCode>General</c:formatCode>
                <c:ptCount val="15"/>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numCache>
            </c:numRef>
          </c:cat>
          <c:val>
            <c:numRef>
              <c:f>'Q12.6 rec sex age'!$F$29:$F$43</c:f>
              <c:numCache>
                <c:formatCode>0.0%</c:formatCode>
                <c:ptCount val="15"/>
                <c:pt idx="0">
                  <c:v>0.99570815450643779</c:v>
                </c:pt>
                <c:pt idx="1">
                  <c:v>0.97111913357400725</c:v>
                </c:pt>
                <c:pt idx="2">
                  <c:v>0.95881006864988561</c:v>
                </c:pt>
                <c:pt idx="3">
                  <c:v>0.96602972399150744</c:v>
                </c:pt>
                <c:pt idx="4">
                  <c:v>0.9559543230016313</c:v>
                </c:pt>
                <c:pt idx="5">
                  <c:v>0.94906832298136645</c:v>
                </c:pt>
                <c:pt idx="6">
                  <c:v>0.9441964285714286</c:v>
                </c:pt>
                <c:pt idx="7">
                  <c:v>0.93709327548806942</c:v>
                </c:pt>
                <c:pt idx="8">
                  <c:v>0.92207792207792205</c:v>
                </c:pt>
                <c:pt idx="9">
                  <c:v>0.9281705948372615</c:v>
                </c:pt>
                <c:pt idx="10">
                  <c:v>0.94633507853403143</c:v>
                </c:pt>
                <c:pt idx="11">
                  <c:v>0.92866578599735794</c:v>
                </c:pt>
                <c:pt idx="12">
                  <c:v>0.93059936908517349</c:v>
                </c:pt>
                <c:pt idx="13">
                  <c:v>0.92418772563176899</c:v>
                </c:pt>
                <c:pt idx="14">
                  <c:v>0.91983122362869196</c:v>
                </c:pt>
              </c:numCache>
            </c:numRef>
          </c:val>
          <c:extLst>
            <c:ext xmlns:c16="http://schemas.microsoft.com/office/drawing/2014/chart" uri="{C3380CC4-5D6E-409C-BE32-E72D297353CC}">
              <c16:uniqueId val="{00000000-C8CA-4C96-A835-80D660F5FA43}"/>
            </c:ext>
          </c:extLst>
        </c:ser>
        <c:dLbls>
          <c:showLegendKey val="0"/>
          <c:showVal val="0"/>
          <c:showCatName val="0"/>
          <c:showSerName val="0"/>
          <c:showPercent val="0"/>
          <c:showBubbleSize val="0"/>
        </c:dLbls>
        <c:gapWidth val="60"/>
        <c:overlap val="-27"/>
        <c:axId val="529118984"/>
        <c:axId val="529120552"/>
      </c:barChart>
      <c:catAx>
        <c:axId val="529118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Age (years)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0552"/>
        <c:crosses val="autoZero"/>
        <c:auto val="1"/>
        <c:lblAlgn val="ctr"/>
        <c:lblOffset val="100"/>
        <c:noMultiLvlLbl val="0"/>
      </c:catAx>
      <c:valAx>
        <c:axId val="529120552"/>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18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67847769028873"/>
          <c:y val="3.6303630363036306E-2"/>
          <c:w val="0.61305074365704293"/>
          <c:h val="0.8871344299784309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'Q12.6 recommend citizen'!$J$32:$J$47</c:f>
              <c:strCache>
                <c:ptCount val="16"/>
                <c:pt idx="0">
                  <c:v>Argentina (n=124)</c:v>
                </c:pt>
                <c:pt idx="1">
                  <c:v>Netherlands (n=317)</c:v>
                </c:pt>
                <c:pt idx="2">
                  <c:v>France (n=1157)</c:v>
                </c:pt>
                <c:pt idx="3">
                  <c:v>Germany (n=1372)</c:v>
                </c:pt>
                <c:pt idx="4">
                  <c:v>Italy (n=843)</c:v>
                </c:pt>
                <c:pt idx="5">
                  <c:v>China (n=132)</c:v>
                </c:pt>
                <c:pt idx="6">
                  <c:v>Belgium (n=129)</c:v>
                </c:pt>
                <c:pt idx="7">
                  <c:v>Japan (n=471)</c:v>
                </c:pt>
                <c:pt idx="8">
                  <c:v>UK (n=1377)</c:v>
                </c:pt>
                <c:pt idx="9">
                  <c:v>USA (n=552)</c:v>
                </c:pt>
                <c:pt idx="10">
                  <c:v>Spain (n=128)</c:v>
                </c:pt>
                <c:pt idx="11">
                  <c:v>Hong Kong (n=172)</c:v>
                </c:pt>
                <c:pt idx="12">
                  <c:v>Taiwan (n=1140)</c:v>
                </c:pt>
                <c:pt idx="13">
                  <c:v>Canada (n=519)</c:v>
                </c:pt>
                <c:pt idx="14">
                  <c:v>South Korea (n=531)</c:v>
                </c:pt>
                <c:pt idx="15">
                  <c:v>Ireland (n=314)</c:v>
                </c:pt>
              </c:strCache>
            </c:strRef>
          </c:cat>
          <c:val>
            <c:numRef>
              <c:f>'Q12.6 recommend citizen'!$K$32:$K$47</c:f>
              <c:numCache>
                <c:formatCode>0.0%</c:formatCode>
                <c:ptCount val="16"/>
                <c:pt idx="0">
                  <c:v>0.97580645161290325</c:v>
                </c:pt>
                <c:pt idx="1">
                  <c:v>0.97160883280757093</c:v>
                </c:pt>
                <c:pt idx="2">
                  <c:v>0.96456352636127918</c:v>
                </c:pt>
                <c:pt idx="3">
                  <c:v>0.9642857142857143</c:v>
                </c:pt>
                <c:pt idx="4">
                  <c:v>0.96085409252669041</c:v>
                </c:pt>
                <c:pt idx="5">
                  <c:v>0.94696969696969702</c:v>
                </c:pt>
                <c:pt idx="6">
                  <c:v>0.94573643410852715</c:v>
                </c:pt>
                <c:pt idx="7">
                  <c:v>0.94055201698513802</c:v>
                </c:pt>
                <c:pt idx="8">
                  <c:v>0.93827160493827155</c:v>
                </c:pt>
                <c:pt idx="9">
                  <c:v>0.93478260869565222</c:v>
                </c:pt>
                <c:pt idx="10">
                  <c:v>0.9296875</c:v>
                </c:pt>
                <c:pt idx="11">
                  <c:v>0.92441860465116277</c:v>
                </c:pt>
                <c:pt idx="12">
                  <c:v>0.92280701754385963</c:v>
                </c:pt>
                <c:pt idx="13">
                  <c:v>0.90751445086705207</c:v>
                </c:pt>
                <c:pt idx="14">
                  <c:v>0.89265536723163841</c:v>
                </c:pt>
                <c:pt idx="15">
                  <c:v>0.88853503184713378</c:v>
                </c:pt>
              </c:numCache>
            </c:numRef>
          </c:val>
          <c:extLst>
            <c:ext xmlns:c16="http://schemas.microsoft.com/office/drawing/2014/chart" uri="{C3380CC4-5D6E-409C-BE32-E72D297353CC}">
              <c16:uniqueId val="{00000000-EB8E-40CE-A7A1-007D5F30638B}"/>
            </c:ext>
          </c:extLst>
        </c:ser>
        <c:dLbls>
          <c:showLegendKey val="0"/>
          <c:showVal val="0"/>
          <c:showCatName val="0"/>
          <c:showSerName val="0"/>
          <c:showPercent val="0"/>
          <c:showBubbleSize val="0"/>
        </c:dLbls>
        <c:gapWidth val="60"/>
        <c:axId val="529121728"/>
        <c:axId val="529120944"/>
      </c:barChart>
      <c:catAx>
        <c:axId val="52912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0944"/>
        <c:crosses val="autoZero"/>
        <c:auto val="1"/>
        <c:lblAlgn val="ctr"/>
        <c:lblOffset val="100"/>
        <c:noMultiLvlLbl val="0"/>
      </c:catAx>
      <c:valAx>
        <c:axId val="52912094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946135353507641"/>
          <c:y val="0.14862310040972723"/>
          <c:w val="0.5728461343246728"/>
          <c:h val="0.73577136191309422"/>
        </c:manualLayout>
      </c:layout>
      <c:barChart>
        <c:barDir val="bar"/>
        <c:grouping val="stacked"/>
        <c:varyColors val="0"/>
        <c:ser>
          <c:idx val="0"/>
          <c:order val="0"/>
          <c:tx>
            <c:strRef>
              <c:f>'[Q12 Visa.xlsx]Q12.7'!$B$18</c:f>
              <c:strCache>
                <c:ptCount val="1"/>
                <c:pt idx="0">
                  <c:v>Extremely difficult</c:v>
                </c:pt>
              </c:strCache>
            </c:strRef>
          </c:tx>
          <c:spPr>
            <a:solidFill>
              <a:schemeClr val="accent2">
                <a:shade val="53000"/>
              </a:schemeClr>
            </a:solidFill>
            <a:ln>
              <a:noFill/>
            </a:ln>
            <a:effectLst/>
          </c:spPr>
          <c:invertIfNegative val="0"/>
          <c:dLbls>
            <c:dLbl>
              <c:idx val="4"/>
              <c:layout>
                <c:manualLayout>
                  <c:x val="0"/>
                  <c:y val="-4.65224470807164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B1-4EB9-9802-0D624D2F83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Visa.xlsx]Q12.7'!$A$19:$A$23</c:f>
              <c:strCache>
                <c:ptCount val="5"/>
                <c:pt idx="0">
                  <c:v>Easy to obtain information about coming to Australia</c:v>
                </c:pt>
                <c:pt idx="1">
                  <c:v>Easy to obtain a Visa</c:v>
                </c:pt>
                <c:pt idx="2">
                  <c:v>Easy to pay for your travel to Australia</c:v>
                </c:pt>
                <c:pt idx="3">
                  <c:v>Easy to bring enough money to support yourself in Australia</c:v>
                </c:pt>
                <c:pt idx="4">
                  <c:v>Easy to make enough money in Australia to support yourself</c:v>
                </c:pt>
              </c:strCache>
            </c:strRef>
          </c:cat>
          <c:val>
            <c:numRef>
              <c:f>'[Q12 Visa.xlsx]Q12.7'!$B$19:$B$23</c:f>
              <c:numCache>
                <c:formatCode>0.0%</c:formatCode>
                <c:ptCount val="5"/>
                <c:pt idx="0">
                  <c:v>7.1560008178286651E-3</c:v>
                </c:pt>
                <c:pt idx="1">
                  <c:v>1.9930498773507766E-2</c:v>
                </c:pt>
                <c:pt idx="2">
                  <c:v>2.5764236785604744E-2</c:v>
                </c:pt>
                <c:pt idx="3">
                  <c:v>3.5882232672255161E-2</c:v>
                </c:pt>
                <c:pt idx="4">
                  <c:v>0.05</c:v>
                </c:pt>
              </c:numCache>
            </c:numRef>
          </c:val>
          <c:extLst>
            <c:ext xmlns:c16="http://schemas.microsoft.com/office/drawing/2014/chart" uri="{C3380CC4-5D6E-409C-BE32-E72D297353CC}">
              <c16:uniqueId val="{00000000-50B1-4EB9-9802-0D624D2F8368}"/>
            </c:ext>
          </c:extLst>
        </c:ser>
        <c:ser>
          <c:idx val="1"/>
          <c:order val="1"/>
          <c:tx>
            <c:strRef>
              <c:f>'[Q12 Visa.xlsx]Q12.7'!$C$18</c:f>
              <c:strCache>
                <c:ptCount val="1"/>
                <c:pt idx="0">
                  <c:v>Difficult</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Visa.xlsx]Q12.7'!$A$19:$A$23</c:f>
              <c:strCache>
                <c:ptCount val="5"/>
                <c:pt idx="0">
                  <c:v>Easy to obtain information about coming to Australia</c:v>
                </c:pt>
                <c:pt idx="1">
                  <c:v>Easy to obtain a Visa</c:v>
                </c:pt>
                <c:pt idx="2">
                  <c:v>Easy to pay for your travel to Australia</c:v>
                </c:pt>
                <c:pt idx="3">
                  <c:v>Easy to bring enough money to support yourself in Australia</c:v>
                </c:pt>
                <c:pt idx="4">
                  <c:v>Easy to make enough money in Australia to support yourself</c:v>
                </c:pt>
              </c:strCache>
            </c:strRef>
          </c:cat>
          <c:val>
            <c:numRef>
              <c:f>'[Q12 Visa.xlsx]Q12.7'!$C$19:$C$23</c:f>
              <c:numCache>
                <c:formatCode>0.0%</c:formatCode>
                <c:ptCount val="5"/>
                <c:pt idx="0">
                  <c:v>5.8065835207524022E-2</c:v>
                </c:pt>
                <c:pt idx="1">
                  <c:v>8.268601798855274E-2</c:v>
                </c:pt>
                <c:pt idx="2">
                  <c:v>0.18372354564972906</c:v>
                </c:pt>
                <c:pt idx="3">
                  <c:v>0.2193825393580045</c:v>
                </c:pt>
                <c:pt idx="4">
                  <c:v>0.17827868852459017</c:v>
                </c:pt>
              </c:numCache>
            </c:numRef>
          </c:val>
          <c:extLst>
            <c:ext xmlns:c16="http://schemas.microsoft.com/office/drawing/2014/chart" uri="{C3380CC4-5D6E-409C-BE32-E72D297353CC}">
              <c16:uniqueId val="{00000001-50B1-4EB9-9802-0D624D2F8368}"/>
            </c:ext>
          </c:extLst>
        </c:ser>
        <c:ser>
          <c:idx val="2"/>
          <c:order val="2"/>
          <c:tx>
            <c:strRef>
              <c:f>'[Q12 Visa.xlsx]Q12.7'!$D$18</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Visa.xlsx]Q12.7'!$A$19:$A$23</c:f>
              <c:strCache>
                <c:ptCount val="5"/>
                <c:pt idx="0">
                  <c:v>Easy to obtain information about coming to Australia</c:v>
                </c:pt>
                <c:pt idx="1">
                  <c:v>Easy to obtain a Visa</c:v>
                </c:pt>
                <c:pt idx="2">
                  <c:v>Easy to pay for your travel to Australia</c:v>
                </c:pt>
                <c:pt idx="3">
                  <c:v>Easy to bring enough money to support yourself in Australia</c:v>
                </c:pt>
                <c:pt idx="4">
                  <c:v>Easy to make enough money in Australia to support yourself</c:v>
                </c:pt>
              </c:strCache>
            </c:strRef>
          </c:cat>
          <c:val>
            <c:numRef>
              <c:f>'[Q12 Visa.xlsx]Q12.7'!$D$19:$D$23</c:f>
              <c:numCache>
                <c:formatCode>0.0%</c:formatCode>
                <c:ptCount val="5"/>
                <c:pt idx="0">
                  <c:v>0.19126967900224903</c:v>
                </c:pt>
                <c:pt idx="1">
                  <c:v>0.18806214227309895</c:v>
                </c:pt>
                <c:pt idx="2">
                  <c:v>0.3494530211634802</c:v>
                </c:pt>
                <c:pt idx="3">
                  <c:v>0.34389695358822325</c:v>
                </c:pt>
                <c:pt idx="4">
                  <c:v>0.31096311475409838</c:v>
                </c:pt>
              </c:numCache>
            </c:numRef>
          </c:val>
          <c:extLst>
            <c:ext xmlns:c16="http://schemas.microsoft.com/office/drawing/2014/chart" uri="{C3380CC4-5D6E-409C-BE32-E72D297353CC}">
              <c16:uniqueId val="{00000002-50B1-4EB9-9802-0D624D2F8368}"/>
            </c:ext>
          </c:extLst>
        </c:ser>
        <c:ser>
          <c:idx val="3"/>
          <c:order val="3"/>
          <c:tx>
            <c:strRef>
              <c:f>'[Q12 Visa.xlsx]Q12.7'!$E$18</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Visa.xlsx]Q12.7'!$A$19:$A$23</c:f>
              <c:strCache>
                <c:ptCount val="5"/>
                <c:pt idx="0">
                  <c:v>Easy to obtain information about coming to Australia</c:v>
                </c:pt>
                <c:pt idx="1">
                  <c:v>Easy to obtain a Visa</c:v>
                </c:pt>
                <c:pt idx="2">
                  <c:v>Easy to pay for your travel to Australia</c:v>
                </c:pt>
                <c:pt idx="3">
                  <c:v>Easy to bring enough money to support yourself in Australia</c:v>
                </c:pt>
                <c:pt idx="4">
                  <c:v>Easy to make enough money in Australia to support yourself</c:v>
                </c:pt>
              </c:strCache>
            </c:strRef>
          </c:cat>
          <c:val>
            <c:numRef>
              <c:f>'[Q12 Visa.xlsx]Q12.7'!$E$19:$E$23</c:f>
              <c:numCache>
                <c:formatCode>0.0%</c:formatCode>
                <c:ptCount val="5"/>
                <c:pt idx="0">
                  <c:v>0.55571457779595179</c:v>
                </c:pt>
                <c:pt idx="1">
                  <c:v>0.46187653311529026</c:v>
                </c:pt>
                <c:pt idx="2">
                  <c:v>0.36979858910131891</c:v>
                </c:pt>
                <c:pt idx="3">
                  <c:v>0.33633203843794723</c:v>
                </c:pt>
                <c:pt idx="4">
                  <c:v>0.36219262295081966</c:v>
                </c:pt>
              </c:numCache>
            </c:numRef>
          </c:val>
          <c:extLst>
            <c:ext xmlns:c16="http://schemas.microsoft.com/office/drawing/2014/chart" uri="{C3380CC4-5D6E-409C-BE32-E72D297353CC}">
              <c16:uniqueId val="{00000003-50B1-4EB9-9802-0D624D2F8368}"/>
            </c:ext>
          </c:extLst>
        </c:ser>
        <c:ser>
          <c:idx val="4"/>
          <c:order val="4"/>
          <c:tx>
            <c:strRef>
              <c:f>'[Q12 Visa.xlsx]Q12.7'!$F$18</c:f>
              <c:strCache>
                <c:ptCount val="1"/>
                <c:pt idx="0">
                  <c:v>Extremely easy</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Visa.xlsx]Q12.7'!$A$19:$A$23</c:f>
              <c:strCache>
                <c:ptCount val="5"/>
                <c:pt idx="0">
                  <c:v>Easy to obtain information about coming to Australia</c:v>
                </c:pt>
                <c:pt idx="1">
                  <c:v>Easy to obtain a Visa</c:v>
                </c:pt>
                <c:pt idx="2">
                  <c:v>Easy to pay for your travel to Australia</c:v>
                </c:pt>
                <c:pt idx="3">
                  <c:v>Easy to bring enough money to support yourself in Australia</c:v>
                </c:pt>
                <c:pt idx="4">
                  <c:v>Easy to make enough money in Australia to support yourself</c:v>
                </c:pt>
              </c:strCache>
            </c:strRef>
          </c:cat>
          <c:val>
            <c:numRef>
              <c:f>'[Q12 Visa.xlsx]Q12.7'!$F$19:$F$23</c:f>
              <c:numCache>
                <c:formatCode>0.0%</c:formatCode>
                <c:ptCount val="5"/>
                <c:pt idx="0">
                  <c:v>0.18779390717644653</c:v>
                </c:pt>
                <c:pt idx="1">
                  <c:v>0.24744480784955028</c:v>
                </c:pt>
                <c:pt idx="2">
                  <c:v>7.1260607299867093E-2</c:v>
                </c:pt>
                <c:pt idx="3">
                  <c:v>6.4506235943569828E-2</c:v>
                </c:pt>
                <c:pt idx="4">
                  <c:v>9.8565573770491799E-2</c:v>
                </c:pt>
              </c:numCache>
            </c:numRef>
          </c:val>
          <c:extLst>
            <c:ext xmlns:c16="http://schemas.microsoft.com/office/drawing/2014/chart" uri="{C3380CC4-5D6E-409C-BE32-E72D297353CC}">
              <c16:uniqueId val="{00000004-50B1-4EB9-9802-0D624D2F8368}"/>
            </c:ext>
          </c:extLst>
        </c:ser>
        <c:dLbls>
          <c:showLegendKey val="0"/>
          <c:showVal val="0"/>
          <c:showCatName val="0"/>
          <c:showSerName val="0"/>
          <c:showPercent val="0"/>
          <c:showBubbleSize val="0"/>
        </c:dLbls>
        <c:gapWidth val="60"/>
        <c:overlap val="100"/>
        <c:axId val="529121336"/>
        <c:axId val="529122120"/>
      </c:barChart>
      <c:catAx>
        <c:axId val="52912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2120"/>
        <c:crosses val="autoZero"/>
        <c:auto val="1"/>
        <c:lblAlgn val="ctr"/>
        <c:lblOffset val="100"/>
        <c:noMultiLvlLbl val="0"/>
      </c:catAx>
      <c:valAx>
        <c:axId val="5291221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1336"/>
        <c:crosses val="autoZero"/>
        <c:crossBetween val="between"/>
      </c:valAx>
      <c:spPr>
        <a:noFill/>
        <a:ln>
          <a:noFill/>
        </a:ln>
        <a:effectLst/>
      </c:spPr>
    </c:plotArea>
    <c:legend>
      <c:legendPos val="t"/>
      <c:layout>
        <c:manualLayout>
          <c:xMode val="edge"/>
          <c:yMode val="edge"/>
          <c:x val="0.2477784026996625"/>
          <c:y val="2.7913468248429867E-2"/>
          <c:w val="0.71350242805015229"/>
          <c:h val="7.28882197471303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9050075808992"/>
          <c:y val="0.10545393270363186"/>
          <c:w val="0.83632044609535705"/>
          <c:h val="0.79525910621953833"/>
        </c:manualLayout>
      </c:layout>
      <c:barChart>
        <c:barDir val="bar"/>
        <c:grouping val="percentStacked"/>
        <c:varyColors val="0"/>
        <c:ser>
          <c:idx val="0"/>
          <c:order val="0"/>
          <c:tx>
            <c:strRef>
              <c:f>'Q12.7 citizen'!$B$10</c:f>
              <c:strCache>
                <c:ptCount val="1"/>
                <c:pt idx="0">
                  <c:v>Extremely difficult</c:v>
                </c:pt>
              </c:strCache>
            </c:strRef>
          </c:tx>
          <c:spPr>
            <a:solidFill>
              <a:schemeClr val="accent2">
                <a:shade val="53000"/>
              </a:schemeClr>
            </a:solidFill>
            <a:ln>
              <a:noFill/>
            </a:ln>
            <a:effectLst/>
          </c:spPr>
          <c:invertIfNegative val="0"/>
          <c:cat>
            <c:strRef>
              <c:f>'Q12.7 citizen'!$C$9:$L$9</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citizen'!$C$10:$L$10</c:f>
              <c:numCache>
                <c:formatCode>0.0%</c:formatCode>
                <c:ptCount val="10"/>
                <c:pt idx="0">
                  <c:v>2.9282576866764276E-3</c:v>
                </c:pt>
                <c:pt idx="1">
                  <c:v>1.0271460014673514E-2</c:v>
                </c:pt>
                <c:pt idx="2">
                  <c:v>5.1858254105445114E-3</c:v>
                </c:pt>
                <c:pt idx="3">
                  <c:v>2.6642984014209592E-3</c:v>
                </c:pt>
                <c:pt idx="4">
                  <c:v>2.3696682464454978E-3</c:v>
                </c:pt>
                <c:pt idx="5">
                  <c:v>1.4652014652014652E-2</c:v>
                </c:pt>
                <c:pt idx="6">
                  <c:v>5.7581573896353169E-3</c:v>
                </c:pt>
                <c:pt idx="7">
                  <c:v>1.7374517374517374E-2</c:v>
                </c:pt>
                <c:pt idx="8">
                  <c:v>1.5217391304347827E-2</c:v>
                </c:pt>
                <c:pt idx="9">
                  <c:v>6.369426751592357E-3</c:v>
                </c:pt>
              </c:numCache>
            </c:numRef>
          </c:val>
          <c:extLst>
            <c:ext xmlns:c16="http://schemas.microsoft.com/office/drawing/2014/chart" uri="{C3380CC4-5D6E-409C-BE32-E72D297353CC}">
              <c16:uniqueId val="{00000000-C486-4B41-A0B6-FDAE69AE0149}"/>
            </c:ext>
          </c:extLst>
        </c:ser>
        <c:ser>
          <c:idx val="1"/>
          <c:order val="1"/>
          <c:tx>
            <c:strRef>
              <c:f>'Q12.7 citizen'!$B$11</c:f>
              <c:strCache>
                <c:ptCount val="1"/>
                <c:pt idx="0">
                  <c:v>Difficult</c:v>
                </c:pt>
              </c:strCache>
            </c:strRef>
          </c:tx>
          <c:spPr>
            <a:solidFill>
              <a:schemeClr val="accent2">
                <a:shade val="76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C486-4B41-A0B6-FDAE69AE0149}"/>
                </c:ext>
              </c:extLst>
            </c:dLbl>
            <c:dLbl>
              <c:idx val="2"/>
              <c:delete val="1"/>
              <c:extLst>
                <c:ext xmlns:c15="http://schemas.microsoft.com/office/drawing/2012/chart" uri="{CE6537A1-D6FC-4f65-9D91-7224C49458BB}"/>
                <c:ext xmlns:c16="http://schemas.microsoft.com/office/drawing/2014/chart" uri="{C3380CC4-5D6E-409C-BE32-E72D297353CC}">
                  <c16:uniqueId val="{00000002-C486-4B41-A0B6-FDAE69AE0149}"/>
                </c:ext>
              </c:extLst>
            </c:dLbl>
            <c:dLbl>
              <c:idx val="3"/>
              <c:delete val="1"/>
              <c:extLst>
                <c:ext xmlns:c15="http://schemas.microsoft.com/office/drawing/2012/chart" uri="{CE6537A1-D6FC-4f65-9D91-7224C49458BB}"/>
                <c:ext xmlns:c16="http://schemas.microsoft.com/office/drawing/2014/chart" uri="{C3380CC4-5D6E-409C-BE32-E72D297353CC}">
                  <c16:uniqueId val="{00000003-C486-4B41-A0B6-FDAE69AE01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citizen'!$C$9:$L$9</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citizen'!$C$11:$L$11</c:f>
              <c:numCache>
                <c:formatCode>0.0%</c:formatCode>
                <c:ptCount val="10"/>
                <c:pt idx="0">
                  <c:v>4.5387994143484628E-2</c:v>
                </c:pt>
                <c:pt idx="1">
                  <c:v>5.5759354365370509E-2</c:v>
                </c:pt>
                <c:pt idx="2">
                  <c:v>2.8522039757994815E-2</c:v>
                </c:pt>
                <c:pt idx="3">
                  <c:v>4.7957371225577264E-2</c:v>
                </c:pt>
                <c:pt idx="4">
                  <c:v>5.3317535545023699E-2</c:v>
                </c:pt>
                <c:pt idx="5">
                  <c:v>8.9743589743589744E-2</c:v>
                </c:pt>
                <c:pt idx="6">
                  <c:v>7.8694817658349334E-2</c:v>
                </c:pt>
                <c:pt idx="7">
                  <c:v>7.9150579150579145E-2</c:v>
                </c:pt>
                <c:pt idx="8">
                  <c:v>7.6086956521739135E-2</c:v>
                </c:pt>
                <c:pt idx="9">
                  <c:v>5.4140127388535034E-2</c:v>
                </c:pt>
              </c:numCache>
            </c:numRef>
          </c:val>
          <c:extLst>
            <c:ext xmlns:c16="http://schemas.microsoft.com/office/drawing/2014/chart" uri="{C3380CC4-5D6E-409C-BE32-E72D297353CC}">
              <c16:uniqueId val="{00000004-C486-4B41-A0B6-FDAE69AE0149}"/>
            </c:ext>
          </c:extLst>
        </c:ser>
        <c:ser>
          <c:idx val="2"/>
          <c:order val="2"/>
          <c:tx>
            <c:strRef>
              <c:f>'Q12.7 citizen'!$B$12</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citizen'!$C$9:$L$9</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citizen'!$C$12:$L$12</c:f>
              <c:numCache>
                <c:formatCode>0.0%</c:formatCode>
                <c:ptCount val="10"/>
                <c:pt idx="0">
                  <c:v>0.1376281112737921</c:v>
                </c:pt>
                <c:pt idx="1">
                  <c:v>0.16140865737344093</c:v>
                </c:pt>
                <c:pt idx="2">
                  <c:v>0.13396715643906656</c:v>
                </c:pt>
                <c:pt idx="3">
                  <c:v>0.26376554174067496</c:v>
                </c:pt>
                <c:pt idx="4">
                  <c:v>0.20379146919431279</c:v>
                </c:pt>
                <c:pt idx="5">
                  <c:v>0.14102564102564102</c:v>
                </c:pt>
                <c:pt idx="6">
                  <c:v>0.15547024952015356</c:v>
                </c:pt>
                <c:pt idx="7">
                  <c:v>0.29536679536679539</c:v>
                </c:pt>
                <c:pt idx="8">
                  <c:v>0.30652173913043479</c:v>
                </c:pt>
                <c:pt idx="9">
                  <c:v>0.14968152866242038</c:v>
                </c:pt>
              </c:numCache>
            </c:numRef>
          </c:val>
          <c:extLst>
            <c:ext xmlns:c16="http://schemas.microsoft.com/office/drawing/2014/chart" uri="{C3380CC4-5D6E-409C-BE32-E72D297353CC}">
              <c16:uniqueId val="{00000005-C486-4B41-A0B6-FDAE69AE0149}"/>
            </c:ext>
          </c:extLst>
        </c:ser>
        <c:ser>
          <c:idx val="3"/>
          <c:order val="3"/>
          <c:tx>
            <c:strRef>
              <c:f>'Q12.7 citizen'!$B$13</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citizen'!$C$9:$L$9</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citizen'!$C$13:$L$13</c:f>
              <c:numCache>
                <c:formatCode>0.0%</c:formatCode>
                <c:ptCount val="10"/>
                <c:pt idx="0">
                  <c:v>0.58565153733528552</c:v>
                </c:pt>
                <c:pt idx="1">
                  <c:v>0.56199559794570797</c:v>
                </c:pt>
                <c:pt idx="2">
                  <c:v>0.56957649092480556</c:v>
                </c:pt>
                <c:pt idx="3">
                  <c:v>0.51065719360568385</c:v>
                </c:pt>
                <c:pt idx="4">
                  <c:v>0.60545023696682465</c:v>
                </c:pt>
                <c:pt idx="5">
                  <c:v>0.49816849816849818</c:v>
                </c:pt>
                <c:pt idx="6">
                  <c:v>0.54702495201535506</c:v>
                </c:pt>
                <c:pt idx="7">
                  <c:v>0.47104247104247104</c:v>
                </c:pt>
                <c:pt idx="8">
                  <c:v>0.5304347826086957</c:v>
                </c:pt>
                <c:pt idx="9">
                  <c:v>0.61783439490445857</c:v>
                </c:pt>
              </c:numCache>
            </c:numRef>
          </c:val>
          <c:extLst>
            <c:ext xmlns:c16="http://schemas.microsoft.com/office/drawing/2014/chart" uri="{C3380CC4-5D6E-409C-BE32-E72D297353CC}">
              <c16:uniqueId val="{00000006-C486-4B41-A0B6-FDAE69AE0149}"/>
            </c:ext>
          </c:extLst>
        </c:ser>
        <c:ser>
          <c:idx val="4"/>
          <c:order val="4"/>
          <c:tx>
            <c:strRef>
              <c:f>'Q12.7 citizen'!$B$14</c:f>
              <c:strCache>
                <c:ptCount val="1"/>
                <c:pt idx="0">
                  <c:v>Extremely easy</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citizen'!$C$9:$L$9</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citizen'!$C$14:$L$14</c:f>
              <c:numCache>
                <c:formatCode>0.0%</c:formatCode>
                <c:ptCount val="10"/>
                <c:pt idx="0">
                  <c:v>0.22840409956076135</c:v>
                </c:pt>
                <c:pt idx="1">
                  <c:v>0.21056493030080703</c:v>
                </c:pt>
                <c:pt idx="2">
                  <c:v>0.26274848746758861</c:v>
                </c:pt>
                <c:pt idx="3">
                  <c:v>0.17495559502664298</c:v>
                </c:pt>
                <c:pt idx="4">
                  <c:v>0.13507109004739337</c:v>
                </c:pt>
                <c:pt idx="5">
                  <c:v>0.25641025641025639</c:v>
                </c:pt>
                <c:pt idx="6">
                  <c:v>0.21305182341650672</c:v>
                </c:pt>
                <c:pt idx="7">
                  <c:v>0.13706563706563707</c:v>
                </c:pt>
                <c:pt idx="8">
                  <c:v>7.1739130434782611E-2</c:v>
                </c:pt>
                <c:pt idx="9">
                  <c:v>0.17197452229299362</c:v>
                </c:pt>
              </c:numCache>
            </c:numRef>
          </c:val>
          <c:extLst>
            <c:ext xmlns:c16="http://schemas.microsoft.com/office/drawing/2014/chart" uri="{C3380CC4-5D6E-409C-BE32-E72D297353CC}">
              <c16:uniqueId val="{00000007-C486-4B41-A0B6-FDAE69AE0149}"/>
            </c:ext>
          </c:extLst>
        </c:ser>
        <c:dLbls>
          <c:showLegendKey val="0"/>
          <c:showVal val="0"/>
          <c:showCatName val="0"/>
          <c:showSerName val="0"/>
          <c:showPercent val="0"/>
          <c:showBubbleSize val="0"/>
        </c:dLbls>
        <c:gapWidth val="60"/>
        <c:overlap val="100"/>
        <c:axId val="529128000"/>
        <c:axId val="529124472"/>
      </c:barChart>
      <c:catAx>
        <c:axId val="52912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4472"/>
        <c:crosses val="autoZero"/>
        <c:auto val="1"/>
        <c:lblAlgn val="ctr"/>
        <c:lblOffset val="100"/>
        <c:noMultiLvlLbl val="0"/>
      </c:catAx>
      <c:valAx>
        <c:axId val="5291244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8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'Q12.7 citizen'!$B$24</c:f>
              <c:strCache>
                <c:ptCount val="1"/>
                <c:pt idx="0">
                  <c:v>Extremely difficult</c:v>
                </c:pt>
              </c:strCache>
            </c:strRef>
          </c:tx>
          <c:spPr>
            <a:solidFill>
              <a:schemeClr val="accent2">
                <a:shade val="53000"/>
              </a:schemeClr>
            </a:solidFill>
            <a:ln>
              <a:noFill/>
            </a:ln>
            <a:effectLst/>
          </c:spPr>
          <c:invertIfNegative val="0"/>
          <c:cat>
            <c:strRef>
              <c:f>'Q12.7 citizen'!$C$23:$L$23</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citizen'!$C$24:$L$24</c:f>
              <c:numCache>
                <c:formatCode>0.0%</c:formatCode>
                <c:ptCount val="10"/>
                <c:pt idx="0">
                  <c:v>5.8565153733528552E-3</c:v>
                </c:pt>
                <c:pt idx="1">
                  <c:v>1.9075568598679385E-2</c:v>
                </c:pt>
                <c:pt idx="2">
                  <c:v>1.1235955056179775E-2</c:v>
                </c:pt>
                <c:pt idx="3">
                  <c:v>1.6873889875666074E-2</c:v>
                </c:pt>
                <c:pt idx="4">
                  <c:v>2.014218009478673E-2</c:v>
                </c:pt>
                <c:pt idx="5">
                  <c:v>1.8315018315018316E-2</c:v>
                </c:pt>
                <c:pt idx="6">
                  <c:v>1.9193857965451054E-2</c:v>
                </c:pt>
                <c:pt idx="7">
                  <c:v>4.0540540540540543E-2</c:v>
                </c:pt>
                <c:pt idx="8">
                  <c:v>1.9565217391304349E-2</c:v>
                </c:pt>
                <c:pt idx="9">
                  <c:v>1.5923566878980892E-2</c:v>
                </c:pt>
              </c:numCache>
            </c:numRef>
          </c:val>
          <c:extLst>
            <c:ext xmlns:c16="http://schemas.microsoft.com/office/drawing/2014/chart" uri="{C3380CC4-5D6E-409C-BE32-E72D297353CC}">
              <c16:uniqueId val="{00000000-F530-454C-B6CE-34164D0A5F82}"/>
            </c:ext>
          </c:extLst>
        </c:ser>
        <c:ser>
          <c:idx val="1"/>
          <c:order val="1"/>
          <c:tx>
            <c:strRef>
              <c:f>'Q12.7 citizen'!$B$25</c:f>
              <c:strCache>
                <c:ptCount val="1"/>
                <c:pt idx="0">
                  <c:v>Difficult</c:v>
                </c:pt>
              </c:strCache>
            </c:strRef>
          </c:tx>
          <c:spPr>
            <a:solidFill>
              <a:schemeClr val="accent2">
                <a:shade val="76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F530-454C-B6CE-34164D0A5F82}"/>
                </c:ext>
              </c:extLst>
            </c:dLbl>
            <c:dLbl>
              <c:idx val="6"/>
              <c:delete val="1"/>
              <c:extLst>
                <c:ext xmlns:c15="http://schemas.microsoft.com/office/drawing/2012/chart" uri="{CE6537A1-D6FC-4f65-9D91-7224C49458BB}"/>
                <c:ext xmlns:c16="http://schemas.microsoft.com/office/drawing/2014/chart" uri="{C3380CC4-5D6E-409C-BE32-E72D297353CC}">
                  <c16:uniqueId val="{00000006-F530-454C-B6CE-34164D0A5F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citizen'!$C$23:$L$23</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citizen'!$C$25:$L$25</c:f>
              <c:numCache>
                <c:formatCode>0.0%</c:formatCode>
                <c:ptCount val="10"/>
                <c:pt idx="0">
                  <c:v>6.0761346998535873E-2</c:v>
                </c:pt>
                <c:pt idx="1">
                  <c:v>7.4101247248716071E-2</c:v>
                </c:pt>
                <c:pt idx="2">
                  <c:v>4.753673292999136E-2</c:v>
                </c:pt>
                <c:pt idx="3">
                  <c:v>8.0817051509769089E-2</c:v>
                </c:pt>
                <c:pt idx="4">
                  <c:v>7.1090047393364927E-2</c:v>
                </c:pt>
                <c:pt idx="5">
                  <c:v>5.4945054945054944E-2</c:v>
                </c:pt>
                <c:pt idx="6">
                  <c:v>3.6468330134357005E-2</c:v>
                </c:pt>
                <c:pt idx="7">
                  <c:v>9.2664092664092659E-2</c:v>
                </c:pt>
                <c:pt idx="8">
                  <c:v>8.478260869565217E-2</c:v>
                </c:pt>
                <c:pt idx="9">
                  <c:v>7.6433121019108277E-2</c:v>
                </c:pt>
              </c:numCache>
            </c:numRef>
          </c:val>
          <c:extLst>
            <c:ext xmlns:c16="http://schemas.microsoft.com/office/drawing/2014/chart" uri="{C3380CC4-5D6E-409C-BE32-E72D297353CC}">
              <c16:uniqueId val="{00000001-F530-454C-B6CE-34164D0A5F82}"/>
            </c:ext>
          </c:extLst>
        </c:ser>
        <c:ser>
          <c:idx val="2"/>
          <c:order val="2"/>
          <c:tx>
            <c:strRef>
              <c:f>'Q12.7 citizen'!$B$26</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citizen'!$C$23:$L$23</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citizen'!$C$26:$L$26</c:f>
              <c:numCache>
                <c:formatCode>0.0%</c:formatCode>
                <c:ptCount val="10"/>
                <c:pt idx="0">
                  <c:v>0.16105417276720352</c:v>
                </c:pt>
                <c:pt idx="1">
                  <c:v>0.11518708730741012</c:v>
                </c:pt>
                <c:pt idx="2">
                  <c:v>0.11063094209161625</c:v>
                </c:pt>
                <c:pt idx="3">
                  <c:v>0.32326820603907636</c:v>
                </c:pt>
                <c:pt idx="4">
                  <c:v>0.21208530805687204</c:v>
                </c:pt>
                <c:pt idx="5">
                  <c:v>0.1227106227106227</c:v>
                </c:pt>
                <c:pt idx="6">
                  <c:v>7.8694817658349334E-2</c:v>
                </c:pt>
                <c:pt idx="7">
                  <c:v>0.25675675675675674</c:v>
                </c:pt>
                <c:pt idx="8">
                  <c:v>0.2673913043478261</c:v>
                </c:pt>
                <c:pt idx="9">
                  <c:v>0.13057324840764331</c:v>
                </c:pt>
              </c:numCache>
            </c:numRef>
          </c:val>
          <c:extLst>
            <c:ext xmlns:c16="http://schemas.microsoft.com/office/drawing/2014/chart" uri="{C3380CC4-5D6E-409C-BE32-E72D297353CC}">
              <c16:uniqueId val="{00000002-F530-454C-B6CE-34164D0A5F82}"/>
            </c:ext>
          </c:extLst>
        </c:ser>
        <c:ser>
          <c:idx val="3"/>
          <c:order val="3"/>
          <c:tx>
            <c:strRef>
              <c:f>'Q12.7 citizen'!$B$27</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citizen'!$C$23:$L$23</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citizen'!$C$27:$L$27</c:f>
              <c:numCache>
                <c:formatCode>0.0%</c:formatCode>
                <c:ptCount val="10"/>
                <c:pt idx="0">
                  <c:v>0.51830161054172763</c:v>
                </c:pt>
                <c:pt idx="1">
                  <c:v>0.47101980924431402</c:v>
                </c:pt>
                <c:pt idx="2">
                  <c:v>0.44252376836646501</c:v>
                </c:pt>
                <c:pt idx="3">
                  <c:v>0.45381882770870335</c:v>
                </c:pt>
                <c:pt idx="4">
                  <c:v>0.50710900473933651</c:v>
                </c:pt>
                <c:pt idx="5">
                  <c:v>0.46703296703296704</c:v>
                </c:pt>
                <c:pt idx="6">
                  <c:v>0.40307101727447214</c:v>
                </c:pt>
                <c:pt idx="7">
                  <c:v>0.44015444015444016</c:v>
                </c:pt>
                <c:pt idx="8">
                  <c:v>0.46304347826086956</c:v>
                </c:pt>
                <c:pt idx="9">
                  <c:v>0.55414012738853502</c:v>
                </c:pt>
              </c:numCache>
            </c:numRef>
          </c:val>
          <c:extLst>
            <c:ext xmlns:c16="http://schemas.microsoft.com/office/drawing/2014/chart" uri="{C3380CC4-5D6E-409C-BE32-E72D297353CC}">
              <c16:uniqueId val="{00000003-F530-454C-B6CE-34164D0A5F82}"/>
            </c:ext>
          </c:extLst>
        </c:ser>
        <c:ser>
          <c:idx val="4"/>
          <c:order val="4"/>
          <c:tx>
            <c:strRef>
              <c:f>'Q12.7 citizen'!$B$28</c:f>
              <c:strCache>
                <c:ptCount val="1"/>
                <c:pt idx="0">
                  <c:v>Extremely easy</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citizen'!$C$23:$L$23</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citizen'!$C$28:$L$28</c:f>
              <c:numCache>
                <c:formatCode>0.0%</c:formatCode>
                <c:ptCount val="10"/>
                <c:pt idx="0">
                  <c:v>0.2547584187408492</c:v>
                </c:pt>
                <c:pt idx="1">
                  <c:v>0.3206162876008804</c:v>
                </c:pt>
                <c:pt idx="2">
                  <c:v>0.38807260155574763</c:v>
                </c:pt>
                <c:pt idx="3">
                  <c:v>0.12344582593250444</c:v>
                </c:pt>
                <c:pt idx="4">
                  <c:v>0.1872037914691943</c:v>
                </c:pt>
                <c:pt idx="5">
                  <c:v>0.34065934065934067</c:v>
                </c:pt>
                <c:pt idx="6">
                  <c:v>0.46257197696737046</c:v>
                </c:pt>
                <c:pt idx="7">
                  <c:v>0.1640926640926641</c:v>
                </c:pt>
                <c:pt idx="8">
                  <c:v>0.17391304347826086</c:v>
                </c:pt>
                <c:pt idx="9">
                  <c:v>0.22611464968152867</c:v>
                </c:pt>
              </c:numCache>
            </c:numRef>
          </c:val>
          <c:extLst>
            <c:ext xmlns:c16="http://schemas.microsoft.com/office/drawing/2014/chart" uri="{C3380CC4-5D6E-409C-BE32-E72D297353CC}">
              <c16:uniqueId val="{00000004-F530-454C-B6CE-34164D0A5F82}"/>
            </c:ext>
          </c:extLst>
        </c:ser>
        <c:dLbls>
          <c:showLegendKey val="0"/>
          <c:showVal val="0"/>
          <c:showCatName val="0"/>
          <c:showSerName val="0"/>
          <c:showPercent val="0"/>
          <c:showBubbleSize val="0"/>
        </c:dLbls>
        <c:gapWidth val="60"/>
        <c:overlap val="100"/>
        <c:axId val="529125256"/>
        <c:axId val="529125648"/>
      </c:barChart>
      <c:catAx>
        <c:axId val="52912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5648"/>
        <c:crosses val="autoZero"/>
        <c:auto val="1"/>
        <c:lblAlgn val="ctr"/>
        <c:lblOffset val="100"/>
        <c:noMultiLvlLbl val="0"/>
      </c:catAx>
      <c:valAx>
        <c:axId val="5291256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5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9050075808992"/>
          <c:y val="9.6149443287488548E-2"/>
          <c:w val="0.83632044609535705"/>
          <c:h val="0.80456359563568158"/>
        </c:manualLayout>
      </c:layout>
      <c:barChart>
        <c:barDir val="bar"/>
        <c:grouping val="percentStacked"/>
        <c:varyColors val="0"/>
        <c:ser>
          <c:idx val="0"/>
          <c:order val="0"/>
          <c:tx>
            <c:strRef>
              <c:f>'Q12.7 citizen'!$B$38</c:f>
              <c:strCache>
                <c:ptCount val="1"/>
                <c:pt idx="0">
                  <c:v>Extremely difficult</c:v>
                </c:pt>
              </c:strCache>
            </c:strRef>
          </c:tx>
          <c:spPr>
            <a:solidFill>
              <a:schemeClr val="accent2">
                <a:shade val="53000"/>
              </a:schemeClr>
            </a:solidFill>
            <a:ln>
              <a:noFill/>
            </a:ln>
            <a:effectLst/>
          </c:spPr>
          <c:invertIfNegative val="0"/>
          <c:cat>
            <c:strRef>
              <c:f>'Q12.7 citizen'!$C$37:$L$37</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citizen'!$C$38:$L$38</c:f>
              <c:numCache>
                <c:formatCode>0.0%</c:formatCode>
                <c:ptCount val="10"/>
                <c:pt idx="0">
                  <c:v>1.8301610541727673E-2</c:v>
                </c:pt>
                <c:pt idx="1">
                  <c:v>2.6412325752017608E-2</c:v>
                </c:pt>
                <c:pt idx="2">
                  <c:v>1.9878997407087293E-2</c:v>
                </c:pt>
                <c:pt idx="3">
                  <c:v>2.0426287744227355E-2</c:v>
                </c:pt>
                <c:pt idx="4">
                  <c:v>3.1990521327014215E-2</c:v>
                </c:pt>
                <c:pt idx="5">
                  <c:v>3.8461538461538464E-2</c:v>
                </c:pt>
                <c:pt idx="6">
                  <c:v>3.2629558541266791E-2</c:v>
                </c:pt>
                <c:pt idx="7">
                  <c:v>3.2818532818532815E-2</c:v>
                </c:pt>
                <c:pt idx="8">
                  <c:v>2.6086956521739129E-2</c:v>
                </c:pt>
                <c:pt idx="9">
                  <c:v>9.5541401273885346E-3</c:v>
                </c:pt>
              </c:numCache>
            </c:numRef>
          </c:val>
          <c:extLst>
            <c:ext xmlns:c16="http://schemas.microsoft.com/office/drawing/2014/chart" uri="{C3380CC4-5D6E-409C-BE32-E72D297353CC}">
              <c16:uniqueId val="{00000000-E7A0-43CF-8513-EE7F7ED8FE18}"/>
            </c:ext>
          </c:extLst>
        </c:ser>
        <c:ser>
          <c:idx val="1"/>
          <c:order val="1"/>
          <c:tx>
            <c:strRef>
              <c:f>'Q12.7 citizen'!$B$39</c:f>
              <c:strCache>
                <c:ptCount val="1"/>
                <c:pt idx="0">
                  <c:v>Difficult</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citizen'!$C$37:$L$37</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citizen'!$C$39:$L$39</c:f>
              <c:numCache>
                <c:formatCode>0.0%</c:formatCode>
                <c:ptCount val="10"/>
                <c:pt idx="0">
                  <c:v>0.18814055636896046</c:v>
                </c:pt>
                <c:pt idx="1">
                  <c:v>0.17168011738811445</c:v>
                </c:pt>
                <c:pt idx="2">
                  <c:v>0.18063958513396716</c:v>
                </c:pt>
                <c:pt idx="3">
                  <c:v>0.13765541740674955</c:v>
                </c:pt>
                <c:pt idx="4">
                  <c:v>0.20971563981042654</c:v>
                </c:pt>
                <c:pt idx="5">
                  <c:v>0.22527472527472528</c:v>
                </c:pt>
                <c:pt idx="6">
                  <c:v>0.20537428023032631</c:v>
                </c:pt>
                <c:pt idx="7">
                  <c:v>0.18725868725868725</c:v>
                </c:pt>
                <c:pt idx="8">
                  <c:v>0.16521739130434782</c:v>
                </c:pt>
                <c:pt idx="9">
                  <c:v>0.16560509554140126</c:v>
                </c:pt>
              </c:numCache>
            </c:numRef>
          </c:val>
          <c:extLst>
            <c:ext xmlns:c16="http://schemas.microsoft.com/office/drawing/2014/chart" uri="{C3380CC4-5D6E-409C-BE32-E72D297353CC}">
              <c16:uniqueId val="{00000001-E7A0-43CF-8513-EE7F7ED8FE18}"/>
            </c:ext>
          </c:extLst>
        </c:ser>
        <c:ser>
          <c:idx val="2"/>
          <c:order val="2"/>
          <c:tx>
            <c:strRef>
              <c:f>'Q12.7 citizen'!$B$40</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citizen'!$C$37:$L$37</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citizen'!$C$40:$L$40</c:f>
              <c:numCache>
                <c:formatCode>0.0%</c:formatCode>
                <c:ptCount val="10"/>
                <c:pt idx="0">
                  <c:v>0.34553440702781846</c:v>
                </c:pt>
                <c:pt idx="1">
                  <c:v>0.27146001467351433</c:v>
                </c:pt>
                <c:pt idx="2">
                  <c:v>0.35695764909248057</c:v>
                </c:pt>
                <c:pt idx="3">
                  <c:v>0.41918294849023091</c:v>
                </c:pt>
                <c:pt idx="4">
                  <c:v>0.39454976303317535</c:v>
                </c:pt>
                <c:pt idx="5">
                  <c:v>0.29120879120879123</c:v>
                </c:pt>
                <c:pt idx="6">
                  <c:v>0.31477927063339733</c:v>
                </c:pt>
                <c:pt idx="7">
                  <c:v>0.3281853281853282</c:v>
                </c:pt>
                <c:pt idx="8">
                  <c:v>0.42173913043478262</c:v>
                </c:pt>
                <c:pt idx="9">
                  <c:v>0.29617834394904458</c:v>
                </c:pt>
              </c:numCache>
            </c:numRef>
          </c:val>
          <c:extLst>
            <c:ext xmlns:c16="http://schemas.microsoft.com/office/drawing/2014/chart" uri="{C3380CC4-5D6E-409C-BE32-E72D297353CC}">
              <c16:uniqueId val="{00000002-E7A0-43CF-8513-EE7F7ED8FE18}"/>
            </c:ext>
          </c:extLst>
        </c:ser>
        <c:ser>
          <c:idx val="3"/>
          <c:order val="3"/>
          <c:tx>
            <c:strRef>
              <c:f>'Q12.7 citizen'!$B$41</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citizen'!$C$37:$L$37</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citizen'!$C$41:$L$41</c:f>
              <c:numCache>
                <c:formatCode>0.0%</c:formatCode>
                <c:ptCount val="10"/>
                <c:pt idx="0">
                  <c:v>0.38433382137628114</c:v>
                </c:pt>
                <c:pt idx="1">
                  <c:v>0.42479823917828319</c:v>
                </c:pt>
                <c:pt idx="2">
                  <c:v>0.35782195332757133</c:v>
                </c:pt>
                <c:pt idx="3">
                  <c:v>0.34547069271758435</c:v>
                </c:pt>
                <c:pt idx="4">
                  <c:v>0.32109004739336494</c:v>
                </c:pt>
                <c:pt idx="5">
                  <c:v>0.3424908424908425</c:v>
                </c:pt>
                <c:pt idx="6">
                  <c:v>0.36468330134357008</c:v>
                </c:pt>
                <c:pt idx="7">
                  <c:v>0.38610038610038611</c:v>
                </c:pt>
                <c:pt idx="8">
                  <c:v>0.36086956521739133</c:v>
                </c:pt>
                <c:pt idx="9">
                  <c:v>0.46496815286624205</c:v>
                </c:pt>
              </c:numCache>
            </c:numRef>
          </c:val>
          <c:extLst>
            <c:ext xmlns:c16="http://schemas.microsoft.com/office/drawing/2014/chart" uri="{C3380CC4-5D6E-409C-BE32-E72D297353CC}">
              <c16:uniqueId val="{00000003-E7A0-43CF-8513-EE7F7ED8FE18}"/>
            </c:ext>
          </c:extLst>
        </c:ser>
        <c:ser>
          <c:idx val="4"/>
          <c:order val="4"/>
          <c:tx>
            <c:strRef>
              <c:f>'Q12.7 citizen'!$B$42</c:f>
              <c:strCache>
                <c:ptCount val="1"/>
                <c:pt idx="0">
                  <c:v>Extremely easy</c:v>
                </c:pt>
              </c:strCache>
            </c:strRef>
          </c:tx>
          <c:spPr>
            <a:solidFill>
              <a:schemeClr val="accent2">
                <a:tint val="54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E7A0-43CF-8513-EE7F7ED8FE18}"/>
                </c:ext>
              </c:extLst>
            </c:dLbl>
            <c:dLbl>
              <c:idx val="8"/>
              <c:delete val="1"/>
              <c:extLst>
                <c:ext xmlns:c15="http://schemas.microsoft.com/office/drawing/2012/chart" uri="{CE6537A1-D6FC-4f65-9D91-7224C49458BB}"/>
                <c:ext xmlns:c16="http://schemas.microsoft.com/office/drawing/2014/chart" uri="{C3380CC4-5D6E-409C-BE32-E72D297353CC}">
                  <c16:uniqueId val="{00000005-E7A0-43CF-8513-EE7F7ED8FE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citizen'!$C$37:$L$37</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citizen'!$C$42:$L$42</c:f>
              <c:numCache>
                <c:formatCode>0.0%</c:formatCode>
                <c:ptCount val="10"/>
                <c:pt idx="0">
                  <c:v>6.4421669106881407E-2</c:v>
                </c:pt>
                <c:pt idx="1">
                  <c:v>0.10638297872340426</c:v>
                </c:pt>
                <c:pt idx="2">
                  <c:v>8.3837510803802945E-2</c:v>
                </c:pt>
                <c:pt idx="3">
                  <c:v>7.3712255772646534E-2</c:v>
                </c:pt>
                <c:pt idx="4">
                  <c:v>4.5023696682464455E-2</c:v>
                </c:pt>
                <c:pt idx="5">
                  <c:v>0.10073260073260074</c:v>
                </c:pt>
                <c:pt idx="6">
                  <c:v>7.8694817658349334E-2</c:v>
                </c:pt>
                <c:pt idx="7">
                  <c:v>6.5637065637065631E-2</c:v>
                </c:pt>
                <c:pt idx="8">
                  <c:v>3.2608695652173912E-2</c:v>
                </c:pt>
                <c:pt idx="9">
                  <c:v>6.6878980891719744E-2</c:v>
                </c:pt>
              </c:numCache>
            </c:numRef>
          </c:val>
          <c:extLst>
            <c:ext xmlns:c16="http://schemas.microsoft.com/office/drawing/2014/chart" uri="{C3380CC4-5D6E-409C-BE32-E72D297353CC}">
              <c16:uniqueId val="{00000004-E7A0-43CF-8513-EE7F7ED8FE18}"/>
            </c:ext>
          </c:extLst>
        </c:ser>
        <c:dLbls>
          <c:showLegendKey val="0"/>
          <c:showVal val="0"/>
          <c:showCatName val="0"/>
          <c:showSerName val="0"/>
          <c:showPercent val="0"/>
          <c:showBubbleSize val="0"/>
        </c:dLbls>
        <c:gapWidth val="60"/>
        <c:overlap val="100"/>
        <c:axId val="529130352"/>
        <c:axId val="529126432"/>
      </c:barChart>
      <c:catAx>
        <c:axId val="52913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6432"/>
        <c:crosses val="autoZero"/>
        <c:auto val="1"/>
        <c:lblAlgn val="ctr"/>
        <c:lblOffset val="100"/>
        <c:noMultiLvlLbl val="0"/>
      </c:catAx>
      <c:valAx>
        <c:axId val="529126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0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9050075808992"/>
          <c:y val="0.10545393270363186"/>
          <c:w val="0.83632044609535705"/>
          <c:h val="0.79525910621953833"/>
        </c:manualLayout>
      </c:layout>
      <c:barChart>
        <c:barDir val="bar"/>
        <c:grouping val="percentStacked"/>
        <c:varyColors val="0"/>
        <c:ser>
          <c:idx val="0"/>
          <c:order val="0"/>
          <c:tx>
            <c:strRef>
              <c:f>'Q12.7 citizen'!$B$52</c:f>
              <c:strCache>
                <c:ptCount val="1"/>
                <c:pt idx="0">
                  <c:v>Extremely difficult</c:v>
                </c:pt>
              </c:strCache>
            </c:strRef>
          </c:tx>
          <c:spPr>
            <a:solidFill>
              <a:schemeClr val="accent2">
                <a:shade val="53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DDA6-45B2-8801-A5A001CEE4EF}"/>
                </c:ext>
              </c:extLst>
            </c:dLbl>
            <c:dLbl>
              <c:idx val="1"/>
              <c:delete val="1"/>
              <c:extLst>
                <c:ext xmlns:c15="http://schemas.microsoft.com/office/drawing/2012/chart" uri="{CE6537A1-D6FC-4f65-9D91-7224C49458BB}"/>
                <c:ext xmlns:c16="http://schemas.microsoft.com/office/drawing/2014/chart" uri="{C3380CC4-5D6E-409C-BE32-E72D297353CC}">
                  <c16:uniqueId val="{0000000C-DDA6-45B2-8801-A5A001CEE4EF}"/>
                </c:ext>
              </c:extLst>
            </c:dLbl>
            <c:dLbl>
              <c:idx val="2"/>
              <c:delete val="1"/>
              <c:extLst>
                <c:ext xmlns:c15="http://schemas.microsoft.com/office/drawing/2012/chart" uri="{CE6537A1-D6FC-4f65-9D91-7224C49458BB}"/>
                <c:ext xmlns:c16="http://schemas.microsoft.com/office/drawing/2014/chart" uri="{C3380CC4-5D6E-409C-BE32-E72D297353CC}">
                  <c16:uniqueId val="{0000000A-DDA6-45B2-8801-A5A001CEE4EF}"/>
                </c:ext>
              </c:extLst>
            </c:dLbl>
            <c:dLbl>
              <c:idx val="3"/>
              <c:delete val="1"/>
              <c:extLst>
                <c:ext xmlns:c15="http://schemas.microsoft.com/office/drawing/2012/chart" uri="{CE6537A1-D6FC-4f65-9D91-7224C49458BB}"/>
                <c:ext xmlns:c16="http://schemas.microsoft.com/office/drawing/2014/chart" uri="{C3380CC4-5D6E-409C-BE32-E72D297353CC}">
                  <c16:uniqueId val="{0000000B-DDA6-45B2-8801-A5A001CEE4EF}"/>
                </c:ext>
              </c:extLst>
            </c:dLbl>
            <c:dLbl>
              <c:idx val="5"/>
              <c:delete val="1"/>
              <c:extLst>
                <c:ext xmlns:c15="http://schemas.microsoft.com/office/drawing/2012/chart" uri="{CE6537A1-D6FC-4f65-9D91-7224C49458BB}"/>
                <c:ext xmlns:c16="http://schemas.microsoft.com/office/drawing/2014/chart" uri="{C3380CC4-5D6E-409C-BE32-E72D297353CC}">
                  <c16:uniqueId val="{0000000E-DDA6-45B2-8801-A5A001CEE4EF}"/>
                </c:ext>
              </c:extLst>
            </c:dLbl>
            <c:dLbl>
              <c:idx val="6"/>
              <c:delete val="1"/>
              <c:extLst>
                <c:ext xmlns:c15="http://schemas.microsoft.com/office/drawing/2012/chart" uri="{CE6537A1-D6FC-4f65-9D91-7224C49458BB}"/>
                <c:ext xmlns:c16="http://schemas.microsoft.com/office/drawing/2014/chart" uri="{C3380CC4-5D6E-409C-BE32-E72D297353CC}">
                  <c16:uniqueId val="{00000007-DDA6-45B2-8801-A5A001CEE4EF}"/>
                </c:ext>
              </c:extLst>
            </c:dLbl>
            <c:dLbl>
              <c:idx val="8"/>
              <c:delete val="1"/>
              <c:extLst>
                <c:ext xmlns:c15="http://schemas.microsoft.com/office/drawing/2012/chart" uri="{CE6537A1-D6FC-4f65-9D91-7224C49458BB}"/>
                <c:ext xmlns:c16="http://schemas.microsoft.com/office/drawing/2014/chart" uri="{C3380CC4-5D6E-409C-BE32-E72D297353CC}">
                  <c16:uniqueId val="{00000008-DDA6-45B2-8801-A5A001CEE4EF}"/>
                </c:ext>
              </c:extLst>
            </c:dLbl>
            <c:dLbl>
              <c:idx val="9"/>
              <c:delete val="1"/>
              <c:extLst>
                <c:ext xmlns:c15="http://schemas.microsoft.com/office/drawing/2012/chart" uri="{CE6537A1-D6FC-4f65-9D91-7224C49458BB}"/>
                <c:ext xmlns:c16="http://schemas.microsoft.com/office/drawing/2014/chart" uri="{C3380CC4-5D6E-409C-BE32-E72D297353CC}">
                  <c16:uniqueId val="{00000009-DDA6-45B2-8801-A5A001CEE4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citizen'!$C$51:$L$51</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citizen'!$C$52:$L$52</c:f>
              <c:numCache>
                <c:formatCode>0.0%</c:formatCode>
                <c:ptCount val="10"/>
                <c:pt idx="0">
                  <c:v>1.7569546120058566E-2</c:v>
                </c:pt>
                <c:pt idx="1">
                  <c:v>3.3015407190022009E-2</c:v>
                </c:pt>
                <c:pt idx="2">
                  <c:v>2.7657735522904063E-2</c:v>
                </c:pt>
                <c:pt idx="3">
                  <c:v>3.1971580817051509E-2</c:v>
                </c:pt>
                <c:pt idx="4">
                  <c:v>5.3317535545023699E-2</c:v>
                </c:pt>
                <c:pt idx="5">
                  <c:v>4.7619047619047616E-2</c:v>
                </c:pt>
                <c:pt idx="6">
                  <c:v>3.2629558541266791E-2</c:v>
                </c:pt>
                <c:pt idx="7">
                  <c:v>5.2123552123552123E-2</c:v>
                </c:pt>
                <c:pt idx="8">
                  <c:v>3.6956521739130437E-2</c:v>
                </c:pt>
                <c:pt idx="9">
                  <c:v>1.2738853503184714E-2</c:v>
                </c:pt>
              </c:numCache>
            </c:numRef>
          </c:val>
          <c:extLst>
            <c:ext xmlns:c16="http://schemas.microsoft.com/office/drawing/2014/chart" uri="{C3380CC4-5D6E-409C-BE32-E72D297353CC}">
              <c16:uniqueId val="{00000000-DDA6-45B2-8801-A5A001CEE4EF}"/>
            </c:ext>
          </c:extLst>
        </c:ser>
        <c:ser>
          <c:idx val="1"/>
          <c:order val="1"/>
          <c:tx>
            <c:strRef>
              <c:f>'Q12.7 citizen'!$B$53</c:f>
              <c:strCache>
                <c:ptCount val="1"/>
                <c:pt idx="0">
                  <c:v>Difficult</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citizen'!$C$51:$L$51</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citizen'!$C$53:$L$53</c:f>
              <c:numCache>
                <c:formatCode>0.0%</c:formatCode>
                <c:ptCount val="10"/>
                <c:pt idx="0">
                  <c:v>0.19546120058565153</c:v>
                </c:pt>
                <c:pt idx="1">
                  <c:v>0.22670579603815114</c:v>
                </c:pt>
                <c:pt idx="2">
                  <c:v>0.20311149524632671</c:v>
                </c:pt>
                <c:pt idx="3">
                  <c:v>0.20426287744227353</c:v>
                </c:pt>
                <c:pt idx="4">
                  <c:v>0.24052132701421802</c:v>
                </c:pt>
                <c:pt idx="5">
                  <c:v>0.20512820512820512</c:v>
                </c:pt>
                <c:pt idx="6">
                  <c:v>0.23224568138195778</c:v>
                </c:pt>
                <c:pt idx="7">
                  <c:v>0.23938223938223938</c:v>
                </c:pt>
                <c:pt idx="8">
                  <c:v>0.25869565217391305</c:v>
                </c:pt>
                <c:pt idx="9">
                  <c:v>0.13694267515923567</c:v>
                </c:pt>
              </c:numCache>
            </c:numRef>
          </c:val>
          <c:extLst>
            <c:ext xmlns:c16="http://schemas.microsoft.com/office/drawing/2014/chart" uri="{C3380CC4-5D6E-409C-BE32-E72D297353CC}">
              <c16:uniqueId val="{00000001-DDA6-45B2-8801-A5A001CEE4EF}"/>
            </c:ext>
          </c:extLst>
        </c:ser>
        <c:ser>
          <c:idx val="2"/>
          <c:order val="2"/>
          <c:tx>
            <c:strRef>
              <c:f>'Q12.7 citizen'!$B$54</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citizen'!$C$51:$L$51</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citizen'!$C$54:$L$54</c:f>
              <c:numCache>
                <c:formatCode>0.0%</c:formatCode>
                <c:ptCount val="10"/>
                <c:pt idx="0">
                  <c:v>0.35139092240117131</c:v>
                </c:pt>
                <c:pt idx="1">
                  <c:v>0.26118855465884078</c:v>
                </c:pt>
                <c:pt idx="2">
                  <c:v>0.3595505617977528</c:v>
                </c:pt>
                <c:pt idx="3">
                  <c:v>0.43783303730017764</c:v>
                </c:pt>
                <c:pt idx="4">
                  <c:v>0.37203791469194314</c:v>
                </c:pt>
                <c:pt idx="5">
                  <c:v>0.27472527472527475</c:v>
                </c:pt>
                <c:pt idx="6">
                  <c:v>0.27831094049904032</c:v>
                </c:pt>
                <c:pt idx="7">
                  <c:v>0.36872586872586871</c:v>
                </c:pt>
                <c:pt idx="8">
                  <c:v>0.41521739130434782</c:v>
                </c:pt>
                <c:pt idx="9">
                  <c:v>0.31528662420382164</c:v>
                </c:pt>
              </c:numCache>
            </c:numRef>
          </c:val>
          <c:extLst>
            <c:ext xmlns:c16="http://schemas.microsoft.com/office/drawing/2014/chart" uri="{C3380CC4-5D6E-409C-BE32-E72D297353CC}">
              <c16:uniqueId val="{00000002-DDA6-45B2-8801-A5A001CEE4EF}"/>
            </c:ext>
          </c:extLst>
        </c:ser>
        <c:ser>
          <c:idx val="3"/>
          <c:order val="3"/>
          <c:tx>
            <c:strRef>
              <c:f>'Q12.7 citizen'!$B$55</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citizen'!$C$51:$L$51</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citizen'!$C$55:$L$55</c:f>
              <c:numCache>
                <c:formatCode>0.0%</c:formatCode>
                <c:ptCount val="10"/>
                <c:pt idx="0">
                  <c:v>0.37481698389458273</c:v>
                </c:pt>
                <c:pt idx="1">
                  <c:v>0.38444607483492299</c:v>
                </c:pt>
                <c:pt idx="2">
                  <c:v>0.33707865168539325</c:v>
                </c:pt>
                <c:pt idx="3">
                  <c:v>0.27975133214920073</c:v>
                </c:pt>
                <c:pt idx="4">
                  <c:v>0.28080568720379145</c:v>
                </c:pt>
                <c:pt idx="5">
                  <c:v>0.37179487179487181</c:v>
                </c:pt>
                <c:pt idx="6">
                  <c:v>0.37236084452975049</c:v>
                </c:pt>
                <c:pt idx="7">
                  <c:v>0.26447876447876451</c:v>
                </c:pt>
                <c:pt idx="8">
                  <c:v>0.27608695652173915</c:v>
                </c:pt>
                <c:pt idx="9">
                  <c:v>0.47452229299363058</c:v>
                </c:pt>
              </c:numCache>
            </c:numRef>
          </c:val>
          <c:extLst>
            <c:ext xmlns:c16="http://schemas.microsoft.com/office/drawing/2014/chart" uri="{C3380CC4-5D6E-409C-BE32-E72D297353CC}">
              <c16:uniqueId val="{00000003-DDA6-45B2-8801-A5A001CEE4EF}"/>
            </c:ext>
          </c:extLst>
        </c:ser>
        <c:ser>
          <c:idx val="4"/>
          <c:order val="4"/>
          <c:tx>
            <c:strRef>
              <c:f>'Q12.7 citizen'!$B$56</c:f>
              <c:strCache>
                <c:ptCount val="1"/>
                <c:pt idx="0">
                  <c:v>Extremely easy</c:v>
                </c:pt>
              </c:strCache>
            </c:strRef>
          </c:tx>
          <c:spPr>
            <a:solidFill>
              <a:schemeClr val="accent2">
                <a:tint val="54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DDA6-45B2-8801-A5A001CEE4EF}"/>
                </c:ext>
              </c:extLst>
            </c:dLbl>
            <c:dLbl>
              <c:idx val="8"/>
              <c:delete val="1"/>
              <c:extLst>
                <c:ext xmlns:c15="http://schemas.microsoft.com/office/drawing/2012/chart" uri="{CE6537A1-D6FC-4f65-9D91-7224C49458BB}"/>
                <c:ext xmlns:c16="http://schemas.microsoft.com/office/drawing/2014/chart" uri="{C3380CC4-5D6E-409C-BE32-E72D297353CC}">
                  <c16:uniqueId val="{00000005-DDA6-45B2-8801-A5A001CEE4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citizen'!$C$51:$L$51</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citizen'!$C$56:$L$56</c:f>
              <c:numCache>
                <c:formatCode>0.0%</c:formatCode>
                <c:ptCount val="10"/>
                <c:pt idx="0">
                  <c:v>6.2225475841874087E-2</c:v>
                </c:pt>
                <c:pt idx="1">
                  <c:v>9.6111518708730748E-2</c:v>
                </c:pt>
                <c:pt idx="2">
                  <c:v>6.6551426101987901E-2</c:v>
                </c:pt>
                <c:pt idx="3">
                  <c:v>4.5293072824156302E-2</c:v>
                </c:pt>
                <c:pt idx="4">
                  <c:v>5.2132701421800945E-2</c:v>
                </c:pt>
                <c:pt idx="5">
                  <c:v>0.10073260073260074</c:v>
                </c:pt>
                <c:pt idx="6">
                  <c:v>8.4452975047984644E-2</c:v>
                </c:pt>
                <c:pt idx="7">
                  <c:v>7.1428571428571425E-2</c:v>
                </c:pt>
                <c:pt idx="8">
                  <c:v>2.391304347826087E-2</c:v>
                </c:pt>
                <c:pt idx="9">
                  <c:v>6.0509554140127389E-2</c:v>
                </c:pt>
              </c:numCache>
            </c:numRef>
          </c:val>
          <c:extLst>
            <c:ext xmlns:c16="http://schemas.microsoft.com/office/drawing/2014/chart" uri="{C3380CC4-5D6E-409C-BE32-E72D297353CC}">
              <c16:uniqueId val="{00000004-DDA6-45B2-8801-A5A001CEE4EF}"/>
            </c:ext>
          </c:extLst>
        </c:ser>
        <c:dLbls>
          <c:showLegendKey val="0"/>
          <c:showVal val="0"/>
          <c:showCatName val="0"/>
          <c:showSerName val="0"/>
          <c:showPercent val="0"/>
          <c:showBubbleSize val="0"/>
        </c:dLbls>
        <c:gapWidth val="60"/>
        <c:overlap val="100"/>
        <c:axId val="529127216"/>
        <c:axId val="529127608"/>
      </c:barChart>
      <c:catAx>
        <c:axId val="52912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7608"/>
        <c:crosses val="autoZero"/>
        <c:auto val="1"/>
        <c:lblAlgn val="ctr"/>
        <c:lblOffset val="100"/>
        <c:noMultiLvlLbl val="0"/>
      </c:catAx>
      <c:valAx>
        <c:axId val="529127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27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727467979642363"/>
          <c:y val="9.8087818401778978E-2"/>
          <c:w val="0.83632044609535705"/>
          <c:h val="0.79060686151146664"/>
        </c:manualLayout>
      </c:layout>
      <c:barChart>
        <c:barDir val="bar"/>
        <c:grouping val="percentStacked"/>
        <c:varyColors val="0"/>
        <c:ser>
          <c:idx val="0"/>
          <c:order val="0"/>
          <c:tx>
            <c:strRef>
              <c:f>'Q12.7 citizen'!$B$66</c:f>
              <c:strCache>
                <c:ptCount val="1"/>
                <c:pt idx="0">
                  <c:v>Extremely difficult</c:v>
                </c:pt>
              </c:strCache>
            </c:strRef>
          </c:tx>
          <c:spPr>
            <a:solidFill>
              <a:schemeClr val="accent2">
                <a:shade val="53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9CBF-4A05-B4CD-67C3B8F033F8}"/>
                </c:ext>
              </c:extLst>
            </c:dLbl>
            <c:dLbl>
              <c:idx val="4"/>
              <c:delete val="1"/>
              <c:extLst>
                <c:ext xmlns:c15="http://schemas.microsoft.com/office/drawing/2012/chart" uri="{CE6537A1-D6FC-4f65-9D91-7224C49458BB}"/>
                <c:ext xmlns:c16="http://schemas.microsoft.com/office/drawing/2014/chart" uri="{C3380CC4-5D6E-409C-BE32-E72D297353CC}">
                  <c16:uniqueId val="{00000007-9CBF-4A05-B4CD-67C3B8F033F8}"/>
                </c:ext>
              </c:extLst>
            </c:dLbl>
            <c:dLbl>
              <c:idx val="8"/>
              <c:delete val="1"/>
              <c:extLst>
                <c:ext xmlns:c15="http://schemas.microsoft.com/office/drawing/2012/chart" uri="{CE6537A1-D6FC-4f65-9D91-7224C49458BB}"/>
                <c:ext xmlns:c16="http://schemas.microsoft.com/office/drawing/2014/chart" uri="{C3380CC4-5D6E-409C-BE32-E72D297353CC}">
                  <c16:uniqueId val="{00000009-9CBF-4A05-B4CD-67C3B8F033F8}"/>
                </c:ext>
              </c:extLst>
            </c:dLbl>
            <c:dLbl>
              <c:idx val="9"/>
              <c:delete val="1"/>
              <c:extLst>
                <c:ext xmlns:c15="http://schemas.microsoft.com/office/drawing/2012/chart" uri="{CE6537A1-D6FC-4f65-9D91-7224C49458BB}"/>
                <c:ext xmlns:c16="http://schemas.microsoft.com/office/drawing/2014/chart" uri="{C3380CC4-5D6E-409C-BE32-E72D297353CC}">
                  <c16:uniqueId val="{00000008-9CBF-4A05-B4CD-67C3B8F033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citizen'!$C$65:$L$65</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citizen'!$C$66:$L$66</c:f>
              <c:numCache>
                <c:formatCode>0.0%</c:formatCode>
                <c:ptCount val="10"/>
                <c:pt idx="0">
                  <c:v>5.1244509516837483E-2</c:v>
                </c:pt>
                <c:pt idx="1">
                  <c:v>7.1166544387380778E-2</c:v>
                </c:pt>
                <c:pt idx="2">
                  <c:v>5.0129645635263613E-2</c:v>
                </c:pt>
                <c:pt idx="3">
                  <c:v>9.7690941385435177E-3</c:v>
                </c:pt>
                <c:pt idx="4">
                  <c:v>2.9620853080568721E-2</c:v>
                </c:pt>
                <c:pt idx="5">
                  <c:v>8.2417582417582416E-2</c:v>
                </c:pt>
                <c:pt idx="6">
                  <c:v>9.5969289827255277E-2</c:v>
                </c:pt>
                <c:pt idx="7">
                  <c:v>5.7915057915057917E-2</c:v>
                </c:pt>
                <c:pt idx="8">
                  <c:v>4.7826086956521741E-2</c:v>
                </c:pt>
                <c:pt idx="9">
                  <c:v>3.1847133757961783E-2</c:v>
                </c:pt>
              </c:numCache>
            </c:numRef>
          </c:val>
          <c:extLst>
            <c:ext xmlns:c16="http://schemas.microsoft.com/office/drawing/2014/chart" uri="{C3380CC4-5D6E-409C-BE32-E72D297353CC}">
              <c16:uniqueId val="{00000000-9CBF-4A05-B4CD-67C3B8F033F8}"/>
            </c:ext>
          </c:extLst>
        </c:ser>
        <c:ser>
          <c:idx val="1"/>
          <c:order val="1"/>
          <c:tx>
            <c:strRef>
              <c:f>'Q12.7 citizen'!$B$67</c:f>
              <c:strCache>
                <c:ptCount val="1"/>
                <c:pt idx="0">
                  <c:v>Difficult</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citizen'!$C$65:$L$65</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citizen'!$C$67:$L$67</c:f>
              <c:numCache>
                <c:formatCode>0.0%</c:formatCode>
                <c:ptCount val="10"/>
                <c:pt idx="0">
                  <c:v>0.20790629575402636</c:v>
                </c:pt>
                <c:pt idx="1">
                  <c:v>0.16507703595011006</c:v>
                </c:pt>
                <c:pt idx="2">
                  <c:v>0.19187554019014694</c:v>
                </c:pt>
                <c:pt idx="3">
                  <c:v>0.11190053285968028</c:v>
                </c:pt>
                <c:pt idx="4">
                  <c:v>0.10900473933649289</c:v>
                </c:pt>
                <c:pt idx="5">
                  <c:v>0.19413919413919414</c:v>
                </c:pt>
                <c:pt idx="6">
                  <c:v>0.23416506717850288</c:v>
                </c:pt>
                <c:pt idx="7">
                  <c:v>0.20849420849420849</c:v>
                </c:pt>
                <c:pt idx="8">
                  <c:v>0.2543478260869565</c:v>
                </c:pt>
                <c:pt idx="9">
                  <c:v>0.2070063694267516</c:v>
                </c:pt>
              </c:numCache>
            </c:numRef>
          </c:val>
          <c:extLst>
            <c:ext xmlns:c16="http://schemas.microsoft.com/office/drawing/2014/chart" uri="{C3380CC4-5D6E-409C-BE32-E72D297353CC}">
              <c16:uniqueId val="{00000001-9CBF-4A05-B4CD-67C3B8F033F8}"/>
            </c:ext>
          </c:extLst>
        </c:ser>
        <c:ser>
          <c:idx val="2"/>
          <c:order val="2"/>
          <c:tx>
            <c:strRef>
              <c:f>'Q12.7 citizen'!$B$68</c:f>
              <c:strCache>
                <c:ptCount val="1"/>
                <c:pt idx="0">
                  <c:v>Neither easy nor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citizen'!$C$65:$L$65</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citizen'!$C$68:$L$68</c:f>
              <c:numCache>
                <c:formatCode>0.0%</c:formatCode>
                <c:ptCount val="10"/>
                <c:pt idx="0">
                  <c:v>0.30527086383601759</c:v>
                </c:pt>
                <c:pt idx="1">
                  <c:v>0.23257520176082172</c:v>
                </c:pt>
                <c:pt idx="2">
                  <c:v>0.27830596369922211</c:v>
                </c:pt>
                <c:pt idx="3">
                  <c:v>0.4058614564831261</c:v>
                </c:pt>
                <c:pt idx="4">
                  <c:v>0.31161137440758296</c:v>
                </c:pt>
                <c:pt idx="5">
                  <c:v>0.27472527472527475</c:v>
                </c:pt>
                <c:pt idx="6">
                  <c:v>0.23032629558541268</c:v>
                </c:pt>
                <c:pt idx="7">
                  <c:v>0.39382239382239381</c:v>
                </c:pt>
                <c:pt idx="8">
                  <c:v>0.39130434782608697</c:v>
                </c:pt>
                <c:pt idx="9">
                  <c:v>0.30573248407643311</c:v>
                </c:pt>
              </c:numCache>
            </c:numRef>
          </c:val>
          <c:extLst>
            <c:ext xmlns:c16="http://schemas.microsoft.com/office/drawing/2014/chart" uri="{C3380CC4-5D6E-409C-BE32-E72D297353CC}">
              <c16:uniqueId val="{00000002-9CBF-4A05-B4CD-67C3B8F033F8}"/>
            </c:ext>
          </c:extLst>
        </c:ser>
        <c:ser>
          <c:idx val="3"/>
          <c:order val="3"/>
          <c:tx>
            <c:strRef>
              <c:f>'Q12.7 citizen'!$B$69</c:f>
              <c:strCache>
                <c:ptCount val="1"/>
                <c:pt idx="0">
                  <c:v>Easy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citizen'!$C$65:$L$65</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citizen'!$C$69:$L$69</c:f>
              <c:numCache>
                <c:formatCode>0.0%</c:formatCode>
                <c:ptCount val="10"/>
                <c:pt idx="0">
                  <c:v>0.33894582723279648</c:v>
                </c:pt>
                <c:pt idx="1">
                  <c:v>0.39691856199559794</c:v>
                </c:pt>
                <c:pt idx="2">
                  <c:v>0.36473638720829732</c:v>
                </c:pt>
                <c:pt idx="3">
                  <c:v>0.3685612788632327</c:v>
                </c:pt>
                <c:pt idx="4">
                  <c:v>0.4253554502369668</c:v>
                </c:pt>
                <c:pt idx="5">
                  <c:v>0.32051282051282054</c:v>
                </c:pt>
                <c:pt idx="6">
                  <c:v>0.31861804222648754</c:v>
                </c:pt>
                <c:pt idx="7">
                  <c:v>0.28185328185328185</c:v>
                </c:pt>
                <c:pt idx="8">
                  <c:v>0.27608695652173915</c:v>
                </c:pt>
                <c:pt idx="9">
                  <c:v>0.35987261146496813</c:v>
                </c:pt>
              </c:numCache>
            </c:numRef>
          </c:val>
          <c:extLst>
            <c:ext xmlns:c16="http://schemas.microsoft.com/office/drawing/2014/chart" uri="{C3380CC4-5D6E-409C-BE32-E72D297353CC}">
              <c16:uniqueId val="{00000003-9CBF-4A05-B4CD-67C3B8F033F8}"/>
            </c:ext>
          </c:extLst>
        </c:ser>
        <c:ser>
          <c:idx val="4"/>
          <c:order val="4"/>
          <c:tx>
            <c:strRef>
              <c:f>'Q12.7 citizen'!$B$70</c:f>
              <c:strCache>
                <c:ptCount val="1"/>
                <c:pt idx="0">
                  <c:v>Extremely easy</c:v>
                </c:pt>
              </c:strCache>
            </c:strRef>
          </c:tx>
          <c:spPr>
            <a:solidFill>
              <a:schemeClr val="accent2">
                <a:tint val="54000"/>
              </a:schemeClr>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5-9CBF-4A05-B4CD-67C3B8F033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'Q12.7 citizen'!$C$65:$L$65</c:f>
              <c:strCache>
                <c:ptCount val="10"/>
                <c:pt idx="0">
                  <c:v>Germany</c:v>
                </c:pt>
                <c:pt idx="1">
                  <c:v>UK</c:v>
                </c:pt>
                <c:pt idx="2">
                  <c:v>France</c:v>
                </c:pt>
                <c:pt idx="3">
                  <c:v>Taiwan</c:v>
                </c:pt>
                <c:pt idx="4">
                  <c:v>Italy</c:v>
                </c:pt>
                <c:pt idx="5">
                  <c:v>USA</c:v>
                </c:pt>
                <c:pt idx="6">
                  <c:v>Canada</c:v>
                </c:pt>
                <c:pt idx="7">
                  <c:v>South Korea</c:v>
                </c:pt>
                <c:pt idx="8">
                  <c:v>Japan</c:v>
                </c:pt>
                <c:pt idx="9">
                  <c:v>Netherlands</c:v>
                </c:pt>
              </c:strCache>
            </c:strRef>
          </c:cat>
          <c:val>
            <c:numRef>
              <c:f>'Q12.7 citizen'!$C$70:$L$70</c:f>
              <c:numCache>
                <c:formatCode>0.0%</c:formatCode>
                <c:ptCount val="10"/>
                <c:pt idx="0">
                  <c:v>8.9311859443631042E-2</c:v>
                </c:pt>
                <c:pt idx="1">
                  <c:v>0.13352898019075568</c:v>
                </c:pt>
                <c:pt idx="2">
                  <c:v>0.11235955056179775</c:v>
                </c:pt>
                <c:pt idx="3">
                  <c:v>0.10301953818827708</c:v>
                </c:pt>
                <c:pt idx="4">
                  <c:v>0.12203791469194313</c:v>
                </c:pt>
                <c:pt idx="5">
                  <c:v>0.12637362637362637</c:v>
                </c:pt>
                <c:pt idx="6">
                  <c:v>0.11516314779270634</c:v>
                </c:pt>
                <c:pt idx="7">
                  <c:v>5.4054054054054057E-2</c:v>
                </c:pt>
                <c:pt idx="8">
                  <c:v>3.6956521739130437E-2</c:v>
                </c:pt>
                <c:pt idx="9">
                  <c:v>9.8726114649681534E-2</c:v>
                </c:pt>
              </c:numCache>
            </c:numRef>
          </c:val>
          <c:extLst>
            <c:ext xmlns:c16="http://schemas.microsoft.com/office/drawing/2014/chart" uri="{C3380CC4-5D6E-409C-BE32-E72D297353CC}">
              <c16:uniqueId val="{00000004-9CBF-4A05-B4CD-67C3B8F033F8}"/>
            </c:ext>
          </c:extLst>
        </c:ser>
        <c:dLbls>
          <c:showLegendKey val="0"/>
          <c:showVal val="0"/>
          <c:showCatName val="0"/>
          <c:showSerName val="0"/>
          <c:showPercent val="0"/>
          <c:showBubbleSize val="0"/>
        </c:dLbls>
        <c:gapWidth val="60"/>
        <c:overlap val="100"/>
        <c:axId val="529134272"/>
        <c:axId val="529132704"/>
      </c:barChart>
      <c:catAx>
        <c:axId val="52913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2704"/>
        <c:crosses val="autoZero"/>
        <c:auto val="1"/>
        <c:lblAlgn val="ctr"/>
        <c:lblOffset val="100"/>
        <c:noMultiLvlLbl val="0"/>
      </c:catAx>
      <c:valAx>
        <c:axId val="5291327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4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491114602956878E-2"/>
          <c:y val="7.8700073025146047E-2"/>
          <c:w val="0.91413484404633338"/>
          <c:h val="0.68161502491881465"/>
        </c:manualLayout>
      </c:layout>
      <c:barChart>
        <c:barDir val="col"/>
        <c:grouping val="clustered"/>
        <c:varyColors val="0"/>
        <c:ser>
          <c:idx val="0"/>
          <c:order val="0"/>
          <c:tx>
            <c:strRef>
              <c:f>'Q12.8 citizen'!$I$14</c:f>
              <c:strCache>
                <c:ptCount val="1"/>
                <c:pt idx="0">
                  <c:v>NZ</c:v>
                </c:pt>
              </c:strCache>
            </c:strRef>
          </c:tx>
          <c:spPr>
            <a:solidFill>
              <a:schemeClr val="accent1"/>
            </a:solidFill>
            <a:ln>
              <a:noFill/>
            </a:ln>
            <a:effectLst/>
          </c:spPr>
          <c:invertIfNegative val="0"/>
          <c:cat>
            <c:strRef>
              <c:f>'Q12.8 citizen'!$B$15:$B$25</c:f>
              <c:strCache>
                <c:ptCount val="11"/>
                <c:pt idx="0">
                  <c:v>Germany</c:v>
                </c:pt>
                <c:pt idx="1">
                  <c:v>UK</c:v>
                </c:pt>
                <c:pt idx="2">
                  <c:v>France</c:v>
                </c:pt>
                <c:pt idx="3">
                  <c:v>Taiwan</c:v>
                </c:pt>
                <c:pt idx="4">
                  <c:v>Italy</c:v>
                </c:pt>
                <c:pt idx="5">
                  <c:v>USA</c:v>
                </c:pt>
                <c:pt idx="6">
                  <c:v>Canada</c:v>
                </c:pt>
                <c:pt idx="7">
                  <c:v>South Korea</c:v>
                </c:pt>
                <c:pt idx="8">
                  <c:v>Japan</c:v>
                </c:pt>
                <c:pt idx="9">
                  <c:v>Netherlands</c:v>
                </c:pt>
                <c:pt idx="10">
                  <c:v>Ireland</c:v>
                </c:pt>
              </c:strCache>
            </c:strRef>
          </c:cat>
          <c:val>
            <c:numRef>
              <c:f>'Q12.8 citizen'!$I$15:$I$25</c:f>
              <c:numCache>
                <c:formatCode>0.0%</c:formatCode>
                <c:ptCount val="11"/>
                <c:pt idx="0">
                  <c:v>0.79268292682926833</c:v>
                </c:pt>
                <c:pt idx="1">
                  <c:v>0.87006960556844548</c:v>
                </c:pt>
                <c:pt idx="2">
                  <c:v>0.72544378698224854</c:v>
                </c:pt>
                <c:pt idx="3">
                  <c:v>0.66993865030674848</c:v>
                </c:pt>
                <c:pt idx="4">
                  <c:v>0.72478632478632476</c:v>
                </c:pt>
                <c:pt idx="5">
                  <c:v>0.82333333333333336</c:v>
                </c:pt>
                <c:pt idx="6">
                  <c:v>0.8557377049180328</c:v>
                </c:pt>
                <c:pt idx="7">
                  <c:v>0.51733333333333331</c:v>
                </c:pt>
                <c:pt idx="8">
                  <c:v>0.63517915309446249</c:v>
                </c:pt>
                <c:pt idx="9">
                  <c:v>0.82208588957055218</c:v>
                </c:pt>
                <c:pt idx="10">
                  <c:v>0.77294685990338163</c:v>
                </c:pt>
              </c:numCache>
            </c:numRef>
          </c:val>
          <c:extLst>
            <c:ext xmlns:c16="http://schemas.microsoft.com/office/drawing/2014/chart" uri="{C3380CC4-5D6E-409C-BE32-E72D297353CC}">
              <c16:uniqueId val="{00000000-8D54-412C-8A5B-B49599C99445}"/>
            </c:ext>
          </c:extLst>
        </c:ser>
        <c:ser>
          <c:idx val="1"/>
          <c:order val="1"/>
          <c:tx>
            <c:strRef>
              <c:f>'Q12.8 citizen'!$J$14</c:f>
              <c:strCache>
                <c:ptCount val="1"/>
                <c:pt idx="0">
                  <c:v>Canada</c:v>
                </c:pt>
              </c:strCache>
            </c:strRef>
          </c:tx>
          <c:spPr>
            <a:solidFill>
              <a:schemeClr val="accent2"/>
            </a:solidFill>
            <a:ln>
              <a:noFill/>
            </a:ln>
            <a:effectLst/>
          </c:spPr>
          <c:invertIfNegative val="0"/>
          <c:cat>
            <c:strRef>
              <c:f>'Q12.8 citizen'!$B$15:$B$25</c:f>
              <c:strCache>
                <c:ptCount val="11"/>
                <c:pt idx="0">
                  <c:v>Germany</c:v>
                </c:pt>
                <c:pt idx="1">
                  <c:v>UK</c:v>
                </c:pt>
                <c:pt idx="2">
                  <c:v>France</c:v>
                </c:pt>
                <c:pt idx="3">
                  <c:v>Taiwan</c:v>
                </c:pt>
                <c:pt idx="4">
                  <c:v>Italy</c:v>
                </c:pt>
                <c:pt idx="5">
                  <c:v>USA</c:v>
                </c:pt>
                <c:pt idx="6">
                  <c:v>Canada</c:v>
                </c:pt>
                <c:pt idx="7">
                  <c:v>South Korea</c:v>
                </c:pt>
                <c:pt idx="8">
                  <c:v>Japan</c:v>
                </c:pt>
                <c:pt idx="9">
                  <c:v>Netherlands</c:v>
                </c:pt>
                <c:pt idx="10">
                  <c:v>Ireland</c:v>
                </c:pt>
              </c:strCache>
            </c:strRef>
          </c:cat>
          <c:val>
            <c:numRef>
              <c:f>'Q12.8 citizen'!$J$15:$J$25</c:f>
              <c:numCache>
                <c:formatCode>0.0%</c:formatCode>
                <c:ptCount val="11"/>
                <c:pt idx="0">
                  <c:v>0.42461197339246121</c:v>
                </c:pt>
                <c:pt idx="1">
                  <c:v>0.44315545243619492</c:v>
                </c:pt>
                <c:pt idx="2">
                  <c:v>0.5514792899408284</c:v>
                </c:pt>
                <c:pt idx="3">
                  <c:v>0.48098159509202454</c:v>
                </c:pt>
                <c:pt idx="4">
                  <c:v>0.41538461538461541</c:v>
                </c:pt>
                <c:pt idx="5">
                  <c:v>7.6666666666666661E-2</c:v>
                </c:pt>
                <c:pt idx="6">
                  <c:v>2.2950819672131147E-2</c:v>
                </c:pt>
                <c:pt idx="7">
                  <c:v>0.59733333333333338</c:v>
                </c:pt>
                <c:pt idx="8">
                  <c:v>0.56351791530944628</c:v>
                </c:pt>
                <c:pt idx="9">
                  <c:v>0.34355828220858897</c:v>
                </c:pt>
                <c:pt idx="10">
                  <c:v>0.5748792270531401</c:v>
                </c:pt>
              </c:numCache>
            </c:numRef>
          </c:val>
          <c:extLst>
            <c:ext xmlns:c16="http://schemas.microsoft.com/office/drawing/2014/chart" uri="{C3380CC4-5D6E-409C-BE32-E72D297353CC}">
              <c16:uniqueId val="{00000001-8D54-412C-8A5B-B49599C99445}"/>
            </c:ext>
          </c:extLst>
        </c:ser>
        <c:ser>
          <c:idx val="2"/>
          <c:order val="2"/>
          <c:tx>
            <c:strRef>
              <c:f>'Q12.8 citizen'!$K$14</c:f>
              <c:strCache>
                <c:ptCount val="1"/>
                <c:pt idx="0">
                  <c:v>USA</c:v>
                </c:pt>
              </c:strCache>
            </c:strRef>
          </c:tx>
          <c:spPr>
            <a:solidFill>
              <a:schemeClr val="accent3"/>
            </a:solidFill>
            <a:ln>
              <a:noFill/>
            </a:ln>
            <a:effectLst/>
          </c:spPr>
          <c:invertIfNegative val="0"/>
          <c:cat>
            <c:strRef>
              <c:f>'Q12.8 citizen'!$B$15:$B$25</c:f>
              <c:strCache>
                <c:ptCount val="11"/>
                <c:pt idx="0">
                  <c:v>Germany</c:v>
                </c:pt>
                <c:pt idx="1">
                  <c:v>UK</c:v>
                </c:pt>
                <c:pt idx="2">
                  <c:v>France</c:v>
                </c:pt>
                <c:pt idx="3">
                  <c:v>Taiwan</c:v>
                </c:pt>
                <c:pt idx="4">
                  <c:v>Italy</c:v>
                </c:pt>
                <c:pt idx="5">
                  <c:v>USA</c:v>
                </c:pt>
                <c:pt idx="6">
                  <c:v>Canada</c:v>
                </c:pt>
                <c:pt idx="7">
                  <c:v>South Korea</c:v>
                </c:pt>
                <c:pt idx="8">
                  <c:v>Japan</c:v>
                </c:pt>
                <c:pt idx="9">
                  <c:v>Netherlands</c:v>
                </c:pt>
                <c:pt idx="10">
                  <c:v>Ireland</c:v>
                </c:pt>
              </c:strCache>
            </c:strRef>
          </c:cat>
          <c:val>
            <c:numRef>
              <c:f>'Q12.8 citizen'!$K$15:$K$25</c:f>
              <c:numCache>
                <c:formatCode>0.0%</c:formatCode>
                <c:ptCount val="11"/>
                <c:pt idx="0">
                  <c:v>0.25942350332594233</c:v>
                </c:pt>
                <c:pt idx="1">
                  <c:v>0.1728538283062645</c:v>
                </c:pt>
                <c:pt idx="2">
                  <c:v>0.20710059171597633</c:v>
                </c:pt>
                <c:pt idx="3">
                  <c:v>0.27607361963190186</c:v>
                </c:pt>
                <c:pt idx="4">
                  <c:v>0.24273504273504273</c:v>
                </c:pt>
                <c:pt idx="5">
                  <c:v>2.6666666666666668E-2</c:v>
                </c:pt>
                <c:pt idx="6">
                  <c:v>6.2295081967213117E-2</c:v>
                </c:pt>
                <c:pt idx="7">
                  <c:v>0.14666666666666667</c:v>
                </c:pt>
                <c:pt idx="8">
                  <c:v>0.13355048859934854</c:v>
                </c:pt>
                <c:pt idx="9">
                  <c:v>0.19018404907975461</c:v>
                </c:pt>
                <c:pt idx="10">
                  <c:v>0.20289855072463769</c:v>
                </c:pt>
              </c:numCache>
            </c:numRef>
          </c:val>
          <c:extLst>
            <c:ext xmlns:c16="http://schemas.microsoft.com/office/drawing/2014/chart" uri="{C3380CC4-5D6E-409C-BE32-E72D297353CC}">
              <c16:uniqueId val="{00000002-8D54-412C-8A5B-B49599C99445}"/>
            </c:ext>
          </c:extLst>
        </c:ser>
        <c:ser>
          <c:idx val="3"/>
          <c:order val="3"/>
          <c:tx>
            <c:strRef>
              <c:f>'Q12.8 citizen'!$L$14</c:f>
              <c:strCache>
                <c:ptCount val="1"/>
                <c:pt idx="0">
                  <c:v>UK</c:v>
                </c:pt>
              </c:strCache>
            </c:strRef>
          </c:tx>
          <c:spPr>
            <a:solidFill>
              <a:schemeClr val="accent4"/>
            </a:solidFill>
            <a:ln>
              <a:noFill/>
            </a:ln>
            <a:effectLst/>
          </c:spPr>
          <c:invertIfNegative val="0"/>
          <c:cat>
            <c:strRef>
              <c:f>'Q12.8 citizen'!$B$15:$B$25</c:f>
              <c:strCache>
                <c:ptCount val="11"/>
                <c:pt idx="0">
                  <c:v>Germany</c:v>
                </c:pt>
                <c:pt idx="1">
                  <c:v>UK</c:v>
                </c:pt>
                <c:pt idx="2">
                  <c:v>France</c:v>
                </c:pt>
                <c:pt idx="3">
                  <c:v>Taiwan</c:v>
                </c:pt>
                <c:pt idx="4">
                  <c:v>Italy</c:v>
                </c:pt>
                <c:pt idx="5">
                  <c:v>USA</c:v>
                </c:pt>
                <c:pt idx="6">
                  <c:v>Canada</c:v>
                </c:pt>
                <c:pt idx="7">
                  <c:v>South Korea</c:v>
                </c:pt>
                <c:pt idx="8">
                  <c:v>Japan</c:v>
                </c:pt>
                <c:pt idx="9">
                  <c:v>Netherlands</c:v>
                </c:pt>
                <c:pt idx="10">
                  <c:v>Ireland</c:v>
                </c:pt>
              </c:strCache>
            </c:strRef>
          </c:cat>
          <c:val>
            <c:numRef>
              <c:f>'Q12.8 citizen'!$L$15:$L$25</c:f>
              <c:numCache>
                <c:formatCode>0.0%</c:formatCode>
                <c:ptCount val="11"/>
                <c:pt idx="0">
                  <c:v>7.2062084257206213E-2</c:v>
                </c:pt>
                <c:pt idx="1">
                  <c:v>1.2761020881670533E-2</c:v>
                </c:pt>
                <c:pt idx="2">
                  <c:v>7.1005917159763315E-2</c:v>
                </c:pt>
                <c:pt idx="3">
                  <c:v>0.26993865030674846</c:v>
                </c:pt>
                <c:pt idx="4">
                  <c:v>0.10427350427350428</c:v>
                </c:pt>
                <c:pt idx="5">
                  <c:v>0.13666666666666666</c:v>
                </c:pt>
                <c:pt idx="6">
                  <c:v>0.30163934426229511</c:v>
                </c:pt>
                <c:pt idx="7">
                  <c:v>0.25866666666666666</c:v>
                </c:pt>
                <c:pt idx="8">
                  <c:v>0.20521172638436483</c:v>
                </c:pt>
                <c:pt idx="9">
                  <c:v>7.3619631901840496E-2</c:v>
                </c:pt>
                <c:pt idx="10">
                  <c:v>5.7971014492753624E-2</c:v>
                </c:pt>
              </c:numCache>
            </c:numRef>
          </c:val>
          <c:extLst>
            <c:ext xmlns:c16="http://schemas.microsoft.com/office/drawing/2014/chart" uri="{C3380CC4-5D6E-409C-BE32-E72D297353CC}">
              <c16:uniqueId val="{00000003-8D54-412C-8A5B-B49599C99445}"/>
            </c:ext>
          </c:extLst>
        </c:ser>
        <c:ser>
          <c:idx val="4"/>
          <c:order val="4"/>
          <c:tx>
            <c:strRef>
              <c:f>'Q12.8 citizen'!$M$14</c:f>
              <c:strCache>
                <c:ptCount val="1"/>
                <c:pt idx="0">
                  <c:v>Japan</c:v>
                </c:pt>
              </c:strCache>
            </c:strRef>
          </c:tx>
          <c:spPr>
            <a:solidFill>
              <a:schemeClr val="accent5"/>
            </a:solidFill>
            <a:ln>
              <a:noFill/>
            </a:ln>
            <a:effectLst/>
          </c:spPr>
          <c:invertIfNegative val="0"/>
          <c:cat>
            <c:strRef>
              <c:f>'Q12.8 citizen'!$B$15:$B$25</c:f>
              <c:strCache>
                <c:ptCount val="11"/>
                <c:pt idx="0">
                  <c:v>Germany</c:v>
                </c:pt>
                <c:pt idx="1">
                  <c:v>UK</c:v>
                </c:pt>
                <c:pt idx="2">
                  <c:v>France</c:v>
                </c:pt>
                <c:pt idx="3">
                  <c:v>Taiwan</c:v>
                </c:pt>
                <c:pt idx="4">
                  <c:v>Italy</c:v>
                </c:pt>
                <c:pt idx="5">
                  <c:v>USA</c:v>
                </c:pt>
                <c:pt idx="6">
                  <c:v>Canada</c:v>
                </c:pt>
                <c:pt idx="7">
                  <c:v>South Korea</c:v>
                </c:pt>
                <c:pt idx="8">
                  <c:v>Japan</c:v>
                </c:pt>
                <c:pt idx="9">
                  <c:v>Netherlands</c:v>
                </c:pt>
                <c:pt idx="10">
                  <c:v>Ireland</c:v>
                </c:pt>
              </c:strCache>
            </c:strRef>
          </c:cat>
          <c:val>
            <c:numRef>
              <c:f>'Q12.8 citizen'!$M$15:$M$25</c:f>
              <c:numCache>
                <c:formatCode>0.0%</c:formatCode>
                <c:ptCount val="11"/>
                <c:pt idx="0">
                  <c:v>6.9844789356984474E-2</c:v>
                </c:pt>
                <c:pt idx="1">
                  <c:v>6.3805104408352672E-2</c:v>
                </c:pt>
                <c:pt idx="2">
                  <c:v>0.13609467455621302</c:v>
                </c:pt>
                <c:pt idx="3">
                  <c:v>0.35950920245398771</c:v>
                </c:pt>
                <c:pt idx="4">
                  <c:v>0.11452991452991453</c:v>
                </c:pt>
                <c:pt idx="5">
                  <c:v>7.6666666666666661E-2</c:v>
                </c:pt>
                <c:pt idx="6">
                  <c:v>8.8524590163934422E-2</c:v>
                </c:pt>
                <c:pt idx="7">
                  <c:v>0.152</c:v>
                </c:pt>
                <c:pt idx="8">
                  <c:v>9.7719869706840382E-3</c:v>
                </c:pt>
                <c:pt idx="9">
                  <c:v>4.2944785276073622E-2</c:v>
                </c:pt>
                <c:pt idx="10">
                  <c:v>3.3816425120772944E-2</c:v>
                </c:pt>
              </c:numCache>
            </c:numRef>
          </c:val>
          <c:extLst>
            <c:ext xmlns:c16="http://schemas.microsoft.com/office/drawing/2014/chart" uri="{C3380CC4-5D6E-409C-BE32-E72D297353CC}">
              <c16:uniqueId val="{00000004-8D54-412C-8A5B-B49599C99445}"/>
            </c:ext>
          </c:extLst>
        </c:ser>
        <c:dLbls>
          <c:showLegendKey val="0"/>
          <c:showVal val="0"/>
          <c:showCatName val="0"/>
          <c:showSerName val="0"/>
          <c:showPercent val="0"/>
          <c:showBubbleSize val="0"/>
        </c:dLbls>
        <c:gapWidth val="60"/>
        <c:overlap val="-27"/>
        <c:axId val="529143288"/>
        <c:axId val="529141720"/>
      </c:barChart>
      <c:catAx>
        <c:axId val="52914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1720"/>
        <c:crosses val="autoZero"/>
        <c:auto val="1"/>
        <c:lblAlgn val="ctr"/>
        <c:lblOffset val="100"/>
        <c:noMultiLvlLbl val="0"/>
      </c:catAx>
      <c:valAx>
        <c:axId val="529141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3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Sheet2!$C$24</c:f>
              <c:strCache>
                <c:ptCount val="1"/>
                <c:pt idx="0">
                  <c:v>Greater metro area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Sheet2!$B$25:$B$27</c:f>
              <c:strCache>
                <c:ptCount val="3"/>
                <c:pt idx="0">
                  <c:v>Tourism and Hospitality (n=77)</c:v>
                </c:pt>
                <c:pt idx="1">
                  <c:v>Agriculture, forestry and fishing (n=77)</c:v>
                </c:pt>
                <c:pt idx="2">
                  <c:v>Other industries (n=12)</c:v>
                </c:pt>
              </c:strCache>
            </c:strRef>
          </c:cat>
          <c:val>
            <c:numRef>
              <c:f>Sheet2!$C$25:$C$27</c:f>
              <c:numCache>
                <c:formatCode>0.0%</c:formatCode>
                <c:ptCount val="3"/>
                <c:pt idx="0">
                  <c:v>0.23376623376623376</c:v>
                </c:pt>
                <c:pt idx="1">
                  <c:v>6.4935064935064929E-2</c:v>
                </c:pt>
                <c:pt idx="2">
                  <c:v>0.58333333333333337</c:v>
                </c:pt>
              </c:numCache>
            </c:numRef>
          </c:val>
          <c:extLst>
            <c:ext xmlns:c16="http://schemas.microsoft.com/office/drawing/2014/chart" uri="{C3380CC4-5D6E-409C-BE32-E72D297353CC}">
              <c16:uniqueId val="{00000000-692B-4FD1-9197-E19C20A6EA8F}"/>
            </c:ext>
          </c:extLst>
        </c:ser>
        <c:ser>
          <c:idx val="1"/>
          <c:order val="1"/>
          <c:tx>
            <c:strRef>
              <c:f>Sheet2!$D$24</c:f>
              <c:strCache>
                <c:ptCount val="1"/>
                <c:pt idx="0">
                  <c:v>Rest of state/territory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Sheet2!$B$25:$B$27</c:f>
              <c:strCache>
                <c:ptCount val="3"/>
                <c:pt idx="0">
                  <c:v>Tourism and Hospitality (n=77)</c:v>
                </c:pt>
                <c:pt idx="1">
                  <c:v>Agriculture, forestry and fishing (n=77)</c:v>
                </c:pt>
                <c:pt idx="2">
                  <c:v>Other industries (n=12)</c:v>
                </c:pt>
              </c:strCache>
            </c:strRef>
          </c:cat>
          <c:val>
            <c:numRef>
              <c:f>Sheet2!$D$25:$D$27</c:f>
              <c:numCache>
                <c:formatCode>0.0%</c:formatCode>
                <c:ptCount val="3"/>
                <c:pt idx="0">
                  <c:v>0.76623376623376627</c:v>
                </c:pt>
                <c:pt idx="1">
                  <c:v>0.93506493506493504</c:v>
                </c:pt>
                <c:pt idx="2">
                  <c:v>0.41666666666666669</c:v>
                </c:pt>
              </c:numCache>
            </c:numRef>
          </c:val>
          <c:extLst>
            <c:ext xmlns:c16="http://schemas.microsoft.com/office/drawing/2014/chart" uri="{C3380CC4-5D6E-409C-BE32-E72D297353CC}">
              <c16:uniqueId val="{00000001-692B-4FD1-9197-E19C20A6EA8F}"/>
            </c:ext>
          </c:extLst>
        </c:ser>
        <c:dLbls>
          <c:showLegendKey val="0"/>
          <c:showVal val="0"/>
          <c:showCatName val="0"/>
          <c:showSerName val="0"/>
          <c:showPercent val="0"/>
          <c:showBubbleSize val="0"/>
        </c:dLbls>
        <c:gapWidth val="60"/>
        <c:overlap val="100"/>
        <c:axId val="529136232"/>
        <c:axId val="529142112"/>
      </c:barChart>
      <c:catAx>
        <c:axId val="52913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2112"/>
        <c:crosses val="autoZero"/>
        <c:auto val="1"/>
        <c:lblAlgn val="ctr"/>
        <c:lblOffset val="100"/>
        <c:noMultiLvlLbl val="0"/>
      </c:catAx>
      <c:valAx>
        <c:axId val="529142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6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16629474606167E-2"/>
          <c:y val="0.17188090773216672"/>
          <c:w val="0.9268093399470646"/>
          <c:h val="0.63406964558047707"/>
        </c:manualLayout>
      </c:layout>
      <c:barChart>
        <c:barDir val="col"/>
        <c:grouping val="clustered"/>
        <c:varyColors val="0"/>
        <c:ser>
          <c:idx val="0"/>
          <c:order val="0"/>
          <c:tx>
            <c:strRef>
              <c:f>'Time spent'!$W$2</c:f>
              <c:strCache>
                <c:ptCount val="1"/>
                <c:pt idx="0">
                  <c:v>Mean (months)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spent'!$O$3:$O$14</c:f>
              <c:strCache>
                <c:ptCount val="11"/>
                <c:pt idx="0">
                  <c:v>Taiwan</c:v>
                </c:pt>
                <c:pt idx="1">
                  <c:v>Ireland</c:v>
                </c:pt>
                <c:pt idx="2">
                  <c:v>South Korea</c:v>
                </c:pt>
                <c:pt idx="3">
                  <c:v>Japan</c:v>
                </c:pt>
                <c:pt idx="4">
                  <c:v>UK</c:v>
                </c:pt>
                <c:pt idx="5">
                  <c:v>Italy</c:v>
                </c:pt>
                <c:pt idx="6">
                  <c:v>Canada</c:v>
                </c:pt>
                <c:pt idx="7">
                  <c:v>France</c:v>
                </c:pt>
                <c:pt idx="8">
                  <c:v>USA</c:v>
                </c:pt>
                <c:pt idx="9">
                  <c:v>Germany</c:v>
                </c:pt>
                <c:pt idx="10">
                  <c:v>Total</c:v>
                </c:pt>
              </c:strCache>
              <c:extLst/>
            </c:strRef>
          </c:cat>
          <c:val>
            <c:numRef>
              <c:f>'Time spent'!$W$3:$W$14</c:f>
              <c:numCache>
                <c:formatCode>0.0</c:formatCode>
                <c:ptCount val="11"/>
                <c:pt idx="0">
                  <c:v>10.5049719062494</c:v>
                </c:pt>
                <c:pt idx="1">
                  <c:v>10.037172179333799</c:v>
                </c:pt>
                <c:pt idx="2">
                  <c:v>10.0223431494835</c:v>
                </c:pt>
                <c:pt idx="3">
                  <c:v>9.8191514247994007</c:v>
                </c:pt>
                <c:pt idx="4">
                  <c:v>9.6561490984039597</c:v>
                </c:pt>
                <c:pt idx="5">
                  <c:v>9.4959684101856698</c:v>
                </c:pt>
                <c:pt idx="6">
                  <c:v>9.0414240533907595</c:v>
                </c:pt>
                <c:pt idx="7">
                  <c:v>8.8236861083383999</c:v>
                </c:pt>
                <c:pt idx="8">
                  <c:v>8.7952277794859608</c:v>
                </c:pt>
                <c:pt idx="9">
                  <c:v>8.1418431769854998</c:v>
                </c:pt>
                <c:pt idx="10">
                  <c:v>9.4118192004287007</c:v>
                </c:pt>
              </c:numCache>
              <c:extLst/>
            </c:numRef>
          </c:val>
          <c:extLst>
            <c:ext xmlns:c16="http://schemas.microsoft.com/office/drawing/2014/chart" uri="{C3380CC4-5D6E-409C-BE32-E72D297353CC}">
              <c16:uniqueId val="{00000000-3BBE-4B26-9119-387214CDEA99}"/>
            </c:ext>
          </c:extLst>
        </c:ser>
        <c:ser>
          <c:idx val="1"/>
          <c:order val="1"/>
          <c:tx>
            <c:strRef>
              <c:f>'Time spent'!$X$2</c:f>
              <c:strCache>
                <c:ptCount val="1"/>
                <c:pt idx="0">
                  <c:v>Median (months)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2">
                        <a:lumMod val="50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spent'!$O$3:$O$14</c:f>
              <c:strCache>
                <c:ptCount val="11"/>
                <c:pt idx="0">
                  <c:v>Taiwan</c:v>
                </c:pt>
                <c:pt idx="1">
                  <c:v>Ireland</c:v>
                </c:pt>
                <c:pt idx="2">
                  <c:v>South Korea</c:v>
                </c:pt>
                <c:pt idx="3">
                  <c:v>Japan</c:v>
                </c:pt>
                <c:pt idx="4">
                  <c:v>UK</c:v>
                </c:pt>
                <c:pt idx="5">
                  <c:v>Italy</c:v>
                </c:pt>
                <c:pt idx="6">
                  <c:v>Canada</c:v>
                </c:pt>
                <c:pt idx="7">
                  <c:v>France</c:v>
                </c:pt>
                <c:pt idx="8">
                  <c:v>USA</c:v>
                </c:pt>
                <c:pt idx="9">
                  <c:v>Germany</c:v>
                </c:pt>
                <c:pt idx="10">
                  <c:v>Total</c:v>
                </c:pt>
              </c:strCache>
              <c:extLst/>
            </c:strRef>
          </c:cat>
          <c:val>
            <c:numRef>
              <c:f>'Time spent'!$X$3:$X$14</c:f>
              <c:numCache>
                <c:formatCode>0</c:formatCode>
                <c:ptCount val="11"/>
                <c:pt idx="0">
                  <c:v>11.13120296</c:v>
                </c:pt>
                <c:pt idx="1">
                  <c:v>10.959944370000001</c:v>
                </c:pt>
                <c:pt idx="2">
                  <c:v>11.018745146355201</c:v>
                </c:pt>
                <c:pt idx="3">
                  <c:v>10.8985129181593</c:v>
                </c:pt>
                <c:pt idx="4">
                  <c:v>10.729967889999999</c:v>
                </c:pt>
                <c:pt idx="5">
                  <c:v>10.669781959377801</c:v>
                </c:pt>
                <c:pt idx="6">
                  <c:v>10.3065331914559</c:v>
                </c:pt>
                <c:pt idx="7">
                  <c:v>9.9577249477290497</c:v>
                </c:pt>
                <c:pt idx="8">
                  <c:v>10.2594535916952</c:v>
                </c:pt>
                <c:pt idx="9">
                  <c:v>8.4517200567493607</c:v>
                </c:pt>
                <c:pt idx="10">
                  <c:v>10.482163605136501</c:v>
                </c:pt>
              </c:numCache>
              <c:extLst/>
            </c:numRef>
          </c:val>
          <c:extLst>
            <c:ext xmlns:c16="http://schemas.microsoft.com/office/drawing/2014/chart" uri="{C3380CC4-5D6E-409C-BE32-E72D297353CC}">
              <c16:uniqueId val="{00000001-3BBE-4B26-9119-387214CDEA99}"/>
            </c:ext>
          </c:extLst>
        </c:ser>
        <c:dLbls>
          <c:showLegendKey val="0"/>
          <c:showVal val="0"/>
          <c:showCatName val="0"/>
          <c:showSerName val="0"/>
          <c:showPercent val="0"/>
          <c:showBubbleSize val="0"/>
        </c:dLbls>
        <c:gapWidth val="100"/>
        <c:overlap val="-27"/>
        <c:axId val="370727024"/>
        <c:axId val="370727808"/>
      </c:barChart>
      <c:catAx>
        <c:axId val="37072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7808"/>
        <c:crosses val="autoZero"/>
        <c:auto val="1"/>
        <c:lblAlgn val="ctr"/>
        <c:lblOffset val="100"/>
        <c:noMultiLvlLbl val="0"/>
      </c:catAx>
      <c:valAx>
        <c:axId val="37072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7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'Import of WHM'!$B$22</c:f>
              <c:strCache>
                <c:ptCount val="1"/>
                <c:pt idx="0">
                  <c:v>Very important</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WHM'!$C$21:$E$21</c:f>
              <c:strCache>
                <c:ptCount val="3"/>
                <c:pt idx="0">
                  <c:v>Tourism and hospitality (n=76)</c:v>
                </c:pt>
                <c:pt idx="1">
                  <c:v>Agriculture, forestry and fishing (n=77)</c:v>
                </c:pt>
                <c:pt idx="2">
                  <c:v>Other industries (n=11)</c:v>
                </c:pt>
              </c:strCache>
            </c:strRef>
          </c:cat>
          <c:val>
            <c:numRef>
              <c:f>'Import of WHM'!$C$22:$E$22</c:f>
              <c:numCache>
                <c:formatCode>0.0%</c:formatCode>
                <c:ptCount val="3"/>
                <c:pt idx="0">
                  <c:v>0.77631578947368418</c:v>
                </c:pt>
                <c:pt idx="1">
                  <c:v>0.81818181818181823</c:v>
                </c:pt>
                <c:pt idx="2">
                  <c:v>0.54545454545454541</c:v>
                </c:pt>
              </c:numCache>
            </c:numRef>
          </c:val>
          <c:extLst>
            <c:ext xmlns:c16="http://schemas.microsoft.com/office/drawing/2014/chart" uri="{C3380CC4-5D6E-409C-BE32-E72D297353CC}">
              <c16:uniqueId val="{00000000-7DF7-44B1-A1C0-911C1DFFE05E}"/>
            </c:ext>
          </c:extLst>
        </c:ser>
        <c:ser>
          <c:idx val="1"/>
          <c:order val="1"/>
          <c:tx>
            <c:strRef>
              <c:f>'Import of WHM'!$B$23</c:f>
              <c:strCache>
                <c:ptCount val="1"/>
                <c:pt idx="0">
                  <c:v>Important</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WHM'!$C$21:$E$21</c:f>
              <c:strCache>
                <c:ptCount val="3"/>
                <c:pt idx="0">
                  <c:v>Tourism and hospitality (n=76)</c:v>
                </c:pt>
                <c:pt idx="1">
                  <c:v>Agriculture, forestry and fishing (n=77)</c:v>
                </c:pt>
                <c:pt idx="2">
                  <c:v>Other industries (n=11)</c:v>
                </c:pt>
              </c:strCache>
            </c:strRef>
          </c:cat>
          <c:val>
            <c:numRef>
              <c:f>'Import of WHM'!$C$23:$E$23</c:f>
              <c:numCache>
                <c:formatCode>0.0%</c:formatCode>
                <c:ptCount val="3"/>
                <c:pt idx="0">
                  <c:v>9.2105263157894732E-2</c:v>
                </c:pt>
                <c:pt idx="1">
                  <c:v>0.14285714285714285</c:v>
                </c:pt>
                <c:pt idx="2">
                  <c:v>0.18181818181818182</c:v>
                </c:pt>
              </c:numCache>
            </c:numRef>
          </c:val>
          <c:extLst>
            <c:ext xmlns:c16="http://schemas.microsoft.com/office/drawing/2014/chart" uri="{C3380CC4-5D6E-409C-BE32-E72D297353CC}">
              <c16:uniqueId val="{00000001-7DF7-44B1-A1C0-911C1DFFE05E}"/>
            </c:ext>
          </c:extLst>
        </c:ser>
        <c:ser>
          <c:idx val="2"/>
          <c:order val="2"/>
          <c:tx>
            <c:strRef>
              <c:f>'Import of WHM'!$B$24</c:f>
              <c:strCache>
                <c:ptCount val="1"/>
                <c:pt idx="0">
                  <c:v>Not important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DF7-44B1-A1C0-911C1DFFE0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WHM'!$C$21:$E$21</c:f>
              <c:strCache>
                <c:ptCount val="3"/>
                <c:pt idx="0">
                  <c:v>Tourism and hospitality (n=76)</c:v>
                </c:pt>
                <c:pt idx="1">
                  <c:v>Agriculture, forestry and fishing (n=77)</c:v>
                </c:pt>
                <c:pt idx="2">
                  <c:v>Other industries (n=11)</c:v>
                </c:pt>
              </c:strCache>
            </c:strRef>
          </c:cat>
          <c:val>
            <c:numRef>
              <c:f>'Import of WHM'!$C$24:$E$24</c:f>
              <c:numCache>
                <c:formatCode>0.0%</c:formatCode>
                <c:ptCount val="3"/>
                <c:pt idx="0">
                  <c:v>9.2105263157894732E-2</c:v>
                </c:pt>
                <c:pt idx="1">
                  <c:v>2.5974025974025976E-2</c:v>
                </c:pt>
                <c:pt idx="2">
                  <c:v>0.18181818181818182</c:v>
                </c:pt>
              </c:numCache>
            </c:numRef>
          </c:val>
          <c:extLst>
            <c:ext xmlns:c16="http://schemas.microsoft.com/office/drawing/2014/chart" uri="{C3380CC4-5D6E-409C-BE32-E72D297353CC}">
              <c16:uniqueId val="{00000003-7DF7-44B1-A1C0-911C1DFFE05E}"/>
            </c:ext>
          </c:extLst>
        </c:ser>
        <c:ser>
          <c:idx val="3"/>
          <c:order val="3"/>
          <c:tx>
            <c:strRef>
              <c:f>'Import of WHM'!$B$25</c:f>
              <c:strCache>
                <c:ptCount val="1"/>
                <c:pt idx="0">
                  <c:v>Don't know</c:v>
                </c:pt>
              </c:strCache>
            </c:strRef>
          </c:tx>
          <c:spPr>
            <a:solidFill>
              <a:schemeClr val="accent2">
                <a:tint val="77000"/>
              </a:schemeClr>
            </a:solidFill>
            <a:ln>
              <a:noFill/>
            </a:ln>
            <a:effectLst/>
          </c:spPr>
          <c:invertIfNegative val="0"/>
          <c:cat>
            <c:strRef>
              <c:f>'Import of WHM'!$C$21:$E$21</c:f>
              <c:strCache>
                <c:ptCount val="3"/>
                <c:pt idx="0">
                  <c:v>Tourism and hospitality (n=76)</c:v>
                </c:pt>
                <c:pt idx="1">
                  <c:v>Agriculture, forestry and fishing (n=77)</c:v>
                </c:pt>
                <c:pt idx="2">
                  <c:v>Other industries (n=11)</c:v>
                </c:pt>
              </c:strCache>
            </c:strRef>
          </c:cat>
          <c:val>
            <c:numRef>
              <c:f>'Import of WHM'!$C$25:$E$25</c:f>
              <c:numCache>
                <c:formatCode>0.0%</c:formatCode>
                <c:ptCount val="3"/>
                <c:pt idx="0">
                  <c:v>2.6315789473684209E-2</c:v>
                </c:pt>
                <c:pt idx="1">
                  <c:v>0</c:v>
                </c:pt>
                <c:pt idx="2">
                  <c:v>0</c:v>
                </c:pt>
              </c:numCache>
            </c:numRef>
          </c:val>
          <c:extLst>
            <c:ext xmlns:c16="http://schemas.microsoft.com/office/drawing/2014/chart" uri="{C3380CC4-5D6E-409C-BE32-E72D297353CC}">
              <c16:uniqueId val="{00000004-7DF7-44B1-A1C0-911C1DFFE05E}"/>
            </c:ext>
          </c:extLst>
        </c:ser>
        <c:ser>
          <c:idx val="4"/>
          <c:order val="4"/>
          <c:tx>
            <c:strRef>
              <c:f>'Import of WHM'!$B$26</c:f>
              <c:strCache>
                <c:ptCount val="1"/>
                <c:pt idx="0">
                  <c:v>Not applicable (I don't employ WHMs)</c:v>
                </c:pt>
              </c:strCache>
            </c:strRef>
          </c:tx>
          <c:spPr>
            <a:pattFill prst="ltUpDiag">
              <a:fgClr>
                <a:schemeClr val="accent2">
                  <a:lumMod val="75000"/>
                </a:schemeClr>
              </a:fgClr>
              <a:bgClr>
                <a:schemeClr val="bg1"/>
              </a:bgClr>
            </a:patt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F7-44B1-A1C0-911C1DFFE0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WHM'!$C$21:$E$21</c:f>
              <c:strCache>
                <c:ptCount val="3"/>
                <c:pt idx="0">
                  <c:v>Tourism and hospitality (n=76)</c:v>
                </c:pt>
                <c:pt idx="1">
                  <c:v>Agriculture, forestry and fishing (n=77)</c:v>
                </c:pt>
                <c:pt idx="2">
                  <c:v>Other industries (n=11)</c:v>
                </c:pt>
              </c:strCache>
            </c:strRef>
          </c:cat>
          <c:val>
            <c:numRef>
              <c:f>'Import of WHM'!$C$26:$E$26</c:f>
              <c:numCache>
                <c:formatCode>0.0%</c:formatCode>
                <c:ptCount val="3"/>
                <c:pt idx="0">
                  <c:v>1.3157894736842105E-2</c:v>
                </c:pt>
                <c:pt idx="1">
                  <c:v>1.2987012987012988E-2</c:v>
                </c:pt>
                <c:pt idx="2">
                  <c:v>9.0909090909090912E-2</c:v>
                </c:pt>
              </c:numCache>
            </c:numRef>
          </c:val>
          <c:extLst>
            <c:ext xmlns:c16="http://schemas.microsoft.com/office/drawing/2014/chart" uri="{C3380CC4-5D6E-409C-BE32-E72D297353CC}">
              <c16:uniqueId val="{00000006-7DF7-44B1-A1C0-911C1DFFE05E}"/>
            </c:ext>
          </c:extLst>
        </c:ser>
        <c:dLbls>
          <c:showLegendKey val="0"/>
          <c:showVal val="0"/>
          <c:showCatName val="0"/>
          <c:showSerName val="0"/>
          <c:showPercent val="0"/>
          <c:showBubbleSize val="0"/>
        </c:dLbls>
        <c:gapWidth val="60"/>
        <c:overlap val="100"/>
        <c:axId val="529134664"/>
        <c:axId val="529140936"/>
      </c:barChart>
      <c:catAx>
        <c:axId val="529134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0936"/>
        <c:crosses val="autoZero"/>
        <c:auto val="1"/>
        <c:lblAlgn val="ctr"/>
        <c:lblOffset val="100"/>
        <c:noMultiLvlLbl val="0"/>
      </c:catAx>
      <c:valAx>
        <c:axId val="5291409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4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65000"/>
              <a:lumOff val="3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'Import of WHM'!$B$71</c:f>
              <c:strCache>
                <c:ptCount val="1"/>
                <c:pt idx="0">
                  <c:v>Tourism and Hospitality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WHM'!$A$72:$A$82</c:f>
              <c:strCache>
                <c:ptCount val="11"/>
                <c:pt idx="0">
                  <c:v>They are willing to work in short term or seasonal jobs</c:v>
                </c:pt>
                <c:pt idx="1">
                  <c:v>It is difficult to get local workers to do these jobs</c:v>
                </c:pt>
                <c:pt idx="2">
                  <c:v>They are flexible workers</c:v>
                </c:pt>
                <c:pt idx="3">
                  <c:v>They have a go at any task</c:v>
                </c:pt>
                <c:pt idx="4">
                  <c:v>They are hardworking</c:v>
                </c:pt>
                <c:pt idx="5">
                  <c:v>They have useful skills</c:v>
                </c:pt>
                <c:pt idx="6">
                  <c:v>They are reliable</c:v>
                </c:pt>
                <c:pt idx="7">
                  <c:v>They are well qualified to perform the required roles</c:v>
                </c:pt>
                <c:pt idx="8">
                  <c:v>They are good value for money</c:v>
                </c:pt>
                <c:pt idx="9">
                  <c:v>They speak a language other than English</c:v>
                </c:pt>
                <c:pt idx="10">
                  <c:v>Other</c:v>
                </c:pt>
              </c:strCache>
            </c:strRef>
          </c:cat>
          <c:val>
            <c:numRef>
              <c:f>'Import of WHM'!$B$72:$B$82</c:f>
              <c:numCache>
                <c:formatCode>0.0%</c:formatCode>
                <c:ptCount val="11"/>
                <c:pt idx="0">
                  <c:v>0.81578947368421051</c:v>
                </c:pt>
                <c:pt idx="1">
                  <c:v>0.76315789473684215</c:v>
                </c:pt>
                <c:pt idx="2">
                  <c:v>0.61842105263157898</c:v>
                </c:pt>
                <c:pt idx="3">
                  <c:v>0.60526315789473684</c:v>
                </c:pt>
                <c:pt idx="4">
                  <c:v>0.59210526315789469</c:v>
                </c:pt>
                <c:pt idx="5">
                  <c:v>0.55263157894736847</c:v>
                </c:pt>
                <c:pt idx="6">
                  <c:v>0.53947368421052633</c:v>
                </c:pt>
                <c:pt idx="7">
                  <c:v>0.48684210526315791</c:v>
                </c:pt>
                <c:pt idx="8">
                  <c:v>0.19736842105263158</c:v>
                </c:pt>
                <c:pt idx="9">
                  <c:v>0.15789473684210525</c:v>
                </c:pt>
                <c:pt idx="10">
                  <c:v>0.14473684210526316</c:v>
                </c:pt>
              </c:numCache>
            </c:numRef>
          </c:val>
          <c:extLst>
            <c:ext xmlns:c16="http://schemas.microsoft.com/office/drawing/2014/chart" uri="{C3380CC4-5D6E-409C-BE32-E72D297353CC}">
              <c16:uniqueId val="{00000000-E47D-4C74-8282-CD7AED97F6E2}"/>
            </c:ext>
          </c:extLst>
        </c:ser>
        <c:ser>
          <c:idx val="1"/>
          <c:order val="1"/>
          <c:tx>
            <c:strRef>
              <c:f>'Import of WHM'!$C$71</c:f>
              <c:strCache>
                <c:ptCount val="1"/>
                <c:pt idx="0">
                  <c:v>Agriculture, forestry and fishing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2">
                        <a:lumMod val="50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of WHM'!$A$72:$A$82</c:f>
              <c:strCache>
                <c:ptCount val="11"/>
                <c:pt idx="0">
                  <c:v>They are willing to work in short term or seasonal jobs</c:v>
                </c:pt>
                <c:pt idx="1">
                  <c:v>It is difficult to get local workers to do these jobs</c:v>
                </c:pt>
                <c:pt idx="2">
                  <c:v>They are flexible workers</c:v>
                </c:pt>
                <c:pt idx="3">
                  <c:v>They have a go at any task</c:v>
                </c:pt>
                <c:pt idx="4">
                  <c:v>They are hardworking</c:v>
                </c:pt>
                <c:pt idx="5">
                  <c:v>They have useful skills</c:v>
                </c:pt>
                <c:pt idx="6">
                  <c:v>They are reliable</c:v>
                </c:pt>
                <c:pt idx="7">
                  <c:v>They are well qualified to perform the required roles</c:v>
                </c:pt>
                <c:pt idx="8">
                  <c:v>They are good value for money</c:v>
                </c:pt>
                <c:pt idx="9">
                  <c:v>They speak a language other than English</c:v>
                </c:pt>
                <c:pt idx="10">
                  <c:v>Other</c:v>
                </c:pt>
              </c:strCache>
            </c:strRef>
          </c:cat>
          <c:val>
            <c:numRef>
              <c:f>'Import of WHM'!$C$72:$C$82</c:f>
              <c:numCache>
                <c:formatCode>0.0%</c:formatCode>
                <c:ptCount val="11"/>
                <c:pt idx="0">
                  <c:v>0.90909090909090906</c:v>
                </c:pt>
                <c:pt idx="1">
                  <c:v>0.92207792207792205</c:v>
                </c:pt>
                <c:pt idx="2">
                  <c:v>0.61038961038961037</c:v>
                </c:pt>
                <c:pt idx="3">
                  <c:v>0.53246753246753242</c:v>
                </c:pt>
                <c:pt idx="4">
                  <c:v>0.55844155844155841</c:v>
                </c:pt>
                <c:pt idx="5">
                  <c:v>0.37662337662337664</c:v>
                </c:pt>
                <c:pt idx="6">
                  <c:v>0.59740259740259738</c:v>
                </c:pt>
                <c:pt idx="7">
                  <c:v>0.18181818181818182</c:v>
                </c:pt>
                <c:pt idx="8">
                  <c:v>0.25974025974025972</c:v>
                </c:pt>
                <c:pt idx="9">
                  <c:v>7.792207792207792E-2</c:v>
                </c:pt>
                <c:pt idx="10">
                  <c:v>0.16883116883116883</c:v>
                </c:pt>
              </c:numCache>
            </c:numRef>
          </c:val>
          <c:extLst>
            <c:ext xmlns:c16="http://schemas.microsoft.com/office/drawing/2014/chart" uri="{C3380CC4-5D6E-409C-BE32-E72D297353CC}">
              <c16:uniqueId val="{00000001-E47D-4C74-8282-CD7AED97F6E2}"/>
            </c:ext>
          </c:extLst>
        </c:ser>
        <c:dLbls>
          <c:showLegendKey val="0"/>
          <c:showVal val="0"/>
          <c:showCatName val="0"/>
          <c:showSerName val="0"/>
          <c:showPercent val="0"/>
          <c:showBubbleSize val="0"/>
        </c:dLbls>
        <c:gapWidth val="60"/>
        <c:axId val="529133488"/>
        <c:axId val="529138584"/>
      </c:barChart>
      <c:catAx>
        <c:axId val="52913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8584"/>
        <c:crosses val="autoZero"/>
        <c:auto val="1"/>
        <c:lblAlgn val="ctr"/>
        <c:lblOffset val="100"/>
        <c:noMultiLvlLbl val="0"/>
      </c:catAx>
      <c:valAx>
        <c:axId val="529138584"/>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Like!$A$2:$A$12</c:f>
              <c:strCache>
                <c:ptCount val="11"/>
                <c:pt idx="0">
                  <c:v>Provides essential workforce</c:v>
                </c:pt>
                <c:pt idx="1">
                  <c:v>Provides an economic boost to the local area</c:v>
                </c:pt>
                <c:pt idx="2">
                  <c:v>Second and third-year visa extension option</c:v>
                </c:pt>
                <c:pt idx="3">
                  <c:v>Encourages cultural exchange</c:v>
                </c:pt>
                <c:pt idx="4">
                  <c:v>Easy process to employ WHMs</c:v>
                </c:pt>
                <c:pt idx="5">
                  <c:v>Brings people to Australia</c:v>
                </c:pt>
                <c:pt idx="6">
                  <c:v>Option to extend working with same employer to 12 months in certain industries and locations</c:v>
                </c:pt>
                <c:pt idx="7">
                  <c:v>Can work unlimited hours</c:v>
                </c:pt>
                <c:pt idx="8">
                  <c:v>Bushfire recovery work in a declared disaster area counted as 'specified work' towards a second or third WHM visa</c:v>
                </c:pt>
                <c:pt idx="9">
                  <c:v>Other</c:v>
                </c:pt>
                <c:pt idx="10">
                  <c:v>Critical COVID-19 work in the healthcare and medical sectors counts towards a second or third WHM visa</c:v>
                </c:pt>
              </c:strCache>
            </c:strRef>
          </c:cat>
          <c:val>
            <c:numRef>
              <c:f>Like!$B$2:$B$12</c:f>
              <c:numCache>
                <c:formatCode>0.0%</c:formatCode>
                <c:ptCount val="11"/>
                <c:pt idx="0">
                  <c:v>0.9072847682119205</c:v>
                </c:pt>
                <c:pt idx="1">
                  <c:v>0.7483443708609272</c:v>
                </c:pt>
                <c:pt idx="2">
                  <c:v>0.66887417218543044</c:v>
                </c:pt>
                <c:pt idx="3">
                  <c:v>0.63576158940397354</c:v>
                </c:pt>
                <c:pt idx="4">
                  <c:v>0.62913907284768211</c:v>
                </c:pt>
                <c:pt idx="5">
                  <c:v>0.62913907284768211</c:v>
                </c:pt>
                <c:pt idx="6">
                  <c:v>0.5629139072847682</c:v>
                </c:pt>
                <c:pt idx="7">
                  <c:v>0.40397350993377484</c:v>
                </c:pt>
                <c:pt idx="8">
                  <c:v>0.12582781456953643</c:v>
                </c:pt>
                <c:pt idx="9">
                  <c:v>9.2715231788079472E-2</c:v>
                </c:pt>
                <c:pt idx="10">
                  <c:v>8.6092715231788075E-2</c:v>
                </c:pt>
              </c:numCache>
            </c:numRef>
          </c:val>
          <c:extLst>
            <c:ext xmlns:c16="http://schemas.microsoft.com/office/drawing/2014/chart" uri="{C3380CC4-5D6E-409C-BE32-E72D297353CC}">
              <c16:uniqueId val="{00000000-02E0-4A97-9243-B568AB626113}"/>
            </c:ext>
          </c:extLst>
        </c:ser>
        <c:dLbls>
          <c:showLegendKey val="0"/>
          <c:showVal val="0"/>
          <c:showCatName val="0"/>
          <c:showSerName val="0"/>
          <c:showPercent val="0"/>
          <c:showBubbleSize val="0"/>
        </c:dLbls>
        <c:gapWidth val="60"/>
        <c:axId val="529141328"/>
        <c:axId val="529131528"/>
      </c:barChart>
      <c:catAx>
        <c:axId val="52914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1528"/>
        <c:crosses val="autoZero"/>
        <c:auto val="1"/>
        <c:lblAlgn val="ctr"/>
        <c:lblOffset val="100"/>
        <c:noMultiLvlLbl val="0"/>
      </c:catAx>
      <c:valAx>
        <c:axId val="529131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96462335813318"/>
          <c:y val="4.1314553990610327E-2"/>
          <c:w val="0.46106069155908985"/>
          <c:h val="0.8785287050386307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Dislike!$A$2:$A$12</c:f>
              <c:strCache>
                <c:ptCount val="11"/>
                <c:pt idx="0">
                  <c:v>Visa restrictions</c:v>
                </c:pt>
                <c:pt idx="1">
                  <c:v>The maximum stay is too short</c:v>
                </c:pt>
                <c:pt idx="2">
                  <c:v>Tax and superannuation</c:v>
                </c:pt>
                <c:pt idx="3">
                  <c:v>Difficult to sponsor / getting them back</c:v>
                </c:pt>
                <c:pt idx="4">
                  <c:v>Age limit</c:v>
                </c:pt>
                <c:pt idx="5">
                  <c:v>No specific dislikes</c:v>
                </c:pt>
                <c:pt idx="6">
                  <c:v>Other</c:v>
                </c:pt>
                <c:pt idx="7">
                  <c:v>Training problems</c:v>
                </c:pt>
                <c:pt idx="8">
                  <c:v>There is too much paperwork</c:v>
                </c:pt>
                <c:pt idx="9">
                  <c:v>Difficult to check/verify paperwork</c:v>
                </c:pt>
                <c:pt idx="10">
                  <c:v>Not enough information</c:v>
                </c:pt>
              </c:strCache>
            </c:strRef>
          </c:cat>
          <c:val>
            <c:numRef>
              <c:f>Dislike!$B$2:$B$12</c:f>
              <c:numCache>
                <c:formatCode>0.0%</c:formatCode>
                <c:ptCount val="11"/>
                <c:pt idx="0">
                  <c:v>0.64238410596026485</c:v>
                </c:pt>
                <c:pt idx="1">
                  <c:v>0.52317880794701987</c:v>
                </c:pt>
                <c:pt idx="2">
                  <c:v>0.48344370860927155</c:v>
                </c:pt>
                <c:pt idx="3">
                  <c:v>0.45033112582781459</c:v>
                </c:pt>
                <c:pt idx="4">
                  <c:v>0.32450331125827814</c:v>
                </c:pt>
                <c:pt idx="5">
                  <c:v>0.14569536423841059</c:v>
                </c:pt>
                <c:pt idx="6">
                  <c:v>0.14569536423841059</c:v>
                </c:pt>
                <c:pt idx="7">
                  <c:v>0.13245033112582782</c:v>
                </c:pt>
                <c:pt idx="8">
                  <c:v>0.12582781456953643</c:v>
                </c:pt>
                <c:pt idx="9">
                  <c:v>8.6092715231788075E-2</c:v>
                </c:pt>
                <c:pt idx="10">
                  <c:v>7.2847682119205295E-2</c:v>
                </c:pt>
              </c:numCache>
            </c:numRef>
          </c:val>
          <c:extLst>
            <c:ext xmlns:c16="http://schemas.microsoft.com/office/drawing/2014/chart" uri="{C3380CC4-5D6E-409C-BE32-E72D297353CC}">
              <c16:uniqueId val="{00000000-BB7A-4B56-94AA-5A67A21B5BED}"/>
            </c:ext>
          </c:extLst>
        </c:ser>
        <c:dLbls>
          <c:showLegendKey val="0"/>
          <c:showVal val="0"/>
          <c:showCatName val="0"/>
          <c:showSerName val="0"/>
          <c:showPercent val="0"/>
          <c:showBubbleSize val="0"/>
        </c:dLbls>
        <c:gapWidth val="60"/>
        <c:axId val="529142896"/>
        <c:axId val="529133096"/>
      </c:barChart>
      <c:catAx>
        <c:axId val="52914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3096"/>
        <c:crosses val="autoZero"/>
        <c:auto val="1"/>
        <c:lblAlgn val="ctr"/>
        <c:lblOffset val="100"/>
        <c:noMultiLvlLbl val="0"/>
      </c:catAx>
      <c:valAx>
        <c:axId val="529133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4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71862171074773E-2"/>
          <c:y val="0.15701669531919585"/>
          <c:w val="0.85731184242995262"/>
          <c:h val="0.58768876837562722"/>
        </c:manualLayout>
      </c:layout>
      <c:barChart>
        <c:barDir val="bar"/>
        <c:grouping val="stacked"/>
        <c:varyColors val="0"/>
        <c:ser>
          <c:idx val="0"/>
          <c:order val="0"/>
          <c:tx>
            <c:strRef>
              <c:f>Staffing!$C$4</c:f>
              <c:strCache>
                <c:ptCount val="1"/>
                <c:pt idx="0">
                  <c:v>Micro (0-4)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Staffing!$B$5:$B$6</c:f>
              <c:numCache>
                <c:formatCode>General</c:formatCode>
                <c:ptCount val="2"/>
                <c:pt idx="0">
                  <c:v>2019</c:v>
                </c:pt>
                <c:pt idx="1">
                  <c:v>2020</c:v>
                </c:pt>
              </c:numCache>
            </c:numRef>
          </c:cat>
          <c:val>
            <c:numRef>
              <c:f>Staffing!$C$5:$C$6</c:f>
              <c:numCache>
                <c:formatCode>0.0%</c:formatCode>
                <c:ptCount val="2"/>
                <c:pt idx="0">
                  <c:v>0.31874999999999998</c:v>
                </c:pt>
                <c:pt idx="1">
                  <c:v>0.34640522875816993</c:v>
                </c:pt>
              </c:numCache>
            </c:numRef>
          </c:val>
          <c:extLst>
            <c:ext xmlns:c16="http://schemas.microsoft.com/office/drawing/2014/chart" uri="{C3380CC4-5D6E-409C-BE32-E72D297353CC}">
              <c16:uniqueId val="{00000000-5195-4F0E-8A17-EF535BE761B6}"/>
            </c:ext>
          </c:extLst>
        </c:ser>
        <c:ser>
          <c:idx val="1"/>
          <c:order val="1"/>
          <c:tx>
            <c:strRef>
              <c:f>Staffing!$D$4</c:f>
              <c:strCache>
                <c:ptCount val="1"/>
                <c:pt idx="0">
                  <c:v>Small (5-19)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Staffing!$B$5:$B$6</c:f>
              <c:numCache>
                <c:formatCode>General</c:formatCode>
                <c:ptCount val="2"/>
                <c:pt idx="0">
                  <c:v>2019</c:v>
                </c:pt>
                <c:pt idx="1">
                  <c:v>2020</c:v>
                </c:pt>
              </c:numCache>
            </c:numRef>
          </c:cat>
          <c:val>
            <c:numRef>
              <c:f>Staffing!$D$5:$D$6</c:f>
              <c:numCache>
                <c:formatCode>0.0%</c:formatCode>
                <c:ptCount val="2"/>
                <c:pt idx="0">
                  <c:v>0.45624999999999999</c:v>
                </c:pt>
                <c:pt idx="1">
                  <c:v>0.45751633986928103</c:v>
                </c:pt>
              </c:numCache>
            </c:numRef>
          </c:val>
          <c:extLst>
            <c:ext xmlns:c16="http://schemas.microsoft.com/office/drawing/2014/chart" uri="{C3380CC4-5D6E-409C-BE32-E72D297353CC}">
              <c16:uniqueId val="{00000001-5195-4F0E-8A17-EF535BE761B6}"/>
            </c:ext>
          </c:extLst>
        </c:ser>
        <c:ser>
          <c:idx val="2"/>
          <c:order val="2"/>
          <c:tx>
            <c:strRef>
              <c:f>Staffing!$E$4</c:f>
              <c:strCache>
                <c:ptCount val="1"/>
                <c:pt idx="0">
                  <c:v>Medium (20-199)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Staffing!$B$5:$B$6</c:f>
              <c:numCache>
                <c:formatCode>General</c:formatCode>
                <c:ptCount val="2"/>
                <c:pt idx="0">
                  <c:v>2019</c:v>
                </c:pt>
                <c:pt idx="1">
                  <c:v>2020</c:v>
                </c:pt>
              </c:numCache>
            </c:numRef>
          </c:cat>
          <c:val>
            <c:numRef>
              <c:f>Staffing!$E$5:$E$6</c:f>
              <c:numCache>
                <c:formatCode>0.0%</c:formatCode>
                <c:ptCount val="2"/>
                <c:pt idx="0">
                  <c:v>0.20624999999999999</c:v>
                </c:pt>
                <c:pt idx="1">
                  <c:v>0.17647058823529413</c:v>
                </c:pt>
              </c:numCache>
            </c:numRef>
          </c:val>
          <c:extLst>
            <c:ext xmlns:c16="http://schemas.microsoft.com/office/drawing/2014/chart" uri="{C3380CC4-5D6E-409C-BE32-E72D297353CC}">
              <c16:uniqueId val="{00000002-5195-4F0E-8A17-EF535BE761B6}"/>
            </c:ext>
          </c:extLst>
        </c:ser>
        <c:ser>
          <c:idx val="3"/>
          <c:order val="3"/>
          <c:tx>
            <c:strRef>
              <c:f>Staffing!$F$4</c:f>
              <c:strCache>
                <c:ptCount val="1"/>
                <c:pt idx="0">
                  <c:v>Large (200+)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Staffing!$B$5:$B$6</c:f>
              <c:numCache>
                <c:formatCode>General</c:formatCode>
                <c:ptCount val="2"/>
                <c:pt idx="0">
                  <c:v>2019</c:v>
                </c:pt>
                <c:pt idx="1">
                  <c:v>2020</c:v>
                </c:pt>
              </c:numCache>
            </c:numRef>
          </c:cat>
          <c:val>
            <c:numRef>
              <c:f>Staffing!$F$5:$F$6</c:f>
              <c:numCache>
                <c:formatCode>0.0%</c:formatCode>
                <c:ptCount val="2"/>
                <c:pt idx="0">
                  <c:v>1.8749999999999999E-2</c:v>
                </c:pt>
                <c:pt idx="1">
                  <c:v>1.9607843137254902E-2</c:v>
                </c:pt>
              </c:numCache>
            </c:numRef>
          </c:val>
          <c:extLst>
            <c:ext xmlns:c16="http://schemas.microsoft.com/office/drawing/2014/chart" uri="{C3380CC4-5D6E-409C-BE32-E72D297353CC}">
              <c16:uniqueId val="{00000003-5195-4F0E-8A17-EF535BE761B6}"/>
            </c:ext>
          </c:extLst>
        </c:ser>
        <c:dLbls>
          <c:showLegendKey val="0"/>
          <c:showVal val="0"/>
          <c:showCatName val="0"/>
          <c:showSerName val="0"/>
          <c:showPercent val="0"/>
          <c:showBubbleSize val="0"/>
        </c:dLbls>
        <c:gapWidth val="60"/>
        <c:overlap val="100"/>
        <c:axId val="529133880"/>
        <c:axId val="529135056"/>
      </c:barChart>
      <c:catAx>
        <c:axId val="529133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5056"/>
        <c:crosses val="autoZero"/>
        <c:auto val="1"/>
        <c:lblAlgn val="ctr"/>
        <c:lblOffset val="100"/>
        <c:noMultiLvlLbl val="0"/>
      </c:catAx>
      <c:valAx>
        <c:axId val="5291350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Number of businesses</a:t>
                </a:r>
              </a:p>
            </c:rich>
          </c:tx>
          <c:layout>
            <c:manualLayout>
              <c:xMode val="edge"/>
              <c:yMode val="edge"/>
              <c:x val="0.4034950759360208"/>
              <c:y val="0.880553536791351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3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Staffing!$I$8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Staffing!$H$9:$H$12</c:f>
              <c:strCache>
                <c:ptCount val="4"/>
                <c:pt idx="0">
                  <c:v>Micro (0-4)</c:v>
                </c:pt>
                <c:pt idx="1">
                  <c:v>Small (5-19)</c:v>
                </c:pt>
                <c:pt idx="2">
                  <c:v>Medium (20-199)</c:v>
                </c:pt>
                <c:pt idx="3">
                  <c:v>Large (200+)</c:v>
                </c:pt>
              </c:strCache>
            </c:strRef>
          </c:cat>
          <c:val>
            <c:numRef>
              <c:f>Staffing!$I$9:$I$12</c:f>
              <c:numCache>
                <c:formatCode>0</c:formatCode>
                <c:ptCount val="4"/>
                <c:pt idx="0">
                  <c:v>664</c:v>
                </c:pt>
                <c:pt idx="1">
                  <c:v>1507</c:v>
                </c:pt>
                <c:pt idx="2">
                  <c:v>2514</c:v>
                </c:pt>
                <c:pt idx="3">
                  <c:v>209</c:v>
                </c:pt>
              </c:numCache>
            </c:numRef>
          </c:val>
          <c:extLst>
            <c:ext xmlns:c16="http://schemas.microsoft.com/office/drawing/2014/chart" uri="{C3380CC4-5D6E-409C-BE32-E72D297353CC}">
              <c16:uniqueId val="{00000000-8D09-4AA8-85BD-5159E72CAB23}"/>
            </c:ext>
          </c:extLst>
        </c:ser>
        <c:ser>
          <c:idx val="1"/>
          <c:order val="1"/>
          <c:tx>
            <c:strRef>
              <c:f>Staffing!$J$8</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Staffing!$H$9:$H$12</c:f>
              <c:strCache>
                <c:ptCount val="4"/>
                <c:pt idx="0">
                  <c:v>Micro (0-4)</c:v>
                </c:pt>
                <c:pt idx="1">
                  <c:v>Small (5-19)</c:v>
                </c:pt>
                <c:pt idx="2">
                  <c:v>Medium (20-199)</c:v>
                </c:pt>
                <c:pt idx="3">
                  <c:v>Large (200+)</c:v>
                </c:pt>
              </c:strCache>
            </c:strRef>
          </c:cat>
          <c:val>
            <c:numRef>
              <c:f>Staffing!$J$9:$J$12</c:f>
              <c:numCache>
                <c:formatCode>0</c:formatCode>
                <c:ptCount val="4"/>
                <c:pt idx="0">
                  <c:v>475</c:v>
                </c:pt>
                <c:pt idx="1">
                  <c:v>1530</c:v>
                </c:pt>
                <c:pt idx="2">
                  <c:v>1999</c:v>
                </c:pt>
                <c:pt idx="3">
                  <c:v>294</c:v>
                </c:pt>
              </c:numCache>
            </c:numRef>
          </c:val>
          <c:extLst>
            <c:ext xmlns:c16="http://schemas.microsoft.com/office/drawing/2014/chart" uri="{C3380CC4-5D6E-409C-BE32-E72D297353CC}">
              <c16:uniqueId val="{00000001-8D09-4AA8-85BD-5159E72CAB23}"/>
            </c:ext>
          </c:extLst>
        </c:ser>
        <c:dLbls>
          <c:showLegendKey val="0"/>
          <c:showVal val="0"/>
          <c:showCatName val="0"/>
          <c:showSerName val="0"/>
          <c:showPercent val="0"/>
          <c:showBubbleSize val="0"/>
        </c:dLbls>
        <c:gapWidth val="60"/>
        <c:overlap val="-27"/>
        <c:axId val="529138976"/>
        <c:axId val="529137016"/>
      </c:barChart>
      <c:catAx>
        <c:axId val="52913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7016"/>
        <c:crosses val="autoZero"/>
        <c:auto val="1"/>
        <c:lblAlgn val="ctr"/>
        <c:lblOffset val="100"/>
        <c:noMultiLvlLbl val="0"/>
      </c:catAx>
      <c:valAx>
        <c:axId val="529137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Number of employees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8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Staffing!$B$63</c:f>
              <c:strCache>
                <c:ptCount val="1"/>
                <c:pt idx="0">
                  <c:v>Core staff</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Staffing!$C$61:$F$62</c:f>
              <c:multiLvlStrCache>
                <c:ptCount val="4"/>
                <c:lvl>
                  <c:pt idx="0">
                    <c:v>Tourism and Hospitality</c:v>
                  </c:pt>
                  <c:pt idx="1">
                    <c:v>Agriculture, forestry and fishing</c:v>
                  </c:pt>
                  <c:pt idx="2">
                    <c:v>Tourism and Hospitality</c:v>
                  </c:pt>
                  <c:pt idx="3">
                    <c:v>Agriculture, forestry and fishing</c:v>
                  </c:pt>
                </c:lvl>
                <c:lvl>
                  <c:pt idx="0">
                    <c:v>2019</c:v>
                  </c:pt>
                  <c:pt idx="2">
                    <c:v>2020</c:v>
                  </c:pt>
                </c:lvl>
              </c:multiLvlStrCache>
            </c:multiLvlStrRef>
          </c:cat>
          <c:val>
            <c:numRef>
              <c:f>Staffing!$C$63:$F$63</c:f>
              <c:numCache>
                <c:formatCode>General</c:formatCode>
                <c:ptCount val="4"/>
                <c:pt idx="0">
                  <c:v>1715</c:v>
                </c:pt>
                <c:pt idx="1">
                  <c:v>1090</c:v>
                </c:pt>
                <c:pt idx="2">
                  <c:v>1467</c:v>
                </c:pt>
                <c:pt idx="3">
                  <c:v>1010</c:v>
                </c:pt>
              </c:numCache>
            </c:numRef>
          </c:val>
          <c:extLst>
            <c:ext xmlns:c16="http://schemas.microsoft.com/office/drawing/2014/chart" uri="{C3380CC4-5D6E-409C-BE32-E72D297353CC}">
              <c16:uniqueId val="{00000000-6C9A-46AD-8898-FDE95877FB5D}"/>
            </c:ext>
          </c:extLst>
        </c:ser>
        <c:ser>
          <c:idx val="1"/>
          <c:order val="1"/>
          <c:tx>
            <c:strRef>
              <c:f>Staffing!$B$64</c:f>
              <c:strCache>
                <c:ptCount val="1"/>
                <c:pt idx="0">
                  <c:v>High demand</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Staffing!$C$61:$F$62</c:f>
              <c:multiLvlStrCache>
                <c:ptCount val="4"/>
                <c:lvl>
                  <c:pt idx="0">
                    <c:v>Tourism and Hospitality</c:v>
                  </c:pt>
                  <c:pt idx="1">
                    <c:v>Agriculture, forestry and fishing</c:v>
                  </c:pt>
                  <c:pt idx="2">
                    <c:v>Tourism and Hospitality</c:v>
                  </c:pt>
                  <c:pt idx="3">
                    <c:v>Agriculture, forestry and fishing</c:v>
                  </c:pt>
                </c:lvl>
                <c:lvl>
                  <c:pt idx="0">
                    <c:v>2019</c:v>
                  </c:pt>
                  <c:pt idx="2">
                    <c:v>2020</c:v>
                  </c:pt>
                </c:lvl>
              </c:multiLvlStrCache>
            </c:multiLvlStrRef>
          </c:cat>
          <c:val>
            <c:numRef>
              <c:f>Staffing!$C$64:$F$64</c:f>
              <c:numCache>
                <c:formatCode>General</c:formatCode>
                <c:ptCount val="4"/>
                <c:pt idx="0">
                  <c:v>1230</c:v>
                </c:pt>
                <c:pt idx="1">
                  <c:v>3463</c:v>
                </c:pt>
                <c:pt idx="2">
                  <c:v>978</c:v>
                </c:pt>
                <c:pt idx="3">
                  <c:v>3018</c:v>
                </c:pt>
              </c:numCache>
            </c:numRef>
          </c:val>
          <c:extLst>
            <c:ext xmlns:c16="http://schemas.microsoft.com/office/drawing/2014/chart" uri="{C3380CC4-5D6E-409C-BE32-E72D297353CC}">
              <c16:uniqueId val="{00000001-6C9A-46AD-8898-FDE95877FB5D}"/>
            </c:ext>
          </c:extLst>
        </c:ser>
        <c:dLbls>
          <c:showLegendKey val="0"/>
          <c:showVal val="0"/>
          <c:showCatName val="0"/>
          <c:showSerName val="0"/>
          <c:showPercent val="0"/>
          <c:showBubbleSize val="0"/>
        </c:dLbls>
        <c:gapWidth val="60"/>
        <c:overlap val="100"/>
        <c:axId val="529137800"/>
        <c:axId val="529138192"/>
      </c:barChart>
      <c:catAx>
        <c:axId val="52913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8192"/>
        <c:crosses val="autoZero"/>
        <c:auto val="1"/>
        <c:lblAlgn val="ctr"/>
        <c:lblOffset val="100"/>
        <c:noMultiLvlLbl val="0"/>
      </c:catAx>
      <c:valAx>
        <c:axId val="52913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29137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Staffing!$B$42</c:f>
              <c:strCache>
                <c:ptCount val="1"/>
                <c:pt idx="0">
                  <c:v>2019</c:v>
                </c:pt>
              </c:strCache>
            </c:strRef>
          </c:tx>
          <c:spPr>
            <a:solidFill>
              <a:schemeClr val="accent1"/>
            </a:solidFill>
            <a:ln>
              <a:noFill/>
            </a:ln>
            <a:effectLst/>
          </c:spPr>
          <c:invertIfNegative val="0"/>
          <c:dPt>
            <c:idx val="4"/>
            <c:invertIfNegative val="0"/>
            <c:bubble3D val="0"/>
            <c:spPr>
              <a:pattFill prst="ltUpDiag">
                <a:fgClr>
                  <a:schemeClr val="accent1"/>
                </a:fgClr>
                <a:bgClr>
                  <a:schemeClr val="bg1"/>
                </a:bgClr>
              </a:pattFill>
              <a:ln>
                <a:noFill/>
              </a:ln>
              <a:effectLst/>
            </c:spPr>
            <c:extLst>
              <c:ext xmlns:c16="http://schemas.microsoft.com/office/drawing/2014/chart" uri="{C3380CC4-5D6E-409C-BE32-E72D297353CC}">
                <c16:uniqueId val="{00000001-133D-480B-BE62-8ED918A549D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Staffing!$A$43:$A$47</c:f>
              <c:strCache>
                <c:ptCount val="5"/>
                <c:pt idx="0">
                  <c:v>WHM</c:v>
                </c:pt>
                <c:pt idx="1">
                  <c:v>Other visas</c:v>
                </c:pt>
                <c:pt idx="2">
                  <c:v>Local residents</c:v>
                </c:pt>
                <c:pt idx="3">
                  <c:v>Other Australians</c:v>
                </c:pt>
                <c:pt idx="4">
                  <c:v>Could not fill</c:v>
                </c:pt>
              </c:strCache>
            </c:strRef>
          </c:cat>
          <c:val>
            <c:numRef>
              <c:f>Staffing!$B$43:$B$47</c:f>
              <c:numCache>
                <c:formatCode>General</c:formatCode>
                <c:ptCount val="5"/>
                <c:pt idx="0">
                  <c:v>2855</c:v>
                </c:pt>
                <c:pt idx="1">
                  <c:v>909</c:v>
                </c:pt>
                <c:pt idx="2">
                  <c:v>1552</c:v>
                </c:pt>
                <c:pt idx="3">
                  <c:v>930</c:v>
                </c:pt>
                <c:pt idx="4">
                  <c:v>130</c:v>
                </c:pt>
              </c:numCache>
            </c:numRef>
          </c:val>
          <c:extLst>
            <c:ext xmlns:c16="http://schemas.microsoft.com/office/drawing/2014/chart" uri="{C3380CC4-5D6E-409C-BE32-E72D297353CC}">
              <c16:uniqueId val="{00000002-133D-480B-BE62-8ED918A549DE}"/>
            </c:ext>
          </c:extLst>
        </c:ser>
        <c:ser>
          <c:idx val="1"/>
          <c:order val="1"/>
          <c:tx>
            <c:strRef>
              <c:f>Staffing!$C$42</c:f>
              <c:strCache>
                <c:ptCount val="1"/>
                <c:pt idx="0">
                  <c:v>2020</c:v>
                </c:pt>
              </c:strCache>
            </c:strRef>
          </c:tx>
          <c:spPr>
            <a:solidFill>
              <a:schemeClr val="accent2"/>
            </a:solidFill>
            <a:ln>
              <a:noFill/>
            </a:ln>
            <a:effectLst/>
          </c:spPr>
          <c:invertIfNegative val="0"/>
          <c:dPt>
            <c:idx val="4"/>
            <c:invertIfNegative val="0"/>
            <c:bubble3D val="0"/>
            <c:spPr>
              <a:pattFill prst="ltUpDiag">
                <a:fgClr>
                  <a:schemeClr val="accent2"/>
                </a:fgClr>
                <a:bgClr>
                  <a:schemeClr val="bg1"/>
                </a:bgClr>
              </a:pattFill>
              <a:ln>
                <a:noFill/>
              </a:ln>
              <a:effectLst/>
            </c:spPr>
            <c:extLst>
              <c:ext xmlns:c16="http://schemas.microsoft.com/office/drawing/2014/chart" uri="{C3380CC4-5D6E-409C-BE32-E72D297353CC}">
                <c16:uniqueId val="{00000004-133D-480B-BE62-8ED918A549D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Staffing!$A$43:$A$47</c:f>
              <c:strCache>
                <c:ptCount val="5"/>
                <c:pt idx="0">
                  <c:v>WHM</c:v>
                </c:pt>
                <c:pt idx="1">
                  <c:v>Other visas</c:v>
                </c:pt>
                <c:pt idx="2">
                  <c:v>Local residents</c:v>
                </c:pt>
                <c:pt idx="3">
                  <c:v>Other Australians</c:v>
                </c:pt>
                <c:pt idx="4">
                  <c:v>Could not fill</c:v>
                </c:pt>
              </c:strCache>
            </c:strRef>
          </c:cat>
          <c:val>
            <c:numRef>
              <c:f>Staffing!$C$43:$C$47</c:f>
              <c:numCache>
                <c:formatCode>General</c:formatCode>
                <c:ptCount val="5"/>
                <c:pt idx="0">
                  <c:v>2258</c:v>
                </c:pt>
                <c:pt idx="1">
                  <c:v>927</c:v>
                </c:pt>
                <c:pt idx="2">
                  <c:v>1620</c:v>
                </c:pt>
                <c:pt idx="3">
                  <c:v>918</c:v>
                </c:pt>
                <c:pt idx="4">
                  <c:v>879</c:v>
                </c:pt>
              </c:numCache>
            </c:numRef>
          </c:val>
          <c:extLst>
            <c:ext xmlns:c16="http://schemas.microsoft.com/office/drawing/2014/chart" uri="{C3380CC4-5D6E-409C-BE32-E72D297353CC}">
              <c16:uniqueId val="{00000005-133D-480B-BE62-8ED918A549DE}"/>
            </c:ext>
          </c:extLst>
        </c:ser>
        <c:dLbls>
          <c:showLegendKey val="0"/>
          <c:showVal val="0"/>
          <c:showCatName val="0"/>
          <c:showSerName val="0"/>
          <c:showPercent val="0"/>
          <c:showBubbleSize val="0"/>
        </c:dLbls>
        <c:gapWidth val="60"/>
        <c:overlap val="-27"/>
        <c:axId val="531058144"/>
        <c:axId val="531064416"/>
      </c:barChart>
      <c:catAx>
        <c:axId val="5310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31064416"/>
        <c:crosses val="autoZero"/>
        <c:auto val="1"/>
        <c:lblAlgn val="ctr"/>
        <c:lblOffset val="100"/>
        <c:noMultiLvlLbl val="0"/>
      </c:catAx>
      <c:valAx>
        <c:axId val="53106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31058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9037306903801204"/>
          <c:y val="0.18099080821193955"/>
          <c:w val="0.7626782970536643"/>
          <c:h val="0.65114130824781935"/>
        </c:manualLayout>
      </c:layout>
      <c:barChart>
        <c:barDir val="bar"/>
        <c:grouping val="percentStacked"/>
        <c:varyColors val="0"/>
        <c:ser>
          <c:idx val="0"/>
          <c:order val="0"/>
          <c:tx>
            <c:strRef>
              <c:f>Sheet6!$I$17</c:f>
              <c:strCache>
                <c:ptCount val="1"/>
                <c:pt idx="0">
                  <c:v>Recruited all/most workers needed</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Sheet6!$H$18:$H$20</c:f>
              <c:strCache>
                <c:ptCount val="2"/>
                <c:pt idx="0">
                  <c:v>Hospitality (n = 117)</c:v>
                </c:pt>
                <c:pt idx="1">
                  <c:v>Agriculture (n = 166)</c:v>
                </c:pt>
              </c:strCache>
            </c:strRef>
          </c:cat>
          <c:val>
            <c:numRef>
              <c:f>Sheet6!$I$18:$I$20</c:f>
              <c:numCache>
                <c:formatCode>0.0%</c:formatCode>
                <c:ptCount val="2"/>
                <c:pt idx="0">
                  <c:v>9.4017094017094016E-2</c:v>
                </c:pt>
                <c:pt idx="1">
                  <c:v>0.41566265060240964</c:v>
                </c:pt>
              </c:numCache>
            </c:numRef>
          </c:val>
          <c:extLst>
            <c:ext xmlns:c16="http://schemas.microsoft.com/office/drawing/2014/chart" uri="{C3380CC4-5D6E-409C-BE32-E72D297353CC}">
              <c16:uniqueId val="{00000000-444D-4C8A-9D1B-296228AB7315}"/>
            </c:ext>
          </c:extLst>
        </c:ser>
        <c:ser>
          <c:idx val="1"/>
          <c:order val="1"/>
          <c:tx>
            <c:strRef>
              <c:f>Sheet6!$J$17</c:f>
              <c:strCache>
                <c:ptCount val="1"/>
                <c:pt idx="0">
                  <c:v>Able to recruit some workers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Sheet6!$H$18:$H$20</c:f>
              <c:strCache>
                <c:ptCount val="2"/>
                <c:pt idx="0">
                  <c:v>Hospitality (n = 117)</c:v>
                </c:pt>
                <c:pt idx="1">
                  <c:v>Agriculture (n = 166)</c:v>
                </c:pt>
              </c:strCache>
            </c:strRef>
          </c:cat>
          <c:val>
            <c:numRef>
              <c:f>Sheet6!$J$18:$J$20</c:f>
              <c:numCache>
                <c:formatCode>0.0%</c:formatCode>
                <c:ptCount val="2"/>
                <c:pt idx="0">
                  <c:v>0.76068376068376065</c:v>
                </c:pt>
                <c:pt idx="1">
                  <c:v>0.53012048192771088</c:v>
                </c:pt>
              </c:numCache>
            </c:numRef>
          </c:val>
          <c:extLst>
            <c:ext xmlns:c16="http://schemas.microsoft.com/office/drawing/2014/chart" uri="{C3380CC4-5D6E-409C-BE32-E72D297353CC}">
              <c16:uniqueId val="{00000001-444D-4C8A-9D1B-296228AB7315}"/>
            </c:ext>
          </c:extLst>
        </c:ser>
        <c:ser>
          <c:idx val="2"/>
          <c:order val="2"/>
          <c:tx>
            <c:strRef>
              <c:f>Sheet6!$K$17</c:f>
              <c:strCache>
                <c:ptCount val="1"/>
                <c:pt idx="0">
                  <c:v>Unable to get any workers</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Sheet6!$H$18:$H$20</c:f>
              <c:strCache>
                <c:ptCount val="2"/>
                <c:pt idx="0">
                  <c:v>Hospitality (n = 117)</c:v>
                </c:pt>
                <c:pt idx="1">
                  <c:v>Agriculture (n = 166)</c:v>
                </c:pt>
              </c:strCache>
            </c:strRef>
          </c:cat>
          <c:val>
            <c:numRef>
              <c:f>Sheet6!$K$18:$K$20</c:f>
              <c:numCache>
                <c:formatCode>0.0%</c:formatCode>
                <c:ptCount val="2"/>
                <c:pt idx="0">
                  <c:v>0.14529914529914531</c:v>
                </c:pt>
                <c:pt idx="1">
                  <c:v>5.4216867469879519E-2</c:v>
                </c:pt>
              </c:numCache>
            </c:numRef>
          </c:val>
          <c:extLst>
            <c:ext xmlns:c16="http://schemas.microsoft.com/office/drawing/2014/chart" uri="{C3380CC4-5D6E-409C-BE32-E72D297353CC}">
              <c16:uniqueId val="{00000002-444D-4C8A-9D1B-296228AB7315}"/>
            </c:ext>
          </c:extLst>
        </c:ser>
        <c:dLbls>
          <c:dLblPos val="ctr"/>
          <c:showLegendKey val="0"/>
          <c:showVal val="1"/>
          <c:showCatName val="0"/>
          <c:showSerName val="0"/>
          <c:showPercent val="0"/>
          <c:showBubbleSize val="0"/>
        </c:dLbls>
        <c:gapWidth val="60"/>
        <c:overlap val="100"/>
        <c:axId val="531061280"/>
        <c:axId val="531067160"/>
      </c:barChart>
      <c:catAx>
        <c:axId val="5310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067160"/>
        <c:crosses val="autoZero"/>
        <c:auto val="1"/>
        <c:lblAlgn val="ctr"/>
        <c:lblOffset val="100"/>
        <c:noMultiLvlLbl val="0"/>
      </c:catAx>
      <c:valAx>
        <c:axId val="531067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061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30654574448966"/>
          <c:y val="5.8937728937728945E-2"/>
          <c:w val="0.59981959378942018"/>
          <c:h val="0.83893117283950636"/>
        </c:manualLayout>
      </c:layout>
      <c:barChart>
        <c:barDir val="bar"/>
        <c:grouping val="clustered"/>
        <c:varyColors val="0"/>
        <c:ser>
          <c:idx val="0"/>
          <c:order val="0"/>
          <c:tx>
            <c:strRef>
              <c:f>Recruitment!$I$15</c:f>
              <c:strCache>
                <c:ptCount val="1"/>
                <c:pt idx="0">
                  <c:v>Greater capital city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Recruitment!$G$16:$H$24</c:f>
              <c:multiLvlStrCache>
                <c:ptCount val="9"/>
                <c:lvl>
                  <c:pt idx="0">
                    <c:v>Not enough local workers</c:v>
                  </c:pt>
                  <c:pt idx="1">
                    <c:v>Smaller number of WHM</c:v>
                  </c:pt>
                  <c:pt idx="2">
                    <c:v>COVID-19 movement restrictions</c:v>
                  </c:pt>
                  <c:pt idx="3">
                    <c:v>Better paid jobs in other industries</c:v>
                  </c:pt>
                  <c:pt idx="4">
                    <c:v>Isolated work location</c:v>
                  </c:pt>
                  <c:pt idx="5">
                    <c:v>Physically demanding work</c:v>
                  </c:pt>
                  <c:pt idx="6">
                    <c:v>Not specified regional area</c:v>
                  </c:pt>
                  <c:pt idx="7">
                    <c:v>Business not qualified for Visa 2 &amp; 3</c:v>
                  </c:pt>
                  <c:pt idx="8">
                    <c:v>6 month work limit</c:v>
                  </c:pt>
                </c:lvl>
                <c:lvl>
                  <c:pt idx="0">
                    <c:v>Availability</c:v>
                  </c:pt>
                  <c:pt idx="3">
                    <c:v>Conditions</c:v>
                  </c:pt>
                  <c:pt idx="6">
                    <c:v>Rules</c:v>
                  </c:pt>
                </c:lvl>
              </c:multiLvlStrCache>
            </c:multiLvlStrRef>
          </c:cat>
          <c:val>
            <c:numRef>
              <c:f>Recruitment!$I$16:$I$24</c:f>
              <c:numCache>
                <c:formatCode>0.0%</c:formatCode>
                <c:ptCount val="9"/>
                <c:pt idx="0">
                  <c:v>0.30769230769230771</c:v>
                </c:pt>
                <c:pt idx="1">
                  <c:v>0.30769230769230771</c:v>
                </c:pt>
                <c:pt idx="2">
                  <c:v>0.30769230769230771</c:v>
                </c:pt>
                <c:pt idx="3">
                  <c:v>0.23076923076923078</c:v>
                </c:pt>
                <c:pt idx="4">
                  <c:v>7.6923076923076927E-2</c:v>
                </c:pt>
                <c:pt idx="5">
                  <c:v>0.15384615384615385</c:v>
                </c:pt>
                <c:pt idx="6">
                  <c:v>0.15384615384615385</c:v>
                </c:pt>
                <c:pt idx="7">
                  <c:v>0.19230769230769232</c:v>
                </c:pt>
                <c:pt idx="8">
                  <c:v>0.42307692307692307</c:v>
                </c:pt>
              </c:numCache>
            </c:numRef>
          </c:val>
          <c:extLst>
            <c:ext xmlns:c16="http://schemas.microsoft.com/office/drawing/2014/chart" uri="{C3380CC4-5D6E-409C-BE32-E72D297353CC}">
              <c16:uniqueId val="{00000000-C5CD-4760-8276-285917873EBA}"/>
            </c:ext>
          </c:extLst>
        </c:ser>
        <c:ser>
          <c:idx val="1"/>
          <c:order val="1"/>
          <c:tx>
            <c:strRef>
              <c:f>Recruitment!$J$15</c:f>
              <c:strCache>
                <c:ptCount val="1"/>
                <c:pt idx="0">
                  <c:v>Rest of state/territory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Recruitment!$G$16:$H$24</c:f>
              <c:multiLvlStrCache>
                <c:ptCount val="9"/>
                <c:lvl>
                  <c:pt idx="0">
                    <c:v>Not enough local workers</c:v>
                  </c:pt>
                  <c:pt idx="1">
                    <c:v>Smaller number of WHM</c:v>
                  </c:pt>
                  <c:pt idx="2">
                    <c:v>COVID-19 movement restrictions</c:v>
                  </c:pt>
                  <c:pt idx="3">
                    <c:v>Better paid jobs in other industries</c:v>
                  </c:pt>
                  <c:pt idx="4">
                    <c:v>Isolated work location</c:v>
                  </c:pt>
                  <c:pt idx="5">
                    <c:v>Physically demanding work</c:v>
                  </c:pt>
                  <c:pt idx="6">
                    <c:v>Not specified regional area</c:v>
                  </c:pt>
                  <c:pt idx="7">
                    <c:v>Business not qualified for Visa 2 &amp; 3</c:v>
                  </c:pt>
                  <c:pt idx="8">
                    <c:v>6 month work limit</c:v>
                  </c:pt>
                </c:lvl>
                <c:lvl>
                  <c:pt idx="0">
                    <c:v>Availability</c:v>
                  </c:pt>
                  <c:pt idx="3">
                    <c:v>Conditions</c:v>
                  </c:pt>
                  <c:pt idx="6">
                    <c:v>Rules</c:v>
                  </c:pt>
                </c:lvl>
              </c:multiLvlStrCache>
            </c:multiLvlStrRef>
          </c:cat>
          <c:val>
            <c:numRef>
              <c:f>Recruitment!$J$16:$J$24</c:f>
              <c:numCache>
                <c:formatCode>0.0%</c:formatCode>
                <c:ptCount val="9"/>
                <c:pt idx="0">
                  <c:v>0.52272727272727271</c:v>
                </c:pt>
                <c:pt idx="1">
                  <c:v>0.56060606060606055</c:v>
                </c:pt>
                <c:pt idx="2">
                  <c:v>0.43181818181818182</c:v>
                </c:pt>
                <c:pt idx="3">
                  <c:v>0.25</c:v>
                </c:pt>
                <c:pt idx="4">
                  <c:v>0.33333333333333331</c:v>
                </c:pt>
                <c:pt idx="5">
                  <c:v>0.32575757575757575</c:v>
                </c:pt>
                <c:pt idx="6">
                  <c:v>9.0909090909090912E-2</c:v>
                </c:pt>
                <c:pt idx="7">
                  <c:v>0.22727272727272727</c:v>
                </c:pt>
                <c:pt idx="8">
                  <c:v>0.35606060606060608</c:v>
                </c:pt>
              </c:numCache>
            </c:numRef>
          </c:val>
          <c:extLst>
            <c:ext xmlns:c16="http://schemas.microsoft.com/office/drawing/2014/chart" uri="{C3380CC4-5D6E-409C-BE32-E72D297353CC}">
              <c16:uniqueId val="{00000001-C5CD-4760-8276-285917873EBA}"/>
            </c:ext>
          </c:extLst>
        </c:ser>
        <c:dLbls>
          <c:showLegendKey val="0"/>
          <c:showVal val="0"/>
          <c:showCatName val="0"/>
          <c:showSerName val="0"/>
          <c:showPercent val="0"/>
          <c:showBubbleSize val="0"/>
        </c:dLbls>
        <c:gapWidth val="60"/>
        <c:axId val="531058536"/>
        <c:axId val="531064024"/>
      </c:barChart>
      <c:catAx>
        <c:axId val="53105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31064024"/>
        <c:crosses val="autoZero"/>
        <c:auto val="1"/>
        <c:lblAlgn val="ctr"/>
        <c:lblOffset val="100"/>
        <c:noMultiLvlLbl val="0"/>
      </c:catAx>
      <c:valAx>
        <c:axId val="531064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31058536"/>
        <c:crosses val="autoZero"/>
        <c:crossBetween val="between"/>
      </c:valAx>
      <c:spPr>
        <a:noFill/>
        <a:ln>
          <a:noFill/>
        </a:ln>
        <a:effectLst/>
      </c:spPr>
    </c:plotArea>
    <c:legend>
      <c:legendPos val="r"/>
      <c:layout>
        <c:manualLayout>
          <c:xMode val="edge"/>
          <c:yMode val="edge"/>
          <c:x val="0.79745267826454114"/>
          <c:y val="0.17888330730374286"/>
          <c:w val="0.18957083333333333"/>
          <c:h val="0.12282407407407407"/>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202499999999999"/>
          <c:y val="9.1600877192982461E-2"/>
          <c:w val="0.77400451388888891"/>
          <c:h val="0.82914766081871349"/>
        </c:manualLayout>
      </c:layout>
      <c:barChart>
        <c:barDir val="bar"/>
        <c:grouping val="stacked"/>
        <c:varyColors val="0"/>
        <c:ser>
          <c:idx val="0"/>
          <c:order val="0"/>
          <c:tx>
            <c:strRef>
              <c:f>'Time spent'!$P$19</c:f>
              <c:strCache>
                <c:ptCount val="1"/>
                <c:pt idx="0">
                  <c:v>&lt;1 month</c:v>
                </c:pt>
              </c:strCache>
            </c:strRef>
          </c:tx>
          <c:spPr>
            <a:solidFill>
              <a:schemeClr val="accent2">
                <a:shade val="50000"/>
              </a:schemeClr>
            </a:solidFill>
            <a:ln>
              <a:noFill/>
            </a:ln>
            <a:effectLst/>
          </c:spPr>
          <c:invertIfNegative val="0"/>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spent'!$P$20:$P$30</c:f>
              <c:numCache>
                <c:formatCode>0.0%</c:formatCode>
                <c:ptCount val="11"/>
                <c:pt idx="0">
                  <c:v>8.0766341096919613E-3</c:v>
                </c:pt>
                <c:pt idx="1">
                  <c:v>5.4033191817830957E-3</c:v>
                </c:pt>
                <c:pt idx="2">
                  <c:v>3.3745781777277839E-3</c:v>
                </c:pt>
                <c:pt idx="3">
                  <c:v>7.9479768786127163E-3</c:v>
                </c:pt>
                <c:pt idx="4">
                  <c:v>1.4691478942213516E-2</c:v>
                </c:pt>
                <c:pt idx="5">
                  <c:v>1.005458201666188E-2</c:v>
                </c:pt>
                <c:pt idx="6">
                  <c:v>4.2168674698795181E-3</c:v>
                </c:pt>
                <c:pt idx="7">
                  <c:v>1.0805500982318271E-2</c:v>
                </c:pt>
                <c:pt idx="8">
                  <c:v>7.0306038047973536E-3</c:v>
                </c:pt>
                <c:pt idx="9">
                  <c:v>8.840864440078585E-3</c:v>
                </c:pt>
                <c:pt idx="10">
                  <c:v>8.1234768480909821E-3</c:v>
                </c:pt>
              </c:numCache>
            </c:numRef>
          </c:val>
          <c:extLst>
            <c:ext xmlns:c16="http://schemas.microsoft.com/office/drawing/2014/chart" uri="{C3380CC4-5D6E-409C-BE32-E72D297353CC}">
              <c16:uniqueId val="{00000000-07DB-4E94-AB81-9C6221D96ECB}"/>
            </c:ext>
          </c:extLst>
        </c:ser>
        <c:ser>
          <c:idx val="1"/>
          <c:order val="1"/>
          <c:tx>
            <c:strRef>
              <c:f>'Time spent'!$Q$19</c:f>
              <c:strCache>
                <c:ptCount val="1"/>
                <c:pt idx="0">
                  <c:v>1 to &lt;3 months</c:v>
                </c:pt>
              </c:strCache>
            </c:strRef>
          </c:tx>
          <c:spPr>
            <a:solidFill>
              <a:schemeClr val="accent2">
                <a:shade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7DB-4E94-AB81-9C6221D96ECB}"/>
                </c:ext>
              </c:extLst>
            </c:dLbl>
            <c:dLbl>
              <c:idx val="1"/>
              <c:delete val="1"/>
              <c:extLst>
                <c:ext xmlns:c15="http://schemas.microsoft.com/office/drawing/2012/chart" uri="{CE6537A1-D6FC-4f65-9D91-7224C49458BB}"/>
                <c:ext xmlns:c16="http://schemas.microsoft.com/office/drawing/2014/chart" uri="{C3380CC4-5D6E-409C-BE32-E72D297353CC}">
                  <c16:uniqueId val="{00000002-07DB-4E94-AB81-9C6221D96ECB}"/>
                </c:ext>
              </c:extLst>
            </c:dLbl>
            <c:dLbl>
              <c:idx val="2"/>
              <c:delete val="1"/>
              <c:extLst>
                <c:ext xmlns:c15="http://schemas.microsoft.com/office/drawing/2012/chart" uri="{CE6537A1-D6FC-4f65-9D91-7224C49458BB}"/>
                <c:ext xmlns:c16="http://schemas.microsoft.com/office/drawing/2014/chart" uri="{C3380CC4-5D6E-409C-BE32-E72D297353CC}">
                  <c16:uniqueId val="{00000003-07DB-4E94-AB81-9C6221D96ECB}"/>
                </c:ext>
              </c:extLst>
            </c:dLbl>
            <c:dLbl>
              <c:idx val="3"/>
              <c:delete val="1"/>
              <c:extLst>
                <c:ext xmlns:c15="http://schemas.microsoft.com/office/drawing/2012/chart" uri="{CE6537A1-D6FC-4f65-9D91-7224C49458BB}"/>
                <c:ext xmlns:c16="http://schemas.microsoft.com/office/drawing/2014/chart" uri="{C3380CC4-5D6E-409C-BE32-E72D297353CC}">
                  <c16:uniqueId val="{0000000F-07DB-4E94-AB81-9C6221D96ECB}"/>
                </c:ext>
              </c:extLst>
            </c:dLbl>
            <c:dLbl>
              <c:idx val="4"/>
              <c:delete val="1"/>
              <c:extLst>
                <c:ext xmlns:c15="http://schemas.microsoft.com/office/drawing/2012/chart" uri="{CE6537A1-D6FC-4f65-9D91-7224C49458BB}"/>
                <c:ext xmlns:c16="http://schemas.microsoft.com/office/drawing/2014/chart" uri="{C3380CC4-5D6E-409C-BE32-E72D297353CC}">
                  <c16:uniqueId val="{0000000E-07DB-4E94-AB81-9C6221D96ECB}"/>
                </c:ext>
              </c:extLst>
            </c:dLbl>
            <c:dLbl>
              <c:idx val="5"/>
              <c:delete val="1"/>
              <c:extLst>
                <c:ext xmlns:c15="http://schemas.microsoft.com/office/drawing/2012/chart" uri="{CE6537A1-D6FC-4f65-9D91-7224C49458BB}"/>
                <c:ext xmlns:c16="http://schemas.microsoft.com/office/drawing/2014/chart" uri="{C3380CC4-5D6E-409C-BE32-E72D297353CC}">
                  <c16:uniqueId val="{00000004-07DB-4E94-AB81-9C6221D96ECB}"/>
                </c:ext>
              </c:extLst>
            </c:dLbl>
            <c:dLbl>
              <c:idx val="6"/>
              <c:delete val="1"/>
              <c:extLst>
                <c:ext xmlns:c15="http://schemas.microsoft.com/office/drawing/2012/chart" uri="{CE6537A1-D6FC-4f65-9D91-7224C49458BB}"/>
                <c:ext xmlns:c16="http://schemas.microsoft.com/office/drawing/2014/chart" uri="{C3380CC4-5D6E-409C-BE32-E72D297353CC}">
                  <c16:uniqueId val="{00000005-07DB-4E94-AB81-9C6221D96E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spent'!$Q$20:$Q$30</c:f>
              <c:numCache>
                <c:formatCode>0.0%</c:formatCode>
                <c:ptCount val="11"/>
                <c:pt idx="0">
                  <c:v>3.7941397445529677E-2</c:v>
                </c:pt>
                <c:pt idx="1">
                  <c:v>1.0806638363566191E-2</c:v>
                </c:pt>
                <c:pt idx="2">
                  <c:v>2.9246344206974129E-2</c:v>
                </c:pt>
                <c:pt idx="3">
                  <c:v>2.7456647398843931E-2</c:v>
                </c:pt>
                <c:pt idx="4">
                  <c:v>2.1547502448579822E-2</c:v>
                </c:pt>
                <c:pt idx="5">
                  <c:v>3.0738293593794888E-2</c:v>
                </c:pt>
                <c:pt idx="6">
                  <c:v>3.0120481927710843E-2</c:v>
                </c:pt>
                <c:pt idx="7">
                  <c:v>5.2062868369351673E-2</c:v>
                </c:pt>
                <c:pt idx="8">
                  <c:v>5.5417700578990904E-2</c:v>
                </c:pt>
                <c:pt idx="9">
                  <c:v>7.8585461689587424E-2</c:v>
                </c:pt>
                <c:pt idx="10">
                  <c:v>5.2802599512591392E-2</c:v>
                </c:pt>
              </c:numCache>
            </c:numRef>
          </c:val>
          <c:extLst>
            <c:ext xmlns:c16="http://schemas.microsoft.com/office/drawing/2014/chart" uri="{C3380CC4-5D6E-409C-BE32-E72D297353CC}">
              <c16:uniqueId val="{00000008-07DB-4E94-AB81-9C6221D96ECB}"/>
            </c:ext>
          </c:extLst>
        </c:ser>
        <c:ser>
          <c:idx val="2"/>
          <c:order val="2"/>
          <c:tx>
            <c:strRef>
              <c:f>'Time spent'!$R$19</c:f>
              <c:strCache>
                <c:ptCount val="1"/>
                <c:pt idx="0">
                  <c:v>3 to &lt;6 months</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spent'!$R$20:$R$30</c:f>
              <c:numCache>
                <c:formatCode>0.0%</c:formatCode>
                <c:ptCount val="11"/>
                <c:pt idx="0">
                  <c:v>0.12100864012021037</c:v>
                </c:pt>
                <c:pt idx="1">
                  <c:v>5.403319181783095E-2</c:v>
                </c:pt>
                <c:pt idx="2">
                  <c:v>5.9617547806524188E-2</c:v>
                </c:pt>
                <c:pt idx="3">
                  <c:v>7.6589595375722547E-2</c:v>
                </c:pt>
                <c:pt idx="4">
                  <c:v>8.1292850146914786E-2</c:v>
                </c:pt>
                <c:pt idx="5">
                  <c:v>9.5087618500430904E-2</c:v>
                </c:pt>
                <c:pt idx="6">
                  <c:v>0.12771084337349398</c:v>
                </c:pt>
                <c:pt idx="7">
                  <c:v>0.14734774066797643</c:v>
                </c:pt>
                <c:pt idx="8">
                  <c:v>0.15922249793217536</c:v>
                </c:pt>
                <c:pt idx="9">
                  <c:v>0.15029469548133595</c:v>
                </c:pt>
                <c:pt idx="10">
                  <c:v>0.21852152721364745</c:v>
                </c:pt>
              </c:numCache>
            </c:numRef>
          </c:val>
          <c:extLst>
            <c:ext xmlns:c16="http://schemas.microsoft.com/office/drawing/2014/chart" uri="{C3380CC4-5D6E-409C-BE32-E72D297353CC}">
              <c16:uniqueId val="{00000009-07DB-4E94-AB81-9C6221D96ECB}"/>
            </c:ext>
          </c:extLst>
        </c:ser>
        <c:ser>
          <c:idx val="3"/>
          <c:order val="3"/>
          <c:tx>
            <c:strRef>
              <c:f>'Time spent'!$S$19</c:f>
              <c:strCache>
                <c:ptCount val="1"/>
                <c:pt idx="0">
                  <c:v>6 to &lt;9 months</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spent'!$S$20:$S$30</c:f>
              <c:numCache>
                <c:formatCode>0.0%</c:formatCode>
                <c:ptCount val="11"/>
                <c:pt idx="0">
                  <c:v>0.18158339594290007</c:v>
                </c:pt>
                <c:pt idx="1">
                  <c:v>0.17406406792744114</c:v>
                </c:pt>
                <c:pt idx="2">
                  <c:v>0.16422947131608548</c:v>
                </c:pt>
                <c:pt idx="3">
                  <c:v>0.16835260115606937</c:v>
                </c:pt>
                <c:pt idx="4">
                  <c:v>0.16650342801175319</c:v>
                </c:pt>
                <c:pt idx="5">
                  <c:v>0.17121516805515657</c:v>
                </c:pt>
                <c:pt idx="6">
                  <c:v>0.1608433734939759</c:v>
                </c:pt>
                <c:pt idx="7">
                  <c:v>0.15225933202357564</c:v>
                </c:pt>
                <c:pt idx="8">
                  <c:v>0.18486352357320099</c:v>
                </c:pt>
                <c:pt idx="9">
                  <c:v>0.14833005893909626</c:v>
                </c:pt>
                <c:pt idx="10">
                  <c:v>0.26969943135662061</c:v>
                </c:pt>
              </c:numCache>
            </c:numRef>
          </c:val>
          <c:extLst>
            <c:ext xmlns:c16="http://schemas.microsoft.com/office/drawing/2014/chart" uri="{C3380CC4-5D6E-409C-BE32-E72D297353CC}">
              <c16:uniqueId val="{0000000A-07DB-4E94-AB81-9C6221D96ECB}"/>
            </c:ext>
          </c:extLst>
        </c:ser>
        <c:ser>
          <c:idx val="4"/>
          <c:order val="4"/>
          <c:tx>
            <c:strRef>
              <c:f>'Time spent'!$T$19</c:f>
              <c:strCache>
                <c:ptCount val="1"/>
                <c:pt idx="0">
                  <c:v>9 to &lt;12 months</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spent'!$T$20:$T$30</c:f>
              <c:numCache>
                <c:formatCode>0.0%</c:formatCode>
                <c:ptCount val="11"/>
                <c:pt idx="0">
                  <c:v>0.52399511645379415</c:v>
                </c:pt>
                <c:pt idx="1">
                  <c:v>0.54689309147047471</c:v>
                </c:pt>
                <c:pt idx="2">
                  <c:v>0.57817772778402698</c:v>
                </c:pt>
                <c:pt idx="3">
                  <c:v>0.55924855491329484</c:v>
                </c:pt>
                <c:pt idx="4">
                  <c:v>0.60235063663075417</c:v>
                </c:pt>
                <c:pt idx="5">
                  <c:v>0.54984199942545242</c:v>
                </c:pt>
                <c:pt idx="6">
                  <c:v>0.55963855421686748</c:v>
                </c:pt>
                <c:pt idx="7">
                  <c:v>0.5461689587426326</c:v>
                </c:pt>
                <c:pt idx="8">
                  <c:v>0.51447477253928864</c:v>
                </c:pt>
                <c:pt idx="9">
                  <c:v>0.51768172888015718</c:v>
                </c:pt>
                <c:pt idx="10">
                  <c:v>0.3915515840779854</c:v>
                </c:pt>
              </c:numCache>
            </c:numRef>
          </c:val>
          <c:extLst>
            <c:ext xmlns:c16="http://schemas.microsoft.com/office/drawing/2014/chart" uri="{C3380CC4-5D6E-409C-BE32-E72D297353CC}">
              <c16:uniqueId val="{0000000B-07DB-4E94-AB81-9C6221D96ECB}"/>
            </c:ext>
          </c:extLst>
        </c:ser>
        <c:ser>
          <c:idx val="5"/>
          <c:order val="5"/>
          <c:tx>
            <c:strRef>
              <c:f>'Time spent'!$U$19</c:f>
              <c:strCache>
                <c:ptCount val="1"/>
                <c:pt idx="0">
                  <c:v>&gt;12 months</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'Time spent'!$O$20:$O$30</c:f>
              <c:strCache>
                <c:ptCount val="11"/>
                <c:pt idx="0">
                  <c:v>Total (Av. 9.4)</c:v>
                </c:pt>
                <c:pt idx="1">
                  <c:v>Taiwan (Av. 10)</c:v>
                </c:pt>
                <c:pt idx="2">
                  <c:v>Ireland (Av. 9)</c:v>
                </c:pt>
                <c:pt idx="3">
                  <c:v>South Korea (Av. 8.8)</c:v>
                </c:pt>
                <c:pt idx="4">
                  <c:v>Japan (Av. 9.8)</c:v>
                </c:pt>
                <c:pt idx="5">
                  <c:v>UK (Av. 10)</c:v>
                </c:pt>
                <c:pt idx="6">
                  <c:v>Italy (Av. 9.5)</c:v>
                </c:pt>
                <c:pt idx="7">
                  <c:v>Canada (Av. 8.8)</c:v>
                </c:pt>
                <c:pt idx="8">
                  <c:v>France (Av. 8.1)</c:v>
                </c:pt>
                <c:pt idx="9">
                  <c:v>USA (Av. 10.5)</c:v>
                </c:pt>
                <c:pt idx="10">
                  <c:v>Germany (Av. 9.7)</c:v>
                </c:pt>
              </c:strCache>
            </c:strRef>
          </c:cat>
          <c:val>
            <c:numRef>
              <c:f>'Time spent'!$U$20:$U$30</c:f>
              <c:numCache>
                <c:formatCode>0.0%</c:formatCode>
                <c:ptCount val="11"/>
                <c:pt idx="0">
                  <c:v>0.12739481592787377</c:v>
                </c:pt>
                <c:pt idx="1">
                  <c:v>0.20879969123890391</c:v>
                </c:pt>
                <c:pt idx="2">
                  <c:v>0.16535433070866143</c:v>
                </c:pt>
                <c:pt idx="3">
                  <c:v>0.16040462427745664</c:v>
                </c:pt>
                <c:pt idx="4">
                  <c:v>0.11361410381978453</c:v>
                </c:pt>
                <c:pt idx="5">
                  <c:v>0.1430623384085033</c:v>
                </c:pt>
                <c:pt idx="6">
                  <c:v>0.11746987951807229</c:v>
                </c:pt>
                <c:pt idx="7">
                  <c:v>9.1355599214145378E-2</c:v>
                </c:pt>
                <c:pt idx="8">
                  <c:v>7.8990901571546729E-2</c:v>
                </c:pt>
                <c:pt idx="9">
                  <c:v>9.6267190569744601E-2</c:v>
                </c:pt>
                <c:pt idx="10">
                  <c:v>5.9301380991064176E-2</c:v>
                </c:pt>
              </c:numCache>
            </c:numRef>
          </c:val>
          <c:extLst>
            <c:ext xmlns:c16="http://schemas.microsoft.com/office/drawing/2014/chart" uri="{C3380CC4-5D6E-409C-BE32-E72D297353CC}">
              <c16:uniqueId val="{0000000C-07DB-4E94-AB81-9C6221D96ECB}"/>
            </c:ext>
          </c:extLst>
        </c:ser>
        <c:dLbls>
          <c:showLegendKey val="0"/>
          <c:showVal val="0"/>
          <c:showCatName val="0"/>
          <c:showSerName val="0"/>
          <c:showPercent val="0"/>
          <c:showBubbleSize val="0"/>
        </c:dLbls>
        <c:gapWidth val="60"/>
        <c:overlap val="100"/>
        <c:axId val="370728984"/>
        <c:axId val="370737608"/>
      </c:barChart>
      <c:catAx>
        <c:axId val="37072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37608"/>
        <c:crosses val="autoZero"/>
        <c:auto val="1"/>
        <c:lblAlgn val="ctr"/>
        <c:lblOffset val="100"/>
        <c:noMultiLvlLbl val="0"/>
      </c:catAx>
      <c:valAx>
        <c:axId val="370737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70728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Worked!$B$3:$B$13</c:f>
              <c:numCache>
                <c:formatCode>@</c:formatCode>
                <c:ptCount val="11"/>
                <c:pt idx="0">
                  <c:v>1</c:v>
                </c:pt>
                <c:pt idx="1">
                  <c:v>2</c:v>
                </c:pt>
                <c:pt idx="2">
                  <c:v>3</c:v>
                </c:pt>
                <c:pt idx="3">
                  <c:v>4</c:v>
                </c:pt>
                <c:pt idx="4">
                  <c:v>5</c:v>
                </c:pt>
                <c:pt idx="5">
                  <c:v>6</c:v>
                </c:pt>
                <c:pt idx="6">
                  <c:v>7</c:v>
                </c:pt>
                <c:pt idx="7">
                  <c:v>8</c:v>
                </c:pt>
                <c:pt idx="8">
                  <c:v>9</c:v>
                </c:pt>
                <c:pt idx="9">
                  <c:v>10</c:v>
                </c:pt>
                <c:pt idx="10">
                  <c:v>11</c:v>
                </c:pt>
              </c:numCache>
            </c:numRef>
          </c:cat>
          <c:val>
            <c:numRef>
              <c:f>Worked!$C$3:$C$13</c:f>
              <c:numCache>
                <c:formatCode>General</c:formatCode>
                <c:ptCount val="11"/>
                <c:pt idx="0">
                  <c:v>5448</c:v>
                </c:pt>
                <c:pt idx="1">
                  <c:v>3457</c:v>
                </c:pt>
                <c:pt idx="2">
                  <c:v>1888</c:v>
                </c:pt>
                <c:pt idx="3">
                  <c:v>736</c:v>
                </c:pt>
                <c:pt idx="4">
                  <c:v>288</c:v>
                </c:pt>
                <c:pt idx="5">
                  <c:v>151</c:v>
                </c:pt>
                <c:pt idx="6">
                  <c:v>39</c:v>
                </c:pt>
                <c:pt idx="7">
                  <c:v>16</c:v>
                </c:pt>
                <c:pt idx="8">
                  <c:v>3</c:v>
                </c:pt>
                <c:pt idx="9">
                  <c:v>2</c:v>
                </c:pt>
                <c:pt idx="10">
                  <c:v>1</c:v>
                </c:pt>
              </c:numCache>
            </c:numRef>
          </c:val>
          <c:extLst>
            <c:ext xmlns:c16="http://schemas.microsoft.com/office/drawing/2014/chart" uri="{C3380CC4-5D6E-409C-BE32-E72D297353CC}">
              <c16:uniqueId val="{00000000-F9F1-44CF-9725-80A8CC109371}"/>
            </c:ext>
          </c:extLst>
        </c:ser>
        <c:dLbls>
          <c:showLegendKey val="0"/>
          <c:showVal val="0"/>
          <c:showCatName val="0"/>
          <c:showSerName val="0"/>
          <c:showPercent val="0"/>
          <c:showBubbleSize val="0"/>
        </c:dLbls>
        <c:gapWidth val="60"/>
        <c:overlap val="-27"/>
        <c:axId val="370734472"/>
        <c:axId val="370736432"/>
      </c:barChart>
      <c:catAx>
        <c:axId val="3707344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jobs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0736432"/>
        <c:crosses val="autoZero"/>
        <c:auto val="1"/>
        <c:lblAlgn val="ctr"/>
        <c:lblOffset val="100"/>
        <c:noMultiLvlLbl val="0"/>
      </c:catAx>
      <c:valAx>
        <c:axId val="37073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Number of WHMs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0734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Sheet1!$B$1</c:f>
              <c:strCache>
                <c:ptCount val="1"/>
                <c:pt idx="0">
                  <c:v>Major Cities of Australia</c:v>
                </c:pt>
              </c:strCache>
            </c:strRef>
          </c:tx>
          <c:spPr>
            <a:solidFill>
              <a:schemeClr val="accent1"/>
            </a:solidFill>
            <a:ln>
              <a:noFill/>
            </a:ln>
            <a:effectLst/>
          </c:spPr>
          <c:invertIfNegative val="0"/>
          <c:cat>
            <c:strRef>
              <c:f>Sheet1!$A$2:$A$9</c:f>
              <c:strCache>
                <c:ptCount val="8"/>
                <c:pt idx="0">
                  <c:v>NSW (n=6458)</c:v>
                </c:pt>
                <c:pt idx="1">
                  <c:v>VIC (n=5247)</c:v>
                </c:pt>
                <c:pt idx="2">
                  <c:v>QLD (n=6353)</c:v>
                </c:pt>
                <c:pt idx="3">
                  <c:v>SA   (n=954)</c:v>
                </c:pt>
                <c:pt idx="4">
                  <c:v>WA (n=2822)</c:v>
                </c:pt>
                <c:pt idx="5">
                  <c:v>TAS (n=916)</c:v>
                </c:pt>
                <c:pt idx="6">
                  <c:v>NT   (n=722)</c:v>
                </c:pt>
                <c:pt idx="7">
                  <c:v>ACT (n=195)</c:v>
                </c:pt>
              </c:strCache>
            </c:strRef>
          </c:cat>
          <c:val>
            <c:numRef>
              <c:f>Sheet1!$B$2:$B$9</c:f>
              <c:numCache>
                <c:formatCode>General</c:formatCode>
                <c:ptCount val="8"/>
                <c:pt idx="0">
                  <c:v>4531</c:v>
                </c:pt>
                <c:pt idx="1">
                  <c:v>3635</c:v>
                </c:pt>
                <c:pt idx="2">
                  <c:v>2580</c:v>
                </c:pt>
                <c:pt idx="3">
                  <c:v>438</c:v>
                </c:pt>
                <c:pt idx="4">
                  <c:v>1362</c:v>
                </c:pt>
                <c:pt idx="5">
                  <c:v>42</c:v>
                </c:pt>
                <c:pt idx="6">
                  <c:v>111</c:v>
                </c:pt>
                <c:pt idx="7">
                  <c:v>192</c:v>
                </c:pt>
              </c:numCache>
            </c:numRef>
          </c:val>
          <c:extLst>
            <c:ext xmlns:c16="http://schemas.microsoft.com/office/drawing/2014/chart" uri="{C3380CC4-5D6E-409C-BE32-E72D297353CC}">
              <c16:uniqueId val="{00000000-4AE6-4C6C-9535-A544A6E26CCD}"/>
            </c:ext>
          </c:extLst>
        </c:ser>
        <c:ser>
          <c:idx val="0"/>
          <c:order val="1"/>
          <c:tx>
            <c:strRef>
              <c:f>Sheet1!$C$1</c:f>
              <c:strCache>
                <c:ptCount val="1"/>
                <c:pt idx="0">
                  <c:v>Inner Regional Australia</c:v>
                </c:pt>
              </c:strCache>
            </c:strRef>
          </c:tx>
          <c:spPr>
            <a:solidFill>
              <a:schemeClr val="accent2"/>
            </a:solidFill>
            <a:ln>
              <a:noFill/>
            </a:ln>
            <a:effectLst/>
          </c:spPr>
          <c:invertIfNegative val="0"/>
          <c:cat>
            <c:strRef>
              <c:f>Sheet1!$A$2:$A$9</c:f>
              <c:strCache>
                <c:ptCount val="8"/>
                <c:pt idx="0">
                  <c:v>NSW (n=6458)</c:v>
                </c:pt>
                <c:pt idx="1">
                  <c:v>VIC (n=5247)</c:v>
                </c:pt>
                <c:pt idx="2">
                  <c:v>QLD (n=6353)</c:v>
                </c:pt>
                <c:pt idx="3">
                  <c:v>SA   (n=954)</c:v>
                </c:pt>
                <c:pt idx="4">
                  <c:v>WA (n=2822)</c:v>
                </c:pt>
                <c:pt idx="5">
                  <c:v>TAS (n=916)</c:v>
                </c:pt>
                <c:pt idx="6">
                  <c:v>NT   (n=722)</c:v>
                </c:pt>
                <c:pt idx="7">
                  <c:v>ACT (n=195)</c:v>
                </c:pt>
              </c:strCache>
            </c:strRef>
          </c:cat>
          <c:val>
            <c:numRef>
              <c:f>Sheet1!$C$2:$C$9</c:f>
              <c:numCache>
                <c:formatCode>General</c:formatCode>
                <c:ptCount val="8"/>
                <c:pt idx="0">
                  <c:v>1413</c:v>
                </c:pt>
                <c:pt idx="1">
                  <c:v>1073</c:v>
                </c:pt>
                <c:pt idx="2">
                  <c:v>1503</c:v>
                </c:pt>
                <c:pt idx="3">
                  <c:v>154</c:v>
                </c:pt>
                <c:pt idx="4">
                  <c:v>499</c:v>
                </c:pt>
                <c:pt idx="5">
                  <c:v>504</c:v>
                </c:pt>
                <c:pt idx="6">
                  <c:v>0</c:v>
                </c:pt>
                <c:pt idx="7">
                  <c:v>3</c:v>
                </c:pt>
              </c:numCache>
            </c:numRef>
          </c:val>
          <c:extLst>
            <c:ext xmlns:c16="http://schemas.microsoft.com/office/drawing/2014/chart" uri="{C3380CC4-5D6E-409C-BE32-E72D297353CC}">
              <c16:uniqueId val="{00000001-4AE6-4C6C-9535-A544A6E26CCD}"/>
            </c:ext>
          </c:extLst>
        </c:ser>
        <c:ser>
          <c:idx val="2"/>
          <c:order val="2"/>
          <c:tx>
            <c:strRef>
              <c:f>Sheet1!$D$1</c:f>
              <c:strCache>
                <c:ptCount val="1"/>
                <c:pt idx="0">
                  <c:v>Outer Regional Australia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Sheet1!$A$2:$A$9</c:f>
              <c:strCache>
                <c:ptCount val="8"/>
                <c:pt idx="0">
                  <c:v>NSW (n=6458)</c:v>
                </c:pt>
                <c:pt idx="1">
                  <c:v>VIC (n=5247)</c:v>
                </c:pt>
                <c:pt idx="2">
                  <c:v>QLD (n=6353)</c:v>
                </c:pt>
                <c:pt idx="3">
                  <c:v>SA   (n=954)</c:v>
                </c:pt>
                <c:pt idx="4">
                  <c:v>WA (n=2822)</c:v>
                </c:pt>
                <c:pt idx="5">
                  <c:v>TAS (n=916)</c:v>
                </c:pt>
                <c:pt idx="6">
                  <c:v>NT   (n=722)</c:v>
                </c:pt>
                <c:pt idx="7">
                  <c:v>ACT (n=195)</c:v>
                </c:pt>
              </c:strCache>
            </c:strRef>
          </c:cat>
          <c:val>
            <c:numRef>
              <c:f>Sheet1!$D$2:$D$9</c:f>
              <c:numCache>
                <c:formatCode>General</c:formatCode>
                <c:ptCount val="8"/>
                <c:pt idx="0">
                  <c:v>481</c:v>
                </c:pt>
                <c:pt idx="1">
                  <c:v>539</c:v>
                </c:pt>
                <c:pt idx="2">
                  <c:v>2111</c:v>
                </c:pt>
                <c:pt idx="3">
                  <c:v>336</c:v>
                </c:pt>
                <c:pt idx="4">
                  <c:v>516</c:v>
                </c:pt>
                <c:pt idx="5">
                  <c:v>370</c:v>
                </c:pt>
                <c:pt idx="6">
                  <c:v>250</c:v>
                </c:pt>
                <c:pt idx="7">
                  <c:v>0</c:v>
                </c:pt>
              </c:numCache>
            </c:numRef>
          </c:val>
          <c:extLst>
            <c:ext xmlns:c16="http://schemas.microsoft.com/office/drawing/2014/chart" uri="{C3380CC4-5D6E-409C-BE32-E72D297353CC}">
              <c16:uniqueId val="{00000002-4AE6-4C6C-9535-A544A6E26CCD}"/>
            </c:ext>
          </c:extLst>
        </c:ser>
        <c:ser>
          <c:idx val="3"/>
          <c:order val="3"/>
          <c:tx>
            <c:strRef>
              <c:f>Sheet1!$E$1</c:f>
              <c:strCache>
                <c:ptCount val="1"/>
                <c:pt idx="0">
                  <c:v>Remote Australia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Sheet1!$A$2:$A$9</c:f>
              <c:strCache>
                <c:ptCount val="8"/>
                <c:pt idx="0">
                  <c:v>NSW (n=6458)</c:v>
                </c:pt>
                <c:pt idx="1">
                  <c:v>VIC (n=5247)</c:v>
                </c:pt>
                <c:pt idx="2">
                  <c:v>QLD (n=6353)</c:v>
                </c:pt>
                <c:pt idx="3">
                  <c:v>SA   (n=954)</c:v>
                </c:pt>
                <c:pt idx="4">
                  <c:v>WA (n=2822)</c:v>
                </c:pt>
                <c:pt idx="5">
                  <c:v>TAS (n=916)</c:v>
                </c:pt>
                <c:pt idx="6">
                  <c:v>NT   (n=722)</c:v>
                </c:pt>
                <c:pt idx="7">
                  <c:v>ACT (n=195)</c:v>
                </c:pt>
              </c:strCache>
            </c:strRef>
          </c:cat>
          <c:val>
            <c:numRef>
              <c:f>Sheet1!$E$2:$E$9</c:f>
              <c:numCache>
                <c:formatCode>General</c:formatCode>
                <c:ptCount val="8"/>
                <c:pt idx="0">
                  <c:v>30</c:v>
                </c:pt>
                <c:pt idx="1">
                  <c:v>0</c:v>
                </c:pt>
                <c:pt idx="2">
                  <c:v>59</c:v>
                </c:pt>
                <c:pt idx="3">
                  <c:v>26</c:v>
                </c:pt>
                <c:pt idx="4">
                  <c:v>148</c:v>
                </c:pt>
                <c:pt idx="5">
                  <c:v>0</c:v>
                </c:pt>
                <c:pt idx="6">
                  <c:v>265</c:v>
                </c:pt>
                <c:pt idx="7">
                  <c:v>0</c:v>
                </c:pt>
              </c:numCache>
            </c:numRef>
          </c:val>
          <c:extLst>
            <c:ext xmlns:c16="http://schemas.microsoft.com/office/drawing/2014/chart" uri="{C3380CC4-5D6E-409C-BE32-E72D297353CC}">
              <c16:uniqueId val="{00000003-4AE6-4C6C-9535-A544A6E26CCD}"/>
            </c:ext>
          </c:extLst>
        </c:ser>
        <c:ser>
          <c:idx val="4"/>
          <c:order val="4"/>
          <c:tx>
            <c:strRef>
              <c:f>Sheet1!$F$1</c:f>
              <c:strCache>
                <c:ptCount val="1"/>
                <c:pt idx="0">
                  <c:v>Very Remote Australia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Sheet1!$A$2:$A$9</c:f>
              <c:strCache>
                <c:ptCount val="8"/>
                <c:pt idx="0">
                  <c:v>NSW (n=6458)</c:v>
                </c:pt>
                <c:pt idx="1">
                  <c:v>VIC (n=5247)</c:v>
                </c:pt>
                <c:pt idx="2">
                  <c:v>QLD (n=6353)</c:v>
                </c:pt>
                <c:pt idx="3">
                  <c:v>SA   (n=954)</c:v>
                </c:pt>
                <c:pt idx="4">
                  <c:v>WA (n=2822)</c:v>
                </c:pt>
                <c:pt idx="5">
                  <c:v>TAS (n=916)</c:v>
                </c:pt>
                <c:pt idx="6">
                  <c:v>NT   (n=722)</c:v>
                </c:pt>
                <c:pt idx="7">
                  <c:v>ACT (n=195)</c:v>
                </c:pt>
              </c:strCache>
            </c:strRef>
          </c:cat>
          <c:val>
            <c:numRef>
              <c:f>Sheet1!$F$2:$F$9</c:f>
              <c:numCache>
                <c:formatCode>General</c:formatCode>
                <c:ptCount val="8"/>
                <c:pt idx="0">
                  <c:v>3</c:v>
                </c:pt>
                <c:pt idx="1">
                  <c:v>0</c:v>
                </c:pt>
                <c:pt idx="2">
                  <c:v>100</c:v>
                </c:pt>
                <c:pt idx="3">
                  <c:v>0</c:v>
                </c:pt>
                <c:pt idx="4">
                  <c:v>297</c:v>
                </c:pt>
                <c:pt idx="5">
                  <c:v>0</c:v>
                </c:pt>
                <c:pt idx="6">
                  <c:v>96</c:v>
                </c:pt>
                <c:pt idx="7">
                  <c:v>0</c:v>
                </c:pt>
              </c:numCache>
            </c:numRef>
          </c:val>
          <c:extLst>
            <c:ext xmlns:c16="http://schemas.microsoft.com/office/drawing/2014/chart" uri="{C3380CC4-5D6E-409C-BE32-E72D297353CC}">
              <c16:uniqueId val="{00000004-4AE6-4C6C-9535-A544A6E26CCD}"/>
            </c:ext>
          </c:extLst>
        </c:ser>
        <c:dLbls>
          <c:showLegendKey val="0"/>
          <c:showVal val="0"/>
          <c:showCatName val="0"/>
          <c:showSerName val="0"/>
          <c:showPercent val="0"/>
          <c:showBubbleSize val="0"/>
        </c:dLbls>
        <c:gapWidth val="60"/>
        <c:overlap val="100"/>
        <c:axId val="370731336"/>
        <c:axId val="370728592"/>
      </c:barChart>
      <c:catAx>
        <c:axId val="370731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370728592"/>
        <c:crosses val="autoZero"/>
        <c:auto val="1"/>
        <c:lblAlgn val="ctr"/>
        <c:lblOffset val="100"/>
        <c:noMultiLvlLbl val="0"/>
      </c:catAx>
      <c:valAx>
        <c:axId val="370728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a:t>Number of jobs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37073133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Sheet1!$A$126:$B$182</cx:f>
        <cx:lvl ptCount="57">
          <cx:pt idx="0">Vic</cx:pt>
          <cx:pt idx="1">Qld</cx:pt>
          <cx:pt idx="2">SA</cx:pt>
          <cx:pt idx="3">WA</cx:pt>
          <cx:pt idx="4">Tas</cx:pt>
          <cx:pt idx="5">NT</cx:pt>
          <cx:pt idx="6">ACT</cx:pt>
          <cx:pt idx="7">NSW</cx:pt>
          <cx:pt idx="8">Qld</cx:pt>
          <cx:pt idx="9">SA</cx:pt>
          <cx:pt idx="10">WA</cx:pt>
          <cx:pt idx="11">Tas</cx:pt>
          <cx:pt idx="12">NT</cx:pt>
          <cx:pt idx="13">ACT</cx:pt>
          <cx:pt idx="14">NSW</cx:pt>
          <cx:pt idx="15">Vic</cx:pt>
          <cx:pt idx="16">SA</cx:pt>
          <cx:pt idx="17">WA</cx:pt>
          <cx:pt idx="18">Tas</cx:pt>
          <cx:pt idx="19">NT</cx:pt>
          <cx:pt idx="20">ACT</cx:pt>
          <cx:pt idx="21">NSW</cx:pt>
          <cx:pt idx="22">Vic</cx:pt>
          <cx:pt idx="23">Qld</cx:pt>
          <cx:pt idx="24">WA</cx:pt>
          <cx:pt idx="25">Tas</cx:pt>
          <cx:pt idx="26">NT</cx:pt>
          <cx:pt idx="27">ACT</cx:pt>
          <cx:pt idx="28">NSW</cx:pt>
          <cx:pt idx="29">Vic</cx:pt>
          <cx:pt idx="30">Qld</cx:pt>
          <cx:pt idx="31">SA</cx:pt>
          <cx:pt idx="32">Tas</cx:pt>
          <cx:pt idx="33">NT</cx:pt>
          <cx:pt idx="34">ACT</cx:pt>
          <cx:pt idx="35">NSW</cx:pt>
          <cx:pt idx="36">Vic</cx:pt>
          <cx:pt idx="37">Qld</cx:pt>
          <cx:pt idx="38">SA</cx:pt>
          <cx:pt idx="39">WA</cx:pt>
          <cx:pt idx="40">NT</cx:pt>
          <cx:pt idx="41">ACT</cx:pt>
          <cx:pt idx="42">NSW</cx:pt>
          <cx:pt idx="43">Vic</cx:pt>
          <cx:pt idx="44">Qld</cx:pt>
          <cx:pt idx="45">SA</cx:pt>
          <cx:pt idx="46">WA</cx:pt>
          <cx:pt idx="47">Tas</cx:pt>
          <cx:pt idx="48">ACT</cx:pt>
          <cx:pt idx="49">NSW</cx:pt>
          <cx:pt idx="50">Vic</cx:pt>
          <cx:pt idx="51">Qld</cx:pt>
          <cx:pt idx="52">SA</cx:pt>
          <cx:pt idx="53">WA</cx:pt>
          <cx:pt idx="54">Tas</cx:pt>
          <cx:pt idx="55">NT</cx:pt>
        </cx:lvl>
        <cx:lvl ptCount="57">
          <cx:pt idx="0">NSW, 69.8%</cx:pt>
          <cx:pt idx="1">NSW, 69.8%</cx:pt>
          <cx:pt idx="2">NSW, 69.8%</cx:pt>
          <cx:pt idx="3">NSW, 69.8%</cx:pt>
          <cx:pt idx="4">NSW, 69.8%</cx:pt>
          <cx:pt idx="5">NSW, 69.8%</cx:pt>
          <cx:pt idx="6">NSW, 69.8%</cx:pt>
          <cx:pt idx="7">Vic, 60.7%</cx:pt>
          <cx:pt idx="8">Vic, 60.7%</cx:pt>
          <cx:pt idx="9">Vic, 60.7%</cx:pt>
          <cx:pt idx="10">Vic, 60.7%</cx:pt>
          <cx:pt idx="11">Vic, 60.7%</cx:pt>
          <cx:pt idx="12">Vic, 60.7%</cx:pt>
          <cx:pt idx="13">Vic, 60.7%</cx:pt>
          <cx:pt idx="14">Qld, 64.2%</cx:pt>
          <cx:pt idx="15">Qld, 64.2%</cx:pt>
          <cx:pt idx="16">Qld, 64.2%</cx:pt>
          <cx:pt idx="17">Qld, 64.2%</cx:pt>
          <cx:pt idx="18">Qld, 64.2%</cx:pt>
          <cx:pt idx="19">Qld, 64.2%</cx:pt>
          <cx:pt idx="20">Qld, 64.2%</cx:pt>
          <cx:pt idx="21">SA, 24.2%</cx:pt>
          <cx:pt idx="22">SA, 24.2%</cx:pt>
          <cx:pt idx="23">SA, 24.2%</cx:pt>
          <cx:pt idx="24">SA, 24.2%</cx:pt>
          <cx:pt idx="25">SA, 24.2%</cx:pt>
          <cx:pt idx="26">SA, 24.2%</cx:pt>
          <cx:pt idx="27">SA, 24.2%</cx:pt>
          <cx:pt idx="28">WA, 27.6%</cx:pt>
          <cx:pt idx="29">WA, 27.6%</cx:pt>
          <cx:pt idx="30">WA, 27.6%</cx:pt>
          <cx:pt idx="31">WA, 27.6%</cx:pt>
          <cx:pt idx="32">WA, 27.6%</cx:pt>
          <cx:pt idx="33">WA, 27.6%</cx:pt>
          <cx:pt idx="34">WA, 27.6%</cx:pt>
          <cx:pt idx="35">Tas, 17.2%</cx:pt>
          <cx:pt idx="36">Tas, 17.2%</cx:pt>
          <cx:pt idx="37">Tas, 17.2%</cx:pt>
          <cx:pt idx="38">Tas, 17.2%</cx:pt>
          <cx:pt idx="39">Tas, 17.2%</cx:pt>
          <cx:pt idx="40">Tas, 17.2%</cx:pt>
          <cx:pt idx="41">Tas, 17.2%</cx:pt>
          <cx:pt idx="42">NT, 19.3%</cx:pt>
          <cx:pt idx="43">NT, 19.3%</cx:pt>
          <cx:pt idx="44">NT, 19.3%</cx:pt>
          <cx:pt idx="45">NT, 19.3%</cx:pt>
          <cx:pt idx="46">NT, 19.3%</cx:pt>
          <cx:pt idx="47">NT, 19.3%</cx:pt>
          <cx:pt idx="48">NT, 19.3%</cx:pt>
          <cx:pt idx="49">ACT, 16.0%</cx:pt>
          <cx:pt idx="50">ACT, 16.0%</cx:pt>
          <cx:pt idx="51">ACT, 16.0%</cx:pt>
          <cx:pt idx="52">ACT, 16.0%</cx:pt>
          <cx:pt idx="53">ACT, 16.0%</cx:pt>
          <cx:pt idx="54">ACT, 16.0%</cx:pt>
          <cx:pt idx="55">ACT, 16.0%</cx:pt>
        </cx:lvl>
      </cx:strDim>
      <cx:numDim type="size">
        <cx:f>Sheet1!$C$126:$C$182</cx:f>
        <cx:lvl ptCount="57" formatCode="0.0%">
          <cx:pt idx="0">0.51817968566737038</cx:pt>
          <cx:pt idx="1">0.55721323011963408</cx:pt>
          <cx:pt idx="2">0.21201032136992728</cx:pt>
          <cx:pt idx="3">0.20900774102744546</cx:pt>
          <cx:pt idx="4">0.1494722026741731</cx:pt>
          <cx:pt idx="5">0.1708186722965048</cx:pt>
          <cx:pt idx="6">0.15594651653764954</cx:pt>
          <cx:pt idx="7">0.51817968566737038</cx:pt>
          <cx:pt idx="8">0.47229650480882007</cx:pt>
          <cx:pt idx="9">0.21595120806943466</cx:pt>
          <cx:pt idx="10">0.19995308468214873</cx:pt>
          <cx:pt idx="11">0.152990851513019</cx:pt>
          <cx:pt idx="12">0.16152943936195169</cx:pt>
          <cx:pt idx="13">0.14299788881069669</cx:pt>
          <cx:pt idx="14">0.55721323011963408</cx:pt>
          <cx:pt idx="15">0.47229650480882007</cx:pt>
          <cx:pt idx="16">0.19235280319024162</cx:pt>
          <cx:pt idx="17">0.19122683556181094</cx:pt>
          <cx:pt idx="18">0.13863476425052779</cx:pt>
          <cx:pt idx="19">0.16453201970443349</cx:pt>
          <cx:pt idx="20">0.13915083274689186</cx:pt>
          <cx:pt idx="21">0.21201032136992728</cx:pt>
          <cx:pt idx="22">0.21595120806943466</cx:pt>
          <cx:pt idx="23">0.19235280319024162</cx:pt>
          <cx:pt idx="24">0.12376260849167253</cx:pt>
          <cx:pt idx="25">0.072859488623035415</cx:pt>
          <cx:pt idx="26">0.10865587614356087</cx:pt>
          <cx:pt idx="27">0.078442411447337559</cx:pt>
          <cx:pt idx="28">0.20900774102744546</cx:pt>
          <cx:pt idx="29">0.19995308468214873</cx:pt>
          <cx:pt idx="30">0.19122683556181094</cx:pt>
          <cx:pt idx="31">0.12376260849167253</cx:pt>
          <cx:pt idx="32">0.071311283133943235</cx:pt>
          <cx:pt idx="33">0.11057940417546329</cx:pt>
          <cx:pt idx="34">0.062256626788646491</cx:pt>
          <cx:pt idx="35">0.1494722026741731</cx:pt>
          <cx:pt idx="36">0.152990851513019</cx:pt>
          <cx:pt idx="37">0.13863476425052779</cx:pt>
          <cx:pt idx="38">0.072859488623035415</cx:pt>
          <cx:pt idx="39">0.071311283133943235</cx:pt>
          <cx:pt idx="40">0.060333098756744079</cx:pt>
          <cx:pt idx="41">0.050058644147314098</cx:pt>
          <cx:pt idx="42">0.1708186722965048</cx:pt>
          <cx:pt idx="43">0.16152943936195169</cx:pt>
          <cx:pt idx="44">0.16453201970443349</cx:pt>
          <cx:pt idx="45">0.10865587614356087</cx:pt>
          <cx:pt idx="46">0.11057940417546329</cx:pt>
          <cx:pt idx="47">0.060333098756744079</cx:pt>
          <cx:pt idx="48">0.06047384471029791</cx:pt>
          <cx:pt idx="49">0.15594651653764954</cx:pt>
          <cx:pt idx="50">0.14299788881069669</cx:pt>
          <cx:pt idx="51">0.13915083274689186</cx:pt>
          <cx:pt idx="52">0.078442411447337559</cx:pt>
          <cx:pt idx="53">0.062256626788646491</cx:pt>
          <cx:pt idx="54">0.050058644147314098</cx:pt>
          <cx:pt idx="55">0.06047384471029791</cx:pt>
        </cx:lvl>
      </cx:numDim>
    </cx:data>
  </cx:chartData>
  <cx:chart>
    <cx:plotArea>
      <cx:plotAreaRegion>
        <cx:series layoutId="treemap" uniqueId="{F7E1CD3F-E765-4753-AA63-ED357DD2855A}">
          <cx:dataLabels>
            <cx:txPr>
              <a:bodyPr vertOverflow="overflow" horzOverflow="overflow" wrap="square" lIns="0" tIns="0" rIns="0" bIns="0"/>
              <a:lstStyle/>
              <a:p>
                <a:pPr algn="ctr" rtl="0">
                  <a:defRPr sz="800" b="0" i="0">
                    <a:solidFill>
                      <a:srgbClr val="FFFFFF"/>
                    </a:solidFill>
                    <a:latin typeface="Calibri" panose="020F0502020204030204" pitchFamily="34" charset="0"/>
                    <a:ea typeface="Calibri" panose="020F0502020204030204" pitchFamily="34" charset="0"/>
                    <a:cs typeface="Calibri" panose="020F0502020204030204" pitchFamily="34" charset="0"/>
                  </a:defRPr>
                </a:pPr>
                <a:endParaRPr lang="en-AU" sz="800">
                  <a:latin typeface="Calibri" panose="020F0502020204030204" pitchFamily="34" charset="0"/>
                  <a:cs typeface="Calibri" panose="020F0502020204030204" pitchFamily="34" charset="0"/>
                </a:endParaRPr>
              </a:p>
            </cx:txPr>
            <cx:visibility seriesName="0" categoryName="1" value="1"/>
            <cx:separator>, </cx:separator>
          </cx:dataLabels>
          <cx:dataId val="0"/>
          <cx:layoutPr>
            <cx:parentLabelLayout val="banner"/>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Reversed" id="21">
  <a:schemeClr val="accent1"/>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withinLinear" id="15">
  <a:schemeClr val="accent2"/>
</cs:colorStyle>
</file>

<file path=word/charts/colors32.xml><?xml version="1.0" encoding="utf-8"?>
<cs:colorStyle xmlns:cs="http://schemas.microsoft.com/office/drawing/2012/chartStyle" xmlns:a="http://schemas.openxmlformats.org/drawingml/2006/main" meth="withinLinear" id="15">
  <a:schemeClr val="accent2"/>
</cs:colorStyle>
</file>

<file path=word/charts/colors33.xml><?xml version="1.0" encoding="utf-8"?>
<cs:colorStyle xmlns:cs="http://schemas.microsoft.com/office/drawing/2012/chartStyle" xmlns:a="http://schemas.openxmlformats.org/drawingml/2006/main" meth="withinLinear" id="15">
  <a:schemeClr val="accent2"/>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5">
  <a:schemeClr val="accent2"/>
</cs:colorStyle>
</file>

<file path=word/charts/colors36.xml><?xml version="1.0" encoding="utf-8"?>
<cs:colorStyle xmlns:cs="http://schemas.microsoft.com/office/drawing/2012/chartStyle" xmlns:a="http://schemas.openxmlformats.org/drawingml/2006/main" meth="withinLinear" id="15">
  <a:schemeClr val="accent2"/>
</cs:colorStyle>
</file>

<file path=word/charts/colors37.xml><?xml version="1.0" encoding="utf-8"?>
<cs:colorStyle xmlns:cs="http://schemas.microsoft.com/office/drawing/2012/chartStyle" xmlns:a="http://schemas.openxmlformats.org/drawingml/2006/main" meth="withinLinear" id="15">
  <a:schemeClr val="accent2"/>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5">
  <a:schemeClr val="accent2"/>
</cs:colorStyle>
</file>

<file path=word/charts/colors44.xml><?xml version="1.0" encoding="utf-8"?>
<cs:colorStyle xmlns:cs="http://schemas.microsoft.com/office/drawing/2012/chartStyle" xmlns:a="http://schemas.openxmlformats.org/drawingml/2006/main" meth="withinLinear" id="15">
  <a:schemeClr val="accent2"/>
</cs:colorStyle>
</file>

<file path=word/charts/colors45.xml><?xml version="1.0" encoding="utf-8"?>
<cs:colorStyle xmlns:cs="http://schemas.microsoft.com/office/drawing/2012/chartStyle" xmlns:a="http://schemas.openxmlformats.org/drawingml/2006/main" meth="withinLinear" id="15">
  <a:schemeClr val="accent2"/>
</cs:colorStyle>
</file>

<file path=word/charts/colors46.xml><?xml version="1.0" encoding="utf-8"?>
<cs:colorStyle xmlns:cs="http://schemas.microsoft.com/office/drawing/2012/chartStyle" xmlns:a="http://schemas.openxmlformats.org/drawingml/2006/main" meth="withinLinear" id="15">
  <a:schemeClr val="accent2"/>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50.xml><?xml version="1.0" encoding="utf-8"?>
<cs:colorStyle xmlns:cs="http://schemas.microsoft.com/office/drawing/2012/chartStyle" xmlns:a="http://schemas.openxmlformats.org/drawingml/2006/main" meth="withinLinear" id="15">
  <a:schemeClr val="accent2"/>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 id="15">
  <a:schemeClr val="accent2"/>
</cs:colorStyle>
</file>

<file path=word/charts/colors54.xml><?xml version="1.0" encoding="utf-8"?>
<cs:colorStyle xmlns:cs="http://schemas.microsoft.com/office/drawing/2012/chartStyle" xmlns:a="http://schemas.openxmlformats.org/drawingml/2006/main" meth="withinLinear" id="15">
  <a:schemeClr val="accent2"/>
</cs:colorStyle>
</file>

<file path=word/charts/colors55.xml><?xml version="1.0" encoding="utf-8"?>
<cs:colorStyle xmlns:cs="http://schemas.microsoft.com/office/drawing/2012/chartStyle" xmlns:a="http://schemas.openxmlformats.org/drawingml/2006/main" meth="withinLinear" id="15">
  <a:schemeClr val="accent2"/>
</cs:colorStyle>
</file>

<file path=word/charts/colors56.xml><?xml version="1.0" encoding="utf-8"?>
<cs:colorStyle xmlns:cs="http://schemas.microsoft.com/office/drawing/2012/chartStyle" xmlns:a="http://schemas.openxmlformats.org/drawingml/2006/main" meth="withinLinear" id="15">
  <a:schemeClr val="accent2"/>
</cs:colorStyle>
</file>

<file path=word/charts/colors57.xml><?xml version="1.0" encoding="utf-8"?>
<cs:colorStyle xmlns:cs="http://schemas.microsoft.com/office/drawing/2012/chartStyle" xmlns:a="http://schemas.openxmlformats.org/drawingml/2006/main" meth="withinLinear" id="15">
  <a:schemeClr val="accent2"/>
</cs:colorStyle>
</file>

<file path=word/charts/colors58.xml><?xml version="1.0" encoding="utf-8"?>
<cs:colorStyle xmlns:cs="http://schemas.microsoft.com/office/drawing/2012/chartStyle" xmlns:a="http://schemas.openxmlformats.org/drawingml/2006/main" meth="withinLinear" id="15">
  <a:schemeClr val="accent2"/>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withinLinear" id="15">
  <a:schemeClr val="accent2"/>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withinLinear" id="15">
  <a:schemeClr val="accent2"/>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AITI">
      <a:dk1>
        <a:sysClr val="windowText" lastClr="000000"/>
      </a:dk1>
      <a:lt1>
        <a:sysClr val="window" lastClr="FFFFFF"/>
      </a:lt1>
      <a:dk2>
        <a:srgbClr val="242852"/>
      </a:dk2>
      <a:lt2>
        <a:srgbClr val="ACCBF9"/>
      </a:lt2>
      <a:accent1>
        <a:srgbClr val="1A5D9B"/>
      </a:accent1>
      <a:accent2>
        <a:srgbClr val="FDD969"/>
      </a:accent2>
      <a:accent3>
        <a:srgbClr val="22233C"/>
      </a:accent3>
      <a:accent4>
        <a:srgbClr val="B2B2B2"/>
      </a:accent4>
      <a:accent5>
        <a:srgbClr val="5AA2AE"/>
      </a:accent5>
      <a:accent6>
        <a:srgbClr val="9999FF"/>
      </a:accent6>
      <a:hlink>
        <a:srgbClr val="9454C3"/>
      </a:hlink>
      <a:folHlink>
        <a:srgbClr val="0070C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Operational-Document-BG" ma:contentTypeID="0x01010004862C10171BD149BCA86DC4F35484800700AE74D64BEBE6FB40BFA6D675564D1036" ma:contentTypeVersion="38" ma:contentTypeDescription="" ma:contentTypeScope="" ma:versionID="dac77cb2289127967a8e2b68bf696959">
  <xsd:schema xmlns:xsd="http://www.w3.org/2001/XMLSchema" xmlns:xs="http://www.w3.org/2001/XMLSchema" xmlns:p="http://schemas.microsoft.com/office/2006/metadata/properties" xmlns:ns2="2124141f-bf93-4eca-8662-34a4511e35c8" xmlns:ns3="29ff9cd8-bf2e-4523-8fd5-254dd68a43c6" targetNamespace="http://schemas.microsoft.com/office/2006/metadata/properties" ma:root="true" ma:fieldsID="5cadcac13fc085cce483e77e5dae4acb" ns2:_="" ns3:_="">
    <xsd:import namespace="2124141f-bf93-4eca-8662-34a4511e35c8"/>
    <xsd:import namespace="29ff9cd8-bf2e-4523-8fd5-254dd68a43c6"/>
    <xsd:element name="properties">
      <xsd:complexType>
        <xsd:sequence>
          <xsd:element name="documentManagement">
            <xsd:complexType>
              <xsd:all>
                <xsd:element ref="ns2:Operational-Doc-Desc" minOccurs="0"/>
                <xsd:element ref="ns2:Operational-Site-Doc-URL" minOccurs="0"/>
                <xsd:element ref="ns2:nf7721a2bf6741678a34670e75d66499" minOccurs="0"/>
                <xsd:element ref="ns2:TaxCatchAll" minOccurs="0"/>
                <xsd:element ref="ns2:TaxCatchAllLabel" minOccurs="0"/>
                <xsd:element ref="ns2:Tradestart-Access" minOccurs="0"/>
                <xsd:element ref="ns2:Record_x0020_I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4141f-bf93-4eca-8662-34a4511e35c8" elementFormDefault="qualified">
    <xsd:import namespace="http://schemas.microsoft.com/office/2006/documentManagement/types"/>
    <xsd:import namespace="http://schemas.microsoft.com/office/infopath/2007/PartnerControls"/>
    <xsd:element name="Operational-Doc-Desc" ma:index="8" nillable="true" ma:displayName="Operational Description" ma:internalName="Operational_x002d_Doc_x002d_Desc" ma:readOnly="false">
      <xsd:simpleType>
        <xsd:restriction base="dms:Note">
          <xsd:maxLength value="255"/>
        </xsd:restriction>
      </xsd:simpleType>
    </xsd:element>
    <xsd:element name="Operational-Site-Doc-URL" ma:index="9" nillable="true" ma:displayName="Operational-Site-Doc-URL" ma:description="This column will store which site the document belongs to and using this information we can do routing on Record Centre" ma:hidden="true" ma:internalName="Operational_x002d_Site_x002d_Doc_x002d_URL" ma:readOnly="false">
      <xsd:simpleType>
        <xsd:restriction base="dms:Text">
          <xsd:maxLength value="255"/>
        </xsd:restriction>
      </xsd:simpleType>
    </xsd:element>
    <xsd:element name="nf7721a2bf6741678a34670e75d66499" ma:index="10" nillable="true" ma:taxonomy="true" ma:internalName="nf7721a2bf6741678a34670e75d66499" ma:taxonomyFieldName="Protective_x0020_Markings" ma:displayName="Protective Markings" ma:default="" ma:fieldId="{7f7721a2-bf67-4167-8a34-670e75d66499}" ma:sspId="66d92cf1-08e1-41e5-92d3-0cdcdb1e2433" ma:termSetId="093f376a-84bf-4617-8e0b-bd9905d38462"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626f64b0-2248-4865-bfbc-6e6cbd80c93c}" ma:internalName="TaxCatchAll" ma:showField="CatchAllData"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26f64b0-2248-4865-bfbc-6e6cbd80c93c}" ma:internalName="TaxCatchAllLabel" ma:readOnly="true" ma:showField="CatchAllDataLabel"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radestart-Access" ma:index="14" nillable="true" ma:displayName="Tradestart-Access" ma:default="1" ma:internalName="Tradestart_x002d_Access">
      <xsd:simpleType>
        <xsd:restriction base="dms:Boolean"/>
      </xsd:simpleType>
    </xsd:element>
    <xsd:element name="Record_x0020_ID" ma:index="15" nillable="true" ma:displayName="Record ID" ma:internalName="Record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f9cd8-bf2e-4523-8fd5-254dd68a43c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nf7721a2bf6741678a34670e75d66499 xmlns="2124141f-bf93-4eca-8662-34a4511e35c8">
      <Terms xmlns="http://schemas.microsoft.com/office/infopath/2007/PartnerControls"/>
    </nf7721a2bf6741678a34670e75d66499>
    <Record_x0020_ID xmlns="2124141f-bf93-4eca-8662-34a4511e35c8" xsi:nil="true"/>
    <Operational-Site-Doc-URL xmlns="2124141f-bf93-4eca-8662-34a4511e35c8" xsi:nil="true"/>
    <Tradestart-Access xmlns="2124141f-bf93-4eca-8662-34a4511e35c8">true</Tradestart-Access>
    <TaxCatchAll xmlns="2124141f-bf93-4eca-8662-34a4511e35c8"/>
    <Operational-Doc-Desc xmlns="2124141f-bf93-4eca-8662-34a4511e35c8" xsi:nil="true"/>
    <_dlc_DocId xmlns="29ff9cd8-bf2e-4523-8fd5-254dd68a43c6">HUB01-1414128228-25263</_dlc_DocId>
    <_dlc_DocIdUrl xmlns="29ff9cd8-bf2e-4523-8fd5-254dd68a43c6">
      <Url>http://thehub/ws/ao/ties/_layouts/15/DocIdRedir.aspx?ID=HUB01-1414128228-25263</Url>
      <Description>HUB01-1414128228-25263</Description>
    </_dlc_DocIdUrl>
  </documentManagement>
</p:properties>
</file>

<file path=customXml/item6.xml><?xml version="1.0" encoding="utf-8"?>
<?mso-contentType ?>
<SharedContentType xmlns="Microsoft.SharePoint.Taxonomy.ContentTypeSync" SourceId="66d92cf1-08e1-41e5-92d3-0cdcdb1e2433" ContentTypeId="0x01010004862C10171BD149BCA86DC4F354848007" PreviousValue="false"/>
</file>

<file path=customXml/itemProps1.xml><?xml version="1.0" encoding="utf-8"?>
<ds:datastoreItem xmlns:ds="http://schemas.openxmlformats.org/officeDocument/2006/customXml" ds:itemID="{E76920AF-7346-4677-A0CB-0029A84EF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4141f-bf93-4eca-8662-34a4511e35c8"/>
    <ds:schemaRef ds:uri="29ff9cd8-bf2e-4523-8fd5-254dd68a4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2F79B-3717-4664-9C3A-E263A10B6E46}">
  <ds:schemaRefs>
    <ds:schemaRef ds:uri="http://schemas.microsoft.com/sharepoint/events"/>
  </ds:schemaRefs>
</ds:datastoreItem>
</file>

<file path=customXml/itemProps3.xml><?xml version="1.0" encoding="utf-8"?>
<ds:datastoreItem xmlns:ds="http://schemas.openxmlformats.org/officeDocument/2006/customXml" ds:itemID="{F77C4D4C-10FB-465F-A861-127AB03F1F1E}">
  <ds:schemaRefs>
    <ds:schemaRef ds:uri="http://schemas.microsoft.com/sharepoint/v3/contenttype/forms"/>
  </ds:schemaRefs>
</ds:datastoreItem>
</file>

<file path=customXml/itemProps4.xml><?xml version="1.0" encoding="utf-8"?>
<ds:datastoreItem xmlns:ds="http://schemas.openxmlformats.org/officeDocument/2006/customXml" ds:itemID="{F0EDDFD5-46D8-41A3-8234-3DF028FD1B8A}">
  <ds:schemaRefs>
    <ds:schemaRef ds:uri="http://schemas.openxmlformats.org/officeDocument/2006/bibliography"/>
  </ds:schemaRefs>
</ds:datastoreItem>
</file>

<file path=customXml/itemProps5.xml><?xml version="1.0" encoding="utf-8"?>
<ds:datastoreItem xmlns:ds="http://schemas.openxmlformats.org/officeDocument/2006/customXml" ds:itemID="{82D36642-DC9C-4076-8D8E-363B23603147}">
  <ds:schemaRefs>
    <ds:schemaRef ds:uri="http://schemas.microsoft.com/office/2006/metadata/properties"/>
    <ds:schemaRef ds:uri="http://schemas.microsoft.com/office/infopath/2007/PartnerControls"/>
    <ds:schemaRef ds:uri="2124141f-bf93-4eca-8662-34a4511e35c8"/>
    <ds:schemaRef ds:uri="29ff9cd8-bf2e-4523-8fd5-254dd68a43c6"/>
  </ds:schemaRefs>
</ds:datastoreItem>
</file>

<file path=customXml/itemProps6.xml><?xml version="1.0" encoding="utf-8"?>
<ds:datastoreItem xmlns:ds="http://schemas.openxmlformats.org/officeDocument/2006/customXml" ds:itemID="{31E89A9F-3ABD-4C28-A12B-91F8768ABA5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41795</Words>
  <Characters>238237</Characters>
  <Application>Microsoft Office Word</Application>
  <DocSecurity>0</DocSecurity>
  <Lines>1985</Lines>
  <Paragraphs>558</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279474</CharactersWithSpaces>
  <SharedDoc>false</SharedDoc>
  <HLinks>
    <vt:vector size="1056" baseType="variant">
      <vt:variant>
        <vt:i4>2555943</vt:i4>
      </vt:variant>
      <vt:variant>
        <vt:i4>1991</vt:i4>
      </vt:variant>
      <vt:variant>
        <vt:i4>0</vt:i4>
      </vt:variant>
      <vt:variant>
        <vt:i4>5</vt:i4>
      </vt:variant>
      <vt:variant>
        <vt:lpwstr>https://minister.homeaffairs.gov.au/davidcoleman/pages/coronavirus-and-temporary-visa-holders.aspx</vt:lpwstr>
      </vt:variant>
      <vt:variant>
        <vt:lpwstr/>
      </vt:variant>
      <vt:variant>
        <vt:i4>82</vt:i4>
      </vt:variant>
      <vt:variant>
        <vt:i4>1988</vt:i4>
      </vt:variant>
      <vt:variant>
        <vt:i4>0</vt:i4>
      </vt:variant>
      <vt:variant>
        <vt:i4>5</vt:i4>
      </vt:variant>
      <vt:variant>
        <vt:lpwstr>https://www.aph.gov.au/About_Parliament/House_of_Representatives/About_the_House_News/Media_Releases/Review_of_the_Working_Holiday_Maker_Program_and_its_role_in_the_economic_recovery</vt:lpwstr>
      </vt:variant>
      <vt:variant>
        <vt:lpwstr/>
      </vt:variant>
      <vt:variant>
        <vt:i4>2162806</vt:i4>
      </vt:variant>
      <vt:variant>
        <vt:i4>1985</vt:i4>
      </vt:variant>
      <vt:variant>
        <vt:i4>0</vt:i4>
      </vt:variant>
      <vt:variant>
        <vt:i4>5</vt:i4>
      </vt:variant>
      <vt:variant>
        <vt:lpwstr>https://www.homeaffairs.gov.au/research-and-statistics/statistics/visa-statistics/visit</vt:lpwstr>
      </vt:variant>
      <vt:variant>
        <vt:lpwstr/>
      </vt:variant>
      <vt:variant>
        <vt:i4>7864355</vt:i4>
      </vt:variant>
      <vt:variant>
        <vt:i4>1982</vt:i4>
      </vt:variant>
      <vt:variant>
        <vt:i4>0</vt:i4>
      </vt:variant>
      <vt:variant>
        <vt:i4>5</vt:i4>
      </vt:variant>
      <vt:variant>
        <vt:lpwstr>https://data.gov.au/data/dataset/visa-working-holiday-maker</vt:lpwstr>
      </vt:variant>
      <vt:variant>
        <vt:lpwstr/>
      </vt:variant>
      <vt:variant>
        <vt:i4>3211373</vt:i4>
      </vt:variant>
      <vt:variant>
        <vt:i4>1979</vt:i4>
      </vt:variant>
      <vt:variant>
        <vt:i4>0</vt:i4>
      </vt:variant>
      <vt:variant>
        <vt:i4>5</vt:i4>
      </vt:variant>
      <vt:variant>
        <vt:lpwstr>https://immi.homeaffairs.gov.au/what-we-do/whm-program/latest-news</vt:lpwstr>
      </vt:variant>
      <vt:variant>
        <vt:lpwstr/>
      </vt:variant>
      <vt:variant>
        <vt:i4>6357035</vt:i4>
      </vt:variant>
      <vt:variant>
        <vt:i4>1976</vt:i4>
      </vt:variant>
      <vt:variant>
        <vt:i4>0</vt:i4>
      </vt:variant>
      <vt:variant>
        <vt:i4>5</vt:i4>
      </vt:variant>
      <vt:variant>
        <vt:lpwstr>https://immi.homeaffairs.gov.au/what-we-do/whm-program</vt:lpwstr>
      </vt:variant>
      <vt:variant>
        <vt:lpwstr/>
      </vt:variant>
      <vt:variant>
        <vt:i4>7143522</vt:i4>
      </vt:variant>
      <vt:variant>
        <vt:i4>1973</vt:i4>
      </vt:variant>
      <vt:variant>
        <vt:i4>0</vt:i4>
      </vt:variant>
      <vt:variant>
        <vt:i4>5</vt:i4>
      </vt:variant>
      <vt:variant>
        <vt:lpwstr>https://immi.homeaffairs.gov.au/visas/getting-a-visa/visa-listing/work-holiday-462</vt:lpwstr>
      </vt:variant>
      <vt:variant>
        <vt:lpwstr/>
      </vt:variant>
      <vt:variant>
        <vt:i4>6815845</vt:i4>
      </vt:variant>
      <vt:variant>
        <vt:i4>1970</vt:i4>
      </vt:variant>
      <vt:variant>
        <vt:i4>0</vt:i4>
      </vt:variant>
      <vt:variant>
        <vt:i4>5</vt:i4>
      </vt:variant>
      <vt:variant>
        <vt:lpwstr>https://immi.homeaffairs.gov.au/visas/getting-a-visa/visa-listing/work-holiday-417</vt:lpwstr>
      </vt:variant>
      <vt:variant>
        <vt:lpwstr/>
      </vt:variant>
      <vt:variant>
        <vt:i4>3145762</vt:i4>
      </vt:variant>
      <vt:variant>
        <vt:i4>1967</vt:i4>
      </vt:variant>
      <vt:variant>
        <vt:i4>0</vt:i4>
      </vt:variant>
      <vt:variant>
        <vt:i4>5</vt:i4>
      </vt:variant>
      <vt:variant>
        <vt:lpwstr>https://www.abs.gov.au/</vt:lpwstr>
      </vt:variant>
      <vt:variant>
        <vt:lpwstr/>
      </vt:variant>
      <vt:variant>
        <vt:i4>1441874</vt:i4>
      </vt:variant>
      <vt:variant>
        <vt:i4>1964</vt:i4>
      </vt:variant>
      <vt:variant>
        <vt:i4>0</vt:i4>
      </vt:variant>
      <vt:variant>
        <vt:i4>5</vt:i4>
      </vt:variant>
      <vt:variant>
        <vt:lpwstr>https://www.ag.gov.au/industrial-relations/migrant-workers-taskforce</vt:lpwstr>
      </vt:variant>
      <vt:variant>
        <vt:lpwstr/>
      </vt:variant>
      <vt:variant>
        <vt:i4>4718608</vt:i4>
      </vt:variant>
      <vt:variant>
        <vt:i4>1961</vt:i4>
      </vt:variant>
      <vt:variant>
        <vt:i4>0</vt:i4>
      </vt:variant>
      <vt:variant>
        <vt:i4>5</vt:i4>
      </vt:variant>
      <vt:variant>
        <vt:lpwstr>https://www.abs.gov.au/ANZSCO</vt:lpwstr>
      </vt:variant>
      <vt:variant>
        <vt:lpwstr/>
      </vt:variant>
      <vt:variant>
        <vt:i4>1572923</vt:i4>
      </vt:variant>
      <vt:variant>
        <vt:i4>950</vt:i4>
      </vt:variant>
      <vt:variant>
        <vt:i4>0</vt:i4>
      </vt:variant>
      <vt:variant>
        <vt:i4>5</vt:i4>
      </vt:variant>
      <vt:variant>
        <vt:lpwstr/>
      </vt:variant>
      <vt:variant>
        <vt:lpwstr>_Toc75782597</vt:lpwstr>
      </vt:variant>
      <vt:variant>
        <vt:i4>1638459</vt:i4>
      </vt:variant>
      <vt:variant>
        <vt:i4>944</vt:i4>
      </vt:variant>
      <vt:variant>
        <vt:i4>0</vt:i4>
      </vt:variant>
      <vt:variant>
        <vt:i4>5</vt:i4>
      </vt:variant>
      <vt:variant>
        <vt:lpwstr/>
      </vt:variant>
      <vt:variant>
        <vt:lpwstr>_Toc75782596</vt:lpwstr>
      </vt:variant>
      <vt:variant>
        <vt:i4>1703995</vt:i4>
      </vt:variant>
      <vt:variant>
        <vt:i4>938</vt:i4>
      </vt:variant>
      <vt:variant>
        <vt:i4>0</vt:i4>
      </vt:variant>
      <vt:variant>
        <vt:i4>5</vt:i4>
      </vt:variant>
      <vt:variant>
        <vt:lpwstr/>
      </vt:variant>
      <vt:variant>
        <vt:lpwstr>_Toc75782595</vt:lpwstr>
      </vt:variant>
      <vt:variant>
        <vt:i4>1769531</vt:i4>
      </vt:variant>
      <vt:variant>
        <vt:i4>932</vt:i4>
      </vt:variant>
      <vt:variant>
        <vt:i4>0</vt:i4>
      </vt:variant>
      <vt:variant>
        <vt:i4>5</vt:i4>
      </vt:variant>
      <vt:variant>
        <vt:lpwstr/>
      </vt:variant>
      <vt:variant>
        <vt:lpwstr>_Toc75782594</vt:lpwstr>
      </vt:variant>
      <vt:variant>
        <vt:i4>1835067</vt:i4>
      </vt:variant>
      <vt:variant>
        <vt:i4>926</vt:i4>
      </vt:variant>
      <vt:variant>
        <vt:i4>0</vt:i4>
      </vt:variant>
      <vt:variant>
        <vt:i4>5</vt:i4>
      </vt:variant>
      <vt:variant>
        <vt:lpwstr/>
      </vt:variant>
      <vt:variant>
        <vt:lpwstr>_Toc75782593</vt:lpwstr>
      </vt:variant>
      <vt:variant>
        <vt:i4>1900603</vt:i4>
      </vt:variant>
      <vt:variant>
        <vt:i4>920</vt:i4>
      </vt:variant>
      <vt:variant>
        <vt:i4>0</vt:i4>
      </vt:variant>
      <vt:variant>
        <vt:i4>5</vt:i4>
      </vt:variant>
      <vt:variant>
        <vt:lpwstr/>
      </vt:variant>
      <vt:variant>
        <vt:lpwstr>_Toc75782592</vt:lpwstr>
      </vt:variant>
      <vt:variant>
        <vt:i4>1966139</vt:i4>
      </vt:variant>
      <vt:variant>
        <vt:i4>914</vt:i4>
      </vt:variant>
      <vt:variant>
        <vt:i4>0</vt:i4>
      </vt:variant>
      <vt:variant>
        <vt:i4>5</vt:i4>
      </vt:variant>
      <vt:variant>
        <vt:lpwstr/>
      </vt:variant>
      <vt:variant>
        <vt:lpwstr>_Toc75782591</vt:lpwstr>
      </vt:variant>
      <vt:variant>
        <vt:i4>2031675</vt:i4>
      </vt:variant>
      <vt:variant>
        <vt:i4>908</vt:i4>
      </vt:variant>
      <vt:variant>
        <vt:i4>0</vt:i4>
      </vt:variant>
      <vt:variant>
        <vt:i4>5</vt:i4>
      </vt:variant>
      <vt:variant>
        <vt:lpwstr/>
      </vt:variant>
      <vt:variant>
        <vt:lpwstr>_Toc75782590</vt:lpwstr>
      </vt:variant>
      <vt:variant>
        <vt:i4>1441850</vt:i4>
      </vt:variant>
      <vt:variant>
        <vt:i4>902</vt:i4>
      </vt:variant>
      <vt:variant>
        <vt:i4>0</vt:i4>
      </vt:variant>
      <vt:variant>
        <vt:i4>5</vt:i4>
      </vt:variant>
      <vt:variant>
        <vt:lpwstr/>
      </vt:variant>
      <vt:variant>
        <vt:lpwstr>_Toc75782589</vt:lpwstr>
      </vt:variant>
      <vt:variant>
        <vt:i4>1507386</vt:i4>
      </vt:variant>
      <vt:variant>
        <vt:i4>896</vt:i4>
      </vt:variant>
      <vt:variant>
        <vt:i4>0</vt:i4>
      </vt:variant>
      <vt:variant>
        <vt:i4>5</vt:i4>
      </vt:variant>
      <vt:variant>
        <vt:lpwstr/>
      </vt:variant>
      <vt:variant>
        <vt:lpwstr>_Toc75782588</vt:lpwstr>
      </vt:variant>
      <vt:variant>
        <vt:i4>1572922</vt:i4>
      </vt:variant>
      <vt:variant>
        <vt:i4>890</vt:i4>
      </vt:variant>
      <vt:variant>
        <vt:i4>0</vt:i4>
      </vt:variant>
      <vt:variant>
        <vt:i4>5</vt:i4>
      </vt:variant>
      <vt:variant>
        <vt:lpwstr/>
      </vt:variant>
      <vt:variant>
        <vt:lpwstr>_Toc75782587</vt:lpwstr>
      </vt:variant>
      <vt:variant>
        <vt:i4>1638458</vt:i4>
      </vt:variant>
      <vt:variant>
        <vt:i4>884</vt:i4>
      </vt:variant>
      <vt:variant>
        <vt:i4>0</vt:i4>
      </vt:variant>
      <vt:variant>
        <vt:i4>5</vt:i4>
      </vt:variant>
      <vt:variant>
        <vt:lpwstr/>
      </vt:variant>
      <vt:variant>
        <vt:lpwstr>_Toc75782586</vt:lpwstr>
      </vt:variant>
      <vt:variant>
        <vt:i4>1703994</vt:i4>
      </vt:variant>
      <vt:variant>
        <vt:i4>878</vt:i4>
      </vt:variant>
      <vt:variant>
        <vt:i4>0</vt:i4>
      </vt:variant>
      <vt:variant>
        <vt:i4>5</vt:i4>
      </vt:variant>
      <vt:variant>
        <vt:lpwstr/>
      </vt:variant>
      <vt:variant>
        <vt:lpwstr>_Toc75782585</vt:lpwstr>
      </vt:variant>
      <vt:variant>
        <vt:i4>1769530</vt:i4>
      </vt:variant>
      <vt:variant>
        <vt:i4>872</vt:i4>
      </vt:variant>
      <vt:variant>
        <vt:i4>0</vt:i4>
      </vt:variant>
      <vt:variant>
        <vt:i4>5</vt:i4>
      </vt:variant>
      <vt:variant>
        <vt:lpwstr/>
      </vt:variant>
      <vt:variant>
        <vt:lpwstr>_Toc75782584</vt:lpwstr>
      </vt:variant>
      <vt:variant>
        <vt:i4>1835066</vt:i4>
      </vt:variant>
      <vt:variant>
        <vt:i4>866</vt:i4>
      </vt:variant>
      <vt:variant>
        <vt:i4>0</vt:i4>
      </vt:variant>
      <vt:variant>
        <vt:i4>5</vt:i4>
      </vt:variant>
      <vt:variant>
        <vt:lpwstr/>
      </vt:variant>
      <vt:variant>
        <vt:lpwstr>_Toc75782583</vt:lpwstr>
      </vt:variant>
      <vt:variant>
        <vt:i4>1900602</vt:i4>
      </vt:variant>
      <vt:variant>
        <vt:i4>860</vt:i4>
      </vt:variant>
      <vt:variant>
        <vt:i4>0</vt:i4>
      </vt:variant>
      <vt:variant>
        <vt:i4>5</vt:i4>
      </vt:variant>
      <vt:variant>
        <vt:lpwstr/>
      </vt:variant>
      <vt:variant>
        <vt:lpwstr>_Toc75782582</vt:lpwstr>
      </vt:variant>
      <vt:variant>
        <vt:i4>1966138</vt:i4>
      </vt:variant>
      <vt:variant>
        <vt:i4>854</vt:i4>
      </vt:variant>
      <vt:variant>
        <vt:i4>0</vt:i4>
      </vt:variant>
      <vt:variant>
        <vt:i4>5</vt:i4>
      </vt:variant>
      <vt:variant>
        <vt:lpwstr/>
      </vt:variant>
      <vt:variant>
        <vt:lpwstr>_Toc75782581</vt:lpwstr>
      </vt:variant>
      <vt:variant>
        <vt:i4>2031674</vt:i4>
      </vt:variant>
      <vt:variant>
        <vt:i4>848</vt:i4>
      </vt:variant>
      <vt:variant>
        <vt:i4>0</vt:i4>
      </vt:variant>
      <vt:variant>
        <vt:i4>5</vt:i4>
      </vt:variant>
      <vt:variant>
        <vt:lpwstr/>
      </vt:variant>
      <vt:variant>
        <vt:lpwstr>_Toc75782580</vt:lpwstr>
      </vt:variant>
      <vt:variant>
        <vt:i4>1441845</vt:i4>
      </vt:variant>
      <vt:variant>
        <vt:i4>839</vt:i4>
      </vt:variant>
      <vt:variant>
        <vt:i4>0</vt:i4>
      </vt:variant>
      <vt:variant>
        <vt:i4>5</vt:i4>
      </vt:variant>
      <vt:variant>
        <vt:lpwstr/>
      </vt:variant>
      <vt:variant>
        <vt:lpwstr>_Toc75782579</vt:lpwstr>
      </vt:variant>
      <vt:variant>
        <vt:i4>1507381</vt:i4>
      </vt:variant>
      <vt:variant>
        <vt:i4>833</vt:i4>
      </vt:variant>
      <vt:variant>
        <vt:i4>0</vt:i4>
      </vt:variant>
      <vt:variant>
        <vt:i4>5</vt:i4>
      </vt:variant>
      <vt:variant>
        <vt:lpwstr/>
      </vt:variant>
      <vt:variant>
        <vt:lpwstr>_Toc75782578</vt:lpwstr>
      </vt:variant>
      <vt:variant>
        <vt:i4>1572917</vt:i4>
      </vt:variant>
      <vt:variant>
        <vt:i4>827</vt:i4>
      </vt:variant>
      <vt:variant>
        <vt:i4>0</vt:i4>
      </vt:variant>
      <vt:variant>
        <vt:i4>5</vt:i4>
      </vt:variant>
      <vt:variant>
        <vt:lpwstr/>
      </vt:variant>
      <vt:variant>
        <vt:lpwstr>_Toc75782577</vt:lpwstr>
      </vt:variant>
      <vt:variant>
        <vt:i4>1638453</vt:i4>
      </vt:variant>
      <vt:variant>
        <vt:i4>821</vt:i4>
      </vt:variant>
      <vt:variant>
        <vt:i4>0</vt:i4>
      </vt:variant>
      <vt:variant>
        <vt:i4>5</vt:i4>
      </vt:variant>
      <vt:variant>
        <vt:lpwstr/>
      </vt:variant>
      <vt:variant>
        <vt:lpwstr>_Toc75782576</vt:lpwstr>
      </vt:variant>
      <vt:variant>
        <vt:i4>1703989</vt:i4>
      </vt:variant>
      <vt:variant>
        <vt:i4>815</vt:i4>
      </vt:variant>
      <vt:variant>
        <vt:i4>0</vt:i4>
      </vt:variant>
      <vt:variant>
        <vt:i4>5</vt:i4>
      </vt:variant>
      <vt:variant>
        <vt:lpwstr/>
      </vt:variant>
      <vt:variant>
        <vt:lpwstr>_Toc75782575</vt:lpwstr>
      </vt:variant>
      <vt:variant>
        <vt:i4>1769525</vt:i4>
      </vt:variant>
      <vt:variant>
        <vt:i4>809</vt:i4>
      </vt:variant>
      <vt:variant>
        <vt:i4>0</vt:i4>
      </vt:variant>
      <vt:variant>
        <vt:i4>5</vt:i4>
      </vt:variant>
      <vt:variant>
        <vt:lpwstr/>
      </vt:variant>
      <vt:variant>
        <vt:lpwstr>_Toc75782574</vt:lpwstr>
      </vt:variant>
      <vt:variant>
        <vt:i4>1835061</vt:i4>
      </vt:variant>
      <vt:variant>
        <vt:i4>803</vt:i4>
      </vt:variant>
      <vt:variant>
        <vt:i4>0</vt:i4>
      </vt:variant>
      <vt:variant>
        <vt:i4>5</vt:i4>
      </vt:variant>
      <vt:variant>
        <vt:lpwstr/>
      </vt:variant>
      <vt:variant>
        <vt:lpwstr>_Toc75782573</vt:lpwstr>
      </vt:variant>
      <vt:variant>
        <vt:i4>1900597</vt:i4>
      </vt:variant>
      <vt:variant>
        <vt:i4>797</vt:i4>
      </vt:variant>
      <vt:variant>
        <vt:i4>0</vt:i4>
      </vt:variant>
      <vt:variant>
        <vt:i4>5</vt:i4>
      </vt:variant>
      <vt:variant>
        <vt:lpwstr/>
      </vt:variant>
      <vt:variant>
        <vt:lpwstr>_Toc75782572</vt:lpwstr>
      </vt:variant>
      <vt:variant>
        <vt:i4>1966133</vt:i4>
      </vt:variant>
      <vt:variant>
        <vt:i4>791</vt:i4>
      </vt:variant>
      <vt:variant>
        <vt:i4>0</vt:i4>
      </vt:variant>
      <vt:variant>
        <vt:i4>5</vt:i4>
      </vt:variant>
      <vt:variant>
        <vt:lpwstr/>
      </vt:variant>
      <vt:variant>
        <vt:lpwstr>_Toc75782571</vt:lpwstr>
      </vt:variant>
      <vt:variant>
        <vt:i4>2031669</vt:i4>
      </vt:variant>
      <vt:variant>
        <vt:i4>785</vt:i4>
      </vt:variant>
      <vt:variant>
        <vt:i4>0</vt:i4>
      </vt:variant>
      <vt:variant>
        <vt:i4>5</vt:i4>
      </vt:variant>
      <vt:variant>
        <vt:lpwstr/>
      </vt:variant>
      <vt:variant>
        <vt:lpwstr>_Toc75782570</vt:lpwstr>
      </vt:variant>
      <vt:variant>
        <vt:i4>1441844</vt:i4>
      </vt:variant>
      <vt:variant>
        <vt:i4>779</vt:i4>
      </vt:variant>
      <vt:variant>
        <vt:i4>0</vt:i4>
      </vt:variant>
      <vt:variant>
        <vt:i4>5</vt:i4>
      </vt:variant>
      <vt:variant>
        <vt:lpwstr/>
      </vt:variant>
      <vt:variant>
        <vt:lpwstr>_Toc75782569</vt:lpwstr>
      </vt:variant>
      <vt:variant>
        <vt:i4>1507380</vt:i4>
      </vt:variant>
      <vt:variant>
        <vt:i4>773</vt:i4>
      </vt:variant>
      <vt:variant>
        <vt:i4>0</vt:i4>
      </vt:variant>
      <vt:variant>
        <vt:i4>5</vt:i4>
      </vt:variant>
      <vt:variant>
        <vt:lpwstr/>
      </vt:variant>
      <vt:variant>
        <vt:lpwstr>_Toc75782568</vt:lpwstr>
      </vt:variant>
      <vt:variant>
        <vt:i4>1572916</vt:i4>
      </vt:variant>
      <vt:variant>
        <vt:i4>767</vt:i4>
      </vt:variant>
      <vt:variant>
        <vt:i4>0</vt:i4>
      </vt:variant>
      <vt:variant>
        <vt:i4>5</vt:i4>
      </vt:variant>
      <vt:variant>
        <vt:lpwstr/>
      </vt:variant>
      <vt:variant>
        <vt:lpwstr>_Toc75782567</vt:lpwstr>
      </vt:variant>
      <vt:variant>
        <vt:i4>1638452</vt:i4>
      </vt:variant>
      <vt:variant>
        <vt:i4>761</vt:i4>
      </vt:variant>
      <vt:variant>
        <vt:i4>0</vt:i4>
      </vt:variant>
      <vt:variant>
        <vt:i4>5</vt:i4>
      </vt:variant>
      <vt:variant>
        <vt:lpwstr/>
      </vt:variant>
      <vt:variant>
        <vt:lpwstr>_Toc75782566</vt:lpwstr>
      </vt:variant>
      <vt:variant>
        <vt:i4>1703988</vt:i4>
      </vt:variant>
      <vt:variant>
        <vt:i4>755</vt:i4>
      </vt:variant>
      <vt:variant>
        <vt:i4>0</vt:i4>
      </vt:variant>
      <vt:variant>
        <vt:i4>5</vt:i4>
      </vt:variant>
      <vt:variant>
        <vt:lpwstr/>
      </vt:variant>
      <vt:variant>
        <vt:lpwstr>_Toc75782565</vt:lpwstr>
      </vt:variant>
      <vt:variant>
        <vt:i4>1769524</vt:i4>
      </vt:variant>
      <vt:variant>
        <vt:i4>749</vt:i4>
      </vt:variant>
      <vt:variant>
        <vt:i4>0</vt:i4>
      </vt:variant>
      <vt:variant>
        <vt:i4>5</vt:i4>
      </vt:variant>
      <vt:variant>
        <vt:lpwstr/>
      </vt:variant>
      <vt:variant>
        <vt:lpwstr>_Toc75782564</vt:lpwstr>
      </vt:variant>
      <vt:variant>
        <vt:i4>1835060</vt:i4>
      </vt:variant>
      <vt:variant>
        <vt:i4>743</vt:i4>
      </vt:variant>
      <vt:variant>
        <vt:i4>0</vt:i4>
      </vt:variant>
      <vt:variant>
        <vt:i4>5</vt:i4>
      </vt:variant>
      <vt:variant>
        <vt:lpwstr/>
      </vt:variant>
      <vt:variant>
        <vt:lpwstr>_Toc75782563</vt:lpwstr>
      </vt:variant>
      <vt:variant>
        <vt:i4>1900596</vt:i4>
      </vt:variant>
      <vt:variant>
        <vt:i4>737</vt:i4>
      </vt:variant>
      <vt:variant>
        <vt:i4>0</vt:i4>
      </vt:variant>
      <vt:variant>
        <vt:i4>5</vt:i4>
      </vt:variant>
      <vt:variant>
        <vt:lpwstr/>
      </vt:variant>
      <vt:variant>
        <vt:lpwstr>_Toc75782562</vt:lpwstr>
      </vt:variant>
      <vt:variant>
        <vt:i4>1966132</vt:i4>
      </vt:variant>
      <vt:variant>
        <vt:i4>731</vt:i4>
      </vt:variant>
      <vt:variant>
        <vt:i4>0</vt:i4>
      </vt:variant>
      <vt:variant>
        <vt:i4>5</vt:i4>
      </vt:variant>
      <vt:variant>
        <vt:lpwstr/>
      </vt:variant>
      <vt:variant>
        <vt:lpwstr>_Toc75782561</vt:lpwstr>
      </vt:variant>
      <vt:variant>
        <vt:i4>2031668</vt:i4>
      </vt:variant>
      <vt:variant>
        <vt:i4>725</vt:i4>
      </vt:variant>
      <vt:variant>
        <vt:i4>0</vt:i4>
      </vt:variant>
      <vt:variant>
        <vt:i4>5</vt:i4>
      </vt:variant>
      <vt:variant>
        <vt:lpwstr/>
      </vt:variant>
      <vt:variant>
        <vt:lpwstr>_Toc75782560</vt:lpwstr>
      </vt:variant>
      <vt:variant>
        <vt:i4>1441847</vt:i4>
      </vt:variant>
      <vt:variant>
        <vt:i4>719</vt:i4>
      </vt:variant>
      <vt:variant>
        <vt:i4>0</vt:i4>
      </vt:variant>
      <vt:variant>
        <vt:i4>5</vt:i4>
      </vt:variant>
      <vt:variant>
        <vt:lpwstr/>
      </vt:variant>
      <vt:variant>
        <vt:lpwstr>_Toc75782559</vt:lpwstr>
      </vt:variant>
      <vt:variant>
        <vt:i4>1507383</vt:i4>
      </vt:variant>
      <vt:variant>
        <vt:i4>713</vt:i4>
      </vt:variant>
      <vt:variant>
        <vt:i4>0</vt:i4>
      </vt:variant>
      <vt:variant>
        <vt:i4>5</vt:i4>
      </vt:variant>
      <vt:variant>
        <vt:lpwstr/>
      </vt:variant>
      <vt:variant>
        <vt:lpwstr>_Toc75782558</vt:lpwstr>
      </vt:variant>
      <vt:variant>
        <vt:i4>1572919</vt:i4>
      </vt:variant>
      <vt:variant>
        <vt:i4>707</vt:i4>
      </vt:variant>
      <vt:variant>
        <vt:i4>0</vt:i4>
      </vt:variant>
      <vt:variant>
        <vt:i4>5</vt:i4>
      </vt:variant>
      <vt:variant>
        <vt:lpwstr/>
      </vt:variant>
      <vt:variant>
        <vt:lpwstr>_Toc75782557</vt:lpwstr>
      </vt:variant>
      <vt:variant>
        <vt:i4>1638455</vt:i4>
      </vt:variant>
      <vt:variant>
        <vt:i4>701</vt:i4>
      </vt:variant>
      <vt:variant>
        <vt:i4>0</vt:i4>
      </vt:variant>
      <vt:variant>
        <vt:i4>5</vt:i4>
      </vt:variant>
      <vt:variant>
        <vt:lpwstr/>
      </vt:variant>
      <vt:variant>
        <vt:lpwstr>_Toc75782556</vt:lpwstr>
      </vt:variant>
      <vt:variant>
        <vt:i4>1703991</vt:i4>
      </vt:variant>
      <vt:variant>
        <vt:i4>695</vt:i4>
      </vt:variant>
      <vt:variant>
        <vt:i4>0</vt:i4>
      </vt:variant>
      <vt:variant>
        <vt:i4>5</vt:i4>
      </vt:variant>
      <vt:variant>
        <vt:lpwstr/>
      </vt:variant>
      <vt:variant>
        <vt:lpwstr>_Toc75782555</vt:lpwstr>
      </vt:variant>
      <vt:variant>
        <vt:i4>1769527</vt:i4>
      </vt:variant>
      <vt:variant>
        <vt:i4>689</vt:i4>
      </vt:variant>
      <vt:variant>
        <vt:i4>0</vt:i4>
      </vt:variant>
      <vt:variant>
        <vt:i4>5</vt:i4>
      </vt:variant>
      <vt:variant>
        <vt:lpwstr/>
      </vt:variant>
      <vt:variant>
        <vt:lpwstr>_Toc75782554</vt:lpwstr>
      </vt:variant>
      <vt:variant>
        <vt:i4>1835063</vt:i4>
      </vt:variant>
      <vt:variant>
        <vt:i4>683</vt:i4>
      </vt:variant>
      <vt:variant>
        <vt:i4>0</vt:i4>
      </vt:variant>
      <vt:variant>
        <vt:i4>5</vt:i4>
      </vt:variant>
      <vt:variant>
        <vt:lpwstr/>
      </vt:variant>
      <vt:variant>
        <vt:lpwstr>_Toc75782553</vt:lpwstr>
      </vt:variant>
      <vt:variant>
        <vt:i4>1900599</vt:i4>
      </vt:variant>
      <vt:variant>
        <vt:i4>677</vt:i4>
      </vt:variant>
      <vt:variant>
        <vt:i4>0</vt:i4>
      </vt:variant>
      <vt:variant>
        <vt:i4>5</vt:i4>
      </vt:variant>
      <vt:variant>
        <vt:lpwstr/>
      </vt:variant>
      <vt:variant>
        <vt:lpwstr>_Toc75782552</vt:lpwstr>
      </vt:variant>
      <vt:variant>
        <vt:i4>1966135</vt:i4>
      </vt:variant>
      <vt:variant>
        <vt:i4>671</vt:i4>
      </vt:variant>
      <vt:variant>
        <vt:i4>0</vt:i4>
      </vt:variant>
      <vt:variant>
        <vt:i4>5</vt:i4>
      </vt:variant>
      <vt:variant>
        <vt:lpwstr/>
      </vt:variant>
      <vt:variant>
        <vt:lpwstr>_Toc75782551</vt:lpwstr>
      </vt:variant>
      <vt:variant>
        <vt:i4>2031671</vt:i4>
      </vt:variant>
      <vt:variant>
        <vt:i4>665</vt:i4>
      </vt:variant>
      <vt:variant>
        <vt:i4>0</vt:i4>
      </vt:variant>
      <vt:variant>
        <vt:i4>5</vt:i4>
      </vt:variant>
      <vt:variant>
        <vt:lpwstr/>
      </vt:variant>
      <vt:variant>
        <vt:lpwstr>_Toc75782550</vt:lpwstr>
      </vt:variant>
      <vt:variant>
        <vt:i4>1441846</vt:i4>
      </vt:variant>
      <vt:variant>
        <vt:i4>659</vt:i4>
      </vt:variant>
      <vt:variant>
        <vt:i4>0</vt:i4>
      </vt:variant>
      <vt:variant>
        <vt:i4>5</vt:i4>
      </vt:variant>
      <vt:variant>
        <vt:lpwstr/>
      </vt:variant>
      <vt:variant>
        <vt:lpwstr>_Toc75782549</vt:lpwstr>
      </vt:variant>
      <vt:variant>
        <vt:i4>1507382</vt:i4>
      </vt:variant>
      <vt:variant>
        <vt:i4>653</vt:i4>
      </vt:variant>
      <vt:variant>
        <vt:i4>0</vt:i4>
      </vt:variant>
      <vt:variant>
        <vt:i4>5</vt:i4>
      </vt:variant>
      <vt:variant>
        <vt:lpwstr/>
      </vt:variant>
      <vt:variant>
        <vt:lpwstr>_Toc75782548</vt:lpwstr>
      </vt:variant>
      <vt:variant>
        <vt:i4>1572918</vt:i4>
      </vt:variant>
      <vt:variant>
        <vt:i4>647</vt:i4>
      </vt:variant>
      <vt:variant>
        <vt:i4>0</vt:i4>
      </vt:variant>
      <vt:variant>
        <vt:i4>5</vt:i4>
      </vt:variant>
      <vt:variant>
        <vt:lpwstr/>
      </vt:variant>
      <vt:variant>
        <vt:lpwstr>_Toc75782547</vt:lpwstr>
      </vt:variant>
      <vt:variant>
        <vt:i4>1638454</vt:i4>
      </vt:variant>
      <vt:variant>
        <vt:i4>641</vt:i4>
      </vt:variant>
      <vt:variant>
        <vt:i4>0</vt:i4>
      </vt:variant>
      <vt:variant>
        <vt:i4>5</vt:i4>
      </vt:variant>
      <vt:variant>
        <vt:lpwstr/>
      </vt:variant>
      <vt:variant>
        <vt:lpwstr>_Toc75782546</vt:lpwstr>
      </vt:variant>
      <vt:variant>
        <vt:i4>1703990</vt:i4>
      </vt:variant>
      <vt:variant>
        <vt:i4>635</vt:i4>
      </vt:variant>
      <vt:variant>
        <vt:i4>0</vt:i4>
      </vt:variant>
      <vt:variant>
        <vt:i4>5</vt:i4>
      </vt:variant>
      <vt:variant>
        <vt:lpwstr/>
      </vt:variant>
      <vt:variant>
        <vt:lpwstr>_Toc75782545</vt:lpwstr>
      </vt:variant>
      <vt:variant>
        <vt:i4>1769526</vt:i4>
      </vt:variant>
      <vt:variant>
        <vt:i4>629</vt:i4>
      </vt:variant>
      <vt:variant>
        <vt:i4>0</vt:i4>
      </vt:variant>
      <vt:variant>
        <vt:i4>5</vt:i4>
      </vt:variant>
      <vt:variant>
        <vt:lpwstr/>
      </vt:variant>
      <vt:variant>
        <vt:lpwstr>_Toc75782544</vt:lpwstr>
      </vt:variant>
      <vt:variant>
        <vt:i4>1835062</vt:i4>
      </vt:variant>
      <vt:variant>
        <vt:i4>623</vt:i4>
      </vt:variant>
      <vt:variant>
        <vt:i4>0</vt:i4>
      </vt:variant>
      <vt:variant>
        <vt:i4>5</vt:i4>
      </vt:variant>
      <vt:variant>
        <vt:lpwstr/>
      </vt:variant>
      <vt:variant>
        <vt:lpwstr>_Toc75782543</vt:lpwstr>
      </vt:variant>
      <vt:variant>
        <vt:i4>1900598</vt:i4>
      </vt:variant>
      <vt:variant>
        <vt:i4>617</vt:i4>
      </vt:variant>
      <vt:variant>
        <vt:i4>0</vt:i4>
      </vt:variant>
      <vt:variant>
        <vt:i4>5</vt:i4>
      </vt:variant>
      <vt:variant>
        <vt:lpwstr/>
      </vt:variant>
      <vt:variant>
        <vt:lpwstr>_Toc75782542</vt:lpwstr>
      </vt:variant>
      <vt:variant>
        <vt:i4>1966134</vt:i4>
      </vt:variant>
      <vt:variant>
        <vt:i4>611</vt:i4>
      </vt:variant>
      <vt:variant>
        <vt:i4>0</vt:i4>
      </vt:variant>
      <vt:variant>
        <vt:i4>5</vt:i4>
      </vt:variant>
      <vt:variant>
        <vt:lpwstr/>
      </vt:variant>
      <vt:variant>
        <vt:lpwstr>_Toc75782541</vt:lpwstr>
      </vt:variant>
      <vt:variant>
        <vt:i4>2031670</vt:i4>
      </vt:variant>
      <vt:variant>
        <vt:i4>605</vt:i4>
      </vt:variant>
      <vt:variant>
        <vt:i4>0</vt:i4>
      </vt:variant>
      <vt:variant>
        <vt:i4>5</vt:i4>
      </vt:variant>
      <vt:variant>
        <vt:lpwstr/>
      </vt:variant>
      <vt:variant>
        <vt:lpwstr>_Toc75782540</vt:lpwstr>
      </vt:variant>
      <vt:variant>
        <vt:i4>1441841</vt:i4>
      </vt:variant>
      <vt:variant>
        <vt:i4>599</vt:i4>
      </vt:variant>
      <vt:variant>
        <vt:i4>0</vt:i4>
      </vt:variant>
      <vt:variant>
        <vt:i4>5</vt:i4>
      </vt:variant>
      <vt:variant>
        <vt:lpwstr/>
      </vt:variant>
      <vt:variant>
        <vt:lpwstr>_Toc75782539</vt:lpwstr>
      </vt:variant>
      <vt:variant>
        <vt:i4>1507377</vt:i4>
      </vt:variant>
      <vt:variant>
        <vt:i4>593</vt:i4>
      </vt:variant>
      <vt:variant>
        <vt:i4>0</vt:i4>
      </vt:variant>
      <vt:variant>
        <vt:i4>5</vt:i4>
      </vt:variant>
      <vt:variant>
        <vt:lpwstr/>
      </vt:variant>
      <vt:variant>
        <vt:lpwstr>_Toc75782538</vt:lpwstr>
      </vt:variant>
      <vt:variant>
        <vt:i4>1572913</vt:i4>
      </vt:variant>
      <vt:variant>
        <vt:i4>587</vt:i4>
      </vt:variant>
      <vt:variant>
        <vt:i4>0</vt:i4>
      </vt:variant>
      <vt:variant>
        <vt:i4>5</vt:i4>
      </vt:variant>
      <vt:variant>
        <vt:lpwstr/>
      </vt:variant>
      <vt:variant>
        <vt:lpwstr>_Toc75782537</vt:lpwstr>
      </vt:variant>
      <vt:variant>
        <vt:i4>1638449</vt:i4>
      </vt:variant>
      <vt:variant>
        <vt:i4>581</vt:i4>
      </vt:variant>
      <vt:variant>
        <vt:i4>0</vt:i4>
      </vt:variant>
      <vt:variant>
        <vt:i4>5</vt:i4>
      </vt:variant>
      <vt:variant>
        <vt:lpwstr/>
      </vt:variant>
      <vt:variant>
        <vt:lpwstr>_Toc75782536</vt:lpwstr>
      </vt:variant>
      <vt:variant>
        <vt:i4>1703985</vt:i4>
      </vt:variant>
      <vt:variant>
        <vt:i4>575</vt:i4>
      </vt:variant>
      <vt:variant>
        <vt:i4>0</vt:i4>
      </vt:variant>
      <vt:variant>
        <vt:i4>5</vt:i4>
      </vt:variant>
      <vt:variant>
        <vt:lpwstr/>
      </vt:variant>
      <vt:variant>
        <vt:lpwstr>_Toc75782535</vt:lpwstr>
      </vt:variant>
      <vt:variant>
        <vt:i4>1769521</vt:i4>
      </vt:variant>
      <vt:variant>
        <vt:i4>569</vt:i4>
      </vt:variant>
      <vt:variant>
        <vt:i4>0</vt:i4>
      </vt:variant>
      <vt:variant>
        <vt:i4>5</vt:i4>
      </vt:variant>
      <vt:variant>
        <vt:lpwstr/>
      </vt:variant>
      <vt:variant>
        <vt:lpwstr>_Toc75782534</vt:lpwstr>
      </vt:variant>
      <vt:variant>
        <vt:i4>1835057</vt:i4>
      </vt:variant>
      <vt:variant>
        <vt:i4>563</vt:i4>
      </vt:variant>
      <vt:variant>
        <vt:i4>0</vt:i4>
      </vt:variant>
      <vt:variant>
        <vt:i4>5</vt:i4>
      </vt:variant>
      <vt:variant>
        <vt:lpwstr/>
      </vt:variant>
      <vt:variant>
        <vt:lpwstr>_Toc75782533</vt:lpwstr>
      </vt:variant>
      <vt:variant>
        <vt:i4>1900593</vt:i4>
      </vt:variant>
      <vt:variant>
        <vt:i4>557</vt:i4>
      </vt:variant>
      <vt:variant>
        <vt:i4>0</vt:i4>
      </vt:variant>
      <vt:variant>
        <vt:i4>5</vt:i4>
      </vt:variant>
      <vt:variant>
        <vt:lpwstr/>
      </vt:variant>
      <vt:variant>
        <vt:lpwstr>_Toc75782532</vt:lpwstr>
      </vt:variant>
      <vt:variant>
        <vt:i4>1966129</vt:i4>
      </vt:variant>
      <vt:variant>
        <vt:i4>551</vt:i4>
      </vt:variant>
      <vt:variant>
        <vt:i4>0</vt:i4>
      </vt:variant>
      <vt:variant>
        <vt:i4>5</vt:i4>
      </vt:variant>
      <vt:variant>
        <vt:lpwstr/>
      </vt:variant>
      <vt:variant>
        <vt:lpwstr>_Toc75782531</vt:lpwstr>
      </vt:variant>
      <vt:variant>
        <vt:i4>2031665</vt:i4>
      </vt:variant>
      <vt:variant>
        <vt:i4>545</vt:i4>
      </vt:variant>
      <vt:variant>
        <vt:i4>0</vt:i4>
      </vt:variant>
      <vt:variant>
        <vt:i4>5</vt:i4>
      </vt:variant>
      <vt:variant>
        <vt:lpwstr/>
      </vt:variant>
      <vt:variant>
        <vt:lpwstr>_Toc75782530</vt:lpwstr>
      </vt:variant>
      <vt:variant>
        <vt:i4>1441840</vt:i4>
      </vt:variant>
      <vt:variant>
        <vt:i4>539</vt:i4>
      </vt:variant>
      <vt:variant>
        <vt:i4>0</vt:i4>
      </vt:variant>
      <vt:variant>
        <vt:i4>5</vt:i4>
      </vt:variant>
      <vt:variant>
        <vt:lpwstr/>
      </vt:variant>
      <vt:variant>
        <vt:lpwstr>_Toc75782529</vt:lpwstr>
      </vt:variant>
      <vt:variant>
        <vt:i4>1507376</vt:i4>
      </vt:variant>
      <vt:variant>
        <vt:i4>533</vt:i4>
      </vt:variant>
      <vt:variant>
        <vt:i4>0</vt:i4>
      </vt:variant>
      <vt:variant>
        <vt:i4>5</vt:i4>
      </vt:variant>
      <vt:variant>
        <vt:lpwstr/>
      </vt:variant>
      <vt:variant>
        <vt:lpwstr>_Toc75782528</vt:lpwstr>
      </vt:variant>
      <vt:variant>
        <vt:i4>1572912</vt:i4>
      </vt:variant>
      <vt:variant>
        <vt:i4>527</vt:i4>
      </vt:variant>
      <vt:variant>
        <vt:i4>0</vt:i4>
      </vt:variant>
      <vt:variant>
        <vt:i4>5</vt:i4>
      </vt:variant>
      <vt:variant>
        <vt:lpwstr/>
      </vt:variant>
      <vt:variant>
        <vt:lpwstr>_Toc75782527</vt:lpwstr>
      </vt:variant>
      <vt:variant>
        <vt:i4>1638448</vt:i4>
      </vt:variant>
      <vt:variant>
        <vt:i4>521</vt:i4>
      </vt:variant>
      <vt:variant>
        <vt:i4>0</vt:i4>
      </vt:variant>
      <vt:variant>
        <vt:i4>5</vt:i4>
      </vt:variant>
      <vt:variant>
        <vt:lpwstr/>
      </vt:variant>
      <vt:variant>
        <vt:lpwstr>_Toc75782526</vt:lpwstr>
      </vt:variant>
      <vt:variant>
        <vt:i4>1703984</vt:i4>
      </vt:variant>
      <vt:variant>
        <vt:i4>515</vt:i4>
      </vt:variant>
      <vt:variant>
        <vt:i4>0</vt:i4>
      </vt:variant>
      <vt:variant>
        <vt:i4>5</vt:i4>
      </vt:variant>
      <vt:variant>
        <vt:lpwstr/>
      </vt:variant>
      <vt:variant>
        <vt:lpwstr>_Toc75782525</vt:lpwstr>
      </vt:variant>
      <vt:variant>
        <vt:i4>1769520</vt:i4>
      </vt:variant>
      <vt:variant>
        <vt:i4>509</vt:i4>
      </vt:variant>
      <vt:variant>
        <vt:i4>0</vt:i4>
      </vt:variant>
      <vt:variant>
        <vt:i4>5</vt:i4>
      </vt:variant>
      <vt:variant>
        <vt:lpwstr/>
      </vt:variant>
      <vt:variant>
        <vt:lpwstr>_Toc75782524</vt:lpwstr>
      </vt:variant>
      <vt:variant>
        <vt:i4>1835056</vt:i4>
      </vt:variant>
      <vt:variant>
        <vt:i4>503</vt:i4>
      </vt:variant>
      <vt:variant>
        <vt:i4>0</vt:i4>
      </vt:variant>
      <vt:variant>
        <vt:i4>5</vt:i4>
      </vt:variant>
      <vt:variant>
        <vt:lpwstr/>
      </vt:variant>
      <vt:variant>
        <vt:lpwstr>_Toc75782523</vt:lpwstr>
      </vt:variant>
      <vt:variant>
        <vt:i4>1900592</vt:i4>
      </vt:variant>
      <vt:variant>
        <vt:i4>497</vt:i4>
      </vt:variant>
      <vt:variant>
        <vt:i4>0</vt:i4>
      </vt:variant>
      <vt:variant>
        <vt:i4>5</vt:i4>
      </vt:variant>
      <vt:variant>
        <vt:lpwstr/>
      </vt:variant>
      <vt:variant>
        <vt:lpwstr>_Toc75782522</vt:lpwstr>
      </vt:variant>
      <vt:variant>
        <vt:i4>1966128</vt:i4>
      </vt:variant>
      <vt:variant>
        <vt:i4>491</vt:i4>
      </vt:variant>
      <vt:variant>
        <vt:i4>0</vt:i4>
      </vt:variant>
      <vt:variant>
        <vt:i4>5</vt:i4>
      </vt:variant>
      <vt:variant>
        <vt:lpwstr/>
      </vt:variant>
      <vt:variant>
        <vt:lpwstr>_Toc75782521</vt:lpwstr>
      </vt:variant>
      <vt:variant>
        <vt:i4>2031664</vt:i4>
      </vt:variant>
      <vt:variant>
        <vt:i4>485</vt:i4>
      </vt:variant>
      <vt:variant>
        <vt:i4>0</vt:i4>
      </vt:variant>
      <vt:variant>
        <vt:i4>5</vt:i4>
      </vt:variant>
      <vt:variant>
        <vt:lpwstr/>
      </vt:variant>
      <vt:variant>
        <vt:lpwstr>_Toc75782520</vt:lpwstr>
      </vt:variant>
      <vt:variant>
        <vt:i4>1441843</vt:i4>
      </vt:variant>
      <vt:variant>
        <vt:i4>479</vt:i4>
      </vt:variant>
      <vt:variant>
        <vt:i4>0</vt:i4>
      </vt:variant>
      <vt:variant>
        <vt:i4>5</vt:i4>
      </vt:variant>
      <vt:variant>
        <vt:lpwstr/>
      </vt:variant>
      <vt:variant>
        <vt:lpwstr>_Toc75782519</vt:lpwstr>
      </vt:variant>
      <vt:variant>
        <vt:i4>1507379</vt:i4>
      </vt:variant>
      <vt:variant>
        <vt:i4>473</vt:i4>
      </vt:variant>
      <vt:variant>
        <vt:i4>0</vt:i4>
      </vt:variant>
      <vt:variant>
        <vt:i4>5</vt:i4>
      </vt:variant>
      <vt:variant>
        <vt:lpwstr/>
      </vt:variant>
      <vt:variant>
        <vt:lpwstr>_Toc75782518</vt:lpwstr>
      </vt:variant>
      <vt:variant>
        <vt:i4>1572915</vt:i4>
      </vt:variant>
      <vt:variant>
        <vt:i4>467</vt:i4>
      </vt:variant>
      <vt:variant>
        <vt:i4>0</vt:i4>
      </vt:variant>
      <vt:variant>
        <vt:i4>5</vt:i4>
      </vt:variant>
      <vt:variant>
        <vt:lpwstr/>
      </vt:variant>
      <vt:variant>
        <vt:lpwstr>_Toc75782517</vt:lpwstr>
      </vt:variant>
      <vt:variant>
        <vt:i4>1638451</vt:i4>
      </vt:variant>
      <vt:variant>
        <vt:i4>461</vt:i4>
      </vt:variant>
      <vt:variant>
        <vt:i4>0</vt:i4>
      </vt:variant>
      <vt:variant>
        <vt:i4>5</vt:i4>
      </vt:variant>
      <vt:variant>
        <vt:lpwstr/>
      </vt:variant>
      <vt:variant>
        <vt:lpwstr>_Toc75782516</vt:lpwstr>
      </vt:variant>
      <vt:variant>
        <vt:i4>1703987</vt:i4>
      </vt:variant>
      <vt:variant>
        <vt:i4>455</vt:i4>
      </vt:variant>
      <vt:variant>
        <vt:i4>0</vt:i4>
      </vt:variant>
      <vt:variant>
        <vt:i4>5</vt:i4>
      </vt:variant>
      <vt:variant>
        <vt:lpwstr/>
      </vt:variant>
      <vt:variant>
        <vt:lpwstr>_Toc75782515</vt:lpwstr>
      </vt:variant>
      <vt:variant>
        <vt:i4>1769523</vt:i4>
      </vt:variant>
      <vt:variant>
        <vt:i4>449</vt:i4>
      </vt:variant>
      <vt:variant>
        <vt:i4>0</vt:i4>
      </vt:variant>
      <vt:variant>
        <vt:i4>5</vt:i4>
      </vt:variant>
      <vt:variant>
        <vt:lpwstr/>
      </vt:variant>
      <vt:variant>
        <vt:lpwstr>_Toc75782514</vt:lpwstr>
      </vt:variant>
      <vt:variant>
        <vt:i4>1835059</vt:i4>
      </vt:variant>
      <vt:variant>
        <vt:i4>443</vt:i4>
      </vt:variant>
      <vt:variant>
        <vt:i4>0</vt:i4>
      </vt:variant>
      <vt:variant>
        <vt:i4>5</vt:i4>
      </vt:variant>
      <vt:variant>
        <vt:lpwstr/>
      </vt:variant>
      <vt:variant>
        <vt:lpwstr>_Toc75782513</vt:lpwstr>
      </vt:variant>
      <vt:variant>
        <vt:i4>1900595</vt:i4>
      </vt:variant>
      <vt:variant>
        <vt:i4>437</vt:i4>
      </vt:variant>
      <vt:variant>
        <vt:i4>0</vt:i4>
      </vt:variant>
      <vt:variant>
        <vt:i4>5</vt:i4>
      </vt:variant>
      <vt:variant>
        <vt:lpwstr/>
      </vt:variant>
      <vt:variant>
        <vt:lpwstr>_Toc75782512</vt:lpwstr>
      </vt:variant>
      <vt:variant>
        <vt:i4>1966131</vt:i4>
      </vt:variant>
      <vt:variant>
        <vt:i4>431</vt:i4>
      </vt:variant>
      <vt:variant>
        <vt:i4>0</vt:i4>
      </vt:variant>
      <vt:variant>
        <vt:i4>5</vt:i4>
      </vt:variant>
      <vt:variant>
        <vt:lpwstr/>
      </vt:variant>
      <vt:variant>
        <vt:lpwstr>_Toc75782511</vt:lpwstr>
      </vt:variant>
      <vt:variant>
        <vt:i4>2031667</vt:i4>
      </vt:variant>
      <vt:variant>
        <vt:i4>425</vt:i4>
      </vt:variant>
      <vt:variant>
        <vt:i4>0</vt:i4>
      </vt:variant>
      <vt:variant>
        <vt:i4>5</vt:i4>
      </vt:variant>
      <vt:variant>
        <vt:lpwstr/>
      </vt:variant>
      <vt:variant>
        <vt:lpwstr>_Toc75782510</vt:lpwstr>
      </vt:variant>
      <vt:variant>
        <vt:i4>1441842</vt:i4>
      </vt:variant>
      <vt:variant>
        <vt:i4>419</vt:i4>
      </vt:variant>
      <vt:variant>
        <vt:i4>0</vt:i4>
      </vt:variant>
      <vt:variant>
        <vt:i4>5</vt:i4>
      </vt:variant>
      <vt:variant>
        <vt:lpwstr/>
      </vt:variant>
      <vt:variant>
        <vt:lpwstr>_Toc75782509</vt:lpwstr>
      </vt:variant>
      <vt:variant>
        <vt:i4>1507378</vt:i4>
      </vt:variant>
      <vt:variant>
        <vt:i4>413</vt:i4>
      </vt:variant>
      <vt:variant>
        <vt:i4>0</vt:i4>
      </vt:variant>
      <vt:variant>
        <vt:i4>5</vt:i4>
      </vt:variant>
      <vt:variant>
        <vt:lpwstr/>
      </vt:variant>
      <vt:variant>
        <vt:lpwstr>_Toc75782508</vt:lpwstr>
      </vt:variant>
      <vt:variant>
        <vt:i4>1572914</vt:i4>
      </vt:variant>
      <vt:variant>
        <vt:i4>407</vt:i4>
      </vt:variant>
      <vt:variant>
        <vt:i4>0</vt:i4>
      </vt:variant>
      <vt:variant>
        <vt:i4>5</vt:i4>
      </vt:variant>
      <vt:variant>
        <vt:lpwstr/>
      </vt:variant>
      <vt:variant>
        <vt:lpwstr>_Toc75782507</vt:lpwstr>
      </vt:variant>
      <vt:variant>
        <vt:i4>1638450</vt:i4>
      </vt:variant>
      <vt:variant>
        <vt:i4>401</vt:i4>
      </vt:variant>
      <vt:variant>
        <vt:i4>0</vt:i4>
      </vt:variant>
      <vt:variant>
        <vt:i4>5</vt:i4>
      </vt:variant>
      <vt:variant>
        <vt:lpwstr/>
      </vt:variant>
      <vt:variant>
        <vt:lpwstr>_Toc75782506</vt:lpwstr>
      </vt:variant>
      <vt:variant>
        <vt:i4>1703986</vt:i4>
      </vt:variant>
      <vt:variant>
        <vt:i4>395</vt:i4>
      </vt:variant>
      <vt:variant>
        <vt:i4>0</vt:i4>
      </vt:variant>
      <vt:variant>
        <vt:i4>5</vt:i4>
      </vt:variant>
      <vt:variant>
        <vt:lpwstr/>
      </vt:variant>
      <vt:variant>
        <vt:lpwstr>_Toc75782505</vt:lpwstr>
      </vt:variant>
      <vt:variant>
        <vt:i4>1769522</vt:i4>
      </vt:variant>
      <vt:variant>
        <vt:i4>389</vt:i4>
      </vt:variant>
      <vt:variant>
        <vt:i4>0</vt:i4>
      </vt:variant>
      <vt:variant>
        <vt:i4>5</vt:i4>
      </vt:variant>
      <vt:variant>
        <vt:lpwstr/>
      </vt:variant>
      <vt:variant>
        <vt:lpwstr>_Toc75782504</vt:lpwstr>
      </vt:variant>
      <vt:variant>
        <vt:i4>1245235</vt:i4>
      </vt:variant>
      <vt:variant>
        <vt:i4>380</vt:i4>
      </vt:variant>
      <vt:variant>
        <vt:i4>0</vt:i4>
      </vt:variant>
      <vt:variant>
        <vt:i4>5</vt:i4>
      </vt:variant>
      <vt:variant>
        <vt:lpwstr/>
      </vt:variant>
      <vt:variant>
        <vt:lpwstr>_Toc73107423</vt:lpwstr>
      </vt:variant>
      <vt:variant>
        <vt:i4>1179699</vt:i4>
      </vt:variant>
      <vt:variant>
        <vt:i4>374</vt:i4>
      </vt:variant>
      <vt:variant>
        <vt:i4>0</vt:i4>
      </vt:variant>
      <vt:variant>
        <vt:i4>5</vt:i4>
      </vt:variant>
      <vt:variant>
        <vt:lpwstr/>
      </vt:variant>
      <vt:variant>
        <vt:lpwstr>_Toc73107422</vt:lpwstr>
      </vt:variant>
      <vt:variant>
        <vt:i4>1114163</vt:i4>
      </vt:variant>
      <vt:variant>
        <vt:i4>368</vt:i4>
      </vt:variant>
      <vt:variant>
        <vt:i4>0</vt:i4>
      </vt:variant>
      <vt:variant>
        <vt:i4>5</vt:i4>
      </vt:variant>
      <vt:variant>
        <vt:lpwstr/>
      </vt:variant>
      <vt:variant>
        <vt:lpwstr>_Toc73107421</vt:lpwstr>
      </vt:variant>
      <vt:variant>
        <vt:i4>1048627</vt:i4>
      </vt:variant>
      <vt:variant>
        <vt:i4>362</vt:i4>
      </vt:variant>
      <vt:variant>
        <vt:i4>0</vt:i4>
      </vt:variant>
      <vt:variant>
        <vt:i4>5</vt:i4>
      </vt:variant>
      <vt:variant>
        <vt:lpwstr/>
      </vt:variant>
      <vt:variant>
        <vt:lpwstr>_Toc73107420</vt:lpwstr>
      </vt:variant>
      <vt:variant>
        <vt:i4>1638448</vt:i4>
      </vt:variant>
      <vt:variant>
        <vt:i4>356</vt:i4>
      </vt:variant>
      <vt:variant>
        <vt:i4>0</vt:i4>
      </vt:variant>
      <vt:variant>
        <vt:i4>5</vt:i4>
      </vt:variant>
      <vt:variant>
        <vt:lpwstr/>
      </vt:variant>
      <vt:variant>
        <vt:lpwstr>_Toc73107419</vt:lpwstr>
      </vt:variant>
      <vt:variant>
        <vt:i4>1572912</vt:i4>
      </vt:variant>
      <vt:variant>
        <vt:i4>350</vt:i4>
      </vt:variant>
      <vt:variant>
        <vt:i4>0</vt:i4>
      </vt:variant>
      <vt:variant>
        <vt:i4>5</vt:i4>
      </vt:variant>
      <vt:variant>
        <vt:lpwstr/>
      </vt:variant>
      <vt:variant>
        <vt:lpwstr>_Toc73107418</vt:lpwstr>
      </vt:variant>
      <vt:variant>
        <vt:i4>1507376</vt:i4>
      </vt:variant>
      <vt:variant>
        <vt:i4>344</vt:i4>
      </vt:variant>
      <vt:variant>
        <vt:i4>0</vt:i4>
      </vt:variant>
      <vt:variant>
        <vt:i4>5</vt:i4>
      </vt:variant>
      <vt:variant>
        <vt:lpwstr/>
      </vt:variant>
      <vt:variant>
        <vt:lpwstr>_Toc73107417</vt:lpwstr>
      </vt:variant>
      <vt:variant>
        <vt:i4>1441840</vt:i4>
      </vt:variant>
      <vt:variant>
        <vt:i4>338</vt:i4>
      </vt:variant>
      <vt:variant>
        <vt:i4>0</vt:i4>
      </vt:variant>
      <vt:variant>
        <vt:i4>5</vt:i4>
      </vt:variant>
      <vt:variant>
        <vt:lpwstr/>
      </vt:variant>
      <vt:variant>
        <vt:lpwstr>_Toc73107416</vt:lpwstr>
      </vt:variant>
      <vt:variant>
        <vt:i4>1376304</vt:i4>
      </vt:variant>
      <vt:variant>
        <vt:i4>332</vt:i4>
      </vt:variant>
      <vt:variant>
        <vt:i4>0</vt:i4>
      </vt:variant>
      <vt:variant>
        <vt:i4>5</vt:i4>
      </vt:variant>
      <vt:variant>
        <vt:lpwstr/>
      </vt:variant>
      <vt:variant>
        <vt:lpwstr>_Toc73107415</vt:lpwstr>
      </vt:variant>
      <vt:variant>
        <vt:i4>1310768</vt:i4>
      </vt:variant>
      <vt:variant>
        <vt:i4>326</vt:i4>
      </vt:variant>
      <vt:variant>
        <vt:i4>0</vt:i4>
      </vt:variant>
      <vt:variant>
        <vt:i4>5</vt:i4>
      </vt:variant>
      <vt:variant>
        <vt:lpwstr/>
      </vt:variant>
      <vt:variant>
        <vt:lpwstr>_Toc73107414</vt:lpwstr>
      </vt:variant>
      <vt:variant>
        <vt:i4>1245232</vt:i4>
      </vt:variant>
      <vt:variant>
        <vt:i4>320</vt:i4>
      </vt:variant>
      <vt:variant>
        <vt:i4>0</vt:i4>
      </vt:variant>
      <vt:variant>
        <vt:i4>5</vt:i4>
      </vt:variant>
      <vt:variant>
        <vt:lpwstr/>
      </vt:variant>
      <vt:variant>
        <vt:lpwstr>_Toc73107413</vt:lpwstr>
      </vt:variant>
      <vt:variant>
        <vt:i4>1179696</vt:i4>
      </vt:variant>
      <vt:variant>
        <vt:i4>314</vt:i4>
      </vt:variant>
      <vt:variant>
        <vt:i4>0</vt:i4>
      </vt:variant>
      <vt:variant>
        <vt:i4>5</vt:i4>
      </vt:variant>
      <vt:variant>
        <vt:lpwstr/>
      </vt:variant>
      <vt:variant>
        <vt:lpwstr>_Toc73107412</vt:lpwstr>
      </vt:variant>
      <vt:variant>
        <vt:i4>1114160</vt:i4>
      </vt:variant>
      <vt:variant>
        <vt:i4>308</vt:i4>
      </vt:variant>
      <vt:variant>
        <vt:i4>0</vt:i4>
      </vt:variant>
      <vt:variant>
        <vt:i4>5</vt:i4>
      </vt:variant>
      <vt:variant>
        <vt:lpwstr/>
      </vt:variant>
      <vt:variant>
        <vt:lpwstr>_Toc73107411</vt:lpwstr>
      </vt:variant>
      <vt:variant>
        <vt:i4>1048624</vt:i4>
      </vt:variant>
      <vt:variant>
        <vt:i4>302</vt:i4>
      </vt:variant>
      <vt:variant>
        <vt:i4>0</vt:i4>
      </vt:variant>
      <vt:variant>
        <vt:i4>5</vt:i4>
      </vt:variant>
      <vt:variant>
        <vt:lpwstr/>
      </vt:variant>
      <vt:variant>
        <vt:lpwstr>_Toc73107410</vt:lpwstr>
      </vt:variant>
      <vt:variant>
        <vt:i4>1638449</vt:i4>
      </vt:variant>
      <vt:variant>
        <vt:i4>296</vt:i4>
      </vt:variant>
      <vt:variant>
        <vt:i4>0</vt:i4>
      </vt:variant>
      <vt:variant>
        <vt:i4>5</vt:i4>
      </vt:variant>
      <vt:variant>
        <vt:lpwstr/>
      </vt:variant>
      <vt:variant>
        <vt:lpwstr>_Toc73107409</vt:lpwstr>
      </vt:variant>
      <vt:variant>
        <vt:i4>1572913</vt:i4>
      </vt:variant>
      <vt:variant>
        <vt:i4>290</vt:i4>
      </vt:variant>
      <vt:variant>
        <vt:i4>0</vt:i4>
      </vt:variant>
      <vt:variant>
        <vt:i4>5</vt:i4>
      </vt:variant>
      <vt:variant>
        <vt:lpwstr/>
      </vt:variant>
      <vt:variant>
        <vt:lpwstr>_Toc73107408</vt:lpwstr>
      </vt:variant>
      <vt:variant>
        <vt:i4>1507377</vt:i4>
      </vt:variant>
      <vt:variant>
        <vt:i4>284</vt:i4>
      </vt:variant>
      <vt:variant>
        <vt:i4>0</vt:i4>
      </vt:variant>
      <vt:variant>
        <vt:i4>5</vt:i4>
      </vt:variant>
      <vt:variant>
        <vt:lpwstr/>
      </vt:variant>
      <vt:variant>
        <vt:lpwstr>_Toc73107407</vt:lpwstr>
      </vt:variant>
      <vt:variant>
        <vt:i4>1441841</vt:i4>
      </vt:variant>
      <vt:variant>
        <vt:i4>278</vt:i4>
      </vt:variant>
      <vt:variant>
        <vt:i4>0</vt:i4>
      </vt:variant>
      <vt:variant>
        <vt:i4>5</vt:i4>
      </vt:variant>
      <vt:variant>
        <vt:lpwstr/>
      </vt:variant>
      <vt:variant>
        <vt:lpwstr>_Toc73107406</vt:lpwstr>
      </vt:variant>
      <vt:variant>
        <vt:i4>1376305</vt:i4>
      </vt:variant>
      <vt:variant>
        <vt:i4>272</vt:i4>
      </vt:variant>
      <vt:variant>
        <vt:i4>0</vt:i4>
      </vt:variant>
      <vt:variant>
        <vt:i4>5</vt:i4>
      </vt:variant>
      <vt:variant>
        <vt:lpwstr/>
      </vt:variant>
      <vt:variant>
        <vt:lpwstr>_Toc73107405</vt:lpwstr>
      </vt:variant>
      <vt:variant>
        <vt:i4>1310769</vt:i4>
      </vt:variant>
      <vt:variant>
        <vt:i4>266</vt:i4>
      </vt:variant>
      <vt:variant>
        <vt:i4>0</vt:i4>
      </vt:variant>
      <vt:variant>
        <vt:i4>5</vt:i4>
      </vt:variant>
      <vt:variant>
        <vt:lpwstr/>
      </vt:variant>
      <vt:variant>
        <vt:lpwstr>_Toc73107404</vt:lpwstr>
      </vt:variant>
      <vt:variant>
        <vt:i4>1245233</vt:i4>
      </vt:variant>
      <vt:variant>
        <vt:i4>260</vt:i4>
      </vt:variant>
      <vt:variant>
        <vt:i4>0</vt:i4>
      </vt:variant>
      <vt:variant>
        <vt:i4>5</vt:i4>
      </vt:variant>
      <vt:variant>
        <vt:lpwstr/>
      </vt:variant>
      <vt:variant>
        <vt:lpwstr>_Toc73107403</vt:lpwstr>
      </vt:variant>
      <vt:variant>
        <vt:i4>1179697</vt:i4>
      </vt:variant>
      <vt:variant>
        <vt:i4>254</vt:i4>
      </vt:variant>
      <vt:variant>
        <vt:i4>0</vt:i4>
      </vt:variant>
      <vt:variant>
        <vt:i4>5</vt:i4>
      </vt:variant>
      <vt:variant>
        <vt:lpwstr/>
      </vt:variant>
      <vt:variant>
        <vt:lpwstr>_Toc73107402</vt:lpwstr>
      </vt:variant>
      <vt:variant>
        <vt:i4>1114161</vt:i4>
      </vt:variant>
      <vt:variant>
        <vt:i4>248</vt:i4>
      </vt:variant>
      <vt:variant>
        <vt:i4>0</vt:i4>
      </vt:variant>
      <vt:variant>
        <vt:i4>5</vt:i4>
      </vt:variant>
      <vt:variant>
        <vt:lpwstr/>
      </vt:variant>
      <vt:variant>
        <vt:lpwstr>_Toc73107401</vt:lpwstr>
      </vt:variant>
      <vt:variant>
        <vt:i4>1048625</vt:i4>
      </vt:variant>
      <vt:variant>
        <vt:i4>242</vt:i4>
      </vt:variant>
      <vt:variant>
        <vt:i4>0</vt:i4>
      </vt:variant>
      <vt:variant>
        <vt:i4>5</vt:i4>
      </vt:variant>
      <vt:variant>
        <vt:lpwstr/>
      </vt:variant>
      <vt:variant>
        <vt:lpwstr>_Toc73107400</vt:lpwstr>
      </vt:variant>
      <vt:variant>
        <vt:i4>1966136</vt:i4>
      </vt:variant>
      <vt:variant>
        <vt:i4>236</vt:i4>
      </vt:variant>
      <vt:variant>
        <vt:i4>0</vt:i4>
      </vt:variant>
      <vt:variant>
        <vt:i4>5</vt:i4>
      </vt:variant>
      <vt:variant>
        <vt:lpwstr/>
      </vt:variant>
      <vt:variant>
        <vt:lpwstr>_Toc73107399</vt:lpwstr>
      </vt:variant>
      <vt:variant>
        <vt:i4>2031672</vt:i4>
      </vt:variant>
      <vt:variant>
        <vt:i4>230</vt:i4>
      </vt:variant>
      <vt:variant>
        <vt:i4>0</vt:i4>
      </vt:variant>
      <vt:variant>
        <vt:i4>5</vt:i4>
      </vt:variant>
      <vt:variant>
        <vt:lpwstr/>
      </vt:variant>
      <vt:variant>
        <vt:lpwstr>_Toc73107398</vt:lpwstr>
      </vt:variant>
      <vt:variant>
        <vt:i4>1048632</vt:i4>
      </vt:variant>
      <vt:variant>
        <vt:i4>224</vt:i4>
      </vt:variant>
      <vt:variant>
        <vt:i4>0</vt:i4>
      </vt:variant>
      <vt:variant>
        <vt:i4>5</vt:i4>
      </vt:variant>
      <vt:variant>
        <vt:lpwstr/>
      </vt:variant>
      <vt:variant>
        <vt:lpwstr>_Toc73107397</vt:lpwstr>
      </vt:variant>
      <vt:variant>
        <vt:i4>1114168</vt:i4>
      </vt:variant>
      <vt:variant>
        <vt:i4>218</vt:i4>
      </vt:variant>
      <vt:variant>
        <vt:i4>0</vt:i4>
      </vt:variant>
      <vt:variant>
        <vt:i4>5</vt:i4>
      </vt:variant>
      <vt:variant>
        <vt:lpwstr/>
      </vt:variant>
      <vt:variant>
        <vt:lpwstr>_Toc73107396</vt:lpwstr>
      </vt:variant>
      <vt:variant>
        <vt:i4>1179704</vt:i4>
      </vt:variant>
      <vt:variant>
        <vt:i4>212</vt:i4>
      </vt:variant>
      <vt:variant>
        <vt:i4>0</vt:i4>
      </vt:variant>
      <vt:variant>
        <vt:i4>5</vt:i4>
      </vt:variant>
      <vt:variant>
        <vt:lpwstr/>
      </vt:variant>
      <vt:variant>
        <vt:lpwstr>_Toc73107395</vt:lpwstr>
      </vt:variant>
      <vt:variant>
        <vt:i4>1245240</vt:i4>
      </vt:variant>
      <vt:variant>
        <vt:i4>206</vt:i4>
      </vt:variant>
      <vt:variant>
        <vt:i4>0</vt:i4>
      </vt:variant>
      <vt:variant>
        <vt:i4>5</vt:i4>
      </vt:variant>
      <vt:variant>
        <vt:lpwstr/>
      </vt:variant>
      <vt:variant>
        <vt:lpwstr>_Toc73107394</vt:lpwstr>
      </vt:variant>
      <vt:variant>
        <vt:i4>1310776</vt:i4>
      </vt:variant>
      <vt:variant>
        <vt:i4>200</vt:i4>
      </vt:variant>
      <vt:variant>
        <vt:i4>0</vt:i4>
      </vt:variant>
      <vt:variant>
        <vt:i4>5</vt:i4>
      </vt:variant>
      <vt:variant>
        <vt:lpwstr/>
      </vt:variant>
      <vt:variant>
        <vt:lpwstr>_Toc73107393</vt:lpwstr>
      </vt:variant>
      <vt:variant>
        <vt:i4>1376312</vt:i4>
      </vt:variant>
      <vt:variant>
        <vt:i4>194</vt:i4>
      </vt:variant>
      <vt:variant>
        <vt:i4>0</vt:i4>
      </vt:variant>
      <vt:variant>
        <vt:i4>5</vt:i4>
      </vt:variant>
      <vt:variant>
        <vt:lpwstr/>
      </vt:variant>
      <vt:variant>
        <vt:lpwstr>_Toc73107392</vt:lpwstr>
      </vt:variant>
      <vt:variant>
        <vt:i4>1441848</vt:i4>
      </vt:variant>
      <vt:variant>
        <vt:i4>188</vt:i4>
      </vt:variant>
      <vt:variant>
        <vt:i4>0</vt:i4>
      </vt:variant>
      <vt:variant>
        <vt:i4>5</vt:i4>
      </vt:variant>
      <vt:variant>
        <vt:lpwstr/>
      </vt:variant>
      <vt:variant>
        <vt:lpwstr>_Toc73107391</vt:lpwstr>
      </vt:variant>
      <vt:variant>
        <vt:i4>1507384</vt:i4>
      </vt:variant>
      <vt:variant>
        <vt:i4>182</vt:i4>
      </vt:variant>
      <vt:variant>
        <vt:i4>0</vt:i4>
      </vt:variant>
      <vt:variant>
        <vt:i4>5</vt:i4>
      </vt:variant>
      <vt:variant>
        <vt:lpwstr/>
      </vt:variant>
      <vt:variant>
        <vt:lpwstr>_Toc73107390</vt:lpwstr>
      </vt:variant>
      <vt:variant>
        <vt:i4>1966137</vt:i4>
      </vt:variant>
      <vt:variant>
        <vt:i4>176</vt:i4>
      </vt:variant>
      <vt:variant>
        <vt:i4>0</vt:i4>
      </vt:variant>
      <vt:variant>
        <vt:i4>5</vt:i4>
      </vt:variant>
      <vt:variant>
        <vt:lpwstr/>
      </vt:variant>
      <vt:variant>
        <vt:lpwstr>_Toc73107389</vt:lpwstr>
      </vt:variant>
      <vt:variant>
        <vt:i4>2031673</vt:i4>
      </vt:variant>
      <vt:variant>
        <vt:i4>170</vt:i4>
      </vt:variant>
      <vt:variant>
        <vt:i4>0</vt:i4>
      </vt:variant>
      <vt:variant>
        <vt:i4>5</vt:i4>
      </vt:variant>
      <vt:variant>
        <vt:lpwstr/>
      </vt:variant>
      <vt:variant>
        <vt:lpwstr>_Toc73107388</vt:lpwstr>
      </vt:variant>
      <vt:variant>
        <vt:i4>1048633</vt:i4>
      </vt:variant>
      <vt:variant>
        <vt:i4>164</vt:i4>
      </vt:variant>
      <vt:variant>
        <vt:i4>0</vt:i4>
      </vt:variant>
      <vt:variant>
        <vt:i4>5</vt:i4>
      </vt:variant>
      <vt:variant>
        <vt:lpwstr/>
      </vt:variant>
      <vt:variant>
        <vt:lpwstr>_Toc73107387</vt:lpwstr>
      </vt:variant>
      <vt:variant>
        <vt:i4>1114169</vt:i4>
      </vt:variant>
      <vt:variant>
        <vt:i4>158</vt:i4>
      </vt:variant>
      <vt:variant>
        <vt:i4>0</vt:i4>
      </vt:variant>
      <vt:variant>
        <vt:i4>5</vt:i4>
      </vt:variant>
      <vt:variant>
        <vt:lpwstr/>
      </vt:variant>
      <vt:variant>
        <vt:lpwstr>_Toc73107386</vt:lpwstr>
      </vt:variant>
      <vt:variant>
        <vt:i4>1179705</vt:i4>
      </vt:variant>
      <vt:variant>
        <vt:i4>152</vt:i4>
      </vt:variant>
      <vt:variant>
        <vt:i4>0</vt:i4>
      </vt:variant>
      <vt:variant>
        <vt:i4>5</vt:i4>
      </vt:variant>
      <vt:variant>
        <vt:lpwstr/>
      </vt:variant>
      <vt:variant>
        <vt:lpwstr>_Toc73107385</vt:lpwstr>
      </vt:variant>
      <vt:variant>
        <vt:i4>1245241</vt:i4>
      </vt:variant>
      <vt:variant>
        <vt:i4>146</vt:i4>
      </vt:variant>
      <vt:variant>
        <vt:i4>0</vt:i4>
      </vt:variant>
      <vt:variant>
        <vt:i4>5</vt:i4>
      </vt:variant>
      <vt:variant>
        <vt:lpwstr/>
      </vt:variant>
      <vt:variant>
        <vt:lpwstr>_Toc73107384</vt:lpwstr>
      </vt:variant>
      <vt:variant>
        <vt:i4>1310777</vt:i4>
      </vt:variant>
      <vt:variant>
        <vt:i4>140</vt:i4>
      </vt:variant>
      <vt:variant>
        <vt:i4>0</vt:i4>
      </vt:variant>
      <vt:variant>
        <vt:i4>5</vt:i4>
      </vt:variant>
      <vt:variant>
        <vt:lpwstr/>
      </vt:variant>
      <vt:variant>
        <vt:lpwstr>_Toc73107383</vt:lpwstr>
      </vt:variant>
      <vt:variant>
        <vt:i4>1376313</vt:i4>
      </vt:variant>
      <vt:variant>
        <vt:i4>134</vt:i4>
      </vt:variant>
      <vt:variant>
        <vt:i4>0</vt:i4>
      </vt:variant>
      <vt:variant>
        <vt:i4>5</vt:i4>
      </vt:variant>
      <vt:variant>
        <vt:lpwstr/>
      </vt:variant>
      <vt:variant>
        <vt:lpwstr>_Toc73107382</vt:lpwstr>
      </vt:variant>
      <vt:variant>
        <vt:i4>1441849</vt:i4>
      </vt:variant>
      <vt:variant>
        <vt:i4>128</vt:i4>
      </vt:variant>
      <vt:variant>
        <vt:i4>0</vt:i4>
      </vt:variant>
      <vt:variant>
        <vt:i4>5</vt:i4>
      </vt:variant>
      <vt:variant>
        <vt:lpwstr/>
      </vt:variant>
      <vt:variant>
        <vt:lpwstr>_Toc73107381</vt:lpwstr>
      </vt:variant>
      <vt:variant>
        <vt:i4>1507385</vt:i4>
      </vt:variant>
      <vt:variant>
        <vt:i4>122</vt:i4>
      </vt:variant>
      <vt:variant>
        <vt:i4>0</vt:i4>
      </vt:variant>
      <vt:variant>
        <vt:i4>5</vt:i4>
      </vt:variant>
      <vt:variant>
        <vt:lpwstr/>
      </vt:variant>
      <vt:variant>
        <vt:lpwstr>_Toc73107380</vt:lpwstr>
      </vt:variant>
      <vt:variant>
        <vt:i4>1966134</vt:i4>
      </vt:variant>
      <vt:variant>
        <vt:i4>116</vt:i4>
      </vt:variant>
      <vt:variant>
        <vt:i4>0</vt:i4>
      </vt:variant>
      <vt:variant>
        <vt:i4>5</vt:i4>
      </vt:variant>
      <vt:variant>
        <vt:lpwstr/>
      </vt:variant>
      <vt:variant>
        <vt:lpwstr>_Toc73107379</vt:lpwstr>
      </vt:variant>
      <vt:variant>
        <vt:i4>2031670</vt:i4>
      </vt:variant>
      <vt:variant>
        <vt:i4>110</vt:i4>
      </vt:variant>
      <vt:variant>
        <vt:i4>0</vt:i4>
      </vt:variant>
      <vt:variant>
        <vt:i4>5</vt:i4>
      </vt:variant>
      <vt:variant>
        <vt:lpwstr/>
      </vt:variant>
      <vt:variant>
        <vt:lpwstr>_Toc73107378</vt:lpwstr>
      </vt:variant>
      <vt:variant>
        <vt:i4>1048630</vt:i4>
      </vt:variant>
      <vt:variant>
        <vt:i4>104</vt:i4>
      </vt:variant>
      <vt:variant>
        <vt:i4>0</vt:i4>
      </vt:variant>
      <vt:variant>
        <vt:i4>5</vt:i4>
      </vt:variant>
      <vt:variant>
        <vt:lpwstr/>
      </vt:variant>
      <vt:variant>
        <vt:lpwstr>_Toc73107377</vt:lpwstr>
      </vt:variant>
      <vt:variant>
        <vt:i4>1114166</vt:i4>
      </vt:variant>
      <vt:variant>
        <vt:i4>98</vt:i4>
      </vt:variant>
      <vt:variant>
        <vt:i4>0</vt:i4>
      </vt:variant>
      <vt:variant>
        <vt:i4>5</vt:i4>
      </vt:variant>
      <vt:variant>
        <vt:lpwstr/>
      </vt:variant>
      <vt:variant>
        <vt:lpwstr>_Toc73107376</vt:lpwstr>
      </vt:variant>
      <vt:variant>
        <vt:i4>1179702</vt:i4>
      </vt:variant>
      <vt:variant>
        <vt:i4>92</vt:i4>
      </vt:variant>
      <vt:variant>
        <vt:i4>0</vt:i4>
      </vt:variant>
      <vt:variant>
        <vt:i4>5</vt:i4>
      </vt:variant>
      <vt:variant>
        <vt:lpwstr/>
      </vt:variant>
      <vt:variant>
        <vt:lpwstr>_Toc73107375</vt:lpwstr>
      </vt:variant>
      <vt:variant>
        <vt:i4>1245238</vt:i4>
      </vt:variant>
      <vt:variant>
        <vt:i4>86</vt:i4>
      </vt:variant>
      <vt:variant>
        <vt:i4>0</vt:i4>
      </vt:variant>
      <vt:variant>
        <vt:i4>5</vt:i4>
      </vt:variant>
      <vt:variant>
        <vt:lpwstr/>
      </vt:variant>
      <vt:variant>
        <vt:lpwstr>_Toc73107374</vt:lpwstr>
      </vt:variant>
      <vt:variant>
        <vt:i4>1310774</vt:i4>
      </vt:variant>
      <vt:variant>
        <vt:i4>80</vt:i4>
      </vt:variant>
      <vt:variant>
        <vt:i4>0</vt:i4>
      </vt:variant>
      <vt:variant>
        <vt:i4>5</vt:i4>
      </vt:variant>
      <vt:variant>
        <vt:lpwstr/>
      </vt:variant>
      <vt:variant>
        <vt:lpwstr>_Toc73107373</vt:lpwstr>
      </vt:variant>
      <vt:variant>
        <vt:i4>1376310</vt:i4>
      </vt:variant>
      <vt:variant>
        <vt:i4>74</vt:i4>
      </vt:variant>
      <vt:variant>
        <vt:i4>0</vt:i4>
      </vt:variant>
      <vt:variant>
        <vt:i4>5</vt:i4>
      </vt:variant>
      <vt:variant>
        <vt:lpwstr/>
      </vt:variant>
      <vt:variant>
        <vt:lpwstr>_Toc73107372</vt:lpwstr>
      </vt:variant>
      <vt:variant>
        <vt:i4>1441846</vt:i4>
      </vt:variant>
      <vt:variant>
        <vt:i4>68</vt:i4>
      </vt:variant>
      <vt:variant>
        <vt:i4>0</vt:i4>
      </vt:variant>
      <vt:variant>
        <vt:i4>5</vt:i4>
      </vt:variant>
      <vt:variant>
        <vt:lpwstr/>
      </vt:variant>
      <vt:variant>
        <vt:lpwstr>_Toc73107371</vt:lpwstr>
      </vt:variant>
      <vt:variant>
        <vt:i4>1507382</vt:i4>
      </vt:variant>
      <vt:variant>
        <vt:i4>62</vt:i4>
      </vt:variant>
      <vt:variant>
        <vt:i4>0</vt:i4>
      </vt:variant>
      <vt:variant>
        <vt:i4>5</vt:i4>
      </vt:variant>
      <vt:variant>
        <vt:lpwstr/>
      </vt:variant>
      <vt:variant>
        <vt:lpwstr>_Toc73107370</vt:lpwstr>
      </vt:variant>
      <vt:variant>
        <vt:i4>1966135</vt:i4>
      </vt:variant>
      <vt:variant>
        <vt:i4>56</vt:i4>
      </vt:variant>
      <vt:variant>
        <vt:i4>0</vt:i4>
      </vt:variant>
      <vt:variant>
        <vt:i4>5</vt:i4>
      </vt:variant>
      <vt:variant>
        <vt:lpwstr/>
      </vt:variant>
      <vt:variant>
        <vt:lpwstr>_Toc73107369</vt:lpwstr>
      </vt:variant>
      <vt:variant>
        <vt:i4>2031671</vt:i4>
      </vt:variant>
      <vt:variant>
        <vt:i4>50</vt:i4>
      </vt:variant>
      <vt:variant>
        <vt:i4>0</vt:i4>
      </vt:variant>
      <vt:variant>
        <vt:i4>5</vt:i4>
      </vt:variant>
      <vt:variant>
        <vt:lpwstr/>
      </vt:variant>
      <vt:variant>
        <vt:lpwstr>_Toc73107368</vt:lpwstr>
      </vt:variant>
      <vt:variant>
        <vt:i4>1048631</vt:i4>
      </vt:variant>
      <vt:variant>
        <vt:i4>44</vt:i4>
      </vt:variant>
      <vt:variant>
        <vt:i4>0</vt:i4>
      </vt:variant>
      <vt:variant>
        <vt:i4>5</vt:i4>
      </vt:variant>
      <vt:variant>
        <vt:lpwstr/>
      </vt:variant>
      <vt:variant>
        <vt:lpwstr>_Toc73107367</vt:lpwstr>
      </vt:variant>
      <vt:variant>
        <vt:i4>1114167</vt:i4>
      </vt:variant>
      <vt:variant>
        <vt:i4>38</vt:i4>
      </vt:variant>
      <vt:variant>
        <vt:i4>0</vt:i4>
      </vt:variant>
      <vt:variant>
        <vt:i4>5</vt:i4>
      </vt:variant>
      <vt:variant>
        <vt:lpwstr/>
      </vt:variant>
      <vt:variant>
        <vt:lpwstr>_Toc73107366</vt:lpwstr>
      </vt:variant>
      <vt:variant>
        <vt:i4>1179703</vt:i4>
      </vt:variant>
      <vt:variant>
        <vt:i4>32</vt:i4>
      </vt:variant>
      <vt:variant>
        <vt:i4>0</vt:i4>
      </vt:variant>
      <vt:variant>
        <vt:i4>5</vt:i4>
      </vt:variant>
      <vt:variant>
        <vt:lpwstr/>
      </vt:variant>
      <vt:variant>
        <vt:lpwstr>_Toc73107365</vt:lpwstr>
      </vt:variant>
      <vt:variant>
        <vt:i4>1245239</vt:i4>
      </vt:variant>
      <vt:variant>
        <vt:i4>26</vt:i4>
      </vt:variant>
      <vt:variant>
        <vt:i4>0</vt:i4>
      </vt:variant>
      <vt:variant>
        <vt:i4>5</vt:i4>
      </vt:variant>
      <vt:variant>
        <vt:lpwstr/>
      </vt:variant>
      <vt:variant>
        <vt:lpwstr>_Toc73107364</vt:lpwstr>
      </vt:variant>
      <vt:variant>
        <vt:i4>1310775</vt:i4>
      </vt:variant>
      <vt:variant>
        <vt:i4>20</vt:i4>
      </vt:variant>
      <vt:variant>
        <vt:i4>0</vt:i4>
      </vt:variant>
      <vt:variant>
        <vt:i4>5</vt:i4>
      </vt:variant>
      <vt:variant>
        <vt:lpwstr/>
      </vt:variant>
      <vt:variant>
        <vt:lpwstr>_Toc73107363</vt:lpwstr>
      </vt:variant>
      <vt:variant>
        <vt:i4>1376311</vt:i4>
      </vt:variant>
      <vt:variant>
        <vt:i4>14</vt:i4>
      </vt:variant>
      <vt:variant>
        <vt:i4>0</vt:i4>
      </vt:variant>
      <vt:variant>
        <vt:i4>5</vt:i4>
      </vt:variant>
      <vt:variant>
        <vt:lpwstr/>
      </vt:variant>
      <vt:variant>
        <vt:lpwstr>_Toc73107362</vt:lpwstr>
      </vt:variant>
      <vt:variant>
        <vt:i4>1441847</vt:i4>
      </vt:variant>
      <vt:variant>
        <vt:i4>8</vt:i4>
      </vt:variant>
      <vt:variant>
        <vt:i4>0</vt:i4>
      </vt:variant>
      <vt:variant>
        <vt:i4>5</vt:i4>
      </vt:variant>
      <vt:variant>
        <vt:lpwstr/>
      </vt:variant>
      <vt:variant>
        <vt:lpwstr>_Toc73107361</vt:lpwstr>
      </vt:variant>
      <vt:variant>
        <vt:i4>1638426</vt:i4>
      </vt:variant>
      <vt:variant>
        <vt:i4>3</vt:i4>
      </vt:variant>
      <vt:variant>
        <vt:i4>0</vt:i4>
      </vt:variant>
      <vt:variant>
        <vt:i4>5</vt:i4>
      </vt:variant>
      <vt:variant>
        <vt:lpwstr>http://www.flinders.edu.au/aiti/</vt:lpwstr>
      </vt:variant>
      <vt:variant>
        <vt:lpwstr/>
      </vt:variant>
      <vt:variant>
        <vt:i4>3539059</vt:i4>
      </vt:variant>
      <vt:variant>
        <vt:i4>0</vt:i4>
      </vt:variant>
      <vt:variant>
        <vt:i4>0</vt:i4>
      </vt:variant>
      <vt:variant>
        <vt:i4>5</vt:i4>
      </vt:variant>
      <vt:variant>
        <vt:lpwstr>http://www.flinders.edu.au/aiti</vt:lpwstr>
      </vt:variant>
      <vt:variant>
        <vt:lpwstr/>
      </vt:variant>
      <vt:variant>
        <vt:i4>1179722</vt:i4>
      </vt:variant>
      <vt:variant>
        <vt:i4>24</vt:i4>
      </vt:variant>
      <vt:variant>
        <vt:i4>0</vt:i4>
      </vt:variant>
      <vt:variant>
        <vt:i4>5</vt:i4>
      </vt:variant>
      <vt:variant>
        <vt:lpwstr>https://www.fairwork.gov.au/pay/minimum-wages</vt:lpwstr>
      </vt:variant>
      <vt:variant>
        <vt:lpwstr/>
      </vt:variant>
      <vt:variant>
        <vt:i4>2818164</vt:i4>
      </vt:variant>
      <vt:variant>
        <vt:i4>12</vt:i4>
      </vt:variant>
      <vt:variant>
        <vt:i4>0</vt:i4>
      </vt:variant>
      <vt:variant>
        <vt:i4>5</vt:i4>
      </vt:variant>
      <vt:variant>
        <vt:lpwstr>https://www.smartraveller.gov.au/news-and-updates/covid-19-travel-advice-level-changes</vt:lpwstr>
      </vt:variant>
      <vt:variant>
        <vt:lpwstr/>
      </vt:variant>
      <vt:variant>
        <vt:i4>327695</vt:i4>
      </vt:variant>
      <vt:variant>
        <vt:i4>9</vt:i4>
      </vt:variant>
      <vt:variant>
        <vt:i4>0</vt:i4>
      </vt:variant>
      <vt:variant>
        <vt:i4>5</vt:i4>
      </vt:variant>
      <vt:variant>
        <vt:lpwstr>https://www.who.int/emergencies/diseases/novel-coronavirus-2019/interactive-timeline</vt:lpwstr>
      </vt:variant>
      <vt:variant>
        <vt:lpwstr/>
      </vt:variant>
      <vt:variant>
        <vt:i4>2556006</vt:i4>
      </vt:variant>
      <vt:variant>
        <vt:i4>6</vt:i4>
      </vt:variant>
      <vt:variant>
        <vt:i4>0</vt:i4>
      </vt:variant>
      <vt:variant>
        <vt:i4>5</vt:i4>
      </vt:variant>
      <vt:variant>
        <vt:lpwstr>https://minister.homeaffairs.gov.au/AlexHawke/Pages/support-for-australian-tourism-and-hospitality.aspx</vt:lpwstr>
      </vt:variant>
      <vt:variant>
        <vt:lpwstr/>
      </vt:variant>
      <vt:variant>
        <vt:i4>5505129</vt:i4>
      </vt:variant>
      <vt:variant>
        <vt:i4>3</vt:i4>
      </vt:variant>
      <vt:variant>
        <vt:i4>0</vt:i4>
      </vt:variant>
      <vt:variant>
        <vt:i4>5</vt:i4>
      </vt:variant>
      <vt:variant>
        <vt:lpwstr>mailto:hamish.gamble@flinders.edu.au</vt:lpwstr>
      </vt:variant>
      <vt:variant>
        <vt:lpwstr/>
      </vt:variant>
      <vt:variant>
        <vt:i4>2228240</vt:i4>
      </vt:variant>
      <vt:variant>
        <vt:i4>0</vt:i4>
      </vt:variant>
      <vt:variant>
        <vt:i4>0</vt:i4>
      </vt:variant>
      <vt:variant>
        <vt:i4>5</vt:i4>
      </vt:variant>
      <vt:variant>
        <vt:lpwstr>mailto:annlouise.hordacre@flinders.edu.au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Moretti</dc:creator>
  <cp:keywords/>
  <dc:description/>
  <cp:lastModifiedBy>Silas-Irvine [Canberra]</cp:lastModifiedBy>
  <cp:revision>2</cp:revision>
  <cp:lastPrinted>2021-12-09T01:19:00Z</cp:lastPrinted>
  <dcterms:created xsi:type="dcterms:W3CDTF">2021-12-20T01:13:00Z</dcterms:created>
  <dcterms:modified xsi:type="dcterms:W3CDTF">2021-12-20T01:13:00Z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0x01010004862C10171BD149BCA86DC4F35484800700AE74D64BEBE6FB40BFA6D675564D1036</vt:lpwstr>
  </property>
  <property fmtid="{D5CDD505-2E9C-101B-9397-08002B2CF9AE}" pid="3" name="_dlc_DocIdItemGuid">
    <vt:lpwstr>5bb2f4cc-8921-41cc-8caa-504854bcc953</vt:lpwstr>
  </property>
  <property fmtid="{D5CDD505-2E9C-101B-9397-08002B2CF9AE}" pid="4" name="Protective Markings">
    <vt:lpwstr/>
  </property>
</Properties>
</file>